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20" w:lineRule="exact"/>
        <w:ind w:firstLine="0" w:firstLineChars="0"/>
        <w:rPr>
          <w:rFonts w:hint="eastAsia" w:ascii="宋体" w:hAnsi="宋体" w:eastAsia="宋体" w:cs="宋体"/>
          <w:color w:val="auto"/>
          <w:sz w:val="40"/>
          <w:szCs w:val="40"/>
          <w:highlight w:val="none"/>
        </w:rPr>
      </w:pPr>
    </w:p>
    <w:p>
      <w:pPr>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采购合同                        合同编号：</w:t>
      </w:r>
    </w:p>
    <w:p>
      <w:pPr>
        <w:pStyle w:val="2"/>
        <w:rPr>
          <w:rFonts w:hint="eastAsia" w:ascii="宋体" w:hAnsi="宋体" w:eastAsia="宋体" w:cs="宋体"/>
          <w:bCs/>
          <w:color w:val="auto"/>
          <w:sz w:val="30"/>
          <w:szCs w:val="30"/>
          <w:highlight w:val="none"/>
        </w:rPr>
      </w:pPr>
    </w:p>
    <w:p>
      <w:pPr>
        <w:pStyle w:val="2"/>
        <w:rPr>
          <w:rFonts w:hint="eastAsia" w:ascii="宋体" w:hAnsi="宋体" w:eastAsia="宋体" w:cs="宋体"/>
          <w:color w:val="auto"/>
          <w:highlight w:val="none"/>
        </w:rPr>
      </w:pPr>
    </w:p>
    <w:p>
      <w:pPr>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u w:val="single"/>
        </w:rPr>
        <w:t xml:space="preserve">                           </w:t>
      </w:r>
      <w:r>
        <w:rPr>
          <w:rFonts w:hint="eastAsia" w:ascii="宋体" w:hAnsi="宋体" w:eastAsia="宋体" w:cs="宋体"/>
          <w:b/>
          <w:bCs/>
          <w:color w:val="auto"/>
          <w:sz w:val="44"/>
          <w:szCs w:val="44"/>
          <w:highlight w:val="none"/>
        </w:rPr>
        <w:t>采购项目</w:t>
      </w: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（示范文本仅供参考）</w:t>
      </w:r>
    </w:p>
    <w:p>
      <w:pPr>
        <w:jc w:val="center"/>
        <w:rPr>
          <w:rFonts w:hint="eastAsia" w:ascii="宋体" w:hAnsi="宋体" w:eastAsia="宋体" w:cs="宋体"/>
          <w:b/>
          <w:color w:val="auto"/>
          <w:sz w:val="36"/>
          <w:szCs w:val="36"/>
          <w:highlight w:val="none"/>
        </w:rPr>
      </w:pPr>
    </w:p>
    <w:p>
      <w:pPr>
        <w:pStyle w:val="2"/>
        <w:rPr>
          <w:rFonts w:hint="eastAsia" w:ascii="宋体" w:hAnsi="宋体" w:eastAsia="宋体" w:cs="宋体"/>
          <w:color w:val="auto"/>
          <w:highlight w:val="none"/>
        </w:rPr>
      </w:pPr>
    </w:p>
    <w:p>
      <w:pPr>
        <w:jc w:val="center"/>
        <w:rPr>
          <w:rFonts w:hint="eastAsia" w:ascii="宋体" w:hAnsi="宋体" w:eastAsia="宋体" w:cs="宋体"/>
          <w:b/>
          <w:color w:val="auto"/>
          <w:sz w:val="36"/>
          <w:szCs w:val="36"/>
          <w:highlight w:val="none"/>
        </w:rPr>
      </w:pPr>
    </w:p>
    <w:p>
      <w:pPr>
        <w:jc w:val="center"/>
        <w:rPr>
          <w:rFonts w:hint="eastAsia" w:ascii="宋体" w:hAnsi="宋体" w:eastAsia="宋体" w:cs="宋体"/>
          <w:b/>
          <w:color w:val="auto"/>
          <w:sz w:val="36"/>
          <w:szCs w:val="36"/>
          <w:highlight w:val="none"/>
        </w:rPr>
      </w:pPr>
    </w:p>
    <w:p>
      <w:pPr>
        <w:spacing w:before="158" w:beforeLines="50" w:line="360" w:lineRule="auto"/>
        <w:rPr>
          <w:rFonts w:hint="eastAsia" w:ascii="宋体" w:hAnsi="宋体" w:eastAsia="宋体" w:cs="宋体"/>
          <w:b/>
          <w:bCs/>
          <w:color w:val="auto"/>
          <w:sz w:val="36"/>
          <w:szCs w:val="36"/>
          <w:highlight w:val="none"/>
        </w:rPr>
      </w:pPr>
    </w:p>
    <w:p>
      <w:pPr>
        <w:spacing w:before="158" w:beforeLines="50" w:line="360" w:lineRule="auto"/>
        <w:ind w:firstLine="1263" w:firstLineChars="393"/>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采购人：</w:t>
      </w:r>
      <w:r>
        <w:rPr>
          <w:rFonts w:hint="eastAsia" w:ascii="宋体" w:hAnsi="宋体" w:eastAsia="宋体" w:cs="宋体"/>
          <w:color w:val="auto"/>
          <w:sz w:val="32"/>
          <w:szCs w:val="32"/>
          <w:highlight w:val="none"/>
          <w:u w:val="single"/>
        </w:rPr>
        <w:t xml:space="preserve">                     </w:t>
      </w:r>
    </w:p>
    <w:p>
      <w:pPr>
        <w:spacing w:before="158" w:beforeLines="50" w:line="360" w:lineRule="auto"/>
        <w:ind w:firstLine="1263" w:firstLineChars="393"/>
        <w:jc w:val="left"/>
        <w:rPr>
          <w:rFonts w:hint="eastAsia" w:ascii="宋体" w:hAnsi="宋体" w:eastAsia="宋体" w:cs="宋体"/>
          <w:b/>
          <w:bCs/>
          <w:color w:val="auto"/>
          <w:sz w:val="32"/>
          <w:szCs w:val="32"/>
          <w:highlight w:val="none"/>
        </w:rPr>
      </w:pPr>
      <w:r>
        <w:rPr>
          <w:rFonts w:hint="eastAsia" w:ascii="宋体" w:hAnsi="宋体" w:cs="宋体"/>
          <w:b/>
          <w:bCs/>
          <w:color w:val="auto"/>
          <w:sz w:val="32"/>
          <w:szCs w:val="32"/>
          <w:highlight w:val="none"/>
          <w:lang w:eastAsia="zh-CN"/>
        </w:rPr>
        <w:t>供应商</w:t>
      </w:r>
      <w:r>
        <w:rPr>
          <w:rFonts w:hint="eastAsia" w:ascii="宋体" w:hAnsi="宋体" w:eastAsia="宋体" w:cs="宋体"/>
          <w:b/>
          <w:bCs/>
          <w:color w:val="auto"/>
          <w:sz w:val="32"/>
          <w:szCs w:val="32"/>
          <w:highlight w:val="none"/>
        </w:rPr>
        <w:t>：</w:t>
      </w:r>
      <w:r>
        <w:rPr>
          <w:rFonts w:hint="eastAsia" w:ascii="宋体" w:hAnsi="宋体" w:eastAsia="宋体" w:cs="宋体"/>
          <w:color w:val="auto"/>
          <w:sz w:val="32"/>
          <w:szCs w:val="32"/>
          <w:highlight w:val="none"/>
          <w:u w:val="single"/>
        </w:rPr>
        <w:t xml:space="preserve">                     </w:t>
      </w:r>
    </w:p>
    <w:p>
      <w:pPr>
        <w:spacing w:before="158" w:beforeLines="50" w:after="158" w:afterLines="50" w:line="360" w:lineRule="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2"/>
          <w:szCs w:val="32"/>
          <w:highlight w:val="none"/>
        </w:rPr>
        <w:t>二〇二</w:t>
      </w:r>
      <w:r>
        <w:rPr>
          <w:rFonts w:hint="eastAsia" w:ascii="宋体" w:hAnsi="宋体" w:eastAsia="宋体" w:cs="宋体"/>
          <w:b/>
          <w:bCs/>
          <w:color w:val="auto"/>
          <w:sz w:val="32"/>
          <w:szCs w:val="32"/>
          <w:highlight w:val="none"/>
          <w:lang w:eastAsia="zh-CN"/>
        </w:rPr>
        <w:t>二</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月</w:t>
      </w:r>
      <w:r>
        <w:rPr>
          <w:rFonts w:hint="eastAsia" w:ascii="宋体" w:hAnsi="宋体" w:eastAsia="宋体" w:cs="宋体"/>
          <w:b/>
          <w:bCs/>
          <w:color w:val="auto"/>
          <w:sz w:val="36"/>
          <w:szCs w:val="36"/>
          <w:highlight w:val="none"/>
        </w:rPr>
        <w:br w:type="page"/>
      </w:r>
      <w:r>
        <w:rPr>
          <w:rFonts w:hint="eastAsia" w:ascii="宋体" w:hAnsi="宋体" w:eastAsia="宋体" w:cs="宋体"/>
          <w:b/>
          <w:bCs/>
          <w:color w:val="auto"/>
          <w:sz w:val="30"/>
          <w:szCs w:val="30"/>
          <w:highlight w:val="none"/>
        </w:rPr>
        <w:t>第一部分  协议书</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采购人（甲方）：</w:t>
      </w:r>
      <w:r>
        <w:rPr>
          <w:rFonts w:hint="eastAsia" w:ascii="宋体" w:hAnsi="宋体" w:eastAsia="宋体" w:cs="宋体"/>
          <w:b/>
          <w:color w:val="auto"/>
          <w:sz w:val="24"/>
          <w:szCs w:val="24"/>
          <w:highlight w:val="none"/>
          <w:u w:val="single"/>
        </w:rPr>
        <w:t xml:space="preserve">          西安市应急管理局        </w:t>
      </w:r>
    </w:p>
    <w:p>
      <w:pPr>
        <w:adjustRightInd w:val="0"/>
        <w:snapToGrid w:val="0"/>
        <w:spacing w:line="360" w:lineRule="auto"/>
        <w:ind w:firstLine="482" w:firstLineChars="200"/>
        <w:rPr>
          <w:rFonts w:hint="eastAsia" w:ascii="宋体" w:hAnsi="宋体" w:eastAsia="宋体" w:cs="宋体"/>
          <w:color w:val="auto"/>
          <w:sz w:val="24"/>
          <w:szCs w:val="24"/>
          <w:highlight w:val="none"/>
        </w:rPr>
      </w:pPr>
      <w:bookmarkStart w:id="0" w:name="_GoBack"/>
      <w:bookmarkEnd w:id="0"/>
      <w:r>
        <w:rPr>
          <w:rFonts w:hint="eastAsia" w:ascii="宋体" w:hAnsi="宋体" w:cs="宋体"/>
          <w:b/>
          <w:color w:val="auto"/>
          <w:sz w:val="24"/>
          <w:szCs w:val="24"/>
          <w:highlight w:val="none"/>
          <w:lang w:eastAsia="zh-CN"/>
        </w:rPr>
        <w:t>供应商</w:t>
      </w:r>
      <w:r>
        <w:rPr>
          <w:rFonts w:hint="eastAsia" w:ascii="宋体" w:hAnsi="宋体" w:eastAsia="宋体" w:cs="宋体"/>
          <w:b/>
          <w:color w:val="auto"/>
          <w:sz w:val="24"/>
          <w:szCs w:val="24"/>
          <w:highlight w:val="none"/>
        </w:rPr>
        <w:t>（乙方）：</w:t>
      </w:r>
      <w:r>
        <w:rPr>
          <w:rFonts w:hint="eastAsia" w:ascii="宋体" w:hAnsi="宋体" w:eastAsia="宋体" w:cs="宋体"/>
          <w:b/>
          <w:color w:val="auto"/>
          <w:sz w:val="24"/>
          <w:szCs w:val="24"/>
          <w:highlight w:val="none"/>
          <w:u w:val="single"/>
        </w:rPr>
        <w:t xml:space="preserve">                                  </w:t>
      </w:r>
    </w:p>
    <w:p>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根据《中华人民共和国民法典》及其他有关法律、法规，遵循平等、自愿、公平和诚信的原则，双方就下述项目范围与相关服务事项协商一致，订立本合同。</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一、项目概况</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项目名称：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项目地点：</w:t>
      </w:r>
      <w:r>
        <w:rPr>
          <w:rFonts w:hint="eastAsia" w:ascii="宋体" w:hAnsi="宋体" w:eastAsia="宋体" w:cs="宋体"/>
          <w:color w:val="auto"/>
          <w:sz w:val="24"/>
          <w:szCs w:val="24"/>
          <w:highlight w:val="none"/>
          <w:u w:val="single"/>
        </w:rPr>
        <w:t xml:space="preserve">  采购人指定地点  </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二、组成本合同的文件</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协议书；</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中标通知书、投标文件、招标文件、澄清、招标补充文件；</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相关服务建议书；</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附录，即：附表内相关服务的范围和内容；</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本合同签订后，双方依法签订的补充协议也是本合同文件的组成部分。</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三、合同金额</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合同总价即中标价，为一次性报价，不受市场价变化或实际工作量变化的影响。合同价格为含税价，</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（中标人）提供产品所发生的一切税（包括增值税）费等都已包含于合同价款中。</w:t>
      </w:r>
    </w:p>
    <w:p>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四、结算方式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结算单位：采购单位结算，结算前中标人须开具全额发票给采购单位；</w:t>
      </w:r>
    </w:p>
    <w:p>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付款方式：交货验收合格无质量问题后，一次性支付合同款项</w:t>
      </w:r>
      <w:r>
        <w:rPr>
          <w:rFonts w:hint="eastAsia" w:ascii="宋体" w:hAnsi="宋体" w:eastAsia="宋体" w:cs="宋体"/>
          <w:color w:val="auto"/>
          <w:sz w:val="24"/>
          <w:szCs w:val="24"/>
          <w:highlight w:val="none"/>
          <w:lang w:eastAsia="zh-CN"/>
        </w:rPr>
        <w:t>。</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w:t>
      </w:r>
      <w:r>
        <w:rPr>
          <w:rFonts w:hint="eastAsia" w:ascii="宋体" w:hAnsi="宋体" w:eastAsia="宋体" w:cs="宋体"/>
          <w:b/>
          <w:color w:val="auto"/>
          <w:sz w:val="24"/>
          <w:szCs w:val="24"/>
          <w:highlight w:val="none"/>
          <w:lang w:eastAsia="zh-CN"/>
        </w:rPr>
        <w:t>交货期</w:t>
      </w:r>
      <w:r>
        <w:rPr>
          <w:rFonts w:hint="eastAsia" w:ascii="宋体" w:hAnsi="宋体" w:eastAsia="宋体" w:cs="宋体"/>
          <w:b/>
          <w:color w:val="auto"/>
          <w:sz w:val="24"/>
          <w:szCs w:val="24"/>
          <w:highlight w:val="none"/>
        </w:rPr>
        <w:t xml:space="preserve">  </w:t>
      </w:r>
    </w:p>
    <w:p>
      <w:pPr>
        <w:adjustRightInd w:val="0"/>
        <w:snapToGrid w:val="0"/>
        <w:spacing w:before="158" w:beforeLines="50" w:after="158" w:afterLines="50" w:line="360" w:lineRule="auto"/>
        <w:ind w:firstLine="240" w:firstLineChars="1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自合同签订之日起30日</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六、质保期</w:t>
      </w:r>
    </w:p>
    <w:p>
      <w:pPr>
        <w:adjustRightInd w:val="0"/>
        <w:snapToGrid w:val="0"/>
        <w:spacing w:before="158" w:beforeLines="50" w:after="158" w:afterLines="50" w:line="360" w:lineRule="auto"/>
        <w:ind w:firstLine="240" w:firstLineChars="1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自甲方最终验收合格之日起3年，若该质量保证期小于国家标准，则以国家标准为准</w:t>
      </w:r>
      <w:r>
        <w:rPr>
          <w:rFonts w:hint="eastAsia" w:ascii="宋体" w:hAnsi="宋体" w:eastAsia="宋体" w:cs="宋体"/>
          <w:bCs/>
          <w:color w:val="auto"/>
          <w:sz w:val="24"/>
          <w:szCs w:val="24"/>
          <w:highlight w:val="none"/>
          <w:lang w:eastAsia="zh-CN"/>
        </w:rPr>
        <w:t>。</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七、内容及要求</w:t>
      </w:r>
    </w:p>
    <w:p>
      <w:pPr>
        <w:spacing w:after="120"/>
        <w:jc w:val="center"/>
        <w:rPr>
          <w:rFonts w:hint="eastAsia" w:ascii="宋体" w:hAnsi="宋体" w:eastAsia="宋体" w:cs="宋体"/>
          <w:b/>
          <w:color w:val="auto"/>
          <w:sz w:val="24"/>
          <w:szCs w:val="24"/>
          <w:highlight w:val="none"/>
        </w:rPr>
      </w:pPr>
    </w:p>
    <w:p>
      <w:pPr>
        <w:spacing w:after="12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供货清单</w:t>
      </w:r>
    </w:p>
    <w:tbl>
      <w:tblPr>
        <w:tblStyle w:val="5"/>
        <w:tblW w:w="913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2"/>
        <w:gridCol w:w="1809"/>
        <w:gridCol w:w="2801"/>
        <w:gridCol w:w="1554"/>
        <w:gridCol w:w="17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1272" w:type="dxa"/>
            <w:noWrap w:val="0"/>
            <w:vAlign w:val="center"/>
          </w:tcPr>
          <w:p>
            <w:pPr>
              <w:adjustRightInd w:val="0"/>
              <w:snapToGrid w:val="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809" w:type="dxa"/>
            <w:noWrap w:val="0"/>
            <w:vAlign w:val="center"/>
          </w:tcPr>
          <w:p>
            <w:pPr>
              <w:adjustRightInd w:val="0"/>
              <w:snapToGrid w:val="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货物</w:t>
            </w:r>
            <w:r>
              <w:rPr>
                <w:rFonts w:hint="eastAsia" w:ascii="宋体" w:hAnsi="宋体" w:eastAsia="宋体" w:cs="宋体"/>
                <w:b/>
                <w:color w:val="auto"/>
                <w:sz w:val="24"/>
                <w:szCs w:val="24"/>
                <w:highlight w:val="none"/>
              </w:rPr>
              <w:t>名称</w:t>
            </w:r>
          </w:p>
        </w:tc>
        <w:tc>
          <w:tcPr>
            <w:tcW w:w="2801" w:type="dxa"/>
            <w:tcBorders>
              <w:right w:val="single" w:color="auto" w:sz="4" w:space="0"/>
            </w:tcBorders>
            <w:noWrap w:val="0"/>
            <w:vAlign w:val="center"/>
          </w:tcPr>
          <w:p>
            <w:pPr>
              <w:adjustRightInd w:val="0"/>
              <w:snapToGrid w:val="0"/>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品牌</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eastAsia="zh-CN"/>
              </w:rPr>
              <w:t>型号规格</w:t>
            </w:r>
          </w:p>
        </w:tc>
        <w:tc>
          <w:tcPr>
            <w:tcW w:w="1554" w:type="dxa"/>
            <w:tcBorders>
              <w:right w:val="single" w:color="auto" w:sz="4" w:space="0"/>
            </w:tcBorders>
            <w:noWrap w:val="0"/>
            <w:vAlign w:val="center"/>
          </w:tcPr>
          <w:p>
            <w:pPr>
              <w:adjustRightInd w:val="0"/>
              <w:snapToGrid w:val="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单价</w:t>
            </w:r>
          </w:p>
        </w:tc>
        <w:tc>
          <w:tcPr>
            <w:tcW w:w="1702" w:type="dxa"/>
            <w:tcBorders>
              <w:right w:val="single" w:color="auto" w:sz="4" w:space="0"/>
            </w:tcBorders>
            <w:noWrap w:val="0"/>
            <w:vAlign w:val="center"/>
          </w:tcPr>
          <w:p>
            <w:pPr>
              <w:adjustRightInd w:val="0"/>
              <w:snapToGrid w:val="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1" w:hRule="atLeast"/>
          <w:jc w:val="center"/>
        </w:trPr>
        <w:tc>
          <w:tcPr>
            <w:tcW w:w="1272" w:type="dxa"/>
            <w:noWrap w:val="0"/>
            <w:vAlign w:val="top"/>
          </w:tcPr>
          <w:p>
            <w:pPr>
              <w:spacing w:before="158" w:beforeLines="50" w:line="360" w:lineRule="auto"/>
              <w:jc w:val="center"/>
              <w:rPr>
                <w:rFonts w:hint="eastAsia" w:ascii="宋体" w:hAnsi="宋体" w:eastAsia="宋体" w:cs="宋体"/>
                <w:color w:val="auto"/>
                <w:sz w:val="24"/>
                <w:szCs w:val="24"/>
                <w:highlight w:val="none"/>
              </w:rPr>
            </w:pPr>
          </w:p>
        </w:tc>
        <w:tc>
          <w:tcPr>
            <w:tcW w:w="1809" w:type="dxa"/>
            <w:noWrap w:val="0"/>
            <w:vAlign w:val="top"/>
          </w:tcPr>
          <w:p>
            <w:pPr>
              <w:spacing w:before="158" w:beforeLines="50" w:line="360" w:lineRule="auto"/>
              <w:jc w:val="center"/>
              <w:rPr>
                <w:rFonts w:hint="eastAsia" w:ascii="宋体" w:hAnsi="宋体" w:eastAsia="宋体" w:cs="宋体"/>
                <w:color w:val="auto"/>
                <w:sz w:val="24"/>
                <w:szCs w:val="24"/>
                <w:highlight w:val="none"/>
              </w:rPr>
            </w:pPr>
          </w:p>
        </w:tc>
        <w:tc>
          <w:tcPr>
            <w:tcW w:w="2801" w:type="dxa"/>
            <w:tcBorders>
              <w:right w:val="single" w:color="auto" w:sz="4" w:space="0"/>
            </w:tcBorders>
            <w:noWrap w:val="0"/>
            <w:vAlign w:val="top"/>
          </w:tcPr>
          <w:p>
            <w:pPr>
              <w:spacing w:before="158" w:beforeLines="50" w:line="360" w:lineRule="auto"/>
              <w:jc w:val="center"/>
              <w:rPr>
                <w:rFonts w:hint="eastAsia" w:ascii="宋体" w:hAnsi="宋体" w:eastAsia="宋体" w:cs="宋体"/>
                <w:color w:val="auto"/>
                <w:sz w:val="24"/>
                <w:szCs w:val="24"/>
                <w:highlight w:val="none"/>
              </w:rPr>
            </w:pPr>
          </w:p>
        </w:tc>
        <w:tc>
          <w:tcPr>
            <w:tcW w:w="1554" w:type="dxa"/>
            <w:tcBorders>
              <w:right w:val="single" w:color="auto" w:sz="4" w:space="0"/>
            </w:tcBorders>
            <w:noWrap w:val="0"/>
            <w:vAlign w:val="top"/>
          </w:tcPr>
          <w:p>
            <w:pPr>
              <w:spacing w:before="158" w:beforeLines="50" w:line="360" w:lineRule="auto"/>
              <w:jc w:val="center"/>
              <w:rPr>
                <w:rFonts w:hint="eastAsia" w:ascii="宋体" w:hAnsi="宋体" w:eastAsia="宋体" w:cs="宋体"/>
                <w:color w:val="auto"/>
                <w:sz w:val="24"/>
                <w:szCs w:val="24"/>
                <w:highlight w:val="none"/>
              </w:rPr>
            </w:pPr>
          </w:p>
        </w:tc>
        <w:tc>
          <w:tcPr>
            <w:tcW w:w="1702" w:type="dxa"/>
            <w:tcBorders>
              <w:right w:val="single" w:color="auto" w:sz="4" w:space="0"/>
            </w:tcBorders>
            <w:noWrap w:val="0"/>
            <w:vAlign w:val="top"/>
          </w:tcPr>
          <w:p>
            <w:pPr>
              <w:spacing w:before="158" w:beforeLines="50"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2" w:hRule="atLeast"/>
          <w:jc w:val="center"/>
        </w:trPr>
        <w:tc>
          <w:tcPr>
            <w:tcW w:w="1272" w:type="dxa"/>
            <w:noWrap w:val="0"/>
            <w:vAlign w:val="top"/>
          </w:tcPr>
          <w:p>
            <w:pPr>
              <w:spacing w:before="158" w:beforeLines="50" w:line="360" w:lineRule="auto"/>
              <w:jc w:val="center"/>
              <w:rPr>
                <w:rFonts w:hint="eastAsia" w:ascii="宋体" w:hAnsi="宋体" w:eastAsia="宋体" w:cs="宋体"/>
                <w:color w:val="auto"/>
                <w:sz w:val="24"/>
                <w:szCs w:val="24"/>
                <w:highlight w:val="none"/>
              </w:rPr>
            </w:pPr>
          </w:p>
        </w:tc>
        <w:tc>
          <w:tcPr>
            <w:tcW w:w="1809" w:type="dxa"/>
            <w:noWrap w:val="0"/>
            <w:vAlign w:val="top"/>
          </w:tcPr>
          <w:p>
            <w:pPr>
              <w:spacing w:before="158" w:beforeLines="50" w:line="360" w:lineRule="auto"/>
              <w:jc w:val="center"/>
              <w:rPr>
                <w:rFonts w:hint="eastAsia" w:ascii="宋体" w:hAnsi="宋体" w:eastAsia="宋体" w:cs="宋体"/>
                <w:color w:val="auto"/>
                <w:sz w:val="24"/>
                <w:szCs w:val="24"/>
                <w:highlight w:val="none"/>
              </w:rPr>
            </w:pPr>
          </w:p>
        </w:tc>
        <w:tc>
          <w:tcPr>
            <w:tcW w:w="2801" w:type="dxa"/>
            <w:tcBorders>
              <w:right w:val="single" w:color="auto" w:sz="4" w:space="0"/>
            </w:tcBorders>
            <w:noWrap w:val="0"/>
            <w:vAlign w:val="top"/>
          </w:tcPr>
          <w:p>
            <w:pPr>
              <w:spacing w:before="158" w:beforeLines="50" w:line="360" w:lineRule="auto"/>
              <w:jc w:val="center"/>
              <w:rPr>
                <w:rFonts w:hint="eastAsia" w:ascii="宋体" w:hAnsi="宋体" w:eastAsia="宋体" w:cs="宋体"/>
                <w:color w:val="auto"/>
                <w:sz w:val="24"/>
                <w:szCs w:val="24"/>
                <w:highlight w:val="none"/>
              </w:rPr>
            </w:pPr>
          </w:p>
        </w:tc>
        <w:tc>
          <w:tcPr>
            <w:tcW w:w="1554" w:type="dxa"/>
            <w:tcBorders>
              <w:right w:val="single" w:color="auto" w:sz="4" w:space="0"/>
            </w:tcBorders>
            <w:noWrap w:val="0"/>
            <w:vAlign w:val="top"/>
          </w:tcPr>
          <w:p>
            <w:pPr>
              <w:spacing w:before="158" w:beforeLines="50" w:line="360" w:lineRule="auto"/>
              <w:jc w:val="center"/>
              <w:rPr>
                <w:rFonts w:hint="eastAsia" w:ascii="宋体" w:hAnsi="宋体" w:eastAsia="宋体" w:cs="宋体"/>
                <w:color w:val="auto"/>
                <w:sz w:val="24"/>
                <w:szCs w:val="24"/>
                <w:highlight w:val="none"/>
              </w:rPr>
            </w:pPr>
          </w:p>
        </w:tc>
        <w:tc>
          <w:tcPr>
            <w:tcW w:w="1702" w:type="dxa"/>
            <w:tcBorders>
              <w:right w:val="single" w:color="auto" w:sz="4" w:space="0"/>
            </w:tcBorders>
            <w:noWrap w:val="0"/>
            <w:vAlign w:val="top"/>
          </w:tcPr>
          <w:p>
            <w:pPr>
              <w:spacing w:before="158" w:beforeLines="50" w:line="360" w:lineRule="auto"/>
              <w:jc w:val="center"/>
              <w:rPr>
                <w:rFonts w:hint="eastAsia" w:ascii="宋体" w:hAnsi="宋体" w:eastAsia="宋体" w:cs="宋体"/>
                <w:color w:val="auto"/>
                <w:sz w:val="24"/>
                <w:szCs w:val="24"/>
                <w:highlight w:val="none"/>
              </w:rPr>
            </w:pPr>
          </w:p>
        </w:tc>
      </w:tr>
    </w:tbl>
    <w:p>
      <w:pPr>
        <w:tabs>
          <w:tab w:val="left" w:pos="840"/>
        </w:tabs>
        <w:spacing w:line="52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八、配送、售后及培训</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中标人负责办理将货物或服务运抵采购单位指定交货地点的一切事项，并完成安装调试及技术指导等相关工作。除非另有说明，凡包装、配送、安装调试、技术培训、售后服务、设备系统技术升级、验收等，所有费用一次性计入投标总价。中标人必须提供免费现场技术指导、基本操作原理等有关内容的培训。</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质保期内，中标人应免费提供设备系统升级服务，并提供免费培训等。</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中标人须提供货物运至合同规定的最终目的地所需要的绿色包装和绿色运输，包装运输满足《关于印发〈商品包装政府采购需求标准（试行）〉〈快递包装政府采购需求标准（试行）〉》（财办库〔2020〕123号）要求；包装运输应采取防潮、防晒、防锈、防腐蚀、防震动及防止其它损坏的必要保护措施，从而保护货物能够经受多次搬运、装卸及长途运输。中标人应承担由于其包装或防护措施不妥而引起的货物锈蚀、损坏和丢失等任何损失造成的责任或费用</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中标人须免费提供具体可行的技术培训服务。</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1）培训地点：采购人指定地点；</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2）培训对象：采购人指定的技术人员及管理人员；</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3）培训人数及时间：由采购人根据项目进度决定；</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4）培训内容：软件系统的操作原理、操作维护方法、排除故障等各个方面；</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5）培训目的：熟练操作软件及系统、能够排除一般故障。</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5、售后响应时间：接到采购人售后要求后，2小时内响应，4小时内给出解决方案，8小时内安排专人到达现场，12小时内解决问题。</w:t>
      </w:r>
    </w:p>
    <w:p>
      <w:pPr>
        <w:tabs>
          <w:tab w:val="left" w:pos="840"/>
        </w:tabs>
        <w:spacing w:line="52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九、项目验收</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项目由采购人或其邀请的专家或第三方机构进行验收，验收时中标人应无条件予以配合并提供验收所需的全部资料，若中标人不配合或者未按时交货的，采购人将拒绝验收；</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中标人在采购人指定的项目现场提交验收文件，采购人验收合格后，出具验收单。</w:t>
      </w:r>
    </w:p>
    <w:p>
      <w:pPr>
        <w:tabs>
          <w:tab w:val="left" w:pos="840"/>
        </w:tabs>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验收依据：招标文件、投标文件、合同文本、国内相应的标准、规范。</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十、保密</w:t>
      </w:r>
    </w:p>
    <w:p>
      <w:pPr>
        <w:tabs>
          <w:tab w:val="left" w:pos="1080"/>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对工作中了解到的采购人的技术、机密等进行严格保密，不得向他人泄漏。本合同的解除或终止不免除</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应承担的保密义务。</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eastAsia="zh-CN"/>
        </w:rPr>
        <w:t>一、</w:t>
      </w:r>
      <w:r>
        <w:rPr>
          <w:rFonts w:hint="eastAsia" w:ascii="宋体" w:hAnsi="宋体" w:eastAsia="宋体" w:cs="宋体"/>
          <w:b/>
          <w:color w:val="auto"/>
          <w:sz w:val="24"/>
          <w:szCs w:val="24"/>
          <w:highlight w:val="none"/>
        </w:rPr>
        <w:t>知识产权</w:t>
      </w:r>
    </w:p>
    <w:p>
      <w:pPr>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eastAsia="zh-CN"/>
        </w:rPr>
        <w:t>供应商</w:t>
      </w:r>
      <w:r>
        <w:rPr>
          <w:rFonts w:hint="eastAsia" w:ascii="宋体" w:hAnsi="宋体" w:eastAsia="宋体" w:cs="宋体"/>
          <w:color w:val="000000"/>
          <w:sz w:val="24"/>
          <w:szCs w:val="24"/>
        </w:rPr>
        <w:t>应保证投标服务及货物不会出现因第三方提出侵犯其专利权、商标权或其它知识产权而引发法律或经济纠纷，否则由</w:t>
      </w:r>
      <w:r>
        <w:rPr>
          <w:rFonts w:hint="eastAsia" w:ascii="宋体" w:hAnsi="宋体" w:cs="宋体"/>
          <w:color w:val="000000"/>
          <w:sz w:val="24"/>
          <w:szCs w:val="24"/>
          <w:lang w:eastAsia="zh-CN"/>
        </w:rPr>
        <w:t>供应商</w:t>
      </w:r>
      <w:r>
        <w:rPr>
          <w:rFonts w:hint="eastAsia" w:ascii="宋体" w:hAnsi="宋体" w:eastAsia="宋体" w:cs="宋体"/>
          <w:color w:val="000000"/>
          <w:sz w:val="24"/>
          <w:szCs w:val="24"/>
        </w:rPr>
        <w:t>承担全部责任。任何被</w:t>
      </w:r>
      <w:r>
        <w:rPr>
          <w:rFonts w:hint="eastAsia" w:ascii="宋体" w:hAnsi="宋体" w:cs="宋体"/>
          <w:color w:val="000000"/>
          <w:sz w:val="24"/>
          <w:szCs w:val="24"/>
          <w:lang w:eastAsia="zh-CN"/>
        </w:rPr>
        <w:t>供应商</w:t>
      </w:r>
      <w:r>
        <w:rPr>
          <w:rFonts w:hint="eastAsia" w:ascii="宋体" w:hAnsi="宋体" w:eastAsia="宋体" w:cs="宋体"/>
          <w:color w:val="000000"/>
          <w:sz w:val="24"/>
          <w:szCs w:val="24"/>
        </w:rPr>
        <w:t>用于未经授权的商业目的行为所造成的违约或侵权责任由</w:t>
      </w:r>
      <w:r>
        <w:rPr>
          <w:rFonts w:hint="eastAsia" w:ascii="宋体" w:hAnsi="宋体" w:cs="宋体"/>
          <w:color w:val="000000"/>
          <w:sz w:val="24"/>
          <w:szCs w:val="24"/>
          <w:lang w:eastAsia="zh-CN"/>
        </w:rPr>
        <w:t>供应商</w:t>
      </w:r>
      <w:r>
        <w:rPr>
          <w:rFonts w:hint="eastAsia" w:ascii="宋体" w:hAnsi="宋体" w:eastAsia="宋体" w:cs="宋体"/>
          <w:color w:val="000000"/>
          <w:sz w:val="24"/>
          <w:szCs w:val="24"/>
        </w:rPr>
        <w:t>承但。</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、合同争议的解决</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000000"/>
          <w:sz w:val="24"/>
          <w:szCs w:val="24"/>
          <w:lang w:val="en-US" w:eastAsia="zh-CN"/>
        </w:rPr>
        <w:t>合同执行中发生争议的，当事人双方应协商解决。协商达不成一致时，可向当地行政仲裁机关申请仲裁或者向人民法院提请诉讼。</w:t>
      </w:r>
    </w:p>
    <w:p>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十四、不可抗力情况下的免责约定</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双方约定不可抗力情况指：双方不可预见、不可避免、不可克服的客观情况，但不包括双方的违约或疏忽。这些事件包括但不限于：战争、严重火灾、洪水、台风、地震等。</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十五、违约责任</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按《中华人民共和国民法典》中的相关条款执行。</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中标人未按合同要求提供货物与服务或货物与服务质量不能满足合同要求，且在规定时间内未使采购人满意的，采购人有权在对其支付的货物款项中进行违约扣除，必要时可以终止采购合同并上报同级监管部门。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十六、其他（</w:t>
      </w:r>
      <w:r>
        <w:rPr>
          <w:rFonts w:hint="eastAsia" w:ascii="宋体" w:hAnsi="宋体" w:eastAsia="宋体" w:cs="宋体"/>
          <w:color w:val="auto"/>
          <w:sz w:val="24"/>
          <w:szCs w:val="24"/>
          <w:highlight w:val="none"/>
        </w:rPr>
        <w:t>在合同中具体明确）</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十七、合同订立</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订立地点：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tabs>
          <w:tab w:val="left" w:pos="980"/>
        </w:tabs>
        <w:kinsoku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份，具有同等法律效力，双方各执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份，监管部门备案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份、采购代理机构存档</w:t>
      </w:r>
      <w:r>
        <w:rPr>
          <w:rFonts w:hint="eastAsia" w:ascii="宋体" w:hAnsi="宋体" w:eastAsia="宋体" w:cs="宋体"/>
          <w:color w:val="auto"/>
          <w:sz w:val="24"/>
          <w:szCs w:val="24"/>
          <w:highlight w:val="none"/>
          <w:u w:val="single"/>
        </w:rPr>
        <w:t xml:space="preserve"> 壹 </w:t>
      </w:r>
      <w:r>
        <w:rPr>
          <w:rFonts w:hint="eastAsia" w:ascii="宋体" w:hAnsi="宋体" w:eastAsia="宋体" w:cs="宋体"/>
          <w:color w:val="auto"/>
          <w:sz w:val="24"/>
          <w:szCs w:val="24"/>
          <w:highlight w:val="none"/>
        </w:rPr>
        <w:t>份。各方签字盖章后生效，合同执行完毕自动失效。（合同的服务承诺则长期有效）。</w:t>
      </w:r>
    </w:p>
    <w:p>
      <w:pPr>
        <w:adjustRightInd w:val="0"/>
        <w:snapToGrid w:val="0"/>
        <w:spacing w:line="580" w:lineRule="exact"/>
        <w:ind w:firstLine="475" w:firstLineChars="198"/>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u w:val="single"/>
        </w:rPr>
        <w:t xml:space="preserve">   （盖章）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（盖章）         </w:t>
      </w:r>
    </w:p>
    <w:p>
      <w:pPr>
        <w:adjustRightInd w:val="0"/>
        <w:snapToGrid w:val="0"/>
        <w:spacing w:line="360" w:lineRule="auto"/>
        <w:ind w:firstLine="475" w:firstLineChars="19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地 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法定代表人或其授权                   法定代表人或其授权 </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的代理人：</w:t>
      </w:r>
      <w:r>
        <w:rPr>
          <w:rFonts w:hint="eastAsia" w:ascii="宋体" w:hAnsi="宋体" w:eastAsia="宋体" w:cs="宋体"/>
          <w:color w:val="auto"/>
          <w:sz w:val="24"/>
          <w:szCs w:val="24"/>
          <w:highlight w:val="none"/>
          <w:u w:val="single"/>
        </w:rPr>
        <w:t xml:space="preserve">（签字）      </w:t>
      </w:r>
      <w:r>
        <w:rPr>
          <w:rFonts w:hint="eastAsia" w:ascii="宋体" w:hAnsi="宋体" w:eastAsia="宋体" w:cs="宋体"/>
          <w:color w:val="auto"/>
          <w:sz w:val="24"/>
          <w:szCs w:val="24"/>
          <w:highlight w:val="none"/>
        </w:rPr>
        <w:t xml:space="preserve">             的代理人：</w:t>
      </w:r>
      <w:r>
        <w:rPr>
          <w:rFonts w:hint="eastAsia" w:ascii="宋体" w:hAnsi="宋体" w:eastAsia="宋体" w:cs="宋体"/>
          <w:color w:val="auto"/>
          <w:sz w:val="24"/>
          <w:szCs w:val="24"/>
          <w:highlight w:val="none"/>
          <w:u w:val="single"/>
        </w:rPr>
        <w:t xml:space="preserve">（签字）           </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475" w:firstLineChars="19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475" w:firstLineChars="198"/>
        <w:rPr>
          <w:rFonts w:hint="eastAsia" w:ascii="宋体" w:hAnsi="宋体" w:eastAsia="宋体" w:cs="宋体"/>
        </w:rPr>
      </w:pPr>
      <w:r>
        <w:rPr>
          <w:rFonts w:hint="eastAsia" w:ascii="宋体" w:hAnsi="宋体" w:eastAsia="宋体" w:cs="宋体"/>
          <w:color w:val="auto"/>
          <w:sz w:val="24"/>
          <w:szCs w:val="24"/>
          <w:highlight w:val="none"/>
        </w:rPr>
        <w:t>电子邮箱：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电子邮箱：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Cs w:val="22"/>
          <w:highlight w:val="none"/>
        </w:rPr>
        <w:t xml:space="preserve"> </w:t>
      </w:r>
    </w:p>
    <w:p>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TI0NTZmYzgxZjQ0YjRiZjU0MWQyMmJmNWE1MmYifQ=="/>
  </w:docVars>
  <w:rsids>
    <w:rsidRoot w:val="00000000"/>
    <w:rsid w:val="1A353D6C"/>
    <w:rsid w:val="2B7F4B1C"/>
    <w:rsid w:val="371942E7"/>
    <w:rsid w:val="474C426E"/>
    <w:rsid w:val="548409B6"/>
    <w:rsid w:val="66170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keepNext/>
      <w:keepLines/>
      <w:spacing w:line="413" w:lineRule="auto"/>
      <w:jc w:val="center"/>
      <w:outlineLvl w:val="1"/>
    </w:pPr>
    <w:rPr>
      <w:rFonts w:ascii="Arial" w:hAnsi="Arial" w:eastAsia="宋体" w:cs="Times New Roman"/>
      <w:b/>
      <w:sz w:val="28"/>
    </w:rPr>
  </w:style>
  <w:style w:type="paragraph" w:styleId="4">
    <w:name w:val="heading 3"/>
    <w:basedOn w:val="1"/>
    <w:next w:val="1"/>
    <w:semiHidden/>
    <w:unhideWhenUsed/>
    <w:qFormat/>
    <w:uiPriority w:val="0"/>
    <w:pPr>
      <w:keepNext/>
      <w:keepLines/>
      <w:spacing w:before="260" w:beforeLines="0" w:beforeAutospacing="0" w:after="260" w:afterLines="0" w:afterAutospacing="0" w:line="400" w:lineRule="exact"/>
      <w:jc w:val="center"/>
      <w:outlineLvl w:val="2"/>
    </w:pPr>
    <w:rPr>
      <w:rFonts w:ascii="宋体" w:hAnsi="宋体" w:eastAsia="宋体" w:cs="Times New Roman"/>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customStyle="1" w:styleId="7">
    <w:name w:val="样式 首行缩进:  2 字符"/>
    <w:basedOn w:val="1"/>
    <w:qFormat/>
    <w:uiPriority w:val="0"/>
    <w:pPr>
      <w:spacing w:line="400" w:lineRule="exact"/>
      <w:ind w:firstLine="200" w:firstLineChars="200"/>
    </w:pPr>
    <w:rPr>
      <w:rFonts w:cs="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CM</cp:lastModifiedBy>
  <dcterms:modified xsi:type="dcterms:W3CDTF">2023-10-18T03:20:34Z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168F74ACF7F343D9B4ED4A70FD3BCE58</vt:lpwstr>
  </property>
</Properties>
</file>