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napToGrid w:val="0"/>
        <w:jc w:val="left"/>
        <w:rPr>
          <w:rFonts w:hint="eastAsia" w:ascii="仿宋_GB2312" w:eastAsia="仿宋_GB2312"/>
          <w:b/>
          <w:color w:val="000000"/>
          <w:sz w:val="24"/>
          <w:szCs w:val="24"/>
        </w:rPr>
      </w:pPr>
      <w:r>
        <w:rPr>
          <w:rFonts w:hint="eastAsia" w:ascii="仿宋_GB2312" w:eastAsia="仿宋_GB2312"/>
          <w:b/>
          <w:color w:val="000000"/>
          <w:sz w:val="24"/>
          <w:szCs w:val="24"/>
        </w:rPr>
        <w:t>招标内容一览表：</w:t>
      </w:r>
    </w:p>
    <w:tbl>
      <w:tblPr>
        <w:tblStyle w:val="2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424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9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品目号</w:t>
            </w:r>
          </w:p>
        </w:tc>
        <w:tc>
          <w:tcPr>
            <w:tcW w:w="542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招标内容</w:t>
            </w:r>
          </w:p>
        </w:tc>
        <w:tc>
          <w:tcPr>
            <w:tcW w:w="244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交付期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PACS系统与网间数据保护建设项目</w:t>
            </w:r>
          </w:p>
          <w:p>
            <w:pPr>
              <w:shd w:val="clear"/>
              <w:spacing w:before="240" w:after="240" w:line="300" w:lineRule="exact"/>
              <w:ind w:left="63" w:right="63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（新冠肺炎定点救治医院信息化改造提升项目）</w:t>
            </w:r>
          </w:p>
        </w:tc>
        <w:tc>
          <w:tcPr>
            <w:tcW w:w="244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hd w:val="clear"/>
              <w:spacing w:before="240" w:after="240"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合同签订后5个月内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OTM4NTFjNjdlZTUzNGQ3YmM1OGIwNTNkZjhiNTgifQ=="/>
  </w:docVars>
  <w:rsids>
    <w:rsidRoot w:val="5B0F0F2E"/>
    <w:rsid w:val="5B0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2023-11-13T06:54:00Z</dcterms:created>
  <dc:creator>Administrator</dc:creator>
  <cp:lastModifiedBy>Administrator</cp:lastModifiedBy>
  <dcterms:modified xsi:type="dcterms:W3CDTF">2023-11-13T06:54:39Z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02E70EFDD13C44B79ED3F5473054A251_11</vt:lpwstr>
  </property>
</Properties>
</file>