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outlineLvl w:val="9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none"/>
        </w:rPr>
      </w:pPr>
      <w:bookmarkStart w:id="0" w:name="bookmark51"/>
      <w:bookmarkStart w:id="1" w:name="bookmark50"/>
      <w:bookmarkStart w:id="2" w:name="bookmark49"/>
      <w:bookmarkStart w:id="3" w:name="bookmark48"/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none"/>
        </w:rPr>
        <w:t>一、项目概况</w:t>
      </w:r>
    </w:p>
    <w:bookmarkEnd w:id="0"/>
    <w:bookmarkEnd w:id="1"/>
    <w:bookmarkEnd w:id="2"/>
    <w:bookmarkEnd w:id="3"/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交警莲湖大队办公楼始建于1992年，于2011年移交莲湖大队使用，由于使用年限较长，信息化应用及“五小工程”方面存在较多设计不合理、功能划分不科学、设备设施老旧等问题，已无法满足日常工作及民、辅警生活需求。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（一）信息化方面：一是原有指挥中心及机房设备陈旧、老化严重，已影响到正常办公。二是大队指挥调度受信息化设备制约无法准确分析路况态势。三是线路铺设凌乱，无法满足故障排查和工位合理布局，且存在较大安全隐患。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（二）“五小工程”方面：一是“五小工程”存在功能不全，需全面提升。二是各功能区布局不合理，无法满足当前民、辅警工作、备勤需要。三是设备陈旧，存在安全隐患。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leftChars="0" w:firstLine="0" w:firstLineChars="0"/>
        <w:rPr>
          <w:rFonts w:hint="default" w:ascii="宋体" w:hAnsi="宋体" w:cs="宋体"/>
          <w:b/>
          <w:bCs/>
          <w:color w:val="000000"/>
          <w:kern w:val="2"/>
          <w:sz w:val="24"/>
          <w:szCs w:val="24"/>
          <w:highlight w:val="none"/>
          <w:lang w:val="en-US" w:eastAsia="zh-CN" w:bidi="zh-CN"/>
        </w:rPr>
      </w:pPr>
      <w:r>
        <w:rPr>
          <w:rFonts w:hint="default" w:ascii="宋体" w:hAnsi="宋体" w:cs="宋体"/>
          <w:b/>
          <w:bCs/>
          <w:color w:val="000000"/>
          <w:kern w:val="2"/>
          <w:sz w:val="24"/>
          <w:szCs w:val="24"/>
          <w:highlight w:val="none"/>
          <w:lang w:val="en-US" w:eastAsia="zh-CN" w:bidi="zh-CN"/>
        </w:rPr>
        <w:t>二、采购内容（包括采购品目、规格和数量）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“五小工程”改造提升：含“五小工程”改造提升所需设备采购的一个标段。包括为大庆路营区健身房、洗衣房、淋浴室、阅览室、理发室配备设备、改造食堂、增设民、辅警心理辅导室、警童托管活动室等，具体细则如下：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1.电器设备类：包括厨房、洗衣房、理发室等功能区使用的电器设备。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2.健身器材类：健身房器材设备。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3.家具类：包括淋浴室、阅览室、理发室等功能区家具。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4.书吧图书。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0" w:firstLineChars="200"/>
        <w:rPr>
          <w:rFonts w:hint="default" w:ascii="宋体" w:hAnsi="宋体" w:cs="宋体"/>
          <w:color w:val="000000"/>
          <w:kern w:val="2"/>
          <w:sz w:val="24"/>
          <w:szCs w:val="24"/>
          <w:highlight w:val="none"/>
          <w:lang w:val="en-US" w:eastAsia="zh-CN" w:bidi="zh-CN"/>
        </w:rPr>
        <w:sectPr>
          <w:footerReference r:id="rId3" w:type="default"/>
          <w:pgSz w:w="11900" w:h="16840"/>
          <w:pgMar w:top="1556" w:right="1230" w:bottom="896" w:left="1229" w:header="1128" w:footer="468" w:gutter="0"/>
          <w:pgNumType w:fmt="decimal"/>
          <w:cols w:space="720" w:num="1"/>
          <w:docGrid w:linePitch="360" w:charSpace="0"/>
        </w:sectPr>
      </w:pP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leftChars="0" w:firstLine="482" w:firstLineChars="200"/>
        <w:rPr>
          <w:rFonts w:hint="default" w:ascii="宋体" w:hAnsi="宋体" w:cs="宋体"/>
          <w:b/>
          <w:bCs/>
          <w:color w:val="000000"/>
          <w:kern w:val="2"/>
          <w:sz w:val="24"/>
          <w:szCs w:val="24"/>
          <w:highlight w:val="none"/>
          <w:lang w:val="en-US" w:eastAsia="zh-CN" w:bidi="zh-CN"/>
        </w:rPr>
      </w:pPr>
      <w:r>
        <w:rPr>
          <w:rFonts w:hint="default" w:ascii="宋体" w:hAnsi="宋体" w:cs="宋体"/>
          <w:b/>
          <w:bCs/>
          <w:color w:val="000000"/>
          <w:kern w:val="2"/>
          <w:sz w:val="24"/>
          <w:szCs w:val="24"/>
          <w:highlight w:val="none"/>
          <w:lang w:val="en-US" w:eastAsia="zh-CN" w:bidi="zh-CN"/>
        </w:rPr>
        <w:t>三、技术要求（包括对产品的认证、检验报告等）</w:t>
      </w:r>
    </w:p>
    <w:tbl>
      <w:tblPr>
        <w:tblStyle w:val="5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2654"/>
        <w:gridCol w:w="3612"/>
        <w:gridCol w:w="5334"/>
        <w:gridCol w:w="833"/>
        <w:gridCol w:w="7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3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1、电器设备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燃气双门蒸饭车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24盘燃气。全钢全发泡，火排式燃烧系统。电子打火。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蒸饭车支架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配套蒸饭车，不锈钢底座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燃气单眼大锅灶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尺寸≤1100*1100*800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201#优质不锈钢制作。面板￡=1.5mm，围板￡=1.2mm；前沿带溢水排污槽，配挡渣板；炉包选用不锈钢整体冲压成型，炉体骨架采用40x40x4mm角钢加固；所有角钢架涂有防锈漆；配节能环保燃烧器，配一次成型整体炉砖；配冷热水管；配Ø50x1.2mm无缝钢管及可调式子弹脚；燃烧器采用节能环保电子点火免维护燃烧器。风机采用防水低噪音550W风机*2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。供应商负责安装并在燃气公司备案。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燃气单炒单温灶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尺寸≤1100*1100*800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201#优质不锈钢制作。面板￡=1.5mm，围板￡=1.2mm；前沿带溢水排污槽，配挡渣板；炉包选用不锈钢整体冲压成型，炉体骨架采用40x40x4mm角钢加固；所有角钢架涂有防锈漆；配节能环保燃烧器，配一次成型整体炉砖；配冷热水管；配Ø50x1.2mm无缝钢管及可调式子弹脚；燃烧器采用节能环保电子点火免维护燃烧器。风机采用防水低噪音550W风机*2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。供应商负责安装并在燃气公司备案。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熄火保护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配套炉灶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灶间拼台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尺寸≤300*1100*800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材料：采用201#优质不锈钢制作。面板￡=1.2mm。台脚采用φ38不锈钢圆管(国标）及配可调节子弹脚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电饼铛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5KW全不锈钢柜式电饼铛，数字显示系统。下带柜体。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双通工作台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1800*800*800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采用201#优质不锈钢制作。面板￡=1.5mm,层板￡=1.2mm。柜内层板，分为上下层。加强筋用￡=1.2mm不锈钢板，台脚采用φ38不锈钢圆管(国标）及配可调节不锈钢子弹脚。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双层工作台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尺寸≤1800*800*800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材料：采用201#优质不锈钢制作。面板￡=1.2mm，下层板￡=1.2mm台脚采用φ38不锈钢圆管(国标）及配可调节子弹脚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平冷工作台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尺寸≤1800*800*800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优质不锈钢特殊板材造型美观，智能微电脑控制系统，操作便捷，自动回旋们，内胆一次性拉伸成型，清洗无死角，品牌压缩机，全钢全铜管，调节脚内置脚轮，整体发泡。温度控制范围：0~~15摄氏度，215W、220V,容积220L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台面二层架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尺寸≤1800*300*600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材料：采用201#优质不锈钢制作。面板￡=1.5mm,加强筋用￡=1.2mm不锈钢板，台脚采用φ38不锈钢圆管(国标）及配可调节不锈钢子弹脚。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四门双温冰柜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尺寸≤1200*700*1900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优质不锈钢特殊板材造型美观，智能微电脑控制，操作便捷，自动回旋们，内胆一次性拉伸成型，清洗无死角，品牌压缩机，全钢全铜管，调节脚内置脚轮，整体发泡。温度控制范围：0~~15---0~~-18摄氏度，480W、220V,容积920L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压面机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80#功率1.5KW/380V,每小时可生产80KG，铜芯电机。支架为角钢喷白塑。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和面机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25kg全钢封闭，声音小。功率1.5KW/380V,每次可和面25KG，铜芯电机。不锈钢和面斗，支架为角钢喷白塑。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木案工作台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尺寸≤1800*800*800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材料：框架采用201#优质不锈钢制作。下层板￡=1.2mm。台脚采用φ38不锈钢圆管(国标）及配可调节子弹脚 ，优质松木木案面板，厚度为5cm.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储物柜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尺寸≤1200*500*1800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材料：采用201#优质不锈钢制作。面板￡=1.5mm,层板￡=1.2mm。加强筋用￡=1.0mm不锈钢板，台脚采用φ38不锈钢圆管(国标）及配可调节不锈钢子弹脚。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四层货架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尺寸≤1200*500*1550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材料：采用201#优质不锈钢制作。面板￡=1.5mm,层板￡=1.0mm。加强筋用￡=1.2mm不锈钢板，台脚采用φ38不锈钢圆管及配可调节不锈钢子弹脚。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四斗保温售饭车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尺寸≤1500*700*800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材料：采用201#优质不锈钢制作。面板￡=1.5mm,层板￡=1.0mm。加强筋用￡=1.2mm不锈钢板，台脚采用φ38不锈钢圆管及配可调节不锈钢子弹脚。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双层工作台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尺寸≤1500*700*800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材料：采用201#优质不锈钢制作。面板￡=1.2mm，下层板￡=1.2mm台脚采用φ38不锈钢圆管(国标）及配可调节子弹脚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双门热风循环消毒柜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尺寸≤1300*650*1900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箱体采用优质食品级不锈钢磨砂板生产；光波杀菌，温度0-150摄氏度；加强筋、加强撑，不锈钢可调脚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收污台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尺寸≤800*600*800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材料：采用201#优质不锈钢制作。面板￡=1.2mm，下层板￡=1.2mm台脚采用φ38不锈钢圆管(国标）及配可调节子弹脚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多格碗柜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尺寸≤1200*350*1800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材料：采用201#优质不锈钢制作。面板￡=1.5mm,层板￡=1.2mm。加强筋用￡=1.0mm不锈钢板，台脚采用φ38不锈钢圆管(国标）及配可调节不锈钢子弹脚。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主食低架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尺寸≤1200*500*400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材料：采用201#优质不锈钢制作。面板￡=1.5mm,层板￡=1.2mm。加强筋用￡=1.0mm不锈钢板，台脚采用φ38不锈钢圆管(国标）及配可调节不锈钢子弹脚。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四层货架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尺寸≤1200*500*1550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材料：采用201#优质不锈钢制作。面板￡=1.5mm,层板￡=1.0mm。加强筋用￡=1.2mm不锈钢板，台脚采用φ38不锈钢圆管及配可调节不锈钢子弹脚。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调料库房货架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尺寸≤1200*500*1550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材料：采用201#优质不锈钢制作。面板￡=1.5mm,层板￡=1.0mm。加强筋用￡=1.2mm不锈钢板，台脚采用φ38不锈钢圆管及配可调节不锈钢子弹脚。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调料库房储物柜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尺寸≤1200*500*1800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材料：采用201#优质不锈钢制作。面板￡=1.5mm,层板￡=1.2mm。加强筋用￡=1.0mm不锈钢板，台脚采用φ38不锈钢圆管(国标）及配可调节不锈钢子弹脚。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三星水池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尺寸≤1800*600*800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采用优质201#优质不锈钢板材制做。板材厚度为1.2mm，盆体为一次冲压成形，配备优质不锈钢过滤、防臭下水漏。支撑腿选用优质不锈钢无缝风管，厚度为1.0mm，直径为50mm，流水焊接，表面做抛光处理。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双星水池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尺寸≤1200*600*800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采用优质201#优质不锈钢板材制，板材厚度为1.2mm，盆体为一次冲压成形，配备优质不锈钢过滤、防臭下水漏。支撑腿选用优质不锈钢无缝风管，厚度为1.0mm，直径为50mm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单星宰杀台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尺寸≤1200*600*800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采用优质201#优质不锈钢板材制做。板材厚度为1.2mm，盆体为一次冲压成形，配备优质不锈钢过滤、防臭下水漏。支撑腿选用优质不锈钢无缝风管，厚度为1.0mm，直径为50mm。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水龙头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冷热，铜芯，金属螺母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安装配件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油烟净化一体烟罩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尺寸≤7000*1300*1000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1、静电式餐饮油烟净化器的电场使用片状式结构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2、电场模块化设计，可按风量大小拼装成型；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3、开门时电场自动断电；电源在保证净化器最好净化效果的同时，还需具有自动的过载、过压、断路、开路保护，进出风口可随意互换，方便现场安装需要；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排烟安装附件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国标镀锌1.0MM,连接口采用共板法兰链接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烟管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国标镀锌1.0MM,连接口采用共板法兰链接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百叶窗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防水放油面料，科自由调光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全自动咖啡机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豆仓容量≥750G，水箱容量2L；可拆卸萃取器；自动清洗牛奶器；自动深度清洗；触控式大屏；双水泵双加热系统；日出咖啡杯数≥50杯。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破壁机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容量2L；物理加热；双层杯盖；自动清洗；过热自动断电，台式自动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电烤箱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产品容量≥70L；温度28-250℃；内胆材质304不锈钢；不锈钢加热管；门体多角度悬停；分屏显示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微波炉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微波光波双模式；不锈钢内胆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商用制冰机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风冷；风机散热；24H出冰量120KG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直饮水一体机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落地式，冷热冰水同时提供。带净水系统5级RO反渗透过滤；每小时产水量：开水≥30L/H、冰水≥25L/H、净水≥63L/H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双门展示柜（饮料用）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风冷，酒水柜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卧式冰柜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尺寸≤1300*700*900；温度范围0--10摄氏度/≤-18℃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花洒套装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顶喷式。龙头主体：全铜；阀芯：陶瓷阀芯；顶喷增压：AIR空气注入；顶喷材质：不锈钢；支持龙头控温；升降管材：不锈钢；安装高度：900*1000mm，表面烤漆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20KG商用洗衣机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≤1200*1200*1700mm；滚筒型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最大容量20kG;带电加热功能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20KG商用烘干机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最大容量20kG;滚筒型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13KG波轮洗衣机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内筒材质：不锈钢；洗衣容量13KG；全自动式；顶开门；下排水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蒸汽熨斗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≥600千帕压力；智能温控；1.5L容量水箱；智能除垢；安全自动关熄。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商业挂烫机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7孔铜嘴出气孔；3.5L大容量；30S快速出气；双核加热器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80L电热水器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容量80L，一级能效；储水式电热水器；APP操控；双管加热；内胆材质金刚；防水等级IPX4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电视机49寸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屏幕尺寸49英寸；分辨率1080P，屏幕比例16:9；面板类型：IPS硬屏；背光灯类型：LED发光二极管；屏幕亮度：200cd/m2;支持usb多媒体播放；功耗90W；wifi波段2.4g/5g；运行内存8GB；CPU ：4核；存储内存：64GB；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电视机75寸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屏幕尺寸75英寸；分辨率超高清4K，屏幕比例16:9；支持HDR显示；支持2160P；wifi波段2.4g/5g；运行内存8GB；CPU ：4核；存储内存：64GB；面板类型：ULED屏；;支持usb多媒体播放。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吹风机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温度调节：热冷温、智能恒温；风速调节：3档可调；带负离子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专业平剪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5.5寸6寸综合剪各1；钢材VG10；硬度≥60；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专业齿剪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无痕牙剪；双轴承；材质：钢材VG10；6寸，打薄量30%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电动推子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雕刻剪；；USB充电；全钢刀头；两档转速可调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电动推子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主推剪；；USB充电；全钢刀头；两档转速可调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3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2、健身房设备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8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商用跑步机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1、速度范围：0.8-20km/h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2、扬升范围：-3%至15%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3、滚筒直径：￠100mm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4、跑带厚度：T2.2普通跑带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5、心率测试：手握心率测试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6、跑台尺寸：≥550mm*1500mm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7、最大人体承重： ≤180KG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其它配置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1、跑步机仪表配置≥15寸高清触摸屏， WIN8界面设计带wifi链接上网功能、浏览器可播放网络电视、电影、音乐、新闻节目等。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2、跑步机带运动大数据上传功能，当天运动数据总结页面、运动结束后跑步机会显示运动相关数据（跑步里程、时长、平均速度、消耗卡路里等），即时推送发微信运动提醒告知个人，并管理个人数据库。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3、跑步机可通过机身二维码登陆智能健身软件，输入个人身高、体重、出生年月，系统会自动生成目标体重、有氧目标、训练目标等信息全程指导个人进行正确锻炼。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4、跑步机扫码登陆可在线观看科学健身培训视频，定期更新系统培训视频，用户可免费共享所有视频培训内容。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5、支持安卓及苹果IOS系统用户可通过跑步机二维邀请码邀请好友自行组建训练群组，可显示群组内成员每天、每周、每月运动数据排名,带用户管理系统可注册登录用户进行运动数据的记录；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6、场景跑步、地图跑步、多国语言一键切换功能，内置高清触摸屏虚拟场景跑步模式，户外真实场景不少于2组，（跑台可根据场景变化产生坡度速度变化）。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7、跑步机防滑边条及后护盖采用铝合金材质，保证安全、坚固、耐用。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商用椭圆机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1、飞轮：双向磁控轮12kg（飞轮总成）；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2、阻力段：32段；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3、传动系统：二级传动；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4、踏步跨距：20英寸，51cm；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5、最大人体承重：≤160kg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商用健身车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1、铸轮：高级铸铁飞轮，表面电镀处理。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2、脚踏：JD-304V铝合金加防滑橡胶，佩戴脚套和可调松紧带。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3、车手：防滑浸塑车手，浸塑后直径约32mm，搭配手臂支撑片。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4、座椅坐垫：PU坐垫。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5、刹车系统：铝合金刹车块，搭配牛皮刹车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6、座位高度调节行程：6孔/9档，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7、座位水平调节：总行程 ≥150mm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8、使用者最大承载：150KG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9、整机尺寸：≥1200*500*1100mm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上位蝴蝶式胸肌训练器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1、锻炼部位：三角肌后束、斜方肌、肱二头肌、三角肌前束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2、主框架：材质：Q235A；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3、导杆：实心、镀铬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4、滑轮：尼龙+玻璃纤维；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5、防护罩：龙门架两侧防护；材质：铁皮+亚克力板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6、最大配重：100KG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7、最小配重：5KG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单双杠训练器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1、锻炼部位： 肱三头肌、胸大肌、背部肌肉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2、主框架：材质：Q235A；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3、导杆：实心、镀铬；规格：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4、滑轮：尼龙+玻璃纤维；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5、防护罩：龙门架两侧防护；材质：铁皮+亚克力板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6、最大配重：135KG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7、最小配重：5KG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高拉力背肌训练器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1、锻炼部位：背阔肌，斜方肌下束，肱二头肌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2、主框架：材质：Q235A；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3、导杆：实心、镀铬；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4、滑轮：尼龙+玻璃纤维；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5、防护罩：龙门架两侧防护；材质：铁皮+亚克力板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 最大配重：90KG  最小配重：5KG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45°顺蹬机（配套杠铃片）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1、锻炼部位：股四头肌 臀大肌 股二头肌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2、主框架：材质：Q235A；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3、主转轴：材质：45#圆钢；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4、导杆：材质：45#圆钢；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5、坐靠垫材质：再生棉；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6、把手护套：材质：PVC/塑胶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7、贴地盘：橡胶，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8、最大人体质量：150KG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9、最大训练载荷：300KG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10、阻力形式：杠铃片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11、含SH-G5KG、SH-G10KG、SH-15KG各两片;共计60KG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哈克深蹲（配套杠铃片）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1．锻炼部位：大腿/小腿肌肉群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2．主框架：材质：Q235A；规格：主架平椭120x50xT3.0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3．主转轴：材质：45#圆钢；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4、最大人体质量：150KG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5、最大训练载荷：300KG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6、阻力形式：杠铃片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7、含SH-G5KG、SH-G10KG、SH-15KG各两片;共计60KG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坐式胸肌推举训练器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1、锻炼部位：胸大肌、三角肌前束、三头肌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2、主框架：材质：Q235A；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3、导杆：实心、镀铬；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4、滑轮：尼龙+玻璃纤维；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5、防护罩：龙门架两侧防护；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6、最大配重：90KG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7、最小配重：5KG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坐式推肩训练器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1、锻炼部位：三角肌、肱三头肌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2、主框架：材质：Q235A；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3、导杆：实心、镀铬；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4、滑轮：尼龙+玻璃纤维；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5、防护罩：龙门架两侧防护；材质：铁皮+亚克力板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6、最大配重：90KG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7、最小配重：5KG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大腿伸展训练器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1、锻炼部位： 大腿股四头肌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2、主框架：材质：Q235A；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4、导杆：实心、镀铬；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5、滑轮：尼龙+玻璃纤维；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6、防护罩：龙门架两侧防护；材质：铁皮+亚克力板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7、最大配重：100KG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8、最小配重：5KG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大腿内外侧肌训练器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1、锻炼部位： 大腿内外侧肌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2、主框架：材质：Q235A；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3、导杆：实心、镀铬；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4、滑轮：尼龙+玻璃纤维；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5、防护罩：龙门架两侧防护；材质：铁皮+亚克力板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6、最大配重：90KG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7、最小配重：5KG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可调式双滑轮多功能训练器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1、外形尺寸： 940x1660x2240mm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2、锻炼部位： 多肌群训练（胸、肩、背、腿）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3、主框架：平椭120x50xT3.0。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4、导杆：实心、镀铬；规格：∮19x1250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5、滑轮：尼龙+玻璃纤维；规格：∮117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6、防护罩：龙门架两侧防护；材质：铁皮+亚克力板，亚克力板单面磨砂半透明，δ=3mm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7、配重铁：材质：铸铁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8、最大配重：2x单组100KG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9、最小配重：5KG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史密斯机（配套杠铃片）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1、尺寸：≥2100x1500x200mm（长x宽x高）；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2、锻炼部位：股四头肌、股二头肌、肱三头肌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3、主框架：材质：Q235A；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4、最大训练载荷：150KG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5、含杠铃片SH-G5KG、SH-G10KG、SH-G15KG各两片；共计60KG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多重可调节练习椅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1、主框架：材质：Q235A；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2、转轴：材质：45#圆钢；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3、座垫：材质：胶合板+EVA+仿皮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4、最大训练载荷：150KG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5、最大人体质量：150KG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哑铃架（配套哑铃）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1、功能：放置哑铃（10副）2.5KG; 5KG; 7.5KG; 10KG; 12.5KG; 15KG; 17.5KG; 20KG; 22.5KG; 25KG;10种规格，各1副；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2、主框架：材质：Q235A；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3、最大训练载荷：350KG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4、含2.5KG-25KG哑铃各一对，总10对哑铃共275公斤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高低拉训练器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1、阻力形式：插片配重式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2、锻炼部位：背阔肌、斜方肌、肱二头肌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3、主框架：材质：Q235A；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4、躺垫和头垫：材质：胶合板+再生棉+仿皮（PVC）；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5、勾脚套：仿皮（PVC）+PU发泡；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6、握套：PVC,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7、把手管堵头材质：铝合金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8、最大人体质量：150KG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9、最大训练载荷：110KG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10、牵索形式：钢丝绳+滑轮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调节哑铃凳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1、主框架：材质：Q235A；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2、最大训练载荷：300KG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3、最大人体质量：150KG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大飞鸟训练器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1、锻炼部位： 胸大肌、三角肌、肱二头肌、肱三头肌、背阔肌等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2、导杆：实心、镀铬；规格：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3、滑轮：尼龙+玻璃纤维；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4、最大配重：90KG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5、最小配重：5KG  单组90KG，共两组；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深蹲练习架（配套杠铃片）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1、锻炼部位：腿部肌肉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2、主框架：材质：Q235A；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3、配重支撑杆：有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4、挂杆：镀铬；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5、最大训练载荷：300KG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6、含Q86奥杆一根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7、含SH-G5KG、SH-G10KG、SH-G15KG、SH-G20KG各两片;共计100KG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平卧举重床（配套杠铃片）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1、锻炼部位：胸大肌，三角肌前束，肱三头肌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2、主框架：材质：Q235A；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3、最大训练载荷：110KG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4、配重支撑杆：镀铬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5、座垫：材质：胶合板+EVA+仿皮；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6、最大人体质量：150KG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7、含Q86奥杆一根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8、含SH-G5KG、SH-G10KG各两片;共计30KG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高端复合橡胶地垫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1、产品厚度：20mm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2、材质：高弹性 EPDM/SBR 聚合物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3、规格：长 50cm*宽 50cm /长 100cm*宽 100cm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4、橡胶地垫底部安装由:PP新料制作的卡扣件固定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乒乓球桌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1.台面尺寸:常规尺寸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2.无脚轮:无脚轮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3.室内球台，可调高度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4.台面颜色:蓝色/黑色 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拳击机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1、全方位靶位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2.规格：整体高度1.5.--2.0米，可调节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拳击沙袋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afterAutospacing="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1、尺寸：长≥140CM，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2、材质：表皮高强度聚合纤维超级，EPE+碎布填充，尼龙织带；链接部分：镀锌铁环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竞技壶铃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1、材质：烤漆铸铁,不锈钢镀铬把手。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2、4KG; 6KG; 8KG;12KG;16KG;20KG,各一个; ，共66KG；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训练大绳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尺寸：绳体总长≥10米，手柄长度≥15mm  直径≥27mm ， 带护套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半圆平衡球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1.材质：皮：PVC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2.底部防滑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瑜伽球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克重：1600G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药球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克重：4kg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四合一跳箱组合装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1、长：90cm 宽：75cm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2、高度分别为：15cm/30cm/45cm/60cm  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3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3、定制家具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儿童椅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尺寸≥650*650*750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1、主材：木方，夹板：环保夹板。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2、面料:皮布结合。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玩具桌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360°无棱角设计，环保烤漆高密度中纤板，实木桌腿承重100KG，配4椅（实木材质），可同时容纳多人玩乐，尺寸大小≥600*600*450。（带一套桌面玩具）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儿童椅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尺寸≥600*600*340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1、主材：实木 夹板：采用E1环保夹板。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2、面料:皮布结合。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儿童桌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尺寸≥1200*600*450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基材：采用25MM高密度三聚氢氨木材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架子：采用优质钢管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储物柜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单门尺寸：≤高930*宽400*厚500mm（单门净高不含底座）；总高度≤1950；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材质：门板由ABS塑料制成，柜体采用高强度HIPS工程塑料制成，具有防水功能。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更衣柜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单门尺寸：≤高930*宽400*厚500mm（单门净高不含底座）；总高度≤1950；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材质：门板由ABS塑料制成，柜体采用高强度HIPS工程塑料制成，具有防水功能。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门副板内侧设有多功能挂钩，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鞋柜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尺寸≤750*300*800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1、饰面板:环保型聚氰胺浸渍胶膜纸双饰面板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2、基材:E1级环保实木颗粒板，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3、人造板制成的部件均进行封边处理，封边应严密、平、不许有脱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表面有胶渍: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更衣凳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尺寸≤1500*400*450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凳面PVC材质，凳腿高抗冲HIPS材质，面板拼接确保舒适度并且不易存积水，防腐防锈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储物柜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单门尺寸：≤高930*宽400*厚500mm（单门净高不含底座）；总高度≤1950；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材质：门板由ABS塑料制成，柜体采用高强度HIPS工程塑料制成，具有防水功能。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门副板内侧设有多功能挂钩，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储物柜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单门尺寸：≤高930*宽400*厚500mm（单门净高不含底座）；总高度≤1950；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材质：门板由ABS塑料制成，柜体采用高强度HIPS工程塑料制成，具有防水功能。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门副板内侧设有多功能挂钩，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吧台椅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≤520*420*1100mm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背板和坐垫板材使用E1板材，厚度≥12mm                                                         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休闲桌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≤1400×600×750mm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板材：三聚氰胺饰面的刨花板基材，基材经过防虫防潮防腐处理。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休闲凳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≤520W*500D*850H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背板和坐垫板材使用E1板材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休闲桌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≤1000*800mm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一级冷轧钢板，铝合金脚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休闲凳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尺寸≤550W*550*730H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背板和坐垫板材使用E1板材，厚度≥12-mm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面料：涤纶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填充海绵：高密度发泡成型棉，35密度海绵，阻燃性能达到Ⅰ级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椅脚：可360度旋转，带自动回位功能性高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熨烫桌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尺寸≤1800长*800宽*830高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1、饰面板:环保型聚氰胺浸渍胶膜纸双饰面板制作，下面带储物柜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2、基材:E1级环保实木颗粒板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挂墙式饭盒柜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尺寸≤2400*300*1000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1、饰面板:采用环保型聚氰胺浸渍胶膜纸双饰面板制作，内框要求小格子可放饭盒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2、基材:E1级环保实木颗粒板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员工餐桌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尺寸≤1400*700*750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台面为E1级多层板基材，表面贴防火防水装饰板；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台面为E1级多层板基材，表面贴防火防水装饰板，油漆防水封边；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钢板底座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员工餐椅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尺寸≤560*544*785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采用国标一级热轧钢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专业理发椅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底盘≤50*50cm；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360°旋转；液压升降；环保皮质全包围；不锈钢脚踏/底盘；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理发师转椅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万向滑轮；可升降座椅；环保皮椅面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单人洗头床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躺椅部分采用人体工程学设计；环保皮质全包围；；带脚踏；带白色深盆陶瓷洗头床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理发置物柜</w:t>
            </w:r>
          </w:p>
        </w:tc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≤40*40*80。带吹风机架；水晶脚轮；按压式抽屉，E1级环保板材；三层抽屉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3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4、书吧图书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中共百年若干重大事件述实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改革开放40年大事记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四川人民出版社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革命家品格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四川人民出版社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抗美援朝记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中共高层与西安事变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中国民主法制出版社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毛泽东传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中央文献出版社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浴火重生：纽约时报中国抗战观察记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当代出版社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南京大屠杀：第二次世界大战中被遗忘的大浩劫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中信出版集团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西路军：生死档案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陕西人民出版社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西路军：河西浴血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陕西人民出版社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十大元帅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中共党史出版社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一读就上瘾的中国史1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台海出版社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一读就上瘾的中国史2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台海出版社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人类简史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毛泽东选集（全4册)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公安法律法规全书（2023）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中国法制出版社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中华人民共和国行政法及司法解释全书（2023）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中国法制出版社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实用版法规专辑：道路交通事故（第七版）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中国法制出版社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一看就懂的道路交通法律常识（漫画版)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中国法制出版社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道路交通标志和标线手册（2023版）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人民交通出版社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公务员法一本通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中国法制出版社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治安管理处罚法一本通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中国法制出版社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道路交通安全法一本通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中国法制出版社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中华人民共和国道路交通安全法注解与配套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中国法制出版社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纪检监察法规汇编（第二版）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机动车与交通事故疑难案件裁判要点与依据（第三版）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“治超”非现场执法体系及技术应用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中国人民公安大学出版社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图解交通事故索赔全程指引（第二版）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道路交通法律法规全书（2023年版）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中华人民共和国公职人员政务处分法 学习读本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新编公文写作（第三版）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中共中央党校出版社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法理学：法律哲学与法律方法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中国政法大学出版社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法律简史：人类制度文明的深层逻辑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三联书店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中国法律与中国社会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商务印书馆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为什么是中国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北京联合出版公司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巨人的陨落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文汇出版社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法治的细节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云南人民出版社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正义的回响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云南人民出版社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圆圈的正义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中国法制出版社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Word Excel PPT从入门到精通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广东人民出版社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从零开始学做视频剪辑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北京时代华文书局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摄影轻松入门一本就够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不内卷的工作法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中国水利水电出版社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明朝那些事儿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北京联合出版公司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大秦帝国精华版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河南文艺出版社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狡猾的心理学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中国法制出版社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焦虑的解药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博物馆与文化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中华书局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中华上下五千年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中国华侨出版社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白话史记上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岳麓书社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白话史记下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岳麓书社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北大国学课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四大名著（套装11册）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人民文学出版社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古文观止（全2册）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岳麓书社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增广贤文 名贤集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漓江出版社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围炉夜话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漓江出版社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世界十大名著（套装10册）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中国文联出版社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餐桌上的中国史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历史的面孔1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历史的面孔2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中国历代政治得失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三联书店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世界上下午五千年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中国华侨出版社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法医秦明 ：遗忘者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北京联合出版公司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法医秦明 ：白卷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江苏凤凰文艺出版社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法医秦明 ：玩偶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北京联合出版公司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法医秦明 ：天谴者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江苏凤凰文艺出版社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暗夜追凶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河南文艺出版社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三体1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三体2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三体3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血战长津湖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时间移民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江苏凤凰文艺出版社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流浪地球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江苏凤凰文艺出版社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悲剧人偶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北京十月文艺出版社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侦探伽利略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北京十月文艺出版社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白夜行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南海出版公司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幻夜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南海出版公司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解忧杂货铺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南海出版公司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白鸟与蝙蝠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南海出版公司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活着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北京十月文艺出版社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江湖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湖南文艺出版社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谋事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湖南文艺出版社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旅途中的超级数学课（全套18册）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我们身体的总指挥大脑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我们的食物从哪里来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加油宝贝（全10册）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海燕出版社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1000种交通工具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九州出版社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1000种海洋之物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九州出版社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1000种动物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九州出版社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交通安全互动百科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米小圈上学记全套（4册）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四川少年儿童出版社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鬼谷子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吉林文史出版社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金刚经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中州古籍出版社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最初的爱情最后的仪式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上海译文出版社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五号屠场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河南文艺出版社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尤利西斯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译林出版社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杀死一支知更鸟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译林出版社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1984 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译林出版社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动物庄园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海伯利安四部曲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天才在左疯子在右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北京联合出版公司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怪诞心理学大全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中国华侨出版社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重口味心理学大全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中国华侨出版社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中国美术五千年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奥本海默传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卡夫卡的朋友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十二楼迷案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谜样的人生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父父子子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大法官金斯伯格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晚清最后十八年(全2册）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华文出版社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人生海海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北京十月文艺出版社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平凡的世界（全3册）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北京十月文艺出版社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长安的荔枝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湖南文艺出版社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太白金星有点烦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湖南文艺出版社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生死疲劳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浙江文艺出版社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许三观卖血记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北京十月文艺出版社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心安即是归处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古吴轩出版社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紫禁城里很有事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沟通的艺术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北京联合出版公司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一个人的朝圣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北京联合出版公司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宇宙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上海科学技术文献出版社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这里是中国（全2册）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有趣的让人睡不着科普系列（全9册）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北京时代华文书局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中国文化课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中国青年出版社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南怀瑾先生讲中国智慧系列（全3册）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北京联合出版公司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趣话春秋战国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中国文联出版社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云边有个小卖部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湖南文艺出版社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我与地坛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人民文学出版社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长安十二时辰（全2册）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湖南文艺出版社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古董局中局（全4册）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湖南文艺出版社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霍乱时期的爱情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南海出版社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上班族的养生经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天津科学技术出版社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微积分的力量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敦煌如是绘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历史的温度（全7册）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几何学的力量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数学简史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我的情报与外交生涯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海错图笔记（全4册）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诗词里的中国（全3册）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天地出版社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月亮与刘便是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浙江文艺出版社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额尔古纳河右岸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人民文学出版社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烟火漫卷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人民文学出版社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小王子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天津人民出版社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消失的十三级台阶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上海文艺出版社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蛤蟆先生去看心理医生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天津人民出版社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追风筝的人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上海人民出版社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中国书法通识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新星出版社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你不懂咖啡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江苏凤凰文艺出版社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曾医生让你早知道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湖南科技出版社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透过地理看历史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台海出版社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天朝掠影：西方人眼中的中国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商务印书馆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鸟瞰古文明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湖南美术出版社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无人生还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新星出版社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嫌疑人X的献身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南海出版社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给国人的医学减重指南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中信出版集团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图书馆奇谈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南海出版公司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精神内耗自救指南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中国人的茶事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湖南人民出版社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朝阳南路精怪故事集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南海出版公司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执念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无声的证词：尸检手记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第七天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北京十月文艺出版社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显微镜下的大明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湖南文艺出版社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地心游记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译林出版社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摆渡人三部曲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百花洲文艺出版社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我去故宫看历史（全4册）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北方文艺出版社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局外人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台海出版社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晚熟的人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人民文学出版社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白雪乌鸦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人民文学出版社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大多杀人狂都很文静（全4册）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百花洲文艺出版社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从一到无穷大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文化发展出版社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物理大爆炸（全7册）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浙江科技出版社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化学真好玩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浙江教育出版社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李娟：阿勒泰系列典藏合集（全4册）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北京十月文艺出版社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如果历史是一群喵(全12册）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广东旅游出版社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水经注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中华书局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万历十五年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生活.读书.新知三联书店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全本全注全译 文心雕龙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中华书局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细节的力量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学林出版社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党史学习--论中国共产党历史(普及本)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中央文献出版社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长安处处有故事：西安地理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陕西人民教育出版社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长安处处有故事.西安地名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陕西人民教育出版社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中国人应知的古代科技常识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中华书局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三国志(上下册)精--中华国学文库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中华书局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郭论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湖南文艺出版社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故宫营建六百年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中华书局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道德经说什么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江西人民出版社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一本书读懂民国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中华书局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跨过鸭绿江：抗美援朝影像记忆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大运河：从北京出发，下江南！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红星照耀中国(导读版)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人民文学出版社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你不知道的台湾:两岸应知道的台湾历史故事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九州出版社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论语说什么（全三册）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广东人民出版社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晚清之变--天崩地坼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中华书局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中国人缺失什么?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上海人民出版社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中国:从天宝惊变到辛亥革命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学林出版社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三国不演义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河南文艺出版社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硬派健身100问:从吃到动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湖南文艺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新中国极简史：1949至2019的年度故事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中国青年出版社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51区:撕开中情局内幕揭露美国政府隐瞒60年的最高机密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新世界出版社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从考古看中国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中华书局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灯火之下:写给青少年抑郁症患者及家长的自救书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日本大败局3：瓜岛浴血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狐狸,你在等谁呢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浙江少儿出版社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兔子的征程是星辰大海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人民日报出版社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那四年,青春模样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中国画报出版社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北欧神话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天津人民出版社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领导干部勇于担当50例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中共中央党校出版社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为何家会伤人(百万畅销纪念版)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把自己当回事儿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唐朝人的日常生活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上海文化出版社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尚书直解（上下册）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1963:变革之年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广西师范大学出版社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别做那只迷途的候鸟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不累心：让自己和别人都舒服的说话之道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非常轨迹：红军四渡赤水抢渡金沙江之战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四川人民出版社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延安时期中国共产党局部执政研究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陕西人民出版社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重家教.立家规.传家训.正家风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人民日报出版社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关于中国的50个为什么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中国能力：抗疫背后的中国之治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中共中央党校出版社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八万里丝路云和月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陕西师范大学出版社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总统的秘密战:二战后美国遍布全球的隐蔽行动(精)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陕西人民出版社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人类如何走到今天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明清时期的江南望族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上海书店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宇宙的尽头是哲学：32节哲学通识课.古典哲学篇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安住当下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生活中超实用的60个心理学实验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中国华侨出版社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诸神的黄昏：1944—1945，从莱特湾战役到日本投降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故宫里的江南：清代宫廷珍玩与苏作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时尚的记忆:什么是奢侈,什么是流行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福尔摩斯探案集（全8册）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光明日报出版社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陇东革命历史档案资料选编-群众运动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陕西人民出版社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战争论.全二册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商务印书馆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历史的观念(增补版)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文化极简史:人物·思潮·建筑的故事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上海远东出版社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透视中国-神奇滤镜里的人文遗产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钻石、黄金与战争：英国人、布尔人和南非的诞生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浙江人民出版社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元史(全15本)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中华书局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中国古代物质文化史.绘画.卷轴画（宋）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开明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追寻三星堆：探访长江流域的青铜文明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生活.读书.新知三联书店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汉学的世界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生活.读书.新知三联书店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布达佩斯之围：第二次世界大战中的一百天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社科文献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新的旧世界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上海人民出版社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图说延安十三年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陕西人民出版社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百年前的中国:美国作家笔下的南国纪行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四川人民出版社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原来历史可以这样好玩(全三册)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湖南文艺出版社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冠绝欧洲：欧冠图文全史（66周年纪念版）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金城出版社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曾经辉煌:底特律的故事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浙江人民出版社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中西文化关系通史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中国古都四千年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新世界出版社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姓氏与宗社考证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社会科学文献出版社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红军长征记:原始记录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生活.读书.新知三联书店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毛泽东点评历史人物：全三册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人民日报出版社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大河与大国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双峰:最终档案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时代华文书局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中国文明起源新探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生活.读书.新知三联书店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师夷长技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20世纪中国历史学（修订版）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中华人民共和国史编年·2017年卷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当代中国出版社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北京的城墙与城门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京华出版社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海洋变局5000年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世界人民的历史：从石器时代到新千年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中国历史十五讲（典藏版）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隋书（全六册）点校本二十四史修订本（平装本）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中华书局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文明之光(精华本)(罗辑思维)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中国的河山(上下)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陕西师范大学出版社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大唐之国:1400年的记忆遗产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生活.读书.新知三联书店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丝绸之路:一部全新的世界史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我在秦岭之央.浮生故事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陕西人民出版社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世界的四个部分：一部全球化历史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看见故宫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湖南文艺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博物馆里的中国历史(共6册)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天天出版社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时间的色彩:一部鲜活的世界史(1850-1960)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社科文献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leftChars="0" w:firstLine="0" w:firstLineChars="0"/>
        <w:rPr>
          <w:rFonts w:hint="default" w:ascii="宋体" w:hAnsi="宋体" w:cs="宋体"/>
          <w:b/>
          <w:bCs/>
          <w:color w:val="000000"/>
          <w:kern w:val="2"/>
          <w:sz w:val="24"/>
          <w:szCs w:val="24"/>
          <w:highlight w:val="none"/>
          <w:lang w:val="en-US" w:eastAsia="zh-CN" w:bidi="zh-CN"/>
        </w:rPr>
      </w:pPr>
      <w:r>
        <w:rPr>
          <w:rFonts w:hint="default" w:ascii="宋体" w:hAnsi="宋体" w:cs="宋体"/>
          <w:b/>
          <w:bCs/>
          <w:color w:val="000000"/>
          <w:kern w:val="2"/>
          <w:sz w:val="24"/>
          <w:szCs w:val="24"/>
          <w:highlight w:val="none"/>
          <w:lang w:val="en-US" w:eastAsia="zh-CN" w:bidi="zh-CN"/>
        </w:rPr>
        <w:t>四、服务要求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 w:bidi="zh-CN"/>
        </w:rPr>
        <w:t>（一）质保期内免费对产品进行维护。在非人为因素情况下，一切维修换件保养费用和备品备件均由供应商免费提供。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 w:bidi="zh-CN"/>
        </w:rPr>
        <w:t>（二）免费送货至指定使用单位，提供现场安装、免费调试，提供免费到场操作培训。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 w:bidi="zh-CN"/>
        </w:rPr>
        <w:t>（三）提供货物组装和维修所需的工具，提供货物调试所需的试剂、耗材等。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 w:bidi="zh-CN"/>
        </w:rPr>
        <w:t>（四）提供的产品及其配套件必须保证为原厂全新件，且每套货物提供相应的每一套设备和仪器的技术文件。如：产品目录、图纸、操作手册、使用说明、维护手册或服务指南等。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 w:bidi="zh-CN"/>
        </w:rPr>
        <w:t>（五）在双方商定的一定期限内对所供货物实施运行监督、维修，但前提条件是该服务不能免除供应商在质量保证期应承担的义务。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 w:bidi="zh-CN"/>
        </w:rPr>
        <w:t>（六）在项目现场就货物的安装、启动、运营、维护对使用单位人员进行培训。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 w:bidi="zh-CN"/>
        </w:rPr>
        <w:t>（七）伴随服务的费用含在合同价中，不单独进行支付。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rPr>
          <w:rFonts w:hint="default" w:ascii="宋体" w:hAnsi="宋体" w:cs="宋体"/>
          <w:color w:val="000000"/>
          <w:kern w:val="2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 w:bidi="zh-CN"/>
        </w:rPr>
        <w:t>（八）提供的全部货物，均应按标准保护措施进行包装。这类包装应适应于远距离运输、防潮、防震、防锈和防野蛮装卸，以确保货物安全无损运抵项目现场。货物送达验收前的风险由中标供应商承担。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rPr>
          <w:rFonts w:hint="default" w:ascii="宋体" w:hAnsi="宋体" w:cs="宋体"/>
          <w:color w:val="000000"/>
          <w:kern w:val="2"/>
          <w:sz w:val="24"/>
          <w:szCs w:val="24"/>
          <w:highlight w:val="none"/>
          <w:lang w:val="en-US" w:eastAsia="zh-CN" w:bidi="zh-CN"/>
        </w:rPr>
        <w:sectPr>
          <w:footerReference r:id="rId4" w:type="default"/>
          <w:pgSz w:w="16840" w:h="11900" w:orient="landscape"/>
          <w:pgMar w:top="1230" w:right="1554" w:bottom="1344" w:left="896" w:header="1128" w:footer="471" w:gutter="0"/>
          <w:pgNumType w:fmt="decimal"/>
          <w:cols w:space="720" w:num="1"/>
          <w:docGrid w:linePitch="360" w:charSpace="0"/>
        </w:sectPr>
      </w:pPr>
      <w:r>
        <w:rPr>
          <w:rFonts w:hint="eastAsia" w:ascii="宋体" w:hAnsi="宋体" w:cs="宋体"/>
          <w:color w:val="000000"/>
          <w:kern w:val="2"/>
          <w:sz w:val="24"/>
          <w:szCs w:val="24"/>
          <w:highlight w:val="none"/>
          <w:lang w:val="en-US" w:eastAsia="zh-CN" w:bidi="zh-CN"/>
        </w:rPr>
        <w:t>（九）供应商所提供的所有货物均符合国家国际相关行业标准。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2" w:firstLineChars="200"/>
        <w:rPr>
          <w:rFonts w:hint="default" w:ascii="宋体" w:hAnsi="宋体" w:cs="宋体"/>
          <w:b/>
          <w:bCs/>
          <w:color w:val="000000"/>
          <w:kern w:val="2"/>
          <w:sz w:val="24"/>
          <w:szCs w:val="24"/>
          <w:highlight w:val="none"/>
          <w:lang w:val="en-US" w:eastAsia="zh-CN" w:bidi="zh-CN"/>
        </w:rPr>
      </w:pPr>
      <w:r>
        <w:rPr>
          <w:rFonts w:hint="default" w:ascii="宋体" w:hAnsi="宋体" w:cs="宋体"/>
          <w:b/>
          <w:bCs/>
          <w:color w:val="000000"/>
          <w:kern w:val="2"/>
          <w:sz w:val="24"/>
          <w:szCs w:val="24"/>
          <w:highlight w:val="none"/>
          <w:lang w:val="en-US" w:eastAsia="zh-CN" w:bidi="zh-CN"/>
        </w:rPr>
        <w:t>五、商务要求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宋体" w:hAnsi="宋体" w:cs="宋体"/>
          <w:color w:val="000000"/>
          <w:kern w:val="2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cs="宋体"/>
          <w:color w:val="000000"/>
          <w:kern w:val="2"/>
          <w:sz w:val="24"/>
          <w:szCs w:val="24"/>
          <w:highlight w:val="none"/>
          <w:lang w:val="en-US" w:eastAsia="zh-CN" w:bidi="zh-CN"/>
        </w:rPr>
        <w:t>(一、交货期：自合同签订之日起30个日历日完成全部项目内容，并交付采购人验收合格。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宋体" w:hAnsi="宋体" w:cs="宋体"/>
          <w:color w:val="000000"/>
          <w:kern w:val="2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cs="宋体"/>
          <w:color w:val="000000"/>
          <w:kern w:val="2"/>
          <w:sz w:val="24"/>
          <w:szCs w:val="24"/>
          <w:highlight w:val="none"/>
          <w:lang w:val="en-US" w:eastAsia="zh-CN" w:bidi="zh-CN"/>
        </w:rPr>
        <w:t>二、款项结算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宋体" w:hAnsi="宋体" w:cs="宋体"/>
          <w:color w:val="000000"/>
          <w:kern w:val="2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cs="宋体"/>
          <w:color w:val="000000"/>
          <w:kern w:val="2"/>
          <w:sz w:val="24"/>
          <w:szCs w:val="24"/>
          <w:highlight w:val="none"/>
          <w:lang w:val="en-US" w:eastAsia="zh-CN" w:bidi="zh-CN"/>
        </w:rPr>
        <w:t>1、支付货币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宋体" w:hAnsi="宋体" w:cs="宋体"/>
          <w:color w:val="000000"/>
          <w:kern w:val="2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cs="宋体"/>
          <w:color w:val="000000"/>
          <w:kern w:val="2"/>
          <w:sz w:val="24"/>
          <w:szCs w:val="24"/>
          <w:highlight w:val="none"/>
          <w:lang w:val="en-US" w:eastAsia="zh-CN" w:bidi="zh-CN"/>
        </w:rPr>
        <w:t>币种为：人民币。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宋体" w:hAnsi="宋体" w:cs="宋体"/>
          <w:color w:val="FF0000"/>
          <w:kern w:val="2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cs="宋体"/>
          <w:color w:val="000000"/>
          <w:kern w:val="2"/>
          <w:sz w:val="24"/>
          <w:szCs w:val="24"/>
          <w:highlight w:val="none"/>
          <w:lang w:val="en-US" w:eastAsia="zh-CN" w:bidi="zh-CN"/>
        </w:rPr>
        <w:t>2、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 w:bidi="zh-CN"/>
        </w:rPr>
        <w:t>结算方式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在合同签订后，分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次支付。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第一次支付在合同签订后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日内，支付合同总金额的40%作为预付款；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2、第二次支付在交付货物并安装调试合格后，支付至合同总金额的80%，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在支付前，乙方需开具合同总金额的5%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履约保函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default"/>
          <w:color w:val="auto"/>
          <w:highlight w:val="none"/>
          <w:lang w:eastAsia="zh-Hans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第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次支付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前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Hans"/>
        </w:rPr>
        <w:t>甲方将组织对项目进行验收，并委托专业机构对项目进行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结算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Hans"/>
        </w:rPr>
        <w:t>审计，项目最终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结算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Hans"/>
        </w:rPr>
        <w:t>金额以审计金额为准。验收、审计完成后，由乙方按照审计金额开具全额发票，甲方支付合同剩余尾款，最终尾款支付金额以审计金额为准。若因乙方提供的票据有误，甲方迟延支付的不构成违约。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cs="宋体"/>
          <w:color w:val="FF0000"/>
          <w:kern w:val="2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第一次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第二次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付款乙方应当开具等额收据，第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次付款乙方应当开具全额发票。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2" w:firstLineChars="200"/>
        <w:rPr>
          <w:rFonts w:hint="default" w:ascii="宋体" w:hAnsi="宋体" w:eastAsia="宋体" w:cs="宋体"/>
          <w:b/>
          <w:bCs/>
          <w:color w:val="000000"/>
          <w:kern w:val="2"/>
          <w:sz w:val="24"/>
          <w:szCs w:val="24"/>
          <w:highlight w:val="none"/>
          <w:lang w:val="en-US" w:eastAsia="zh-CN" w:bidi="zh-CN"/>
        </w:rPr>
      </w:pPr>
      <w:r>
        <w:rPr>
          <w:rFonts w:hint="default" w:ascii="宋体" w:hAnsi="宋体" w:cs="宋体"/>
          <w:b/>
          <w:bCs/>
          <w:color w:val="000000"/>
          <w:kern w:val="2"/>
          <w:sz w:val="24"/>
          <w:szCs w:val="24"/>
          <w:highlight w:val="none"/>
          <w:lang w:val="en-US" w:eastAsia="zh-CN" w:bidi="zh-CN"/>
        </w:rPr>
        <w:t>六、</w:t>
      </w:r>
      <w:r>
        <w:rPr>
          <w:rFonts w:hint="default" w:ascii="宋体" w:hAnsi="宋体" w:eastAsia="宋体" w:cs="宋体"/>
          <w:b/>
          <w:bCs/>
          <w:color w:val="000000"/>
          <w:kern w:val="2"/>
          <w:sz w:val="24"/>
          <w:szCs w:val="24"/>
          <w:highlight w:val="none"/>
          <w:lang w:val="en-US" w:eastAsia="zh-CN" w:bidi="zh-CN"/>
        </w:rPr>
        <w:t>其他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 w:bidi="zh-CN"/>
        </w:rPr>
      </w:pPr>
      <w:bookmarkStart w:id="4" w:name="bookmark73"/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 w:bidi="zh-CN"/>
        </w:rPr>
        <w:t>（一）质量验收标准或规范：现行的国家标准或国家行政部门颁布的法律法规、规章制度等。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 w:bidi="zh-CN"/>
        </w:rPr>
        <w:t>（二）产品质保期：终验合格后一年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 w:bidi="zh-CN"/>
        </w:rPr>
        <w:t>（三）违约责任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 w:bidi="zh-CN"/>
        </w:rPr>
        <w:t>1.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zh-CN" w:eastAsia="zh-CN" w:bidi="zh-CN"/>
        </w:rPr>
        <w:t>在项目实施过程中，质量保障人员、资源不足或者执行不力，给项目质量带来的风险超出采购方认定的允许范围时，采购方可终止本项目的合作并进行索赔。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 w:bidi="zh-CN"/>
        </w:rPr>
        <w:t>2.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zh-CN" w:eastAsia="zh-CN" w:bidi="zh-CN"/>
        </w:rPr>
        <w:t>按《中华人民共和国政府采购法》《中华人民共和国民法典》中的相关条款执行。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 w:bidi="zh-CN"/>
        </w:rPr>
        <w:t>3.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zh-CN" w:eastAsia="zh-CN" w:bidi="zh-CN"/>
        </w:rPr>
        <w:t>提供产品或供应的产品质量不能满足采购方技术要求，采购方有权终止合同，甚至对供应商违约行为进行追究，并将相关情况上报市财政局，建议将其列入政府采购严重违法失信行为记录名单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-SA"/>
        </w:rPr>
        <w:t>。</w:t>
      </w:r>
    </w:p>
    <w:p>
      <w:pPr>
        <w:pageBreakBefore w:val="0"/>
        <w:kinsoku/>
        <w:bidi w:val="0"/>
        <w:spacing w:line="360" w:lineRule="auto"/>
        <w:jc w:val="both"/>
        <w:outlineLvl w:val="0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bidi="ar-SA"/>
        </w:rPr>
        <w:t>注：商务要求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lang w:val="en-US" w:eastAsia="zh-CN" w:bidi="ar-SA"/>
        </w:rPr>
        <w:t>和服务要求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bidi="ar-SA"/>
        </w:rPr>
        <w:t>为实质性要求，不得负偏离。</w:t>
      </w:r>
    </w:p>
    <w:bookmarkEnd w:id="4"/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iYzgzYzQyMGIyYjJjYjcxZTNlYzBlMzBmOWMyM2IifQ=="/>
  </w:docVars>
  <w:rsids>
    <w:rsidRoot w:val="15FE7BBA"/>
    <w:rsid w:val="15FE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 w:line="259" w:lineRule="auto"/>
    </w:pPr>
    <w:rPr>
      <w:rFonts w:ascii="Times New Roman" w:hAnsi="Times New Roman" w:eastAsia="宋体" w:cs="Times New Roman"/>
      <w:color w:val="auto"/>
      <w:sz w:val="22"/>
      <w:szCs w:val="2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</w:pPr>
    <w:rPr>
      <w:rFonts w:ascii="Times New Roman" w:hAnsi="Times New Roman" w:eastAsia="宋体" w:cs="Times New Roman"/>
      <w:sz w:val="18"/>
    </w:rPr>
  </w:style>
  <w:style w:type="paragraph" w:styleId="4">
    <w:name w:val="Body Text First Indent"/>
    <w:basedOn w:val="2"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character" w:customStyle="1" w:styleId="7">
    <w:name w:val="font1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2023-11-17T05:46:00Z</dcterms:created>
  <dc:creator>YXQ</dc:creator>
  <cp:lastModifiedBy>YXQ</cp:lastModifiedBy>
  <dcterms:modified xsi:type="dcterms:W3CDTF">2023-11-17T05:47:12Z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D767022B56DE4BF99D2BD686BCFCF033_11</vt:lpwstr>
  </property>
</Properties>
</file>