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shd w:val="clear" w:color="auto" w:fill="FFFFFF"/>
        </w:rPr>
        <w:t>招标内容及技术要求</w:t>
      </w:r>
    </w:p>
    <w:p>
      <w:pPr>
        <w:spacing w:before="19" w:line="360" w:lineRule="auto"/>
        <w:ind w:right="43" w:firstLine="462" w:firstLineChars="200"/>
        <w:rPr>
          <w:rFonts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一、项目概况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按照自然资源部和省自然资源厅的要求，开展城市体检评估工作，包括战略定位、底线管控、规模结构、空间布局、支撑系统、实施保障六方面内容，全面评估现行城乡规划、土地利用规划的实施情况，总结成效、分析问题，明确规划的重点，提出国土空间开发保护格局优化的建议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b/>
          <w:bCs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4"/>
          <w:szCs w:val="24"/>
        </w:rPr>
        <w:t>服务内容</w:t>
      </w:r>
    </w:p>
    <w:p>
      <w:pPr>
        <w:spacing w:before="16" w:line="360" w:lineRule="auto"/>
        <w:ind w:firstLine="42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(一)服务范围</w:t>
      </w:r>
    </w:p>
    <w:p>
      <w:pPr>
        <w:spacing w:before="16" w:line="360" w:lineRule="auto"/>
        <w:ind w:firstLine="42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西安市域。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工作内容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1.体检指标表相关数据的收集和计算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针对体检各项指标，向各相关部门收集数据和支撑材料，严格按照体检评估规程，进行数据处理和分析，并和基期年数据、规划目标年数据进行对比，对指标完成情况做出评价。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2.完成年度城市体检报告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包括战略定位、底线管控、规模结构、空间布局、支撑系统、实施保障六方面内容，采取数据与案例结合、纵向与横向比较结合等方法，评估各项指标规划实施率，分析成效和问题，提出规划管理建议。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3.绘制年度规划实施分析图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突出反映底线控制、资源高效利用、设施协调布局和公共服务均等化等方面重要指标的实施进展情况。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4.建设年度体检基础数据库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广泛收集经济社会发展统计数据、城市建设数据、国土空间基础现状数据、规划成果数据、规划实施监督数据等，形成多源数据互为支撑的体检评估基础数据库。数据库标准与国土空间基础信息平台统一。</w:t>
      </w:r>
    </w:p>
    <w:p>
      <w:pPr>
        <w:spacing w:before="16" w:line="360" w:lineRule="auto"/>
        <w:ind w:left="482" w:right="30"/>
        <w:rPr>
          <w:rFonts w:asciiTheme="minorEastAsia" w:hAnsiTheme="minorEastAsia" w:eastAsiaTheme="minorEastAsia" w:cstheme="minorEastAsia"/>
          <w:b/>
          <w:bCs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4"/>
          <w:szCs w:val="24"/>
        </w:rPr>
        <w:t>三、技术要求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（一）成果质量要求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成果质量符合自然资源部、陕西省政府、陕西省自然资源厅、西安市政府、西安市自然资源与规划局的相关要求，并通过采购人组织的专家论证或评估会。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(二)成果交付要求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主要成果:城区划定专项报告、年度城市体检报告、体检指标表、年度规划实施分析图、城区数据库、年度体检基础数据库建设说明。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文本:要包括总体结论，规划实施成效、存在问题及原因分析，对策建议等。体检成果要对上一年体检发现问题的整改情况进行说明。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附表:城市体检指标表(必选)，包括安全、创新、协调、绿色、开放、共享分为 6个一级类别，在此基础上，又进一步划分为 23 个二级类别和 122项指标;年度重点任务完成清单(自选)。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附图:年度城区图、年度规划实施分析图，可包含城乡建设用地变化“一张图”、各区或分区域发展“一张图”等。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纸质成果要求: 成果报告由投标人法人及项目负责人员签名，加盖公章，采用 A4 幅面装订，双面印刷，一式五份。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电子成果要求:最终成果提供刻录光盘 3 张，光盘上贴上标签: 注明项目名称、完成时间、主要工作成果目录。电子成果与上述纸质成果相对应，文本文件采用 pdf 格式，应包括文字报告、附表、图件、数据库等全部技术内容。</w:t>
      </w:r>
    </w:p>
    <w:p>
      <w:pPr>
        <w:spacing w:before="16" w:line="360" w:lineRule="auto"/>
        <w:ind w:right="30" w:firstLine="420"/>
        <w:rPr>
          <w:rFonts w:asciiTheme="minorEastAsia" w:hAnsiTheme="minorEastAsia" w:eastAsiaTheme="minorEastAsia" w:cstheme="minorEastAsia"/>
          <w:b/>
          <w:bCs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4"/>
          <w:szCs w:val="24"/>
        </w:rPr>
        <w:t>四、服务要求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(一)服务商须精心组建项目团队，确定项目负责人，并对项目团队的政治素质和业务素质负责。鼓励组成跨领域、跨学科的专家团队联合研究。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(二)项目组成员须有较强的组织和协调能力，具有较高的理论素养和分析解决问题的能力，项目组成员近三年承担过相关规划/课题研究的优先。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(三)项目负责人必须是该项目实施全过程的真正组织者和指导者，并担负实质性研究工作。项目负责人应具有高级职称。挂名或不担负实质性研究工作的，不得作为项目负责人。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(四)项目团队成员应当熟悉项目所涉及的领域和西安实际情况，并有一定研究基础，项目实施应紧贴西安实际，突出针对性和操作性。</w:t>
      </w:r>
    </w:p>
    <w:p>
      <w:pPr>
        <w:pStyle w:val="3"/>
        <w:spacing w:line="360" w:lineRule="auto"/>
        <w:rPr>
          <w:rFonts w:asciiTheme="minorEastAsia" w:hAnsiTheme="minorEastAsia" w:eastAsiaTheme="minorEastAsia" w:cstheme="minorEastAsia"/>
          <w:spacing w:val="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4"/>
          <w:szCs w:val="24"/>
        </w:rPr>
        <w:t>(五)项目团队成员及其主要成员履约过程中不得随意更换，确需调整时，须书面提请采购人同意。</w:t>
      </w:r>
    </w:p>
    <w:p>
      <w:pPr>
        <w:spacing w:before="16" w:line="360" w:lineRule="auto"/>
        <w:ind w:firstLine="486" w:firstLineChars="200"/>
        <w:rPr>
          <w:rFonts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五、商务要求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(一)服务期限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自合同签订之日起两年内。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(二)款项结算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1.本项目拟采用政府采购的方式进行；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2.合同总价一次性包死，不受市场价格变化和税率变化等因素的影响；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3.合同签订后7个工作日内，甲方向乙方支付合同总价款的 30%；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4.成果自通过专家评审会论证之日起7个工作日内，支付总金额的 40%；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5.成果自通过局长办公会审议且出具书面验收合格文件之日起 7 个工作日内，支付剩余的 30%；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6.实际支付进度以财政资金拨付进度为准。</w:t>
      </w:r>
    </w:p>
    <w:p>
      <w:pPr>
        <w:spacing w:before="16" w:line="360" w:lineRule="auto"/>
        <w:ind w:firstLine="486" w:firstLineChars="200"/>
        <w:rPr>
          <w:rFonts w:asciiTheme="minorEastAsia" w:hAnsiTheme="minorEastAsia" w:eastAsiaTheme="minorEastAsia" w:cstheme="minorEastAsia"/>
          <w:b/>
          <w:bCs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六、其他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(一)符合《中华人民共和国政府采购法》第二十二条、第二十三条、第二十四条规定；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(二)技术服务单位需具有相关技术力量。</w:t>
      </w:r>
    </w:p>
    <w:p>
      <w:pPr>
        <w:spacing w:before="16" w:line="360" w:lineRule="auto"/>
        <w:ind w:firstLine="42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（三）技术服务单位需配合完成采购人安排的与本项目有关的其他事项。</w:t>
      </w:r>
    </w:p>
    <w:p>
      <w:pPr>
        <w:spacing w:before="16" w:line="360" w:lineRule="auto"/>
        <w:ind w:firstLine="42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(四)进度要求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1.合同签订 10 个工作日内形成工作方案。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2.2024 年11月前完成年度体检评估，成果提交西安市自然资源和规划局进行专家评审。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3.技术服务单位应定期(周、月) 向采购人提供项目工作进度。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4.采购人根据实际需要，对项目进展情况不定期听取汇报。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5.受不可抗力(规划编制完成时间延后、提前；上位要求变化等)因素影响，采购人可适当调整进度要求。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(五)质量验收标准或规范</w:t>
      </w:r>
    </w:p>
    <w:p>
      <w:pPr>
        <w:spacing w:before="16" w:line="360" w:lineRule="auto"/>
        <w:ind w:firstLine="484" w:firstLineChars="200"/>
        <w:rPr>
          <w:rFonts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成果质量符合《自然资源部办公厅关于加强国土空间规划监督管理的通知》(自然资办发(2020) 27号)要求。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F5359"/>
    <w:multiLevelType w:val="singleLevel"/>
    <w:tmpl w:val="700F53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TAxOWY1YjY1NWYyZjA1MjJjYjU5YjRhNjY3NjEifQ=="/>
  </w:docVars>
  <w:rsids>
    <w:rsidRoot w:val="6E2C76B9"/>
    <w:rsid w:val="6E2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2023-11-17T10:24:00Z</dcterms:created>
  <dc:creator>安颜</dc:creator>
  <cp:lastModifiedBy>安颜</cp:lastModifiedBy>
  <dcterms:modified xsi:type="dcterms:W3CDTF">2023-11-17T10:25:12Z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AEF127A2D6A740EFB980771425D8B074_11</vt:lpwstr>
  </property>
</Properties>
</file>