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LC-ZC-2023-021-001</w:t>
      </w: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合同包1（西安市渭河水质预测预警能力建设项目-水质自动站建设）</w:t>
      </w:r>
    </w:p>
    <w:p>
      <w:pPr>
        <w:jc w:val="center"/>
        <w:rPr>
          <w:rFonts w:hint="eastAsia" w:ascii="仿宋" w:hAnsi="仿宋" w:eastAsia="仿宋" w:cs="仿宋"/>
          <w:b/>
          <w:bCs/>
          <w:color w:val="auto"/>
          <w:sz w:val="52"/>
          <w:szCs w:val="52"/>
          <w:highlight w:val="none"/>
          <w:lang w:eastAsia="zh-CN"/>
        </w:rPr>
      </w:pPr>
    </w:p>
    <w:p>
      <w:pPr>
        <w:pStyle w:val="2"/>
        <w:rPr>
          <w:rFonts w:hint="eastAsia" w:ascii="仿宋" w:hAnsi="仿宋" w:eastAsia="仿宋" w:cs="仿宋"/>
          <w:b/>
          <w:bCs/>
          <w:color w:val="auto"/>
          <w:sz w:val="52"/>
          <w:szCs w:val="52"/>
          <w:highlight w:val="none"/>
        </w:rPr>
      </w:pPr>
    </w:p>
    <w:p>
      <w:pPr>
        <w:rPr>
          <w:rFonts w:hint="eastAsia" w:ascii="仿宋" w:hAnsi="仿宋" w:eastAsia="仿宋" w:cs="仿宋"/>
          <w:b/>
          <w:bCs/>
          <w:color w:val="auto"/>
          <w:sz w:val="52"/>
          <w:szCs w:val="52"/>
          <w:highlight w:val="none"/>
        </w:rPr>
      </w:pPr>
    </w:p>
    <w:p>
      <w:pPr>
        <w:pStyle w:val="2"/>
        <w:rPr>
          <w:rFonts w:hint="eastAsia" w:ascii="仿宋" w:hAnsi="仿宋" w:eastAsia="仿宋" w:cs="仿宋"/>
          <w:b/>
          <w:bCs/>
          <w:color w:val="auto"/>
          <w:highlight w:val="none"/>
        </w:rPr>
      </w:pPr>
    </w:p>
    <w:p>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已论证</w:t>
      </w:r>
      <w:r>
        <w:rPr>
          <w:rFonts w:hint="eastAsia" w:ascii="仿宋" w:hAnsi="仿宋" w:eastAsia="仿宋" w:cs="仿宋"/>
          <w:b/>
          <w:bCs/>
          <w:color w:val="auto"/>
          <w:sz w:val="32"/>
          <w:szCs w:val="32"/>
          <w:highlight w:val="none"/>
          <w:lang w:eastAsia="zh-CN"/>
        </w:rPr>
        <w:t>）</w:t>
      </w: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ind w:firstLine="640" w:firstLineChars="200"/>
        <w:jc w:val="both"/>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陕西龙辰全过程工程咨询有限公司</w:t>
      </w:r>
      <w:bookmarkStart w:id="0" w:name="_Toc100219612"/>
    </w:p>
    <w:p>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2023年11月</w:t>
      </w:r>
    </w:p>
    <w:p>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pPr>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lang w:val="en-US" w:eastAsia="zh-CN"/>
        </w:rPr>
        <w:t>目录</w:t>
      </w:r>
      <w:bookmarkStart w:id="1" w:name="_Toc31725"/>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_Toc25285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第一章  投标邀请函</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_Toc25285 \h </w:instrText>
      </w:r>
      <w:r>
        <w:rPr>
          <w:color w:val="auto"/>
          <w:sz w:val="28"/>
          <w:szCs w:val="22"/>
          <w:highlight w:val="none"/>
        </w:rPr>
        <w:fldChar w:fldCharType="separate"/>
      </w:r>
      <w:r>
        <w:rPr>
          <w:color w:val="auto"/>
          <w:sz w:val="28"/>
          <w:szCs w:val="22"/>
          <w:highlight w:val="none"/>
        </w:rPr>
        <w:t>3</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_Toc4748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第二章  供应商须知</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_Toc4748 \h </w:instrText>
      </w:r>
      <w:r>
        <w:rPr>
          <w:color w:val="auto"/>
          <w:sz w:val="28"/>
          <w:szCs w:val="22"/>
          <w:highlight w:val="none"/>
        </w:rPr>
        <w:fldChar w:fldCharType="separate"/>
      </w:r>
      <w:r>
        <w:rPr>
          <w:color w:val="auto"/>
          <w:sz w:val="28"/>
          <w:szCs w:val="22"/>
          <w:highlight w:val="none"/>
        </w:rPr>
        <w:t>6</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_Toc23858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第三章  招标内容及要求</w:t>
      </w:r>
      <w:bookmarkStart w:id="125" w:name="_GoBack"/>
      <w:bookmarkEnd w:id="125"/>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_Toc23858 \h </w:instrText>
      </w:r>
      <w:r>
        <w:rPr>
          <w:color w:val="auto"/>
          <w:sz w:val="28"/>
          <w:szCs w:val="22"/>
          <w:highlight w:val="none"/>
        </w:rPr>
        <w:fldChar w:fldCharType="separate"/>
      </w:r>
      <w:r>
        <w:rPr>
          <w:color w:val="auto"/>
          <w:sz w:val="28"/>
          <w:szCs w:val="22"/>
          <w:highlight w:val="none"/>
        </w:rPr>
        <w:t>32</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_Toc16380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第四章  合同文本</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_Toc16380 \h </w:instrText>
      </w:r>
      <w:r>
        <w:rPr>
          <w:color w:val="auto"/>
          <w:sz w:val="28"/>
          <w:szCs w:val="22"/>
          <w:highlight w:val="none"/>
        </w:rPr>
        <w:fldChar w:fldCharType="separate"/>
      </w:r>
      <w:r>
        <w:rPr>
          <w:color w:val="auto"/>
          <w:sz w:val="28"/>
          <w:szCs w:val="22"/>
          <w:highlight w:val="none"/>
        </w:rPr>
        <w:t>53</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before="0" w:beforeLines="0" w:after="0" w:afterLines="0" w:line="360" w:lineRule="auto"/>
        <w:textAlignment w:val="auto"/>
        <w:rPr>
          <w:color w:val="auto"/>
          <w:sz w:val="28"/>
          <w:szCs w:val="22"/>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 HYPERLINK \l _Toc7518 </w:instrText>
      </w:r>
      <w:r>
        <w:rPr>
          <w:rFonts w:hint="eastAsia" w:ascii="仿宋" w:hAnsi="仿宋" w:eastAsia="仿宋" w:cs="仿宋"/>
          <w:color w:val="auto"/>
          <w:sz w:val="28"/>
          <w:szCs w:val="22"/>
          <w:highlight w:val="none"/>
        </w:rPr>
        <w:fldChar w:fldCharType="separate"/>
      </w:r>
      <w:r>
        <w:rPr>
          <w:rFonts w:hint="eastAsia" w:ascii="仿宋" w:hAnsi="仿宋" w:eastAsia="仿宋" w:cs="仿宋"/>
          <w:bCs/>
          <w:color w:val="auto"/>
          <w:sz w:val="28"/>
          <w:szCs w:val="22"/>
          <w:highlight w:val="none"/>
        </w:rPr>
        <w:t>第五章  投标文件构成及格式</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_Toc7518 \h </w:instrText>
      </w:r>
      <w:r>
        <w:rPr>
          <w:color w:val="auto"/>
          <w:sz w:val="28"/>
          <w:szCs w:val="22"/>
          <w:highlight w:val="none"/>
        </w:rPr>
        <w:fldChar w:fldCharType="separate"/>
      </w:r>
      <w:r>
        <w:rPr>
          <w:color w:val="auto"/>
          <w:sz w:val="28"/>
          <w:szCs w:val="22"/>
          <w:highlight w:val="none"/>
        </w:rPr>
        <w:t>57</w:t>
      </w:r>
      <w:r>
        <w:rPr>
          <w:color w:val="auto"/>
          <w:sz w:val="28"/>
          <w:szCs w:val="22"/>
          <w:highlight w:val="none"/>
        </w:rPr>
        <w:fldChar w:fldCharType="end"/>
      </w:r>
      <w:r>
        <w:rPr>
          <w:rFonts w:hint="eastAsia" w:ascii="仿宋" w:hAnsi="仿宋" w:eastAsia="仿宋" w:cs="仿宋"/>
          <w:color w:val="auto"/>
          <w:sz w:val="28"/>
          <w:szCs w:val="22"/>
          <w:highlight w:val="none"/>
        </w:rPr>
        <w:fldChar w:fldCharType="end"/>
      </w:r>
    </w:p>
    <w:p>
      <w:pPr>
        <w:pStyle w:val="24"/>
        <w:tabs>
          <w:tab w:val="right" w:leader="dot" w:pos="8306"/>
        </w:tabs>
        <w:rPr>
          <w:color w:val="auto"/>
          <w:highlight w:val="none"/>
        </w:rPr>
      </w:pPr>
    </w:p>
    <w:p>
      <w:pPr>
        <w:pStyle w:val="2"/>
        <w:rPr>
          <w:rFonts w:hint="eastAsia"/>
          <w:color w:val="auto"/>
          <w:highlight w:val="none"/>
        </w:rPr>
      </w:pPr>
      <w:r>
        <w:rPr>
          <w:rFonts w:hint="eastAsia" w:ascii="仿宋" w:hAnsi="仿宋" w:eastAsia="仿宋" w:cs="仿宋"/>
          <w:color w:val="auto"/>
          <w:szCs w:val="24"/>
          <w:highlight w:val="none"/>
        </w:rPr>
        <w:fldChar w:fldCharType="end"/>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spacing w:line="240" w:lineRule="auto"/>
        <w:rPr>
          <w:rFonts w:hint="eastAsia" w:ascii="仿宋" w:hAnsi="仿宋" w:eastAsia="仿宋" w:cs="仿宋"/>
          <w:b/>
          <w:bCs/>
          <w:color w:val="auto"/>
          <w:highlight w:val="none"/>
        </w:rPr>
      </w:pPr>
      <w:bookmarkStart w:id="2" w:name="_Toc25285"/>
      <w:r>
        <w:rPr>
          <w:rFonts w:hint="eastAsia" w:ascii="仿宋" w:hAnsi="仿宋" w:eastAsia="仿宋" w:cs="仿宋"/>
          <w:b/>
          <w:bCs/>
          <w:color w:val="auto"/>
          <w:highlight w:val="none"/>
        </w:rPr>
        <w:t>第一章  投标邀请函</w:t>
      </w:r>
      <w:bookmarkEnd w:id="0"/>
      <w:bookmarkEnd w:id="1"/>
      <w:bookmarkEnd w:id="2"/>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sz w:val="24"/>
          <w:szCs w:val="24"/>
          <w:highlight w:val="none"/>
          <w:shd w:val="clear" w:color="auto" w:fill="FFFFFF"/>
          <w:lang w:eastAsia="zh-CN"/>
        </w:rPr>
        <w:t>陕西龙辰全过程工程咨询有限公司</w:t>
      </w:r>
      <w:r>
        <w:rPr>
          <w:rFonts w:hint="eastAsia" w:ascii="仿宋" w:hAnsi="仿宋" w:eastAsia="仿宋" w:cs="仿宋"/>
          <w:color w:val="auto"/>
          <w:sz w:val="24"/>
          <w:szCs w:val="24"/>
          <w:highlight w:val="none"/>
        </w:rPr>
        <w:t>受</w:t>
      </w:r>
      <w:r>
        <w:rPr>
          <w:rFonts w:hint="eastAsia" w:ascii="仿宋" w:hAnsi="仿宋" w:eastAsia="仿宋" w:cs="仿宋"/>
          <w:b/>
          <w:bCs/>
          <w:i w:val="0"/>
          <w:caps w:val="0"/>
          <w:color w:val="auto"/>
          <w:spacing w:val="0"/>
          <w:sz w:val="24"/>
          <w:szCs w:val="24"/>
          <w:highlight w:val="none"/>
          <w:shd w:val="clear" w:color="auto" w:fill="FFFFFF"/>
          <w:lang w:val="en-US" w:eastAsia="zh-CN"/>
        </w:rPr>
        <w:t>西安市环境监测站</w:t>
      </w:r>
      <w:r>
        <w:rPr>
          <w:rFonts w:hint="eastAsia" w:ascii="仿宋" w:hAnsi="仿宋" w:eastAsia="仿宋" w:cs="仿宋"/>
          <w:color w:val="auto"/>
          <w:sz w:val="24"/>
          <w:szCs w:val="24"/>
          <w:highlight w:val="none"/>
        </w:rPr>
        <w:t>的委托，经政府采购监管部门批准，按照政府采购程序，对</w:t>
      </w:r>
      <w:r>
        <w:rPr>
          <w:rFonts w:hint="eastAsia" w:ascii="仿宋" w:hAnsi="仿宋" w:eastAsia="仿宋" w:cs="仿宋"/>
          <w:b/>
          <w:bCs/>
          <w:color w:val="auto"/>
          <w:sz w:val="24"/>
          <w:szCs w:val="24"/>
          <w:highlight w:val="none"/>
          <w:lang w:eastAsia="zh-CN"/>
        </w:rPr>
        <w:t>西安市渭河水质预测预警能力建设项目-水质自动站建设</w:t>
      </w:r>
      <w:r>
        <w:rPr>
          <w:rFonts w:hint="eastAsia" w:ascii="仿宋" w:hAnsi="仿宋" w:eastAsia="仿宋" w:cs="仿宋"/>
          <w:color w:val="auto"/>
          <w:sz w:val="24"/>
          <w:szCs w:val="24"/>
          <w:highlight w:val="none"/>
        </w:rPr>
        <w:t>进行公开招标，欢迎符合资格条件的、有能力提供本项目所需货物和服务的供应商参加投标。</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3" w:name="_Toc27017"/>
      <w:r>
        <w:rPr>
          <w:rFonts w:hint="eastAsia" w:ascii="仿宋" w:hAnsi="仿宋" w:eastAsia="仿宋" w:cs="仿宋"/>
          <w:color w:val="auto"/>
          <w:sz w:val="24"/>
          <w:szCs w:val="24"/>
          <w:highlight w:val="none"/>
        </w:rPr>
        <w:t>一、项目基本信息：</w:t>
      </w:r>
      <w:bookmarkEnd w:id="3"/>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西安市渭河水质预测预警能力建设项目-水质自动站建设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LC-ZC-2023-021-001</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备案（核准）编号</w:t>
      </w:r>
      <w:r>
        <w:rPr>
          <w:rFonts w:hint="eastAsia" w:ascii="仿宋" w:hAnsi="仿宋" w:eastAsia="仿宋" w:cs="仿宋"/>
          <w:color w:val="auto"/>
          <w:sz w:val="24"/>
          <w:szCs w:val="24"/>
          <w:highlight w:val="none"/>
        </w:rPr>
        <w:t>：ZCBN-西安市-2023-05789</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rPr>
      </w:pPr>
      <w:bookmarkStart w:id="4" w:name="_Toc19978"/>
      <w:r>
        <w:rPr>
          <w:rFonts w:hint="eastAsia" w:ascii="仿宋" w:hAnsi="仿宋" w:eastAsia="仿宋" w:cs="仿宋"/>
          <w:color w:val="auto"/>
          <w:sz w:val="24"/>
          <w:szCs w:val="24"/>
          <w:highlight w:val="none"/>
        </w:rPr>
        <w:t>二、项目性质：</w:t>
      </w:r>
      <w:r>
        <w:rPr>
          <w:rFonts w:hint="eastAsia" w:ascii="仿宋" w:hAnsi="仿宋" w:eastAsia="仿宋" w:cs="仿宋"/>
          <w:b/>
          <w:bCs/>
          <w:color w:val="auto"/>
          <w:sz w:val="24"/>
          <w:szCs w:val="24"/>
          <w:highlight w:val="none"/>
        </w:rPr>
        <w:t>非专门面向中小企业采购</w:t>
      </w:r>
      <w:bookmarkEnd w:id="4"/>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三、采购内容和要求：</w:t>
      </w:r>
      <w:r>
        <w:rPr>
          <w:rFonts w:hint="eastAsia" w:ascii="仿宋" w:hAnsi="仿宋" w:eastAsia="仿宋" w:cs="仿宋"/>
          <w:b w:val="0"/>
          <w:bCs/>
          <w:i w:val="0"/>
          <w:caps w:val="0"/>
          <w:color w:val="auto"/>
          <w:spacing w:val="0"/>
          <w:sz w:val="24"/>
          <w:szCs w:val="24"/>
          <w:highlight w:val="none"/>
          <w:shd w:val="clear" w:color="auto" w:fill="FFFFFF"/>
          <w:lang w:val="en-US" w:eastAsia="zh-CN"/>
        </w:rPr>
        <w:t>建设1座水质自动监测示范站</w:t>
      </w:r>
      <w:r>
        <w:rPr>
          <w:rFonts w:hint="eastAsia" w:ascii="仿宋" w:hAnsi="仿宋" w:eastAsia="仿宋" w:cs="仿宋"/>
          <w:color w:val="auto"/>
          <w:sz w:val="24"/>
          <w:szCs w:val="24"/>
          <w:highlight w:val="none"/>
        </w:rPr>
        <w:t>（详见招标文件第三章〈招标内容及要求〉）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四、采购预算：</w:t>
      </w:r>
      <w:r>
        <w:rPr>
          <w:rFonts w:hint="eastAsia" w:ascii="仿宋" w:hAnsi="仿宋" w:eastAsia="仿宋" w:cs="仿宋"/>
          <w:b w:val="0"/>
          <w:bCs/>
          <w:i w:val="0"/>
          <w:caps w:val="0"/>
          <w:color w:val="auto"/>
          <w:spacing w:val="0"/>
          <w:sz w:val="24"/>
          <w:szCs w:val="24"/>
          <w:highlight w:val="none"/>
          <w:shd w:val="clear" w:color="auto" w:fill="FFFFFF"/>
          <w:lang w:val="en-US" w:eastAsia="zh-CN"/>
        </w:rPr>
        <w:t>2100000.00元</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5" w:name="_Toc13429"/>
      <w:r>
        <w:rPr>
          <w:rFonts w:hint="eastAsia" w:ascii="仿宋" w:hAnsi="仿宋" w:eastAsia="仿宋" w:cs="仿宋"/>
          <w:color w:val="auto"/>
          <w:sz w:val="24"/>
          <w:szCs w:val="24"/>
          <w:highlight w:val="none"/>
        </w:rPr>
        <w:t>五、供应商资格要求：</w:t>
      </w:r>
      <w:bookmarkEnd w:id="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1．基本资格条件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满足《中华人民共和国政府釆购法》第二十二条规定。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2．特定资格条件</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20"/>
        <w:jc w:val="both"/>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1</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4"/>
          <w:szCs w:val="24"/>
          <w:highlight w:val="none"/>
          <w:shd w:val="clear" w:color="auto" w:fill="FFFFFF"/>
          <w:lang w:val="en-US" w:eastAsia="zh-CN"/>
        </w:rPr>
        <w:t>投标</w:t>
      </w:r>
      <w:r>
        <w:rPr>
          <w:rFonts w:hint="eastAsia" w:ascii="仿宋" w:hAnsi="仿宋" w:eastAsia="仿宋" w:cs="仿宋"/>
          <w:i w:val="0"/>
          <w:caps w:val="0"/>
          <w:color w:val="auto"/>
          <w:spacing w:val="0"/>
          <w:sz w:val="24"/>
          <w:szCs w:val="24"/>
          <w:highlight w:val="none"/>
          <w:shd w:val="clear" w:color="auto" w:fill="FFFFFF"/>
        </w:rPr>
        <w:t>，须提供法定代表人身份证明及</w:t>
      </w:r>
      <w:r>
        <w:rPr>
          <w:rFonts w:hint="eastAsia" w:ascii="仿宋" w:hAnsi="仿宋" w:eastAsia="仿宋" w:cs="仿宋"/>
          <w:i w:val="0"/>
          <w:caps w:val="0"/>
          <w:color w:val="auto"/>
          <w:spacing w:val="0"/>
          <w:sz w:val="24"/>
          <w:szCs w:val="24"/>
          <w:highlight w:val="none"/>
          <w:shd w:val="clear" w:color="auto" w:fill="FFFFFF"/>
          <w:lang w:val="en-US" w:eastAsia="zh-CN"/>
        </w:rPr>
        <w:t>本人</w:t>
      </w:r>
      <w:r>
        <w:rPr>
          <w:rFonts w:hint="eastAsia" w:ascii="仿宋" w:hAnsi="仿宋" w:eastAsia="仿宋" w:cs="仿宋"/>
          <w:i w:val="0"/>
          <w:caps w:val="0"/>
          <w:color w:val="auto"/>
          <w:spacing w:val="0"/>
          <w:sz w:val="24"/>
          <w:szCs w:val="24"/>
          <w:highlight w:val="none"/>
          <w:shd w:val="clear" w:color="auto" w:fill="FFFFFF"/>
        </w:rPr>
        <w:t>身份证）；</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20"/>
        <w:jc w:val="both"/>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i w:val="0"/>
          <w:caps w:val="0"/>
          <w:color w:val="auto"/>
          <w:spacing w:val="0"/>
          <w:sz w:val="24"/>
          <w:szCs w:val="24"/>
          <w:highlight w:val="none"/>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6" w:name="_Toc12699"/>
      <w:r>
        <w:rPr>
          <w:rFonts w:hint="eastAsia" w:ascii="仿宋" w:hAnsi="仿宋" w:eastAsia="仿宋" w:cs="仿宋"/>
          <w:color w:val="auto"/>
          <w:sz w:val="24"/>
          <w:szCs w:val="24"/>
          <w:highlight w:val="none"/>
        </w:rPr>
        <w:t>六、执行的其他政府采购政策：</w:t>
      </w:r>
      <w:bookmarkEnd w:id="6"/>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管理办法》（财库〔2020〕46号）、《关于政府采购支持监狱企业发展有关问题的通知》（财库〔2014〕68号）以及《关于促进残疾人就业政府采购政策的通知》（财库〔2017〕141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3．陕西省财政厅关于印发《陕西省中小企业政府采购信用融资办法》（陕财办采〔2018〕23号）。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4．详见招标文件第二章相关事项。</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7" w:name="_Toc9313"/>
      <w:r>
        <w:rPr>
          <w:rFonts w:hint="eastAsia" w:ascii="仿宋" w:hAnsi="仿宋" w:eastAsia="仿宋" w:cs="仿宋"/>
          <w:color w:val="auto"/>
          <w:sz w:val="24"/>
          <w:szCs w:val="24"/>
          <w:highlight w:val="none"/>
        </w:rPr>
        <w:t>七、招标文件获取方式及公告期限：</w:t>
      </w:r>
      <w:bookmarkEnd w:id="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1．获取方式：打开【全国公共资源交易平台（陕西省·西安市）】网站（简称西安市公共资源交易平台，官网地址：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"http://sxggzyjy.xa.gov.cn/" </w:instrText>
      </w:r>
      <w:r>
        <w:rPr>
          <w:rFonts w:hint="eastAsia" w:ascii="仿宋" w:hAnsi="仿宋" w:eastAsia="仿宋" w:cs="仿宋"/>
          <w:color w:val="auto"/>
          <w:sz w:val="24"/>
          <w:szCs w:val="24"/>
          <w:highlight w:val="none"/>
        </w:rPr>
        <w:fldChar w:fldCharType="separate"/>
      </w:r>
      <w:r>
        <w:rPr>
          <w:rStyle w:val="38"/>
          <w:rFonts w:hint="eastAsia" w:ascii="仿宋" w:hAnsi="仿宋" w:eastAsia="仿宋" w:cs="仿宋"/>
          <w:color w:val="auto"/>
          <w:sz w:val="24"/>
          <w:szCs w:val="24"/>
          <w:highlight w:val="none"/>
          <w:u w:val="none"/>
        </w:rPr>
        <w:t>http://sxggzyjy.xa.gov.cn/</w:t>
      </w:r>
      <w:r>
        <w:rPr>
          <w:rStyle w:val="38"/>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2．招标文件公告期：自招标公告发布之日起5个工作日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3．友情提示：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（2）制作电子投标文件（*.SXSTF）需要使用专用制作工具。软件下载及操作说明详见西安市公共资源交易平台〖首页·〉服务指南·〉下载专区〗中的《政府采购项目投标文件制作软件及操作手册》。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8" w:name="_Toc23321"/>
      <w:r>
        <w:rPr>
          <w:rFonts w:hint="eastAsia" w:ascii="仿宋" w:hAnsi="仿宋" w:eastAsia="仿宋" w:cs="仿宋"/>
          <w:color w:val="auto"/>
          <w:sz w:val="24"/>
          <w:szCs w:val="24"/>
          <w:highlight w:val="none"/>
        </w:rPr>
        <w:t>八、提交投标文件方式、截止时间及开标时间、形式：</w:t>
      </w:r>
      <w:bookmarkEnd w:id="8"/>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2．提交投标文件截止时间及开标时间：202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lang w:val="en-US" w:eastAsia="zh-CN"/>
        </w:rPr>
        <w:t>09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，逾期提交的，系统将拒绝接收。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3．开标形式：本项目将采用“不见面开标”形式。操作说明详见平台〖首页·〉服务指南·〉下载专区〗中的《西安公共资源交易不见面开标大厅供应商操作手册》。</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bookmarkStart w:id="9" w:name="_Toc24775"/>
      <w:r>
        <w:rPr>
          <w:rFonts w:hint="eastAsia" w:ascii="仿宋" w:hAnsi="仿宋" w:eastAsia="仿宋" w:cs="仿宋"/>
          <w:color w:val="auto"/>
          <w:sz w:val="24"/>
          <w:szCs w:val="24"/>
          <w:highlight w:val="none"/>
        </w:rPr>
        <w:t>九、联系方式</w:t>
      </w:r>
      <w:bookmarkEnd w:id="9"/>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w:t>
      </w:r>
      <w:r>
        <w:rPr>
          <w:rFonts w:hint="eastAsia" w:ascii="仿宋" w:hAnsi="仿宋" w:eastAsia="仿宋" w:cs="仿宋"/>
          <w:i w:val="0"/>
          <w:caps w:val="0"/>
          <w:color w:val="auto"/>
          <w:spacing w:val="0"/>
          <w:sz w:val="24"/>
          <w:szCs w:val="24"/>
          <w:highlight w:val="none"/>
          <w:shd w:val="clear" w:color="auto" w:fill="FFFFFF"/>
          <w:lang w:val="en-US" w:eastAsia="zh-CN"/>
        </w:rPr>
        <w:t>西安市环境监测站</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i w:val="0"/>
          <w:caps w:val="0"/>
          <w:color w:val="auto"/>
          <w:spacing w:val="0"/>
          <w:sz w:val="24"/>
          <w:szCs w:val="24"/>
          <w:highlight w:val="none"/>
          <w:shd w:val="clear" w:color="auto" w:fill="FFFFFF"/>
          <w:lang w:val="en-US" w:eastAsia="zh-CN"/>
        </w:rPr>
        <w:t>西安市长安区建业三路7号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李老师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i w:val="0"/>
          <w:caps w:val="0"/>
          <w:color w:val="auto"/>
          <w:spacing w:val="0"/>
          <w:sz w:val="24"/>
          <w:szCs w:val="24"/>
          <w:highlight w:val="none"/>
          <w:shd w:val="clear" w:color="auto" w:fill="FFFFFF"/>
          <w:lang w:val="en-US" w:eastAsia="zh-CN"/>
        </w:rPr>
        <w:t>029-85910165</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w:t>
      </w:r>
      <w:r>
        <w:rPr>
          <w:rFonts w:hint="eastAsia" w:ascii="仿宋" w:hAnsi="仿宋" w:eastAsia="仿宋" w:cs="仿宋"/>
          <w:i w:val="0"/>
          <w:caps w:val="0"/>
          <w:color w:val="auto"/>
          <w:spacing w:val="0"/>
          <w:sz w:val="24"/>
          <w:szCs w:val="24"/>
          <w:highlight w:val="none"/>
          <w:shd w:val="clear" w:color="auto" w:fill="FFFFFF"/>
          <w:lang w:eastAsia="zh-CN"/>
        </w:rPr>
        <w:t>陕西龙辰全过程工程咨询有限公司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i w:val="0"/>
          <w:caps w:val="0"/>
          <w:color w:val="auto"/>
          <w:spacing w:val="0"/>
          <w:sz w:val="24"/>
          <w:szCs w:val="24"/>
          <w:highlight w:val="none"/>
          <w:shd w:val="clear" w:color="auto" w:fill="FFFFFF"/>
          <w:lang w:eastAsia="zh-CN"/>
        </w:rPr>
        <w:t>西安市朱宏路3号陕西省统建管理办公室10楼（西安银行南侧）</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highlight w:val="none"/>
          <w:lang w:val="en-US" w:eastAsia="zh-CN"/>
        </w:rPr>
      </w:pPr>
      <w:bookmarkStart w:id="10" w:name="_Toc534656414"/>
      <w:bookmarkStart w:id="11" w:name="_Toc498349068"/>
      <w:bookmarkStart w:id="12" w:name="_Toc445407251"/>
      <w:bookmarkStart w:id="13" w:name="_Toc534656409"/>
      <w:bookmarkStart w:id="14" w:name="_Toc533363262"/>
      <w:bookmarkStart w:id="15" w:name="_Toc100219613"/>
      <w:bookmarkStart w:id="16" w:name="_Toc97563329"/>
      <w:bookmarkStart w:id="17" w:name="_Toc533363235"/>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乔子霁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i w:val="0"/>
          <w:caps w:val="0"/>
          <w:color w:val="auto"/>
          <w:spacing w:val="0"/>
          <w:sz w:val="24"/>
          <w:szCs w:val="24"/>
          <w:highlight w:val="none"/>
          <w:shd w:val="clear" w:color="auto" w:fill="FFFFFF"/>
          <w:lang w:eastAsia="zh-CN"/>
        </w:rPr>
        <w:t>029-86350681</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3"/>
        <w:spacing w:line="240" w:lineRule="auto"/>
        <w:rPr>
          <w:rFonts w:hint="eastAsia" w:ascii="仿宋" w:hAnsi="仿宋" w:eastAsia="仿宋" w:cs="仿宋"/>
          <w:b/>
          <w:bCs/>
          <w:color w:val="auto"/>
          <w:highlight w:val="none"/>
        </w:rPr>
      </w:pPr>
      <w:bookmarkStart w:id="18" w:name="_Toc3436"/>
      <w:bookmarkStart w:id="19" w:name="_Toc4748"/>
      <w:r>
        <w:rPr>
          <w:rFonts w:hint="eastAsia" w:ascii="仿宋" w:hAnsi="仿宋" w:eastAsia="仿宋" w:cs="仿宋"/>
          <w:b/>
          <w:bCs/>
          <w:color w:val="auto"/>
          <w:highlight w:val="none"/>
        </w:rPr>
        <w:t>第二章  供应商须知</w:t>
      </w:r>
      <w:bookmarkEnd w:id="10"/>
      <w:bookmarkEnd w:id="11"/>
      <w:bookmarkEnd w:id="12"/>
      <w:bookmarkEnd w:id="13"/>
      <w:bookmarkEnd w:id="14"/>
      <w:bookmarkEnd w:id="15"/>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bookmarkStart w:id="20" w:name="_Toc1054"/>
      <w:bookmarkStart w:id="21" w:name="_Toc23771"/>
      <w:r>
        <w:rPr>
          <w:rFonts w:hint="eastAsia" w:ascii="仿宋" w:hAnsi="仿宋" w:eastAsia="仿宋" w:cs="仿宋"/>
          <w:color w:val="auto"/>
          <w:sz w:val="30"/>
          <w:szCs w:val="30"/>
          <w:highlight w:val="none"/>
        </w:rPr>
        <w:t>〖前附表〗</w:t>
      </w:r>
      <w:bookmarkEnd w:id="20"/>
      <w:bookmarkEnd w:id="21"/>
    </w:p>
    <w:tbl>
      <w:tblPr>
        <w:tblStyle w:val="32"/>
        <w:tblW w:w="862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3"/>
        <w:gridCol w:w="2635"/>
        <w:gridCol w:w="525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tcBorders>
              <w:top w:val="single" w:color="auto" w:sz="12" w:space="0"/>
              <w:bottom w:val="single" w:color="auto" w:sz="2" w:space="0"/>
            </w:tcBorders>
            <w:shd w:val="clear" w:color="auto" w:fill="F1F1F1" w:themeFill="background1" w:themeFillShade="F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635" w:type="dxa"/>
            <w:tcBorders>
              <w:top w:val="single" w:color="auto" w:sz="12" w:space="0"/>
              <w:bottom w:val="single" w:color="auto" w:sz="2" w:space="0"/>
            </w:tcBorders>
            <w:shd w:val="clear" w:color="auto" w:fill="F1F1F1" w:themeFill="background1" w:themeFillShade="F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c>
          <w:tcPr>
            <w:tcW w:w="5257" w:type="dxa"/>
            <w:tcBorders>
              <w:top w:val="single" w:color="auto" w:sz="12" w:space="0"/>
              <w:bottom w:val="single" w:color="auto" w:sz="2" w:space="0"/>
            </w:tcBorders>
            <w:shd w:val="clear" w:color="auto" w:fill="F1F1F1" w:themeFill="background1" w:themeFillShade="F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tcBorders>
              <w:top w:val="single" w:color="auto" w:sz="2" w:space="0"/>
            </w:tcBorders>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35" w:type="dxa"/>
            <w:tcBorders>
              <w:top w:val="single" w:color="auto" w:sz="2" w:space="0"/>
            </w:tcBorders>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257" w:type="dxa"/>
            <w:tcBorders>
              <w:top w:val="single" w:color="auto" w:sz="2" w:space="0"/>
            </w:tcBorders>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西安市渭河水质预测预警能力建设项目-水质自动站建设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LC-ZC-2023-021-001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35" w:type="dxa"/>
            <w:shd w:val="clear" w:color="auto" w:fill="auto"/>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备案（核准）编号</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ZCBN-西安市-2023-05789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是否预留份额</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专门面向中小企业采购</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2139916130"/>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2072024220"/>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vMerge w:val="restart"/>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cs="仿宋"/>
                <w:b w:val="0"/>
                <w:bCs/>
                <w:i w:val="0"/>
                <w:caps w:val="0"/>
                <w:color w:val="auto"/>
                <w:spacing w:val="0"/>
                <w:sz w:val="21"/>
                <w:szCs w:val="21"/>
                <w:highlight w:val="none"/>
                <w:shd w:val="clear" w:color="auto" w:fill="FFFFFF"/>
                <w:lang w:val="en-US" w:eastAsia="zh-CN"/>
              </w:rPr>
              <w:t>2100000</w:t>
            </w:r>
            <w:r>
              <w:rPr>
                <w:rFonts w:hint="eastAsia" w:ascii="仿宋" w:hAnsi="仿宋" w:eastAsia="仿宋" w:cs="仿宋"/>
                <w:b w:val="0"/>
                <w:bCs/>
                <w:i w:val="0"/>
                <w:caps w:val="0"/>
                <w:color w:val="auto"/>
                <w:spacing w:val="0"/>
                <w:sz w:val="21"/>
                <w:szCs w:val="21"/>
                <w:highlight w:val="none"/>
                <w:shd w:val="clear" w:color="auto" w:fill="FFFFFF"/>
                <w:lang w:val="en-US" w:eastAsia="zh-CN"/>
              </w:rPr>
              <w:t>.00元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vMerge w:val="continue"/>
            <w:shd w:val="clear" w:color="auto" w:fill="auto"/>
            <w:vAlign w:val="center"/>
          </w:tcPr>
          <w:p>
            <w:pPr>
              <w:jc w:val="center"/>
              <w:rPr>
                <w:rFonts w:hint="eastAsia" w:ascii="仿宋" w:hAnsi="仿宋" w:eastAsia="仿宋" w:cs="仿宋"/>
                <w:color w:val="auto"/>
                <w:sz w:val="21"/>
                <w:szCs w:val="21"/>
                <w:highlight w:val="none"/>
              </w:rPr>
            </w:pP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608160193"/>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1317929335"/>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是否允许进口产品</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8570254"/>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1689594843"/>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是否允许大中企业</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向小微企业分包</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365725084"/>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54473539"/>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供应商应在领取中标通知书后5个工作日内将履约保证金足额交纳至采购人账户，其数额（或担保金额）为合同金额的5%（舍入到百元），履约保证金由采购人自行收取和退还。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投标文件份数</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投标供应商无需提供；</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获取项目图纸</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现场踏勘和集中答疑</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查看定制产品原样</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提交投标样品</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标前测试</w:t>
            </w:r>
          </w:p>
        </w:tc>
        <w:tc>
          <w:tcPr>
            <w:tcW w:w="5257" w:type="dxa"/>
            <w:shd w:val="clear" w:color="auto" w:fill="auto"/>
            <w:vAlign w:val="center"/>
          </w:tcPr>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政府采购信息发布媒体</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（采购公告、采购结果公告、变更公告）</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1．陕西省政府采购网：仅提供项目公告，官网地址：http://ccgp-shaanxi.gov.cn/。</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询问和质疑</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投诉受理</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1．受理单位：</w:t>
            </w:r>
            <w:r>
              <w:rPr>
                <w:rFonts w:hint="eastAsia" w:ascii="仿宋" w:hAnsi="仿宋" w:eastAsia="仿宋" w:cs="仿宋"/>
                <w:color w:val="auto"/>
                <w:sz w:val="21"/>
                <w:szCs w:val="21"/>
                <w:highlight w:val="none"/>
                <w:lang w:val="en-US" w:eastAsia="zh-CN"/>
              </w:rPr>
              <w:t>西安市财政局政府采购管理处</w:t>
            </w:r>
          </w:p>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2．联系电话：</w:t>
            </w:r>
            <w:r>
              <w:rPr>
                <w:rFonts w:hint="eastAsia" w:ascii="仿宋" w:hAnsi="仿宋" w:eastAsia="仿宋" w:cs="仿宋"/>
                <w:color w:val="auto"/>
                <w:sz w:val="21"/>
                <w:szCs w:val="21"/>
                <w:highlight w:val="none"/>
                <w:lang w:val="en-US" w:eastAsia="zh-CN"/>
              </w:rPr>
              <w:t>029-89821846</w:t>
            </w:r>
          </w:p>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3．地址：西安市未央区西北国金中心 A 座 18 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资格前审</w:t>
            </w:r>
          </w:p>
        </w:tc>
        <w:tc>
          <w:tcPr>
            <w:tcW w:w="5257" w:type="dxa"/>
            <w:shd w:val="clear" w:color="auto" w:fill="auto"/>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信用信息查询截至时点</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开标形式</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077786224"/>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 xml:space="preserve">不见面开标  </w:t>
            </w:r>
            <w:sdt>
              <w:sdtPr>
                <w:rPr>
                  <w:rFonts w:hint="eastAsia" w:ascii="仿宋" w:hAnsi="仿宋" w:eastAsia="仿宋" w:cs="仿宋"/>
                  <w:color w:val="auto"/>
                  <w:sz w:val="21"/>
                  <w:szCs w:val="21"/>
                  <w:highlight w:val="none"/>
                </w:rPr>
                <w:id w:val="1553575034"/>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见面开标</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是否允许递交多个备选投标方案</w:t>
            </w:r>
          </w:p>
        </w:tc>
        <w:tc>
          <w:tcPr>
            <w:tcW w:w="5257" w:type="dxa"/>
            <w:shd w:val="clear" w:color="auto" w:fill="auto"/>
            <w:vAlign w:val="center"/>
          </w:tcPr>
          <w:p>
            <w:pPr>
              <w:jc w:val="left"/>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608857843"/>
                <w14:checkbox>
                  <w14:checked w14:val="0"/>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 xml:space="preserve">是  </w:t>
            </w:r>
            <w:sdt>
              <w:sdtPr>
                <w:rPr>
                  <w:rFonts w:hint="eastAsia" w:ascii="仿宋" w:hAnsi="仿宋" w:eastAsia="仿宋" w:cs="仿宋"/>
                  <w:color w:val="auto"/>
                  <w:sz w:val="21"/>
                  <w:szCs w:val="21"/>
                  <w:highlight w:val="none"/>
                </w:rPr>
                <w:id w:val="618331253"/>
                <w14:checkbox>
                  <w14:checked w14:val="1"/>
                  <w14:checkedState w14:val="2611" w14:font="MS Gothic"/>
                  <w14:uncheckedState w14:val="2610" w14:font="MS Gothic"/>
                </w14:checkbox>
              </w:sdtPr>
              <w:sdtEndPr>
                <w:rPr>
                  <w:rFonts w:hint="eastAsia" w:ascii="仿宋" w:hAnsi="仿宋" w:eastAsia="仿宋" w:cs="仿宋"/>
                  <w:color w:val="auto"/>
                  <w:sz w:val="21"/>
                  <w:szCs w:val="21"/>
                  <w:highlight w:val="none"/>
                </w:rPr>
              </w:sdtEndPr>
              <w:sdtContent>
                <w:r>
                  <w:rPr>
                    <w:rFonts w:hint="eastAsia" w:ascii="MS Gothic" w:hAnsi="MS Gothic" w:eastAsia="仿宋" w:cs="仿宋"/>
                    <w:color w:val="auto"/>
                    <w:sz w:val="21"/>
                    <w:szCs w:val="21"/>
                    <w:highlight w:val="none"/>
                    <w:lang w:val="en-US" w:eastAsia="zh-CN" w:bidi="ar-SA"/>
                  </w:rPr>
                  <w:t>☑</w:t>
                </w:r>
              </w:sdtContent>
            </w:sdt>
            <w:r>
              <w:rPr>
                <w:rFonts w:hint="eastAsia" w:ascii="仿宋" w:hAnsi="仿宋" w:eastAsia="仿宋" w:cs="仿宋"/>
                <w:color w:val="auto"/>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会确定中标人</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中标通知书</w:t>
            </w:r>
          </w:p>
        </w:tc>
        <w:tc>
          <w:tcPr>
            <w:tcW w:w="5257" w:type="dxa"/>
            <w:shd w:val="clear" w:color="auto" w:fill="auto"/>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中标供应商自行在“全国公共资源交易平台（陕西省·西安市）http://sxggzyjy.xa.gov.cn/”打印中标通知书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西安市公共资源交易中心电子化政府采购系统技术支持（软件开发商）</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国泰新点软件股份有限公司</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1．技术支持热线：400-998-0000/400-928-0095</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27</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CA业务网点</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电子交易平台现已接入陕西 CA、深圳 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项目属性</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29</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所属行业</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2635" w:type="dxa"/>
            <w:shd w:val="clear" w:color="auto" w:fill="auto"/>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中小企业划定标准</w:t>
            </w:r>
          </w:p>
        </w:tc>
        <w:tc>
          <w:tcPr>
            <w:tcW w:w="5257" w:type="dxa"/>
            <w:shd w:val="clear" w:color="auto" w:fill="auto"/>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2635" w:type="dxa"/>
            <w:shd w:val="clear" w:color="auto" w:fill="auto"/>
            <w:vAlign w:val="center"/>
          </w:tcPr>
          <w:p>
            <w:pPr>
              <w:spacing w:line="288" w:lineRule="auto"/>
              <w:jc w:val="center"/>
              <w:rPr>
                <w:rFonts w:hint="default" w:ascii="仿宋" w:hAnsi="仿宋" w:cs="仿宋" w:eastAsiaTheme="minorEastAsia"/>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代理服务费</w:t>
            </w:r>
          </w:p>
        </w:tc>
        <w:tc>
          <w:tcPr>
            <w:tcW w:w="5257" w:type="dxa"/>
            <w:shd w:val="clear" w:color="auto" w:fill="auto"/>
            <w:vAlign w:val="center"/>
          </w:tcPr>
          <w:p>
            <w:pPr>
              <w:pStyle w:val="104"/>
              <w:keepNext w:val="0"/>
              <w:keepLines w:val="0"/>
              <w:pageBreakBefore w:val="0"/>
              <w:widowControl/>
              <w:kinsoku/>
              <w:wordWrap/>
              <w:overflowPunct/>
              <w:topLinePunct w:val="0"/>
              <w:autoSpaceDE/>
              <w:autoSpaceDN/>
              <w:bidi w:val="0"/>
              <w:adjustRightInd w:val="0"/>
              <w:snapToGrid/>
              <w:spacing w:line="400" w:lineRule="exact"/>
              <w:ind w:left="0" w:leftChars="0" w:firstLine="420" w:firstLineChars="20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以中标金额为基数，参照国家计委颁发的计价格[2002]1980号和发改办价格[2003]857号文件的有关规定计算</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 xml:space="preserve">向中标供应商收取，此服务费应计入报价中，但不需要单独开列。    </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中标单位在取得中标通知书时，向采购代理机构缴付中标服务费。</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开户名称：陕西龙辰全过程工程咨询有限公司</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开户行：西安银行股份有限公司星火路支行</w:t>
            </w:r>
          </w:p>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b w:val="0"/>
                <w:bCs w:val="0"/>
                <w:color w:val="auto"/>
                <w:sz w:val="21"/>
                <w:szCs w:val="21"/>
                <w:highlight w:val="none"/>
                <w:lang w:val="zh-CN"/>
              </w:rPr>
              <w:t>账号：7080 1158 0000 2694 81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3" w:type="dxa"/>
            <w:shd w:val="clear" w:color="auto" w:fill="auto"/>
            <w:vAlign w:val="center"/>
          </w:tcPr>
          <w:p>
            <w:pPr>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c>
          <w:tcPr>
            <w:tcW w:w="2635" w:type="dxa"/>
            <w:shd w:val="clear" w:color="auto" w:fill="auto"/>
            <w:vAlign w:val="center"/>
          </w:tcPr>
          <w:p>
            <w:pPr>
              <w:spacing w:line="288" w:lineRule="auto"/>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其他说明</w:t>
            </w:r>
          </w:p>
        </w:tc>
        <w:tc>
          <w:tcPr>
            <w:tcW w:w="5257"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left"/>
              <w:textAlignment w:val="auto"/>
              <w:rPr>
                <w:rFonts w:hint="default" w:ascii="仿宋" w:hAnsi="仿宋" w:eastAsia="仿宋" w:cs="仿宋"/>
                <w:b w:val="0"/>
                <w:bCs w:val="0"/>
                <w:color w:val="auto"/>
                <w:sz w:val="21"/>
                <w:szCs w:val="21"/>
                <w:highlight w:val="none"/>
                <w:lang w:val="en-US" w:eastAsia="zh-CN" w:bidi="ar-SA"/>
              </w:rPr>
            </w:pPr>
            <w:r>
              <w:rPr>
                <w:rStyle w:val="34"/>
                <w:rFonts w:hint="eastAsia" w:ascii="仿宋" w:hAnsi="仿宋" w:eastAsia="仿宋" w:cs="仿宋_GB2312"/>
                <w:b w:val="0"/>
                <w:color w:val="auto"/>
                <w:sz w:val="21"/>
                <w:szCs w:val="21"/>
                <w:highlight w:val="none"/>
                <w:shd w:val="clear" w:color="auto" w:fill="FFFFFF"/>
              </w:rPr>
              <w:t>供应商免费</w:t>
            </w:r>
            <w:r>
              <w:rPr>
                <w:rStyle w:val="34"/>
                <w:rFonts w:hint="eastAsia" w:ascii="仿宋" w:hAnsi="仿宋" w:eastAsia="仿宋" w:cs="仿宋_GB2312"/>
                <w:b w:val="0"/>
                <w:color w:val="auto"/>
                <w:sz w:val="21"/>
                <w:szCs w:val="21"/>
                <w:highlight w:val="none"/>
                <w:shd w:val="clear" w:color="auto" w:fill="FFFFFF"/>
                <w:lang w:val="en-US" w:eastAsia="zh-CN"/>
              </w:rPr>
              <w:t>获取招标</w:t>
            </w:r>
            <w:r>
              <w:rPr>
                <w:rStyle w:val="34"/>
                <w:rFonts w:hint="eastAsia" w:ascii="仿宋" w:hAnsi="仿宋" w:eastAsia="仿宋" w:cs="仿宋_GB2312"/>
                <w:b w:val="0"/>
                <w:color w:val="auto"/>
                <w:sz w:val="21"/>
                <w:szCs w:val="21"/>
                <w:highlight w:val="none"/>
                <w:shd w:val="clear" w:color="auto" w:fill="FFFFFF"/>
              </w:rPr>
              <w:t>文件的，如不参与项目</w:t>
            </w:r>
            <w:r>
              <w:rPr>
                <w:rStyle w:val="34"/>
                <w:rFonts w:hint="eastAsia" w:ascii="仿宋" w:hAnsi="仿宋" w:eastAsia="仿宋" w:cs="仿宋_GB2312"/>
                <w:b w:val="0"/>
                <w:color w:val="auto"/>
                <w:sz w:val="21"/>
                <w:szCs w:val="21"/>
                <w:highlight w:val="none"/>
                <w:shd w:val="clear" w:color="auto" w:fill="FFFFFF"/>
                <w:lang w:val="en-US" w:eastAsia="zh-CN"/>
              </w:rPr>
              <w:t>投标</w:t>
            </w:r>
            <w:r>
              <w:rPr>
                <w:rStyle w:val="34"/>
                <w:rFonts w:hint="eastAsia" w:ascii="仿宋" w:hAnsi="仿宋" w:eastAsia="仿宋" w:cs="仿宋_GB2312"/>
                <w:b w:val="0"/>
                <w:color w:val="auto"/>
                <w:sz w:val="21"/>
                <w:szCs w:val="21"/>
                <w:highlight w:val="none"/>
                <w:shd w:val="clear" w:color="auto" w:fill="FFFFFF"/>
              </w:rPr>
              <w:t>，应在递交</w:t>
            </w:r>
            <w:r>
              <w:rPr>
                <w:rStyle w:val="34"/>
                <w:rFonts w:hint="eastAsia" w:ascii="仿宋" w:hAnsi="仿宋" w:eastAsia="仿宋" w:cs="仿宋_GB2312"/>
                <w:b w:val="0"/>
                <w:color w:val="auto"/>
                <w:sz w:val="21"/>
                <w:szCs w:val="21"/>
                <w:highlight w:val="none"/>
                <w:shd w:val="clear" w:color="auto" w:fill="FFFFFF"/>
                <w:lang w:val="en-US" w:eastAsia="zh-CN"/>
              </w:rPr>
              <w:t>投标文件</w:t>
            </w:r>
            <w:r>
              <w:rPr>
                <w:rStyle w:val="34"/>
                <w:rFonts w:hint="eastAsia" w:ascii="仿宋" w:hAnsi="仿宋" w:eastAsia="仿宋" w:cs="仿宋_GB2312"/>
                <w:b w:val="0"/>
                <w:color w:val="auto"/>
                <w:sz w:val="21"/>
                <w:szCs w:val="21"/>
                <w:highlight w:val="none"/>
                <w:shd w:val="clear" w:color="auto" w:fill="FFFFFF"/>
              </w:rPr>
              <w:t>递交截止时间前一日以书面形式告知采购代理机构。否则，采购代理机构可以向财政部门反映情况并提供相应的佐证。供应商一年内累计出现三次该情形,将被监管部门记录为失信行为。</w:t>
            </w:r>
            <w:r>
              <w:rPr>
                <w:rStyle w:val="34"/>
                <w:rFonts w:hint="eastAsia" w:ascii="仿宋" w:hAnsi="仿宋" w:eastAsia="仿宋" w:cs="仿宋_GB2312"/>
                <w:b w:val="0"/>
                <w:color w:val="auto"/>
                <w:sz w:val="21"/>
                <w:szCs w:val="21"/>
                <w:highlight w:val="none"/>
                <w:shd w:val="clear" w:color="auto" w:fill="FFFFFF"/>
                <w:lang w:val="en-US" w:eastAsia="zh-CN"/>
              </w:rPr>
              <w:t>将书面内容发至</w:t>
            </w:r>
            <w:r>
              <w:rPr>
                <w:rStyle w:val="34"/>
                <w:rFonts w:hint="eastAsia" w:ascii="仿宋" w:hAnsi="仿宋" w:eastAsia="仿宋" w:cs="仿宋_GB2312"/>
                <w:b w:val="0"/>
                <w:color w:val="auto"/>
                <w:sz w:val="21"/>
                <w:szCs w:val="21"/>
                <w:highlight w:val="none"/>
                <w:shd w:val="clear" w:color="auto" w:fill="FFFFFF"/>
              </w:rPr>
              <w:t>采购代理机构</w:t>
            </w:r>
            <w:r>
              <w:rPr>
                <w:rStyle w:val="34"/>
                <w:rFonts w:hint="eastAsia" w:ascii="仿宋" w:hAnsi="仿宋" w:eastAsia="仿宋" w:cs="仿宋_GB2312"/>
                <w:b w:val="0"/>
                <w:color w:val="auto"/>
                <w:sz w:val="21"/>
                <w:szCs w:val="21"/>
                <w:highlight w:val="none"/>
                <w:shd w:val="clear" w:color="auto" w:fill="FFFFFF"/>
                <w:lang w:val="en-US" w:eastAsia="zh-CN"/>
              </w:rPr>
              <w:t>邮箱306936227@qq.com</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正文</w:t>
      </w:r>
      <w:r>
        <w:rPr>
          <w:rFonts w:hint="eastAsia" w:ascii="仿宋" w:hAnsi="仿宋" w:eastAsia="仿宋" w:cs="仿宋"/>
          <w:color w:val="auto"/>
          <w:sz w:val="30"/>
          <w:szCs w:val="30"/>
          <w:highlight w:val="none"/>
        </w:rPr>
        <w:t>〗</w:t>
      </w:r>
    </w:p>
    <w:p>
      <w:pPr>
        <w:pStyle w:val="4"/>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22" w:name="_Toc807"/>
      <w:r>
        <w:rPr>
          <w:rFonts w:hint="eastAsia" w:ascii="仿宋" w:hAnsi="仿宋" w:eastAsia="仿宋" w:cs="仿宋"/>
          <w:b/>
          <w:bCs/>
          <w:color w:val="auto"/>
          <w:sz w:val="24"/>
          <w:szCs w:val="24"/>
          <w:highlight w:val="none"/>
        </w:rPr>
        <w:t>一、有关定义</w:t>
      </w:r>
      <w:bookmarkEnd w:id="2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1．采购人：依法进行政府采购的西安市市级机关、事业单位或团体组织。</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2．供应商：指向采购人提供货物、工程或者服务的法人、其他组织或者自然人。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3．同级政府采购监管部门：</w:t>
      </w:r>
      <w:r>
        <w:rPr>
          <w:rFonts w:hint="eastAsia" w:ascii="仿宋" w:hAnsi="仿宋" w:eastAsia="仿宋" w:cs="仿宋"/>
          <w:b/>
          <w:bCs/>
          <w:color w:val="auto"/>
          <w:sz w:val="24"/>
          <w:szCs w:val="24"/>
          <w:highlight w:val="none"/>
          <w:lang w:val="en-US" w:eastAsia="zh-CN"/>
        </w:rPr>
        <w:t>西安市财政局政府采购管理处</w:t>
      </w:r>
      <w:r>
        <w:rPr>
          <w:rFonts w:hint="eastAsia" w:ascii="仿宋" w:hAnsi="仿宋" w:eastAsia="仿宋" w:cs="仿宋"/>
          <w:b w:val="0"/>
          <w:bCs w:val="0"/>
          <w:color w:val="auto"/>
          <w:sz w:val="24"/>
          <w:szCs w:val="24"/>
          <w:highlight w:val="none"/>
        </w:rPr>
        <w:t>。</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4．西安市公共资源交易平台：即【全国公共资源交易平台（陕西省·西安市）】的简称，官网地址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http://sxggzyjy.xa.gov.cn/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5．企业端：指西安市公共资源交易平台〖首页·〉电子交易平台·〉陕西政府采购交易系统·〉企业端〗，快捷登录网址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"http://www.sxggzyjy.cn:9002/TPBidder/memberLogin"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http://www.sxggzyjy.cn:9002/TPBidder/memberLogin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p>
    <w:p>
      <w:pPr>
        <w:pStyle w:val="4"/>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23" w:name="_Toc21611"/>
      <w:r>
        <w:rPr>
          <w:rFonts w:hint="eastAsia" w:ascii="仿宋" w:hAnsi="仿宋" w:eastAsia="仿宋" w:cs="仿宋"/>
          <w:b/>
          <w:bCs/>
          <w:color w:val="auto"/>
          <w:sz w:val="24"/>
          <w:szCs w:val="24"/>
          <w:highlight w:val="none"/>
        </w:rPr>
        <w:t>二、供应商注意事项</w:t>
      </w:r>
      <w:bookmarkEnd w:id="23"/>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24" w:name="_Toc20054"/>
      <w:r>
        <w:rPr>
          <w:rFonts w:hint="eastAsia" w:ascii="仿宋" w:hAnsi="仿宋" w:eastAsia="仿宋" w:cs="仿宋"/>
          <w:b w:val="0"/>
          <w:bCs w:val="0"/>
          <w:color w:val="auto"/>
          <w:sz w:val="24"/>
          <w:szCs w:val="24"/>
          <w:highlight w:val="none"/>
        </w:rPr>
        <w:t>（一）供应商投标流程</w:t>
      </w:r>
      <w:bookmarkEnd w:id="2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使用电子交易系统的采购项目（即线上项目），将同时提供WORD\PDF格式（仅用于预览）和SXSZF格式（用于制作电子投标文件）两个版本，文件内容一致。</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1．预览采购文件：打开西安市公共资源交易平台〖首页·〉交易大厅·〉政府采购〗栏目，下载和阅读本项目采购文件的预览版本（WORD\PDF格式）；</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2．办理注册登记（针对初次使用电子交易系统的用户）：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（1）办理诚信入库注册：在决定参加本项目采购活动后，供应商应先在西安市公共资源交易平台上完成“诚信入库登记”；</w:t>
      </w:r>
    </w:p>
    <w:p>
      <w:pPr>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（2）办理数字认证（CA锁）：一般分为法人锁（必选）、企业锁主锁（必选）及副锁（可选）。CA锁将用于对电子投标文件进行签章、加密、递交及开标时解密等相关操作。电子交易平台现已接入陕西 CA、深圳 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（3）绑定和激活CA：将数字证书与诚信库中的供应商账户进行绑定。</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仿宋" w:hAnsi="仿宋" w:eastAsia="仿宋" w:cs="仿宋"/>
          <w:b w:val="0"/>
          <w:bCs w:val="0"/>
          <w:color w:val="auto"/>
          <w:sz w:val="24"/>
          <w:szCs w:val="24"/>
          <w:highlight w:val="none"/>
        </w:rPr>
        <w:t>请务必在采购文件获取期限内及时下载电子招标文件并做好备份，逾期无法再下载！</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4．制作电子投标文件：需要使用专用制作软件“新点投标文件制作软件（陕西公共资源）”进行编制，编制完成后使用CA锁对电子投标文件进行签章、加密。详见本章中的“投标文件”相关内容。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5．提交电子投标文件：在提交投标文件截止时间前及时提交加密后电子投标文件，逾期提交的，系统将会拒收；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7．等待专家评审：评审期间，可能需要对评审专家提出的问题进行澄清或答复。在主持人宣布评审结束前，供应商请勿擅自离席，否则由此造成的不利后果，由供应商自行承担。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8．中标供应商注册：按照陕西省政府采购监管部门的要求，采购代理机构在发布中标公告前，应由中标供应商在陕西省政府采购网上完成注册。</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25" w:name="_Toc10467"/>
      <w:r>
        <w:rPr>
          <w:rFonts w:hint="eastAsia" w:ascii="仿宋" w:hAnsi="仿宋" w:eastAsia="仿宋" w:cs="仿宋"/>
          <w:b w:val="0"/>
          <w:bCs w:val="0"/>
          <w:color w:val="auto"/>
          <w:sz w:val="24"/>
          <w:szCs w:val="24"/>
          <w:highlight w:val="none"/>
        </w:rPr>
        <w:t>（二）关于询问、质疑和投诉</w:t>
      </w:r>
      <w:bookmarkEnd w:id="2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26" w:name="_Toc19456"/>
      <w:r>
        <w:rPr>
          <w:rFonts w:hint="eastAsia" w:ascii="仿宋" w:hAnsi="仿宋" w:eastAsia="仿宋" w:cs="仿宋"/>
          <w:b w:val="0"/>
          <w:bCs w:val="0"/>
          <w:color w:val="auto"/>
          <w:sz w:val="24"/>
          <w:szCs w:val="24"/>
          <w:highlight w:val="none"/>
        </w:rPr>
        <w:t>1．询问</w:t>
      </w:r>
      <w:bookmarkEnd w:id="2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供应商对政府采购活动事项有疑问的，可以向采购人或采购代理机构提出询问。采购人或采购代理机构将在3个工作日内对供应商依法提出的询问作出答复。</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根据采购人和采购代理机构签订的《政府采购委托代理协议》，针对采购需求（包括采购内容、技术或服务要求、商务要求、合同条款、供应商资格条件、评审要素及分值一览表）的询问请向采购人提出。</w:t>
      </w:r>
      <w:bookmarkStart w:id="27" w:name="_Toc2644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2．质疑</w:t>
      </w:r>
      <w:bookmarkEnd w:id="2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（1）供应商认为采购文件、采购过程、成交结果使自己的权益受到损害的，可以在知道或应知其权益受到损害之日起7个工作日内以书面形式向采购人、采购代理机构提出。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（2）质疑方式：</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在线质疑：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登录西安市公共资源交易平台〖首页·〉电子交易平台·〉企业端〗，在〖我的项目〗中点击“项目流程·〉提出质疑”，填写表单并提交质疑。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书面质疑：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书面质疑函应按照财政部国库司制定的《政府采购供应商质疑函范本》（见下方链接）进行填写，签字、盖章后提交至采购人、采购代理机构。</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质疑函范本地址：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"http://download.ccgp.gov.cn/2018/zhiyihanfanben.zip"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http://download.ccgp.gov.cn/2018/zhiyihanfanben.zip</w:t>
      </w:r>
      <w:r>
        <w:rPr>
          <w:rStyle w:val="38"/>
          <w:rFonts w:hint="eastAsia" w:ascii="仿宋" w:hAnsi="仿宋" w:eastAsia="仿宋" w:cs="仿宋"/>
          <w:b w:val="0"/>
          <w:bCs w:val="0"/>
          <w:color w:val="auto"/>
          <w:sz w:val="24"/>
          <w:szCs w:val="24"/>
          <w:highlight w:val="none"/>
          <w:u w:val="none"/>
        </w:rPr>
        <w:fldChar w:fldCharType="end"/>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（5）有下列情形之一的，属于无效质疑：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对采购文件提出质疑的质疑人不是依法获取采购文件的潜在供应商；对采购过程、中标结果提出质疑的质疑人不是参与本次政府采购项目的供应商；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超过法定期限或未以书面形式提出的；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缺乏必要的证明材料，或捏造事实、提供虚假材料，或以非法手段取得证明材料的；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质疑函没有合法有效的签字、盖章或委托授权书的（代理人提出质疑和投诉，应当提交供应商签署的授权委托书）；</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针对同一采购程序环节又提出其他质疑事项的，或质疑答复后就同一事项再次提出质疑的；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⑥ 不符合法律、法规、规章和政府采购监管机构规定的其他条件的。</w:t>
      </w:r>
      <w:bookmarkStart w:id="28" w:name="_Toc2882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3．投诉</w:t>
      </w:r>
      <w:bookmarkEnd w:id="2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（2）供应商投诉的事项不得超出已质疑事项的范围。供应商提出投诉时，应当提交投诉书和必要的证明材料，并按财政部《投诉书范本》给定的格式进行填写。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投诉书范本地址：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Style w:val="38"/>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"http://download.ccgp.gov.cn/2018/tousushufanben.zip"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rPr>
        <w:t>http://download.ccgp.gov.cn/2018/tousushufanben.zip</w:t>
      </w:r>
      <w:r>
        <w:rPr>
          <w:rStyle w:val="38"/>
          <w:rFonts w:hint="eastAsia" w:ascii="仿宋" w:hAnsi="仿宋" w:eastAsia="仿宋" w:cs="仿宋"/>
          <w:b w:val="0"/>
          <w:bCs w:val="0"/>
          <w:color w:val="auto"/>
          <w:sz w:val="24"/>
          <w:szCs w:val="24"/>
          <w:highlight w:val="none"/>
        </w:rPr>
        <w:fldChar w:fldCharType="end"/>
      </w:r>
      <w:bookmarkStart w:id="29" w:name="_Toc1832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4．恶意质疑、投诉的法律后果</w:t>
      </w:r>
      <w:bookmarkEnd w:id="2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（1）对捏造事实、提供虚假材料进行质疑、投诉的行为予以严肃处理：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（2）对捏造事实诬告陷害他人、诽谤他人的法律适用：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0" w:name="_Toc7379"/>
      <w:r>
        <w:rPr>
          <w:rFonts w:hint="eastAsia" w:ascii="仿宋" w:hAnsi="仿宋" w:eastAsia="仿宋" w:cs="仿宋"/>
          <w:b w:val="0"/>
          <w:bCs w:val="0"/>
          <w:color w:val="auto"/>
          <w:sz w:val="24"/>
          <w:szCs w:val="24"/>
          <w:highlight w:val="none"/>
        </w:rPr>
        <w:t>（三）关于保证金</w:t>
      </w:r>
      <w:bookmarkEnd w:id="30"/>
      <w:bookmarkStart w:id="31" w:name="_Toc1388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1．西安市政府采购信用担保及信用融资政策</w:t>
      </w:r>
      <w:bookmarkEnd w:id="3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《实施方案》链接地址：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"http://xaczj.xa.gov.cn/zfcg/cgfg/5db90552fd850863a9e4594d.html"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http://xaczj.xa.gov.cn/zfcg/cgfg/5db90552fd850863a9e4594d.html</w:t>
      </w:r>
      <w:r>
        <w:rPr>
          <w:rStyle w:val="38"/>
          <w:rFonts w:hint="eastAsia" w:ascii="仿宋" w:hAnsi="仿宋" w:eastAsia="仿宋" w:cs="仿宋"/>
          <w:b w:val="0"/>
          <w:bCs w:val="0"/>
          <w:color w:val="auto"/>
          <w:sz w:val="24"/>
          <w:szCs w:val="24"/>
          <w:highlight w:val="none"/>
          <w:u w:val="none"/>
        </w:rPr>
        <w:fldChar w:fldCharType="end"/>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《合作机构名单》链接地址：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Style w:val="38"/>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"http://xaczj.xa.gov.cn/zfcg/cgfg/5db9054565cbd804f69e97e0.html"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http://xaczj.xa.gov.cn/zfcg/cgfg/5db9054565cbd804f69e97e0.html</w:t>
      </w:r>
      <w:r>
        <w:rPr>
          <w:rStyle w:val="38"/>
          <w:rFonts w:hint="eastAsia" w:ascii="仿宋" w:hAnsi="仿宋" w:eastAsia="仿宋" w:cs="仿宋"/>
          <w:b w:val="0"/>
          <w:bCs w:val="0"/>
          <w:color w:val="auto"/>
          <w:sz w:val="24"/>
          <w:szCs w:val="24"/>
          <w:highlight w:val="none"/>
          <w:u w:val="none"/>
        </w:rPr>
        <w:fldChar w:fldCharType="end"/>
      </w:r>
      <w:bookmarkStart w:id="32" w:name="_Toc2636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2．投标保证金</w:t>
      </w:r>
      <w:bookmarkEnd w:id="3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本项目无投标保证金。</w:t>
      </w:r>
      <w:r>
        <w:rPr>
          <w:rFonts w:hint="eastAsia" w:ascii="仿宋" w:hAnsi="仿宋" w:eastAsia="仿宋" w:cs="仿宋"/>
          <w:b w:val="0"/>
          <w:bCs w:val="0"/>
          <w:color w:val="auto"/>
          <w:sz w:val="24"/>
          <w:szCs w:val="24"/>
          <w:highlight w:val="none"/>
        </w:rPr>
        <w:t>按照西安市财政局《关于促进政府采购公平竞争优化营商环境的通知》第三条规定，供应商参与西安市政府采购活动时，免交投标保证金。</w:t>
      </w:r>
      <w:bookmarkStart w:id="33" w:name="_Toc17748"/>
    </w:p>
    <w:bookmarkEnd w:id="33"/>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3．履约保证金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（1）交纳履约保证金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（2）采用履约保函形式时应注意以下事项：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 履约保函的受益人为采购人，供应商未能按合同规定履行其义务时，采购人有权从履约保证金中取得补偿。</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 担保金额不少于《投标邀请函》中规定的履约保证金交纳金额；</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④ 保函申请人须与供应商名称一致。若供应商为联合体形式，原则上可由联合体任意一方或多方作为保函申请人，然而对于电子保函，目前只能由下载电子招标文件的一方作为保函申请人。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（3）退还履约保证金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4" w:name="_Toc25130"/>
      <w:r>
        <w:rPr>
          <w:rFonts w:hint="eastAsia" w:ascii="仿宋" w:hAnsi="仿宋" w:eastAsia="仿宋" w:cs="仿宋"/>
          <w:b w:val="0"/>
          <w:bCs w:val="0"/>
          <w:color w:val="auto"/>
          <w:sz w:val="24"/>
          <w:szCs w:val="24"/>
          <w:highlight w:val="none"/>
        </w:rPr>
        <w:t>（四）关于联合体</w:t>
      </w:r>
      <w:bookmarkEnd w:id="3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本项目不接受联合体。</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%（工程项目为1%~2%）的扣除，用扣除后的价格参加评审。</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4．供应商以联合体形式参加政府采购活动时，遵循以下规则：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采用资格前审的项目，联合体应当在提交资格前审申请文件前组成。资格前审后联合体不得增减、更换成员。</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资格审查阶段，采购人将对所有联合体成员进行信用记录查询，联合体成员存在不良信用记录的，视同联合体存在不良信用记录。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招标文件要求供应商交纳保证金的，可以由联合体中的一方或者多方共同交纳保证金，其交纳的保证金对联合体各方均具有约束力。</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⑥ 招标文件要求供应商提供履约人员和设备情况的，联合体各方均应提供，以说明其作为独立供应商所具有的能有效执行合同的能力和资源。</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⑦ 招标文件要求供应商提供同类或类似项目业绩的，联合体各方符合招标文件要求的同类或类似业绩可以累计，但联合体一方或多方共同参与的同一业绩不重复计算。</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⑨ 对采购项目提出投诉时，应当由组成联合体的所有供应商共同提出。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（5）联合体出现下列情形之一的，联合体投标无效：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 没有提交有效的联合体协议的；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组成联合体的大中型企业和其他自然人、法人或者其他组织，与小型、微型企业之间存在投资关系的；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联合体协议签订后，联合体成员单独参加或者与其他供应商另外组成联合体参加同一合同项下的政府采购活动的；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资格前审后联合体增减、更换成员的；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联合体成员因存在不良信用记录，被拒绝其参与政府采购活动的。</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5" w:name="_Toc1748"/>
      <w:r>
        <w:rPr>
          <w:rFonts w:hint="eastAsia" w:ascii="仿宋" w:hAnsi="仿宋" w:eastAsia="仿宋" w:cs="仿宋"/>
          <w:b w:val="0"/>
          <w:bCs w:val="0"/>
          <w:color w:val="auto"/>
          <w:sz w:val="24"/>
          <w:szCs w:val="24"/>
          <w:highlight w:val="none"/>
        </w:rPr>
        <w:t>（五）关于进口产品</w:t>
      </w:r>
      <w:bookmarkEnd w:id="3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本项目不允许采购进口产品。</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36" w:name="_Toc32385"/>
      <w:r>
        <w:rPr>
          <w:rFonts w:hint="eastAsia" w:ascii="仿宋" w:hAnsi="仿宋" w:eastAsia="仿宋" w:cs="仿宋"/>
          <w:b w:val="0"/>
          <w:bCs w:val="0"/>
          <w:color w:val="auto"/>
          <w:sz w:val="24"/>
          <w:szCs w:val="24"/>
          <w:highlight w:val="none"/>
        </w:rPr>
        <w:t>（六）关于政府采购政策</w:t>
      </w:r>
      <w:bookmarkEnd w:id="3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37" w:name="_Toc8423"/>
      <w:r>
        <w:rPr>
          <w:rFonts w:hint="eastAsia" w:ascii="仿宋" w:hAnsi="仿宋" w:eastAsia="仿宋" w:cs="仿宋"/>
          <w:b w:val="0"/>
          <w:bCs w:val="0"/>
          <w:color w:val="auto"/>
          <w:sz w:val="24"/>
          <w:szCs w:val="24"/>
          <w:highlight w:val="none"/>
        </w:rPr>
        <w:t>1．对中小企业、监狱企业、残疾人福利性单位的优惠政策</w:t>
      </w:r>
      <w:bookmarkEnd w:id="3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（2）根据财政部、司法部联合下发的《关于政府采购支持监狱企业发展有关问题的通知》（财库〔2014〕68号）的规定，监狱企业视同小型、微型企业。</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bookmarkStart w:id="38" w:name="_Toc1180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2．节能、环保产品采购政策</w:t>
      </w:r>
      <w:bookmarkEnd w:id="3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（3）《节能产品政府采购品目清单》见财政部、发展改革委《关于印发节能产品政府采购品目清单的通知》（财库〔2019〕19号）附件。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（4）《环境标志产品政府采购品目清单》见财政部、生态环境部《关于印发环境标志产品政府采购品目清单的通知》（财库〔2019〕18号）附件。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（5）“国家确定的认证机构”名单见市场监管总局《关于发布参与实施政府采购节能产品、环境标志产品认证机构名录的公告》（2019年第16号）。</w:t>
      </w:r>
      <w:bookmarkStart w:id="39" w:name="_Toc1411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3．陕西省中小企业政府采购信用融资办法</w:t>
      </w:r>
      <w:bookmarkEnd w:id="3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链接地址：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"http://www.ccgp-shaanxi.gov.cn/zcdservice/zcd/shanxi/article/zcdt/1390497710741917696"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http://www.ccgp-shaanxi.gov.cn/zcdservice/zcd/shanxi/article/zcdt/1390497710741917696</w:t>
      </w:r>
      <w:r>
        <w:rPr>
          <w:rStyle w:val="38"/>
          <w:rFonts w:hint="eastAsia" w:ascii="仿宋" w:hAnsi="仿宋" w:eastAsia="仿宋" w:cs="仿宋"/>
          <w:b w:val="0"/>
          <w:bCs w:val="0"/>
          <w:color w:val="auto"/>
          <w:sz w:val="24"/>
          <w:szCs w:val="24"/>
          <w:highlight w:val="none"/>
          <w:u w:val="none"/>
        </w:rPr>
        <w:fldChar w:fldCharType="end"/>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0" w:name="_Toc8240"/>
      <w:r>
        <w:rPr>
          <w:rFonts w:hint="eastAsia" w:ascii="仿宋" w:hAnsi="仿宋" w:eastAsia="仿宋" w:cs="仿宋"/>
          <w:b w:val="0"/>
          <w:bCs w:val="0"/>
          <w:color w:val="auto"/>
          <w:sz w:val="24"/>
          <w:szCs w:val="24"/>
          <w:highlight w:val="none"/>
        </w:rPr>
        <w:t>（七）关于现场踏勘和集中答疑</w:t>
      </w:r>
      <w:bookmarkEnd w:id="4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本项目不组织</w:t>
      </w:r>
      <w:r>
        <w:rPr>
          <w:rFonts w:hint="eastAsia" w:ascii="仿宋" w:hAnsi="仿宋" w:eastAsia="仿宋" w:cs="仿宋"/>
          <w:b/>
          <w:bCs/>
          <w:color w:val="auto"/>
          <w:sz w:val="24"/>
          <w:szCs w:val="24"/>
          <w:highlight w:val="none"/>
        </w:rPr>
        <w:t>现场踏勘和集中答疑</w:t>
      </w:r>
      <w:r>
        <w:rPr>
          <w:rFonts w:hint="eastAsia" w:ascii="仿宋" w:hAnsi="仿宋" w:eastAsia="仿宋" w:cs="仿宋"/>
          <w:b/>
          <w:bCs/>
          <w:color w:val="auto"/>
          <w:sz w:val="24"/>
          <w:szCs w:val="24"/>
          <w:highlight w:val="none"/>
          <w:lang w:val="en-US" w:eastAsia="zh-CN"/>
        </w:rPr>
        <w:t>。</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凡未参加现场踏勘和集中答疑的供应商，由此带来的不利后果由该供应商自行承担。</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1" w:name="_Toc22052"/>
      <w:r>
        <w:rPr>
          <w:rFonts w:hint="eastAsia" w:ascii="仿宋" w:hAnsi="仿宋" w:eastAsia="仿宋" w:cs="仿宋"/>
          <w:b w:val="0"/>
          <w:bCs w:val="0"/>
          <w:color w:val="auto"/>
          <w:sz w:val="24"/>
          <w:szCs w:val="24"/>
          <w:highlight w:val="none"/>
        </w:rPr>
        <w:t>（八）关于同一品牌产品的处理</w:t>
      </w:r>
      <w:bookmarkEnd w:id="4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bCs/>
          <w:color w:val="auto"/>
          <w:sz w:val="24"/>
          <w:szCs w:val="24"/>
          <w:highlight w:val="none"/>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2" w:name="_Toc10445"/>
      <w:r>
        <w:rPr>
          <w:rFonts w:hint="eastAsia" w:ascii="仿宋" w:hAnsi="仿宋" w:eastAsia="仿宋" w:cs="仿宋"/>
          <w:b w:val="0"/>
          <w:bCs w:val="0"/>
          <w:color w:val="auto"/>
          <w:sz w:val="24"/>
          <w:szCs w:val="24"/>
          <w:highlight w:val="none"/>
        </w:rPr>
        <w:t>（九）关于知识产权和保密事项</w:t>
      </w:r>
      <w:bookmarkEnd w:id="4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1．所有涉及知识产权的产品及设计，供应商必须确保委托人、采购人拥有其合法的、不受限制的无偿使用权，并免受任何侵权诉讼或索偿；否则，由此产生的一切经济损失和法律责任由供应商承担。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3" w:name="_Toc15409"/>
      <w:r>
        <w:rPr>
          <w:rFonts w:hint="eastAsia" w:ascii="仿宋" w:hAnsi="仿宋" w:eastAsia="仿宋" w:cs="仿宋"/>
          <w:b w:val="0"/>
          <w:bCs w:val="0"/>
          <w:color w:val="auto"/>
          <w:sz w:val="24"/>
          <w:szCs w:val="24"/>
          <w:highlight w:val="none"/>
        </w:rPr>
        <w:t>（十）关于信用记录的查询和使用</w:t>
      </w:r>
      <w:bookmarkEnd w:id="4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1．根据财政部《关于在政府采购活动中查询及使用信用记录有关问题的通知》（财库〔2016〕125号）第二条有关要求，采购人将在资格审查阶段通过【信用中国】（</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"https://www.creditchina.gov.cn"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https://www.creditchina.gov.cn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/）和【中国政府采购网】（</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http://www.ccgp.gov.cn/）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对供应商的信用情况进行甄别。</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2．对列入失信被执行人、重大税收违法案件当事人名单、政府采购严重违法失信行为记录名单及其他不符合《中华人民共和国政府采购法》第二十二条规定条件的供应商，将拒绝其参与政府采购活动。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3．供应商在参加政府采购活动前3年内因违法经营被禁止在一定期限内参加政府采购活动，期限届满的，可以参加政府采购活动的，但供应商应提供相关证明材料。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4．信用记录查询结果打印后，将与其他采购文件一并保存。</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4" w:name="_Toc25880"/>
      <w:r>
        <w:rPr>
          <w:rFonts w:hint="eastAsia" w:ascii="仿宋" w:hAnsi="仿宋" w:eastAsia="仿宋" w:cs="仿宋"/>
          <w:b w:val="0"/>
          <w:bCs w:val="0"/>
          <w:color w:val="auto"/>
          <w:sz w:val="24"/>
          <w:szCs w:val="24"/>
          <w:highlight w:val="none"/>
        </w:rPr>
        <w:t>（十一）其他重要事项</w:t>
      </w:r>
      <w:bookmarkEnd w:id="4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1．招标文件内所附网络链接仅供参考，不保证其长期有效性。</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2．供应商的投标费用自理。</w:t>
      </w:r>
    </w:p>
    <w:p>
      <w:pPr>
        <w:pStyle w:val="4"/>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45" w:name="_Toc29087"/>
      <w:r>
        <w:rPr>
          <w:rFonts w:hint="eastAsia" w:ascii="仿宋" w:hAnsi="仿宋" w:eastAsia="仿宋" w:cs="仿宋"/>
          <w:b/>
          <w:bCs/>
          <w:color w:val="auto"/>
          <w:sz w:val="24"/>
          <w:szCs w:val="24"/>
          <w:highlight w:val="none"/>
        </w:rPr>
        <w:t>三、招标文件</w:t>
      </w:r>
      <w:bookmarkEnd w:id="45"/>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6" w:name="_Toc25862"/>
      <w:r>
        <w:rPr>
          <w:rFonts w:hint="eastAsia" w:ascii="仿宋" w:hAnsi="仿宋" w:eastAsia="仿宋" w:cs="仿宋"/>
          <w:b w:val="0"/>
          <w:bCs w:val="0"/>
          <w:color w:val="auto"/>
          <w:sz w:val="24"/>
          <w:szCs w:val="24"/>
          <w:highlight w:val="none"/>
        </w:rPr>
        <w:t>（一）招标文件的解释权</w:t>
      </w:r>
      <w:bookmarkEnd w:id="4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本项目招标文件的解释权归采购代理机构，评标委员会成员应根据政府采购法律法规和招标文件所载明的评审方法、标准进行评审。</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7" w:name="_Toc29645"/>
      <w:r>
        <w:rPr>
          <w:rFonts w:hint="eastAsia" w:ascii="仿宋" w:hAnsi="仿宋" w:eastAsia="仿宋" w:cs="仿宋"/>
          <w:b w:val="0"/>
          <w:bCs w:val="0"/>
          <w:color w:val="auto"/>
          <w:sz w:val="24"/>
          <w:szCs w:val="24"/>
          <w:highlight w:val="none"/>
        </w:rPr>
        <w:t>（二）招标文件主要内容</w:t>
      </w:r>
      <w:bookmarkEnd w:id="4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第1章  投标邀请函</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第2章  供应商须知</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第3章  招标内容及要求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第4章  合同文本</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第5章  投标文件构成及格式</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8" w:name="_Toc12469"/>
      <w:r>
        <w:rPr>
          <w:rFonts w:hint="eastAsia" w:ascii="仿宋" w:hAnsi="仿宋" w:eastAsia="仿宋" w:cs="仿宋"/>
          <w:b w:val="0"/>
          <w:bCs w:val="0"/>
          <w:color w:val="auto"/>
          <w:sz w:val="24"/>
          <w:szCs w:val="24"/>
          <w:highlight w:val="none"/>
        </w:rPr>
        <w:t>（三）招标文件的检查及阅读</w:t>
      </w:r>
      <w:bookmarkEnd w:id="4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供应商应认真阅读和充分理解招标文件中所有的事项、格式条款和规范要求，在投标文件中对招标文件做出全面响应，并按招标文件的要求提交全部资料。</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项目废标后重新组织招标的，采购代理机构将重新编制、发布新版招标文件，供应商应按新版招标文件重新编制投标文件。原招标文件及投标文件失效。</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49" w:name="_Toc4533"/>
      <w:r>
        <w:rPr>
          <w:rFonts w:hint="eastAsia" w:ascii="仿宋" w:hAnsi="仿宋" w:eastAsia="仿宋" w:cs="仿宋"/>
          <w:b w:val="0"/>
          <w:bCs w:val="0"/>
          <w:color w:val="auto"/>
          <w:sz w:val="24"/>
          <w:szCs w:val="24"/>
          <w:highlight w:val="none"/>
        </w:rPr>
        <w:t>（四）招标文件的修改、澄清</w:t>
      </w:r>
      <w:bookmarkEnd w:id="4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1．提交投标文件截止之日前，采购人或采购代理机构可能对已发出的招标文件进行澄清或者修改，澄清或者修改的内容为招标文件的组成部分。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2．当需要澄清或修改时，采购代理机构将在提交投标文件截止之日15日前，在财政部门指定的“政府采购信息发布媒体”上发布变更公告；不足15日的，将顺延提交投标文件截止时间。</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4．请各供应商在提交投标文件截止时间之前，务必随时关注“政府采购信息发布媒体”上发布的变更公告，采购代理机构不再另行通知，因供应商未及时关注所造成的一切后果由供应商自行承担：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陕西省政府采购网</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http://www.ccgp-shaanxi.gov.cn/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）中的〖首页·〉信息公告·〉市级·〉西安市〗；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"http://xa.sxggzyjy.cn/"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全国公共资源交易网（陕西省·西安市）</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http://sxggzyjy.xa.gov.cn/</w:t>
      </w:r>
      <w:r>
        <w:rPr>
          <w:rStyle w:val="38"/>
          <w:rFonts w:hint="eastAsia" w:ascii="仿宋" w:hAnsi="仿宋" w:eastAsia="仿宋" w:cs="仿宋"/>
          <w:b w:val="0"/>
          <w:bCs w:val="0"/>
          <w:color w:val="auto"/>
          <w:sz w:val="24"/>
          <w:szCs w:val="24"/>
          <w:highlight w:val="none"/>
          <w:u w:val="none"/>
        </w:rPr>
        <w:fldChar w:fldCharType="end"/>
      </w:r>
      <w:r>
        <w:rPr>
          <w:rFonts w:hint="eastAsia" w:ascii="仿宋" w:hAnsi="仿宋" w:eastAsia="仿宋" w:cs="仿宋"/>
          <w:b w:val="0"/>
          <w:bCs w:val="0"/>
          <w:color w:val="auto"/>
          <w:sz w:val="24"/>
          <w:szCs w:val="24"/>
          <w:highlight w:val="none"/>
        </w:rPr>
        <w:t>）中的〖首页·〉交易大厅·〉政府采购〗。</w:t>
      </w:r>
    </w:p>
    <w:p>
      <w:pPr>
        <w:pStyle w:val="4"/>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50" w:name="_Toc27972"/>
      <w:r>
        <w:rPr>
          <w:rFonts w:hint="eastAsia" w:ascii="仿宋" w:hAnsi="仿宋" w:eastAsia="仿宋" w:cs="仿宋"/>
          <w:b/>
          <w:bCs/>
          <w:color w:val="auto"/>
          <w:sz w:val="24"/>
          <w:szCs w:val="24"/>
          <w:highlight w:val="none"/>
        </w:rPr>
        <w:t>四、投标文件</w:t>
      </w:r>
      <w:bookmarkEnd w:id="50"/>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1" w:name="_Toc19930"/>
      <w:r>
        <w:rPr>
          <w:rFonts w:hint="eastAsia" w:ascii="仿宋" w:hAnsi="仿宋" w:eastAsia="仿宋" w:cs="仿宋"/>
          <w:b w:val="0"/>
          <w:bCs w:val="0"/>
          <w:color w:val="auto"/>
          <w:sz w:val="24"/>
          <w:szCs w:val="24"/>
          <w:highlight w:val="none"/>
        </w:rPr>
        <w:t>（一）投标文件的式样</w:t>
      </w:r>
      <w:bookmarkEnd w:id="51"/>
    </w:p>
    <w:p>
      <w:pPr>
        <w:pStyle w:val="98"/>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bookmarkStart w:id="52" w:name="_Toc17790"/>
      <w:r>
        <w:rPr>
          <w:rFonts w:hint="eastAsia" w:ascii="仿宋" w:hAnsi="仿宋" w:eastAsia="仿宋" w:cs="仿宋"/>
          <w:b w:val="0"/>
          <w:bCs w:val="0"/>
          <w:color w:val="auto"/>
          <w:sz w:val="24"/>
          <w:szCs w:val="24"/>
          <w:highlight w:val="none"/>
        </w:rPr>
        <w:t>1．组成及格式</w:t>
      </w:r>
      <w:bookmarkEnd w:id="5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供应商依照招标文件第五章《投标文件构成及格式》给定形式进行编制投标文件。项目分标段的，应按所投标段分别准备投标文件。</w:t>
      </w:r>
    </w:p>
    <w:p>
      <w:pPr>
        <w:pStyle w:val="98"/>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bookmarkStart w:id="53" w:name="_Toc30924"/>
      <w:r>
        <w:rPr>
          <w:rFonts w:hint="eastAsia" w:ascii="仿宋" w:hAnsi="仿宋" w:eastAsia="仿宋" w:cs="仿宋"/>
          <w:b w:val="0"/>
          <w:bCs w:val="0"/>
          <w:color w:val="auto"/>
          <w:sz w:val="24"/>
          <w:szCs w:val="24"/>
          <w:highlight w:val="none"/>
        </w:rPr>
        <w:t>2．语言</w:t>
      </w:r>
      <w:bookmarkEnd w:id="5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招标活动的所有文件、资料、函电文字均使用简体中文，确需提交用其他语言形成的资料，必须翻译成简体中文，如有差异，以简体中文为准。</w:t>
      </w:r>
    </w:p>
    <w:p>
      <w:pPr>
        <w:pStyle w:val="98"/>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bookmarkStart w:id="54" w:name="_Toc7393"/>
      <w:r>
        <w:rPr>
          <w:rFonts w:hint="eastAsia" w:ascii="仿宋" w:hAnsi="仿宋" w:eastAsia="仿宋" w:cs="仿宋"/>
          <w:b w:val="0"/>
          <w:bCs w:val="0"/>
          <w:color w:val="auto"/>
          <w:sz w:val="24"/>
          <w:szCs w:val="24"/>
          <w:highlight w:val="none"/>
        </w:rPr>
        <w:t>3．计量单位</w:t>
      </w:r>
      <w:bookmarkEnd w:id="5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投标文件的计量单位应使用中华人民共和国法定计量单位，但招标文件另有规定的除外。</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5" w:name="_Toc4248"/>
      <w:r>
        <w:rPr>
          <w:rFonts w:hint="eastAsia" w:ascii="仿宋" w:hAnsi="仿宋" w:eastAsia="仿宋" w:cs="仿宋"/>
          <w:b w:val="0"/>
          <w:bCs w:val="0"/>
          <w:color w:val="auto"/>
          <w:sz w:val="24"/>
          <w:szCs w:val="24"/>
          <w:highlight w:val="none"/>
        </w:rPr>
        <w:t>（二）投标文件的有效期</w:t>
      </w:r>
      <w:bookmarkEnd w:id="5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投标文件有效期为自开标之日起不少于90个日历日。</w:t>
      </w:r>
      <w:r>
        <w:rPr>
          <w:rFonts w:hint="eastAsia" w:ascii="仿宋" w:hAnsi="仿宋" w:eastAsia="仿宋" w:cs="仿宋"/>
          <w:b w:val="0"/>
          <w:bCs w:val="0"/>
          <w:color w:val="auto"/>
          <w:sz w:val="24"/>
          <w:szCs w:val="24"/>
          <w:highlight w:val="none"/>
        </w:rPr>
        <w:t>如中标，延长至合同执行完毕时止。</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6" w:name="_Toc1981"/>
      <w:r>
        <w:rPr>
          <w:rFonts w:hint="eastAsia" w:ascii="仿宋" w:hAnsi="仿宋" w:eastAsia="仿宋" w:cs="仿宋"/>
          <w:b w:val="0"/>
          <w:bCs w:val="0"/>
          <w:color w:val="auto"/>
          <w:sz w:val="24"/>
          <w:szCs w:val="24"/>
          <w:highlight w:val="none"/>
        </w:rPr>
        <w:t>（三）投标报价</w:t>
      </w:r>
      <w:bookmarkEnd w:id="5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投标报价是供应商响应采购项目要求的全部工作内容的价格体现，包括完成采购内容所需的直接费、间接费、利润、税金及其它相关的一切费用。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1．供应商在报价时应充分考虑所有可能发生的费用，招标文件未列明，而供应商认为应当计取的费用均应列入报价中。报价时不论是否计取，采购人均按已计取对待。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3．投标报价货币：人民币；单位：元。</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4．投标文件报价出现前后不一致的，除招标文件另有规定外，按照下列规则修正：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（1）投标文件中开标一览表内容与投标文件中其他位置相应内容表述不一致的，以开标一览表为准；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（2）大写金额和小写金额不一致的，以大写金额为准；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（3）单价金额小数点或者百分比有明显错位的，以开标一览表的总价为准，并修改单价；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（4）总价金额与按单价汇总金额不一致的，以单价金额计算结果为准。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同时出现两种以上不一致的，按照前款规定的顺序修正。修正后的报价经供应商确认后产生约束力，供应商不确认的，其投标无效。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5．因供应商对招标文件理解不透、误解、疏漏或对市场行情了解不清造成的后果和风险，均由供应商自己负责。</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7" w:name="_Toc5339"/>
      <w:r>
        <w:rPr>
          <w:rFonts w:hint="eastAsia" w:ascii="仿宋" w:hAnsi="仿宋" w:eastAsia="仿宋" w:cs="仿宋"/>
          <w:b w:val="0"/>
          <w:bCs w:val="0"/>
          <w:color w:val="auto"/>
          <w:sz w:val="24"/>
          <w:szCs w:val="24"/>
          <w:highlight w:val="none"/>
        </w:rPr>
        <w:t>（四）投标文件的制作和签章</w:t>
      </w:r>
      <w:bookmarkEnd w:id="5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链接地址：</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"http://sxggzyjy.xa.gov.cn/fwzn/004003/20181115/4d59c184-e8f6-4d5a-a416-c2f6b0601e66.html"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rPr>
        <w:t>http://sxggzyjy.xa.gov.cn/fwzn/004003/20181115/4d59c184-e8f6-4d5a-a416-c2f6b0601e66.html</w:t>
      </w:r>
      <w:r>
        <w:rPr>
          <w:rStyle w:val="38"/>
          <w:rFonts w:hint="eastAsia" w:ascii="仿宋" w:hAnsi="仿宋" w:eastAsia="仿宋" w:cs="仿宋"/>
          <w:b w:val="0"/>
          <w:bCs w:val="0"/>
          <w:color w:val="auto"/>
          <w:sz w:val="24"/>
          <w:szCs w:val="24"/>
          <w:highlight w:val="none"/>
        </w:rPr>
        <w:fldChar w:fldCharType="end"/>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3．电子投标文件制作过程中，需要法定代表人签字或盖章的地方，请使用“法人CA锁”进行签章；需要加盖供应商公章的地方，请使用“企业CA锁”进行签章。</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8" w:name="_Toc6538"/>
      <w:r>
        <w:rPr>
          <w:rFonts w:hint="eastAsia" w:ascii="仿宋" w:hAnsi="仿宋" w:eastAsia="仿宋" w:cs="仿宋"/>
          <w:b w:val="0"/>
          <w:bCs w:val="0"/>
          <w:color w:val="auto"/>
          <w:sz w:val="24"/>
          <w:szCs w:val="24"/>
          <w:highlight w:val="none"/>
        </w:rPr>
        <w:t>（五）投标文件的加密和提交</w:t>
      </w:r>
      <w:bookmarkEnd w:id="5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1．在生成电子投标文件时，需要使用CA锁对投标文件进行加密。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注意：加密投标文件和开标时解密投标文件应当使用同一CA，否则将会导致解密失败。</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3．上传文件有误或需要重新提交的，可先撤销已经上传的文件，然后重新上传新文件。</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59" w:name="_Toc15445"/>
      <w:r>
        <w:rPr>
          <w:rFonts w:hint="eastAsia" w:ascii="仿宋" w:hAnsi="仿宋" w:eastAsia="仿宋" w:cs="仿宋"/>
          <w:b w:val="0"/>
          <w:bCs w:val="0"/>
          <w:color w:val="auto"/>
          <w:sz w:val="24"/>
          <w:szCs w:val="24"/>
          <w:highlight w:val="none"/>
        </w:rPr>
        <w:t>（六）投标文件的补充、修改和撤回</w:t>
      </w:r>
      <w:bookmarkEnd w:id="5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2．供应商在提交投标文件截止时间后，撤回投标文件的，投标保证金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若有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不予退还。</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bookmarkStart w:id="60" w:name="_Toc2524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（七）关于投标文件的雷同性分析</w:t>
      </w:r>
      <w:bookmarkEnd w:id="6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若“文件创建标识码”一致，则表示不同投标供应商使用投标文件制作软件时，使用同一源工程文件，该情形建议由评标委员会结合项目情况综合判定。</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1" w:name="_Toc8238"/>
      <w:r>
        <w:rPr>
          <w:rFonts w:hint="eastAsia" w:ascii="仿宋" w:hAnsi="仿宋" w:eastAsia="仿宋" w:cs="仿宋"/>
          <w:b w:val="0"/>
          <w:bCs w:val="0"/>
          <w:color w:val="auto"/>
          <w:sz w:val="24"/>
          <w:szCs w:val="24"/>
          <w:highlight w:val="none"/>
        </w:rPr>
        <w:t>（八）投标文件被拒绝接收的情形</w:t>
      </w:r>
      <w:bookmarkEnd w:id="6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1．误投的或采用旧版电子招标文件制作的；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2．逾期提交电子投标文件的。</w:t>
      </w:r>
    </w:p>
    <w:p>
      <w:pPr>
        <w:pStyle w:val="4"/>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62" w:name="_Toc241"/>
      <w:r>
        <w:rPr>
          <w:rFonts w:hint="eastAsia" w:ascii="仿宋" w:hAnsi="仿宋" w:eastAsia="仿宋" w:cs="仿宋"/>
          <w:b/>
          <w:bCs/>
          <w:color w:val="auto"/>
          <w:sz w:val="24"/>
          <w:szCs w:val="24"/>
          <w:highlight w:val="none"/>
        </w:rPr>
        <w:t>五、开标程序</w:t>
      </w:r>
      <w:bookmarkEnd w:id="6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开标工作由采购代理机构组织实施，整个过程受同级政府采购监管机构的监督、管理。</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3" w:name="_Toc21066"/>
      <w:r>
        <w:rPr>
          <w:rFonts w:hint="eastAsia" w:ascii="仿宋" w:hAnsi="仿宋" w:eastAsia="仿宋" w:cs="仿宋"/>
          <w:b w:val="0"/>
          <w:bCs w:val="0"/>
          <w:color w:val="auto"/>
          <w:sz w:val="24"/>
          <w:szCs w:val="24"/>
          <w:highlight w:val="none"/>
        </w:rPr>
        <w:t>（一）“不见面开标”基本流程</w:t>
      </w:r>
      <w:bookmarkEnd w:id="6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“不见面开标”是依托政府采购云平台实现的供应商在线参与开标的一种组织形式。供应商无需抵达开标现场，即可在线实现开标、解密、澄清等操作。</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1．供应商登录：开标前，请各供应商至少提前半小时登录西安市公共资源交易平台〖首页·〉不见面开标〗系统。</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2．主持人宣布开标：提交投标文件截止时间过后，系统将不再接收任何投标文件。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4．唱标：对于公开招标项目，“不见面开标”系统将自动展示供应商名单及其投标报价。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5．开标结束：进入评审环节。供应商请保持在线，评审期间评标委员会可能会要求供应商做相应的澄清。因供应商擅自离席造成的不利后果，由供应商自行承担。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“不见面开标”系统操作说明：详见西安市公共资源交易平台〖首页·〉服务指南·〉下载专区〗中的《西安公共资源交易不见面开标大厅供应商操作手册》。</w:t>
      </w:r>
    </w:p>
    <w:p>
      <w:pPr>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链接地址：</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"http://sxggzyjy.xa.gov.cn/fwzn/004003/20200426/bc8b2c1e-abe2-4168-913c-68ff93345faf.html" </w:instrText>
      </w:r>
      <w:r>
        <w:rPr>
          <w:rFonts w:hint="eastAsia" w:ascii="仿宋" w:hAnsi="仿宋" w:eastAsia="仿宋" w:cs="仿宋"/>
          <w:b w:val="0"/>
          <w:bCs w:val="0"/>
          <w:color w:val="auto"/>
          <w:sz w:val="24"/>
          <w:szCs w:val="24"/>
          <w:highlight w:val="none"/>
        </w:rPr>
        <w:fldChar w:fldCharType="separate"/>
      </w:r>
      <w:r>
        <w:rPr>
          <w:rStyle w:val="38"/>
          <w:rFonts w:hint="eastAsia" w:ascii="仿宋" w:hAnsi="仿宋" w:eastAsia="仿宋" w:cs="仿宋"/>
          <w:b w:val="0"/>
          <w:bCs w:val="0"/>
          <w:color w:val="auto"/>
          <w:sz w:val="24"/>
          <w:szCs w:val="24"/>
          <w:highlight w:val="none"/>
          <w:u w:val="none"/>
        </w:rPr>
        <w:t>http://sxggzyjy.xa.gov.cn/fwzn/004003/20200426/bc8b2c1e-abe2-4168-913c-68ff93345faf.html</w:t>
      </w:r>
      <w:r>
        <w:rPr>
          <w:rStyle w:val="38"/>
          <w:rFonts w:hint="eastAsia" w:ascii="仿宋" w:hAnsi="仿宋" w:eastAsia="仿宋" w:cs="仿宋"/>
          <w:b w:val="0"/>
          <w:bCs w:val="0"/>
          <w:color w:val="auto"/>
          <w:sz w:val="24"/>
          <w:szCs w:val="24"/>
          <w:highlight w:val="none"/>
          <w:u w:val="none"/>
        </w:rPr>
        <w:fldChar w:fldCharType="end"/>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4" w:name="_Toc16227"/>
      <w:r>
        <w:rPr>
          <w:rFonts w:hint="eastAsia" w:ascii="仿宋" w:hAnsi="仿宋" w:eastAsia="仿宋" w:cs="仿宋"/>
          <w:b w:val="0"/>
          <w:bCs w:val="0"/>
          <w:color w:val="auto"/>
          <w:sz w:val="24"/>
          <w:szCs w:val="24"/>
          <w:highlight w:val="none"/>
        </w:rPr>
        <w:t>（</w:t>
      </w:r>
      <w:r>
        <w:rPr>
          <w:rFonts w:hint="eastAsia" w:asci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）开标环节投标文件视为无效的情形</w:t>
      </w:r>
      <w:bookmarkEnd w:id="6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1．供应商放弃或拒绝对电子投标文件进行解密的；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2．因供应商自身原因，导致未在规定的解密时限内完整解密的，如忘带CA锁、或携带的CA锁与加密文件的CA锁不同、或使用旧版招标文件编制投标文件等情形；</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3．上传的电子投标文件无法正常打开的；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4．政府采购法律法规规定的其他无效情形。</w:t>
      </w:r>
    </w:p>
    <w:p>
      <w:pPr>
        <w:pStyle w:val="99"/>
        <w:keepLines w:val="0"/>
        <w:pageBreakBefore w:val="0"/>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b w:val="0"/>
          <w:bCs w:val="0"/>
          <w:color w:val="auto"/>
          <w:sz w:val="24"/>
          <w:szCs w:val="24"/>
          <w:highlight w:val="none"/>
        </w:rPr>
      </w:pPr>
      <w:bookmarkStart w:id="65" w:name="_Toc7874"/>
      <w:r>
        <w:rPr>
          <w:rFonts w:hint="eastAsia" w:ascii="仿宋" w:hAnsi="仿宋" w:eastAsia="仿宋" w:cs="仿宋"/>
          <w:b w:val="0"/>
          <w:bCs w:val="0"/>
          <w:color w:val="auto"/>
          <w:sz w:val="24"/>
          <w:szCs w:val="24"/>
          <w:highlight w:val="none"/>
        </w:rPr>
        <w:t>（</w:t>
      </w:r>
      <w:r>
        <w:rPr>
          <w:rFonts w:hint="eastAsia" w:asci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）突发状况的应急处置</w:t>
      </w:r>
      <w:bookmarkEnd w:id="6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在开评标过程中，如因停电、断网、电子化系统故障等特殊原因导致电子化开、评标工作无法正常进行时，采购代理机构将及时汇报政府采购监管部门，并等待或中止后续活动。</w:t>
      </w:r>
    </w:p>
    <w:p>
      <w:pPr>
        <w:pStyle w:val="4"/>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rPr>
      </w:pPr>
      <w:bookmarkStart w:id="66" w:name="_Toc704"/>
      <w:r>
        <w:rPr>
          <w:rFonts w:hint="eastAsia" w:ascii="仿宋" w:hAnsi="仿宋" w:eastAsia="仿宋" w:cs="仿宋"/>
          <w:b/>
          <w:bCs/>
          <w:color w:val="auto"/>
          <w:sz w:val="24"/>
          <w:szCs w:val="24"/>
          <w:highlight w:val="none"/>
        </w:rPr>
        <w:t>六、资格审查</w:t>
      </w:r>
      <w:bookmarkEnd w:id="6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供应商提供的资格证明文件缺少任何一项或有任何一项不满足，都将被视为无效投标。供应商所提供的资格证明文件应图文清晰、易于辨识，否则由此带来的不利后果由供应商自行承担。</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资格审查结束后，资格审查小组成员应当对审查结果进行签字确认；对未通过资格审查的供应商，资格审查小组应当场告知其未通过的原因。</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24"/>
          <w:szCs w:val="24"/>
          <w:highlight w:val="none"/>
        </w:rPr>
        <w:t>合格供应商不足3家的，不得评标。</w:t>
      </w:r>
    </w:p>
    <w:p>
      <w:pPr>
        <w:rPr>
          <w:rFonts w:hint="eastAsia"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〖资格性审查表〗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36"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8032" w:type="dxa"/>
            <w:gridSpan w:val="3"/>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有效的主体资格证明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财务状况报告</w:t>
            </w:r>
          </w:p>
          <w:p>
            <w:pPr>
              <w:keepNext w:val="0"/>
              <w:keepLines w:val="0"/>
              <w:pageBreakBefore w:val="0"/>
              <w:widowControl/>
              <w:kinsoku/>
              <w:wordWrap/>
              <w:overflowPunct/>
              <w:topLinePunct w:val="0"/>
              <w:autoSpaceDE/>
              <w:autoSpaceDN/>
              <w:bidi w:val="0"/>
              <w:adjustRightInd/>
              <w:snapToGrid/>
              <w:jc w:val="center"/>
              <w:textAlignment w:val="auto"/>
              <w:rPr>
                <w:rFonts w:hint="eastAsia" w:eastAsia="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两种形式任选一种</w:t>
            </w:r>
            <w:r>
              <w:rPr>
                <w:rFonts w:hint="eastAsia" w:ascii="仿宋" w:hAnsi="仿宋" w:eastAsia="仿宋" w:cs="仿宋"/>
                <w:color w:val="auto"/>
                <w:sz w:val="24"/>
                <w:szCs w:val="24"/>
                <w:highlight w:val="none"/>
                <w:lang w:val="en-US" w:eastAsia="zh-CN"/>
              </w:rPr>
              <w:t>)</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提供2022年度经审计的财务报告（成立时间至提交投标文件截止时间不足一年的可提供成立后任意时段的资产负债表），或开标前六个月内其基本存款账户开户银行出具的资信证明及基本存款账户的相关证明材料</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税收缴纳证明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宋体"/>
                <w:bCs/>
                <w:color w:val="auto"/>
                <w:sz w:val="24"/>
                <w:szCs w:val="24"/>
                <w:highlight w:val="none"/>
              </w:rPr>
              <w:t>提供202</w:t>
            </w:r>
            <w:r>
              <w:rPr>
                <w:rFonts w:hint="eastAsia" w:ascii="仿宋" w:hAnsi="仿宋" w:cs="宋体"/>
                <w:bCs/>
                <w:color w:val="auto"/>
                <w:sz w:val="24"/>
                <w:szCs w:val="24"/>
                <w:highlight w:val="none"/>
                <w:lang w:val="en-US" w:eastAsia="zh-CN"/>
              </w:rPr>
              <w:t>3</w:t>
            </w:r>
            <w:r>
              <w:rPr>
                <w:rFonts w:hint="eastAsia" w:ascii="仿宋" w:hAnsi="仿宋" w:eastAsia="仿宋" w:cs="宋体"/>
                <w:bCs/>
                <w:color w:val="auto"/>
                <w:sz w:val="24"/>
                <w:szCs w:val="24"/>
                <w:highlight w:val="none"/>
              </w:rPr>
              <w:t>年1月至今已缴纳的至少一个月的纳税证明或完税证明，依法免税的单位应提供相关证明材料</w:t>
            </w:r>
            <w:r>
              <w:rPr>
                <w:rFonts w:hint="eastAsia" w:ascii="仿宋" w:hAnsi="仿宋" w:eastAsia="仿宋" w:cs="仿宋"/>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社保资金缴纳证明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宋体"/>
                <w:bCs/>
                <w:color w:val="auto"/>
                <w:sz w:val="24"/>
                <w:szCs w:val="24"/>
                <w:highlight w:val="none"/>
              </w:rPr>
              <w:t>提供202</w:t>
            </w:r>
            <w:r>
              <w:rPr>
                <w:rFonts w:hint="eastAsia" w:ascii="仿宋" w:hAnsi="仿宋" w:cs="宋体"/>
                <w:bCs/>
                <w:color w:val="auto"/>
                <w:sz w:val="24"/>
                <w:szCs w:val="24"/>
                <w:highlight w:val="none"/>
                <w:lang w:val="en-US" w:eastAsia="zh-CN"/>
              </w:rPr>
              <w:t>3</w:t>
            </w:r>
            <w:r>
              <w:rPr>
                <w:rFonts w:hint="eastAsia" w:ascii="仿宋" w:hAnsi="仿宋" w:eastAsia="仿宋" w:cs="宋体"/>
                <w:bCs/>
                <w:color w:val="auto"/>
                <w:sz w:val="24"/>
                <w:szCs w:val="24"/>
                <w:highlight w:val="none"/>
              </w:rPr>
              <w:t>年1月至今已缴存的至少一个月的社会保险参保缴费情况证明，依法不需要缴纳社会保障资金的单位应提供相关证明材料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履约能力</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具有履行合同所必需的设备和专业技术能力的承诺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3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无重大违法记录声明</w:t>
            </w:r>
          </w:p>
        </w:tc>
        <w:tc>
          <w:tcPr>
            <w:tcW w:w="5696" w:type="dxa"/>
            <w:gridSpan w:val="2"/>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8032"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345"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法定代表人（主要负责人）委托授权书\身份证明</w:t>
            </w:r>
          </w:p>
        </w:tc>
        <w:tc>
          <w:tcPr>
            <w:tcW w:w="568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法定代表人授权书（附法定代表人、被授权人身份证复印件）及被授权人身份证（法定代表人直接参加投标，须提供法定代表人身份证明及本人身份证）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8032"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45"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信用记录审查</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结果</w:t>
            </w:r>
          </w:p>
        </w:tc>
        <w:tc>
          <w:tcPr>
            <w:tcW w:w="568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宋体"/>
                <w:color w:val="auto"/>
                <w:sz w:val="24"/>
                <w:szCs w:val="24"/>
                <w:highlight w:val="none"/>
              </w:rPr>
              <w:t>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仿宋" w:hAnsi="仿宋" w:eastAsia="仿宋"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注意事项：</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以上资格要求均为必备资格，需提供相关证明文件并加盖供应商公章（如相关证明材料由第三方出具，应有第三方公章），缺项或未按要求响应的视为无效投标。</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4．《基本存款账户信息》、《无重大违法记录声明》、《法定代表人委托授权书》、《法定代表人身份证明书》应按第五章《投标文件构成及格式》中给定的格式填写，并按要求签字、盖章。</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67" w:name="_Toc2448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七、评审方法和程序</w:t>
      </w:r>
      <w:bookmarkEnd w:id="6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68" w:name="_Toc16569"/>
      <w:r>
        <w:rPr>
          <w:rFonts w:hint="eastAsia" w:ascii="仿宋" w:hAnsi="仿宋" w:eastAsia="仿宋" w:cs="仿宋"/>
          <w:b w:val="0"/>
          <w:bCs w:val="0"/>
          <w:color w:val="auto"/>
          <w:sz w:val="24"/>
          <w:szCs w:val="24"/>
          <w:highlight w:val="none"/>
        </w:rPr>
        <w:t>（一）评标方法</w:t>
      </w:r>
      <w:bookmarkEnd w:id="6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本项目采用综合评分法，即投标文件满足招标文件全部实质性要求，且按照评审因素的量化指标评审得分最高的供应商为中标候选人。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69" w:name="_Toc16089"/>
      <w:r>
        <w:rPr>
          <w:rFonts w:hint="eastAsia" w:ascii="仿宋" w:hAnsi="仿宋" w:eastAsia="仿宋" w:cs="仿宋"/>
          <w:b w:val="0"/>
          <w:bCs w:val="0"/>
          <w:color w:val="auto"/>
          <w:sz w:val="24"/>
          <w:szCs w:val="24"/>
          <w:highlight w:val="none"/>
        </w:rPr>
        <w:t>（二）评标程序</w:t>
      </w:r>
      <w:bookmarkEnd w:id="6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0" w:name="_Toc1655"/>
      <w:r>
        <w:rPr>
          <w:rFonts w:hint="eastAsia" w:ascii="仿宋" w:hAnsi="仿宋" w:eastAsia="仿宋" w:cs="仿宋"/>
          <w:b w:val="0"/>
          <w:bCs w:val="0"/>
          <w:color w:val="auto"/>
          <w:sz w:val="24"/>
          <w:szCs w:val="24"/>
          <w:highlight w:val="none"/>
        </w:rPr>
        <w:t>1．组建评标委员会</w:t>
      </w:r>
      <w:bookmarkEnd w:id="7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为了确保评标工作的公平、公正，依据政府采购法和政府采购相关法规、规章，成立评标委员会，评标委员会由采购人代表和有关技术、经济等方面的专家组成，成员人数为</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由采购代理机构组织评标委员会推选评标组长，采购人代表不得担任组长。</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1" w:name="_Toc14291"/>
      <w:r>
        <w:rPr>
          <w:rFonts w:hint="eastAsia" w:ascii="仿宋" w:hAnsi="仿宋" w:eastAsia="仿宋" w:cs="仿宋"/>
          <w:b w:val="0"/>
          <w:bCs w:val="0"/>
          <w:color w:val="auto"/>
          <w:sz w:val="24"/>
          <w:szCs w:val="24"/>
          <w:highlight w:val="none"/>
        </w:rPr>
        <w:t>2．投标文件的符合性审查</w:t>
      </w:r>
      <w:bookmarkEnd w:id="7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供应商资格性审查通过后，评标委员会对符合资格的投标人的投标文件进行符合性审查，以确定其是否满足招标文件的实质性要求。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〖符合性审查表〗</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92"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与项目的一致性</w:t>
            </w:r>
          </w:p>
        </w:tc>
        <w:tc>
          <w:tcPr>
            <w:tcW w:w="5498"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至少以下三处的项目名称、项目编号与本项目完全一致：（1）投标文件封面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（3）法定代表人（主要负责人）委托授权书\身份证明</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投标文件组成</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投标文件应包含以下部分：（1）投标函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（3）资格证明文件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（4）供应商概况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（5）供应商参加政府采购活动承诺书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（6）投标方案</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语言和计量单位</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同时满足以下条款：（1）货币单位符合招标文件要求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（2）报价符合唯一性要求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（3）未超出采购预算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（4）符合《开标一览表》的填报要求</w:t>
            </w:r>
            <w:r>
              <w:rPr>
                <w:rFonts w:hint="eastAsia" w:ascii="仿宋" w:hAnsi="仿宋" w:eastAsia="仿宋" w:cs="仿宋"/>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商务要求</w:t>
            </w:r>
            <w:r>
              <w:rPr>
                <w:rFonts w:hint="eastAsia" w:ascii="仿宋" w:hAnsi="仿宋" w:eastAsia="仿宋" w:cs="仿宋"/>
                <w:color w:val="auto"/>
                <w:sz w:val="24"/>
                <w:szCs w:val="24"/>
                <w:highlight w:val="none"/>
              </w:rPr>
              <w:t>响应</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完全响应招标文件</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要求的各项条款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电子投标文件雷同性分析</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39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498"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完全理解并接受法律法规和招标文件对供应商合法经营的各类规约和责任义务要求，没有出现法律法规或招标文件规定的其他无效情形。</w:t>
            </w:r>
          </w:p>
        </w:tc>
      </w:tr>
    </w:tbl>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2" w:name="_Toc2471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3．综合比较与评价</w:t>
      </w:r>
      <w:bookmarkEnd w:id="7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评标委员会按《评审要素及分值一览表》中规定的评标方法和标准，对通过符合性审查的投标文件进行商务和技术评估，综合比较与评价。</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出现下列情形的，供应商投标无效：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（1）投标文件报价出现本章第五小节“投标报价”所列需要修正情形，但供应商对修正后的报价不予确认的；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pStyle w:val="2"/>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〖评审要素及分值一览表〗</w:t>
      </w:r>
    </w:p>
    <w:tbl>
      <w:tblPr>
        <w:tblStyle w:val="31"/>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709"/>
        <w:gridCol w:w="851"/>
        <w:gridCol w:w="6095"/>
        <w:gridCol w:w="12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项别</w:t>
            </w:r>
          </w:p>
        </w:tc>
        <w:tc>
          <w:tcPr>
            <w:tcW w:w="1560" w:type="dxa"/>
            <w:gridSpan w:val="2"/>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总分值</w:t>
            </w:r>
          </w:p>
        </w:tc>
        <w:tc>
          <w:tcPr>
            <w:tcW w:w="6095"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评审要素</w:t>
            </w:r>
          </w:p>
        </w:tc>
        <w:tc>
          <w:tcPr>
            <w:tcW w:w="1276"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w:t>
            </w:r>
          </w:p>
        </w:tc>
        <w:tc>
          <w:tcPr>
            <w:tcW w:w="851" w:type="dxa"/>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分项最高分值</w:t>
            </w:r>
          </w:p>
        </w:tc>
        <w:tc>
          <w:tcPr>
            <w:tcW w:w="6095"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1276"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709"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095"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有效供应商最低报价作为基准价，各供应商的报价得分按下列公式计算：（基准价/投标报价）×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0%×100分。</w:t>
            </w:r>
          </w:p>
        </w:tc>
        <w:tc>
          <w:tcPr>
            <w:tcW w:w="127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技术响 应</w:t>
            </w:r>
          </w:p>
        </w:tc>
        <w:tc>
          <w:tcPr>
            <w:tcW w:w="7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kern w:val="0"/>
                <w:sz w:val="24"/>
                <w:szCs w:val="24"/>
                <w:highlight w:val="none"/>
                <w:lang w:val="en-US" w:eastAsia="zh-CN"/>
              </w:rPr>
              <w:t>20</w:t>
            </w:r>
          </w:p>
        </w:tc>
        <w:tc>
          <w:tcPr>
            <w:tcW w:w="6095" w:type="dxa"/>
            <w:shd w:val="clear" w:color="auto" w:fill="auto"/>
            <w:vAlign w:val="center"/>
          </w:tcPr>
          <w:p>
            <w:pPr>
              <w:spacing w:line="360" w:lineRule="exact"/>
              <w:jc w:val="left"/>
              <w:rPr>
                <w:rFonts w:hint="eastAsia" w:ascii="仿宋" w:hAnsi="仿宋" w:eastAsia="仿宋" w:cs="仿宋"/>
                <w:b/>
                <w:bCs/>
                <w:color w:val="auto"/>
                <w:spacing w:val="-1"/>
                <w:kern w:val="0"/>
                <w:sz w:val="24"/>
                <w:szCs w:val="24"/>
                <w:highlight w:val="none"/>
              </w:rPr>
            </w:pPr>
            <w:r>
              <w:rPr>
                <w:rFonts w:hint="eastAsia" w:ascii="仿宋" w:hAnsi="仿宋" w:eastAsia="仿宋" w:cs="仿宋"/>
                <w:b/>
                <w:bCs/>
                <w:color w:val="auto"/>
                <w:spacing w:val="-1"/>
                <w:kern w:val="0"/>
                <w:sz w:val="24"/>
                <w:szCs w:val="24"/>
                <w:highlight w:val="none"/>
              </w:rPr>
              <w:t>技术指标和配置</w:t>
            </w:r>
          </w:p>
          <w:p>
            <w:pPr>
              <w:pStyle w:val="17"/>
              <w:tabs>
                <w:tab w:val="left" w:pos="600"/>
              </w:tabs>
              <w:spacing w:line="3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rPr>
              <w:t>供应商所投产品的技术指标（参数）优于或完全符合招标文件要求，没有负偏离的计</w:t>
            </w:r>
            <w:r>
              <w:rPr>
                <w:rFonts w:hint="eastAsia" w:ascii="仿宋" w:hAnsi="仿宋" w:eastAsia="仿宋" w:cs="仿宋"/>
                <w:color w:val="auto"/>
                <w:spacing w:val="-1"/>
                <w:kern w:val="0"/>
                <w:sz w:val="24"/>
                <w:szCs w:val="24"/>
                <w:highlight w:val="none"/>
                <w:lang w:val="en-US" w:eastAsia="zh-CN"/>
              </w:rPr>
              <w:t>20</w:t>
            </w:r>
            <w:r>
              <w:rPr>
                <w:rFonts w:hint="eastAsia" w:ascii="仿宋" w:hAnsi="仿宋" w:eastAsia="仿宋" w:cs="仿宋"/>
                <w:color w:val="auto"/>
                <w:spacing w:val="-1"/>
                <w:kern w:val="0"/>
                <w:sz w:val="24"/>
                <w:szCs w:val="24"/>
                <w:highlight w:val="none"/>
              </w:rPr>
              <w:t>分，“★”参数负偏离一项扣2分，非“</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rPr>
              <w:t>”参数负偏离一项扣1分，扣完为止。“</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rPr>
              <w:t>”参数须提供但不限于检测报告、官网截图、彩页等佐证材料，未提供视为负偏离。非“</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rPr>
              <w:t>”参数，以技术偏离表为准，提供虚假响应将承担法律责任。</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2</w:t>
            </w:r>
          </w:p>
        </w:tc>
        <w:tc>
          <w:tcPr>
            <w:tcW w:w="6095" w:type="dxa"/>
            <w:shd w:val="clear" w:color="auto" w:fill="auto"/>
            <w:vAlign w:val="center"/>
          </w:tcPr>
          <w:p>
            <w:pPr>
              <w:pStyle w:val="17"/>
              <w:tabs>
                <w:tab w:val="left" w:pos="600"/>
              </w:tabs>
              <w:spacing w:line="380" w:lineRule="exact"/>
              <w:ind w:firstLine="0"/>
              <w:rPr>
                <w:rFonts w:hint="eastAsia" w:ascii="仿宋" w:hAnsi="仿宋" w:eastAsia="仿宋" w:cs="仿宋"/>
                <w:b/>
                <w:bCs/>
                <w:color w:val="auto"/>
                <w:spacing w:val="-1"/>
                <w:kern w:val="0"/>
                <w:sz w:val="24"/>
                <w:szCs w:val="24"/>
                <w:highlight w:val="none"/>
                <w:lang w:val="en-US" w:eastAsia="zh-CN"/>
              </w:rPr>
            </w:pPr>
            <w:r>
              <w:rPr>
                <w:rFonts w:hint="eastAsia" w:ascii="仿宋" w:hAnsi="仿宋" w:eastAsia="仿宋" w:cs="仿宋"/>
                <w:b/>
                <w:bCs/>
                <w:color w:val="auto"/>
                <w:spacing w:val="-1"/>
                <w:kern w:val="0"/>
                <w:sz w:val="24"/>
                <w:szCs w:val="24"/>
                <w:highlight w:val="none"/>
                <w:lang w:val="en-US" w:eastAsia="zh-CN"/>
              </w:rPr>
              <w:t>渠道证明</w:t>
            </w:r>
          </w:p>
          <w:p>
            <w:pPr>
              <w:pStyle w:val="17"/>
              <w:tabs>
                <w:tab w:val="left" w:pos="600"/>
              </w:tabs>
              <w:spacing w:line="3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rPr>
              <w:t>供应商所提供产品及配件货源渠道合法，提供</w:t>
            </w:r>
            <w:r>
              <w:rPr>
                <w:rFonts w:hint="eastAsia" w:ascii="仿宋" w:hAnsi="仿宋" w:eastAsia="仿宋" w:cs="仿宋"/>
                <w:b/>
                <w:bCs/>
                <w:color w:val="auto"/>
                <w:spacing w:val="-1"/>
                <w:kern w:val="0"/>
                <w:sz w:val="24"/>
                <w:szCs w:val="24"/>
                <w:highlight w:val="none"/>
              </w:rPr>
              <w:t>核心产品（高锰酸盐指数水质分析仪）</w:t>
            </w:r>
            <w:r>
              <w:rPr>
                <w:rFonts w:hint="eastAsia" w:ascii="仿宋" w:hAnsi="仿宋" w:eastAsia="仿宋" w:cs="仿宋"/>
                <w:color w:val="auto"/>
                <w:spacing w:val="-1"/>
                <w:kern w:val="0"/>
                <w:sz w:val="24"/>
                <w:szCs w:val="24"/>
                <w:highlight w:val="none"/>
              </w:rPr>
              <w:t>的来源渠道合法的证明文件（包括但不限于销售协议、代理协议、原厂授权等）得</w:t>
            </w:r>
            <w:r>
              <w:rPr>
                <w:rFonts w:hint="eastAsia" w:ascii="仿宋" w:hAnsi="仿宋" w:eastAsia="仿宋" w:cs="仿宋"/>
                <w:color w:val="auto"/>
                <w:spacing w:val="-1"/>
                <w:kern w:val="0"/>
                <w:sz w:val="24"/>
                <w:szCs w:val="24"/>
                <w:highlight w:val="none"/>
                <w:lang w:val="en-US" w:eastAsia="zh-CN"/>
              </w:rPr>
              <w:t>2</w:t>
            </w:r>
            <w:r>
              <w:rPr>
                <w:rFonts w:hint="eastAsia" w:ascii="仿宋" w:hAnsi="仿宋" w:eastAsia="仿宋" w:cs="仿宋"/>
                <w:color w:val="auto"/>
                <w:spacing w:val="-1"/>
                <w:kern w:val="0"/>
                <w:sz w:val="24"/>
                <w:szCs w:val="24"/>
                <w:highlight w:val="none"/>
              </w:rPr>
              <w:t>分，未提供或提供的资料不符合要求的得0分。</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12</w:t>
            </w:r>
          </w:p>
        </w:tc>
        <w:tc>
          <w:tcPr>
            <w:tcW w:w="6095" w:type="dxa"/>
            <w:shd w:val="clear" w:color="auto" w:fill="auto"/>
            <w:vAlign w:val="center"/>
          </w:tcPr>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b/>
                <w:bCs/>
                <w:color w:val="auto"/>
                <w:spacing w:val="-1"/>
                <w:kern w:val="0"/>
                <w:sz w:val="24"/>
                <w:szCs w:val="24"/>
                <w:highlight w:val="none"/>
              </w:rPr>
            </w:pPr>
            <w:r>
              <w:rPr>
                <w:rFonts w:hint="eastAsia" w:ascii="仿宋" w:hAnsi="仿宋" w:eastAsia="仿宋" w:cs="仿宋"/>
                <w:b/>
                <w:bCs/>
                <w:color w:val="auto"/>
                <w:spacing w:val="-1"/>
                <w:kern w:val="0"/>
                <w:sz w:val="24"/>
                <w:szCs w:val="24"/>
                <w:highlight w:val="none"/>
              </w:rPr>
              <w:t>建设方案：</w:t>
            </w:r>
          </w:p>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b/>
                <w:bCs/>
                <w:color w:val="auto"/>
                <w:spacing w:val="-1"/>
                <w:kern w:val="0"/>
                <w:sz w:val="24"/>
                <w:szCs w:val="24"/>
                <w:highlight w:val="none"/>
                <w:lang w:val="en-US" w:eastAsia="zh-CN"/>
              </w:rPr>
            </w:pPr>
            <w:r>
              <w:rPr>
                <w:rFonts w:hint="eastAsia" w:ascii="仿宋" w:hAnsi="仿宋" w:eastAsia="仿宋" w:cs="仿宋"/>
                <w:color w:val="auto"/>
                <w:spacing w:val="-1"/>
                <w:kern w:val="0"/>
                <w:sz w:val="24"/>
                <w:szCs w:val="24"/>
                <w:highlight w:val="none"/>
              </w:rPr>
              <w:t>供应商针对本项目提供完善合理的四通一平建设、站房建设，水质自动监测站建设方案</w:t>
            </w:r>
            <w:r>
              <w:rPr>
                <w:rFonts w:hint="eastAsia" w:ascii="仿宋" w:hAnsi="仿宋" w:eastAsia="仿宋" w:cs="仿宋"/>
                <w:color w:val="auto"/>
                <w:spacing w:val="-1"/>
                <w:kern w:val="0"/>
                <w:sz w:val="24"/>
                <w:szCs w:val="24"/>
                <w:highlight w:val="none"/>
                <w:lang w:eastAsia="zh-CN"/>
              </w:rPr>
              <w:t>。</w:t>
            </w:r>
            <w:r>
              <w:rPr>
                <w:rFonts w:hint="eastAsia" w:ascii="仿宋" w:hAnsi="仿宋" w:eastAsia="仿宋" w:cs="仿宋"/>
                <w:color w:val="auto"/>
                <w:spacing w:val="-1"/>
                <w:kern w:val="0"/>
                <w:sz w:val="24"/>
                <w:szCs w:val="24"/>
                <w:highlight w:val="none"/>
                <w:lang w:val="en-US" w:eastAsia="zh-CN"/>
              </w:rPr>
              <w:t>包括但不限于</w:t>
            </w:r>
            <w:r>
              <w:rPr>
                <w:rFonts w:hint="eastAsia" w:ascii="仿宋" w:hAnsi="仿宋" w:eastAsia="仿宋" w:cs="仿宋"/>
                <w:b/>
                <w:bCs/>
                <w:color w:val="auto"/>
                <w:spacing w:val="-1"/>
                <w:kern w:val="0"/>
                <w:sz w:val="24"/>
                <w:szCs w:val="24"/>
                <w:highlight w:val="none"/>
                <w:lang w:val="en-US" w:eastAsia="zh-CN"/>
              </w:rPr>
              <w:t>项目总体实施方案；项目施工、装修方案；项目供货方案；项目组织及协调方案；系统安装调试方案；项目验收方案内容。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方案制定内容齐全，方案科学合理、可操作性强，完全满足采购需求并符合本项目实施特点的得12分；以上方面中每缺少一方面内容扣2分；每有一处内容与项目实际需求不符或不满足要求的扣0.5-1.5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8</w:t>
            </w:r>
          </w:p>
        </w:tc>
        <w:tc>
          <w:tcPr>
            <w:tcW w:w="6095" w:type="dxa"/>
            <w:shd w:val="clear" w:color="auto" w:fill="auto"/>
            <w:vAlign w:val="center"/>
          </w:tcPr>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b/>
                <w:bCs/>
                <w:color w:val="auto"/>
                <w:spacing w:val="-1"/>
                <w:kern w:val="0"/>
                <w:sz w:val="24"/>
                <w:szCs w:val="24"/>
                <w:highlight w:val="none"/>
              </w:rPr>
            </w:pPr>
            <w:r>
              <w:rPr>
                <w:rFonts w:hint="eastAsia" w:ascii="仿宋" w:hAnsi="仿宋" w:eastAsia="仿宋" w:cs="仿宋"/>
                <w:b/>
                <w:bCs/>
                <w:color w:val="auto"/>
                <w:spacing w:val="-1"/>
                <w:kern w:val="0"/>
                <w:sz w:val="24"/>
                <w:szCs w:val="24"/>
                <w:highlight w:val="none"/>
              </w:rPr>
              <w:t>试运行保障方案：</w:t>
            </w:r>
          </w:p>
          <w:p>
            <w:pPr>
              <w:pStyle w:val="17"/>
              <w:keepNext w:val="0"/>
              <w:keepLines w:val="0"/>
              <w:pageBreakBefore w:val="0"/>
              <w:widowControl w:val="0"/>
              <w:tabs>
                <w:tab w:val="left" w:pos="600"/>
              </w:tabs>
              <w:kinsoku/>
              <w:wordWrap/>
              <w:overflowPunct/>
              <w:topLinePunct w:val="0"/>
              <w:autoSpaceDE/>
              <w:autoSpaceDN/>
              <w:bidi w:val="0"/>
              <w:adjustRightInd/>
              <w:snapToGrid/>
              <w:spacing w:line="380" w:lineRule="exact"/>
              <w:ind w:firstLine="0"/>
              <w:textAlignment w:val="auto"/>
              <w:rPr>
                <w:rFonts w:hint="eastAsia" w:ascii="仿宋" w:hAnsi="仿宋" w:eastAsia="仿宋" w:cs="仿宋"/>
                <w:color w:val="auto"/>
                <w:spacing w:val="-1"/>
                <w:kern w:val="0"/>
                <w:sz w:val="24"/>
                <w:szCs w:val="24"/>
                <w:highlight w:val="none"/>
              </w:rPr>
            </w:pPr>
            <w:r>
              <w:rPr>
                <w:rFonts w:hint="eastAsia" w:ascii="仿宋" w:hAnsi="仿宋" w:eastAsia="仿宋" w:cs="仿宋"/>
                <w:color w:val="auto"/>
                <w:spacing w:val="-1"/>
                <w:kern w:val="0"/>
                <w:sz w:val="24"/>
                <w:szCs w:val="24"/>
                <w:highlight w:val="none"/>
              </w:rPr>
              <w:t>按照水质自动站试运行管理要求，供应商针对本项目提供完善合理的试运行保障方案，包括</w:t>
            </w:r>
            <w:r>
              <w:rPr>
                <w:rFonts w:hint="eastAsia" w:ascii="仿宋" w:hAnsi="仿宋" w:eastAsia="仿宋" w:cs="仿宋"/>
                <w:color w:val="auto"/>
                <w:spacing w:val="-1"/>
                <w:kern w:val="0"/>
                <w:sz w:val="24"/>
                <w:szCs w:val="24"/>
                <w:highlight w:val="none"/>
                <w:lang w:val="en-US" w:eastAsia="zh-CN"/>
              </w:rPr>
              <w:t>但</w:t>
            </w:r>
            <w:r>
              <w:rPr>
                <w:rFonts w:hint="eastAsia" w:ascii="仿宋" w:hAnsi="仿宋" w:eastAsia="仿宋" w:cs="仿宋"/>
                <w:color w:val="auto"/>
                <w:spacing w:val="-1"/>
                <w:kern w:val="0"/>
                <w:sz w:val="24"/>
                <w:szCs w:val="24"/>
                <w:highlight w:val="none"/>
              </w:rPr>
              <w:t>不限于</w:t>
            </w:r>
            <w:r>
              <w:rPr>
                <w:rFonts w:hint="eastAsia" w:ascii="仿宋" w:hAnsi="仿宋" w:eastAsia="仿宋" w:cs="仿宋"/>
                <w:b/>
                <w:bCs/>
                <w:color w:val="auto"/>
                <w:spacing w:val="-1"/>
                <w:kern w:val="0"/>
                <w:sz w:val="24"/>
                <w:szCs w:val="24"/>
                <w:highlight w:val="none"/>
              </w:rPr>
              <w:t>人员配置方案</w:t>
            </w:r>
            <w:r>
              <w:rPr>
                <w:rFonts w:hint="eastAsia" w:ascii="仿宋" w:hAnsi="仿宋" w:eastAsia="仿宋" w:cs="仿宋"/>
                <w:b/>
                <w:bCs/>
                <w:color w:val="auto"/>
                <w:spacing w:val="-1"/>
                <w:kern w:val="0"/>
                <w:sz w:val="24"/>
                <w:szCs w:val="24"/>
                <w:highlight w:val="none"/>
                <w:lang w:eastAsia="zh-CN"/>
              </w:rPr>
              <w:t>；</w:t>
            </w:r>
            <w:r>
              <w:rPr>
                <w:rFonts w:hint="eastAsia" w:ascii="仿宋" w:hAnsi="仿宋" w:eastAsia="仿宋" w:cs="仿宋"/>
                <w:b/>
                <w:bCs/>
                <w:color w:val="auto"/>
                <w:spacing w:val="-1"/>
                <w:kern w:val="0"/>
                <w:sz w:val="24"/>
                <w:szCs w:val="24"/>
                <w:highlight w:val="none"/>
              </w:rPr>
              <w:t>日常维护保障方案</w:t>
            </w:r>
            <w:r>
              <w:rPr>
                <w:rFonts w:hint="eastAsia" w:ascii="仿宋" w:hAnsi="仿宋" w:eastAsia="仿宋" w:cs="仿宋"/>
                <w:b/>
                <w:bCs/>
                <w:color w:val="auto"/>
                <w:spacing w:val="-1"/>
                <w:kern w:val="0"/>
                <w:sz w:val="24"/>
                <w:szCs w:val="24"/>
                <w:highlight w:val="none"/>
                <w:lang w:eastAsia="zh-CN"/>
              </w:rPr>
              <w:t>；</w:t>
            </w:r>
            <w:r>
              <w:rPr>
                <w:rFonts w:hint="eastAsia" w:ascii="仿宋" w:hAnsi="仿宋" w:eastAsia="仿宋" w:cs="仿宋"/>
                <w:b/>
                <w:bCs/>
                <w:color w:val="auto"/>
                <w:spacing w:val="-1"/>
                <w:kern w:val="0"/>
                <w:sz w:val="24"/>
                <w:szCs w:val="24"/>
                <w:highlight w:val="none"/>
              </w:rPr>
              <w:t>运行质量保障方案</w:t>
            </w:r>
            <w:r>
              <w:rPr>
                <w:rFonts w:hint="eastAsia" w:ascii="仿宋" w:hAnsi="仿宋" w:eastAsia="仿宋" w:cs="仿宋"/>
                <w:b/>
                <w:bCs/>
                <w:color w:val="auto"/>
                <w:spacing w:val="-1"/>
                <w:kern w:val="0"/>
                <w:sz w:val="24"/>
                <w:szCs w:val="24"/>
                <w:highlight w:val="none"/>
                <w:lang w:eastAsia="zh-CN"/>
              </w:rPr>
              <w:t>；</w:t>
            </w:r>
            <w:r>
              <w:rPr>
                <w:rFonts w:hint="eastAsia" w:ascii="仿宋" w:hAnsi="仿宋" w:eastAsia="仿宋" w:cs="仿宋"/>
                <w:b/>
                <w:bCs/>
                <w:color w:val="auto"/>
                <w:spacing w:val="-1"/>
                <w:kern w:val="0"/>
                <w:sz w:val="24"/>
                <w:szCs w:val="24"/>
                <w:highlight w:val="none"/>
              </w:rPr>
              <w:t>应急</w:t>
            </w:r>
            <w:r>
              <w:rPr>
                <w:rFonts w:hint="eastAsia" w:ascii="仿宋" w:hAnsi="仿宋" w:eastAsia="仿宋" w:cs="仿宋"/>
                <w:b/>
                <w:bCs/>
                <w:color w:val="auto"/>
                <w:spacing w:val="-1"/>
                <w:kern w:val="0"/>
                <w:sz w:val="24"/>
                <w:szCs w:val="24"/>
                <w:highlight w:val="none"/>
                <w:lang w:val="en-US" w:eastAsia="zh-CN"/>
              </w:rPr>
              <w:t>预案</w:t>
            </w:r>
            <w:r>
              <w:rPr>
                <w:rFonts w:hint="eastAsia" w:ascii="仿宋" w:hAnsi="仿宋" w:eastAsia="仿宋" w:cs="仿宋"/>
                <w:color w:val="auto"/>
                <w:spacing w:val="-1"/>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方案制定内容齐全，方案科学合理、可操作性强，完全满足采购需求并符合本项目实施特点的得8分；以上方面中每缺少一方面内容扣2分；每有一处内容与项目实际需求不符或不满足要求的扣0.5-1.5分，扣完为止。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商务响 应</w:t>
            </w:r>
          </w:p>
        </w:tc>
        <w:tc>
          <w:tcPr>
            <w:tcW w:w="70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rPr>
              <w:t>10</w:t>
            </w:r>
          </w:p>
        </w:tc>
        <w:tc>
          <w:tcPr>
            <w:tcW w:w="6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spacing w:val="-1"/>
                <w:kern w:val="0"/>
                <w:sz w:val="24"/>
                <w:szCs w:val="24"/>
                <w:highlight w:val="none"/>
                <w:lang w:val="en-US" w:eastAsia="zh-CN" w:bidi="ar-SA"/>
              </w:rPr>
            </w:pPr>
            <w:r>
              <w:rPr>
                <w:rFonts w:hint="eastAsia" w:ascii="仿宋" w:hAnsi="仿宋" w:eastAsia="仿宋" w:cs="仿宋"/>
                <w:b/>
                <w:bCs/>
                <w:color w:val="auto"/>
                <w:spacing w:val="-1"/>
                <w:kern w:val="0"/>
                <w:sz w:val="24"/>
                <w:szCs w:val="24"/>
                <w:highlight w:val="none"/>
                <w:lang w:val="en-US" w:eastAsia="zh-CN" w:bidi="ar-SA"/>
              </w:rPr>
              <w:t>售后服务：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供应商提供完善的售后服务方案，包括</w:t>
            </w:r>
            <w:r>
              <w:rPr>
                <w:rFonts w:hint="eastAsia" w:ascii="仿宋" w:hAnsi="仿宋" w:eastAsia="仿宋" w:cs="仿宋"/>
                <w:b/>
                <w:bCs/>
                <w:color w:val="auto"/>
                <w:spacing w:val="-1"/>
                <w:kern w:val="0"/>
                <w:sz w:val="24"/>
                <w:szCs w:val="24"/>
                <w:highlight w:val="none"/>
                <w:lang w:val="en-US" w:eastAsia="zh-CN" w:bidi="ar-SA"/>
              </w:rPr>
              <w:t>售后服务承诺及保障措施；售后服务人员配置；故障处理及响应计划；质量保证期限及质量保证的范围承诺；本地化售后方案</w:t>
            </w:r>
            <w:r>
              <w:rPr>
                <w:rFonts w:hint="eastAsia" w:ascii="仿宋" w:hAnsi="仿宋" w:eastAsia="仿宋" w:cs="仿宋"/>
                <w:color w:val="auto"/>
                <w:spacing w:val="-1"/>
                <w:kern w:val="0"/>
                <w:sz w:val="24"/>
                <w:szCs w:val="24"/>
                <w:highlight w:val="none"/>
                <w:lang w:val="en-US" w:eastAsia="zh-CN" w:bidi="ar-SA"/>
              </w:rPr>
              <w:t>，售后服务方案完整且具有符合本项目实际需求的得10分，以上方面中每缺少一方面内容扣2分；每有一处内容与实际需求不符或不满足要求的扣0.5-1.5分，扣完为止。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8</w:t>
            </w:r>
          </w:p>
        </w:tc>
        <w:tc>
          <w:tcPr>
            <w:tcW w:w="60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spacing w:val="-1"/>
                <w:kern w:val="0"/>
                <w:sz w:val="24"/>
                <w:szCs w:val="24"/>
                <w:highlight w:val="none"/>
                <w:lang w:val="en-US" w:eastAsia="zh-CN" w:bidi="ar-SA"/>
              </w:rPr>
            </w:pPr>
            <w:r>
              <w:rPr>
                <w:rFonts w:hint="eastAsia" w:ascii="仿宋" w:hAnsi="仿宋" w:eastAsia="仿宋" w:cs="仿宋"/>
                <w:b/>
                <w:bCs/>
                <w:color w:val="auto"/>
                <w:spacing w:val="-1"/>
                <w:kern w:val="0"/>
                <w:sz w:val="24"/>
                <w:szCs w:val="24"/>
                <w:highlight w:val="none"/>
                <w:lang w:val="en-US" w:eastAsia="zh-CN" w:bidi="ar-SA"/>
              </w:rPr>
              <w:t>培训方案：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pacing w:val="-1"/>
                <w:kern w:val="0"/>
                <w:sz w:val="24"/>
                <w:szCs w:val="24"/>
                <w:highlight w:val="none"/>
                <w:lang w:val="en-US" w:eastAsia="zh-CN" w:bidi="ar-SA"/>
              </w:rPr>
            </w:pPr>
            <w:r>
              <w:rPr>
                <w:rFonts w:hint="eastAsia" w:ascii="仿宋" w:hAnsi="仿宋" w:eastAsia="仿宋" w:cs="仿宋"/>
                <w:color w:val="auto"/>
                <w:spacing w:val="-1"/>
                <w:kern w:val="0"/>
                <w:sz w:val="24"/>
                <w:szCs w:val="24"/>
                <w:highlight w:val="none"/>
                <w:lang w:val="en-US" w:eastAsia="zh-CN" w:bidi="ar-SA"/>
              </w:rPr>
              <w:t>根据供应商提供完善的培训方案，包括</w:t>
            </w:r>
            <w:r>
              <w:rPr>
                <w:rFonts w:hint="eastAsia" w:ascii="仿宋" w:hAnsi="仿宋" w:eastAsia="仿宋" w:cs="仿宋"/>
                <w:b/>
                <w:bCs/>
                <w:color w:val="auto"/>
                <w:spacing w:val="-1"/>
                <w:kern w:val="0"/>
                <w:sz w:val="24"/>
                <w:szCs w:val="24"/>
                <w:highlight w:val="none"/>
                <w:lang w:val="en-US" w:eastAsia="zh-CN" w:bidi="ar-SA"/>
              </w:rPr>
              <w:t>培训目标；培训对象；培训内容；培训计划；培训组织安排。</w:t>
            </w:r>
            <w:r>
              <w:rPr>
                <w:rFonts w:hint="eastAsia" w:ascii="仿宋" w:hAnsi="仿宋" w:eastAsia="仿宋" w:cs="仿宋"/>
                <w:color w:val="auto"/>
                <w:spacing w:val="-1"/>
                <w:kern w:val="0"/>
                <w:sz w:val="24"/>
                <w:szCs w:val="24"/>
                <w:highlight w:val="none"/>
                <w:lang w:val="en-US" w:eastAsia="zh-CN" w:bidi="ar-SA"/>
              </w:rPr>
              <w:t>培训方案完整且具有符合本项目实际需求的得8分，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val="en-US" w:eastAsia="zh-CN" w:bidi="ar-SA"/>
              </w:rPr>
              <w:t>以上方面中每缺少一方面内容扣1.6分；每有一处内容与实际需求不符或不满足要求的扣0.5-1.1分，扣完为止。</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pStyle w:val="27"/>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kern w:val="0"/>
                <w:sz w:val="24"/>
                <w:szCs w:val="24"/>
                <w:highlight w:val="none"/>
                <w:lang w:val="en-US" w:eastAsia="zh-CN"/>
              </w:rPr>
              <w:t>8</w:t>
            </w:r>
          </w:p>
        </w:tc>
        <w:tc>
          <w:tcPr>
            <w:tcW w:w="6095" w:type="dxa"/>
            <w:shd w:val="clear" w:color="auto" w:fill="auto"/>
            <w:vAlign w:val="center"/>
          </w:tcPr>
          <w:p>
            <w:pPr>
              <w:pStyle w:val="110"/>
              <w:keepNext w:val="0"/>
              <w:keepLines w:val="0"/>
              <w:pageBreakBefore w:val="0"/>
              <w:widowControl w:val="0"/>
              <w:kinsoku/>
              <w:wordWrap/>
              <w:overflowPunct/>
              <w:topLinePunct w:val="0"/>
              <w:autoSpaceDE/>
              <w:autoSpaceDN/>
              <w:bidi w:val="0"/>
              <w:adjustRightInd/>
              <w:snapToGrid/>
              <w:spacing w:line="380" w:lineRule="exact"/>
              <w:ind w:right="119"/>
              <w:textAlignment w:val="auto"/>
              <w:rPr>
                <w:rFonts w:hint="eastAsia" w:ascii="仿宋" w:hAnsi="仿宋" w:eastAsia="仿宋" w:cs="仿宋"/>
                <w:b/>
                <w:bCs/>
                <w:color w:val="auto"/>
                <w:spacing w:val="-1"/>
                <w:kern w:val="0"/>
                <w:sz w:val="24"/>
                <w:szCs w:val="24"/>
                <w:highlight w:val="none"/>
                <w:lang w:eastAsia="zh-CN"/>
              </w:rPr>
            </w:pPr>
            <w:r>
              <w:rPr>
                <w:rFonts w:hint="eastAsia" w:ascii="仿宋" w:hAnsi="仿宋" w:eastAsia="仿宋" w:cs="仿宋"/>
                <w:b/>
                <w:bCs/>
                <w:color w:val="auto"/>
                <w:spacing w:val="-1"/>
                <w:kern w:val="0"/>
                <w:sz w:val="24"/>
                <w:szCs w:val="24"/>
                <w:highlight w:val="none"/>
                <w:lang w:eastAsia="zh-CN"/>
              </w:rPr>
              <w:t>业绩：</w:t>
            </w:r>
          </w:p>
          <w:p>
            <w:pPr>
              <w:pStyle w:val="110"/>
              <w:keepNext w:val="0"/>
              <w:keepLines w:val="0"/>
              <w:pageBreakBefore w:val="0"/>
              <w:widowControl w:val="0"/>
              <w:kinsoku/>
              <w:wordWrap/>
              <w:overflowPunct/>
              <w:topLinePunct w:val="0"/>
              <w:autoSpaceDE/>
              <w:autoSpaceDN/>
              <w:bidi w:val="0"/>
              <w:adjustRightInd/>
              <w:snapToGrid/>
              <w:spacing w:line="380" w:lineRule="exact"/>
              <w:ind w:right="119"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kern w:val="0"/>
                <w:sz w:val="24"/>
                <w:szCs w:val="24"/>
                <w:highlight w:val="none"/>
                <w:lang w:eastAsia="zh-CN"/>
              </w:rPr>
              <w:t>2020 年</w:t>
            </w:r>
            <w:r>
              <w:rPr>
                <w:rFonts w:hint="eastAsia" w:ascii="仿宋" w:hAnsi="仿宋" w:eastAsia="仿宋" w:cs="仿宋"/>
                <w:color w:val="auto"/>
                <w:spacing w:val="-1"/>
                <w:kern w:val="0"/>
                <w:sz w:val="24"/>
                <w:szCs w:val="24"/>
                <w:highlight w:val="none"/>
                <w:lang w:val="en-US" w:eastAsia="zh-CN"/>
              </w:rPr>
              <w:t>1</w:t>
            </w:r>
            <w:r>
              <w:rPr>
                <w:rFonts w:hint="eastAsia" w:ascii="仿宋" w:hAnsi="仿宋" w:eastAsia="仿宋" w:cs="仿宋"/>
                <w:color w:val="auto"/>
                <w:spacing w:val="-1"/>
                <w:kern w:val="0"/>
                <w:sz w:val="24"/>
                <w:szCs w:val="24"/>
                <w:highlight w:val="none"/>
                <w:lang w:eastAsia="zh-CN"/>
              </w:rPr>
              <w:t>月</w:t>
            </w:r>
            <w:r>
              <w:rPr>
                <w:rFonts w:hint="eastAsia" w:ascii="仿宋" w:hAnsi="仿宋" w:eastAsia="仿宋" w:cs="仿宋"/>
                <w:color w:val="auto"/>
                <w:spacing w:val="-1"/>
                <w:kern w:val="0"/>
                <w:sz w:val="24"/>
                <w:szCs w:val="24"/>
                <w:highlight w:val="none"/>
                <w:lang w:val="en-US" w:eastAsia="zh-CN"/>
              </w:rPr>
              <w:t>1</w:t>
            </w:r>
            <w:r>
              <w:rPr>
                <w:rFonts w:hint="eastAsia" w:ascii="仿宋" w:hAnsi="仿宋" w:eastAsia="仿宋" w:cs="仿宋"/>
                <w:color w:val="auto"/>
                <w:spacing w:val="-1"/>
                <w:kern w:val="0"/>
                <w:sz w:val="24"/>
                <w:szCs w:val="24"/>
                <w:highlight w:val="none"/>
                <w:lang w:eastAsia="zh-CN"/>
              </w:rPr>
              <w:t>日起至今</w:t>
            </w:r>
            <w:r>
              <w:rPr>
                <w:rFonts w:hint="eastAsia" w:ascii="仿宋" w:hAnsi="仿宋" w:eastAsia="仿宋" w:cs="仿宋"/>
                <w:color w:val="auto"/>
                <w:spacing w:val="-1"/>
                <w:kern w:val="0"/>
                <w:sz w:val="24"/>
                <w:szCs w:val="24"/>
                <w:highlight w:val="none"/>
                <w:lang w:val="en-US" w:eastAsia="zh-CN"/>
              </w:rPr>
              <w:t>已完成的类似项目业绩</w:t>
            </w:r>
            <w:r>
              <w:rPr>
                <w:rFonts w:hint="eastAsia" w:ascii="仿宋" w:hAnsi="仿宋" w:eastAsia="仿宋" w:cs="仿宋"/>
                <w:color w:val="auto"/>
                <w:spacing w:val="-1"/>
                <w:kern w:val="0"/>
                <w:sz w:val="24"/>
                <w:szCs w:val="24"/>
                <w:highlight w:val="none"/>
                <w:lang w:eastAsia="zh-CN"/>
              </w:rPr>
              <w:t>（以合同签订日期为准，仅限供应商本身，提供</w:t>
            </w:r>
            <w:r>
              <w:rPr>
                <w:rFonts w:hint="eastAsia" w:ascii="仿宋" w:hAnsi="仿宋" w:eastAsia="仿宋" w:cs="仿宋"/>
                <w:color w:val="auto"/>
                <w:spacing w:val="-1"/>
                <w:kern w:val="0"/>
                <w:sz w:val="24"/>
                <w:szCs w:val="24"/>
                <w:highlight w:val="none"/>
                <w:lang w:val="en-US" w:eastAsia="zh-CN"/>
              </w:rPr>
              <w:t>清晰、</w:t>
            </w:r>
            <w:r>
              <w:rPr>
                <w:rFonts w:hint="eastAsia" w:ascii="仿宋" w:hAnsi="仿宋" w:eastAsia="仿宋" w:cs="仿宋"/>
                <w:color w:val="auto"/>
                <w:spacing w:val="-1"/>
                <w:kern w:val="0"/>
                <w:sz w:val="24"/>
                <w:szCs w:val="24"/>
                <w:highlight w:val="none"/>
                <w:lang w:eastAsia="zh-CN"/>
              </w:rPr>
              <w:t>完整、</w:t>
            </w:r>
            <w:r>
              <w:rPr>
                <w:rFonts w:hint="eastAsia" w:ascii="仿宋" w:hAnsi="仿宋" w:eastAsia="仿宋" w:cs="仿宋"/>
                <w:color w:val="auto"/>
                <w:spacing w:val="-1"/>
                <w:kern w:val="0"/>
                <w:sz w:val="24"/>
                <w:szCs w:val="24"/>
                <w:highlight w:val="none"/>
                <w:lang w:val="en-US" w:eastAsia="zh-CN"/>
              </w:rPr>
              <w:t>有效的</w:t>
            </w:r>
            <w:r>
              <w:rPr>
                <w:rFonts w:hint="eastAsia" w:ascii="仿宋" w:hAnsi="仿宋" w:eastAsia="仿宋" w:cs="仿宋"/>
                <w:color w:val="auto"/>
                <w:spacing w:val="-1"/>
                <w:kern w:val="0"/>
                <w:sz w:val="24"/>
                <w:szCs w:val="24"/>
                <w:highlight w:val="none"/>
                <w:lang w:eastAsia="zh-CN"/>
              </w:rPr>
              <w:t>合同复印件加盖公章），</w:t>
            </w:r>
            <w:r>
              <w:rPr>
                <w:rFonts w:hint="eastAsia" w:ascii="仿宋" w:hAnsi="仿宋" w:eastAsia="仿宋" w:cs="仿宋"/>
                <w:color w:val="auto"/>
                <w:spacing w:val="-1"/>
                <w:kern w:val="0"/>
                <w:sz w:val="24"/>
                <w:szCs w:val="24"/>
                <w:highlight w:val="none"/>
                <w:lang w:val="en-US" w:eastAsia="zh-CN"/>
              </w:rPr>
              <w:t>每份得2分，最高得8分</w:t>
            </w:r>
            <w:r>
              <w:rPr>
                <w:rFonts w:hint="eastAsia" w:ascii="仿宋" w:hAnsi="仿宋" w:eastAsia="仿宋" w:cs="仿宋"/>
                <w:color w:val="auto"/>
                <w:spacing w:val="-1"/>
                <w:kern w:val="0"/>
                <w:sz w:val="24"/>
                <w:szCs w:val="24"/>
                <w:highlight w:val="none"/>
                <w:lang w:eastAsia="zh-CN"/>
              </w:rPr>
              <w:t>。</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7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c>
          <w:tcPr>
            <w:tcW w:w="851"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
                <w:kern w:val="0"/>
                <w:sz w:val="24"/>
                <w:szCs w:val="24"/>
                <w:highlight w:val="none"/>
                <w:lang w:val="en-US" w:eastAsia="zh-CN" w:bidi="ar-SA"/>
              </w:rPr>
              <w:t>2</w:t>
            </w:r>
          </w:p>
        </w:tc>
        <w:tc>
          <w:tcPr>
            <w:tcW w:w="6095" w:type="dxa"/>
            <w:shd w:val="clear" w:color="auto" w:fill="auto"/>
            <w:vAlign w:val="center"/>
          </w:tcPr>
          <w:p>
            <w:pPr>
              <w:pStyle w:val="110"/>
              <w:keepNext w:val="0"/>
              <w:keepLines w:val="0"/>
              <w:pageBreakBefore w:val="0"/>
              <w:widowControl w:val="0"/>
              <w:kinsoku/>
              <w:wordWrap/>
              <w:overflowPunct/>
              <w:topLinePunct w:val="0"/>
              <w:autoSpaceDE/>
              <w:autoSpaceDN/>
              <w:bidi w:val="0"/>
              <w:adjustRightInd/>
              <w:snapToGrid/>
              <w:spacing w:line="380" w:lineRule="exact"/>
              <w:ind w:right="119" w:rightChars="0"/>
              <w:textAlignment w:val="auto"/>
              <w:rPr>
                <w:rFonts w:hint="eastAsia" w:ascii="仿宋" w:hAnsi="仿宋" w:eastAsia="仿宋" w:cs="仿宋"/>
                <w:b/>
                <w:bCs/>
                <w:color w:val="auto"/>
                <w:spacing w:val="-1"/>
                <w:kern w:val="0"/>
                <w:sz w:val="24"/>
                <w:szCs w:val="24"/>
                <w:highlight w:val="none"/>
                <w:lang w:eastAsia="zh-CN"/>
              </w:rPr>
            </w:pPr>
            <w:r>
              <w:rPr>
                <w:rFonts w:hint="eastAsia" w:ascii="仿宋" w:hAnsi="仿宋" w:eastAsia="仿宋" w:cs="仿宋"/>
                <w:b/>
                <w:bCs/>
                <w:color w:val="auto"/>
                <w:spacing w:val="-1"/>
                <w:kern w:val="0"/>
                <w:sz w:val="24"/>
                <w:szCs w:val="24"/>
                <w:highlight w:val="none"/>
                <w:lang w:val="en-US" w:eastAsia="zh-CN"/>
              </w:rPr>
              <w:t>节能</w:t>
            </w:r>
            <w:r>
              <w:rPr>
                <w:rFonts w:hint="eastAsia" w:ascii="仿宋" w:hAnsi="仿宋" w:eastAsia="仿宋" w:cs="仿宋"/>
                <w:b/>
                <w:bCs/>
                <w:color w:val="auto"/>
                <w:spacing w:val="-1"/>
                <w:kern w:val="0"/>
                <w:sz w:val="24"/>
                <w:szCs w:val="24"/>
                <w:highlight w:val="none"/>
                <w:lang w:eastAsia="zh-CN"/>
              </w:rPr>
              <w:t>环保产品：</w:t>
            </w:r>
          </w:p>
          <w:p>
            <w:pPr>
              <w:pStyle w:val="110"/>
              <w:keepNext w:val="0"/>
              <w:keepLines w:val="0"/>
              <w:pageBreakBefore w:val="0"/>
              <w:widowControl w:val="0"/>
              <w:kinsoku/>
              <w:wordWrap/>
              <w:overflowPunct/>
              <w:topLinePunct w:val="0"/>
              <w:autoSpaceDE/>
              <w:autoSpaceDN/>
              <w:bidi w:val="0"/>
              <w:adjustRightInd/>
              <w:snapToGrid/>
              <w:spacing w:line="380" w:lineRule="exact"/>
              <w:ind w:right="119" w:righ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pacing w:val="-1"/>
                <w:kern w:val="0"/>
                <w:sz w:val="24"/>
                <w:szCs w:val="24"/>
                <w:highlight w:val="none"/>
                <w:lang w:eastAsia="zh-CN"/>
              </w:rPr>
              <w:t>供应商所投产品中每有一项经国家认证机构认定为节能产品的得0.5分，每有一项为环境标志产品的得0.5分，供应商所投产品中每有一项产品即为节能产品又是环境标志产品得1分（产品不重复计分，如某一产品得到1分，不能再计节能或环境标志产品的0.5分），最多得</w:t>
            </w:r>
            <w:r>
              <w:rPr>
                <w:rFonts w:hint="eastAsia" w:ascii="仿宋" w:hAnsi="仿宋" w:eastAsia="仿宋" w:cs="仿宋"/>
                <w:color w:val="auto"/>
                <w:spacing w:val="-1"/>
                <w:kern w:val="0"/>
                <w:sz w:val="24"/>
                <w:szCs w:val="24"/>
                <w:highlight w:val="none"/>
                <w:lang w:val="en-US" w:eastAsia="zh-CN"/>
              </w:rPr>
              <w:t>2</w:t>
            </w:r>
            <w:r>
              <w:rPr>
                <w:rFonts w:hint="eastAsia" w:ascii="仿宋" w:hAnsi="仿宋" w:eastAsia="仿宋" w:cs="仿宋"/>
                <w:color w:val="auto"/>
                <w:spacing w:val="-1"/>
                <w:kern w:val="0"/>
                <w:sz w:val="24"/>
                <w:szCs w:val="24"/>
                <w:highlight w:val="none"/>
                <w:lang w:eastAsia="zh-CN"/>
              </w:rPr>
              <w:t>分。（以国家确定的认证机构出具的、处于有效期内的节能产品、环境标志产品认证证书为准）</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8931"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1．评标委员会成员必须按照本评审要素据实打分，各类数字计算均按“四舍五入”保留小数点后两位；</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2．对小型和微型企业的报价给予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%的价格扣除，用扣除后的价格参与评审；未提供中小企业声明函的不享受价格折扣。</w:t>
            </w:r>
          </w:p>
        </w:tc>
      </w:tr>
    </w:tbl>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3" w:name="_Toc2859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4．推荐中标候选人</w:t>
      </w:r>
      <w:bookmarkEnd w:id="7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（1）采用最低评标价法的，评标结果按投标报价由低到高顺序排列。投标报价相同的并列。投标文件满足招标文件全部实质性要求且投标报价最低的投标人为排名第一的中标候选人。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4" w:name="_Toc10055"/>
      <w:r>
        <w:rPr>
          <w:rFonts w:hint="eastAsia" w:ascii="仿宋" w:hAnsi="仿宋" w:eastAsia="仿宋" w:cs="仿宋"/>
          <w:b w:val="0"/>
          <w:bCs w:val="0"/>
          <w:color w:val="auto"/>
          <w:sz w:val="24"/>
          <w:szCs w:val="24"/>
          <w:highlight w:val="none"/>
        </w:rPr>
        <w:t>5．编写评审报告</w:t>
      </w:r>
      <w:bookmarkEnd w:id="7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评审报告是评标委员会根据全体评标成员签字的原始评标记录和评标结果编写的报告，其主要内容包括：</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（1）招标公告刊登的媒体名称、开标日期和地点；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（2）投标供应商名单和评标委员会成员名单；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（3）评标方法；</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（4）开标记录和评标情况及说明，包括投标无效供应商名单及原因；</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（5）评标结果，确定的中标候选人名单或者经采购人委托直接确定的中标供应商；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（6）其他需要说明的情况，包括评标过程中投标供应商根据评标委员会要求进行的澄清、说明或者补正，评标委员会成员的更换等。</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5" w:name="_Toc3725"/>
      <w:r>
        <w:rPr>
          <w:rFonts w:hint="eastAsia" w:ascii="仿宋" w:hAnsi="仿宋" w:eastAsia="仿宋" w:cs="仿宋"/>
          <w:b w:val="0"/>
          <w:bCs w:val="0"/>
          <w:color w:val="auto"/>
          <w:sz w:val="24"/>
          <w:szCs w:val="24"/>
          <w:highlight w:val="none"/>
        </w:rPr>
        <w:t>（三）评标争议处理规则</w:t>
      </w:r>
      <w:bookmarkEnd w:id="75"/>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6" w:name="_Toc14101"/>
      <w:r>
        <w:rPr>
          <w:rFonts w:hint="eastAsia" w:ascii="仿宋" w:hAnsi="仿宋" w:eastAsia="仿宋" w:cs="仿宋"/>
          <w:b w:val="0"/>
          <w:bCs w:val="0"/>
          <w:color w:val="auto"/>
          <w:sz w:val="24"/>
          <w:szCs w:val="24"/>
          <w:highlight w:val="none"/>
        </w:rPr>
        <w:t>（四）评审现场人员的保密责任</w:t>
      </w:r>
      <w:bookmarkEnd w:id="76"/>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77" w:name="_Toc18720"/>
      <w:r>
        <w:rPr>
          <w:rFonts w:hint="eastAsia" w:ascii="仿宋" w:hAnsi="仿宋" w:eastAsia="仿宋" w:cs="仿宋"/>
          <w:b w:val="0"/>
          <w:bCs w:val="0"/>
          <w:color w:val="auto"/>
          <w:sz w:val="24"/>
          <w:szCs w:val="24"/>
          <w:highlight w:val="none"/>
        </w:rPr>
        <w:t>（五）视同供应商串通投标的情形，其投标无效：</w:t>
      </w:r>
      <w:bookmarkEnd w:id="77"/>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1．不同供应商的投标文件由同一单位或者个人编制；</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2．不同供应商委托同一单位或者个人办理投标事宜；</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3．不同供应商的投标文件载明的项目管理成员或者联系人员为同一人；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4．不同供应商的投标文件异常一致或者投标报价呈规律性差异。</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78" w:name="_Toc15368"/>
      <w:r>
        <w:rPr>
          <w:rFonts w:hint="eastAsia" w:ascii="仿宋" w:hAnsi="仿宋" w:eastAsia="仿宋" w:cs="仿宋"/>
          <w:b/>
          <w:bCs/>
          <w:color w:val="auto"/>
          <w:sz w:val="24"/>
          <w:szCs w:val="24"/>
          <w:highlight w:val="none"/>
        </w:rPr>
        <w:t>八、中标</w:t>
      </w:r>
      <w:bookmarkEnd w:id="78"/>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1．采购代理机构在评标工作结束后2个工作日内将评审报告送采购人。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3．采购代理机构将在中标供应商确定之日起2个工作日内，在【</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陕西省政府采购网</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"http://www.ccgp-shaanxi.gov.cn/"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http://www.ccgp-shaanxi.gov.cn/</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）上公布中标结果。中标公告期限为1个工作日。</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4．在公告中标结果的同时，采购代理机构将向中标供应商发出中标通知书，中标供应商在领取中标通知书时提供一正两副纸质投标文件用于备案。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6．采购代理机构按照相关规定将评审报告送监管机构备案。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79" w:name="_Toc17509"/>
      <w:r>
        <w:rPr>
          <w:rFonts w:hint="eastAsia" w:ascii="仿宋" w:hAnsi="仿宋" w:eastAsia="仿宋" w:cs="仿宋"/>
          <w:b/>
          <w:bCs/>
          <w:color w:val="auto"/>
          <w:sz w:val="24"/>
          <w:szCs w:val="24"/>
          <w:highlight w:val="none"/>
        </w:rPr>
        <w:t>九、合同签订、履行及验收</w:t>
      </w:r>
      <w:bookmarkEnd w:id="79"/>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招标文件、投标文件、澄清、补充合同等为政府采购合同的组成部分，具有同等法律效力。</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0" w:name="_Toc13185"/>
      <w:r>
        <w:rPr>
          <w:rFonts w:hint="eastAsia" w:ascii="仿宋" w:hAnsi="仿宋" w:eastAsia="仿宋" w:cs="仿宋"/>
          <w:b w:val="0"/>
          <w:bCs w:val="0"/>
          <w:color w:val="auto"/>
          <w:sz w:val="24"/>
          <w:szCs w:val="24"/>
          <w:highlight w:val="none"/>
        </w:rPr>
        <w:t>（一）签订政府采购合同</w:t>
      </w:r>
      <w:bookmarkEnd w:id="80"/>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1．自中标通知书发出之日起30日内，采购人与中标供应商应按招标文件和中标供应商投标文件的约定，签订书面合同。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2．中标供应商拒绝与采购人签订合同的，采购人可以按照《政府采购法实施条例》第四十九条规定，确定下一候选人为中标供应商，也可以重新开展政府采购活动。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4．质疑或者投诉事项可能影响中标、成交结果的，采购人应当暂停签订合同，已经签订合同的，应当中止履行合同。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1" w:name="_Toc2882"/>
      <w:r>
        <w:rPr>
          <w:rFonts w:hint="eastAsia" w:ascii="仿宋" w:hAnsi="仿宋" w:eastAsia="仿宋" w:cs="仿宋"/>
          <w:b w:val="0"/>
          <w:bCs w:val="0"/>
          <w:color w:val="auto"/>
          <w:sz w:val="24"/>
          <w:szCs w:val="24"/>
          <w:highlight w:val="none"/>
        </w:rPr>
        <w:t>（二）合同公告及备案</w:t>
      </w:r>
      <w:bookmarkEnd w:id="81"/>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1．采购人应当自政府采购合同签订之日起2个工作日内，在陕西省政府采购网对合同进行公示，但政府采购合同中涉及国家秘密、商业秘密的内容除外。</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2．采购人应自合同签订之日起7个工作日内将政府采购合同报送监管机构备案。</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2" w:name="_Toc7088"/>
      <w:r>
        <w:rPr>
          <w:rFonts w:hint="eastAsia" w:ascii="仿宋" w:hAnsi="仿宋" w:eastAsia="仿宋" w:cs="仿宋"/>
          <w:b w:val="0"/>
          <w:bCs w:val="0"/>
          <w:color w:val="auto"/>
          <w:sz w:val="24"/>
          <w:szCs w:val="24"/>
          <w:highlight w:val="none"/>
        </w:rPr>
        <w:t>（三）履行合同</w:t>
      </w:r>
      <w:bookmarkEnd w:id="82"/>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1．合同一经签订，双方应严格履行合同规定的义务。</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2．在合同履行过程中，如发生合同纠纷，合同双方应按照《中华人民共和国民法典》及合同条款的有关规定进行处理。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bookmarkStart w:id="83" w:name="_Toc20101"/>
      <w:r>
        <w:rPr>
          <w:rFonts w:hint="eastAsia" w:ascii="仿宋" w:hAnsi="仿宋" w:eastAsia="仿宋" w:cs="仿宋"/>
          <w:b w:val="0"/>
          <w:bCs w:val="0"/>
          <w:color w:val="auto"/>
          <w:sz w:val="24"/>
          <w:szCs w:val="24"/>
          <w:highlight w:val="none"/>
        </w:rPr>
        <w:t>（四）验收或考核</w:t>
      </w:r>
      <w:bookmarkEnd w:id="83"/>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1．采购人严格按照国家相关法律法规的要求及招标文件的要求组织验收或考核。</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color w:val="auto"/>
          <w:sz w:val="24"/>
          <w:szCs w:val="24"/>
          <w:highlight w:val="none"/>
        </w:rPr>
      </w:pPr>
      <w:bookmarkStart w:id="84" w:name="_Toc18463"/>
      <w:r>
        <w:rPr>
          <w:rFonts w:hint="eastAsia" w:ascii="仿宋" w:hAnsi="仿宋" w:eastAsia="仿宋" w:cs="仿宋"/>
          <w:b/>
          <w:bCs/>
          <w:color w:val="auto"/>
          <w:sz w:val="24"/>
          <w:szCs w:val="24"/>
          <w:highlight w:val="none"/>
        </w:rPr>
        <w:t>十、废标及重新招标</w:t>
      </w:r>
      <w:bookmarkEnd w:id="84"/>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2．根据《政府采购法》第三十六条规定，在招标采购中，出现下列情形之一的，本项目按废标处理：</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（1）出现影响采购公正的违法、违规行为的；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（2）供应商的报价均超过了采购预算，采购人不能支付的；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（3）因重大变故，采购任务取消的。</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废标后，除采购任务取消外，本项目将重新组织招标。</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24"/>
          <w:szCs w:val="24"/>
          <w:highlight w:val="none"/>
        </w:rPr>
        <w:t>4．招标文件未明确的其他事项，按《政府采购法》及其相关法律法规执行。</w:t>
      </w:r>
    </w:p>
    <w:p>
      <w:pPr>
        <w:rPr>
          <w:rFonts w:hint="eastAsia" w:ascii="仿宋" w:hAnsi="仿宋" w:eastAsia="仿宋" w:cs="仿宋"/>
          <w:color w:val="auto"/>
          <w:sz w:val="32"/>
          <w:szCs w:val="32"/>
          <w:highlight w:val="none"/>
        </w:rPr>
      </w:pPr>
      <w:bookmarkStart w:id="85" w:name="_Toc100219614"/>
      <w:r>
        <w:rPr>
          <w:rFonts w:hint="eastAsia" w:ascii="仿宋" w:hAnsi="仿宋" w:eastAsia="仿宋" w:cs="仿宋"/>
          <w:color w:val="auto"/>
          <w:sz w:val="32"/>
          <w:szCs w:val="32"/>
          <w:highlight w:val="none"/>
        </w:rPr>
        <w:br w:type="page"/>
      </w:r>
    </w:p>
    <w:p>
      <w:pPr>
        <w:pStyle w:val="3"/>
        <w:rPr>
          <w:rFonts w:hint="eastAsia" w:ascii="仿宋" w:hAnsi="仿宋" w:eastAsia="仿宋" w:cs="仿宋"/>
          <w:b/>
          <w:bCs/>
          <w:color w:val="auto"/>
          <w:highlight w:val="none"/>
        </w:rPr>
      </w:pPr>
      <w:bookmarkStart w:id="86" w:name="_Toc10675"/>
      <w:bookmarkStart w:id="87" w:name="_Toc23858"/>
      <w:r>
        <w:rPr>
          <w:rFonts w:hint="eastAsia" w:ascii="仿宋" w:hAnsi="仿宋" w:eastAsia="仿宋" w:cs="仿宋"/>
          <w:b/>
          <w:bCs/>
          <w:color w:val="auto"/>
          <w:highlight w:val="none"/>
        </w:rPr>
        <w:t>第三章  招标内容及要求</w:t>
      </w:r>
      <w:bookmarkEnd w:id="85"/>
      <w:bookmarkEnd w:id="86"/>
      <w:bookmarkEnd w:id="87"/>
    </w:p>
    <w:p>
      <w:pPr>
        <w:pStyle w:val="104"/>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一、采购内容及清单</w:t>
      </w:r>
    </w:p>
    <w:p>
      <w:pPr>
        <w:pStyle w:val="10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本次采购核心产品为</w:t>
      </w:r>
      <w:r>
        <w:rPr>
          <w:rFonts w:hint="eastAsia" w:ascii="仿宋" w:hAnsi="仿宋" w:eastAsia="仿宋" w:cs="仿宋"/>
          <w:b/>
          <w:bCs/>
          <w:color w:val="auto"/>
          <w:sz w:val="24"/>
          <w:szCs w:val="24"/>
          <w:highlight w:val="none"/>
          <w:u w:val="single"/>
          <w:lang w:val="en-US" w:eastAsia="zh-CN"/>
        </w:rPr>
        <w:t xml:space="preserve">  高锰酸盐指数水质分析仪  </w:t>
      </w:r>
      <w:r>
        <w:rPr>
          <w:rFonts w:hint="eastAsia" w:ascii="仿宋" w:hAnsi="仿宋" w:eastAsia="仿宋" w:cs="仿宋"/>
          <w:b/>
          <w:bCs/>
          <w:color w:val="auto"/>
          <w:sz w:val="24"/>
          <w:szCs w:val="24"/>
          <w:highlight w:val="none"/>
          <w:lang w:val="en-US" w:eastAsia="zh-CN"/>
        </w:rPr>
        <w:t>。</w:t>
      </w:r>
    </w:p>
    <w:p>
      <w:pPr>
        <w:pStyle w:val="10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2、采购清单</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45"/>
        <w:gridCol w:w="5665"/>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shd w:val="clear" w:color="auto" w:fill="auto"/>
            <w:noWrap/>
            <w:vAlign w:val="center"/>
          </w:tcPr>
          <w:p>
            <w:pPr>
              <w:widowControl/>
              <w:jc w:val="center"/>
              <w:rPr>
                <w:rFonts w:hint="eastAsia" w:ascii="仿宋" w:hAnsi="仿宋" w:eastAsia="仿宋" w:cs="仿宋"/>
                <w:b/>
                <w:bCs/>
                <w:color w:val="auto"/>
                <w:kern w:val="0"/>
                <w:sz w:val="24"/>
                <w:szCs w:val="24"/>
                <w:highlight w:val="none"/>
              </w:rPr>
            </w:pPr>
            <w:bookmarkStart w:id="88" w:name="_Hlk121657703"/>
            <w:r>
              <w:rPr>
                <w:rFonts w:hint="eastAsia" w:ascii="仿宋" w:hAnsi="仿宋" w:eastAsia="仿宋" w:cs="仿宋"/>
                <w:b/>
                <w:bCs/>
                <w:color w:val="auto"/>
                <w:kern w:val="0"/>
                <w:sz w:val="24"/>
                <w:szCs w:val="24"/>
                <w:highlight w:val="none"/>
              </w:rPr>
              <w:t>序号</w:t>
            </w:r>
          </w:p>
        </w:tc>
        <w:tc>
          <w:tcPr>
            <w:tcW w:w="1145" w:type="dxa"/>
            <w:shd w:val="clear" w:color="auto" w:fill="auto"/>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设备采购名称</w:t>
            </w:r>
          </w:p>
        </w:tc>
        <w:tc>
          <w:tcPr>
            <w:tcW w:w="5665" w:type="dxa"/>
            <w:shd w:val="clear" w:color="auto" w:fill="auto"/>
            <w:noWrap/>
            <w:vAlign w:val="center"/>
          </w:tcPr>
          <w:p>
            <w:pPr>
              <w:widowControl/>
              <w:ind w:firstLine="480" w:firstLineChars="20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设备明细</w:t>
            </w:r>
          </w:p>
        </w:tc>
        <w:tc>
          <w:tcPr>
            <w:tcW w:w="567" w:type="dxa"/>
            <w:shd w:val="clear" w:color="auto" w:fill="auto"/>
            <w:noWrap/>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567" w:type="dxa"/>
            <w:shd w:val="clear" w:color="auto" w:fill="auto"/>
            <w:noWrap/>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9" w:type="dxa"/>
            <w:gridSpan w:val="5"/>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1、专用设备购置</w:t>
            </w:r>
          </w:p>
        </w:tc>
      </w:tr>
      <w:bookmark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restart"/>
            <w:noWrap/>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1-1</w:t>
            </w:r>
          </w:p>
        </w:tc>
        <w:tc>
          <w:tcPr>
            <w:tcW w:w="1145" w:type="dxa"/>
            <w:vMerge w:val="restart"/>
            <w:vAlign w:val="center"/>
          </w:tcPr>
          <w:p>
            <w:pPr>
              <w:ind w:right="-124" w:rightChars="-52"/>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水质自动分析仪</w:t>
            </w:r>
          </w:p>
        </w:tc>
        <w:tc>
          <w:tcPr>
            <w:tcW w:w="5665" w:type="dxa"/>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五参数水质分析仪（pH、溶解氧、电导率、水温、浊度）</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高锰酸盐指数水质分析仪（核心产品）</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氨氮水质分析仪</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总磷水质分析仪</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ind w:firstLine="480" w:firstLineChars="20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化学需氧量水质分析仪</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restart"/>
            <w:noWrap/>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1-2</w:t>
            </w:r>
          </w:p>
        </w:tc>
        <w:tc>
          <w:tcPr>
            <w:tcW w:w="1145" w:type="dxa"/>
            <w:vMerge w:val="restart"/>
            <w:vAlign w:val="center"/>
          </w:tcPr>
          <w:p>
            <w:pPr>
              <w:ind w:right="-124" w:rightChars="-52"/>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系统集成</w:t>
            </w:r>
          </w:p>
        </w:tc>
        <w:tc>
          <w:tcPr>
            <w:tcW w:w="5665" w:type="dxa"/>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采水单元</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配水及预处理单元</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控制单元</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质控单元</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留样单元</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系统机柜</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视频监控单元</w:t>
            </w:r>
            <w:r>
              <w:rPr>
                <w:rFonts w:hint="eastAsia" w:ascii="仿宋" w:hAnsi="仿宋" w:eastAsia="仿宋" w:cs="仿宋"/>
                <w:b w:val="0"/>
                <w:bCs w:val="0"/>
                <w:color w:val="auto"/>
                <w:sz w:val="24"/>
                <w:szCs w:val="24"/>
                <w:highlight w:val="none"/>
              </w:rPr>
              <w:t>（仪器室、采水口、站房周边3台摄像机，含硬盘录像机1台）</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辅助单元（</w:t>
            </w:r>
            <w:r>
              <w:rPr>
                <w:rFonts w:hint="eastAsia" w:ascii="仿宋" w:hAnsi="仿宋" w:eastAsia="仿宋" w:cs="仿宋"/>
                <w:b w:val="0"/>
                <w:bCs w:val="0"/>
                <w:color w:val="auto"/>
                <w:sz w:val="24"/>
                <w:szCs w:val="24"/>
                <w:highlight w:val="none"/>
              </w:rPr>
              <w:t>UPS、稳压电源、空压机、废液处理、其它材料</w:t>
            </w:r>
            <w:r>
              <w:rPr>
                <w:rFonts w:hint="eastAsia" w:ascii="仿宋" w:hAnsi="仿宋" w:eastAsia="仿宋" w:cs="仿宋"/>
                <w:b w:val="0"/>
                <w:bCs w:val="0"/>
                <w:color w:val="auto"/>
                <w:kern w:val="0"/>
                <w:sz w:val="24"/>
                <w:szCs w:val="24"/>
                <w:highlight w:val="none"/>
                <w:lang w:bidi="ar"/>
              </w:rPr>
              <w:t>）</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restart"/>
            <w:noWrap/>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1-3</w:t>
            </w:r>
          </w:p>
        </w:tc>
        <w:tc>
          <w:tcPr>
            <w:tcW w:w="1145" w:type="dxa"/>
            <w:vMerge w:val="restart"/>
            <w:vAlign w:val="center"/>
          </w:tcPr>
          <w:p>
            <w:pPr>
              <w:ind w:right="-124" w:rightChars="-52"/>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辅助设施</w:t>
            </w:r>
          </w:p>
        </w:tc>
        <w:tc>
          <w:tcPr>
            <w:tcW w:w="5665" w:type="dxa"/>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空调（仪器室、质控室各1台）</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冷藏柜</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Merge w:val="continue"/>
            <w:noWrap/>
            <w:vAlign w:val="center"/>
          </w:tcPr>
          <w:p>
            <w:pPr>
              <w:widowControl/>
              <w:jc w:val="center"/>
              <w:rPr>
                <w:rFonts w:hint="eastAsia" w:ascii="仿宋" w:hAnsi="仿宋" w:eastAsia="仿宋" w:cs="仿宋"/>
                <w:b w:val="0"/>
                <w:bCs w:val="0"/>
                <w:color w:val="auto"/>
                <w:kern w:val="0"/>
                <w:sz w:val="24"/>
                <w:szCs w:val="24"/>
                <w:highlight w:val="none"/>
              </w:rPr>
            </w:pPr>
          </w:p>
        </w:tc>
        <w:tc>
          <w:tcPr>
            <w:tcW w:w="1145" w:type="dxa"/>
            <w:vMerge w:val="continue"/>
            <w:vAlign w:val="center"/>
          </w:tcPr>
          <w:p>
            <w:pPr>
              <w:ind w:right="-124" w:rightChars="-52"/>
              <w:jc w:val="left"/>
              <w:rPr>
                <w:rFonts w:hint="eastAsia" w:ascii="仿宋" w:hAnsi="仿宋" w:eastAsia="仿宋" w:cs="仿宋"/>
                <w:b w:val="0"/>
                <w:bCs w:val="0"/>
                <w:color w:val="auto"/>
                <w:sz w:val="24"/>
                <w:szCs w:val="24"/>
                <w:highlight w:val="none"/>
              </w:rPr>
            </w:pPr>
          </w:p>
        </w:tc>
        <w:tc>
          <w:tcPr>
            <w:tcW w:w="5665" w:type="dxa"/>
            <w:vAlign w:val="center"/>
          </w:tcPr>
          <w:p>
            <w:pPr>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质控室实验台</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9" w:type="dxa"/>
            <w:gridSpan w:val="5"/>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2、委托业务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noWrap/>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2-1</w:t>
            </w:r>
          </w:p>
        </w:tc>
        <w:tc>
          <w:tcPr>
            <w:tcW w:w="1145" w:type="dxa"/>
            <w:vAlign w:val="center"/>
          </w:tcPr>
          <w:p>
            <w:pPr>
              <w:ind w:right="-124" w:rightChars="-52"/>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土地租赁、洪评</w:t>
            </w:r>
          </w:p>
        </w:tc>
        <w:tc>
          <w:tcPr>
            <w:tcW w:w="5665" w:type="dxa"/>
            <w:vAlign w:val="center"/>
          </w:tcPr>
          <w:p>
            <w:pPr>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新建水质监测站占地面积≧30平方米，不少于30年的租用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洪评</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noWrap/>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2-2</w:t>
            </w:r>
          </w:p>
        </w:tc>
        <w:tc>
          <w:tcPr>
            <w:tcW w:w="1145" w:type="dxa"/>
            <w:vAlign w:val="center"/>
          </w:tcPr>
          <w:p>
            <w:pPr>
              <w:ind w:right="-124" w:rightChars="-52"/>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站房、四通一平建设</w:t>
            </w:r>
          </w:p>
        </w:tc>
        <w:tc>
          <w:tcPr>
            <w:tcW w:w="5665" w:type="dxa"/>
            <w:vAlign w:val="center"/>
          </w:tcPr>
          <w:p>
            <w:pPr>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1.站房土建、内装工程：（基础建设、主体修建、主体防水、墙面地面平整、给排水、电路、吊顶、门窗、照明设施、温控设施、文化建设；）</w:t>
            </w:r>
          </w:p>
          <w:p>
            <w:pPr>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2.站房四通一平：(站房外道路平整，供电变压器等，供水、电、网)</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567" w:type="dxa"/>
            <w:noWrap/>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座</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1.水质自动监测站建设</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1.1.水质自动监测站自动分析仪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1.1.1.仪器基本功能要求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高锰酸盐指数、化学需氧量、氨氮、总磷具有以下基本功能: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（1）具有零点核查、量程核查及校零校标功能；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（2）具有异常信息记录及上传功能，如零部件故障、超量程报警、超标报警、缺试剂报警等信息；</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（3）具有仪器状态（如测量、空闲、故障等）和关键参数显示及传输功能；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（4）具有RS-232或RS-485或RJ-45标准通讯接口；</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（5）具备1小时1次的监测能力；</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（6）具备动态扣除浊度、色度的影响，具有抗浊度、抗色度干扰功能；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（7）仪器可扩展性好，无需更新软件即可完成不同监测参数之间的切换；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（8）具有漏液自动检测及液位保护功能，防止漏液腐蚀仪表，并具有报警功能；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（9）计量单元具有试剂余量监控及报警功能，能够显示试剂余量及其可以维持的监测频次，缺试剂时进行报警并停止运行。</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1.1.2.仪器技术参数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五参数水质分析仪（pH、溶解氧、电导率、水温、浊度）、高锰酸盐指数、氨氮、总磷、化学需氧量，共计9个参数。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(1)五参数水质分析仪（pH、溶解氧、电导率、水温、浊度）</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a) 水温水质分析仪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测定原理：热电阻或热电偶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量程：0℃～60 ℃，可调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准确度：±0.5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b) pH水质分析仪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测定原理：玻璃电极法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量程：pH 0～14 （0～40 ℃），可调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漂移（pH=4、7、9）：±0.1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响应时间：≤30 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实际水样比对试验：±0.1 pH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c) 溶解氧水质分析仪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测定原理：电化学法、荧光法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量程：0～20 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响应时间（T90）：≤120 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d) 电导率水质分析仪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测定原理：电极法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最小检测范围：0～500 mS/m（0～40℃），可调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重复性误差：±1%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响应时间（T90）：≤30s</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温度补偿精度：±1%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e) 浊度水质分析仪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测定原理：光散射法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量程：0～1000NTU，可调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防护等级：≥IP65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（2）高锰酸盐指数水质分析仪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测定原理：高锰酸钾氧化法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量程：0～20mg/L，可调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葡萄糖试验：±5% （测量误差）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检出限：≤0.5mg/L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 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（3）氨氮水质分析仪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测定原理：水杨酸分光光度法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量程：0～10 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零点漂移：≤0.02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示值误差：标液浓度为 2.0 mg/L 时：± 8.0%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标液浓度为 5.0 mg/L 时：± 5.0%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标液浓度为 8.0 mg/L 时：± 3.0%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重复性：≤2.0%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记忆效应：标液浓度为 2.0 mg/L 时：± 0.3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标液浓度为 8.0 mg/L 时：± 0.2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检出限：≤0.05mg/L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pH 干扰试验：± 6.0%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实际水样比对试验：水样浓度&lt;2.0 mg/L：≤0.2 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水样浓度≥2.0 mg/L ：≤10.0%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最小维护周期：≥168h</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（4）总磷水质分析仪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测定原理：钼酸铵分光光度法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量程：0～2mg/L，可调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直线性：±10%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检出限：≤0.01mg/L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实际水样比对试验：±10%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（5）化学需氧量水质分析仪</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测试原理：重铬酸钾氧化分光光度法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测定范围：0~200mg/L（可扩展）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准确度：±10%</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重复性：≤5%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零点漂移：±5mg/L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量程漂移：±5%</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检出限：≤5mg/L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平均无故障运行时间：≥720h/次</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1.2.水质自动监测站集成建设要求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1.2.1.系统集成功能要求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 xml:space="preserve">（1）具有仪器及系统运行周期（连续或间歇）设置功能，至少具备常规、应急、质控、维护等多种运行模式；具备异常数据和超标数据判别功能，在出现异常数据时，系统能自动进入质控模式佐证一次数据，在数据连续超标时，系统能自动进入应急模式加密监测。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 xml:space="preserve">（2）具有系统状态(测量、空闲、故障、维护等)显示；具备系统过程日志记录并上传(清洗外管路、取原水、取水成功启动仪器测试、进样管开始进样等以及时间节点显示)，对系统过程的关键节点有记录，满足系统数据溯源的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微软雅黑" w:hAnsi="微软雅黑" w:eastAsia="微软雅黑" w:cs="微软雅黑"/>
          <w:b/>
          <w:bCs w:val="0"/>
          <w:color w:val="auto"/>
          <w:sz w:val="24"/>
          <w:szCs w:val="24"/>
          <w:highlight w:val="none"/>
        </w:rPr>
        <w:t>★</w:t>
      </w:r>
      <w:r>
        <w:rPr>
          <w:rFonts w:hint="eastAsia" w:ascii="仿宋" w:hAnsi="仿宋" w:eastAsia="仿宋" w:cs="仿宋"/>
          <w:b/>
          <w:bCs w:val="0"/>
          <w:color w:val="auto"/>
          <w:sz w:val="24"/>
          <w:szCs w:val="24"/>
          <w:highlight w:val="none"/>
        </w:rPr>
        <w:t xml:space="preserve">（3）具有异常信息记录和上传功能，如采水故障、部件故障、超量程报警、超标报警、缺试剂报警等信息；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（4）具备仪器关键参数实时上传及远程设置功能，能接受远程控制指令；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（5）能够实现对高锰酸盐指数、氨氮、总磷、化学需氧量水质自动分析仪器进行自动标样核查、自动加标回收率核查、自动零点核查、自动跨度核查等质控功能，并具备自动留样功能；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（6）确保仪器、系统运行的监测数据和状态信息等稳定传输；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（7）具备停电时自我保护，断电再度通电后自动排空、自动清洗管路；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（8）具有分析仪器及系统过程日志记录和环境参数记录功能，并能够上传至水质自动监管平台；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（9）存储不少于2年的原始数据和运行日志；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（10）水质自动分析仪器（水温、pH、电导率、溶解氧、浊度除外）及控制单元须具有三级管理权限；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（11）系统应具有良好的扩展性和兼容性，根据实际应用需要，可增加新的监测参数，并方便仪器安装与接入；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（12）所有操作日志留痕，可通过远程方式实时获取现场站点控制单元的人为操作信息，记录登录用户的所有操作，便于对系统的维护操作进行诊断与溯源。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1.2.2.系统集成技术要求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（1）采水单元技术要求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1）采水单元应结合现场水文、地质条件确定合适的采水方式，符合《地表水和污水监测技术规范》（HJ/T91），保证运行的稳定性、水样的代表性、维护的方便性；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2）采水单元一般包括采水构筑物、采水泵、采水管道、清洗配套装置、防堵塞装置和保温配套装置；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3）采样装置的吸水口应设在水下0.5～1m范围内，并能够随水位变化适时调整位置，同时与水体底部保持足够的距离，防止底质淤泥对采样水质的影响；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4）采水系统应具备双泵/双管路轮换功能，配置双泵/双管路采水，一用一备；可进行自动或手动切换，满足实时不间断监测的要求；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5）采水管道应设置防冻保温措施，以减少环境温度等因素对水样造成影响；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6）采水管道材质应有足够的强度，具有良好的化学稳定性，不与水样中被测物产生物理和化学反应；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7）采水管道应具有防意外堵塞和方便泥沙沉积后的清洗功能，管路应易于拆卸和清洗；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8）采水管道应有除藻和反清洗设备，可以通入清洗水进行自动反冲洗；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9）采水单元采集的样品应能保证水样代表性，集成干预核查应符合要求。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（2）配水及预处理单元技术要求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配水及预处理单元由水样分配单元、预处理装置及管道等组成。实现对分析仪器配水的功能，并具有自动反清（吹）洗和自动除藻功能。预处理单元为不同分析仪器配备预处理装置，水温、pH、浊度、溶解氧、电导率使用原水直接分析，其余参数应根据国家标准分析方法要求对分析仪器提供相应的预处理方法。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1）配水单元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a、配水管路设计合理，流向清晰，便于维护；保证仪器分析测试的水样应能代表实际水质情况并满足仪器测试需求；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b、配水单元具备自动反清（吹）洗功能，防止菌类和藻类等微生物对样品污染或对系统工作造成不良影响，设计中不使用对环境产生污染的清洗方法；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c、配水主管路采用串联方式，各仪器之间管路采用并联方式，每台仪器从各自的取样杯中取水，任何仪器的配水管路出现故障不能影响其他仪器的测试；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d、具备可扩展功能，水站预留不少于 4 台设备的接水口、排水口以及水样比对实验用的手动取水口；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e、能配合系统实现水样自动分配、自动预处理、故障自动报警、关键部件工作状态的显示和反控等功能；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f、配水单元的所有操作均可通过控制单元实现，并接受平台端的远程控制；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g、所选管材机械强度及化学稳定性好、使用寿命长、便于安装维护，不会对水样水质造成影响；管路内径、压力、流量、流速满足仪器分析需要，并留有余量。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2）预处理单元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a、水样进入水质分析仪表前进行预处理，在不影响测定准确度的同时确保不影响测定仪器的正常稳定运行，并保证每次分析样品的代表性。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b、预处理单元配置有相关的液位监测装置，保证在特殊情况下的系统自我保护和及时发出相关警报。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c、具备自动反清洗功能，预处理单元的自动运行及定时反清洗由控制系统控制，并能够在中心站计算机的控制画面中通过指令来切换预处理单元是处于自动运行状态还是反清洗状态。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d、预处理单元能在系统停电恢复并自动启动后按照采集控制器的控制时序自动启动。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e、由于预处理单元关系到整个仪表分析系统的可靠性，因此预处理的阀组件采用优质气动阀或电动阀。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f、除多参数以外，其它参数采用能满足分析仪表要求的多级预处理系统，并具备清沙、排沙功能的装置。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g、管路采用排空设计，即将水样送入仪表和备用水箱后，将管路中水样自动排空等待下一次取水过程，配备手动排空装置。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h、设计除藻流程。能够有效杀死管道中的藻类，减少管壁积藻现象。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i、可根据配套仪表对过滤的不同要求选用不同规格的金属膜，各连接口尺寸与分析仪器和系统管道配合。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j、预留超标水样自动收集装置接口，配置超标留样设备后能对超标水样进行自动收集。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k、预处理单元的自动运行和自动清洗由基站控制管理系统控制，也可由中心站通过指令由基站控制管理系统实施实时控制。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l、可显示取样单元管路的压力或流量，具有独立的水量控制手阀，并能对压力和流量进行调节控制，能记录系统参数配置及运行状态。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m、预处理单元采用一体化结构，所有设备均安装于屏蔽机柜内（电源、空压机、除藻器除外）。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（3）控制单元技术要求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控制单元对采水单元、配水及预处理单元、分析单元、留样单元、辅助单元及视频单元进行控制，并实现数据采集与传输功能，保证系统连续、可靠和安全运行。</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1）功能要求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a、具有断电保护功能，能够在断电时保存系统参数和历史数据，在来电时自动恢复系统；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b、具备自动采集数据功能，包括自动采集水质自动分析仪器数据、集成控制数据等，采集的数据应自动添加数据标识，异常监测数据能自动识别，并主动上传至中心平台；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c、具备单点控制功能，能够对单一控制点（阀、泵等）进行调试；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d、具备对自动分析仪器的启停、校时、校准、质控测试等控制功能；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e、具备对留样单元的留样、排样的控制功能；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能够兼容视频监控设备并能实现对视频设备进行校时、重新启动、参数设置、软件升级、远程维护等功能；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f、具备参数设置功能，能够对小数位、单位、仪器测定上下限、报警（超标）上下限等参数进行设置；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具备各仪器监测结果、状态参数、运行流程、报警信息等显示的功能；具有监测数据查询、导出、自动备份功能，可分类查询水质周期数据、质控数据（空白测试数据、标样核查数据、加标回收率数据等）及其对应的仪器、系统日志流程信息。</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2）硬件设备技术参数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a、工业控制计算机</w:t>
      </w:r>
    </w:p>
    <w:tbl>
      <w:tblPr>
        <w:tblStyle w:val="10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1542"/>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序号</w:t>
            </w:r>
          </w:p>
        </w:tc>
        <w:tc>
          <w:tcPr>
            <w:tcW w:w="154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指标名称</w:t>
            </w: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w:t>
            </w:r>
          </w:p>
        </w:tc>
        <w:tc>
          <w:tcPr>
            <w:tcW w:w="154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CPU</w:t>
            </w: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w:t>
            </w:r>
          </w:p>
        </w:tc>
        <w:tc>
          <w:tcPr>
            <w:tcW w:w="154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内存</w:t>
            </w: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3</w:t>
            </w:r>
          </w:p>
        </w:tc>
        <w:tc>
          <w:tcPr>
            <w:tcW w:w="154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硬盘容量</w:t>
            </w: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4</w:t>
            </w:r>
          </w:p>
        </w:tc>
        <w:tc>
          <w:tcPr>
            <w:tcW w:w="154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显示器</w:t>
            </w: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≥12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Merge w:val="restart"/>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w:t>
            </w:r>
          </w:p>
        </w:tc>
        <w:tc>
          <w:tcPr>
            <w:tcW w:w="1542" w:type="dxa"/>
            <w:vMerge w:val="restart"/>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通讯接口</w:t>
            </w: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RS-232/485 COM 口，不小于 8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1"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1542"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5887"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网口，不少于 2 个</w:t>
            </w:r>
          </w:p>
        </w:tc>
      </w:tr>
    </w:tbl>
    <w:p>
      <w:pPr>
        <w:pBdr>
          <w:bottom w:val="none" w:color="auto" w:sz="0" w:space="1"/>
        </w:pBd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b、可编程控制器</w:t>
      </w:r>
    </w:p>
    <w:tbl>
      <w:tblPr>
        <w:tblStyle w:val="10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686"/>
        <w:gridCol w:w="6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序号</w:t>
            </w:r>
          </w:p>
        </w:tc>
        <w:tc>
          <w:tcPr>
            <w:tcW w:w="1686"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指标名称</w:t>
            </w:r>
          </w:p>
        </w:tc>
        <w:tc>
          <w:tcPr>
            <w:tcW w:w="600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性能指标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w:t>
            </w:r>
          </w:p>
        </w:tc>
        <w:tc>
          <w:tcPr>
            <w:tcW w:w="1686"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扩展能力</w:t>
            </w:r>
          </w:p>
        </w:tc>
        <w:tc>
          <w:tcPr>
            <w:tcW w:w="600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控制器输入输出接口满足需求且余量不少于4路，以便以后扩展。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w:t>
            </w:r>
          </w:p>
        </w:tc>
        <w:tc>
          <w:tcPr>
            <w:tcW w:w="1686"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防雷抗干扰能力</w:t>
            </w:r>
          </w:p>
        </w:tc>
        <w:tc>
          <w:tcPr>
            <w:tcW w:w="600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符合抗电磁辐射、电磁感应的相关规定，具备电源隔离和信号隔离措施。</w:t>
            </w:r>
          </w:p>
        </w:tc>
      </w:tr>
    </w:tbl>
    <w:p>
      <w:pPr>
        <w:rPr>
          <w:rFonts w:hint="eastAsia" w:ascii="仿宋" w:hAnsi="仿宋" w:eastAsia="仿宋" w:cs="仿宋"/>
          <w:b w:val="0"/>
          <w:bCs/>
          <w:color w:val="auto"/>
          <w:sz w:val="24"/>
          <w:szCs w:val="24"/>
          <w:highlight w:val="none"/>
        </w:rPr>
      </w:pP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1.2.3.数据采集与传输要求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（1）数据采集与存储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1）采集自动分析仪器的监测数据，并分类保存；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2）采集自动分析仪器和集成系统各单元的工作状态量，并以运行日志的形式记录保存；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3）能够实时采集视频信息并传输至中心平台；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4）断电后能自动保存历史数据和参数设置。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（2）数据传输与通讯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1）采用无线、有线的通讯方式满足数据传输要求；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2）接受中心站的远程访问，实时采集视频信息并传输至中心平台；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具有仪器关键参数上传、远程设置、远程校时功能，能按要求接受、处理和反馈远程控制命令，如远程标定、仪器参数设置、标样核查、加标回收率测试、远程单元控制，远程留样等，配水单元的所有操作均可接受平台端的远程控制；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4）具备对通信链路的自动诊断功能，具备超时补发功能。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1.2.4.质控单元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（1）能够实现空白测试、平行样测试、自动标样核查、加标回收率测试、动态密码加标、自动零点核查、自动跨度核查、24 小时零点漂移、 24 小时跨度漂移等质控功能并具备远程质控功能；具备动态密码样加标功能，可以根据水样测量值不同而自动调整加标体积；具有自动诊断功能，数据出现异常波动时，自动追加相应质控措施。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（2）空白核查和标样核查配有单独的管路，可根据实际情况任意调整核查液浓度；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（3）加标回收率的标液浓度和标液体积可进行任意设置，同时系统可根据实际水样的测量结果智能调整标液的加入量，确保加标回收率测试过程与实验室保持一致。</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1.2.5.留样单元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（1）具备水样冷藏功能，温度在 4±2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（2）留样瓶由惰性材料制成，易清洗，容量应≥500mL，瓶数≥12 个， 采样后可封闭；</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（3）具有留样前自动润洗，留样后自动排空的功能；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（4）配置门禁系统并具备开关门记录功能；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（5）具有留样失败报警功能。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1.2.6.辅助单元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辅助单元应包含UPS不间断电源、稳压电源、防雷单元、废液单元、自动灭火装置、环境监控系统等部分，具体要求如下：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（1）UPS不间断电源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1）在线式 UPS 电源总功率 3KW，内部采用模块化设计，输入功率因数满载时≥0.99，输入电流谐波满载时≤5%，输出电压失真度&lt;6%（100%非线性负载），UPS 的输出功率因数≥0.8；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2）容量：3KVA；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3）工作温度：0℃～40℃；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4）储运温度：-25℃～+55℃；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5）工作相对湿度：≤95%（无凝露）；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6）报警功能：电池低压、市电异常、UPS 故障、输出过载、输出短路；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7）保护功能：电池欠压保护、过载保护、短路保护、过温保护。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8）工作时长：可保证断电后工业控制计算机继续运行 4 小时。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（2）稳压电源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稳压电源除了最基本的稳定电压功能以外，还应具有过压保护（超过输出电压的+10%）、欠压保护（低于输出电压的-10%）、缺相保护、短路过载保护最基本的保护功能。电网有时会出现幅值很高，脉宽很窄的尖脉冲，它会击穿耐压较低的电子元件，稳压电源的抗浪涌组件能够对这样的尖脉冲起到很好的抑制作用。技术参数见下表。</w:t>
      </w:r>
    </w:p>
    <w:tbl>
      <w:tblPr>
        <w:tblStyle w:val="10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3"/>
        <w:gridCol w:w="4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项   目</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技术指标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功率</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≥10 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相数</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三相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欠压保护相电压</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（180±8）V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过压保护相电压</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（246±8）V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调压速度 s</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＜（3-6）s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频率 Hz</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环境温度</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13"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相对湿度</w:t>
            </w:r>
          </w:p>
        </w:tc>
        <w:tc>
          <w:tcPr>
            <w:tcW w:w="4048" w:type="dxa"/>
          </w:tcPr>
          <w:p>
            <w:pPr>
              <w:spacing w:line="360" w:lineRule="auto"/>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不大于 90%</w:t>
            </w:r>
          </w:p>
        </w:tc>
      </w:tr>
    </w:tbl>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（3）防雷单元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必须具有电源、信号等设施的三级防雷措施，保证系统稳定、可靠运行。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（4）废液单元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1）用于回收的废液分类用洁净的容器盛装，容器标示明显，严禁挪作他用，禁止混合贮存，以免发生剧烈化学反应而造成事故。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2）同类废液中浓度高的集中贮存以便于回收某些贵重或有回收价值的组分，浓度低的经适当处量达到排放标准即可排出。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3）废液用密闭容器贮存，防止挥发性气体逸出而污染实验环境。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4）贮存废液的容器贴上明显的标签，标明种类、贮存时间等。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5）废液避光、远离热源，以免加速废液的化学反应，贮存时间不宜过长。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6）剧毒、易燃、易爆药品的废液，其贮存按照相应的规定执行。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（5）自动灭火装置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1）站房设置自动灭火装置，采用悬挂式六氟丙烷灭火器，触发可靠，灭火时间短，六氟丙烷灭火剂对人体和监测设备无损害，体积美观实用，与站房和仪器系统整体协调。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2）执行标准：GA13-2006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（6）环境监控系统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配备环境监控系统，包括温湿度感探测器、红外探测器、冷暖柜式空调。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（7）试剂恒温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分析试剂是在线监测分析仪器的基础，试剂变质会影响到整个监测结果的准确性，针对试剂保质问题，采用智能电脑温控系统的恒温箱，确保分析试剂不会应为外界温差变化导致测试数据的失真。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分析试剂的恒温存储冰箱：采用全封闭超强压缩机，四档位，灵敏度为 0.5℃，自动制冷。温控范围可根据环境温度自行设定，保证分析仪器运行时所用的化学试剂处于±2℃低温保存。要求如下：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（1）试剂保存、温度采集、上传与报警功能。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（2）额定电压：AC220V/24V。</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（3）箱体容积：≥40L。</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（4）具备液晶显示和温度调控功能。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（5）高稳定性：采用高新微电脑控制，温度恒定，波动范围小。温度控制范围为4±1℃，分析仪器运行时所用的化学试剂在4±1℃下温度保存。</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（6）高安全性：超温声源报警，按键消除。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（7）绿色环保：全箱采用安全环保工质，无污染，无噪音。</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1.2.7.视频监控单元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固定式水站应配置1套视频监控系统，至少包含1台硬盘录像机和3台摄像机，分别监控站房仪表室，站房周边及采水口。具体要求如下：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（1）站房仪器室采用球型网络红外云台摄像机，安装在集成机柜正面墙壁上，用于监控仪表室内部设备运行情况。监控设备可水平 360 度旋转，竖直0～180度旋转；</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（2）站房周边环境和采水口采用云台摄像机，云台摄像机可水平 360 度旋转，竖直0～180 度旋转，具备云台操作功能，对视角、方位、焦距的调整，实现全方位、多视角、全天候监控；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（3）视频信息应实现现场存储功能，存储周期应不低于30日，现场网络条件具备时，采用宽带实现视频信息的实时传输；</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（4）视频监控系统具备断电自启功能；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（5）视频接入、传输，其网络带宽应满足视频、数据同时传输，互不干扰的要求，相关技术参数见下表。</w:t>
      </w:r>
    </w:p>
    <w:tbl>
      <w:tblPr>
        <w:tblStyle w:val="10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
        <w:gridCol w:w="653"/>
        <w:gridCol w:w="1540"/>
        <w:gridCol w:w="5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restart"/>
            <w:vAlign w:val="center"/>
          </w:tcPr>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球型网络摄像机技术参数</w:t>
            </w: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图像传感器</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1/3英寸CMOS，200 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视频解析度</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≥1000TVL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3</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主码流分辨 率及帧率</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50Hz:25fps（1920×1080）、25fps（1280×720）</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60Hz:30fps（1920×1080）、30fps（1280×720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4</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最大图像尺寸</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最低照度</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彩色：0.05Lux @ （F1.6，AGC ON），</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黑白：0.01Lux @（F1.6，AGC ON） ，0 Lux with 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6</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信噪比</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7</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白平衡</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自动白平衡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8</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背光补偿</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支持自动背光补偿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9</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红外照射距离</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10</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水平旋转</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360 °旋转，旋转速度 0.1 °-160 °/s 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11</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垂直旋转</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0-180 °翻转，旋转速度 0.1 °-120 °/s, 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12</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p>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网络性能及标 准化</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支持网络协议：IPv4/IPv6，HTTP，HTTPS，802.1x，Qos， FTP，SMTP，UPnP，SNMP，DNS，DDNS，NTP，RTSP，RTP， TCP/IP，DHCP，PPPoE；</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应用编程接口：支持软件集成的开放式 API，支持标准 协议（ONVIF、PSIA、CGI）、支持第三方管理平台接入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13</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用户权限</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最多 32 个用户，分 3级：管理员、操作员和普通用户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14</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防护等级</w:t>
            </w:r>
          </w:p>
        </w:tc>
        <w:tc>
          <w:tcPr>
            <w:tcW w:w="5194" w:type="dxa"/>
            <w:vAlign w:val="center"/>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IP66（室外球）TVS 4000V 防雷、防浪涌、防突波，符合 GB/T17626.5  四级标准。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restart"/>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硬盘录像机技术参数</w:t>
            </w: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15</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音频输入</w:t>
            </w:r>
          </w:p>
        </w:tc>
        <w:tc>
          <w:tcPr>
            <w:tcW w:w="5194" w:type="dxa"/>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音频输入：4路，RCA 接口（电平：2.0Vp-p，阻抗： 1KΩ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16</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视音频输出</w:t>
            </w:r>
          </w:p>
        </w:tc>
        <w:tc>
          <w:tcPr>
            <w:tcW w:w="5194" w:type="dxa"/>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CVBS 输出：2 路，BNC 接口（电平： 1.0Vp-p 阻抗： 75Ω)分辨率：PAL制式704×576、NTSC 制式 704 ×480。</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HDMI 输出：1 路，分辨率：1920×1080/60Hz、1280× 1024/60Hz、1280×720/60Hz、1024×768/60Hz。</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VGA 输出：1路，分辨率：1920×1080/60Hz、1280× 1024/60Hz、1280×720/60Hz、1024×768/60Hz。</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音频输出：2 路，RCA 接口（线性电平，阻抗：1KΩ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17</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视音频编码参 数</w:t>
            </w:r>
          </w:p>
        </w:tc>
        <w:tc>
          <w:tcPr>
            <w:tcW w:w="5194" w:type="dxa"/>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视频压缩标准：H.264</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视频编码分辨率：第 1、5、9、13、17、21、25、29  通道支持 WD1/4CIF/2CIF/CIF/QCIF 实时编码，其余通 道可支持 2CIF/CIF/QCIF 实时编码</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视频帧率： PAL：1/16-25 帧/秒、NTSC：1/16-30 帧/ 秒</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视频码率：32Kbps-3072Kbps，可自定义，3072Kbps</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码流类型：复合流/视频流音频压缩标准：G.711u</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音频码率：64Kbps</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双码流：支持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18</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盘驱动器</w:t>
            </w:r>
          </w:p>
        </w:tc>
        <w:tc>
          <w:tcPr>
            <w:tcW w:w="5194" w:type="dxa"/>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支持 2 个 3.5" SATA3.0 数据盘，支持配置 8TB 硬 盘，单台最大容量 16TB，支持组建 RAID1；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19</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外部接口</w:t>
            </w:r>
          </w:p>
        </w:tc>
        <w:tc>
          <w:tcPr>
            <w:tcW w:w="5194" w:type="dxa"/>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网络接口：1 个标准 RS-483 串行接口，1 个标准 RS-232 串行接口，1 个键盘 483 串口</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USB 接口：3 个 USB2.0</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报警输入：16 路，报警输出：8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3" w:type="dxa"/>
            <w:vMerge w:val="continue"/>
            <w:vAlign w:val="center"/>
          </w:tcPr>
          <w:p>
            <w:pPr>
              <w:jc w:val="center"/>
              <w:rPr>
                <w:rFonts w:hint="eastAsia" w:ascii="仿宋" w:hAnsi="仿宋" w:eastAsia="仿宋" w:cs="仿宋"/>
                <w:b w:val="0"/>
                <w:bCs/>
                <w:snapToGrid w:val="0"/>
                <w:color w:val="auto"/>
                <w:spacing w:val="6"/>
                <w:kern w:val="0"/>
                <w:sz w:val="24"/>
                <w:szCs w:val="24"/>
                <w:highlight w:val="none"/>
              </w:rPr>
            </w:pPr>
          </w:p>
        </w:tc>
        <w:tc>
          <w:tcPr>
            <w:tcW w:w="653"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20</w:t>
            </w:r>
          </w:p>
        </w:tc>
        <w:tc>
          <w:tcPr>
            <w:tcW w:w="1540" w:type="dxa"/>
            <w:vAlign w:val="center"/>
          </w:tcPr>
          <w:p>
            <w:pPr>
              <w:jc w:val="cente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网络性能</w:t>
            </w:r>
          </w:p>
        </w:tc>
        <w:tc>
          <w:tcPr>
            <w:tcW w:w="5194" w:type="dxa"/>
          </w:tcPr>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支持网络检测（网络流量监控、网络抓包、网络通畅）功能；</w:t>
            </w:r>
          </w:p>
          <w:p>
            <w:pPr>
              <w:rPr>
                <w:rFonts w:hint="eastAsia" w:ascii="仿宋" w:hAnsi="仿宋" w:eastAsia="仿宋" w:cs="仿宋"/>
                <w:b w:val="0"/>
                <w:bCs/>
                <w:snapToGrid w:val="0"/>
                <w:color w:val="auto"/>
                <w:spacing w:val="6"/>
                <w:kern w:val="0"/>
                <w:sz w:val="24"/>
                <w:szCs w:val="24"/>
                <w:highlight w:val="none"/>
              </w:rPr>
            </w:pPr>
            <w:r>
              <w:rPr>
                <w:rFonts w:hint="eastAsia" w:ascii="仿宋" w:hAnsi="仿宋" w:eastAsia="仿宋" w:cs="仿宋"/>
                <w:b w:val="0"/>
                <w:bCs/>
                <w:snapToGrid w:val="0"/>
                <w:color w:val="auto"/>
                <w:spacing w:val="6"/>
                <w:kern w:val="0"/>
                <w:sz w:val="24"/>
                <w:szCs w:val="24"/>
                <w:highlight w:val="none"/>
              </w:rPr>
              <w:t>支持 SNMP（简单网络管理）、支持 UPnPTM（即插  即用）、支持 NTP（网络校时）、SADP（自动搜索 IP 地  址）、DHCP（动态主机配置协议）、PPPoE（拨号上网） 等协议。</w:t>
            </w:r>
          </w:p>
        </w:tc>
      </w:tr>
    </w:tbl>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1.2.8.门禁系统技术要求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（1）门禁控制器可根据实际情况控制各种不同的电控锁；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（2）门禁系统可采用刷卡、密码、卡加密码等多种方式开启； 特殊情况可备用钥匙或电脑远程开门功能；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（3）具有关门到位检测，开锁后自动检查关门状况，超过开门延时发出警告信号；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（4）强行开门，超时未关门、门禁失效等自动报警；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（5）刷卡开门、密码开门、卡加密码开门等多种开门方式可通过软件随时设置和更改。</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1.3.站房建设总体要求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能够满足水质自动监测的需求，能够兼顾未来监测项目扩展，适当留有增配仪器的空间。站房需保证水站仪器设备长期、稳定运行，包括用于承载系统仪器、设备的主体建筑物和外部配套设施两部分。主体建筑物由仪器区、质控区组成。外部配套设施是指引入清洁水、通电、通讯和通路，以及周边土地的平整、绿化等。站房占地面积≧30平方米，需包含仪器区、质控区。站房建设应满足以下设计依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1.3.1.站房供电要求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（1）供电负荷等级和供电要求按现行国家标准《供配电系统设计规范》（GB50052-2009）的规定执行。</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（2）水站供电电源使用380V交流电、三相四线制、频率50Hz，电源容量要按照站房全部用电设备实际用量的1.5倍计算，总功率不低于15KW。</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（3）电源线引入方式符合国家相关标准，穿墙时采用穿墙管。施工参考《建筑电气工程施工质量验收规范》（GB50303-2002）。</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（4）在监测仪器室内为水质自动监测系统配置专用动力配电箱。在总配电箱处进行重复接地，确保零、地线分开，其间相位差为零，并在此安装电源防雷设备。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根据仪器、设备的用电情况，在380V供电条件下总配电采取分相供电：一相用于照明、空调及其他生活用电（220V），一相供专用稳压电源为仪器系统用电（220V），另外一相为水泵供电（220V）。同时在站房配电箱内保留一个三相（380V）和单相（220V）电源接线端备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（6）系统应配备UPS和三相稳压电源，功率应保证断电后各自动分析仪能继续完成本次测量周期。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（7）所有动力电缆和控制电缆应具备屏蔽功能，分开铺设，以免产生电磁干扰。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1.3.2.站房给排水要求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（1）给水系统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站房根据仪器、设备、生活等对水质、水压和水量的要求分别设置给水系统。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站房内引入自来水（或井水），必要时加设高位水箱。自来水的水量瞬时最大流量3m3/h，压力不小于0.5kg/cm2，保证每次清洗用量不小于1m3。</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（2）排水系统</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站房的总排水必须排入水质自动监测站采水点的下游20米以外。各类试剂废水按照危险废物管理要求，单独收集、存放和储运，并统一处置。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站房内的采样回水及清洗水汇入排水总管道，并经外排水管道排入相应排水点，排水总管径不小于DN150，以保证排水畅通，并注意配备防冻措施。排水管出水口高于河水最高洪水水位的，设在采水点下游。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1.3.3.站房通讯要求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（1）站房网络通讯建设应以光纤/ADSL有线网络传输为主，现场条件不具备的情况下，可选用无线网络进行传输；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（2）通讯方式应选择至少两家通讯运营商，无线传输网络（固定IP优先）应满足数据传输要求及视频远程查看要求，传输带宽不小于50M。</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1.3.4.站房防雷要求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站房防雷系统符合现行国家标准《建筑防雷设计规范》（GB50057-2010）的规定，并应由具有相关资质的单位进行设计、施工以及验收。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具体如下：</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（1）对于直击雷的防护。采用避雷针是最首要、最基本的措施，完整的防雷装置应包括接闪器、引下线和接地装置；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电源系统的防护。在总电源处加装避雷箱，内装多级集成避雷器。避雷器本身具有三级保护，串接在电源回路中可靠地将电涌电流泄入大地，保护设备安全。如不用避雷箱，按照分区防护的原则，一般选并联的避雷器，选用通流容量比较大的，作为第一级防护。在总电源进线开关下口加装电源电涌保护器作为电源的一级保护，在稳压器后加装多级集成式电涌保护器；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通信系统防护。对于卫星通讯系统，应在馈线电缆进入站房时安装同轴馈线保护器；对于电话线系统，应采用电话线路防雷保护器。利用铜质线缆的数据信号专线，在设备的接口处应加装信号专线电涌保护器，该保护器应是内多级保护，要依据被保护设备传输的信号电压、信号电流、传输速率、线路等效阻抗及衰耗要求，同时考虑机械接口等配置电涌保护器。水站站内管线选用金属管道、金属槽道或有屏蔽功能的 PVC 塑料管，并且将两端与保护地线相连；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接地系统防护。站房内电源保护接地与建筑物防雷保护接地之间要加装等电位均衡器，正常情况下回路内各用自己的保护接地，当某点出现雷击高电压时，两地之间保持等电位。站房内设置等电位公共接地环网，使需要有保护接地的各类设备和线路，做到就近接地。</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1.3.5.站房安全防护要求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耐火等级符合现行国家标准《建筑设计防火规范》（GB50016）的规定。站房与其他建筑物合建时，应单独设置防火区、隔离区。站房内使用的材料需为耐火材料，站房应设火灾自动报警及自动灭火装置，火灾自动报警系统的设计应符合现行国家标准《火灾自动报警系统设计规范》（GB50116）的规定；配置的自动灭火装置，需有国家强制性产品认证证书。自动灭火装置触发可靠，灭火时间短，灭火干粉对人和仪器无损害，体积美观实用，与站房和仪器系统整体协调。站房内应至少配置感烟探测器；为防止感烟式探测器误报，宜采用感烟、感温两种探测器组合。站房设置防盗措施，门窗加装防盗网和红外报警系统，大门设置门禁装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1.3.6.站房暖通要求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站房结构需采取必要的保温措施，站房内应有空调和冬季采暖设备，室内温度应当保持在18～28℃，湿度在60%以内，空调功率满足温度要求，具备来电自启功能，并根据温度要求自动运行。</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空调参数要求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空调功率：≥3P</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工作方式：变频</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空调类型：立柜式</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适用面积：31m</w:t>
      </w:r>
      <w:r>
        <w:rPr>
          <w:rFonts w:hint="eastAsia" w:ascii="仿宋" w:hAnsi="仿宋" w:eastAsia="仿宋" w:cs="仿宋"/>
          <w:b w:val="0"/>
          <w:bCs/>
          <w:color w:val="auto"/>
          <w:sz w:val="24"/>
          <w:szCs w:val="24"/>
          <w:highlight w:val="none"/>
          <w:vertAlign w:val="superscript"/>
        </w:rPr>
        <w:t>2</w:t>
      </w:r>
      <w:r>
        <w:rPr>
          <w:rFonts w:hint="eastAsia" w:ascii="仿宋" w:hAnsi="仿宋" w:eastAsia="仿宋" w:cs="仿宋"/>
          <w:b w:val="0"/>
          <w:bCs/>
          <w:color w:val="auto"/>
          <w:sz w:val="24"/>
          <w:szCs w:val="24"/>
          <w:highlight w:val="none"/>
        </w:rPr>
        <w:t>-40m</w:t>
      </w:r>
      <w:r>
        <w:rPr>
          <w:rFonts w:hint="eastAsia" w:ascii="仿宋" w:hAnsi="仿宋" w:eastAsia="仿宋" w:cs="仿宋"/>
          <w:b w:val="0"/>
          <w:bCs/>
          <w:color w:val="auto"/>
          <w:sz w:val="24"/>
          <w:szCs w:val="24"/>
          <w:highlight w:val="none"/>
          <w:vertAlign w:val="superscript"/>
        </w:rPr>
        <w:t>2</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能效等级：≥三级</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1.3.7.站房装修要求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站房外形的设计因地制宜，外观美观大方，结构经济实用。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（1）仪器室要求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1）仪器室内应预留30cm深地沟，用于采排水管道铺设。地沟上面加设盖板（须便于取放），地沟的地漏应与站房排水系统相连；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2）仪器室至少预留3个五孔插座，距离地面不少于0.5m；应预留空调插座且距吊顶或顶部0.5m。配电箱预留五芯供电线路至自动监测系统控制柜位置；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3）仪器室应安装排风换气装置，保障空气通畅。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（2）质控室要求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质控室内应配有防酸碱化学实验台、洗涤台、上下水和冷藏柜；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1）实验台：具备耐强酸碱腐蚀、耐磨性、耐冲击性、耐污染性要求，底座可调节；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2）洗涤台：主架及台面应与实验台保持一致，洗涤槽采用耐强酸碱腐蚀、耐磨性材料，水龙头采用两联或三联化验水龙头，底座可调节；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3）上水：水管材质应符合国家饮用水管道材质要求，能够满足保护水质卫生，不渗漏的要求。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4）下水：实验区排水全部采用防腐蚀耐酸碱材质，达到排水不渗漏不腐蚀的要求；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5）插座：实验台处预留至少2个五孔插座，质控室内应预留空调插座； </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6）冷藏柜：应配备冷藏容量不小于120L的冷藏柜一台。 参数要求：一级能效，单温冰柜，机械控温。</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2.试运行维护要求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2.1.总体要求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站安装调试完成好，中标单位负责6个月试运行期间的运行维护保障工作，包括不限于开展水站远程维护、现场维护和应急维护等工作，保证监测数据质量，并对维护过程进行详细记录。试运行期间，水站运行率不低于95%，数据有效率不低于90%。水质自动站试运行维护要求应符合《地表水自动监测技术规范》(试行）（HJ 915-2017）标准中运维要求。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2.2.远程维护要求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每日对水站监测数据和设备运行状况进行远程监视，对监测数据进行审核，对站点运行情况进行诊断和运行管理，根据运维工作需要，对运维人员进行调度，并记录；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远程对水站的整体工作情况进行监控，获取仪器设备关键参数，可根据其运行状态进行相应远程调试；</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通过远程控制，可对仪表进行校时、复位、测试、校准、清洗、24小时零点漂移和量程漂移核查、标样核查、样品复测和留样等维护工作；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通过运维管理平台对站点的运维情况及相关信息进行统计和评价，包括运维巡检频次、质控频次、故障响应情况、超标响应情况等信息统计，结合数据获取率、数据有效率等对水站的运行维护情况进行评价。</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2.3.现场维护要求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现场维护包括运维技术人员到水站现场完成的例行巡检、定期养护和现场质控工作。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2.3.1.每周例行巡检</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（1）检查水站电路系统是否正常，接地线路是否可靠，检查采样和排液管路是否有漏液或堵塞现象，排水排气装置工作是否正常；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（2）检查采配水单元是否正常，如采水浮筒固定情况，自吸泵运行情况等；定期清洗采配水系统，包括采水头、吊桶、泵体、沉砂池、过滤头、水样杯、阀门、管路等，对于无法清洗干净的须及时更换；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（3）检查工控机运行状态，检查上传至平台数据和现场数据的一致性，检查仪器与系统的通讯线路是否正常；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（4）查看分析仪器及辅助设备的运行状态和主要技术参数，判断运行是否正常。检查有无漏液，进样管路、试剂管路中是否有气泡存在，如有及时将气泡排出；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（5）检查空调及保温措施，检查水泵及空压机固定情况，避免仪器振动。检查不间断电源（UPS）、除藻装置、纯水机等外部保障设施运行状态，并及时更换耗材；</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（6）检查试剂使用状况，定期添加、更换试剂；</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（7）检查防雷设施是否可靠，站房是否有漏水现象，站房外围的其他设施是否有损坏，如遇到以上问题及时处理，保证水站系统安全运行。在封冻期来临前做好采水管路和站房保温等维护工作；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（8）做好废液收集并按相关规定做好处置工作；</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（9）保持水站站房及各仪器干净整洁，及时关闭门窗，避免日光直射各类分析仪器。</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2.3.2.定期养护</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（1）站房</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保证站房空调及取暖设施运行正常，定期对空调进行全面的清洗。每年需通过具有资质的专业机构对防雷设施进行检测、维护或更换，并出具报告。定期更换防火设备。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（2）分析单元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应依据断面水质状况、水站环境条件和分析仪器的要求，制定易耗品（如泵管、滤膜、活性碳及干燥剂等）的更换周期，做到定期更换；对使用期限有规定的备品备件，必须严格按使用规定期限予以更换。</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水站仪器所用试剂的更换周期应根据试剂稳定性和保质期确定，室内温度较高时应缩短更换周期，试剂的更换周期不得超过30天。</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根据水站运行的环境状况，在规定的时间对仪器设备进行预防性检修。</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每月至少进行一次多点线性核查，在自动分析仪器当前量程范围内均匀选择5个浓度标准溶液（须包括空白）。</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（3）采配水单元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沉淀池、过滤芯、配水管路和采样杯等部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（4）控制单元及通讯单元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定期对工控机进行断电重启，查看工控机是否可以自动启动，并运行操作系统、加载现场监控软件，查看串口通讯是否正常。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定期对网络通讯设备进行断电重启，查看启动后是否通讯正常。</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每月检查开机过程中硬件自检过程是否有异常数据传输和报警。</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每月对工控机进行杀毒，防止病毒损坏软件。</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（5）辅助设备</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定期检查稳压电源及UPS的输出是否符合技术要求，突发异常情况须及时排查处理。</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每月至少检查一次空气压缩机气泵和清水增压泵的工作状况，并对空气过滤器放水。</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定期更换纯水机滤芯。</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定期检查摄像头是否破损，视频设备功能是否正常，包括摄像、视频存储、云台控制等。</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（6）其它</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每月对水站监测数据进行一次备份，备份数据单独存储；每月对备用仪器进行一次校准和标样核查。</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2.3.3.试运行期应急预案</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针对异常数据、系统故障和数据缺失等情况，投标人必须建立一套完整的应急维护方案。</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发生数据异常情况时应及时远程启动标样核查和留样复测，通过核查结果初步判定仪表当前的状态是否正常；确系污染过程应启动水站加密测试模式，同时记录并上报；</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水站仪器发生故障时，投标人应及时响应（响应时间不超过8小时），并在24小时内解决所有的故障，如故障不能排除，应在48小时内更换备机；</w:t>
      </w:r>
    </w:p>
    <w:p>
      <w:pPr>
        <w:keepNext w:val="0"/>
        <w:keepLines w:val="0"/>
        <w:pageBreakBefore w:val="0"/>
        <w:widowControl/>
        <w:pBdr>
          <w:bottom w:val="none" w:color="auto" w:sz="0" w:space="1"/>
        </w:pBd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当出现水站长时间停电和水位不足造成水站无法自动取样时需进行人工补测，并将实验室分析结果录入数据平台；补测频率为每周两次，两次采样间隔不低于两天；根据各站仪器配置补测相关监测项目，包括pH、溶解氧、氨氮、高锰酸盐指数、总磷和化学需氧量等。</w:t>
      </w:r>
    </w:p>
    <w:p>
      <w:pPr>
        <w:pStyle w:val="104"/>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1、建设期：于2024年10月30日前建成</w:t>
      </w:r>
    </w:p>
    <w:p>
      <w:pPr>
        <w:pStyle w:val="104"/>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2、产品质保期：验收合格后不低于1年（质保期内按照试运行方案提供服务）</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3、付款计划：</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1）合同签订后支付40%预付款，项目通过验收后支付剩余合同款。</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2）支付方式：银行转账</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3）结算方式：供应商出具合法有效的完税发票与采购人结算。</w:t>
      </w:r>
    </w:p>
    <w:p>
      <w:pPr>
        <w:pStyle w:val="104"/>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4、合同类型：固定总价</w:t>
      </w:r>
    </w:p>
    <w:p>
      <w:pPr>
        <w:pStyle w:val="10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5、验收方式：到货后，由采购单位根据合同要求进行验收。验收完成后，出具验收书，以便结算。</w:t>
      </w:r>
    </w:p>
    <w:p>
      <w:pPr>
        <w:pBdr>
          <w:bottom w:val="none" w:color="auto" w:sz="0" w:space="1"/>
        </w:pBdr>
        <w:spacing w:line="360" w:lineRule="auto"/>
        <w:ind w:firstLine="480" w:firstLineChars="200"/>
        <w:jc w:val="left"/>
        <w:rPr>
          <w:rFonts w:hint="eastAsia" w:ascii="仿宋" w:hAnsi="仿宋" w:eastAsia="仿宋" w:cs="仿宋"/>
          <w:b w:val="0"/>
          <w:bCs/>
          <w:color w:val="auto"/>
          <w:sz w:val="24"/>
          <w:szCs w:val="24"/>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szCs w:val="32"/>
          <w:highlight w:val="none"/>
        </w:rPr>
      </w:pPr>
      <w:bookmarkStart w:id="89" w:name="_Toc100219615"/>
      <w:r>
        <w:rPr>
          <w:rFonts w:hint="eastAsia" w:ascii="仿宋" w:hAnsi="仿宋" w:eastAsia="仿宋" w:cs="仿宋"/>
          <w:color w:val="auto"/>
          <w:sz w:val="32"/>
          <w:szCs w:val="32"/>
          <w:highlight w:val="none"/>
        </w:rPr>
        <w:br w:type="page"/>
      </w:r>
    </w:p>
    <w:p>
      <w:pPr>
        <w:pStyle w:val="3"/>
        <w:rPr>
          <w:rFonts w:hint="eastAsia" w:ascii="仿宋" w:hAnsi="仿宋" w:eastAsia="仿宋" w:cs="仿宋"/>
          <w:b/>
          <w:bCs/>
          <w:color w:val="auto"/>
          <w:highlight w:val="none"/>
        </w:rPr>
      </w:pPr>
      <w:bookmarkStart w:id="90" w:name="_Toc16380"/>
      <w:bookmarkStart w:id="91" w:name="_Toc31369"/>
      <w:r>
        <w:rPr>
          <w:rFonts w:hint="eastAsia" w:ascii="仿宋" w:hAnsi="仿宋" w:eastAsia="仿宋" w:cs="仿宋"/>
          <w:b/>
          <w:bCs/>
          <w:color w:val="auto"/>
          <w:highlight w:val="none"/>
        </w:rPr>
        <w:t>第四章  合同文本</w:t>
      </w:r>
      <w:bookmarkEnd w:id="89"/>
      <w:bookmarkEnd w:id="90"/>
      <w:bookmarkEnd w:id="91"/>
    </w:p>
    <w:p>
      <w:pPr>
        <w:pStyle w:val="2"/>
        <w:jc w:val="center"/>
        <w:rPr>
          <w:rFonts w:hint="eastAsia" w:ascii="仿宋" w:hAnsi="仿宋" w:eastAsia="仿宋" w:cs="仿宋"/>
          <w:color w:val="auto"/>
          <w:highlight w:val="none"/>
          <w:lang w:val="en-US" w:eastAsia="zh-CN"/>
        </w:rPr>
      </w:pPr>
      <w:bookmarkStart w:id="92" w:name="_Toc19188"/>
      <w:bookmarkStart w:id="93" w:name="_Toc11035"/>
      <w:bookmarkStart w:id="94" w:name="_Toc191876958"/>
      <w:bookmarkStart w:id="95" w:name="_Toc6082"/>
      <w:bookmarkStart w:id="96" w:name="_Toc100219616"/>
      <w:r>
        <w:rPr>
          <w:rFonts w:hint="eastAsia" w:ascii="仿宋" w:hAnsi="仿宋" w:eastAsia="仿宋" w:cs="仿宋"/>
          <w:color w:val="auto"/>
          <w:highlight w:val="none"/>
          <w:lang w:val="en-US" w:eastAsia="zh-CN"/>
        </w:rPr>
        <w:t>（</w:t>
      </w:r>
      <w:r>
        <w:rPr>
          <w:rFonts w:hint="eastAsia" w:ascii="仿宋" w:hAnsi="仿宋" w:eastAsia="仿宋" w:cs="仿宋"/>
          <w:color w:val="auto"/>
          <w:sz w:val="24"/>
          <w:szCs w:val="24"/>
          <w:highlight w:val="none"/>
        </w:rPr>
        <w:t>注：本合同样本仅供参考，具体</w:t>
      </w:r>
      <w:r>
        <w:rPr>
          <w:rFonts w:hint="eastAsia" w:ascii="仿宋" w:hAnsi="仿宋" w:cs="仿宋"/>
          <w:color w:val="auto"/>
          <w:sz w:val="24"/>
          <w:szCs w:val="24"/>
          <w:highlight w:val="none"/>
          <w:lang w:val="en-US" w:eastAsia="zh-CN"/>
        </w:rPr>
        <w:t>格式、</w:t>
      </w:r>
      <w:r>
        <w:rPr>
          <w:rFonts w:hint="eastAsia" w:ascii="仿宋" w:hAnsi="仿宋" w:eastAsia="仿宋" w:cs="仿宋"/>
          <w:color w:val="auto"/>
          <w:sz w:val="24"/>
          <w:szCs w:val="24"/>
          <w:highlight w:val="none"/>
        </w:rPr>
        <w:t>条款内容由采购人和成交供应商协商确定，但不得改变</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文件、成交通知书等实质性内容。</w:t>
      </w:r>
      <w:r>
        <w:rPr>
          <w:rFonts w:hint="eastAsia" w:ascii="仿宋" w:hAnsi="仿宋" w:eastAsia="仿宋" w:cs="仿宋"/>
          <w:color w:val="auto"/>
          <w:highlight w:val="none"/>
          <w:lang w:val="en-US" w:eastAsia="zh-CN"/>
        </w:rPr>
        <w:t>）</w:t>
      </w:r>
    </w:p>
    <w:bookmarkEnd w:id="92"/>
    <w:bookmarkEnd w:id="93"/>
    <w:bookmarkEnd w:id="94"/>
    <w:p>
      <w:pPr>
        <w:pStyle w:val="2"/>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104"/>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西安市渭河水质预测预警能力建设项目</w:t>
      </w:r>
    </w:p>
    <w:p>
      <w:pPr>
        <w:pStyle w:val="104"/>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水质自动站建设</w:t>
      </w:r>
    </w:p>
    <w:p>
      <w:pPr>
        <w:pStyle w:val="104"/>
        <w:ind w:left="0" w:leftChars="0" w:firstLine="0" w:firstLineChars="0"/>
        <w:jc w:val="center"/>
        <w:rPr>
          <w:rFonts w:hint="eastAsia" w:ascii="仿宋" w:hAnsi="仿宋" w:eastAsia="仿宋" w:cs="仿宋"/>
          <w:b/>
          <w:bCs/>
          <w:color w:val="auto"/>
          <w:sz w:val="32"/>
          <w:szCs w:val="32"/>
          <w:highlight w:val="none"/>
          <w:lang w:val="en-US" w:eastAsia="zh-CN"/>
        </w:rPr>
      </w:pPr>
    </w:p>
    <w:p>
      <w:pPr>
        <w:jc w:val="center"/>
        <w:rPr>
          <w:rFonts w:hint="eastAsia" w:ascii="仿宋" w:hAnsi="仿宋" w:eastAsia="仿宋" w:cs="仿宋"/>
          <w:b/>
          <w:color w:val="auto"/>
          <w:sz w:val="48"/>
          <w:szCs w:val="48"/>
          <w:highlight w:val="none"/>
        </w:rPr>
      </w:pPr>
    </w:p>
    <w:p>
      <w:pPr>
        <w:jc w:val="center"/>
        <w:rPr>
          <w:rFonts w:hint="eastAsia" w:ascii="仿宋" w:hAnsi="仿宋" w:eastAsia="仿宋" w:cs="仿宋"/>
          <w:b/>
          <w:color w:val="auto"/>
          <w:sz w:val="48"/>
          <w:szCs w:val="48"/>
          <w:highlight w:val="none"/>
        </w:rPr>
      </w:pPr>
    </w:p>
    <w:p>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采 购 合 同</w:t>
      </w:r>
    </w:p>
    <w:p>
      <w:p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
          <w:color w:val="auto"/>
          <w:sz w:val="28"/>
          <w:szCs w:val="28"/>
          <w:highlight w:val="none"/>
        </w:rPr>
        <w:t>项目编号：</w:t>
      </w:r>
      <w:r>
        <w:rPr>
          <w:rFonts w:hint="eastAsia" w:ascii="仿宋" w:hAnsi="仿宋" w:eastAsia="仿宋" w:cs="仿宋"/>
          <w:color w:val="auto"/>
          <w:sz w:val="28"/>
          <w:szCs w:val="28"/>
          <w:highlight w:val="none"/>
          <w:lang w:val="en-US" w:eastAsia="zh-CN"/>
        </w:rPr>
        <w:t>)</w:t>
      </w:r>
    </w:p>
    <w:p>
      <w:pPr>
        <w:jc w:val="center"/>
        <w:rPr>
          <w:rFonts w:hint="eastAsia" w:ascii="仿宋" w:hAnsi="仿宋" w:eastAsia="仿宋" w:cs="仿宋"/>
          <w:b/>
          <w:color w:val="auto"/>
          <w:sz w:val="48"/>
          <w:szCs w:val="48"/>
          <w:highlight w:val="none"/>
        </w:rPr>
      </w:pPr>
    </w:p>
    <w:p>
      <w:pPr>
        <w:jc w:val="center"/>
        <w:rPr>
          <w:rFonts w:hint="eastAsia" w:ascii="仿宋" w:hAnsi="仿宋" w:eastAsia="仿宋" w:cs="仿宋"/>
          <w:color w:val="auto"/>
          <w:sz w:val="48"/>
          <w:szCs w:val="48"/>
          <w:highlight w:val="none"/>
        </w:rPr>
      </w:pPr>
    </w:p>
    <w:p>
      <w:pPr>
        <w:jc w:val="center"/>
        <w:rPr>
          <w:rFonts w:hint="eastAsia" w:ascii="仿宋" w:hAnsi="仿宋" w:eastAsia="仿宋" w:cs="仿宋"/>
          <w:color w:val="auto"/>
          <w:sz w:val="48"/>
          <w:szCs w:val="48"/>
          <w:highlight w:val="none"/>
        </w:rPr>
      </w:pPr>
    </w:p>
    <w:p>
      <w:pPr>
        <w:jc w:val="center"/>
        <w:rPr>
          <w:rFonts w:hint="eastAsia" w:ascii="仿宋" w:hAnsi="仿宋" w:eastAsia="仿宋" w:cs="仿宋"/>
          <w:color w:val="auto"/>
          <w:sz w:val="48"/>
          <w:szCs w:val="48"/>
          <w:highlight w:val="none"/>
        </w:rPr>
      </w:pPr>
    </w:p>
    <w:p>
      <w:pPr>
        <w:jc w:val="center"/>
        <w:rPr>
          <w:rFonts w:hint="eastAsia" w:ascii="仿宋" w:hAnsi="仿宋" w:eastAsia="仿宋" w:cs="仿宋"/>
          <w:color w:val="auto"/>
          <w:sz w:val="48"/>
          <w:szCs w:val="48"/>
          <w:highlight w:val="none"/>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w:t>
      </w:r>
    </w:p>
    <w:p>
      <w:pPr>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年 月</w:t>
      </w:r>
    </w:p>
    <w:p>
      <w:pPr>
        <w:rPr>
          <w:rFonts w:hint="eastAsia" w:ascii="仿宋" w:hAnsi="仿宋" w:eastAsia="仿宋" w:cs="仿宋"/>
          <w:b/>
          <w:color w:val="auto"/>
          <w:sz w:val="24"/>
          <w:szCs w:val="24"/>
          <w:highlight w:val="none"/>
        </w:rPr>
      </w:pP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color w:val="auto"/>
          <w:sz w:val="24"/>
          <w:szCs w:val="24"/>
          <w:highlight w:val="none"/>
        </w:rPr>
        <w:t>采购人（甲方）：</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供应商（乙方）：</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根据《中华人民共和国政府采购法》及实施条例、《中华人民共和国民法典》和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文件等有关规定，为确保甲方采购项目的顺利实施，甲、乙双方在平等自愿原则下签订本合同，并共同遵守如下条款：</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合同价款</w:t>
      </w:r>
    </w:p>
    <w:p>
      <w:pPr>
        <w:pStyle w:val="4"/>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1.合同总价：人民币（大写）</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元，（￥</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p>
      <w:pPr>
        <w:pStyle w:val="4"/>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2.本合同总价是货物（产品）设计、材料、制造、包装、运输、安装、调试、</w:t>
      </w:r>
      <w:r>
        <w:rPr>
          <w:rFonts w:hint="eastAsia" w:ascii="仿宋" w:hAnsi="仿宋" w:eastAsia="仿宋" w:cs="仿宋"/>
          <w:b w:val="0"/>
          <w:color w:val="auto"/>
          <w:sz w:val="24"/>
          <w:szCs w:val="24"/>
          <w:highlight w:val="none"/>
          <w:lang w:val="en-US" w:eastAsia="zh-CN"/>
        </w:rPr>
        <w:t>装修、</w:t>
      </w:r>
      <w:r>
        <w:rPr>
          <w:rFonts w:hint="eastAsia" w:ascii="仿宋" w:hAnsi="仿宋" w:eastAsia="仿宋" w:cs="仿宋"/>
          <w:b w:val="0"/>
          <w:color w:val="auto"/>
          <w:sz w:val="24"/>
          <w:szCs w:val="24"/>
          <w:highlight w:val="none"/>
        </w:rPr>
        <w:t>检测、验收合格交付使用之前及保修期内保修服务与备用物件等其他有关各项的含税费用。</w:t>
      </w:r>
    </w:p>
    <w:p>
      <w:pPr>
        <w:pStyle w:val="4"/>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3.本合同总价还包含乙方应当提供的伴随服务和售后服务费用。</w:t>
      </w:r>
    </w:p>
    <w:p>
      <w:pPr>
        <w:pStyle w:val="4"/>
        <w:keepNext w:val="0"/>
        <w:keepLines w:val="0"/>
        <w:pageBreakBefore w:val="0"/>
        <w:widowControl/>
        <w:kinsoku/>
        <w:wordWrap/>
        <w:overflowPunct/>
        <w:topLinePunct w:val="0"/>
        <w:autoSpaceDE/>
        <w:autoSpaceDN/>
        <w:bidi w:val="0"/>
        <w:adjustRightInd w:val="0"/>
        <w:snapToGrid/>
        <w:spacing w:line="400" w:lineRule="exact"/>
        <w:ind w:firstLine="590" w:firstLineChars="246"/>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4.本合同执行期间合同总价不变，甲方无须另向乙方支付本合同规定之外的其他任何费用。</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val="0"/>
          <w:color w:val="auto"/>
          <w:sz w:val="24"/>
          <w:szCs w:val="24"/>
          <w:highlight w:val="none"/>
        </w:rPr>
      </w:pPr>
      <w:r>
        <w:rPr>
          <w:rFonts w:hint="eastAsia" w:ascii="仿宋" w:hAnsi="仿宋" w:eastAsia="仿宋" w:cs="仿宋"/>
          <w:b/>
          <w:color w:val="auto"/>
          <w:sz w:val="24"/>
          <w:szCs w:val="24"/>
          <w:highlight w:val="none"/>
        </w:rPr>
        <w:t xml:space="preserve">第二条 </w:t>
      </w:r>
      <w:r>
        <w:rPr>
          <w:rFonts w:hint="eastAsia" w:ascii="仿宋" w:hAnsi="仿宋" w:eastAsia="仿宋" w:cs="仿宋"/>
          <w:b/>
          <w:color w:val="auto"/>
          <w:sz w:val="24"/>
          <w:szCs w:val="24"/>
          <w:highlight w:val="none"/>
          <w:lang w:val="en-US" w:eastAsia="zh-CN"/>
        </w:rPr>
        <w:t>产品清单（附后）</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 货款支付</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1.货物（产品）按下列比例支付价款：合同签订后支付40%预付款，项目通过验收后支付剩余合同款。</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2.乙方须向甲方出具合法有效的完税发票，甲方进行支付结算。</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3.结算方式：银行转账。</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第四条 </w:t>
      </w:r>
      <w:r>
        <w:rPr>
          <w:rFonts w:hint="eastAsia" w:ascii="仿宋" w:hAnsi="仿宋" w:eastAsia="仿宋" w:cs="仿宋"/>
          <w:b/>
          <w:color w:val="auto"/>
          <w:sz w:val="24"/>
          <w:szCs w:val="24"/>
          <w:highlight w:val="none"/>
          <w:lang w:val="en-US" w:eastAsia="zh-CN"/>
        </w:rPr>
        <w:t>建设期</w:t>
      </w:r>
      <w:r>
        <w:rPr>
          <w:rFonts w:hint="eastAsia" w:ascii="仿宋" w:hAnsi="仿宋" w:eastAsia="仿宋" w:cs="仿宋"/>
          <w:b/>
          <w:color w:val="auto"/>
          <w:sz w:val="24"/>
          <w:szCs w:val="24"/>
          <w:highlight w:val="none"/>
        </w:rPr>
        <w:t>与地点</w:t>
      </w:r>
    </w:p>
    <w:p>
      <w:pPr>
        <w:pStyle w:val="107"/>
        <w:keepNext w:val="0"/>
        <w:keepLines w:val="0"/>
        <w:pageBreakBefore w:val="0"/>
        <w:widowControl/>
        <w:kinsoku/>
        <w:wordWrap/>
        <w:overflowPunct/>
        <w:topLinePunct w:val="0"/>
        <w:autoSpaceDE/>
        <w:autoSpaceDN/>
        <w:bidi w:val="0"/>
        <w:adjustRightInd w:val="0"/>
        <w:snapToGrid/>
        <w:spacing w:line="400" w:lineRule="exact"/>
        <w:ind w:firstLine="561"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乙方在合同签订生效之日起，按甲方指定时间、地点交货。</w:t>
      </w:r>
    </w:p>
    <w:p>
      <w:pPr>
        <w:pStyle w:val="107"/>
        <w:keepNext w:val="0"/>
        <w:keepLines w:val="0"/>
        <w:pageBreakBefore w:val="0"/>
        <w:widowControl/>
        <w:kinsoku/>
        <w:wordWrap/>
        <w:overflowPunct/>
        <w:topLinePunct w:val="0"/>
        <w:autoSpaceDE/>
        <w:autoSpaceDN/>
        <w:bidi w:val="0"/>
        <w:adjustRightInd w:val="0"/>
        <w:snapToGrid/>
        <w:spacing w:line="400" w:lineRule="exact"/>
        <w:ind w:firstLine="561"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建设</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pPr>
        <w:pStyle w:val="107"/>
        <w:keepNext w:val="0"/>
        <w:keepLines w:val="0"/>
        <w:pageBreakBefore w:val="0"/>
        <w:widowControl/>
        <w:kinsoku/>
        <w:wordWrap/>
        <w:overflowPunct/>
        <w:topLinePunct w:val="0"/>
        <w:autoSpaceDE/>
        <w:autoSpaceDN/>
        <w:bidi w:val="0"/>
        <w:adjustRightInd w:val="0"/>
        <w:snapToGrid/>
        <w:spacing w:line="400" w:lineRule="exact"/>
        <w:ind w:firstLine="561"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2.交货地点：</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质量保证</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2.履约保证金：</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乙方须提供全新的、未使用过的合格正品货物（含零部件、配件等），完全符合合同规定的质量、规格和性能的要求。</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.质量标准按照最新颁布的国家标准、行业标准或制造商企业标准确定，上述标准不一致的，以严格标准为准。</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质保期内出现的质量问题由乙方负责解决并承担所有费用</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权利保证</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1.乙方保证对其出售的货物享有合法的权利。</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2.乙方保证对其出售的货物上不存在任何未曾向甲方透露的担保物权，如抵押权、质押权、留置权。</w:t>
      </w:r>
    </w:p>
    <w:p>
      <w:pPr>
        <w:pStyle w:val="107"/>
        <w:keepNext w:val="0"/>
        <w:keepLines w:val="0"/>
        <w:pageBreakBefore w:val="0"/>
        <w:widowControl/>
        <w:kinsoku/>
        <w:wordWrap/>
        <w:overflowPunct/>
        <w:topLinePunct w:val="0"/>
        <w:autoSpaceDE/>
        <w:autoSpaceDN/>
        <w:bidi w:val="0"/>
        <w:adjustRightInd w:val="0"/>
        <w:snapToGrid/>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3.乙方保证对其出售的货物或其任何一部分没有侵犯第三方的专利权、版权、商标权或其他权利。</w:t>
      </w:r>
    </w:p>
    <w:p>
      <w:pPr>
        <w:pStyle w:val="107"/>
        <w:keepNext w:val="0"/>
        <w:keepLines w:val="0"/>
        <w:pageBreakBefore w:val="0"/>
        <w:widowControl/>
        <w:kinsoku/>
        <w:wordWrap/>
        <w:overflowPunct/>
        <w:topLinePunct w:val="0"/>
        <w:autoSpaceDE/>
        <w:autoSpaceDN/>
        <w:bidi w:val="0"/>
        <w:adjustRightInd w:val="0"/>
        <w:snapToGrid/>
        <w:spacing w:line="400" w:lineRule="exact"/>
        <w:ind w:left="160" w:leftChars="67"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4.如甲方在使用该货物构成上述侵权的，则由乙方承担全部责任。</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包装要求与运输方式   </w:t>
      </w:r>
    </w:p>
    <w:p>
      <w:pPr>
        <w:pStyle w:val="107"/>
        <w:keepNext w:val="0"/>
        <w:keepLines w:val="0"/>
        <w:pageBreakBefore w:val="0"/>
        <w:widowControl/>
        <w:kinsoku/>
        <w:wordWrap/>
        <w:overflowPunct/>
        <w:topLinePunct w:val="0"/>
        <w:autoSpaceDE/>
        <w:autoSpaceDN/>
        <w:bidi w:val="0"/>
        <w:adjustRightInd w:val="0"/>
        <w:snapToGrid/>
        <w:spacing w:line="400" w:lineRule="exact"/>
        <w:ind w:left="160" w:leftChars="67"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运输由乙方负责，运杂费已包含在合同总价内，包括从货物供应地点所含的运输费、装卸费、仓储费、保险费等</w:t>
      </w:r>
      <w:r>
        <w:rPr>
          <w:rFonts w:hint="eastAsia" w:ascii="仿宋" w:hAnsi="仿宋" w:eastAsia="仿宋" w:cs="仿宋"/>
          <w:color w:val="auto"/>
          <w:sz w:val="24"/>
          <w:szCs w:val="24"/>
          <w:highlight w:val="none"/>
        </w:rPr>
        <w:t>。</w:t>
      </w:r>
    </w:p>
    <w:p>
      <w:pPr>
        <w:pStyle w:val="107"/>
        <w:keepNext w:val="0"/>
        <w:keepLines w:val="0"/>
        <w:pageBreakBefore w:val="0"/>
        <w:widowControl/>
        <w:kinsoku/>
        <w:wordWrap/>
        <w:overflowPunct/>
        <w:topLinePunct w:val="0"/>
        <w:autoSpaceDE/>
        <w:autoSpaceDN/>
        <w:bidi w:val="0"/>
        <w:adjustRightInd w:val="0"/>
        <w:snapToGrid/>
        <w:spacing w:line="400" w:lineRule="exact"/>
        <w:ind w:left="160" w:leftChars="67"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运输方式由乙方自行选择，但必须保证按时交货</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验收</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验收依据：招标文件、投标文件、澄清表（函）；本合同及附件文本；国家相应的标准、规范</w:t>
      </w:r>
      <w:r>
        <w:rPr>
          <w:rFonts w:hint="eastAsia" w:ascii="仿宋" w:hAnsi="仿宋" w:eastAsia="仿宋" w:cs="仿宋"/>
          <w:color w:val="auto"/>
          <w:sz w:val="24"/>
          <w:szCs w:val="24"/>
          <w:highlight w:val="none"/>
        </w:rPr>
        <w:t>。</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乙方提供的设备必须完全满足招标文件技术需求及投标文件。</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售后服务</w:t>
      </w:r>
    </w:p>
    <w:p>
      <w:pPr>
        <w:pStyle w:val="2"/>
        <w:keepNext w:val="0"/>
        <w:keepLines w:val="0"/>
        <w:pageBreakBefore w:val="0"/>
        <w:widowControl/>
        <w:kinsoku/>
        <w:wordWrap/>
        <w:overflowPunct/>
        <w:topLinePunct w:val="0"/>
        <w:autoSpaceDE/>
        <w:autoSpaceDN/>
        <w:bidi w:val="0"/>
        <w:adjustRightInd w:val="0"/>
        <w:snapToGrid/>
        <w:spacing w:line="400" w:lineRule="exact"/>
        <w:ind w:right="0" w:righ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乙方应按照国家有关法律法规和“</w:t>
      </w:r>
      <w:r>
        <w:rPr>
          <w:rFonts w:hint="eastAsia" w:ascii="仿宋" w:hAnsi="仿宋" w:eastAsia="仿宋" w:cs="仿宋"/>
          <w:color w:val="auto"/>
          <w:sz w:val="24"/>
          <w:szCs w:val="24"/>
          <w:highlight w:val="none"/>
        </w:rPr>
        <w:t>三包</w:t>
      </w:r>
      <w:r>
        <w:rPr>
          <w:rFonts w:hint="eastAsia" w:ascii="仿宋" w:hAnsi="仿宋" w:eastAsia="仿宋" w:cs="仿宋"/>
          <w:color w:val="auto"/>
          <w:kern w:val="0"/>
          <w:sz w:val="24"/>
          <w:szCs w:val="24"/>
          <w:highlight w:val="none"/>
        </w:rPr>
        <w:t>”规定以及</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文件要求和</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文件的“服务承诺”提供服务。</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 违约责任</w:t>
      </w:r>
    </w:p>
    <w:p>
      <w:pPr>
        <w:pStyle w:val="2"/>
        <w:keepNext w:val="0"/>
        <w:keepLines w:val="0"/>
        <w:pageBreakBefore w:val="0"/>
        <w:widowControl/>
        <w:kinsoku/>
        <w:wordWrap/>
        <w:overflowPunct/>
        <w:topLinePunct w:val="0"/>
        <w:autoSpaceDE/>
        <w:autoSpaceDN/>
        <w:bidi w:val="0"/>
        <w:adjustRightInd w:val="0"/>
        <w:snapToGrid/>
        <w:spacing w:line="400" w:lineRule="exact"/>
        <w:ind w:right="0" w:rightChars="0"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1.按《民法典》中的相关条款执行。</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乙方未按合同要求提供产品或设备质量不能满足要求，乙方必须无条件更换产品或设备，提高技术，完善质量，否则，甲方会同鉴证方有权终止合同，并对乙方的违约行为进行追究，同时按《政府采购法》和西安市政府采购供应商管理办法进行相应的处罚</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第十一条 合同的变更和终止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除《中华人民共和国政府采购法》第49条、第50条第二款规定的情形外，本合同一经签订，甲乙双方不得擅自变更、中止或终止合同。</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 争议的解决</w:t>
      </w:r>
    </w:p>
    <w:p>
      <w:pPr>
        <w:pStyle w:val="107"/>
        <w:keepNext w:val="0"/>
        <w:keepLines w:val="0"/>
        <w:pageBreakBefore w:val="0"/>
        <w:widowControl/>
        <w:kinsoku/>
        <w:wordWrap/>
        <w:overflowPunct/>
        <w:topLinePunct w:val="0"/>
        <w:autoSpaceDE/>
        <w:autoSpaceDN/>
        <w:bidi w:val="0"/>
        <w:adjustRightInd w:val="0"/>
        <w:snapToGrid/>
        <w:spacing w:line="40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因履行本合同引起的或与本合同有关的争议，甲、乙双方应首先通过友好协商解决，如果协商不成，</w:t>
      </w:r>
      <w:r>
        <w:rPr>
          <w:rFonts w:hint="eastAsia" w:ascii="仿宋" w:hAnsi="仿宋" w:eastAsia="仿宋" w:cs="仿宋"/>
          <w:color w:val="auto"/>
          <w:kern w:val="0"/>
          <w:sz w:val="24"/>
          <w:szCs w:val="24"/>
          <w:highlight w:val="none"/>
          <w:lang w:val="en-US" w:eastAsia="zh-CN"/>
        </w:rPr>
        <w:t>任何一方可</w:t>
      </w:r>
      <w:r>
        <w:rPr>
          <w:rFonts w:hint="eastAsia" w:ascii="仿宋" w:hAnsi="仿宋" w:eastAsia="仿宋" w:cs="仿宋"/>
          <w:color w:val="auto"/>
          <w:kern w:val="0"/>
          <w:sz w:val="24"/>
          <w:szCs w:val="24"/>
          <w:highlight w:val="none"/>
        </w:rPr>
        <w:t>向甲方所在地有管辖权的人民法院提起诉讼。</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第十三条 合同文件</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1.本合同书</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rPr>
        <w:tab/>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3.协议</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文件(含澄清或者修改文件)</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第十四条 合同生效及其他</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如有未尽事宜，由双方依法订立补充合同。</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2.本合同自签订之日起生效。</w:t>
      </w:r>
    </w:p>
    <w:p>
      <w:pPr>
        <w:keepNext w:val="0"/>
        <w:keepLines w:val="0"/>
        <w:pageBreakBefore w:val="0"/>
        <w:widowControl/>
        <w:kinsoku/>
        <w:wordWrap/>
        <w:overflowPunct/>
        <w:topLinePunct w:val="0"/>
        <w:autoSpaceDE/>
        <w:autoSpaceDN/>
        <w:bidi w:val="0"/>
        <w:adjustRightInd w:val="0"/>
        <w:snapToGrid/>
        <w:spacing w:line="40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3.本合同一式</w:t>
      </w:r>
      <w:r>
        <w:rPr>
          <w:rFonts w:hint="eastAsia" w:ascii="仿宋" w:hAnsi="仿宋" w:eastAsia="仿宋" w:cs="仿宋"/>
          <w:color w:val="auto"/>
          <w:kern w:val="0"/>
          <w:sz w:val="24"/>
          <w:szCs w:val="24"/>
          <w:highlight w:val="none"/>
          <w:u w:val="single"/>
        </w:rPr>
        <w:t>___</w:t>
      </w:r>
      <w:r>
        <w:rPr>
          <w:rFonts w:hint="eastAsia" w:ascii="仿宋" w:hAnsi="仿宋" w:eastAsia="仿宋" w:cs="仿宋"/>
          <w:color w:val="auto"/>
          <w:kern w:val="0"/>
          <w:sz w:val="24"/>
          <w:szCs w:val="24"/>
          <w:highlight w:val="none"/>
        </w:rPr>
        <w:t>份，具有同等法律效力，甲乙双方各执</w:t>
      </w:r>
      <w:r>
        <w:rPr>
          <w:rFonts w:hint="eastAsia" w:ascii="仿宋" w:hAnsi="仿宋" w:eastAsia="仿宋" w:cs="仿宋"/>
          <w:color w:val="auto"/>
          <w:kern w:val="0"/>
          <w:sz w:val="24"/>
          <w:szCs w:val="24"/>
          <w:highlight w:val="none"/>
          <w:u w:val="single"/>
        </w:rPr>
        <w:t>____</w:t>
      </w:r>
      <w:r>
        <w:rPr>
          <w:rFonts w:hint="eastAsia" w:ascii="仿宋" w:hAnsi="仿宋" w:eastAsia="仿宋" w:cs="仿宋"/>
          <w:color w:val="auto"/>
          <w:kern w:val="0"/>
          <w:sz w:val="24"/>
          <w:szCs w:val="24"/>
          <w:highlight w:val="none"/>
        </w:rPr>
        <w:t>份，</w:t>
      </w:r>
      <w:r>
        <w:rPr>
          <w:rFonts w:hint="eastAsia" w:ascii="仿宋" w:hAnsi="仿宋" w:eastAsia="仿宋" w:cs="仿宋"/>
          <w:color w:val="auto"/>
          <w:kern w:val="0"/>
          <w:sz w:val="24"/>
          <w:szCs w:val="24"/>
          <w:highlight w:val="none"/>
          <w:u w:val="single"/>
          <w:lang w:val="en-US" w:eastAsia="zh-CN"/>
        </w:rPr>
        <w:t>一</w:t>
      </w:r>
      <w:r>
        <w:rPr>
          <w:rFonts w:hint="eastAsia" w:ascii="仿宋" w:hAnsi="仿宋" w:eastAsia="仿宋" w:cs="仿宋"/>
          <w:color w:val="auto"/>
          <w:kern w:val="0"/>
          <w:sz w:val="24"/>
          <w:szCs w:val="24"/>
          <w:highlight w:val="none"/>
        </w:rPr>
        <w:t>份报送政府采购监督管理部门备案，</w:t>
      </w:r>
      <w:r>
        <w:rPr>
          <w:rFonts w:hint="eastAsia" w:ascii="仿宋" w:hAnsi="仿宋" w:eastAsia="仿宋" w:cs="仿宋"/>
          <w:color w:val="auto"/>
          <w:kern w:val="0"/>
          <w:sz w:val="24"/>
          <w:szCs w:val="24"/>
          <w:highlight w:val="none"/>
          <w:u w:val="single"/>
        </w:rPr>
        <w:t>一</w:t>
      </w:r>
      <w:r>
        <w:rPr>
          <w:rFonts w:hint="eastAsia" w:ascii="仿宋" w:hAnsi="仿宋" w:eastAsia="仿宋" w:cs="仿宋"/>
          <w:color w:val="auto"/>
          <w:kern w:val="0"/>
          <w:sz w:val="24"/>
          <w:szCs w:val="24"/>
          <w:highlight w:val="none"/>
        </w:rPr>
        <w:t>份采购代理机构存档。</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（盖章）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乙方：   （盖章）</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法定代表人/委托代理人：                法定代表人/委托代理人：</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    年  月  日              签约日期：    年  月  日</w:t>
      </w: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lang w:val="en-US" w:eastAsia="zh-CN"/>
        </w:rPr>
      </w:pP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lang w:val="en-US" w:eastAsia="zh-CN"/>
        </w:rPr>
      </w:pP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鉴证方：</w:t>
      </w:r>
      <w:r>
        <w:rPr>
          <w:rFonts w:hint="eastAsia" w:ascii="仿宋" w:hAnsi="仿宋" w:eastAsia="仿宋" w:cs="仿宋"/>
          <w:i w:val="0"/>
          <w:caps w:val="0"/>
          <w:color w:val="auto"/>
          <w:spacing w:val="0"/>
          <w:sz w:val="24"/>
          <w:szCs w:val="24"/>
          <w:highlight w:val="none"/>
          <w:shd w:val="clear" w:color="auto" w:fill="FFFFFF"/>
          <w:lang w:eastAsia="zh-CN"/>
        </w:rPr>
        <w:t>陕西龙辰全过程工程咨询有限公司</w:t>
      </w:r>
      <w:r>
        <w:rPr>
          <w:rFonts w:hint="eastAsia" w:ascii="仿宋" w:hAnsi="仿宋" w:eastAsia="仿宋" w:cs="仿宋"/>
          <w:color w:val="auto"/>
          <w:sz w:val="24"/>
          <w:szCs w:val="24"/>
          <w:highlight w:val="none"/>
        </w:rPr>
        <w:t>(公章)</w:t>
      </w: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w:t>
      </w:r>
    </w:p>
    <w:p>
      <w:pPr>
        <w:pStyle w:val="108"/>
        <w:keepNext w:val="0"/>
        <w:keepLines w:val="0"/>
        <w:pageBreakBefore w:val="0"/>
        <w:widowControl/>
        <w:kinsoku/>
        <w:wordWrap/>
        <w:overflowPunct/>
        <w:topLinePunct w:val="0"/>
        <w:autoSpaceDE/>
        <w:autoSpaceDN/>
        <w:bidi w:val="0"/>
        <w:adjustRightInd w:val="0"/>
        <w:snapToGrid/>
        <w:spacing w:line="40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日期：</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b/>
          <w:bCs/>
          <w:color w:val="auto"/>
          <w:highlight w:val="none"/>
          <w:lang w:eastAsia="zh-CN"/>
        </w:rPr>
      </w:pPr>
      <w:bookmarkStart w:id="97" w:name="_Toc7518"/>
      <w:r>
        <w:rPr>
          <w:rFonts w:hint="eastAsia" w:ascii="仿宋" w:hAnsi="仿宋" w:eastAsia="仿宋" w:cs="仿宋"/>
          <w:b/>
          <w:bCs/>
          <w:color w:val="auto"/>
          <w:highlight w:val="none"/>
        </w:rPr>
        <w:t>第五章  投标文件构成及格式</w:t>
      </w:r>
      <w:bookmarkEnd w:id="95"/>
      <w:bookmarkEnd w:id="96"/>
      <w:bookmarkEnd w:id="97"/>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ind w:firstLine="640" w:firstLineChars="200"/>
        <w:jc w:val="both"/>
        <w:rPr>
          <w:rFonts w:hint="eastAsia" w:ascii="仿宋" w:hAnsi="仿宋" w:eastAsia="仿宋" w:cs="仿宋"/>
          <w:color w:val="auto"/>
          <w:sz w:val="32"/>
          <w:szCs w:val="32"/>
          <w:highlight w:val="none"/>
        </w:rPr>
      </w:pPr>
    </w:p>
    <w:p>
      <w:pPr>
        <w:spacing w:line="560" w:lineRule="exact"/>
        <w:jc w:val="both"/>
        <w:rPr>
          <w:rFonts w:hint="eastAsia" w:ascii="仿宋" w:hAnsi="仿宋" w:eastAsia="仿宋" w:cs="仿宋"/>
          <w:color w:val="auto"/>
          <w:sz w:val="32"/>
          <w:szCs w:val="32"/>
          <w:highlight w:val="none"/>
        </w:rPr>
      </w:pPr>
    </w:p>
    <w:p>
      <w:pPr>
        <w:pStyle w:val="3"/>
        <w:rPr>
          <w:rFonts w:hint="eastAsia" w:ascii="仿宋" w:hAnsi="仿宋" w:eastAsia="仿宋" w:cs="仿宋"/>
          <w:color w:val="auto"/>
          <w:highlight w:val="none"/>
          <w:lang w:eastAsia="zh-CN"/>
        </w:rPr>
      </w:pPr>
      <w:r>
        <w:rPr>
          <w:rFonts w:hint="eastAsia" w:ascii="仿宋" w:eastAsia="仿宋" w:cs="仿宋"/>
          <w:color w:val="auto"/>
          <w:highlight w:val="none"/>
          <w:lang w:eastAsia="zh-CN"/>
        </w:rPr>
        <w:t>西安市渭河水质预测预警能力建设项目-水质自动站建设</w:t>
      </w: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color w:val="auto"/>
          <w:highlight w:val="none"/>
        </w:rPr>
      </w:pPr>
    </w:p>
    <w:p>
      <w:pPr>
        <w:pStyle w:val="3"/>
        <w:rPr>
          <w:rFonts w:hint="eastAsia" w:ascii="仿宋" w:hAnsi="仿宋" w:eastAsia="仿宋" w:cs="仿宋"/>
          <w:color w:val="auto"/>
          <w:highlight w:val="none"/>
        </w:rPr>
      </w:pPr>
      <w:bookmarkStart w:id="98" w:name="_Toc1285"/>
      <w:bookmarkStart w:id="99" w:name="_Toc13653"/>
      <w:bookmarkStart w:id="100" w:name="_Toc12902"/>
      <w:r>
        <w:rPr>
          <w:rFonts w:hint="eastAsia" w:ascii="仿宋" w:hAnsi="仿宋" w:eastAsia="仿宋" w:cs="仿宋"/>
          <w:color w:val="auto"/>
          <w:highlight w:val="none"/>
        </w:rPr>
        <w:t>投标文件</w:t>
      </w:r>
      <w:bookmarkEnd w:id="98"/>
      <w:bookmarkEnd w:id="99"/>
      <w:bookmarkEnd w:id="100"/>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ind w:left="0" w:leftChars="0" w:firstLine="0" w:firstLineChars="0"/>
        <w:jc w:val="center"/>
        <w:rPr>
          <w:rFonts w:hint="eastAsia" w:ascii="仿宋" w:hAnsi="仿宋" w:eastAsia="仿宋" w:cs="仿宋"/>
          <w:color w:val="auto"/>
          <w:highlight w:val="none"/>
        </w:rPr>
      </w:pPr>
      <w:bookmarkStart w:id="101" w:name="_Toc20431"/>
      <w:r>
        <w:rPr>
          <w:rFonts w:hint="eastAsia" w:ascii="仿宋" w:hAnsi="仿宋" w:eastAsia="仿宋" w:cs="仿宋"/>
          <w:color w:val="auto"/>
          <w:highlight w:val="none"/>
        </w:rPr>
        <w:t>（项目编号：</w:t>
      </w:r>
      <w:r>
        <w:rPr>
          <w:rFonts w:hint="eastAsia"/>
          <w:color w:val="auto"/>
          <w:highlight w:val="none"/>
          <w:lang w:val="en-US" w:eastAsia="zh-CN"/>
        </w:rPr>
        <w:t>LC-ZC-2023-021-001</w:t>
      </w:r>
      <w:r>
        <w:rPr>
          <w:rFonts w:hint="eastAsia" w:ascii="仿宋" w:hAnsi="仿宋" w:eastAsia="仿宋" w:cs="仿宋"/>
          <w:color w:val="auto"/>
          <w:highlight w:val="none"/>
        </w:rPr>
        <w:t>）</w:t>
      </w:r>
      <w:bookmarkEnd w:id="101"/>
    </w:p>
    <w:p>
      <w:pPr>
        <w:spacing w:line="560" w:lineRule="exact"/>
        <w:ind w:left="0" w:leftChars="0" w:firstLine="0" w:firstLineChars="0"/>
        <w:jc w:val="both"/>
        <w:rPr>
          <w:rFonts w:hint="eastAsia" w:ascii="仿宋" w:hAnsi="仿宋" w:eastAsia="仿宋" w:cs="仿宋"/>
          <w:color w:val="auto"/>
          <w:sz w:val="32"/>
          <w:szCs w:val="32"/>
          <w:highlight w:val="none"/>
        </w:rPr>
      </w:pPr>
    </w:p>
    <w:p>
      <w:pPr>
        <w:spacing w:line="560" w:lineRule="exact"/>
        <w:ind w:left="0" w:leftChars="0" w:firstLine="0" w:firstLineChars="0"/>
        <w:jc w:val="both"/>
        <w:rPr>
          <w:rFonts w:hint="eastAsia" w:ascii="仿宋" w:hAnsi="仿宋" w:eastAsia="仿宋" w:cs="仿宋"/>
          <w:color w:val="auto"/>
          <w:sz w:val="32"/>
          <w:szCs w:val="32"/>
          <w:highlight w:val="none"/>
        </w:rPr>
      </w:pPr>
    </w:p>
    <w:p>
      <w:pPr>
        <w:spacing w:line="560" w:lineRule="exact"/>
        <w:ind w:left="0" w:leftChars="0" w:firstLine="0" w:firstLineChars="0"/>
        <w:jc w:val="both"/>
        <w:rPr>
          <w:rFonts w:hint="eastAsia" w:ascii="仿宋" w:hAnsi="仿宋" w:eastAsia="仿宋" w:cs="仿宋"/>
          <w:color w:val="auto"/>
          <w:sz w:val="32"/>
          <w:szCs w:val="32"/>
          <w:highlight w:val="none"/>
        </w:rPr>
      </w:pPr>
    </w:p>
    <w:p>
      <w:pPr>
        <w:spacing w:line="560" w:lineRule="exact"/>
        <w:ind w:left="0" w:leftChars="0" w:firstLine="0" w:firstLineChars="0"/>
        <w:jc w:val="both"/>
        <w:rPr>
          <w:rFonts w:hint="eastAsia" w:ascii="仿宋" w:hAnsi="仿宋" w:eastAsia="仿宋" w:cs="仿宋"/>
          <w:color w:val="auto"/>
          <w:sz w:val="32"/>
          <w:szCs w:val="32"/>
          <w:highlight w:val="none"/>
        </w:rPr>
      </w:pPr>
    </w:p>
    <w:p>
      <w:pPr>
        <w:spacing w:line="56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供应商：__________________</w:t>
      </w:r>
    </w:p>
    <w:p>
      <w:pPr>
        <w:spacing w:line="56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时  间：__________________</w:t>
      </w:r>
    </w:p>
    <w:p>
      <w:pPr>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spacing w:line="560" w:lineRule="exact"/>
        <w:ind w:firstLine="880" w:firstLineChars="200"/>
        <w:jc w:val="center"/>
        <w:rPr>
          <w:rFonts w:hint="eastAsia" w:ascii="仿宋" w:hAnsi="仿宋" w:eastAsia="仿宋" w:cs="仿宋"/>
          <w:color w:val="auto"/>
          <w:sz w:val="44"/>
          <w:szCs w:val="44"/>
          <w:highlight w:val="none"/>
        </w:rPr>
      </w:pP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    录</w:t>
      </w:r>
    </w:p>
    <w:p>
      <w:pPr>
        <w:spacing w:line="560" w:lineRule="exact"/>
        <w:ind w:firstLine="480" w:firstLineChars="200"/>
        <w:jc w:val="both"/>
        <w:rPr>
          <w:rFonts w:hint="eastAsia" w:ascii="仿宋" w:hAnsi="仿宋" w:eastAsia="仿宋" w:cs="仿宋"/>
          <w:color w:val="auto"/>
          <w:sz w:val="24"/>
          <w:szCs w:val="24"/>
          <w:highlight w:val="none"/>
        </w:rPr>
      </w:pP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供应商概况</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供应商参加政府采购活动承诺书</w:t>
      </w:r>
    </w:p>
    <w:p>
      <w:pPr>
        <w:spacing w:line="48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pPr>
        <w:rPr>
          <w:rFonts w:hint="eastAsia" w:ascii="仿宋" w:hAnsi="仿宋" w:eastAsia="仿宋" w:cs="仿宋"/>
          <w:color w:val="auto"/>
          <w:sz w:val="32"/>
          <w:szCs w:val="32"/>
          <w:highlight w:val="none"/>
        </w:rPr>
      </w:pPr>
      <w:r>
        <w:rPr>
          <w:rFonts w:hint="eastAsia" w:ascii="仿宋" w:hAnsi="仿宋" w:eastAsia="仿宋" w:cs="仿宋"/>
          <w:color w:val="auto"/>
          <w:highlight w:val="none"/>
        </w:rPr>
        <w:br w:type="page"/>
      </w:r>
    </w:p>
    <w:p>
      <w:pPr>
        <w:pStyle w:val="4"/>
        <w:ind w:left="0" w:leftChars="0" w:firstLine="0" w:firstLineChars="0"/>
        <w:jc w:val="center"/>
        <w:rPr>
          <w:rFonts w:hint="eastAsia" w:ascii="仿宋" w:hAnsi="仿宋" w:eastAsia="仿宋" w:cs="仿宋"/>
          <w:b/>
          <w:bCs/>
          <w:color w:val="auto"/>
          <w:sz w:val="28"/>
          <w:szCs w:val="28"/>
          <w:highlight w:val="none"/>
        </w:rPr>
      </w:pPr>
      <w:bookmarkStart w:id="102" w:name="_Toc765"/>
      <w:r>
        <w:rPr>
          <w:rFonts w:hint="eastAsia" w:ascii="仿宋" w:hAnsi="仿宋" w:eastAsia="仿宋" w:cs="仿宋"/>
          <w:b/>
          <w:bCs/>
          <w:color w:val="auto"/>
          <w:sz w:val="28"/>
          <w:szCs w:val="28"/>
          <w:highlight w:val="none"/>
        </w:rPr>
        <w:t>第一部分  投标函</w:t>
      </w:r>
      <w:bookmarkEnd w:id="102"/>
    </w:p>
    <w:p>
      <w:pPr>
        <w:spacing w:line="56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我方收到贵中心发布的</w:t>
      </w:r>
      <w:r>
        <w:rPr>
          <w:rFonts w:hint="eastAsia" w:ascii="仿宋" w:hAnsi="仿宋" w:eastAsia="仿宋" w:cs="仿宋"/>
          <w:color w:val="auto"/>
          <w:sz w:val="24"/>
          <w:szCs w:val="24"/>
          <w:highlight w:val="none"/>
          <w:u w:val="single"/>
        </w:rPr>
        <w:t>西安市渭河水质预测预警能力建设项目-水质自动站建设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LC-ZC-2023-021-001</w:t>
      </w:r>
      <w:r>
        <w:rPr>
          <w:rFonts w:hint="eastAsia" w:ascii="仿宋" w:hAnsi="仿宋" w:eastAsia="仿宋" w:cs="仿宋"/>
          <w:color w:val="auto"/>
          <w:sz w:val="24"/>
          <w:szCs w:val="24"/>
          <w:highlight w:val="none"/>
        </w:rPr>
        <w:t>）招标文件，经详细研究，我方决定参加该项目的招标活动。为此，我方郑重声明以下诸点，并负法律责任。</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1．我方已详细阅读了招标文件，完全理解并同意招标文件的所有事项及内容。</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3．我方同意向贵中心提供与本次招标有关的全部证明材料，并保证所提交的证明材料真实、合法、有效。</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4．我方理解最低价不是成交的唯一条件，并尊重评标委员会的评审结果。</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5．我方投标文件在开启之日起___个日历日（应不少于90个日历日）内有效。</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若我方成交，我方承诺：（1）将投标文件有效期延长至合同执行完毕；（2）收到成交通知书后提交纸质投标文件一正两副，并按时交纳履约保证金；（3）遵照招标文件中的要求，完成本项目的合同责任和义务。</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7．所有关于此次招标活动的函电，请按下列方式联系：</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法定代表人（主要负责人）或委托代理人：（签字或盖章）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编：</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
        <w:ind w:left="0" w:leftChars="0" w:firstLine="0" w:firstLineChars="0"/>
        <w:jc w:val="center"/>
        <w:rPr>
          <w:rFonts w:hint="eastAsia" w:ascii="仿宋" w:hAnsi="仿宋" w:eastAsia="仿宋" w:cs="仿宋"/>
          <w:b/>
          <w:bCs/>
          <w:color w:val="auto"/>
          <w:sz w:val="28"/>
          <w:szCs w:val="28"/>
          <w:highlight w:val="none"/>
        </w:rPr>
      </w:pPr>
      <w:bookmarkStart w:id="103" w:name="_Toc145"/>
      <w:r>
        <w:rPr>
          <w:rFonts w:hint="eastAsia" w:ascii="仿宋" w:hAnsi="仿宋" w:eastAsia="仿宋" w:cs="仿宋"/>
          <w:b/>
          <w:bCs/>
          <w:color w:val="auto"/>
          <w:sz w:val="28"/>
          <w:szCs w:val="28"/>
          <w:highlight w:val="none"/>
        </w:rPr>
        <w:t>第二部分  开标一览表</w:t>
      </w:r>
      <w:bookmarkEnd w:id="103"/>
    </w:p>
    <w:tbl>
      <w:tblPr>
        <w:tblStyle w:val="3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3007"/>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64" w:type="dxa"/>
            <w:vMerge w:val="restart"/>
            <w:tcBorders>
              <w:top w:val="single" w:color="auto" w:sz="12" w:space="0"/>
              <w:left w:val="single" w:color="auto" w:sz="12" w:space="0"/>
              <w:tl2br w:val="single" w:color="auto" w:sz="4"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报价内容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007" w:type="dxa"/>
            <w:tcBorders>
              <w:top w:val="single" w:color="auto" w:sz="12" w:space="0"/>
            </w:tcBorders>
            <w:shd w:val="clear" w:color="auto" w:fill="D0CECE" w:themeFill="background2" w:themeFillShade="E6"/>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w:t>
            </w:r>
          </w:p>
        </w:tc>
        <w:tc>
          <w:tcPr>
            <w:tcW w:w="2897" w:type="dxa"/>
            <w:tcBorders>
              <w:top w:val="single" w:color="auto" w:sz="12" w:space="0"/>
              <w:right w:val="single" w:color="auto" w:sz="12" w:space="0"/>
            </w:tcBorders>
            <w:shd w:val="clear" w:color="auto" w:fill="D0CECE" w:themeFill="background2" w:themeFillShade="E6"/>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64" w:type="dxa"/>
            <w:vMerge w:val="continue"/>
            <w:tcBorders>
              <w:left w:val="single" w:color="auto" w:sz="12" w:space="0"/>
              <w:tl2br w:val="single" w:color="auto" w:sz="4"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3007" w:type="dxa"/>
            <w:shd w:val="clear" w:color="auto" w:fill="ECECEC" w:themeFill="accent3" w:themeFillTint="3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c>
          <w:tcPr>
            <w:tcW w:w="2897" w:type="dxa"/>
            <w:tcBorders>
              <w:right w:val="single" w:color="auto" w:sz="12" w:space="0"/>
            </w:tcBorders>
            <w:shd w:val="clear" w:color="auto" w:fill="ECECEC" w:themeFill="accent3" w:themeFillTint="3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964" w:type="dxa"/>
            <w:tcBorders>
              <w:left w:val="single" w:color="auto" w:sz="1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西安市渭河水质预测预警能力建设项目-水质自动站建设</w:t>
            </w:r>
          </w:p>
        </w:tc>
        <w:tc>
          <w:tcPr>
            <w:tcW w:w="30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c>
          <w:tcPr>
            <w:tcW w:w="2897"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64" w:type="dxa"/>
            <w:tcBorders>
              <w:left w:val="single" w:color="auto" w:sz="12" w:space="0"/>
              <w:bottom w:val="single" w:color="auto" w:sz="1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合计（大写）</w:t>
            </w:r>
          </w:p>
        </w:tc>
        <w:tc>
          <w:tcPr>
            <w:tcW w:w="5904" w:type="dxa"/>
            <w:gridSpan w:val="2"/>
            <w:tcBorders>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分项报价表（货物类适用）</w:t>
      </w:r>
    </w:p>
    <w:p>
      <w:pPr>
        <w:spacing w:line="56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单位：元</w:t>
      </w:r>
    </w:p>
    <w:tbl>
      <w:tblPr>
        <w:tblStyle w:val="31"/>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09"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563"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338"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生产厂家</w:t>
            </w:r>
          </w:p>
        </w:tc>
        <w:tc>
          <w:tcPr>
            <w:tcW w:w="954" w:type="dxa"/>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是否小微企业产品</w:t>
            </w:r>
          </w:p>
        </w:tc>
        <w:tc>
          <w:tcPr>
            <w:tcW w:w="955" w:type="dxa"/>
            <w:gridSpan w:val="2"/>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44" w:type="dxa"/>
            <w:gridSpan w:val="2"/>
            <w:shd w:val="clear" w:color="auto" w:fill="auto"/>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89" w:type="dxa"/>
            <w:gridSpan w:val="3"/>
            <w:shd w:val="clear" w:color="auto" w:fill="auto"/>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563"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338"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89" w:type="dxa"/>
            <w:gridSpan w:val="3"/>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费用描述</w:t>
            </w: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8" w:type="dxa"/>
            <w:gridSpan w:val="2"/>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409" w:type="dxa"/>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3866" w:type="dxa"/>
            <w:gridSpan w:val="4"/>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55"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1044" w:type="dxa"/>
            <w:gridSpan w:val="2"/>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p>
        </w:tc>
        <w:tc>
          <w:tcPr>
            <w:tcW w:w="978" w:type="dxa"/>
            <w:gridSpan w:val="2"/>
            <w:vAlign w:val="center"/>
          </w:tcPr>
          <w:p>
            <w:pPr>
              <w:jc w:val="center"/>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w:t>
            </w:r>
          </w:p>
        </w:tc>
        <w:tc>
          <w:tcPr>
            <w:tcW w:w="969" w:type="dxa"/>
            <w:vAlign w:val="center"/>
          </w:tcPr>
          <w:p>
            <w:pPr>
              <w:jc w:val="center"/>
              <w:rPr>
                <w:rFonts w:hint="eastAsia" w:ascii="仿宋" w:hAnsi="仿宋" w:eastAsia="仿宋" w:cs="仿宋"/>
                <w:color w:val="auto"/>
                <w:sz w:val="24"/>
                <w:szCs w:val="24"/>
                <w:highlight w:val="none"/>
              </w:rPr>
            </w:pPr>
          </w:p>
        </w:tc>
      </w:tr>
    </w:tbl>
    <w:p>
      <w:pPr>
        <w:spacing w:line="560" w:lineRule="exact"/>
        <w:ind w:firstLine="2762" w:firstLineChars="115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762" w:firstLineChars="115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注：1．监狱企业、残疾人福利性单位视同小微企业。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2．“是否小微企业产品”一栏若有漏报，将被视为“非小微企业产品”。</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3．表格空间不足时，可自行扩展。</w:t>
      </w:r>
      <w:r>
        <w:rPr>
          <w:rFonts w:hint="eastAsia" w:ascii="仿宋" w:hAnsi="仿宋" w:eastAsia="仿宋" w:cs="仿宋"/>
          <w:color w:val="auto"/>
          <w:sz w:val="24"/>
          <w:szCs w:val="24"/>
          <w:highlight w:val="none"/>
        </w:rPr>
        <w:br w:type="page"/>
      </w:r>
    </w:p>
    <w:p>
      <w:pPr>
        <w:pStyle w:val="4"/>
        <w:ind w:left="0" w:leftChars="0" w:firstLine="0" w:firstLineChars="0"/>
        <w:jc w:val="center"/>
        <w:rPr>
          <w:rFonts w:hint="eastAsia" w:ascii="仿宋" w:hAnsi="仿宋" w:eastAsia="仿宋" w:cs="仿宋"/>
          <w:b/>
          <w:bCs/>
          <w:color w:val="auto"/>
          <w:sz w:val="28"/>
          <w:szCs w:val="28"/>
          <w:highlight w:val="none"/>
        </w:rPr>
      </w:pPr>
      <w:bookmarkStart w:id="104" w:name="_Toc20487"/>
      <w:r>
        <w:rPr>
          <w:rFonts w:hint="eastAsia" w:ascii="仿宋" w:hAnsi="仿宋" w:eastAsia="仿宋" w:cs="仿宋"/>
          <w:b/>
          <w:bCs/>
          <w:color w:val="auto"/>
          <w:sz w:val="28"/>
          <w:szCs w:val="28"/>
          <w:highlight w:val="none"/>
        </w:rPr>
        <w:t>第三部分  资格证明文件</w:t>
      </w:r>
      <w:bookmarkEnd w:id="104"/>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按照招标文件第一章《投标邀请函》所列“供应商资格要求”提供各项资格证明文件，未按要求提供的，其投标文件将被视为无效文件。</w:t>
      </w:r>
    </w:p>
    <w:p>
      <w:pPr>
        <w:pStyle w:val="99"/>
        <w:spacing w:before="210" w:after="210"/>
        <w:ind w:firstLine="640"/>
        <w:rPr>
          <w:rFonts w:hint="eastAsia" w:ascii="仿宋" w:hAnsi="仿宋" w:eastAsia="仿宋" w:cs="仿宋"/>
          <w:color w:val="auto"/>
          <w:sz w:val="24"/>
          <w:szCs w:val="24"/>
          <w:highlight w:val="none"/>
        </w:rPr>
      </w:pPr>
      <w:bookmarkStart w:id="105" w:name="_Toc12954"/>
      <w:r>
        <w:rPr>
          <w:rFonts w:hint="eastAsia" w:ascii="仿宋" w:hAnsi="仿宋" w:eastAsia="仿宋" w:cs="仿宋"/>
          <w:color w:val="auto"/>
          <w:sz w:val="24"/>
          <w:szCs w:val="24"/>
          <w:highlight w:val="none"/>
        </w:rPr>
        <w:t>（一）有效的登记注册证</w:t>
      </w:r>
      <w:bookmarkEnd w:id="105"/>
    </w:p>
    <w:p>
      <w:pPr>
        <w:pStyle w:val="99"/>
        <w:spacing w:before="210" w:after="210"/>
        <w:ind w:firstLine="640"/>
        <w:rPr>
          <w:rFonts w:hint="eastAsia" w:ascii="仿宋" w:hAnsi="仿宋" w:eastAsia="仿宋" w:cs="仿宋"/>
          <w:color w:val="auto"/>
          <w:sz w:val="24"/>
          <w:szCs w:val="24"/>
          <w:highlight w:val="none"/>
        </w:rPr>
      </w:pPr>
      <w:bookmarkStart w:id="106" w:name="_Toc857"/>
    </w:p>
    <w:p>
      <w:pPr>
        <w:pStyle w:val="99"/>
        <w:spacing w:before="210" w:after="210"/>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（二）财务状况报告</w:t>
      </w:r>
      <w:bookmarkEnd w:id="106"/>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说明：两种形式任选一种，其中采用第二种形式的须按下方给定格式（详见《中国人民银行关于取消企业银行账户许可的通知》银发〔2019〕41号附件1）填写基本存款账户信息。</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基本存款账户信息</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账户号码：</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基本存款账户编号：向开户银行进行询问</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99"/>
        <w:spacing w:before="210" w:after="210"/>
        <w:ind w:firstLine="640"/>
        <w:rPr>
          <w:rFonts w:hint="eastAsia" w:ascii="仿宋" w:hAnsi="仿宋" w:eastAsia="仿宋" w:cs="仿宋"/>
          <w:color w:val="auto"/>
          <w:sz w:val="24"/>
          <w:szCs w:val="24"/>
          <w:highlight w:val="none"/>
        </w:rPr>
      </w:pPr>
      <w:bookmarkStart w:id="107" w:name="_Toc16679"/>
      <w:r>
        <w:rPr>
          <w:rFonts w:hint="eastAsia" w:ascii="仿宋" w:hAnsi="仿宋" w:eastAsia="仿宋" w:cs="仿宋"/>
          <w:color w:val="auto"/>
          <w:sz w:val="24"/>
          <w:szCs w:val="24"/>
          <w:highlight w:val="none"/>
        </w:rPr>
        <w:t>（三）税收缴纳证明</w:t>
      </w:r>
      <w:bookmarkEnd w:id="107"/>
    </w:p>
    <w:p>
      <w:pPr>
        <w:pStyle w:val="99"/>
        <w:spacing w:before="210" w:after="210"/>
        <w:ind w:firstLine="640"/>
        <w:rPr>
          <w:rFonts w:hint="eastAsia" w:ascii="仿宋" w:hAnsi="仿宋" w:eastAsia="仿宋" w:cs="仿宋"/>
          <w:color w:val="auto"/>
          <w:sz w:val="24"/>
          <w:szCs w:val="24"/>
          <w:highlight w:val="none"/>
        </w:rPr>
      </w:pPr>
      <w:bookmarkStart w:id="108" w:name="_Toc27472"/>
    </w:p>
    <w:p>
      <w:pPr>
        <w:pStyle w:val="99"/>
        <w:spacing w:before="210" w:after="210"/>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08"/>
      <w:r>
        <w:rPr>
          <w:rFonts w:hint="eastAsia" w:ascii="仿宋" w:hAnsi="仿宋" w:eastAsia="仿宋" w:cs="仿宋"/>
          <w:color w:val="auto"/>
          <w:sz w:val="24"/>
          <w:szCs w:val="24"/>
          <w:highlight w:val="none"/>
        </w:rPr>
        <w:t>社会保障资金缴纳证明</w:t>
      </w:r>
    </w:p>
    <w:p>
      <w:pPr>
        <w:spacing w:line="560" w:lineRule="exact"/>
        <w:ind w:firstLine="480" w:firstLineChars="200"/>
        <w:jc w:val="both"/>
        <w:rPr>
          <w:rFonts w:hint="eastAsia" w:ascii="仿宋" w:hAnsi="仿宋" w:eastAsia="仿宋" w:cs="仿宋"/>
          <w:color w:val="auto"/>
          <w:sz w:val="24"/>
          <w:szCs w:val="24"/>
          <w:highlight w:val="none"/>
        </w:rPr>
      </w:pPr>
    </w:p>
    <w:p>
      <w:pPr>
        <w:pStyle w:val="99"/>
        <w:spacing w:before="210" w:after="210"/>
        <w:ind w:firstLine="640"/>
        <w:rPr>
          <w:rFonts w:hint="default" w:ascii="仿宋" w:hAnsi="仿宋" w:eastAsia="仿宋" w:cs="仿宋"/>
          <w:color w:val="auto"/>
          <w:sz w:val="24"/>
          <w:szCs w:val="24"/>
          <w:highlight w:val="none"/>
          <w:lang w:val="en-US" w:eastAsia="zh-CN"/>
        </w:rPr>
      </w:pPr>
      <w:bookmarkStart w:id="109" w:name="_Toc9992"/>
      <w:r>
        <w:rPr>
          <w:rFonts w:hint="eastAsia" w:ascii="仿宋" w:hAnsi="仿宋" w:eastAsia="仿宋" w:cs="仿宋"/>
          <w:color w:val="auto"/>
          <w:sz w:val="24"/>
          <w:szCs w:val="24"/>
          <w:highlight w:val="none"/>
        </w:rPr>
        <w:t>（五）具有履行合同所必需的设备和专业技术能力的承诺</w:t>
      </w:r>
      <w:r>
        <w:rPr>
          <w:rFonts w:hint="eastAsia" w:ascii="仿宋" w:eastAsia="仿宋" w:cs="仿宋"/>
          <w:color w:val="auto"/>
          <w:sz w:val="24"/>
          <w:szCs w:val="24"/>
          <w:highlight w:val="none"/>
          <w:lang w:val="en-US" w:eastAsia="zh-CN"/>
        </w:rPr>
        <w:t>(格式自拟)</w:t>
      </w:r>
    </w:p>
    <w:p>
      <w:pPr>
        <w:pStyle w:val="99"/>
        <w:spacing w:before="210" w:after="210"/>
        <w:ind w:firstLine="640"/>
        <w:rPr>
          <w:rFonts w:hint="eastAsia" w:ascii="仿宋" w:hAnsi="仿宋" w:eastAsia="仿宋" w:cs="仿宋"/>
          <w:color w:val="auto"/>
          <w:sz w:val="24"/>
          <w:szCs w:val="24"/>
          <w:highlight w:val="none"/>
        </w:rPr>
      </w:pPr>
    </w:p>
    <w:p>
      <w:pPr>
        <w:pStyle w:val="99"/>
        <w:spacing w:before="210" w:after="210"/>
        <w:ind w:firstLine="640"/>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无重大违法记录声明（按下方给定格式进行填写）</w:t>
      </w:r>
      <w:bookmarkEnd w:id="109"/>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提示：</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1．供应商可通过【信用中国】（www.creditchina.gov.cn）、【中国政府采购网】（www.ccgp.gov.cn）网站对自身信用记录进行自查，并按查询结果填写下述声明。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2．供应商在参加政府采购活动前三年内因违法经营被禁止在一定期限内参加政府采购活动，期限届满的，可以参加政府采购活动，但应提供期限届满的证明材料。</w:t>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无重大违法记录声明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我方作为</w:t>
      </w:r>
      <w:r>
        <w:rPr>
          <w:rFonts w:hint="eastAsia" w:ascii="仿宋" w:hAnsi="仿宋" w:eastAsia="仿宋" w:cs="仿宋"/>
          <w:color w:val="auto"/>
          <w:sz w:val="24"/>
          <w:szCs w:val="24"/>
          <w:highlight w:val="none"/>
          <w:u w:val="single"/>
        </w:rPr>
        <w:t>西安市渭河水质预测预警能力建设项目-水质自动站建设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LC-ZC-2023-021-001</w:t>
      </w:r>
      <w:r>
        <w:rPr>
          <w:rFonts w:hint="eastAsia" w:ascii="仿宋" w:hAnsi="仿宋" w:eastAsia="仿宋" w:cs="仿宋"/>
          <w:color w:val="auto"/>
          <w:sz w:val="24"/>
          <w:szCs w:val="24"/>
          <w:highlight w:val="none"/>
        </w:rPr>
        <w:t>）的投标供应商，在此郑重声明：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1．在参加本次政府采购活动前3年内的经营活动中___（填“没有”或“有”）重大违法记录。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2．我方___（填“未被列入”或“被列入”）失信被执行人名单。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3．我方___（填“未被列入”或“被列入”）重大税收违法案件当事人名单。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4．我方___（填“未被列入”或“被列入”）政府采购严重违法失信行为记录名单。</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如有不实，我方将无条件地退出本项目的采购活动，并遵照《政府采购法》有关“提供虚假材料的规定”接受处罚。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bookmarkStart w:id="110" w:name="_Toc22137"/>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）法定代表人（主要负责人）委托授权书\身份证明（按下方给定格式进行填写）</w:t>
      </w:r>
      <w:bookmarkEnd w:id="110"/>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主要负责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授权书\身份证明（二选一）：法定代表人（主要负责人）委托代理人参加投标时，提供法定代表人（主要负责人）委托授权书；法定代表人（主要负责人）亲自参加投标时，提供法定代表人（主要负责人）身份证明。</w:t>
      </w:r>
    </w:p>
    <w:p>
      <w:pPr>
        <w:spacing w:line="560" w:lineRule="exact"/>
        <w:ind w:firstLine="480" w:firstLineChars="200"/>
        <w:jc w:val="both"/>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法定代表人（主要负责人）身份证明（格式）</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〈法定代表人（主要负责人）姓名〉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〈供应商全称〉</w:t>
      </w:r>
      <w:r>
        <w:rPr>
          <w:rFonts w:hint="eastAsia" w:ascii="仿宋" w:hAnsi="仿宋" w:eastAsia="仿宋" w:cs="仿宋"/>
          <w:color w:val="auto"/>
          <w:sz w:val="24"/>
          <w:szCs w:val="24"/>
          <w:highlight w:val="none"/>
        </w:rPr>
        <w:t>的法定代表人（主要负责人），特此证明。</w:t>
      </w:r>
    </w:p>
    <w:tbl>
      <w:tblPr>
        <w:tblStyle w:val="31"/>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身份证正反面（扫描件）</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或护照资料页（扫描件）</w:t>
            </w:r>
          </w:p>
        </w:tc>
      </w:tr>
    </w:tbl>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br w:type="page"/>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法定代表人（主要负责人）委托授权书（格式）</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〈政府采购代理机构〉</w:t>
      </w: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现委派</w:t>
      </w:r>
      <w:r>
        <w:rPr>
          <w:rFonts w:hint="eastAsia" w:ascii="仿宋" w:hAnsi="仿宋" w:eastAsia="仿宋" w:cs="仿宋"/>
          <w:color w:val="auto"/>
          <w:sz w:val="24"/>
          <w:szCs w:val="24"/>
          <w:highlight w:val="none"/>
          <w:u w:val="single"/>
        </w:rPr>
        <w:t>〈代理人姓名〉</w:t>
      </w:r>
      <w:r>
        <w:rPr>
          <w:rFonts w:hint="eastAsia" w:ascii="仿宋" w:hAnsi="仿宋" w:eastAsia="仿宋" w:cs="仿宋"/>
          <w:color w:val="auto"/>
          <w:sz w:val="24"/>
          <w:szCs w:val="24"/>
          <w:highlight w:val="none"/>
        </w:rPr>
        <w:t>代表我方参加贵中心组织的</w:t>
      </w:r>
      <w:r>
        <w:rPr>
          <w:rFonts w:hint="eastAsia" w:ascii="仿宋" w:hAnsi="仿宋" w:eastAsia="仿宋" w:cs="仿宋"/>
          <w:color w:val="auto"/>
          <w:sz w:val="24"/>
          <w:szCs w:val="24"/>
          <w:highlight w:val="none"/>
          <w:u w:val="single"/>
        </w:rPr>
        <w:t>西安市渭河水质预测预警能力建设项目-水质自动站建设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LC-ZC-2023-021-001</w:t>
      </w:r>
      <w:r>
        <w:rPr>
          <w:rFonts w:hint="eastAsia" w:ascii="仿宋" w:hAnsi="仿宋" w:eastAsia="仿宋" w:cs="仿宋"/>
          <w:color w:val="auto"/>
          <w:sz w:val="24"/>
          <w:szCs w:val="24"/>
          <w:highlight w:val="none"/>
        </w:rPr>
        <w:t>）政府采购活动，以我方名义签署、澄清、确认、递交、撤回、修改投标文件，签订合同和全权处理一切与之有关的事宜，其法律后果由我方承担。</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本授权有效期与投标文件有效期一致。代理人无转委托权。</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代理人姓名：_________________________</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联系电话：______________</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身份证（护照）号码：_________________</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职务：__________________</w:t>
      </w:r>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通讯地址：________________________________</w:t>
      </w:r>
    </w:p>
    <w:p>
      <w:pPr>
        <w:spacing w:line="560" w:lineRule="exact"/>
        <w:ind w:firstLine="480" w:firstLineChars="200"/>
        <w:rPr>
          <w:rFonts w:hint="eastAsia" w:ascii="仿宋" w:hAnsi="仿宋" w:eastAsia="仿宋" w:cs="仿宋"/>
          <w:color w:val="auto"/>
          <w:sz w:val="24"/>
          <w:szCs w:val="24"/>
          <w:highlight w:val="none"/>
        </w:rPr>
      </w:pPr>
    </w:p>
    <w:tbl>
      <w:tblPr>
        <w:tblStyle w:val="3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身份证正反面（扫描件）</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身份证正反面（扫描件）</w:t>
            </w:r>
          </w:p>
          <w:p>
            <w:pPr>
              <w:spacing w:line="56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1807" w:firstLineChars="75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法定代表人（主要负责人）：（签字或盖章）</w:t>
      </w:r>
    </w:p>
    <w:p>
      <w:pPr>
        <w:spacing w:line="560" w:lineRule="exact"/>
        <w:ind w:firstLine="1807" w:firstLineChars="75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1807" w:firstLineChars="753"/>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授权日期：      年  月  日</w:t>
      </w:r>
    </w:p>
    <w:p>
      <w:pPr>
        <w:spacing w:line="560" w:lineRule="exact"/>
        <w:jc w:val="both"/>
        <w:rPr>
          <w:rFonts w:hint="eastAsia" w:ascii="仿宋" w:hAnsi="仿宋" w:eastAsia="仿宋" w:cs="仿宋"/>
          <w:color w:val="auto"/>
          <w:sz w:val="24"/>
          <w:szCs w:val="24"/>
          <w:highlight w:val="none"/>
        </w:rPr>
      </w:pPr>
    </w:p>
    <w:p>
      <w:pPr>
        <w:pStyle w:val="4"/>
        <w:ind w:left="0" w:leftChars="0" w:firstLine="0" w:firstLineChars="0"/>
        <w:jc w:val="center"/>
        <w:rPr>
          <w:rFonts w:hint="eastAsia" w:ascii="仿宋" w:hAnsi="仿宋" w:eastAsia="仿宋" w:cs="仿宋"/>
          <w:b/>
          <w:bCs/>
          <w:color w:val="auto"/>
          <w:sz w:val="28"/>
          <w:szCs w:val="28"/>
          <w:highlight w:val="none"/>
        </w:rPr>
      </w:pPr>
      <w:bookmarkStart w:id="111" w:name="_Toc5774"/>
      <w:r>
        <w:rPr>
          <w:rFonts w:hint="eastAsia" w:ascii="仿宋" w:hAnsi="仿宋" w:eastAsia="仿宋" w:cs="仿宋"/>
          <w:b/>
          <w:bCs/>
          <w:color w:val="auto"/>
          <w:sz w:val="28"/>
          <w:szCs w:val="28"/>
          <w:highlight w:val="none"/>
        </w:rPr>
        <w:t>第四部分  供应商概况</w:t>
      </w:r>
      <w:bookmarkEnd w:id="111"/>
    </w:p>
    <w:p>
      <w:pPr>
        <w:pStyle w:val="99"/>
        <w:spacing w:before="210" w:after="210"/>
        <w:ind w:firstLine="640"/>
        <w:rPr>
          <w:rFonts w:hint="eastAsia" w:ascii="仿宋" w:hAnsi="仿宋" w:eastAsia="仿宋" w:cs="仿宋"/>
          <w:color w:val="auto"/>
          <w:sz w:val="24"/>
          <w:szCs w:val="24"/>
          <w:highlight w:val="none"/>
        </w:rPr>
      </w:pPr>
      <w:bookmarkStart w:id="112" w:name="_Toc775"/>
      <w:r>
        <w:rPr>
          <w:rFonts w:hint="eastAsia" w:ascii="仿宋" w:hAnsi="仿宋" w:eastAsia="仿宋" w:cs="仿宋"/>
          <w:color w:val="auto"/>
          <w:sz w:val="24"/>
          <w:szCs w:val="24"/>
          <w:highlight w:val="none"/>
        </w:rPr>
        <w:t>（一）供应商基本信息</w:t>
      </w:r>
      <w:bookmarkEnd w:id="112"/>
    </w:p>
    <w:tbl>
      <w:tblPr>
        <w:tblStyle w:val="9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供应商全称</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注册地址</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成立时间</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统一社会信用代码</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单位性质</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法定代表人</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（主要负责人）</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所属行业</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基本存款账户</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开户银行</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基本存款</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账户账号</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上年度</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营业收入*</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资产总额</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经营范围</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资质证书名称</w:t>
            </w: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证书号</w:t>
            </w: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等级</w:t>
            </w: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416"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2929" w:type="dxa"/>
            <w:gridSpan w:val="2"/>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从业人员总数</w:t>
            </w:r>
          </w:p>
        </w:tc>
        <w:tc>
          <w:tcPr>
            <w:tcW w:w="992" w:type="dxa"/>
            <w:vMerge w:val="restart"/>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2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管理人员</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6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专业技术</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人员数量</w:t>
            </w:r>
          </w:p>
        </w:tc>
        <w:tc>
          <w:tcPr>
            <w:tcW w:w="1465"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2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残疾人</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411"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1464"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少数民族</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465"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关系</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说明</w:t>
            </w:r>
          </w:p>
        </w:tc>
        <w:tc>
          <w:tcPr>
            <w:tcW w:w="6756" w:type="dxa"/>
            <w:gridSpan w:val="5"/>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1.成立时间至提交投标文件截止时间不足一年的可不填写“上年度营业收入”；</w:t>
            </w:r>
          </w:p>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2.招标文件接受联合体的，联合体各方均应提供；</w:t>
            </w:r>
          </w:p>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3.表格空间不足时，请自行扩展。</w:t>
            </w:r>
          </w:p>
        </w:tc>
      </w:tr>
    </w:tbl>
    <w:p>
      <w:pPr>
        <w:pStyle w:val="99"/>
        <w:keepLines w:val="0"/>
        <w:pageBreakBefore w:val="0"/>
        <w:widowControl/>
        <w:kinsoku/>
        <w:wordWrap/>
        <w:overflowPunct/>
        <w:topLinePunct w:val="0"/>
        <w:autoSpaceDE/>
        <w:autoSpaceDN/>
        <w:bidi w:val="0"/>
        <w:adjustRightInd/>
        <w:snapToGrid/>
        <w:spacing w:before="0" w:beforeLines="0" w:after="0" w:afterLines="0" w:line="400" w:lineRule="exact"/>
        <w:ind w:firstLine="480" w:firstLineChars="200"/>
        <w:textAlignment w:val="auto"/>
        <w:rPr>
          <w:rFonts w:hint="eastAsia" w:ascii="仿宋" w:hAnsi="仿宋" w:eastAsia="仿宋" w:cs="仿宋"/>
          <w:color w:val="auto"/>
          <w:sz w:val="24"/>
          <w:szCs w:val="24"/>
          <w:highlight w:val="none"/>
        </w:rPr>
      </w:pPr>
      <w:bookmarkStart w:id="113" w:name="_Toc12434"/>
      <w:r>
        <w:rPr>
          <w:rFonts w:hint="eastAsia" w:ascii="仿宋" w:hAnsi="仿宋" w:eastAsia="仿宋" w:cs="仿宋"/>
          <w:color w:val="auto"/>
          <w:sz w:val="24"/>
          <w:szCs w:val="24"/>
          <w:highlight w:val="none"/>
        </w:rPr>
        <w:t>（二）供应商性质</w:t>
      </w:r>
      <w:bookmarkEnd w:id="113"/>
    </w:p>
    <w:p>
      <w:pPr>
        <w:pStyle w:val="98"/>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bookmarkStart w:id="114" w:name="_Toc16001"/>
      <w:r>
        <w:rPr>
          <w:rFonts w:hint="eastAsia" w:ascii="仿宋" w:hAnsi="仿宋" w:eastAsia="仿宋" w:cs="仿宋"/>
          <w:color w:val="auto"/>
          <w:sz w:val="24"/>
          <w:szCs w:val="24"/>
          <w:highlight w:val="none"/>
        </w:rPr>
        <w:t>1．中小企业声明函</w:t>
      </w:r>
      <w:bookmarkEnd w:id="114"/>
    </w:p>
    <w:p>
      <w:pPr>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pStyle w:val="5"/>
        <w:rPr>
          <w:rFonts w:hint="eastAsia" w:ascii="仿宋" w:hAnsi="仿宋" w:eastAsia="仿宋" w:cs="仿宋"/>
          <w:color w:val="auto"/>
          <w:sz w:val="24"/>
          <w:szCs w:val="24"/>
          <w:highlight w:val="none"/>
        </w:rPr>
      </w:pPr>
      <w:bookmarkStart w:id="115" w:name="_Toc17074"/>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中小企业声明函（货物格式）</w:t>
      </w:r>
      <w:bookmarkEnd w:id="115"/>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西安市渭河水质预测预警能力建设项目-水质自动站建设</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LC-ZC-2023-021-001</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pPr>
        <w:spacing w:line="56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u w:val="single"/>
        </w:rPr>
        <w:t>〈标的名称〉</w:t>
      </w:r>
      <w:r>
        <w:rPr>
          <w:rFonts w:hint="eastAsia" w:ascii="仿宋" w:hAnsi="仿宋" w:eastAsia="仿宋" w:cs="仿宋"/>
          <w:b w:val="0"/>
          <w:bCs w:val="0"/>
          <w:color w:val="auto"/>
          <w:sz w:val="24"/>
          <w:szCs w:val="24"/>
          <w:highlight w:val="none"/>
        </w:rPr>
        <w:t>，属于</w:t>
      </w:r>
      <w:r>
        <w:rPr>
          <w:rFonts w:hint="eastAsia" w:ascii="仿宋" w:hAnsi="仿宋" w:eastAsia="仿宋" w:cs="仿宋"/>
          <w:b w:val="0"/>
          <w:bCs w:val="0"/>
          <w:color w:val="auto"/>
          <w:sz w:val="24"/>
          <w:szCs w:val="24"/>
          <w:highlight w:val="none"/>
          <w:u w:val="single"/>
        </w:rPr>
        <w:t>〈采购文件中明确的所属行业〉</w:t>
      </w:r>
      <w:r>
        <w:rPr>
          <w:rFonts w:hint="eastAsia" w:ascii="仿宋" w:hAnsi="仿宋" w:eastAsia="仿宋" w:cs="仿宋"/>
          <w:b w:val="0"/>
          <w:bCs w:val="0"/>
          <w:color w:val="auto"/>
          <w:sz w:val="24"/>
          <w:szCs w:val="24"/>
          <w:highlight w:val="none"/>
        </w:rPr>
        <w:t>；制造商为</w:t>
      </w:r>
      <w:r>
        <w:rPr>
          <w:rFonts w:hint="eastAsia" w:ascii="仿宋" w:hAnsi="仿宋" w:eastAsia="仿宋" w:cs="仿宋"/>
          <w:b w:val="0"/>
          <w:bCs w:val="0"/>
          <w:color w:val="auto"/>
          <w:sz w:val="24"/>
          <w:szCs w:val="24"/>
          <w:highlight w:val="none"/>
          <w:u w:val="single"/>
        </w:rPr>
        <w:t>〈企业名称〉</w:t>
      </w:r>
      <w:r>
        <w:rPr>
          <w:rFonts w:hint="eastAsia" w:ascii="仿宋" w:hAnsi="仿宋" w:eastAsia="仿宋" w:cs="仿宋"/>
          <w:b w:val="0"/>
          <w:bCs w:val="0"/>
          <w:color w:val="auto"/>
          <w:sz w:val="24"/>
          <w:szCs w:val="24"/>
          <w:highlight w:val="none"/>
        </w:rPr>
        <w:t>，从业人员</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人，营业收入为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万元，资产总额为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万元，属于</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u w:val="none"/>
        </w:rPr>
        <w:t>企</w:t>
      </w:r>
      <w:r>
        <w:rPr>
          <w:rFonts w:hint="eastAsia" w:ascii="仿宋" w:hAnsi="仿宋" w:eastAsia="仿宋" w:cs="仿宋"/>
          <w:b w:val="0"/>
          <w:bCs w:val="0"/>
          <w:color w:val="auto"/>
          <w:sz w:val="24"/>
          <w:szCs w:val="24"/>
          <w:highlight w:val="none"/>
        </w:rPr>
        <w:t>业（选填中型企业、小型企业、微型企业）；</w:t>
      </w:r>
    </w:p>
    <w:p>
      <w:pPr>
        <w:spacing w:line="56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u w:val="single"/>
        </w:rPr>
        <w:t>〈标的名称〉</w:t>
      </w:r>
      <w:r>
        <w:rPr>
          <w:rFonts w:hint="eastAsia" w:ascii="仿宋" w:hAnsi="仿宋" w:eastAsia="仿宋" w:cs="仿宋"/>
          <w:b w:val="0"/>
          <w:bCs w:val="0"/>
          <w:color w:val="auto"/>
          <w:sz w:val="24"/>
          <w:szCs w:val="24"/>
          <w:highlight w:val="none"/>
        </w:rPr>
        <w:t>，属于</w:t>
      </w:r>
      <w:r>
        <w:rPr>
          <w:rFonts w:hint="eastAsia" w:ascii="仿宋" w:hAnsi="仿宋" w:eastAsia="仿宋" w:cs="仿宋"/>
          <w:b w:val="0"/>
          <w:bCs w:val="0"/>
          <w:color w:val="auto"/>
          <w:sz w:val="24"/>
          <w:szCs w:val="24"/>
          <w:highlight w:val="none"/>
          <w:u w:val="single"/>
        </w:rPr>
        <w:t>〈采购文件中明确的所属行业〉</w:t>
      </w:r>
      <w:r>
        <w:rPr>
          <w:rFonts w:hint="eastAsia" w:ascii="仿宋" w:hAnsi="仿宋" w:eastAsia="仿宋" w:cs="仿宋"/>
          <w:b w:val="0"/>
          <w:bCs w:val="0"/>
          <w:color w:val="auto"/>
          <w:sz w:val="24"/>
          <w:szCs w:val="24"/>
          <w:highlight w:val="none"/>
        </w:rPr>
        <w:t>；制造商为</w:t>
      </w:r>
      <w:r>
        <w:rPr>
          <w:rFonts w:hint="eastAsia" w:ascii="仿宋" w:hAnsi="仿宋" w:eastAsia="仿宋" w:cs="仿宋"/>
          <w:b w:val="0"/>
          <w:bCs w:val="0"/>
          <w:color w:val="auto"/>
          <w:sz w:val="24"/>
          <w:szCs w:val="24"/>
          <w:highlight w:val="none"/>
          <w:u w:val="single"/>
        </w:rPr>
        <w:t>〈企业名称〉</w:t>
      </w:r>
      <w:r>
        <w:rPr>
          <w:rFonts w:hint="eastAsia" w:ascii="仿宋" w:hAnsi="仿宋" w:eastAsia="仿宋" w:cs="仿宋"/>
          <w:b w:val="0"/>
          <w:bCs w:val="0"/>
          <w:color w:val="auto"/>
          <w:sz w:val="24"/>
          <w:szCs w:val="24"/>
          <w:highlight w:val="none"/>
        </w:rPr>
        <w:t>，从业人员</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人，营业收入为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万元，资产总额为</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万元，属于</w:t>
      </w:r>
      <w:r>
        <w:rPr>
          <w:rFonts w:hint="eastAsia" w:ascii="仿宋" w:hAnsi="仿宋" w:eastAsia="仿宋" w:cs="仿宋"/>
          <w:b w:val="0"/>
          <w:bCs w:val="0"/>
          <w:color w:val="auto"/>
          <w:sz w:val="24"/>
          <w:szCs w:val="24"/>
          <w:highlight w:val="none"/>
          <w:u w:val="single"/>
        </w:rPr>
        <w:t>      </w:t>
      </w:r>
      <w:r>
        <w:rPr>
          <w:rFonts w:hint="eastAsia" w:ascii="仿宋" w:hAnsi="仿宋" w:eastAsia="仿宋" w:cs="仿宋"/>
          <w:b w:val="0"/>
          <w:bCs w:val="0"/>
          <w:color w:val="auto"/>
          <w:sz w:val="24"/>
          <w:szCs w:val="24"/>
          <w:highlight w:val="none"/>
        </w:rPr>
        <w:t>企业（选填中型企业、小型企业、微型企业）；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rPr>
          <w:rFonts w:hint="eastAsia" w:ascii="仿宋" w:hAnsi="仿宋" w:eastAsia="仿宋" w:cs="仿宋"/>
          <w:color w:val="auto"/>
          <w:sz w:val="24"/>
          <w:szCs w:val="24"/>
          <w:highlight w:val="none"/>
        </w:rPr>
      </w:pPr>
      <w:bookmarkStart w:id="116" w:name="_Toc5909"/>
      <w:r>
        <w:rPr>
          <w:rFonts w:hint="eastAsia" w:ascii="仿宋" w:hAnsi="仿宋" w:eastAsia="仿宋" w:cs="仿宋"/>
          <w:color w:val="auto"/>
          <w:sz w:val="24"/>
          <w:szCs w:val="24"/>
          <w:highlight w:val="none"/>
        </w:rPr>
        <w:br w:type="page"/>
      </w:r>
    </w:p>
    <w:bookmarkEnd w:id="116"/>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2．残疾人福利性单位声明函</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说明：当且仅当供应商为残疾人福利性单位的，应按下文给定格式填写声明函。未提供或未按给定格式提供声明函的，将不能享受招标文件规定的价格优惠政策，但不影响投标文件的有效性。</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供应商在填报前请认真阅读《财政部、民政部、中国残疾人联合会关于促进残疾人就业政府采购政策的通知》（财库〔2017〕141号）相关规定。</w:t>
      </w:r>
    </w:p>
    <w:p>
      <w:pPr>
        <w:pStyle w:val="5"/>
        <w:rPr>
          <w:rFonts w:hint="eastAsia" w:ascii="仿宋" w:hAnsi="仿宋" w:eastAsia="仿宋" w:cs="仿宋"/>
          <w:color w:val="auto"/>
          <w:sz w:val="24"/>
          <w:szCs w:val="24"/>
          <w:highlight w:val="none"/>
        </w:rPr>
      </w:pPr>
      <w:bookmarkStart w:id="117" w:name="_Toc1622"/>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残疾人福利性单位声明函（格式）</w:t>
      </w:r>
      <w:bookmarkEnd w:id="117"/>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445" w:firstLineChars="101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3．监狱企业证明函</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60" w:lineRule="exact"/>
        <w:jc w:val="center"/>
        <w:rPr>
          <w:rFonts w:hint="eastAsia" w:ascii="仿宋" w:hAnsi="仿宋" w:eastAsia="仿宋" w:cs="仿宋"/>
          <w:color w:val="auto"/>
          <w:sz w:val="24"/>
          <w:szCs w:val="24"/>
          <w:highlight w:val="none"/>
        </w:rPr>
      </w:pP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监狱企业证明函</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
        <w:ind w:left="0" w:leftChars="0" w:firstLine="0" w:firstLineChars="0"/>
        <w:jc w:val="center"/>
        <w:rPr>
          <w:rFonts w:hint="eastAsia" w:ascii="仿宋" w:hAnsi="仿宋" w:eastAsia="仿宋" w:cs="仿宋"/>
          <w:b/>
          <w:bCs/>
          <w:color w:val="auto"/>
          <w:sz w:val="28"/>
          <w:szCs w:val="28"/>
          <w:highlight w:val="none"/>
        </w:rPr>
      </w:pPr>
      <w:bookmarkStart w:id="118" w:name="_Toc17946"/>
      <w:r>
        <w:rPr>
          <w:rFonts w:hint="eastAsia" w:ascii="仿宋" w:hAnsi="仿宋" w:eastAsia="仿宋" w:cs="仿宋"/>
          <w:b/>
          <w:bCs/>
          <w:color w:val="auto"/>
          <w:sz w:val="28"/>
          <w:szCs w:val="28"/>
          <w:highlight w:val="none"/>
        </w:rPr>
        <w:t>第五部分  供应商参加政府采购活动承诺书</w:t>
      </w:r>
      <w:bookmarkEnd w:id="118"/>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未签署下列承诺书的，将被视为无效投标，其责任由供应商自行承担。</w:t>
      </w:r>
    </w:p>
    <w:p>
      <w:pPr>
        <w:pStyle w:val="5"/>
        <w:rPr>
          <w:rFonts w:hint="eastAsia" w:ascii="仿宋" w:hAnsi="仿宋" w:eastAsia="仿宋" w:cs="仿宋"/>
          <w:color w:val="auto"/>
          <w:sz w:val="24"/>
          <w:szCs w:val="24"/>
          <w:highlight w:val="none"/>
        </w:rPr>
      </w:pPr>
      <w:bookmarkStart w:id="119" w:name="_Toc3175"/>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（一）质量安全责任承诺书</w:t>
      </w:r>
      <w:bookmarkEnd w:id="119"/>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为保证本采购项目顺利进行，作为投标供应商，现郑重承诺：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1．我方所投产品的生产（包括设计、制造、安装、改造、维修等）、投入使用的材料等均完全符合国家现行质量、安全、环保标准和要求。</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3．对于因产品生产质量以及储存、运输、安装调试、服务、施工等过程中产生的任何安全事故，我方承担全部责任。</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4．我方提供的货物、工程、服务等符合现行的国家、行业、地区、企业标准及要求，标准不一致的，以更为严格的为准，我方对提供的货物、工程、服务等的质量、安全、环保等承担全部责任。</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bookmarkStart w:id="120" w:name="_Toc26338"/>
      <w:r>
        <w:rPr>
          <w:rFonts w:hint="eastAsia" w:ascii="仿宋" w:hAnsi="仿宋" w:eastAsia="仿宋" w:cs="仿宋"/>
          <w:color w:val="auto"/>
          <w:sz w:val="24"/>
          <w:szCs w:val="24"/>
          <w:highlight w:val="none"/>
        </w:rPr>
        <w:br w:type="page"/>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（二）参加政府采购活动行为自律承诺书</w:t>
      </w:r>
      <w:bookmarkEnd w:id="120"/>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作为参加本次政府采购项目的供应商，我方郑重承诺在参与政府采购活动中遵纪守法、公平竞争、诚实守信，如有违反愿承担一切责任及后果：</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1．不与采购人、采购代理机构、政府采购评审专家恶意串通，不向其行贿或提供其他不正当利益；</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2．不与其他供应商恶意串通，采取“围标、串标、陪标”等商业欺诈手段谋取中标、成交；</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4．不采取不正当手段诋毁、排挤其他供应商；</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6．不以不正当理由拒绝履行合同义务，不会擅自变更、中止或者终止政府采购合同或将政府采购合同转包；</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7．不在提供商品、服务或工程施工过程中提供假冒伪劣产品，损害采购人的合法权益或公共利益；</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8．不采取捏造事实、提供虚假材料或者以非法手段取得证明材料进行质疑和投诉；</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2656" w:firstLineChars="110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
        <w:ind w:left="0" w:leftChars="0" w:firstLine="0" w:firstLineChars="0"/>
        <w:jc w:val="center"/>
        <w:rPr>
          <w:rFonts w:hint="eastAsia" w:ascii="仿宋" w:hAnsi="仿宋" w:eastAsia="仿宋" w:cs="仿宋"/>
          <w:b/>
          <w:bCs/>
          <w:color w:val="auto"/>
          <w:sz w:val="28"/>
          <w:szCs w:val="28"/>
          <w:highlight w:val="none"/>
        </w:rPr>
      </w:pPr>
      <w:bookmarkStart w:id="121" w:name="_Toc21691"/>
      <w:r>
        <w:rPr>
          <w:rFonts w:hint="eastAsia" w:ascii="仿宋" w:hAnsi="仿宋" w:eastAsia="仿宋" w:cs="仿宋"/>
          <w:b/>
          <w:bCs/>
          <w:color w:val="auto"/>
          <w:sz w:val="28"/>
          <w:szCs w:val="28"/>
          <w:highlight w:val="none"/>
        </w:rPr>
        <w:t>第六部分  投标方案</w:t>
      </w:r>
      <w:bookmarkEnd w:id="121"/>
    </w:p>
    <w:p>
      <w:pPr>
        <w:pStyle w:val="99"/>
        <w:spacing w:before="210" w:after="210"/>
        <w:ind w:firstLine="640"/>
        <w:rPr>
          <w:rFonts w:hint="eastAsia" w:ascii="仿宋" w:hAnsi="仿宋" w:eastAsia="仿宋" w:cs="仿宋"/>
          <w:color w:val="auto"/>
          <w:sz w:val="24"/>
          <w:szCs w:val="24"/>
          <w:highlight w:val="none"/>
          <w:lang w:eastAsia="zh-CN"/>
        </w:rPr>
      </w:pPr>
      <w:bookmarkStart w:id="122" w:name="_Toc17160"/>
      <w:r>
        <w:rPr>
          <w:rFonts w:hint="eastAsia" w:ascii="仿宋" w:hAnsi="仿宋" w:eastAsia="仿宋" w:cs="仿宋"/>
          <w:color w:val="auto"/>
          <w:sz w:val="24"/>
          <w:szCs w:val="24"/>
          <w:highlight w:val="none"/>
        </w:rPr>
        <w:t>（一）技术</w:t>
      </w:r>
      <w:bookmarkEnd w:id="122"/>
      <w:r>
        <w:rPr>
          <w:rFonts w:hint="eastAsia" w:ascii="仿宋" w:eastAsia="仿宋" w:cs="仿宋"/>
          <w:color w:val="auto"/>
          <w:sz w:val="24"/>
          <w:szCs w:val="24"/>
          <w:highlight w:val="none"/>
          <w:lang w:val="en-US" w:eastAsia="zh-CN"/>
        </w:rPr>
        <w:t>偏离表</w:t>
      </w:r>
    </w:p>
    <w:tbl>
      <w:tblPr>
        <w:tblStyle w:val="3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要求</w:t>
            </w: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文件响应</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9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1、本表须按“第三章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内容及要求”中所列技术要求进行比较和响应；</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2、该表必须按照招标文件要求逐条如实填写，根据情况在“偏离情况”项填写正偏离或负偏离或无偏离，在“说明”项填写正偏离或负偏离原因。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color w:val="auto"/>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99"/>
        <w:spacing w:before="210" w:after="210"/>
        <w:ind w:firstLine="640"/>
        <w:rPr>
          <w:rFonts w:hint="eastAsia" w:ascii="仿宋" w:hAnsi="仿宋" w:eastAsia="仿宋" w:cs="仿宋"/>
          <w:color w:val="auto"/>
          <w:sz w:val="24"/>
          <w:szCs w:val="24"/>
          <w:highlight w:val="none"/>
          <w:lang w:eastAsia="zh-CN"/>
        </w:rPr>
      </w:pPr>
      <w:bookmarkStart w:id="123" w:name="_Toc393"/>
      <w:r>
        <w:rPr>
          <w:rFonts w:hint="eastAsia" w:ascii="仿宋" w:hAnsi="仿宋" w:eastAsia="仿宋" w:cs="仿宋"/>
          <w:color w:val="auto"/>
          <w:sz w:val="24"/>
          <w:szCs w:val="24"/>
          <w:highlight w:val="none"/>
        </w:rPr>
        <w:t>（二）商务</w:t>
      </w:r>
      <w:bookmarkEnd w:id="123"/>
      <w:r>
        <w:rPr>
          <w:rFonts w:hint="eastAsia" w:ascii="仿宋" w:eastAsia="仿宋" w:cs="仿宋"/>
          <w:color w:val="auto"/>
          <w:sz w:val="24"/>
          <w:szCs w:val="24"/>
          <w:highlight w:val="none"/>
          <w:lang w:val="en-US" w:eastAsia="zh-CN"/>
        </w:rPr>
        <w:t>偏离表</w:t>
      </w:r>
    </w:p>
    <w:tbl>
      <w:tblPr>
        <w:tblStyle w:val="31"/>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40"/>
        <w:gridCol w:w="2435"/>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招标文件要求</w:t>
            </w:r>
          </w:p>
        </w:tc>
        <w:tc>
          <w:tcPr>
            <w:tcW w:w="24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投标文件响应</w:t>
            </w: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9"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04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435"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410"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1356"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r>
    </w:tbl>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1、本表须按“第三章 招标内容及要求”中所列商务要求进行比较和响应。</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2、该表必须按照招标文件要求逐条如实填写，根据情况在“偏离情况”项填写正偏离或负偏离或无偏离，在“说明”项填写正偏离或负偏离原因。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3、商务要求不允许负偏离，否则按无效投标处理。</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4、该表可扩展。</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供应商：（供应商全称并加盖公章）</w:t>
      </w: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p>
    <w:p>
      <w:pPr>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99"/>
        <w:keepLines w:val="0"/>
        <w:pageBreakBefore w:val="0"/>
        <w:widowControl/>
        <w:kinsoku/>
        <w:wordWrap/>
        <w:overflowPunct/>
        <w:topLinePunct w:val="0"/>
        <w:autoSpaceDE/>
        <w:autoSpaceDN/>
        <w:bidi w:val="0"/>
        <w:adjustRightInd/>
        <w:snapToGrid/>
        <w:spacing w:before="0" w:beforeLines="0" w:after="0" w:afterLines="0" w:line="360" w:lineRule="auto"/>
        <w:ind w:firstLine="640"/>
        <w:textAlignment w:val="auto"/>
        <w:rPr>
          <w:rFonts w:hint="eastAsia" w:ascii="仿宋" w:eastAsia="仿宋" w:cs="仿宋"/>
          <w:color w:val="auto"/>
          <w:sz w:val="24"/>
          <w:szCs w:val="24"/>
          <w:highlight w:val="none"/>
          <w:lang w:val="en-US" w:eastAsia="zh-CN"/>
        </w:rPr>
      </w:pPr>
      <w:bookmarkStart w:id="124" w:name="_Toc23618"/>
      <w:r>
        <w:rPr>
          <w:rFonts w:hint="eastAsia" w:ascii="仿宋" w:hAnsi="仿宋" w:eastAsia="仿宋" w:cs="仿宋"/>
          <w:color w:val="auto"/>
          <w:sz w:val="24"/>
          <w:szCs w:val="24"/>
          <w:highlight w:val="none"/>
        </w:rPr>
        <w:t>（</w:t>
      </w:r>
      <w:r>
        <w:rPr>
          <w:rFonts w:hint="eastAsia" w:asci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bookmarkEnd w:id="124"/>
      <w:r>
        <w:rPr>
          <w:rFonts w:hint="eastAsia" w:ascii="仿宋" w:hAnsi="仿宋" w:eastAsia="仿宋" w:cs="仿宋"/>
          <w:color w:val="auto"/>
          <w:sz w:val="24"/>
          <w:szCs w:val="24"/>
          <w:highlight w:val="none"/>
          <w:lang w:val="en-US" w:eastAsia="zh-CN"/>
        </w:rPr>
        <w:t>其他需要供应商提供的材料</w:t>
      </w:r>
    </w:p>
    <w:p>
      <w:pPr>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供应商按招标文件的要求，依据评审方法相关内容编写，格式自拟。</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start="1"/>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DQ1MzE1OGZjNzcwNzc3YmIwNjMxNjMwODEyNjcifQ=="/>
  </w:docVars>
  <w:rsids>
    <w:rsidRoot w:val="00172A2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352"/>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A37F6"/>
    <w:rsid w:val="014740E3"/>
    <w:rsid w:val="02465AF1"/>
    <w:rsid w:val="03DA17CC"/>
    <w:rsid w:val="03EE3EEF"/>
    <w:rsid w:val="04864678"/>
    <w:rsid w:val="04DE7BED"/>
    <w:rsid w:val="05045994"/>
    <w:rsid w:val="06017F04"/>
    <w:rsid w:val="068740BF"/>
    <w:rsid w:val="06C91493"/>
    <w:rsid w:val="07517E1B"/>
    <w:rsid w:val="07955F08"/>
    <w:rsid w:val="08566A7B"/>
    <w:rsid w:val="08C13A9D"/>
    <w:rsid w:val="09385C0D"/>
    <w:rsid w:val="099E6310"/>
    <w:rsid w:val="09CB2D7A"/>
    <w:rsid w:val="0AEE023D"/>
    <w:rsid w:val="0B280BE4"/>
    <w:rsid w:val="0B512FB6"/>
    <w:rsid w:val="0B6B18EE"/>
    <w:rsid w:val="0C707A1C"/>
    <w:rsid w:val="0D56766D"/>
    <w:rsid w:val="0F6E2388"/>
    <w:rsid w:val="0F7B5D2E"/>
    <w:rsid w:val="0FA83E07"/>
    <w:rsid w:val="0FAE6C29"/>
    <w:rsid w:val="10D66437"/>
    <w:rsid w:val="11567578"/>
    <w:rsid w:val="12904C0D"/>
    <w:rsid w:val="133F424A"/>
    <w:rsid w:val="14832432"/>
    <w:rsid w:val="14D666C7"/>
    <w:rsid w:val="15BC31A1"/>
    <w:rsid w:val="15C945D1"/>
    <w:rsid w:val="16E47CBE"/>
    <w:rsid w:val="19A52140"/>
    <w:rsid w:val="19C67AAE"/>
    <w:rsid w:val="1D5E1181"/>
    <w:rsid w:val="1FB46444"/>
    <w:rsid w:val="20D36514"/>
    <w:rsid w:val="235A0DAE"/>
    <w:rsid w:val="23D305B4"/>
    <w:rsid w:val="25290DD3"/>
    <w:rsid w:val="256065E7"/>
    <w:rsid w:val="25C910AE"/>
    <w:rsid w:val="26A52AB1"/>
    <w:rsid w:val="27740828"/>
    <w:rsid w:val="27C14101"/>
    <w:rsid w:val="27F324C2"/>
    <w:rsid w:val="28A40771"/>
    <w:rsid w:val="28BF588A"/>
    <w:rsid w:val="28DA74B8"/>
    <w:rsid w:val="28FC3BD8"/>
    <w:rsid w:val="291718D0"/>
    <w:rsid w:val="29B52950"/>
    <w:rsid w:val="29B6075C"/>
    <w:rsid w:val="29EF07EF"/>
    <w:rsid w:val="2A234A1B"/>
    <w:rsid w:val="2CA14286"/>
    <w:rsid w:val="2CB43679"/>
    <w:rsid w:val="2F8F3F29"/>
    <w:rsid w:val="301A6D0F"/>
    <w:rsid w:val="30250D42"/>
    <w:rsid w:val="304E227E"/>
    <w:rsid w:val="32A85A6F"/>
    <w:rsid w:val="32D6161D"/>
    <w:rsid w:val="35064C8D"/>
    <w:rsid w:val="35B64B7C"/>
    <w:rsid w:val="36835F8A"/>
    <w:rsid w:val="374B4BD9"/>
    <w:rsid w:val="385950D4"/>
    <w:rsid w:val="386501FE"/>
    <w:rsid w:val="38D73AF5"/>
    <w:rsid w:val="3BAB0C87"/>
    <w:rsid w:val="3CB66F99"/>
    <w:rsid w:val="3D2C725B"/>
    <w:rsid w:val="3FDE447A"/>
    <w:rsid w:val="40F260C6"/>
    <w:rsid w:val="416A189F"/>
    <w:rsid w:val="43E02B4D"/>
    <w:rsid w:val="44805D1C"/>
    <w:rsid w:val="44FC7513"/>
    <w:rsid w:val="45124F4F"/>
    <w:rsid w:val="4694464B"/>
    <w:rsid w:val="472B23A9"/>
    <w:rsid w:val="48D12427"/>
    <w:rsid w:val="498153FB"/>
    <w:rsid w:val="49946494"/>
    <w:rsid w:val="4A1916A9"/>
    <w:rsid w:val="4B6C3BB1"/>
    <w:rsid w:val="4B6F6FE8"/>
    <w:rsid w:val="4C83127E"/>
    <w:rsid w:val="4E0336C0"/>
    <w:rsid w:val="4E04129A"/>
    <w:rsid w:val="4F367AC5"/>
    <w:rsid w:val="4FA40210"/>
    <w:rsid w:val="4FE85349"/>
    <w:rsid w:val="503963A9"/>
    <w:rsid w:val="515801C7"/>
    <w:rsid w:val="52882340"/>
    <w:rsid w:val="53D52F8C"/>
    <w:rsid w:val="54B82685"/>
    <w:rsid w:val="55012924"/>
    <w:rsid w:val="554C0043"/>
    <w:rsid w:val="555E57D8"/>
    <w:rsid w:val="555E7D76"/>
    <w:rsid w:val="557E6E29"/>
    <w:rsid w:val="571701DC"/>
    <w:rsid w:val="583036D7"/>
    <w:rsid w:val="58354975"/>
    <w:rsid w:val="58CB74D0"/>
    <w:rsid w:val="591311F4"/>
    <w:rsid w:val="5A7140A7"/>
    <w:rsid w:val="5B7A2A9E"/>
    <w:rsid w:val="5DE84EDA"/>
    <w:rsid w:val="5FF5758A"/>
    <w:rsid w:val="603C295B"/>
    <w:rsid w:val="60DF5175"/>
    <w:rsid w:val="624F0696"/>
    <w:rsid w:val="627F6C32"/>
    <w:rsid w:val="652341A2"/>
    <w:rsid w:val="66CC190A"/>
    <w:rsid w:val="685C5CCB"/>
    <w:rsid w:val="68694610"/>
    <w:rsid w:val="68BF3906"/>
    <w:rsid w:val="69F227DB"/>
    <w:rsid w:val="6A7B4289"/>
    <w:rsid w:val="6AF46092"/>
    <w:rsid w:val="6B36262D"/>
    <w:rsid w:val="6C1C7757"/>
    <w:rsid w:val="6C9622F3"/>
    <w:rsid w:val="6D501E32"/>
    <w:rsid w:val="6DA0000F"/>
    <w:rsid w:val="6E417047"/>
    <w:rsid w:val="6E8B52E0"/>
    <w:rsid w:val="6ECA6496"/>
    <w:rsid w:val="6EEA3674"/>
    <w:rsid w:val="6F6D7C2A"/>
    <w:rsid w:val="6F7748D9"/>
    <w:rsid w:val="6F903D73"/>
    <w:rsid w:val="70B7060E"/>
    <w:rsid w:val="71094BE2"/>
    <w:rsid w:val="72113035"/>
    <w:rsid w:val="7254315A"/>
    <w:rsid w:val="730E3B99"/>
    <w:rsid w:val="73581335"/>
    <w:rsid w:val="749133E5"/>
    <w:rsid w:val="754710C2"/>
    <w:rsid w:val="756305D4"/>
    <w:rsid w:val="75865213"/>
    <w:rsid w:val="762629FB"/>
    <w:rsid w:val="76875B46"/>
    <w:rsid w:val="76D36D69"/>
    <w:rsid w:val="780B5882"/>
    <w:rsid w:val="7A0D5743"/>
    <w:rsid w:val="7B024B7C"/>
    <w:rsid w:val="7CBF6234"/>
    <w:rsid w:val="7E416C49"/>
    <w:rsid w:val="7FDF6DBD"/>
    <w:rsid w:val="7FEB4435"/>
    <w:rsid w:val="7FF6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3"/>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64"/>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65"/>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6"/>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7"/>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68"/>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69"/>
    <w:semiHidden/>
    <w:unhideWhenUsed/>
    <w:qFormat/>
    <w:uiPriority w:val="9"/>
    <w:pPr>
      <w:numPr>
        <w:ilvl w:val="6"/>
        <w:numId w:val="1"/>
      </w:numPr>
      <w:spacing w:before="240" w:after="60"/>
      <w:outlineLvl w:val="6"/>
    </w:pPr>
  </w:style>
  <w:style w:type="paragraph" w:styleId="10">
    <w:name w:val="heading 8"/>
    <w:basedOn w:val="1"/>
    <w:next w:val="1"/>
    <w:link w:val="70"/>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1"/>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ind w:right="-84" w:rightChars="-40"/>
      <w:jc w:val="left"/>
    </w:pPr>
    <w:rPr>
      <w:rFonts w:eastAsia="仿宋"/>
    </w:rPr>
  </w:style>
  <w:style w:type="paragraph" w:styleId="12">
    <w:name w:val="Normal Indent"/>
    <w:basedOn w:val="1"/>
    <w:next w:val="13"/>
    <w:qFormat/>
    <w:uiPriority w:val="0"/>
    <w:pPr>
      <w:spacing w:line="300" w:lineRule="auto"/>
      <w:ind w:firstLine="420" w:firstLineChars="200"/>
    </w:pPr>
    <w:rPr>
      <w:rFonts w:ascii="Times New Roman"/>
      <w:kern w:val="2"/>
      <w:sz w:val="21"/>
      <w:szCs w:val="24"/>
    </w:rPr>
  </w:style>
  <w:style w:type="paragraph" w:styleId="13">
    <w:name w:val="toc 4"/>
    <w:basedOn w:val="1"/>
    <w:next w:val="1"/>
    <w:unhideWhenUsed/>
    <w:qFormat/>
    <w:uiPriority w:val="39"/>
    <w:pPr>
      <w:ind w:left="1260" w:leftChars="600"/>
    </w:p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95"/>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87"/>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Indent"/>
    <w:basedOn w:val="1"/>
    <w:next w:val="1"/>
    <w:qFormat/>
    <w:uiPriority w:val="0"/>
    <w:pPr>
      <w:ind w:firstLine="630"/>
    </w:pPr>
    <w:rPr>
      <w:sz w:val="32"/>
      <w:szCs w:val="20"/>
    </w:rPr>
  </w:style>
  <w:style w:type="paragraph" w:styleId="18">
    <w:name w:val="toc 3"/>
    <w:basedOn w:val="1"/>
    <w:next w:val="1"/>
    <w:semiHidden/>
    <w:unhideWhenUsed/>
    <w:qFormat/>
    <w:uiPriority w:val="39"/>
    <w:pPr>
      <w:ind w:left="840" w:leftChars="400"/>
    </w:pPr>
  </w:style>
  <w:style w:type="paragraph" w:styleId="19">
    <w:name w:val="Plain Text"/>
    <w:basedOn w:val="1"/>
    <w:qFormat/>
    <w:uiPriority w:val="0"/>
    <w:rPr>
      <w:rFonts w:ascii="宋体" w:hAnsi="Courier New"/>
    </w:rPr>
  </w:style>
  <w:style w:type="paragraph" w:styleId="20">
    <w:name w:val="Date"/>
    <w:basedOn w:val="1"/>
    <w:next w:val="1"/>
    <w:link w:val="60"/>
    <w:semiHidden/>
    <w:unhideWhenUsed/>
    <w:qFormat/>
    <w:uiPriority w:val="99"/>
    <w:pPr>
      <w:ind w:left="100" w:leftChars="2500"/>
    </w:pPr>
  </w:style>
  <w:style w:type="paragraph" w:styleId="21">
    <w:name w:val="Balloon Text"/>
    <w:basedOn w:val="1"/>
    <w:link w:val="86"/>
    <w:semiHidden/>
    <w:unhideWhenUsed/>
    <w:qFormat/>
    <w:uiPriority w:val="99"/>
    <w:rPr>
      <w:sz w:val="18"/>
      <w:szCs w:val="18"/>
    </w:rPr>
  </w:style>
  <w:style w:type="paragraph" w:styleId="22">
    <w:name w:val="footer"/>
    <w:basedOn w:val="1"/>
    <w:link w:val="62"/>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5">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toc 2"/>
    <w:basedOn w:val="1"/>
    <w:next w:val="1"/>
    <w:semiHidden/>
    <w:unhideWhenUsed/>
    <w:qFormat/>
    <w:uiPriority w:val="39"/>
    <w:pPr>
      <w:ind w:left="420" w:leftChars="200"/>
    </w:pPr>
  </w:style>
  <w:style w:type="paragraph" w:styleId="2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8">
    <w:name w:val="Title"/>
    <w:basedOn w:val="1"/>
    <w:next w:val="1"/>
    <w:link w:val="72"/>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6"/>
    <w:next w:val="16"/>
    <w:link w:val="94"/>
    <w:semiHidden/>
    <w:unhideWhenUsed/>
    <w:qFormat/>
    <w:uiPriority w:val="99"/>
    <w:rPr>
      <w:b/>
      <w:bCs/>
    </w:rPr>
  </w:style>
  <w:style w:type="paragraph" w:styleId="30">
    <w:name w:val="Body Text First Indent"/>
    <w:basedOn w:val="2"/>
    <w:qFormat/>
    <w:uiPriority w:val="0"/>
    <w:pPr>
      <w:ind w:firstLine="420" w:firstLineChars="100"/>
    </w:pPr>
    <w:rPr>
      <w:rFonts w:eastAsia="仿宋"/>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封面大标题"/>
    <w:basedOn w:val="1"/>
    <w:next w:val="1"/>
    <w:qFormat/>
    <w:uiPriority w:val="0"/>
    <w:pPr>
      <w:jc w:val="center"/>
    </w:pPr>
    <w:rPr>
      <w:rFonts w:ascii="华文中宋" w:hAnsi="华文中宋" w:eastAsia="华文中宋"/>
      <w:sz w:val="96"/>
      <w:szCs w:val="96"/>
    </w:rPr>
  </w:style>
  <w:style w:type="paragraph" w:customStyle="1" w:styleId="41">
    <w:name w:val="※封面题颌"/>
    <w:basedOn w:val="1"/>
    <w:next w:val="1"/>
    <w:qFormat/>
    <w:uiPriority w:val="0"/>
    <w:pPr>
      <w:jc w:val="center"/>
    </w:pPr>
    <w:rPr>
      <w:rFonts w:ascii="Calibri Light" w:hAnsi="Calibri Light" w:eastAsia="华文仿宋"/>
      <w:sz w:val="36"/>
      <w:szCs w:val="36"/>
    </w:rPr>
  </w:style>
  <w:style w:type="paragraph" w:customStyle="1" w:styleId="42">
    <w:name w:val="※封面题眉"/>
    <w:basedOn w:val="1"/>
    <w:next w:val="40"/>
    <w:qFormat/>
    <w:uiPriority w:val="0"/>
    <w:pPr>
      <w:jc w:val="center"/>
    </w:pPr>
    <w:rPr>
      <w:rFonts w:ascii="华文仿宋" w:hAnsi="华文仿宋" w:eastAsia="华文仿宋"/>
      <w:sz w:val="52"/>
      <w:szCs w:val="28"/>
    </w:rPr>
  </w:style>
  <w:style w:type="paragraph" w:customStyle="1" w:styleId="43">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4">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5">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小标题 一"/>
    <w:basedOn w:val="47"/>
    <w:next w:val="47"/>
    <w:qFormat/>
    <w:uiPriority w:val="0"/>
    <w:pPr>
      <w:spacing w:before="120" w:line="240" w:lineRule="auto"/>
      <w:outlineLvl w:val="2"/>
    </w:pPr>
    <w:rPr>
      <w:b/>
      <w:color w:val="203864" w:themeColor="accent5" w:themeShade="80"/>
      <w:sz w:val="32"/>
    </w:rPr>
  </w:style>
  <w:style w:type="paragraph" w:customStyle="1" w:styleId="49">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0">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1">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2">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3">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54">
    <w:name w:val="※章节标题（第X章）"/>
    <w:basedOn w:val="1"/>
    <w:qFormat/>
    <w:uiPriority w:val="0"/>
    <w:pPr>
      <w:jc w:val="center"/>
      <w:outlineLvl w:val="0"/>
    </w:pPr>
    <w:rPr>
      <w:rFonts w:ascii="Calibri Light" w:hAnsi="Calibri Light" w:eastAsia="黑体"/>
      <w:sz w:val="36"/>
      <w:szCs w:val="28"/>
    </w:rPr>
  </w:style>
  <w:style w:type="paragraph" w:customStyle="1" w:styleId="55">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6">
    <w:name w:val="※章节标题（第Z部分分项）"/>
    <w:basedOn w:val="55"/>
    <w:qFormat/>
    <w:uiPriority w:val="0"/>
    <w:pPr>
      <w:outlineLvl w:val="2"/>
    </w:pPr>
  </w:style>
  <w:style w:type="paragraph" w:customStyle="1" w:styleId="57">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8">
    <w:name w:val="※正文（缩进2）"/>
    <w:basedOn w:val="47"/>
    <w:qFormat/>
    <w:uiPriority w:val="0"/>
    <w:pPr>
      <w:ind w:firstLine="200" w:firstLineChars="200"/>
    </w:pPr>
  </w:style>
  <w:style w:type="paragraph" w:customStyle="1" w:styleId="59">
    <w:name w:val="※正文（缩进4）"/>
    <w:basedOn w:val="47"/>
    <w:qFormat/>
    <w:uiPriority w:val="0"/>
    <w:pPr>
      <w:ind w:firstLine="400" w:firstLineChars="400"/>
    </w:pPr>
  </w:style>
  <w:style w:type="character" w:customStyle="1" w:styleId="60">
    <w:name w:val="日期 字符"/>
    <w:basedOn w:val="33"/>
    <w:link w:val="20"/>
    <w:semiHidden/>
    <w:qFormat/>
    <w:uiPriority w:val="99"/>
    <w:rPr>
      <w:rFonts w:ascii="华文仿宋" w:hAnsi="华文仿宋" w:eastAsia="华文仿宋"/>
      <w:sz w:val="28"/>
      <w:szCs w:val="28"/>
    </w:rPr>
  </w:style>
  <w:style w:type="character" w:customStyle="1" w:styleId="61">
    <w:name w:val="页眉 字符"/>
    <w:basedOn w:val="33"/>
    <w:link w:val="23"/>
    <w:qFormat/>
    <w:uiPriority w:val="0"/>
    <w:rPr>
      <w:rFonts w:ascii="华文仿宋" w:hAnsi="华文仿宋" w:eastAsia="华文仿宋"/>
      <w:sz w:val="18"/>
      <w:szCs w:val="18"/>
    </w:rPr>
  </w:style>
  <w:style w:type="character" w:customStyle="1" w:styleId="62">
    <w:name w:val="页脚 字符"/>
    <w:basedOn w:val="33"/>
    <w:link w:val="22"/>
    <w:qFormat/>
    <w:uiPriority w:val="99"/>
    <w:rPr>
      <w:rFonts w:ascii="华文仿宋" w:hAnsi="华文仿宋" w:eastAsia="华文仿宋"/>
      <w:sz w:val="18"/>
      <w:szCs w:val="18"/>
    </w:rPr>
  </w:style>
  <w:style w:type="character" w:customStyle="1" w:styleId="63">
    <w:name w:val="标题 1 字符"/>
    <w:basedOn w:val="33"/>
    <w:link w:val="3"/>
    <w:qFormat/>
    <w:uiPriority w:val="9"/>
    <w:rPr>
      <w:rFonts w:ascii="方正小标宋_GBK" w:hAnsi="仿宋" w:eastAsia="方正小标宋_GBK"/>
      <w:sz w:val="44"/>
      <w:szCs w:val="44"/>
    </w:rPr>
  </w:style>
  <w:style w:type="character" w:customStyle="1" w:styleId="64">
    <w:name w:val="标题 2 字符"/>
    <w:basedOn w:val="33"/>
    <w:link w:val="4"/>
    <w:qFormat/>
    <w:uiPriority w:val="9"/>
    <w:rPr>
      <w:rFonts w:ascii="楷体" w:hAnsi="楷体" w:eastAsia="黑体"/>
      <w:sz w:val="32"/>
      <w:szCs w:val="32"/>
    </w:rPr>
  </w:style>
  <w:style w:type="character" w:customStyle="1" w:styleId="65">
    <w:name w:val="标题 3 字符"/>
    <w:basedOn w:val="33"/>
    <w:link w:val="5"/>
    <w:qFormat/>
    <w:uiPriority w:val="9"/>
    <w:rPr>
      <w:rFonts w:ascii="方正小标宋_GBK" w:hAnsi="仿宋" w:eastAsia="方正小标宋_GBK"/>
      <w:sz w:val="36"/>
      <w:szCs w:val="36"/>
    </w:rPr>
  </w:style>
  <w:style w:type="character" w:customStyle="1" w:styleId="66">
    <w:name w:val="标题 4 字符"/>
    <w:basedOn w:val="33"/>
    <w:link w:val="6"/>
    <w:semiHidden/>
    <w:qFormat/>
    <w:uiPriority w:val="9"/>
    <w:rPr>
      <w:rFonts w:cstheme="majorBidi"/>
      <w:b/>
      <w:bCs/>
      <w:sz w:val="28"/>
      <w:szCs w:val="28"/>
    </w:rPr>
  </w:style>
  <w:style w:type="character" w:customStyle="1" w:styleId="67">
    <w:name w:val="标题 5 字符"/>
    <w:basedOn w:val="33"/>
    <w:link w:val="7"/>
    <w:semiHidden/>
    <w:qFormat/>
    <w:uiPriority w:val="9"/>
    <w:rPr>
      <w:b/>
      <w:bCs/>
      <w:i/>
      <w:iCs/>
      <w:sz w:val="26"/>
      <w:szCs w:val="26"/>
    </w:rPr>
  </w:style>
  <w:style w:type="character" w:customStyle="1" w:styleId="68">
    <w:name w:val="标题 6 字符"/>
    <w:basedOn w:val="33"/>
    <w:link w:val="8"/>
    <w:semiHidden/>
    <w:qFormat/>
    <w:uiPriority w:val="9"/>
    <w:rPr>
      <w:rFonts w:cstheme="majorBidi"/>
      <w:b/>
      <w:bCs/>
    </w:rPr>
  </w:style>
  <w:style w:type="character" w:customStyle="1" w:styleId="69">
    <w:name w:val="标题 7 字符"/>
    <w:basedOn w:val="33"/>
    <w:link w:val="9"/>
    <w:semiHidden/>
    <w:qFormat/>
    <w:uiPriority w:val="9"/>
    <w:rPr>
      <w:sz w:val="24"/>
      <w:szCs w:val="24"/>
    </w:rPr>
  </w:style>
  <w:style w:type="character" w:customStyle="1" w:styleId="70">
    <w:name w:val="标题 8 字符"/>
    <w:basedOn w:val="33"/>
    <w:link w:val="10"/>
    <w:semiHidden/>
    <w:qFormat/>
    <w:uiPriority w:val="9"/>
    <w:rPr>
      <w:rFonts w:cstheme="majorBidi"/>
      <w:i/>
      <w:iCs/>
      <w:sz w:val="24"/>
      <w:szCs w:val="24"/>
    </w:rPr>
  </w:style>
  <w:style w:type="character" w:customStyle="1" w:styleId="71">
    <w:name w:val="标题 9 字符"/>
    <w:basedOn w:val="33"/>
    <w:link w:val="11"/>
    <w:semiHidden/>
    <w:qFormat/>
    <w:uiPriority w:val="9"/>
    <w:rPr>
      <w:rFonts w:asciiTheme="majorHAnsi" w:hAnsiTheme="majorHAnsi" w:eastAsiaTheme="majorEastAsia" w:cstheme="majorBidi"/>
    </w:rPr>
  </w:style>
  <w:style w:type="character" w:customStyle="1" w:styleId="72">
    <w:name w:val="标题 字符"/>
    <w:basedOn w:val="33"/>
    <w:link w:val="28"/>
    <w:qFormat/>
    <w:uiPriority w:val="10"/>
    <w:rPr>
      <w:rFonts w:asciiTheme="majorHAnsi" w:hAnsiTheme="majorHAnsi" w:eastAsiaTheme="majorEastAsia" w:cstheme="majorBidi"/>
      <w:b/>
      <w:bCs/>
      <w:kern w:val="28"/>
      <w:sz w:val="32"/>
      <w:szCs w:val="32"/>
    </w:rPr>
  </w:style>
  <w:style w:type="character" w:customStyle="1" w:styleId="73">
    <w:name w:val="副标题 字符"/>
    <w:basedOn w:val="33"/>
    <w:link w:val="25"/>
    <w:qFormat/>
    <w:uiPriority w:val="11"/>
    <w:rPr>
      <w:rFonts w:ascii="Calibri" w:hAnsi="Calibri" w:eastAsia="黑体" w:cstheme="majorBidi"/>
      <w:sz w:val="32"/>
      <w:szCs w:val="24"/>
    </w:rPr>
  </w:style>
  <w:style w:type="paragraph" w:styleId="74">
    <w:name w:val="No Spacing"/>
    <w:basedOn w:val="1"/>
    <w:qFormat/>
    <w:uiPriority w:val="1"/>
    <w:rPr>
      <w:szCs w:val="32"/>
    </w:rPr>
  </w:style>
  <w:style w:type="paragraph" w:styleId="75">
    <w:name w:val="List Paragraph"/>
    <w:basedOn w:val="1"/>
    <w:qFormat/>
    <w:uiPriority w:val="0"/>
    <w:pPr>
      <w:ind w:left="720"/>
      <w:contextualSpacing/>
    </w:pPr>
  </w:style>
  <w:style w:type="paragraph" w:styleId="76">
    <w:name w:val="Quote"/>
    <w:basedOn w:val="1"/>
    <w:next w:val="1"/>
    <w:link w:val="77"/>
    <w:qFormat/>
    <w:uiPriority w:val="29"/>
    <w:rPr>
      <w:i/>
    </w:rPr>
  </w:style>
  <w:style w:type="character" w:customStyle="1" w:styleId="77">
    <w:name w:val="引用 字符"/>
    <w:basedOn w:val="33"/>
    <w:link w:val="76"/>
    <w:qFormat/>
    <w:uiPriority w:val="29"/>
    <w:rPr>
      <w:i/>
      <w:sz w:val="24"/>
      <w:szCs w:val="24"/>
    </w:rPr>
  </w:style>
  <w:style w:type="paragraph" w:styleId="78">
    <w:name w:val="Intense Quote"/>
    <w:basedOn w:val="1"/>
    <w:next w:val="1"/>
    <w:link w:val="79"/>
    <w:qFormat/>
    <w:uiPriority w:val="30"/>
    <w:pPr>
      <w:ind w:left="720" w:right="720"/>
    </w:pPr>
    <w:rPr>
      <w:b/>
      <w:i/>
      <w:szCs w:val="22"/>
    </w:rPr>
  </w:style>
  <w:style w:type="character" w:customStyle="1" w:styleId="79">
    <w:name w:val="明显引用 字符"/>
    <w:basedOn w:val="33"/>
    <w:link w:val="78"/>
    <w:qFormat/>
    <w:uiPriority w:val="30"/>
    <w:rPr>
      <w:b/>
      <w:i/>
      <w:sz w:val="24"/>
    </w:rPr>
  </w:style>
  <w:style w:type="character" w:customStyle="1" w:styleId="80">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1">
    <w:name w:val="Intense Emphasis"/>
    <w:basedOn w:val="33"/>
    <w:qFormat/>
    <w:uiPriority w:val="21"/>
    <w:rPr>
      <w:b/>
      <w:i/>
      <w:sz w:val="24"/>
      <w:szCs w:val="24"/>
      <w:u w:val="single"/>
    </w:rPr>
  </w:style>
  <w:style w:type="character" w:customStyle="1" w:styleId="82">
    <w:name w:val="Subtle Reference"/>
    <w:basedOn w:val="33"/>
    <w:qFormat/>
    <w:uiPriority w:val="31"/>
    <w:rPr>
      <w:sz w:val="24"/>
      <w:szCs w:val="24"/>
      <w:u w:val="single"/>
    </w:rPr>
  </w:style>
  <w:style w:type="character" w:customStyle="1" w:styleId="83">
    <w:name w:val="Intense Reference"/>
    <w:basedOn w:val="33"/>
    <w:qFormat/>
    <w:uiPriority w:val="32"/>
    <w:rPr>
      <w:b/>
      <w:sz w:val="24"/>
      <w:u w:val="single"/>
    </w:rPr>
  </w:style>
  <w:style w:type="character" w:customStyle="1" w:styleId="84">
    <w:name w:val="Book Title"/>
    <w:basedOn w:val="33"/>
    <w:qFormat/>
    <w:uiPriority w:val="33"/>
    <w:rPr>
      <w:rFonts w:asciiTheme="majorHAnsi" w:hAnsiTheme="majorHAnsi" w:eastAsiaTheme="majorEastAsia"/>
      <w:b/>
      <w:i/>
      <w:sz w:val="24"/>
      <w:szCs w:val="24"/>
    </w:rPr>
  </w:style>
  <w:style w:type="paragraph" w:customStyle="1" w:styleId="85">
    <w:name w:val="TOC Heading"/>
    <w:basedOn w:val="3"/>
    <w:next w:val="1"/>
    <w:semiHidden/>
    <w:unhideWhenUsed/>
    <w:qFormat/>
    <w:uiPriority w:val="39"/>
    <w:pPr>
      <w:outlineLvl w:val="9"/>
    </w:pPr>
  </w:style>
  <w:style w:type="character" w:customStyle="1" w:styleId="86">
    <w:name w:val="批注框文本 字符"/>
    <w:basedOn w:val="33"/>
    <w:link w:val="21"/>
    <w:semiHidden/>
    <w:qFormat/>
    <w:uiPriority w:val="99"/>
    <w:rPr>
      <w:sz w:val="18"/>
      <w:szCs w:val="18"/>
    </w:rPr>
  </w:style>
  <w:style w:type="character" w:customStyle="1" w:styleId="87">
    <w:name w:val="批注文字 字符"/>
    <w:basedOn w:val="33"/>
    <w:link w:val="16"/>
    <w:qFormat/>
    <w:uiPriority w:val="99"/>
    <w:rPr>
      <w:rFonts w:ascii="Calibri Light" w:hAnsi="Calibri Light" w:eastAsia="华文仿宋" w:cs="Calibri Light"/>
      <w:kern w:val="2"/>
      <w:sz w:val="28"/>
      <w:szCs w:val="28"/>
    </w:rPr>
  </w:style>
  <w:style w:type="paragraph" w:customStyle="1" w:styleId="88">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9">
    <w:name w:val="@一级小标题"/>
    <w:basedOn w:val="1"/>
    <w:next w:val="88"/>
    <w:qFormat/>
    <w:uiPriority w:val="0"/>
    <w:pPr>
      <w:keepNext/>
      <w:spacing w:before="120" w:after="60"/>
      <w:outlineLvl w:val="2"/>
    </w:pPr>
    <w:rPr>
      <w:rFonts w:ascii="Calibri" w:hAnsi="Calibri" w:eastAsia="黑体"/>
      <w:kern w:val="28"/>
      <w:sz w:val="28"/>
    </w:rPr>
  </w:style>
  <w:style w:type="paragraph" w:customStyle="1" w:styleId="90">
    <w:name w:val="@标题"/>
    <w:basedOn w:val="1"/>
    <w:next w:val="88"/>
    <w:qFormat/>
    <w:uiPriority w:val="0"/>
    <w:pPr>
      <w:keepNext/>
      <w:spacing w:before="50" w:beforeLines="50" w:after="50" w:afterLines="50"/>
      <w:jc w:val="center"/>
      <w:outlineLvl w:val="1"/>
    </w:pPr>
    <w:rPr>
      <w:rFonts w:ascii="Calibri" w:hAnsi="Calibri" w:eastAsia="黑体"/>
      <w:kern w:val="32"/>
      <w:sz w:val="32"/>
    </w:rPr>
  </w:style>
  <w:style w:type="table" w:customStyle="1" w:styleId="91">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页眉 Char1"/>
    <w:basedOn w:val="33"/>
    <w:semiHidden/>
    <w:qFormat/>
    <w:uiPriority w:val="99"/>
    <w:rPr>
      <w:rFonts w:cs="Calibri Light"/>
      <w:sz w:val="18"/>
      <w:szCs w:val="18"/>
    </w:rPr>
  </w:style>
  <w:style w:type="character" w:customStyle="1" w:styleId="93">
    <w:name w:val="页脚 Char1"/>
    <w:basedOn w:val="33"/>
    <w:semiHidden/>
    <w:qFormat/>
    <w:uiPriority w:val="99"/>
    <w:rPr>
      <w:rFonts w:cs="Calibri Light"/>
      <w:sz w:val="18"/>
      <w:szCs w:val="18"/>
    </w:rPr>
  </w:style>
  <w:style w:type="character" w:customStyle="1" w:styleId="94">
    <w:name w:val="批注主题 字符"/>
    <w:basedOn w:val="87"/>
    <w:link w:val="29"/>
    <w:semiHidden/>
    <w:qFormat/>
    <w:uiPriority w:val="99"/>
    <w:rPr>
      <w:rFonts w:ascii="Calibri Light" w:hAnsi="Calibri Light" w:eastAsia="华文仿宋" w:cs="Calibri Light"/>
      <w:b/>
      <w:bCs/>
      <w:kern w:val="2"/>
      <w:sz w:val="28"/>
      <w:szCs w:val="28"/>
    </w:rPr>
  </w:style>
  <w:style w:type="character" w:customStyle="1" w:styleId="95">
    <w:name w:val="文档结构图 字符"/>
    <w:basedOn w:val="33"/>
    <w:link w:val="15"/>
    <w:semiHidden/>
    <w:qFormat/>
    <w:uiPriority w:val="99"/>
    <w:rPr>
      <w:rFonts w:ascii="宋体" w:hAnsi="Calibri Light" w:eastAsia="宋体" w:cs="Calibri Light"/>
      <w:kern w:val="2"/>
      <w:sz w:val="18"/>
      <w:szCs w:val="18"/>
    </w:rPr>
  </w:style>
  <w:style w:type="character" w:styleId="96">
    <w:name w:val="Placeholder Text"/>
    <w:basedOn w:val="33"/>
    <w:semiHidden/>
    <w:qFormat/>
    <w:uiPriority w:val="99"/>
    <w:rPr>
      <w:color w:val="808080"/>
    </w:rPr>
  </w:style>
  <w:style w:type="character" w:customStyle="1" w:styleId="97">
    <w:name w:val="Unresolved Mention"/>
    <w:basedOn w:val="33"/>
    <w:semiHidden/>
    <w:unhideWhenUsed/>
    <w:qFormat/>
    <w:uiPriority w:val="99"/>
    <w:rPr>
      <w:color w:val="605E5C"/>
      <w:shd w:val="clear" w:color="auto" w:fill="E1DFDD"/>
    </w:rPr>
  </w:style>
  <w:style w:type="paragraph" w:customStyle="1" w:styleId="98">
    <w:name w:val="样式1"/>
    <w:basedOn w:val="5"/>
    <w:link w:val="100"/>
    <w:qFormat/>
    <w:uiPriority w:val="0"/>
    <w:pPr>
      <w:jc w:val="left"/>
    </w:pPr>
    <w:rPr>
      <w:rFonts w:eastAsia="楷体"/>
      <w:sz w:val="32"/>
    </w:rPr>
  </w:style>
  <w:style w:type="paragraph" w:customStyle="1" w:styleId="99">
    <w:name w:val="样式2"/>
    <w:basedOn w:val="90"/>
    <w:link w:val="102"/>
    <w:qFormat/>
    <w:uiPriority w:val="0"/>
    <w:pPr>
      <w:spacing w:line="560" w:lineRule="exact"/>
      <w:ind w:firstLine="643" w:firstLineChars="200"/>
      <w:jc w:val="both"/>
    </w:pPr>
    <w:rPr>
      <w:rFonts w:ascii="仿宋_GB2312" w:hAnsi="仿宋" w:eastAsia="仿宋_GB2312"/>
      <w:b/>
      <w:bCs/>
      <w:szCs w:val="32"/>
    </w:rPr>
  </w:style>
  <w:style w:type="character" w:customStyle="1" w:styleId="100">
    <w:name w:val="样式1 字符"/>
    <w:basedOn w:val="64"/>
    <w:link w:val="98"/>
    <w:qFormat/>
    <w:uiPriority w:val="0"/>
    <w:rPr>
      <w:rFonts w:ascii="方正小标宋_GBK" w:hAnsi="仿宋" w:eastAsia="楷体"/>
      <w:sz w:val="32"/>
      <w:szCs w:val="36"/>
    </w:rPr>
  </w:style>
  <w:style w:type="paragraph" w:customStyle="1" w:styleId="101">
    <w:name w:val="样式3"/>
    <w:basedOn w:val="1"/>
    <w:link w:val="103"/>
    <w:qFormat/>
    <w:uiPriority w:val="0"/>
    <w:pPr>
      <w:spacing w:line="560" w:lineRule="exact"/>
      <w:jc w:val="center"/>
    </w:pPr>
    <w:rPr>
      <w:rFonts w:ascii="方正小标宋_GBK" w:hAnsi="仿宋" w:eastAsia="方正小标宋_GBK"/>
      <w:sz w:val="36"/>
      <w:szCs w:val="36"/>
    </w:rPr>
  </w:style>
  <w:style w:type="character" w:customStyle="1" w:styleId="102">
    <w:name w:val="样式2 字符"/>
    <w:basedOn w:val="33"/>
    <w:link w:val="99"/>
    <w:qFormat/>
    <w:uiPriority w:val="0"/>
    <w:rPr>
      <w:rFonts w:ascii="仿宋_GB2312" w:hAnsi="仿宋" w:eastAsia="仿宋_GB2312"/>
      <w:b/>
      <w:bCs/>
      <w:kern w:val="32"/>
      <w:sz w:val="32"/>
      <w:szCs w:val="32"/>
    </w:rPr>
  </w:style>
  <w:style w:type="character" w:customStyle="1" w:styleId="103">
    <w:name w:val="样式3 字符"/>
    <w:basedOn w:val="33"/>
    <w:link w:val="101"/>
    <w:qFormat/>
    <w:uiPriority w:val="0"/>
    <w:rPr>
      <w:rFonts w:ascii="方正小标宋_GBK" w:hAnsi="仿宋" w:eastAsia="方正小标宋_GBK"/>
      <w:sz w:val="36"/>
      <w:szCs w:val="36"/>
    </w:rPr>
  </w:style>
  <w:style w:type="paragraph" w:customStyle="1" w:styleId="104">
    <w:name w:val="列出段落1"/>
    <w:basedOn w:val="1"/>
    <w:qFormat/>
    <w:uiPriority w:val="99"/>
    <w:pPr>
      <w:ind w:firstLine="420" w:firstLineChars="200"/>
    </w:pPr>
  </w:style>
  <w:style w:type="paragraph" w:customStyle="1" w:styleId="105">
    <w:name w:val="列出段落2"/>
    <w:basedOn w:val="1"/>
    <w:qFormat/>
    <w:uiPriority w:val="34"/>
    <w:pPr>
      <w:ind w:firstLine="420" w:firstLineChars="200"/>
    </w:pPr>
    <w:rPr>
      <w:rFonts w:ascii="等线" w:hAnsi="等线"/>
      <w:szCs w:val="22"/>
    </w:rPr>
  </w:style>
  <w:style w:type="character" w:customStyle="1" w:styleId="106">
    <w:name w:val="font21"/>
    <w:basedOn w:val="33"/>
    <w:qFormat/>
    <w:uiPriority w:val="0"/>
    <w:rPr>
      <w:rFonts w:hint="eastAsia" w:ascii="微软雅黑" w:hAnsi="微软雅黑" w:eastAsia="微软雅黑" w:cs="微软雅黑"/>
      <w:b/>
      <w:bCs/>
      <w:color w:val="000000"/>
      <w:sz w:val="20"/>
      <w:szCs w:val="20"/>
      <w:u w:val="none"/>
    </w:rPr>
  </w:style>
  <w:style w:type="paragraph" w:customStyle="1" w:styleId="107">
    <w:name w:val="样式 首行缩进:  2 字符"/>
    <w:basedOn w:val="1"/>
    <w:qFormat/>
    <w:uiPriority w:val="0"/>
    <w:pPr>
      <w:spacing w:line="400" w:lineRule="exact"/>
      <w:ind w:firstLine="200" w:firstLineChars="200"/>
    </w:pPr>
    <w:rPr>
      <w:rFonts w:ascii="Calibri" w:hAnsi="Calibri" w:cs="宋体"/>
      <w:sz w:val="24"/>
      <w:szCs w:val="24"/>
    </w:rPr>
  </w:style>
  <w:style w:type="paragraph" w:customStyle="1" w:styleId="108">
    <w:name w:val="正文空2格  1."/>
    <w:basedOn w:val="1"/>
    <w:qFormat/>
    <w:uiPriority w:val="99"/>
    <w:pPr>
      <w:widowControl w:val="0"/>
      <w:snapToGrid/>
      <w:spacing w:after="0" w:line="360" w:lineRule="auto"/>
      <w:ind w:firstLine="480" w:firstLineChars="200"/>
      <w:jc w:val="both"/>
    </w:pPr>
    <w:rPr>
      <w:rFonts w:ascii="宋体" w:hAnsi="Times New Roman" w:eastAsia="仿宋" w:cs="宋体"/>
      <w:sz w:val="28"/>
      <w:szCs w:val="28"/>
    </w:rPr>
  </w:style>
  <w:style w:type="table" w:customStyle="1" w:styleId="109">
    <w:name w:val="Table Normal"/>
    <w:semiHidden/>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82</Pages>
  <Words>44656</Words>
  <Characters>49510</Characters>
  <Lines>1035</Lines>
  <Paragraphs>716</Paragraphs>
  <TotalTime>4</TotalTime>
  <ScaleCrop>false</ScaleCrop>
  <LinksUpToDate>false</LinksUpToDate>
  <CharactersWithSpaces>50823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Jorva</cp:lastModifiedBy>
  <cp:lastPrinted>2022-04-09T07:59:00Z</cp:lastPrinted>
  <dcterms:modified xsi:type="dcterms:W3CDTF">2023-11-30T03:44:24Z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7D6DACE810C3407FB3AB534A5E33A25D</vt:lpwstr>
  </property>
</Properties>
</file>