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line="360" w:lineRule="auto"/>
        <w:rPr>
          <w:rStyle w:val="5"/>
          <w:rFonts w:ascii="宋体"/>
          <w:b/>
          <w:bCs/>
          <w:color w:val="000000"/>
          <w:sz w:val="21"/>
          <w:szCs w:val="21"/>
          <w:u w:val="none"/>
          <w:lang w:val="zh-CN"/>
        </w:rPr>
      </w:pPr>
      <w:r>
        <w:rPr>
          <w:rStyle w:val="5"/>
          <w:rFonts w:hint="eastAsia" w:ascii="宋体" w:hAnsi="宋体"/>
          <w:b/>
          <w:bCs/>
          <w:color w:val="000000"/>
          <w:sz w:val="21"/>
          <w:szCs w:val="21"/>
          <w:u w:val="none"/>
          <w:lang w:val="zh-CN"/>
        </w:rPr>
        <w:t>一、采购内容</w:t>
      </w:r>
    </w:p>
    <w:p>
      <w:pPr>
        <w:snapToGrid w:val="0"/>
        <w:spacing w:line="360" w:lineRule="auto"/>
        <w:ind w:firstLine="420" w:firstLineChars="200"/>
        <w:rPr>
          <w:rStyle w:val="5"/>
          <w:rFonts w:ascii="宋体" w:hAnsi="宋体"/>
          <w:szCs w:val="21"/>
          <w:lang w:val="zh-CN"/>
        </w:rPr>
      </w:pPr>
      <w:r>
        <w:rPr>
          <w:rStyle w:val="5"/>
          <w:rFonts w:hint="eastAsia" w:ascii="宋体" w:hAnsi="宋体"/>
          <w:szCs w:val="21"/>
        </w:rPr>
        <w:t>采购</w:t>
      </w:r>
      <w:r>
        <w:rPr>
          <w:rStyle w:val="5"/>
          <w:rFonts w:hint="eastAsia" w:ascii="宋体" w:hAnsi="宋体"/>
          <w:szCs w:val="21"/>
          <w:lang w:val="zh-CN"/>
        </w:rPr>
        <w:t>内容包括石材的采购、制作、加工、设计、雕刻、运输（因场地局限需要小车短驳）、验收、安装、配套设施（包括不局限于绿化、道路等），合同履行过程中根据不同时期采购人实际需求（如对墓碑的材质、款式、雕花、纂刻、配套设施等方面）进行设计制作等。</w:t>
      </w:r>
    </w:p>
    <w:p>
      <w:pPr>
        <w:pStyle w:val="4"/>
        <w:snapToGrid w:val="0"/>
        <w:spacing w:line="360" w:lineRule="auto"/>
        <w:rPr>
          <w:rStyle w:val="5"/>
          <w:sz w:val="21"/>
          <w:szCs w:val="21"/>
          <w:u w:val="none"/>
        </w:rPr>
      </w:pPr>
      <w:r>
        <w:rPr>
          <w:rStyle w:val="5"/>
          <w:rFonts w:hint="eastAsia" w:ascii="宋体" w:hAnsi="宋体"/>
          <w:b/>
          <w:bCs/>
          <w:color w:val="000000"/>
          <w:sz w:val="21"/>
          <w:szCs w:val="21"/>
          <w:u w:val="none"/>
          <w:lang w:val="zh-CN"/>
        </w:rPr>
        <w:t>二、采购要求</w:t>
      </w:r>
    </w:p>
    <w:p>
      <w:pPr>
        <w:snapToGrid w:val="0"/>
        <w:spacing w:line="360" w:lineRule="auto"/>
        <w:ind w:firstLine="420" w:firstLineChars="200"/>
        <w:rPr>
          <w:rStyle w:val="5"/>
          <w:rFonts w:ascii="宋体"/>
          <w:szCs w:val="21"/>
          <w:lang w:val="zh-CN"/>
        </w:rPr>
      </w:pPr>
      <w:r>
        <w:rPr>
          <w:rStyle w:val="5"/>
          <w:rFonts w:ascii="宋体" w:hAnsi="宋体"/>
          <w:szCs w:val="21"/>
          <w:lang w:val="zh-CN"/>
        </w:rPr>
        <w:t>1</w:t>
      </w:r>
      <w:r>
        <w:rPr>
          <w:rStyle w:val="5"/>
          <w:rFonts w:hint="eastAsia" w:ascii="宋体" w:hAnsi="宋体"/>
          <w:szCs w:val="21"/>
          <w:lang w:val="zh-CN"/>
        </w:rPr>
        <w:t>、根据不同品种与石材自身可达到的要求尽量减少色差，不符合要求的石材损失由投标方自行承担，要求所有石材的花纹和色差过渡色尽可能的调整到最佳状态。要求同一批石材的色调、花纹应该基本调和，优等品中不允许有外观缺陷。</w:t>
      </w:r>
    </w:p>
    <w:p>
      <w:pPr>
        <w:snapToGrid w:val="0"/>
        <w:spacing w:line="360" w:lineRule="auto"/>
        <w:ind w:firstLine="420" w:firstLineChars="200"/>
        <w:rPr>
          <w:rStyle w:val="5"/>
          <w:rFonts w:ascii="宋体"/>
          <w:szCs w:val="21"/>
          <w:lang w:val="zh-CN"/>
        </w:rPr>
      </w:pPr>
      <w:r>
        <w:rPr>
          <w:rStyle w:val="5"/>
          <w:rFonts w:hint="eastAsia" w:ascii="宋体" w:hAnsi="宋体"/>
          <w:szCs w:val="21"/>
        </w:rPr>
        <w:t>2</w:t>
      </w:r>
      <w:r>
        <w:rPr>
          <w:rStyle w:val="5"/>
          <w:rFonts w:hint="eastAsia" w:ascii="宋体" w:hAnsi="宋体"/>
          <w:szCs w:val="21"/>
          <w:lang w:val="zh-CN"/>
        </w:rPr>
        <w:t>、保证所有石材在室外</w:t>
      </w:r>
      <w:r>
        <w:rPr>
          <w:rStyle w:val="5"/>
          <w:rFonts w:ascii="宋体" w:hAnsi="宋体"/>
          <w:szCs w:val="21"/>
          <w:lang w:val="zh-CN"/>
        </w:rPr>
        <w:t>10</w:t>
      </w:r>
      <w:r>
        <w:rPr>
          <w:rStyle w:val="5"/>
          <w:rFonts w:hint="eastAsia" w:ascii="宋体" w:hAnsi="宋体"/>
          <w:szCs w:val="21"/>
          <w:lang w:val="zh-CN"/>
        </w:rPr>
        <w:t>年以上不变色，不褪色。</w:t>
      </w:r>
    </w:p>
    <w:p>
      <w:pPr>
        <w:snapToGrid w:val="0"/>
        <w:spacing w:line="360" w:lineRule="auto"/>
        <w:ind w:firstLine="420" w:firstLineChars="200"/>
        <w:rPr>
          <w:rStyle w:val="5"/>
          <w:rFonts w:ascii="宋体"/>
          <w:szCs w:val="21"/>
          <w:lang w:val="zh-CN"/>
        </w:rPr>
      </w:pPr>
      <w:r>
        <w:rPr>
          <w:rStyle w:val="5"/>
          <w:rFonts w:hint="eastAsia" w:ascii="宋体" w:hAnsi="宋体"/>
          <w:szCs w:val="21"/>
        </w:rPr>
        <w:t>3</w:t>
      </w:r>
      <w:r>
        <w:rPr>
          <w:rStyle w:val="5"/>
          <w:rFonts w:hint="eastAsia" w:ascii="宋体" w:hAnsi="宋体"/>
          <w:szCs w:val="21"/>
          <w:lang w:val="zh-CN"/>
        </w:rPr>
        <w:t>、配套道路都要用石材的，并做</w:t>
      </w:r>
      <w:r>
        <w:rPr>
          <w:rStyle w:val="5"/>
          <w:rFonts w:ascii="宋体" w:hAnsi="宋体"/>
          <w:szCs w:val="21"/>
          <w:lang w:val="zh-CN"/>
        </w:rPr>
        <w:t>30</w:t>
      </w:r>
      <w:r>
        <w:rPr>
          <w:rStyle w:val="5"/>
          <w:rFonts w:hint="eastAsia" w:ascii="宋体" w:hAnsi="宋体"/>
          <w:szCs w:val="21"/>
          <w:lang w:val="zh-CN"/>
        </w:rPr>
        <w:t>公分三七灰土底层，其上还要有</w:t>
      </w:r>
      <w:r>
        <w:rPr>
          <w:rStyle w:val="5"/>
          <w:rFonts w:ascii="宋体" w:hAnsi="宋体"/>
          <w:szCs w:val="21"/>
          <w:lang w:val="zh-CN"/>
        </w:rPr>
        <w:t>15</w:t>
      </w:r>
      <w:r>
        <w:rPr>
          <w:rStyle w:val="5"/>
          <w:rFonts w:hint="eastAsia" w:ascii="宋体" w:hAnsi="宋体"/>
          <w:szCs w:val="21"/>
          <w:lang w:val="zh-CN"/>
        </w:rPr>
        <w:t>公分沙石垫层，再后来才能铺石材路面。同时配套墓碑道路标识，在铺设道路石才上按照建墓排序完成。</w:t>
      </w:r>
    </w:p>
    <w:p>
      <w:pPr>
        <w:snapToGrid w:val="0"/>
        <w:spacing w:line="360" w:lineRule="auto"/>
        <w:ind w:firstLine="420" w:firstLineChars="200"/>
        <w:rPr>
          <w:rStyle w:val="5"/>
          <w:rFonts w:ascii="宋体"/>
          <w:szCs w:val="21"/>
          <w:lang w:val="zh-CN"/>
        </w:rPr>
      </w:pPr>
      <w:r>
        <w:rPr>
          <w:rStyle w:val="5"/>
          <w:rFonts w:hint="eastAsia" w:ascii="宋体" w:hAnsi="宋体"/>
          <w:szCs w:val="21"/>
        </w:rPr>
        <w:t>4</w:t>
      </w:r>
      <w:r>
        <w:rPr>
          <w:rStyle w:val="5"/>
          <w:rFonts w:hint="eastAsia" w:ascii="宋体" w:hAnsi="宋体"/>
          <w:szCs w:val="21"/>
          <w:lang w:val="zh-CN"/>
        </w:rPr>
        <w:t>、配套绿化需要多种类、多色彩植物，墓体周围美化种植。</w:t>
      </w:r>
    </w:p>
    <w:p>
      <w:pPr>
        <w:pStyle w:val="6"/>
        <w:snapToGrid w:val="0"/>
        <w:spacing w:line="360" w:lineRule="auto"/>
        <w:ind w:firstLine="420" w:firstLineChars="200"/>
        <w:jc w:val="both"/>
        <w:rPr>
          <w:rStyle w:val="5"/>
          <w:rFonts w:ascii="宋体"/>
          <w:szCs w:val="21"/>
        </w:rPr>
      </w:pPr>
      <w:r>
        <w:rPr>
          <w:rStyle w:val="5"/>
          <w:rFonts w:hint="eastAsia" w:ascii="宋体" w:hAnsi="宋体"/>
          <w:szCs w:val="21"/>
        </w:rPr>
        <w:t>5、传统碑型绿化部分应包含但不限于红叶石楠、金叶女贞、黄杨、南天竹、月季等同品质矮小灌木。</w:t>
      </w:r>
    </w:p>
    <w:p>
      <w:pPr>
        <w:snapToGrid w:val="0"/>
        <w:spacing w:line="360" w:lineRule="auto"/>
        <w:ind w:firstLine="420" w:firstLineChars="200"/>
        <w:rPr>
          <w:rStyle w:val="5"/>
        </w:rPr>
      </w:pPr>
      <w:r>
        <w:rPr>
          <w:rStyle w:val="5"/>
          <w:rFonts w:hint="eastAsia" w:ascii="宋体" w:hAnsi="宋体"/>
          <w:szCs w:val="21"/>
        </w:rPr>
        <w:t>6、墓碑间隙</w:t>
      </w:r>
      <w:r>
        <w:rPr>
          <w:rStyle w:val="5"/>
          <w:rFonts w:ascii="宋体" w:hAnsi="宋体"/>
          <w:szCs w:val="21"/>
        </w:rPr>
        <w:t>20-30</w:t>
      </w:r>
      <w:r>
        <w:rPr>
          <w:rStyle w:val="5"/>
          <w:rFonts w:hint="eastAsia" w:ascii="宋体" w:hAnsi="宋体"/>
          <w:szCs w:val="21"/>
        </w:rPr>
        <w:t>公分宽高度不高于墓碑的高度。</w:t>
      </w:r>
    </w:p>
    <w:p>
      <w:pPr>
        <w:snapToGrid w:val="0"/>
        <w:spacing w:line="360" w:lineRule="auto"/>
        <w:ind w:firstLine="420" w:firstLineChars="200"/>
        <w:rPr>
          <w:rStyle w:val="5"/>
          <w:rFonts w:ascii="宋体"/>
          <w:szCs w:val="21"/>
          <w:lang w:val="zh-CN"/>
        </w:rPr>
      </w:pPr>
      <w:r>
        <w:rPr>
          <w:rStyle w:val="5"/>
          <w:rFonts w:hint="eastAsia" w:ascii="宋体" w:hAnsi="宋体"/>
          <w:szCs w:val="21"/>
        </w:rPr>
        <w:t>7</w:t>
      </w:r>
      <w:r>
        <w:rPr>
          <w:rStyle w:val="5"/>
          <w:rFonts w:hint="eastAsia" w:ascii="宋体" w:hAnsi="宋体"/>
          <w:szCs w:val="21"/>
          <w:lang w:val="zh-CN"/>
        </w:rPr>
        <w:t>、新型材料。</w:t>
      </w:r>
    </w:p>
    <w:p>
      <w:pPr>
        <w:snapToGrid w:val="0"/>
        <w:spacing w:line="360" w:lineRule="auto"/>
        <w:ind w:firstLine="422" w:firstLineChars="200"/>
        <w:rPr>
          <w:rStyle w:val="5"/>
          <w:rFonts w:ascii="宋体" w:hAnsi="宋体"/>
          <w:b/>
          <w:bCs/>
          <w:szCs w:val="21"/>
          <w:lang w:val="zh-CN"/>
        </w:rPr>
      </w:pPr>
    </w:p>
    <w:p>
      <w:pPr>
        <w:snapToGrid w:val="0"/>
        <w:spacing w:line="360" w:lineRule="auto"/>
        <w:jc w:val="center"/>
        <w:rPr>
          <w:rStyle w:val="5"/>
          <w:rFonts w:hint="default" w:ascii="宋体" w:eastAsia="宋体"/>
          <w:b/>
          <w:color w:val="000000"/>
          <w:szCs w:val="21"/>
          <w:u w:val="single" w:color="000000"/>
          <w:lang w:val="en-US" w:eastAsia="zh-CN"/>
        </w:rPr>
      </w:pPr>
      <w:r>
        <w:rPr>
          <w:rStyle w:val="5"/>
          <w:rFonts w:hint="eastAsia" w:ascii="宋体" w:hAnsi="宋体"/>
          <w:b/>
          <w:bCs/>
          <w:szCs w:val="21"/>
          <w:lang w:val="zh-CN"/>
        </w:rPr>
        <w:br w:type="page"/>
      </w:r>
      <w:r>
        <w:rPr>
          <w:rStyle w:val="5"/>
          <w:rFonts w:hint="eastAsia" w:ascii="宋体" w:hAnsi="宋体"/>
          <w:b/>
          <w:bCs/>
          <w:sz w:val="28"/>
          <w:szCs w:val="28"/>
        </w:rPr>
        <w:t>采购清单</w:t>
      </w:r>
      <w:r>
        <w:rPr>
          <w:rStyle w:val="5"/>
          <w:rFonts w:hint="eastAsia" w:ascii="宋体" w:hAnsi="宋体"/>
          <w:b/>
          <w:bCs/>
          <w:sz w:val="28"/>
          <w:szCs w:val="28"/>
          <w:lang w:val="en-US" w:eastAsia="zh-CN"/>
        </w:rPr>
        <w:t>及限价</w:t>
      </w:r>
      <w:bookmarkStart w:id="0" w:name="_GoBack"/>
      <w:bookmarkEnd w:id="0"/>
    </w:p>
    <w:tbl>
      <w:tblPr>
        <w:tblStyle w:val="2"/>
        <w:tblW w:w="90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2886"/>
        <w:gridCol w:w="1586"/>
        <w:gridCol w:w="1714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序号</w:t>
            </w:r>
          </w:p>
        </w:tc>
        <w:tc>
          <w:tcPr>
            <w:tcW w:w="2886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品名</w:t>
            </w: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规格</w:t>
            </w:r>
            <w:r>
              <w:rPr>
                <w:rFonts w:ascii="Times New Roman" w:hAnsi="Times New Roman"/>
                <w:b/>
                <w:bCs/>
                <w:sz w:val="24"/>
              </w:rPr>
              <w:t>(cm)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数量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b/>
                <w:bCs/>
                <w:color w:val="0000FF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24"/>
                <w:highlight w:val="none"/>
                <w:lang w:val="en-US" w:eastAsia="zh-CN"/>
              </w:rPr>
              <w:t>单价限价（元）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籽麻黑花岗岩墓碑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180×80×10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1600.00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籽麻黑花岗岩墓碑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160×70×8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1150.00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籽麻黑花岗岩墓碑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200×80×10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1900.00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籽麻黑花岗岩墓碑座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95×25×30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1250.00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籽麻黑花岗岩墓碑座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85×25×30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1250.00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hint="eastAsia" w:ascii="Times New Roman" w:hAnsi="Times New Roman"/>
                <w:sz w:val="24"/>
              </w:rPr>
              <w:t>号黑花岗岩墓体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120×63×6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95×25×30</w:t>
            </w:r>
          </w:p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FF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2550</w:t>
            </w:r>
            <w:r>
              <w:rPr>
                <w:rFonts w:hint="eastAsia" w:ascii="Times New Roman" w:hAnsi="Times New Roman"/>
                <w:color w:val="0000FF"/>
                <w:sz w:val="24"/>
                <w:highlight w:val="none"/>
                <w:lang w:eastAsia="zh-CN"/>
              </w:rPr>
              <w:t>.</w:t>
            </w:r>
            <w:r>
              <w:rPr>
                <w:rFonts w:hint="eastAsia" w:ascii="Times New Roman" w:hAnsi="Times New Roman"/>
                <w:color w:val="0000FF"/>
                <w:sz w:val="24"/>
                <w:highlight w:val="none"/>
                <w:lang w:val="en-US" w:eastAsia="zh-CN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号黑花岗岩墓体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100×75×10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120×30×30</w:t>
            </w:r>
          </w:p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3600.00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hint="eastAsia" w:ascii="Times New Roman" w:hAnsi="Times New Roman"/>
                <w:sz w:val="24"/>
              </w:rPr>
              <w:t>号黑花岗岩墓座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1600×30×30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4500.00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号黑花岗岩墓座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120×30×25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4"/>
              </w:rPr>
              <w:t>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FF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1800</w:t>
            </w:r>
            <w:r>
              <w:rPr>
                <w:rFonts w:hint="eastAsia" w:ascii="Times New Roman" w:hAnsi="Times New Roman"/>
                <w:color w:val="0000FF"/>
                <w:sz w:val="24"/>
                <w:highlight w:val="none"/>
                <w:lang w:val="en-US" w:eastAsia="zh-CN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</w:rPr>
              <w:t>号黑花岗岩墓碑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120×80×10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3750.00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黑花岗岩碑石碑座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150×30×30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3750.00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3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886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中国黑花岗岩碑石</w:t>
            </w:r>
          </w:p>
        </w:tc>
        <w:tc>
          <w:tcPr>
            <w:tcW w:w="158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130×80×10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1块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ascii="Times New Roman" w:hAnsi="Times New Roman"/>
                <w:color w:val="0000FF"/>
                <w:sz w:val="24"/>
                <w:highlight w:val="none"/>
              </w:rPr>
              <w:t>4500.00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224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合  计</w:t>
            </w:r>
          </w:p>
        </w:tc>
        <w:tc>
          <w:tcPr>
            <w:tcW w:w="185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0000FF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color w:val="0000FF"/>
                <w:sz w:val="24"/>
                <w:highlight w:val="none"/>
              </w:rPr>
              <w:t>31600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3ZmExMGVjOWY5YmEwNTdmNTcyNmJhYTkwNTk3ODUifQ=="/>
  </w:docVars>
  <w:rsids>
    <w:rsidRoot w:val="00000000"/>
    <w:rsid w:val="340B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4"/>
    <w:basedOn w:val="1"/>
    <w:next w:val="1"/>
    <w:qFormat/>
    <w:uiPriority w:val="99"/>
    <w:pPr>
      <w:keepNext/>
    </w:pPr>
    <w:rPr>
      <w:color w:val="FF0000"/>
      <w:sz w:val="28"/>
      <w:u w:val="single"/>
    </w:rPr>
  </w:style>
  <w:style w:type="character" w:customStyle="1" w:styleId="5">
    <w:name w:val="NormalCharacter"/>
    <w:qFormat/>
    <w:uiPriority w:val="99"/>
  </w:style>
  <w:style w:type="paragraph" w:customStyle="1" w:styleId="6">
    <w:name w:val="BodyText"/>
    <w:basedOn w:val="1"/>
    <w:next w:val="1"/>
    <w:qFormat/>
    <w:uiPriority w:val="99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2023-11-08T02:55:34Z</dcterms:created>
  <dc:creator>LENOVO</dc:creator>
  <cp:lastModifiedBy>向风而行</cp:lastModifiedBy>
  <dcterms:modified xsi:type="dcterms:W3CDTF">2023-11-08T02:58:59Z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58D8756415D046BB95AAD789B6783C7D_12</vt:lpwstr>
  </property>
</Properties>
</file>