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5880" w:leftChars="2800"/>
        <w:jc w:val="right"/>
        <w:rPr>
          <w:rFonts w:ascii="宋体" w:hAnsi="宋体" w:cs="宋体"/>
          <w:b/>
          <w:color w:val="auto"/>
          <w:sz w:val="44"/>
          <w:szCs w:val="44"/>
          <w:highlight w:val="none"/>
        </w:rPr>
      </w:pPr>
      <w:r>
        <w:rPr>
          <w:rFonts w:hint="eastAsia" w:ascii="宋体" w:hAnsi="宋体" w:cs="宋体"/>
          <w:color w:val="auto"/>
          <w:highlight w:val="none"/>
        </w:rPr>
        <w:t xml:space="preserve"> </w:t>
      </w:r>
      <w:r>
        <w:rPr>
          <w:rFonts w:hint="eastAsia" w:ascii="宋体" w:hAnsi="宋体" w:cs="宋体"/>
          <w:color w:val="auto"/>
          <w:highlight w:val="none"/>
        </w:rPr>
        <w:drawing>
          <wp:inline distT="0" distB="0" distL="114300" distR="114300">
            <wp:extent cx="935990" cy="935990"/>
            <wp:effectExtent l="0" t="0" r="3810" b="3810"/>
            <wp:docPr id="1" name="图片 1" descr="公司公众平台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公众平台二维码"/>
                    <pic:cNvPicPr>
                      <a:picLocks noChangeAspect="1"/>
                    </pic:cNvPicPr>
                  </pic:nvPicPr>
                  <pic:blipFill>
                    <a:blip r:embed="rId8"/>
                    <a:stretch>
                      <a:fillRect/>
                    </a:stretch>
                  </pic:blipFill>
                  <pic:spPr>
                    <a:xfrm>
                      <a:off x="0" y="0"/>
                      <a:ext cx="935990" cy="935990"/>
                    </a:xfrm>
                    <a:prstGeom prst="rect">
                      <a:avLst/>
                    </a:prstGeom>
                    <a:noFill/>
                    <a:ln>
                      <a:noFill/>
                    </a:ln>
                  </pic:spPr>
                </pic:pic>
              </a:graphicData>
            </a:graphic>
          </wp:inline>
        </w:drawing>
      </w:r>
    </w:p>
    <w:p>
      <w:pPr>
        <w:jc w:val="center"/>
        <w:rPr>
          <w:rFonts w:ascii="宋体" w:hAnsi="宋体" w:cs="宋体"/>
          <w:b/>
          <w:color w:val="auto"/>
          <w:sz w:val="44"/>
          <w:szCs w:val="44"/>
          <w:highlight w:val="none"/>
        </w:rPr>
      </w:pPr>
      <w:r>
        <w:rPr>
          <w:rFonts w:hint="eastAsia" w:ascii="宋体" w:hAnsi="宋体" w:cs="宋体"/>
          <w:b/>
          <w:color w:val="auto"/>
          <w:sz w:val="44"/>
          <w:szCs w:val="44"/>
          <w:highlight w:val="none"/>
        </w:rPr>
        <w:t>政府采购货物项目</w:t>
      </w:r>
    </w:p>
    <w:p>
      <w:pPr>
        <w:jc w:val="center"/>
        <w:rPr>
          <w:rFonts w:ascii="宋体" w:hAnsi="宋体" w:cs="宋体"/>
          <w:b/>
          <w:color w:val="auto"/>
          <w:sz w:val="24"/>
          <w:szCs w:val="24"/>
          <w:highlight w:val="none"/>
        </w:rPr>
      </w:pPr>
    </w:p>
    <w:p>
      <w:pPr>
        <w:jc w:val="center"/>
        <w:rPr>
          <w:rFonts w:ascii="宋体" w:hAnsi="宋体" w:cs="宋体"/>
          <w:b/>
          <w:color w:val="auto"/>
          <w:sz w:val="24"/>
          <w:szCs w:val="24"/>
          <w:highlight w:val="none"/>
        </w:rPr>
      </w:pPr>
    </w:p>
    <w:p>
      <w:pPr>
        <w:jc w:val="center"/>
        <w:rPr>
          <w:rFonts w:ascii="宋体" w:hAnsi="宋体" w:cs="宋体"/>
          <w:b/>
          <w:color w:val="auto"/>
          <w:sz w:val="24"/>
          <w:szCs w:val="24"/>
          <w:highlight w:val="none"/>
        </w:rPr>
      </w:pPr>
    </w:p>
    <w:p>
      <w:pPr>
        <w:jc w:val="center"/>
        <w:rPr>
          <w:rFonts w:ascii="宋体" w:hAnsi="宋体" w:cs="宋体"/>
          <w:b/>
          <w:color w:val="auto"/>
          <w:sz w:val="24"/>
          <w:szCs w:val="24"/>
          <w:highlight w:val="none"/>
        </w:rPr>
      </w:pPr>
    </w:p>
    <w:p>
      <w:pPr>
        <w:jc w:val="center"/>
        <w:rPr>
          <w:rFonts w:ascii="宋体" w:hAnsi="宋体" w:cs="宋体"/>
          <w:b/>
          <w:color w:val="auto"/>
          <w:sz w:val="24"/>
          <w:szCs w:val="24"/>
          <w:highlight w:val="none"/>
        </w:rPr>
      </w:pPr>
    </w:p>
    <w:p>
      <w:pPr>
        <w:jc w:val="center"/>
        <w:rPr>
          <w:rFonts w:ascii="宋体" w:hAnsi="宋体" w:cs="宋体"/>
          <w:b/>
          <w:color w:val="auto"/>
          <w:sz w:val="84"/>
          <w:szCs w:val="84"/>
          <w:highlight w:val="none"/>
        </w:rPr>
      </w:pPr>
      <w:r>
        <w:rPr>
          <w:rFonts w:hint="eastAsia" w:ascii="宋体" w:hAnsi="宋体" w:cs="宋体"/>
          <w:b/>
          <w:color w:val="auto"/>
          <w:sz w:val="84"/>
          <w:szCs w:val="84"/>
          <w:highlight w:val="none"/>
        </w:rPr>
        <w:t>竞争性谈判文件</w:t>
      </w:r>
    </w:p>
    <w:p>
      <w:pPr>
        <w:jc w:val="center"/>
        <w:rPr>
          <w:rFonts w:ascii="宋体" w:hAnsi="宋体" w:cs="宋体"/>
          <w:b/>
          <w:color w:val="auto"/>
          <w:sz w:val="24"/>
          <w:szCs w:val="24"/>
          <w:highlight w:val="none"/>
        </w:rPr>
      </w:pPr>
    </w:p>
    <w:p>
      <w:pPr>
        <w:jc w:val="center"/>
        <w:rPr>
          <w:rFonts w:ascii="宋体" w:hAnsi="宋体" w:cs="宋体"/>
          <w:b/>
          <w:color w:val="auto"/>
          <w:sz w:val="24"/>
          <w:szCs w:val="24"/>
          <w:highlight w:val="none"/>
        </w:rPr>
      </w:pPr>
    </w:p>
    <w:p>
      <w:pPr>
        <w:jc w:val="center"/>
        <w:rPr>
          <w:rFonts w:ascii="宋体" w:hAnsi="宋体" w:cs="宋体"/>
          <w:b/>
          <w:color w:val="auto"/>
          <w:sz w:val="24"/>
          <w:szCs w:val="24"/>
          <w:highlight w:val="none"/>
        </w:rPr>
      </w:pPr>
    </w:p>
    <w:p>
      <w:pPr>
        <w:jc w:val="center"/>
        <w:rPr>
          <w:rFonts w:ascii="宋体" w:hAnsi="宋体" w:cs="宋体"/>
          <w:b/>
          <w:color w:val="auto"/>
          <w:sz w:val="24"/>
          <w:szCs w:val="24"/>
          <w:highlight w:val="none"/>
        </w:rPr>
      </w:pPr>
    </w:p>
    <w:p>
      <w:pPr>
        <w:jc w:val="center"/>
        <w:rPr>
          <w:rFonts w:ascii="宋体" w:hAnsi="宋体" w:cs="宋体"/>
          <w:b/>
          <w:color w:val="auto"/>
          <w:sz w:val="24"/>
          <w:szCs w:val="24"/>
          <w:highlight w:val="none"/>
        </w:rPr>
      </w:pPr>
    </w:p>
    <w:p>
      <w:pPr>
        <w:jc w:val="center"/>
        <w:rPr>
          <w:rFonts w:ascii="宋体" w:hAnsi="宋体" w:cs="宋体"/>
          <w:b/>
          <w:color w:val="auto"/>
          <w:sz w:val="24"/>
          <w:szCs w:val="24"/>
          <w:highlight w:val="none"/>
        </w:rPr>
      </w:pPr>
    </w:p>
    <w:tbl>
      <w:tblPr>
        <w:tblStyle w:val="19"/>
        <w:tblW w:w="0" w:type="auto"/>
        <w:jc w:val="center"/>
        <w:tblLayout w:type="fixed"/>
        <w:tblCellMar>
          <w:top w:w="0" w:type="dxa"/>
          <w:left w:w="108" w:type="dxa"/>
          <w:bottom w:w="0" w:type="dxa"/>
          <w:right w:w="108" w:type="dxa"/>
        </w:tblCellMar>
      </w:tblPr>
      <w:tblGrid>
        <w:gridCol w:w="1607"/>
        <w:gridCol w:w="5540"/>
      </w:tblGrid>
      <w:tr>
        <w:tblPrEx>
          <w:tblCellMar>
            <w:top w:w="0" w:type="dxa"/>
            <w:left w:w="108" w:type="dxa"/>
            <w:bottom w:w="0" w:type="dxa"/>
            <w:right w:w="108" w:type="dxa"/>
          </w:tblCellMar>
        </w:tblPrEx>
        <w:trPr>
          <w:trHeight w:val="703" w:hRule="atLeast"/>
          <w:jc w:val="center"/>
        </w:trPr>
        <w:tc>
          <w:tcPr>
            <w:tcW w:w="1607" w:type="dxa"/>
            <w:tcBorders>
              <w:top w:val="nil"/>
              <w:left w:val="nil"/>
              <w:bottom w:val="nil"/>
              <w:right w:val="nil"/>
            </w:tcBorders>
            <w:vAlign w:val="center"/>
          </w:tcPr>
          <w:p>
            <w:pPr>
              <w:widowControl/>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项目名称：</w:t>
            </w:r>
          </w:p>
        </w:tc>
        <w:tc>
          <w:tcPr>
            <w:tcW w:w="5540" w:type="dxa"/>
            <w:tcBorders>
              <w:top w:val="nil"/>
              <w:left w:val="nil"/>
              <w:bottom w:val="nil"/>
              <w:right w:val="nil"/>
            </w:tcBorders>
            <w:vAlign w:val="center"/>
          </w:tcPr>
          <w:p>
            <w:pPr>
              <w:widowControl/>
              <w:spacing w:line="360" w:lineRule="auto"/>
              <w:jc w:val="left"/>
              <w:rPr>
                <w:rFonts w:hint="default" w:ascii="宋体" w:hAnsi="宋体" w:eastAsia="宋体" w:cs="宋体"/>
                <w:color w:val="auto"/>
                <w:kern w:val="0"/>
                <w:sz w:val="30"/>
                <w:szCs w:val="30"/>
                <w:highlight w:val="none"/>
                <w:lang w:val="en-US" w:eastAsia="zh-CN"/>
              </w:rPr>
            </w:pPr>
            <w:r>
              <w:rPr>
                <w:rFonts w:hint="eastAsia" w:ascii="宋体" w:hAnsi="宋体" w:cs="宋体"/>
                <w:b/>
                <w:bCs/>
                <w:color w:val="auto"/>
                <w:kern w:val="0"/>
                <w:sz w:val="30"/>
                <w:szCs w:val="30"/>
                <w:highlight w:val="none"/>
              </w:rPr>
              <w:t>西安市公安局交通警察支队安全防护警用装备采购项目</w:t>
            </w:r>
            <w:r>
              <w:rPr>
                <w:rFonts w:hint="eastAsia" w:ascii="宋体" w:hAnsi="宋体" w:cs="宋体"/>
                <w:b/>
                <w:bCs/>
                <w:color w:val="auto"/>
                <w:kern w:val="0"/>
                <w:sz w:val="30"/>
                <w:szCs w:val="30"/>
                <w:highlight w:val="none"/>
                <w:lang w:eastAsia="zh-CN"/>
              </w:rPr>
              <w:t>（</w:t>
            </w:r>
            <w:r>
              <w:rPr>
                <w:rFonts w:hint="eastAsia" w:ascii="宋体" w:hAnsi="宋体" w:cs="宋体"/>
                <w:b/>
                <w:bCs/>
                <w:color w:val="auto"/>
                <w:kern w:val="0"/>
                <w:sz w:val="30"/>
                <w:szCs w:val="30"/>
                <w:highlight w:val="none"/>
                <w:lang w:val="en-US" w:eastAsia="zh-CN"/>
              </w:rPr>
              <w:t>三次）</w:t>
            </w:r>
          </w:p>
        </w:tc>
      </w:tr>
      <w:tr>
        <w:tblPrEx>
          <w:tblCellMar>
            <w:top w:w="0" w:type="dxa"/>
            <w:left w:w="108" w:type="dxa"/>
            <w:bottom w:w="0" w:type="dxa"/>
            <w:right w:w="108" w:type="dxa"/>
          </w:tblCellMar>
        </w:tblPrEx>
        <w:trPr>
          <w:trHeight w:val="703" w:hRule="atLeast"/>
          <w:jc w:val="center"/>
        </w:trPr>
        <w:tc>
          <w:tcPr>
            <w:tcW w:w="1607" w:type="dxa"/>
            <w:tcBorders>
              <w:top w:val="nil"/>
              <w:left w:val="nil"/>
              <w:bottom w:val="nil"/>
              <w:right w:val="nil"/>
            </w:tcBorders>
            <w:vAlign w:val="center"/>
          </w:tcPr>
          <w:p>
            <w:pPr>
              <w:widowControl/>
              <w:jc w:val="left"/>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项目编号：</w:t>
            </w:r>
          </w:p>
        </w:tc>
        <w:tc>
          <w:tcPr>
            <w:tcW w:w="5540" w:type="dxa"/>
            <w:tcBorders>
              <w:top w:val="nil"/>
              <w:left w:val="nil"/>
              <w:bottom w:val="nil"/>
              <w:right w:val="nil"/>
            </w:tcBorders>
            <w:vAlign w:val="center"/>
          </w:tcPr>
          <w:p>
            <w:pPr>
              <w:widowControl/>
              <w:spacing w:line="360" w:lineRule="auto"/>
              <w:jc w:val="left"/>
              <w:rPr>
                <w:rFonts w:hint="default" w:ascii="宋体" w:hAnsi="宋体" w:eastAsia="宋体" w:cs="宋体"/>
                <w:color w:val="auto"/>
                <w:kern w:val="0"/>
                <w:sz w:val="30"/>
                <w:szCs w:val="30"/>
                <w:highlight w:val="none"/>
                <w:lang w:val="en-US" w:eastAsia="zh-CN"/>
              </w:rPr>
            </w:pPr>
            <w:r>
              <w:rPr>
                <w:rFonts w:hint="eastAsia" w:ascii="宋体" w:hAnsi="宋体" w:cs="宋体"/>
                <w:b/>
                <w:bCs/>
                <w:color w:val="auto"/>
                <w:kern w:val="0"/>
                <w:sz w:val="30"/>
                <w:szCs w:val="30"/>
                <w:highlight w:val="none"/>
              </w:rPr>
              <w:t>0617-2323HZ</w:t>
            </w:r>
            <w:r>
              <w:rPr>
                <w:rFonts w:hint="eastAsia" w:ascii="宋体" w:hAnsi="宋体" w:cs="宋体"/>
                <w:b/>
                <w:bCs/>
                <w:color w:val="auto"/>
                <w:kern w:val="0"/>
                <w:sz w:val="30"/>
                <w:szCs w:val="30"/>
                <w:highlight w:val="none"/>
                <w:lang w:val="en-US" w:eastAsia="zh-CN"/>
              </w:rPr>
              <w:t>2263</w:t>
            </w:r>
          </w:p>
        </w:tc>
      </w:tr>
      <w:tr>
        <w:tblPrEx>
          <w:tblCellMar>
            <w:top w:w="0" w:type="dxa"/>
            <w:left w:w="108" w:type="dxa"/>
            <w:bottom w:w="0" w:type="dxa"/>
            <w:right w:w="108" w:type="dxa"/>
          </w:tblCellMar>
        </w:tblPrEx>
        <w:trPr>
          <w:trHeight w:val="703" w:hRule="atLeast"/>
          <w:jc w:val="center"/>
        </w:trPr>
        <w:tc>
          <w:tcPr>
            <w:tcW w:w="1607" w:type="dxa"/>
            <w:tcBorders>
              <w:top w:val="nil"/>
              <w:left w:val="nil"/>
              <w:bottom w:val="nil"/>
              <w:right w:val="nil"/>
            </w:tcBorders>
            <w:vAlign w:val="center"/>
          </w:tcPr>
          <w:p>
            <w:pPr>
              <w:widowControl/>
              <w:jc w:val="left"/>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计划编号：</w:t>
            </w:r>
          </w:p>
        </w:tc>
        <w:tc>
          <w:tcPr>
            <w:tcW w:w="5540" w:type="dxa"/>
            <w:tcBorders>
              <w:top w:val="nil"/>
              <w:left w:val="nil"/>
              <w:bottom w:val="nil"/>
              <w:right w:val="nil"/>
            </w:tcBorders>
            <w:vAlign w:val="center"/>
          </w:tcPr>
          <w:p>
            <w:pPr>
              <w:widowControl/>
              <w:spacing w:line="360" w:lineRule="auto"/>
              <w:jc w:val="left"/>
              <w:rPr>
                <w:rFonts w:hint="default" w:ascii="宋体" w:hAnsi="宋体" w:eastAsia="宋体" w:cs="宋体"/>
                <w:b/>
                <w:bCs/>
                <w:color w:val="auto"/>
                <w:kern w:val="0"/>
                <w:sz w:val="30"/>
                <w:szCs w:val="30"/>
                <w:highlight w:val="none"/>
                <w:lang w:val="en-US" w:eastAsia="zh-CN"/>
              </w:rPr>
            </w:pPr>
            <w:r>
              <w:rPr>
                <w:rFonts w:hint="eastAsia" w:ascii="宋体" w:hAnsi="宋体" w:cs="宋体"/>
                <w:b/>
                <w:bCs/>
                <w:color w:val="auto"/>
                <w:kern w:val="0"/>
                <w:sz w:val="30"/>
                <w:szCs w:val="30"/>
                <w:highlight w:val="none"/>
              </w:rPr>
              <w:t>政采-西安市-2023-</w:t>
            </w:r>
            <w:r>
              <w:rPr>
                <w:rFonts w:hint="eastAsia" w:ascii="宋体" w:hAnsi="宋体" w:cs="宋体"/>
                <w:b/>
                <w:bCs/>
                <w:color w:val="auto"/>
                <w:kern w:val="0"/>
                <w:sz w:val="30"/>
                <w:szCs w:val="30"/>
                <w:highlight w:val="none"/>
                <w:lang w:val="en-US" w:eastAsia="zh-CN"/>
              </w:rPr>
              <w:t>05122</w:t>
            </w:r>
          </w:p>
        </w:tc>
      </w:tr>
      <w:tr>
        <w:tblPrEx>
          <w:tblCellMar>
            <w:top w:w="0" w:type="dxa"/>
            <w:left w:w="108" w:type="dxa"/>
            <w:bottom w:w="0" w:type="dxa"/>
            <w:right w:w="108" w:type="dxa"/>
          </w:tblCellMar>
        </w:tblPrEx>
        <w:trPr>
          <w:trHeight w:val="703" w:hRule="atLeast"/>
          <w:jc w:val="center"/>
        </w:trPr>
        <w:tc>
          <w:tcPr>
            <w:tcW w:w="1607" w:type="dxa"/>
            <w:tcBorders>
              <w:top w:val="nil"/>
              <w:left w:val="nil"/>
              <w:bottom w:val="nil"/>
              <w:right w:val="nil"/>
            </w:tcBorders>
            <w:vAlign w:val="center"/>
          </w:tcPr>
          <w:p>
            <w:pPr>
              <w:widowControl/>
              <w:jc w:val="left"/>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采购内容：</w:t>
            </w:r>
          </w:p>
        </w:tc>
        <w:tc>
          <w:tcPr>
            <w:tcW w:w="5540" w:type="dxa"/>
            <w:tcBorders>
              <w:top w:val="nil"/>
              <w:left w:val="nil"/>
              <w:bottom w:val="nil"/>
              <w:right w:val="nil"/>
            </w:tcBorders>
            <w:vAlign w:val="center"/>
          </w:tcPr>
          <w:p>
            <w:pPr>
              <w:widowControl/>
              <w:spacing w:line="360" w:lineRule="auto"/>
              <w:jc w:val="left"/>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安全防护警用装备</w:t>
            </w:r>
          </w:p>
        </w:tc>
      </w:tr>
    </w:tbl>
    <w:p>
      <w:pPr>
        <w:jc w:val="center"/>
        <w:rPr>
          <w:rFonts w:ascii="宋体" w:hAnsi="宋体" w:cs="宋体"/>
          <w:color w:val="auto"/>
          <w:sz w:val="24"/>
          <w:szCs w:val="24"/>
          <w:highlight w:val="none"/>
        </w:rPr>
      </w:pPr>
    </w:p>
    <w:p>
      <w:pPr>
        <w:jc w:val="center"/>
        <w:rPr>
          <w:rFonts w:ascii="宋体" w:hAnsi="宋体" w:cs="宋体"/>
          <w:color w:val="auto"/>
          <w:sz w:val="24"/>
          <w:szCs w:val="24"/>
          <w:highlight w:val="none"/>
        </w:rPr>
      </w:pPr>
    </w:p>
    <w:p>
      <w:pPr>
        <w:jc w:val="center"/>
        <w:rPr>
          <w:rFonts w:ascii="宋体" w:hAnsi="宋体" w:cs="宋体"/>
          <w:color w:val="auto"/>
          <w:sz w:val="24"/>
          <w:szCs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西北（陕西）国际招标有限公司</w:t>
      </w:r>
    </w:p>
    <w:p>
      <w:pPr>
        <w:tabs>
          <w:tab w:val="left" w:pos="525"/>
        </w:tabs>
        <w:ind w:left="-2" w:leftChars="-1" w:firstLine="1"/>
        <w:jc w:val="center"/>
        <w:rPr>
          <w:rFonts w:ascii="宋体" w:hAnsi="宋体" w:cs="宋体"/>
          <w:b/>
          <w:bCs/>
          <w:color w:val="auto"/>
          <w:sz w:val="36"/>
          <w:szCs w:val="36"/>
          <w:highlight w:val="none"/>
        </w:rPr>
      </w:pPr>
    </w:p>
    <w:p>
      <w:pPr>
        <w:tabs>
          <w:tab w:val="left" w:pos="525"/>
        </w:tabs>
        <w:ind w:left="-2" w:leftChars="-1" w:firstLine="1"/>
        <w:jc w:val="center"/>
        <w:rPr>
          <w:rFonts w:ascii="宋体" w:hAnsi="宋体"/>
          <w:b/>
          <w:bCs/>
          <w:color w:val="auto"/>
          <w:sz w:val="44"/>
          <w:highlight w:val="none"/>
        </w:rPr>
      </w:pPr>
      <w:r>
        <w:rPr>
          <w:rFonts w:hint="eastAsia" w:ascii="宋体" w:hAnsi="宋体" w:cs="宋体"/>
          <w:b/>
          <w:bCs/>
          <w:color w:val="auto"/>
          <w:sz w:val="36"/>
          <w:szCs w:val="36"/>
          <w:highlight w:val="none"/>
        </w:rPr>
        <w:t>二〇二三年</w:t>
      </w:r>
      <w:r>
        <w:rPr>
          <w:rFonts w:hint="eastAsia" w:ascii="宋体" w:hAnsi="宋体" w:cs="宋体"/>
          <w:b/>
          <w:bCs/>
          <w:color w:val="auto"/>
          <w:sz w:val="36"/>
          <w:szCs w:val="36"/>
          <w:highlight w:val="none"/>
          <w:lang w:val="en-US" w:eastAsia="zh-CN"/>
        </w:rPr>
        <w:t>十二</w:t>
      </w:r>
      <w:r>
        <w:rPr>
          <w:rFonts w:hint="eastAsia" w:ascii="宋体" w:hAnsi="宋体" w:cs="宋体"/>
          <w:b/>
          <w:bCs/>
          <w:color w:val="auto"/>
          <w:sz w:val="36"/>
          <w:szCs w:val="36"/>
          <w:highlight w:val="none"/>
        </w:rPr>
        <w:t>月</w:t>
      </w:r>
    </w:p>
    <w:p>
      <w:pPr>
        <w:spacing w:before="312" w:beforeLines="100" w:after="312" w:afterLines="100" w:line="360" w:lineRule="auto"/>
        <w:jc w:val="center"/>
        <w:rPr>
          <w:rFonts w:ascii="宋体" w:hAnsi="宋体"/>
          <w:b/>
          <w:color w:val="auto"/>
          <w:sz w:val="36"/>
          <w:szCs w:val="36"/>
          <w:highlight w:val="none"/>
        </w:rPr>
      </w:pPr>
      <w:r>
        <w:rPr>
          <w:rFonts w:hint="eastAsia" w:ascii="宋体" w:hAnsi="宋体"/>
          <w:b/>
          <w:color w:val="auto"/>
          <w:sz w:val="36"/>
          <w:szCs w:val="36"/>
          <w:highlight w:val="none"/>
        </w:rPr>
        <w:br w:type="page"/>
      </w:r>
      <w:r>
        <w:rPr>
          <w:rFonts w:hint="eastAsia" w:ascii="宋体" w:hAnsi="宋体"/>
          <w:b/>
          <w:color w:val="auto"/>
          <w:sz w:val="36"/>
          <w:szCs w:val="36"/>
          <w:highlight w:val="none"/>
        </w:rPr>
        <w:t>目   录</w:t>
      </w:r>
    </w:p>
    <w:p>
      <w:pPr>
        <w:pStyle w:val="14"/>
        <w:tabs>
          <w:tab w:val="right" w:leader="dot" w:pos="8296"/>
        </w:tabs>
        <w:spacing w:line="440" w:lineRule="exact"/>
        <w:rPr>
          <w:rFonts w:ascii="宋体" w:hAnsi="宋体"/>
          <w:b w:val="0"/>
          <w:bCs w:val="0"/>
          <w:caps w:val="0"/>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TOC \o "1-3" \h \u </w:instrText>
      </w:r>
      <w:r>
        <w:rPr>
          <w:rFonts w:hint="eastAsia" w:ascii="宋体" w:hAnsi="宋体" w:cs="宋体"/>
          <w:color w:val="auto"/>
          <w:sz w:val="24"/>
          <w:szCs w:val="24"/>
          <w:highlight w:val="none"/>
        </w:rPr>
        <w:fldChar w:fldCharType="separate"/>
      </w:r>
      <w:r>
        <w:rPr>
          <w:color w:val="auto"/>
          <w:highlight w:val="none"/>
        </w:rPr>
        <w:fldChar w:fldCharType="begin"/>
      </w:r>
      <w:r>
        <w:rPr>
          <w:color w:val="auto"/>
          <w:highlight w:val="none"/>
        </w:rPr>
        <w:instrText xml:space="preserve"> HYPERLINK \l "_Toc79002881" </w:instrText>
      </w:r>
      <w:r>
        <w:rPr>
          <w:color w:val="auto"/>
          <w:highlight w:val="none"/>
        </w:rPr>
        <w:fldChar w:fldCharType="separate"/>
      </w:r>
      <w:r>
        <w:rPr>
          <w:rStyle w:val="24"/>
          <w:rFonts w:hint="eastAsia" w:ascii="宋体" w:hAnsi="宋体"/>
          <w:color w:val="auto"/>
          <w:sz w:val="24"/>
          <w:szCs w:val="24"/>
          <w:highlight w:val="none"/>
        </w:rPr>
        <w:t>第一章</w:t>
      </w:r>
      <w:r>
        <w:rPr>
          <w:rStyle w:val="24"/>
          <w:rFonts w:ascii="宋体" w:hAnsi="宋体"/>
          <w:color w:val="auto"/>
          <w:sz w:val="24"/>
          <w:szCs w:val="24"/>
          <w:highlight w:val="none"/>
        </w:rPr>
        <w:t xml:space="preserve"> </w:t>
      </w:r>
      <w:r>
        <w:rPr>
          <w:rStyle w:val="24"/>
          <w:rFonts w:hint="eastAsia" w:ascii="宋体" w:hAnsi="宋体"/>
          <w:color w:val="auto"/>
          <w:sz w:val="24"/>
          <w:szCs w:val="24"/>
          <w:highlight w:val="none"/>
        </w:rPr>
        <w:t>竞争性谈判公告</w:t>
      </w:r>
      <w:r>
        <w:rPr>
          <w:rFonts w:ascii="宋体" w:hAnsi="宋体"/>
          <w:color w:val="auto"/>
          <w:sz w:val="24"/>
          <w:szCs w:val="24"/>
          <w:highlight w:val="none"/>
        </w:rPr>
        <w:tab/>
      </w:r>
      <w:r>
        <w:rPr>
          <w:rFonts w:hint="eastAsia" w:ascii="宋体" w:hAnsi="宋体"/>
          <w:color w:val="auto"/>
          <w:sz w:val="24"/>
          <w:szCs w:val="24"/>
          <w:highlight w:val="none"/>
        </w:rPr>
        <w:t>1</w:t>
      </w:r>
      <w:r>
        <w:rPr>
          <w:rFonts w:hint="eastAsia" w:ascii="宋体" w:hAnsi="宋体"/>
          <w:color w:val="auto"/>
          <w:sz w:val="24"/>
          <w:szCs w:val="24"/>
          <w:highlight w:val="none"/>
        </w:rPr>
        <w:fldChar w:fldCharType="end"/>
      </w:r>
    </w:p>
    <w:p>
      <w:pPr>
        <w:pStyle w:val="14"/>
        <w:tabs>
          <w:tab w:val="right" w:leader="dot" w:pos="8296"/>
        </w:tabs>
        <w:spacing w:line="440" w:lineRule="exact"/>
        <w:rPr>
          <w:rFonts w:ascii="宋体" w:hAnsi="宋体"/>
          <w:b w:val="0"/>
          <w:bCs w:val="0"/>
          <w:caps w:val="0"/>
          <w:color w:val="auto"/>
          <w:sz w:val="24"/>
          <w:szCs w:val="24"/>
          <w:highlight w:val="none"/>
        </w:rPr>
      </w:pPr>
      <w:r>
        <w:rPr>
          <w:color w:val="auto"/>
          <w:highlight w:val="none"/>
        </w:rPr>
        <w:fldChar w:fldCharType="begin"/>
      </w:r>
      <w:r>
        <w:rPr>
          <w:color w:val="auto"/>
          <w:highlight w:val="none"/>
        </w:rPr>
        <w:instrText xml:space="preserve"> HYPERLINK \l "_Toc79002882" </w:instrText>
      </w:r>
      <w:r>
        <w:rPr>
          <w:color w:val="auto"/>
          <w:highlight w:val="none"/>
        </w:rPr>
        <w:fldChar w:fldCharType="separate"/>
      </w:r>
      <w:r>
        <w:rPr>
          <w:rStyle w:val="24"/>
          <w:rFonts w:hint="eastAsia" w:ascii="宋体" w:hAnsi="宋体"/>
          <w:color w:val="auto"/>
          <w:sz w:val="24"/>
          <w:szCs w:val="24"/>
          <w:highlight w:val="none"/>
        </w:rPr>
        <w:t>第二章</w:t>
      </w:r>
      <w:r>
        <w:rPr>
          <w:rStyle w:val="24"/>
          <w:rFonts w:ascii="宋体" w:hAnsi="宋体"/>
          <w:color w:val="auto"/>
          <w:sz w:val="24"/>
          <w:szCs w:val="24"/>
          <w:highlight w:val="none"/>
        </w:rPr>
        <w:t xml:space="preserve"> </w:t>
      </w:r>
      <w:r>
        <w:rPr>
          <w:rStyle w:val="24"/>
          <w:rFonts w:hint="eastAsia" w:ascii="宋体" w:hAnsi="宋体"/>
          <w:color w:val="auto"/>
          <w:sz w:val="24"/>
          <w:szCs w:val="24"/>
          <w:highlight w:val="none"/>
        </w:rPr>
        <w:t>谈判须知及前附表</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_Toc79002882 \h </w:instrText>
      </w:r>
      <w:r>
        <w:rPr>
          <w:rFonts w:ascii="宋体" w:hAnsi="宋体"/>
          <w:color w:val="auto"/>
          <w:sz w:val="24"/>
          <w:szCs w:val="24"/>
          <w:highlight w:val="none"/>
        </w:rPr>
        <w:fldChar w:fldCharType="separate"/>
      </w:r>
      <w:r>
        <w:rPr>
          <w:rFonts w:ascii="宋体" w:hAnsi="宋体"/>
          <w:color w:val="auto"/>
          <w:sz w:val="24"/>
          <w:szCs w:val="24"/>
          <w:highlight w:val="none"/>
        </w:rPr>
        <w:t>4</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pPr>
        <w:pStyle w:val="15"/>
        <w:tabs>
          <w:tab w:val="right" w:leader="dot" w:pos="8296"/>
        </w:tabs>
        <w:spacing w:line="440" w:lineRule="exact"/>
        <w:rPr>
          <w:rFonts w:ascii="宋体" w:hAnsi="宋体"/>
          <w:color w:val="auto"/>
          <w:sz w:val="24"/>
          <w:szCs w:val="24"/>
          <w:highlight w:val="none"/>
        </w:rPr>
      </w:pPr>
      <w:r>
        <w:rPr>
          <w:color w:val="auto"/>
          <w:highlight w:val="none"/>
        </w:rPr>
        <w:fldChar w:fldCharType="begin"/>
      </w:r>
      <w:r>
        <w:rPr>
          <w:color w:val="auto"/>
          <w:highlight w:val="none"/>
        </w:rPr>
        <w:instrText xml:space="preserve"> HYPERLINK \l "_Toc79002883" </w:instrText>
      </w:r>
      <w:r>
        <w:rPr>
          <w:color w:val="auto"/>
          <w:highlight w:val="none"/>
        </w:rPr>
        <w:fldChar w:fldCharType="separate"/>
      </w:r>
      <w:r>
        <w:rPr>
          <w:rStyle w:val="24"/>
          <w:rFonts w:hint="eastAsia" w:ascii="宋体" w:hAnsi="宋体" w:cs="宋体"/>
          <w:color w:val="auto"/>
          <w:sz w:val="24"/>
          <w:szCs w:val="24"/>
          <w:highlight w:val="none"/>
        </w:rPr>
        <w:t>谈判须知前附表</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_Toc79002883 \h </w:instrText>
      </w:r>
      <w:r>
        <w:rPr>
          <w:rFonts w:ascii="宋体" w:hAnsi="宋体"/>
          <w:color w:val="auto"/>
          <w:sz w:val="24"/>
          <w:szCs w:val="24"/>
          <w:highlight w:val="none"/>
        </w:rPr>
        <w:fldChar w:fldCharType="separate"/>
      </w:r>
      <w:r>
        <w:rPr>
          <w:rFonts w:ascii="宋体" w:hAnsi="宋体"/>
          <w:color w:val="auto"/>
          <w:sz w:val="24"/>
          <w:szCs w:val="24"/>
          <w:highlight w:val="none"/>
        </w:rPr>
        <w:t>4</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pPr>
        <w:pStyle w:val="15"/>
        <w:tabs>
          <w:tab w:val="right" w:leader="dot" w:pos="8296"/>
        </w:tabs>
        <w:spacing w:line="440" w:lineRule="exact"/>
        <w:rPr>
          <w:rFonts w:ascii="宋体" w:hAnsi="宋体"/>
          <w:color w:val="auto"/>
          <w:sz w:val="24"/>
          <w:szCs w:val="24"/>
          <w:highlight w:val="none"/>
        </w:rPr>
      </w:pPr>
      <w:r>
        <w:rPr>
          <w:color w:val="auto"/>
          <w:highlight w:val="none"/>
        </w:rPr>
        <w:fldChar w:fldCharType="begin"/>
      </w:r>
      <w:r>
        <w:rPr>
          <w:color w:val="auto"/>
          <w:highlight w:val="none"/>
        </w:rPr>
        <w:instrText xml:space="preserve"> HYPERLINK \l "_Toc79002884" </w:instrText>
      </w:r>
      <w:r>
        <w:rPr>
          <w:color w:val="auto"/>
          <w:highlight w:val="none"/>
        </w:rPr>
        <w:fldChar w:fldCharType="separate"/>
      </w:r>
      <w:r>
        <w:rPr>
          <w:rStyle w:val="24"/>
          <w:rFonts w:hint="eastAsia" w:ascii="宋体" w:hAnsi="宋体" w:cs="宋体"/>
          <w:color w:val="auto"/>
          <w:sz w:val="24"/>
          <w:szCs w:val="24"/>
          <w:highlight w:val="none"/>
        </w:rPr>
        <w:t>谈判须知</w:t>
      </w:r>
      <w:r>
        <w:rPr>
          <w:rFonts w:ascii="宋体" w:hAnsi="宋体"/>
          <w:color w:val="auto"/>
          <w:sz w:val="24"/>
          <w:szCs w:val="24"/>
          <w:highlight w:val="none"/>
        </w:rPr>
        <w:tab/>
      </w:r>
      <w:r>
        <w:rPr>
          <w:rFonts w:hint="eastAsia" w:ascii="宋体" w:hAnsi="宋体"/>
          <w:color w:val="auto"/>
          <w:sz w:val="24"/>
          <w:szCs w:val="24"/>
          <w:highlight w:val="none"/>
        </w:rPr>
        <w:t>1</w:t>
      </w:r>
      <w:r>
        <w:rPr>
          <w:rFonts w:hint="eastAsia" w:ascii="宋体" w:hAnsi="宋体"/>
          <w:color w:val="auto"/>
          <w:sz w:val="24"/>
          <w:szCs w:val="24"/>
          <w:highlight w:val="none"/>
        </w:rPr>
        <w:fldChar w:fldCharType="end"/>
      </w:r>
      <w:r>
        <w:rPr>
          <w:rStyle w:val="24"/>
          <w:rFonts w:hint="eastAsia" w:ascii="宋体" w:hAnsi="宋体"/>
          <w:color w:val="auto"/>
          <w:sz w:val="24"/>
          <w:szCs w:val="24"/>
          <w:highlight w:val="none"/>
        </w:rPr>
        <w:t>6</w:t>
      </w:r>
    </w:p>
    <w:p>
      <w:pPr>
        <w:pStyle w:val="15"/>
        <w:tabs>
          <w:tab w:val="right" w:leader="dot" w:pos="8296"/>
        </w:tabs>
        <w:spacing w:line="440" w:lineRule="exact"/>
        <w:rPr>
          <w:rFonts w:ascii="宋体" w:hAnsi="宋体"/>
          <w:color w:val="auto"/>
          <w:sz w:val="24"/>
          <w:szCs w:val="24"/>
          <w:highlight w:val="none"/>
        </w:rPr>
      </w:pPr>
      <w:r>
        <w:rPr>
          <w:color w:val="auto"/>
          <w:highlight w:val="none"/>
        </w:rPr>
        <w:fldChar w:fldCharType="begin"/>
      </w:r>
      <w:r>
        <w:rPr>
          <w:color w:val="auto"/>
          <w:highlight w:val="none"/>
        </w:rPr>
        <w:instrText xml:space="preserve"> HYPERLINK \l "_Toc79002885" </w:instrText>
      </w:r>
      <w:r>
        <w:rPr>
          <w:color w:val="auto"/>
          <w:highlight w:val="none"/>
        </w:rPr>
        <w:fldChar w:fldCharType="separate"/>
      </w:r>
      <w:r>
        <w:rPr>
          <w:rStyle w:val="24"/>
          <w:rFonts w:hint="eastAsia" w:ascii="宋体" w:hAnsi="宋体" w:cs="宋体"/>
          <w:color w:val="auto"/>
          <w:sz w:val="24"/>
          <w:szCs w:val="24"/>
          <w:highlight w:val="none"/>
        </w:rPr>
        <w:t>一、总</w:t>
      </w:r>
      <w:r>
        <w:rPr>
          <w:rStyle w:val="24"/>
          <w:rFonts w:ascii="宋体" w:hAnsi="宋体" w:cs="宋体"/>
          <w:color w:val="auto"/>
          <w:sz w:val="24"/>
          <w:szCs w:val="24"/>
          <w:highlight w:val="none"/>
        </w:rPr>
        <w:t xml:space="preserve">  </w:t>
      </w:r>
      <w:r>
        <w:rPr>
          <w:rStyle w:val="24"/>
          <w:rFonts w:hint="eastAsia" w:ascii="宋体" w:hAnsi="宋体" w:cs="宋体"/>
          <w:color w:val="auto"/>
          <w:sz w:val="24"/>
          <w:szCs w:val="24"/>
          <w:highlight w:val="none"/>
        </w:rPr>
        <w:t>则</w:t>
      </w:r>
      <w:r>
        <w:rPr>
          <w:rFonts w:ascii="宋体" w:hAnsi="宋体"/>
          <w:color w:val="auto"/>
          <w:sz w:val="24"/>
          <w:szCs w:val="24"/>
          <w:highlight w:val="none"/>
        </w:rPr>
        <w:tab/>
      </w:r>
      <w:r>
        <w:rPr>
          <w:rFonts w:ascii="宋体" w:hAnsi="宋体"/>
          <w:color w:val="auto"/>
          <w:sz w:val="24"/>
          <w:szCs w:val="24"/>
          <w:highlight w:val="none"/>
        </w:rPr>
        <w:fldChar w:fldCharType="end"/>
      </w:r>
      <w:r>
        <w:rPr>
          <w:rStyle w:val="24"/>
          <w:rFonts w:hint="eastAsia" w:ascii="宋体" w:hAnsi="宋体"/>
          <w:color w:val="auto"/>
          <w:sz w:val="24"/>
          <w:szCs w:val="24"/>
          <w:highlight w:val="none"/>
        </w:rPr>
        <w:t>16</w:t>
      </w:r>
    </w:p>
    <w:p>
      <w:pPr>
        <w:pStyle w:val="15"/>
        <w:tabs>
          <w:tab w:val="right" w:leader="dot" w:pos="8296"/>
        </w:tabs>
        <w:spacing w:line="440" w:lineRule="exact"/>
        <w:rPr>
          <w:rFonts w:ascii="宋体" w:hAnsi="宋体"/>
          <w:color w:val="auto"/>
          <w:sz w:val="24"/>
          <w:szCs w:val="24"/>
          <w:highlight w:val="none"/>
        </w:rPr>
      </w:pPr>
      <w:r>
        <w:rPr>
          <w:color w:val="auto"/>
          <w:highlight w:val="none"/>
        </w:rPr>
        <w:fldChar w:fldCharType="begin"/>
      </w:r>
      <w:r>
        <w:rPr>
          <w:color w:val="auto"/>
          <w:highlight w:val="none"/>
        </w:rPr>
        <w:instrText xml:space="preserve"> HYPERLINK \l "_Toc79002886" </w:instrText>
      </w:r>
      <w:r>
        <w:rPr>
          <w:color w:val="auto"/>
          <w:highlight w:val="none"/>
        </w:rPr>
        <w:fldChar w:fldCharType="separate"/>
      </w:r>
      <w:r>
        <w:rPr>
          <w:rStyle w:val="24"/>
          <w:rFonts w:hint="eastAsia" w:ascii="宋体" w:hAnsi="宋体" w:cs="宋体"/>
          <w:color w:val="auto"/>
          <w:sz w:val="24"/>
          <w:szCs w:val="24"/>
          <w:highlight w:val="none"/>
        </w:rPr>
        <w:t>二、谈判文件</w:t>
      </w:r>
      <w:r>
        <w:rPr>
          <w:rFonts w:ascii="宋体" w:hAnsi="宋体"/>
          <w:color w:val="auto"/>
          <w:sz w:val="24"/>
          <w:szCs w:val="24"/>
          <w:highlight w:val="none"/>
        </w:rPr>
        <w:tab/>
      </w:r>
      <w:r>
        <w:rPr>
          <w:rFonts w:ascii="宋体" w:hAnsi="宋体"/>
          <w:color w:val="auto"/>
          <w:sz w:val="24"/>
          <w:szCs w:val="24"/>
          <w:highlight w:val="none"/>
        </w:rPr>
        <w:fldChar w:fldCharType="end"/>
      </w:r>
      <w:r>
        <w:rPr>
          <w:rStyle w:val="24"/>
          <w:rFonts w:hint="eastAsia" w:ascii="宋体" w:hAnsi="宋体"/>
          <w:color w:val="auto"/>
          <w:sz w:val="24"/>
          <w:szCs w:val="24"/>
          <w:highlight w:val="none"/>
        </w:rPr>
        <w:t>17</w:t>
      </w:r>
    </w:p>
    <w:p>
      <w:pPr>
        <w:pStyle w:val="15"/>
        <w:tabs>
          <w:tab w:val="right" w:leader="dot" w:pos="8296"/>
        </w:tabs>
        <w:spacing w:line="440" w:lineRule="exact"/>
        <w:rPr>
          <w:rFonts w:ascii="宋体" w:hAnsi="宋体"/>
          <w:color w:val="auto"/>
          <w:sz w:val="24"/>
          <w:szCs w:val="24"/>
          <w:highlight w:val="none"/>
        </w:rPr>
      </w:pPr>
      <w:r>
        <w:rPr>
          <w:color w:val="auto"/>
          <w:highlight w:val="none"/>
        </w:rPr>
        <w:fldChar w:fldCharType="begin"/>
      </w:r>
      <w:r>
        <w:rPr>
          <w:color w:val="auto"/>
          <w:highlight w:val="none"/>
        </w:rPr>
        <w:instrText xml:space="preserve"> HYPERLINK \l "_Toc79002887" </w:instrText>
      </w:r>
      <w:r>
        <w:rPr>
          <w:color w:val="auto"/>
          <w:highlight w:val="none"/>
        </w:rPr>
        <w:fldChar w:fldCharType="separate"/>
      </w:r>
      <w:r>
        <w:rPr>
          <w:rStyle w:val="24"/>
          <w:rFonts w:hint="eastAsia" w:ascii="宋体" w:hAnsi="宋体" w:cs="宋体"/>
          <w:color w:val="auto"/>
          <w:sz w:val="24"/>
          <w:szCs w:val="24"/>
          <w:highlight w:val="none"/>
        </w:rPr>
        <w:t>三、谈判响应文件的编制</w:t>
      </w:r>
      <w:r>
        <w:rPr>
          <w:rFonts w:ascii="宋体" w:hAnsi="宋体"/>
          <w:color w:val="auto"/>
          <w:sz w:val="24"/>
          <w:szCs w:val="24"/>
          <w:highlight w:val="none"/>
        </w:rPr>
        <w:tab/>
      </w:r>
      <w:r>
        <w:rPr>
          <w:rFonts w:ascii="宋体" w:hAnsi="宋体"/>
          <w:color w:val="auto"/>
          <w:sz w:val="24"/>
          <w:szCs w:val="24"/>
          <w:highlight w:val="none"/>
        </w:rPr>
        <w:fldChar w:fldCharType="end"/>
      </w:r>
      <w:r>
        <w:rPr>
          <w:rStyle w:val="24"/>
          <w:rFonts w:hint="eastAsia" w:ascii="宋体" w:hAnsi="宋体"/>
          <w:color w:val="auto"/>
          <w:sz w:val="24"/>
          <w:szCs w:val="24"/>
          <w:highlight w:val="none"/>
        </w:rPr>
        <w:t>18</w:t>
      </w:r>
    </w:p>
    <w:p>
      <w:pPr>
        <w:pStyle w:val="15"/>
        <w:tabs>
          <w:tab w:val="right" w:leader="dot" w:pos="8296"/>
        </w:tabs>
        <w:spacing w:line="440" w:lineRule="exact"/>
        <w:rPr>
          <w:rFonts w:ascii="宋体" w:hAnsi="宋体"/>
          <w:color w:val="auto"/>
          <w:sz w:val="24"/>
          <w:szCs w:val="24"/>
          <w:highlight w:val="none"/>
        </w:rPr>
      </w:pPr>
      <w:r>
        <w:rPr>
          <w:color w:val="auto"/>
          <w:highlight w:val="none"/>
        </w:rPr>
        <w:fldChar w:fldCharType="begin"/>
      </w:r>
      <w:r>
        <w:rPr>
          <w:color w:val="auto"/>
          <w:highlight w:val="none"/>
        </w:rPr>
        <w:instrText xml:space="preserve"> HYPERLINK \l "_Toc79002888" </w:instrText>
      </w:r>
      <w:r>
        <w:rPr>
          <w:color w:val="auto"/>
          <w:highlight w:val="none"/>
        </w:rPr>
        <w:fldChar w:fldCharType="separate"/>
      </w:r>
      <w:r>
        <w:rPr>
          <w:rStyle w:val="24"/>
          <w:rFonts w:hint="eastAsia" w:ascii="宋体" w:hAnsi="宋体" w:cs="宋体"/>
          <w:color w:val="auto"/>
          <w:sz w:val="24"/>
          <w:szCs w:val="24"/>
          <w:highlight w:val="none"/>
        </w:rPr>
        <w:t>四、谈判响应文件的递交</w:t>
      </w:r>
      <w:r>
        <w:rPr>
          <w:rFonts w:ascii="宋体" w:hAnsi="宋体"/>
          <w:color w:val="auto"/>
          <w:sz w:val="24"/>
          <w:szCs w:val="24"/>
          <w:highlight w:val="none"/>
        </w:rPr>
        <w:tab/>
      </w:r>
      <w:r>
        <w:rPr>
          <w:rFonts w:ascii="宋体" w:hAnsi="宋体"/>
          <w:color w:val="auto"/>
          <w:sz w:val="24"/>
          <w:szCs w:val="24"/>
          <w:highlight w:val="none"/>
        </w:rPr>
        <w:fldChar w:fldCharType="end"/>
      </w:r>
      <w:r>
        <w:rPr>
          <w:rStyle w:val="24"/>
          <w:rFonts w:hint="eastAsia" w:ascii="宋体" w:hAnsi="宋体"/>
          <w:color w:val="auto"/>
          <w:sz w:val="24"/>
          <w:szCs w:val="24"/>
          <w:highlight w:val="none"/>
        </w:rPr>
        <w:t>21</w:t>
      </w:r>
    </w:p>
    <w:p>
      <w:pPr>
        <w:pStyle w:val="15"/>
        <w:tabs>
          <w:tab w:val="right" w:leader="dot" w:pos="8296"/>
        </w:tabs>
        <w:spacing w:line="440" w:lineRule="exact"/>
        <w:rPr>
          <w:rFonts w:ascii="宋体" w:hAnsi="宋体"/>
          <w:color w:val="auto"/>
          <w:sz w:val="24"/>
          <w:szCs w:val="24"/>
          <w:highlight w:val="none"/>
        </w:rPr>
      </w:pPr>
      <w:r>
        <w:rPr>
          <w:color w:val="auto"/>
          <w:highlight w:val="none"/>
        </w:rPr>
        <w:fldChar w:fldCharType="begin"/>
      </w:r>
      <w:r>
        <w:rPr>
          <w:color w:val="auto"/>
          <w:highlight w:val="none"/>
        </w:rPr>
        <w:instrText xml:space="preserve"> HYPERLINK \l "_Toc79002889" </w:instrText>
      </w:r>
      <w:r>
        <w:rPr>
          <w:color w:val="auto"/>
          <w:highlight w:val="none"/>
        </w:rPr>
        <w:fldChar w:fldCharType="separate"/>
      </w:r>
      <w:r>
        <w:rPr>
          <w:rStyle w:val="24"/>
          <w:rFonts w:hint="eastAsia" w:ascii="宋体" w:hAnsi="宋体" w:cs="宋体"/>
          <w:color w:val="auto"/>
          <w:sz w:val="24"/>
          <w:szCs w:val="24"/>
          <w:highlight w:val="none"/>
        </w:rPr>
        <w:t>五、谈判与评审</w:t>
      </w:r>
      <w:r>
        <w:rPr>
          <w:rFonts w:ascii="宋体" w:hAnsi="宋体"/>
          <w:color w:val="auto"/>
          <w:sz w:val="24"/>
          <w:szCs w:val="24"/>
          <w:highlight w:val="none"/>
        </w:rPr>
        <w:tab/>
      </w:r>
      <w:r>
        <w:rPr>
          <w:rFonts w:ascii="宋体" w:hAnsi="宋体"/>
          <w:color w:val="auto"/>
          <w:sz w:val="24"/>
          <w:szCs w:val="24"/>
          <w:highlight w:val="none"/>
        </w:rPr>
        <w:fldChar w:fldCharType="end"/>
      </w:r>
      <w:r>
        <w:rPr>
          <w:rStyle w:val="24"/>
          <w:rFonts w:hint="eastAsia" w:ascii="宋体" w:hAnsi="宋体"/>
          <w:color w:val="auto"/>
          <w:sz w:val="24"/>
          <w:szCs w:val="24"/>
          <w:highlight w:val="none"/>
        </w:rPr>
        <w:t>22</w:t>
      </w:r>
    </w:p>
    <w:p>
      <w:pPr>
        <w:pStyle w:val="15"/>
        <w:tabs>
          <w:tab w:val="right" w:leader="dot" w:pos="8296"/>
        </w:tabs>
        <w:spacing w:line="440" w:lineRule="exact"/>
        <w:rPr>
          <w:rFonts w:ascii="宋体" w:hAnsi="宋体"/>
          <w:color w:val="auto"/>
          <w:sz w:val="24"/>
          <w:szCs w:val="24"/>
          <w:highlight w:val="none"/>
        </w:rPr>
      </w:pPr>
      <w:r>
        <w:rPr>
          <w:color w:val="auto"/>
          <w:highlight w:val="none"/>
        </w:rPr>
        <w:fldChar w:fldCharType="begin"/>
      </w:r>
      <w:r>
        <w:rPr>
          <w:color w:val="auto"/>
          <w:highlight w:val="none"/>
        </w:rPr>
        <w:instrText xml:space="preserve"> HYPERLINK \l "_Toc79002890" </w:instrText>
      </w:r>
      <w:r>
        <w:rPr>
          <w:color w:val="auto"/>
          <w:highlight w:val="none"/>
        </w:rPr>
        <w:fldChar w:fldCharType="separate"/>
      </w:r>
      <w:r>
        <w:rPr>
          <w:rStyle w:val="24"/>
          <w:rFonts w:hint="eastAsia" w:ascii="宋体" w:hAnsi="宋体" w:cs="宋体"/>
          <w:color w:val="auto"/>
          <w:sz w:val="24"/>
          <w:szCs w:val="24"/>
          <w:highlight w:val="none"/>
        </w:rPr>
        <w:t>六、确定成交人、成交通知与签约</w:t>
      </w:r>
      <w:r>
        <w:rPr>
          <w:rFonts w:ascii="宋体" w:hAnsi="宋体"/>
          <w:color w:val="auto"/>
          <w:sz w:val="24"/>
          <w:szCs w:val="24"/>
          <w:highlight w:val="none"/>
        </w:rPr>
        <w:tab/>
      </w:r>
      <w:r>
        <w:rPr>
          <w:rFonts w:ascii="宋体" w:hAnsi="宋体"/>
          <w:color w:val="auto"/>
          <w:sz w:val="24"/>
          <w:szCs w:val="24"/>
          <w:highlight w:val="none"/>
        </w:rPr>
        <w:fldChar w:fldCharType="end"/>
      </w:r>
      <w:r>
        <w:rPr>
          <w:rStyle w:val="24"/>
          <w:rFonts w:hint="eastAsia" w:ascii="宋体" w:hAnsi="宋体"/>
          <w:color w:val="auto"/>
          <w:sz w:val="24"/>
          <w:szCs w:val="24"/>
          <w:highlight w:val="none"/>
        </w:rPr>
        <w:t>23</w:t>
      </w:r>
    </w:p>
    <w:p>
      <w:pPr>
        <w:pStyle w:val="14"/>
        <w:tabs>
          <w:tab w:val="right" w:leader="dot" w:pos="8296"/>
        </w:tabs>
        <w:spacing w:line="440" w:lineRule="exact"/>
        <w:rPr>
          <w:rFonts w:ascii="宋体" w:hAnsi="宋体"/>
          <w:b w:val="0"/>
          <w:bCs w:val="0"/>
          <w:caps w:val="0"/>
          <w:color w:val="auto"/>
          <w:sz w:val="24"/>
          <w:szCs w:val="24"/>
          <w:highlight w:val="none"/>
        </w:rPr>
      </w:pPr>
      <w:r>
        <w:rPr>
          <w:color w:val="auto"/>
          <w:highlight w:val="none"/>
        </w:rPr>
        <w:fldChar w:fldCharType="begin"/>
      </w:r>
      <w:r>
        <w:rPr>
          <w:color w:val="auto"/>
          <w:highlight w:val="none"/>
        </w:rPr>
        <w:instrText xml:space="preserve"> HYPERLINK \l "_Toc79002891" </w:instrText>
      </w:r>
      <w:r>
        <w:rPr>
          <w:color w:val="auto"/>
          <w:highlight w:val="none"/>
        </w:rPr>
        <w:fldChar w:fldCharType="separate"/>
      </w:r>
      <w:r>
        <w:rPr>
          <w:rStyle w:val="24"/>
          <w:rFonts w:hint="eastAsia" w:ascii="宋体" w:hAnsi="宋体"/>
          <w:color w:val="auto"/>
          <w:sz w:val="24"/>
          <w:szCs w:val="24"/>
          <w:highlight w:val="none"/>
        </w:rPr>
        <w:t>第三章</w:t>
      </w:r>
      <w:r>
        <w:rPr>
          <w:rStyle w:val="24"/>
          <w:rFonts w:ascii="宋体" w:hAnsi="宋体"/>
          <w:color w:val="auto"/>
          <w:sz w:val="24"/>
          <w:szCs w:val="24"/>
          <w:highlight w:val="none"/>
        </w:rPr>
        <w:t xml:space="preserve"> </w:t>
      </w:r>
      <w:r>
        <w:rPr>
          <w:rStyle w:val="24"/>
          <w:rFonts w:hint="eastAsia" w:ascii="宋体" w:hAnsi="宋体"/>
          <w:color w:val="auto"/>
          <w:sz w:val="24"/>
          <w:szCs w:val="24"/>
          <w:highlight w:val="none"/>
        </w:rPr>
        <w:t>合同条款及格式（参考）</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_Toc79002891 \h </w:instrText>
      </w:r>
      <w:r>
        <w:rPr>
          <w:rFonts w:ascii="宋体" w:hAnsi="宋体"/>
          <w:color w:val="auto"/>
          <w:sz w:val="24"/>
          <w:szCs w:val="24"/>
          <w:highlight w:val="none"/>
        </w:rPr>
        <w:fldChar w:fldCharType="separate"/>
      </w:r>
      <w:r>
        <w:rPr>
          <w:rFonts w:ascii="宋体" w:hAnsi="宋体"/>
          <w:color w:val="auto"/>
          <w:sz w:val="24"/>
          <w:szCs w:val="24"/>
          <w:highlight w:val="none"/>
        </w:rPr>
        <w:t>24</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pPr>
        <w:pStyle w:val="14"/>
        <w:tabs>
          <w:tab w:val="right" w:leader="dot" w:pos="8296"/>
        </w:tabs>
        <w:spacing w:line="440" w:lineRule="exact"/>
        <w:rPr>
          <w:rFonts w:ascii="宋体" w:hAnsi="宋体"/>
          <w:b w:val="0"/>
          <w:bCs w:val="0"/>
          <w:caps w:val="0"/>
          <w:color w:val="auto"/>
          <w:sz w:val="24"/>
          <w:szCs w:val="24"/>
          <w:highlight w:val="none"/>
        </w:rPr>
      </w:pPr>
      <w:r>
        <w:rPr>
          <w:color w:val="auto"/>
          <w:highlight w:val="none"/>
        </w:rPr>
        <w:fldChar w:fldCharType="begin"/>
      </w:r>
      <w:r>
        <w:rPr>
          <w:color w:val="auto"/>
          <w:highlight w:val="none"/>
        </w:rPr>
        <w:instrText xml:space="preserve"> HYPERLINK \l "_Toc79002892" </w:instrText>
      </w:r>
      <w:r>
        <w:rPr>
          <w:color w:val="auto"/>
          <w:highlight w:val="none"/>
        </w:rPr>
        <w:fldChar w:fldCharType="separate"/>
      </w:r>
      <w:r>
        <w:rPr>
          <w:rStyle w:val="24"/>
          <w:rFonts w:hint="eastAsia" w:ascii="宋体" w:hAnsi="宋体"/>
          <w:color w:val="auto"/>
          <w:sz w:val="24"/>
          <w:szCs w:val="24"/>
          <w:highlight w:val="none"/>
        </w:rPr>
        <w:t>第四章</w:t>
      </w:r>
      <w:r>
        <w:rPr>
          <w:rStyle w:val="24"/>
          <w:rFonts w:ascii="宋体" w:hAnsi="宋体"/>
          <w:color w:val="auto"/>
          <w:sz w:val="24"/>
          <w:szCs w:val="24"/>
          <w:highlight w:val="none"/>
        </w:rPr>
        <w:t xml:space="preserve"> </w:t>
      </w:r>
      <w:r>
        <w:rPr>
          <w:rStyle w:val="24"/>
          <w:rFonts w:hint="eastAsia" w:ascii="宋体" w:hAnsi="宋体"/>
          <w:color w:val="auto"/>
          <w:sz w:val="24"/>
          <w:szCs w:val="24"/>
          <w:highlight w:val="none"/>
        </w:rPr>
        <w:t>采购内容及技术要求</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_Toc79002892 \h </w:instrText>
      </w:r>
      <w:r>
        <w:rPr>
          <w:rFonts w:ascii="宋体" w:hAnsi="宋体"/>
          <w:color w:val="auto"/>
          <w:sz w:val="24"/>
          <w:szCs w:val="24"/>
          <w:highlight w:val="none"/>
        </w:rPr>
        <w:fldChar w:fldCharType="separate"/>
      </w:r>
      <w:r>
        <w:rPr>
          <w:rFonts w:ascii="宋体" w:hAnsi="宋体"/>
          <w:color w:val="auto"/>
          <w:sz w:val="24"/>
          <w:szCs w:val="24"/>
          <w:highlight w:val="none"/>
        </w:rPr>
        <w:t>32</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pPr>
        <w:pStyle w:val="14"/>
        <w:tabs>
          <w:tab w:val="right" w:leader="dot" w:pos="8296"/>
        </w:tabs>
        <w:spacing w:line="440" w:lineRule="exact"/>
        <w:rPr>
          <w:rFonts w:ascii="宋体" w:hAnsi="宋体"/>
          <w:b w:val="0"/>
          <w:bCs w:val="0"/>
          <w:caps w:val="0"/>
          <w:color w:val="auto"/>
          <w:sz w:val="24"/>
          <w:szCs w:val="24"/>
          <w:highlight w:val="none"/>
        </w:rPr>
      </w:pPr>
      <w:r>
        <w:rPr>
          <w:color w:val="auto"/>
          <w:highlight w:val="none"/>
        </w:rPr>
        <w:fldChar w:fldCharType="begin"/>
      </w:r>
      <w:r>
        <w:rPr>
          <w:color w:val="auto"/>
          <w:highlight w:val="none"/>
        </w:rPr>
        <w:instrText xml:space="preserve"> HYPERLINK \l "_Toc79002893" </w:instrText>
      </w:r>
      <w:r>
        <w:rPr>
          <w:color w:val="auto"/>
          <w:highlight w:val="none"/>
        </w:rPr>
        <w:fldChar w:fldCharType="separate"/>
      </w:r>
      <w:r>
        <w:rPr>
          <w:rStyle w:val="24"/>
          <w:rFonts w:hint="eastAsia" w:ascii="宋体" w:hAnsi="宋体"/>
          <w:color w:val="auto"/>
          <w:sz w:val="24"/>
          <w:szCs w:val="24"/>
          <w:highlight w:val="none"/>
        </w:rPr>
        <w:t>第五章</w:t>
      </w:r>
      <w:r>
        <w:rPr>
          <w:rStyle w:val="24"/>
          <w:rFonts w:ascii="宋体" w:hAnsi="宋体"/>
          <w:color w:val="auto"/>
          <w:sz w:val="24"/>
          <w:szCs w:val="24"/>
          <w:highlight w:val="none"/>
        </w:rPr>
        <w:t xml:space="preserve"> </w:t>
      </w:r>
      <w:r>
        <w:rPr>
          <w:rStyle w:val="24"/>
          <w:rFonts w:hint="eastAsia" w:ascii="宋体" w:hAnsi="宋体"/>
          <w:color w:val="auto"/>
          <w:sz w:val="24"/>
          <w:szCs w:val="24"/>
          <w:highlight w:val="none"/>
        </w:rPr>
        <w:t>评审方法</w:t>
      </w:r>
      <w:r>
        <w:rPr>
          <w:rFonts w:ascii="宋体" w:hAnsi="宋体"/>
          <w:color w:val="auto"/>
          <w:sz w:val="24"/>
          <w:szCs w:val="24"/>
          <w:highlight w:val="none"/>
        </w:rPr>
        <w:tab/>
      </w:r>
      <w:r>
        <w:rPr>
          <w:rFonts w:ascii="宋体" w:hAnsi="宋体"/>
          <w:color w:val="auto"/>
          <w:sz w:val="24"/>
          <w:szCs w:val="24"/>
          <w:highlight w:val="none"/>
        </w:rPr>
        <w:fldChar w:fldCharType="end"/>
      </w:r>
      <w:r>
        <w:rPr>
          <w:rStyle w:val="24"/>
          <w:rFonts w:hint="eastAsia" w:ascii="宋体" w:hAnsi="宋体"/>
          <w:color w:val="auto"/>
          <w:sz w:val="24"/>
          <w:szCs w:val="24"/>
          <w:highlight w:val="none"/>
        </w:rPr>
        <w:t>49</w:t>
      </w:r>
    </w:p>
    <w:p>
      <w:pPr>
        <w:pStyle w:val="14"/>
        <w:tabs>
          <w:tab w:val="right" w:leader="dot" w:pos="8296"/>
        </w:tabs>
        <w:spacing w:line="440" w:lineRule="exact"/>
        <w:rPr>
          <w:rFonts w:ascii="宋体" w:hAnsi="宋体"/>
          <w:b w:val="0"/>
          <w:bCs w:val="0"/>
          <w:caps w:val="0"/>
          <w:color w:val="auto"/>
          <w:sz w:val="24"/>
          <w:szCs w:val="24"/>
          <w:highlight w:val="none"/>
        </w:rPr>
      </w:pPr>
      <w:r>
        <w:rPr>
          <w:color w:val="auto"/>
          <w:highlight w:val="none"/>
        </w:rPr>
        <w:fldChar w:fldCharType="begin"/>
      </w:r>
      <w:r>
        <w:rPr>
          <w:color w:val="auto"/>
          <w:highlight w:val="none"/>
        </w:rPr>
        <w:instrText xml:space="preserve"> HYPERLINK \l "_Toc79002894" </w:instrText>
      </w:r>
      <w:r>
        <w:rPr>
          <w:color w:val="auto"/>
          <w:highlight w:val="none"/>
        </w:rPr>
        <w:fldChar w:fldCharType="separate"/>
      </w:r>
      <w:r>
        <w:rPr>
          <w:rStyle w:val="24"/>
          <w:rFonts w:hint="eastAsia" w:ascii="宋体" w:hAnsi="宋体"/>
          <w:color w:val="auto"/>
          <w:sz w:val="24"/>
          <w:szCs w:val="24"/>
          <w:highlight w:val="none"/>
        </w:rPr>
        <w:t>第六章</w:t>
      </w:r>
      <w:r>
        <w:rPr>
          <w:rStyle w:val="24"/>
          <w:rFonts w:ascii="宋体" w:hAnsi="宋体"/>
          <w:color w:val="auto"/>
          <w:sz w:val="24"/>
          <w:szCs w:val="24"/>
          <w:highlight w:val="none"/>
        </w:rPr>
        <w:t xml:space="preserve"> </w:t>
      </w:r>
      <w:r>
        <w:rPr>
          <w:rStyle w:val="24"/>
          <w:rFonts w:hint="eastAsia" w:ascii="宋体" w:hAnsi="宋体"/>
          <w:color w:val="auto"/>
          <w:sz w:val="24"/>
          <w:szCs w:val="24"/>
          <w:highlight w:val="none"/>
        </w:rPr>
        <w:t>谈判响应文件格式</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_Toc79002894 \h </w:instrText>
      </w:r>
      <w:r>
        <w:rPr>
          <w:rFonts w:ascii="宋体" w:hAnsi="宋体"/>
          <w:color w:val="auto"/>
          <w:sz w:val="24"/>
          <w:szCs w:val="24"/>
          <w:highlight w:val="none"/>
        </w:rPr>
        <w:fldChar w:fldCharType="separate"/>
      </w:r>
      <w:r>
        <w:rPr>
          <w:rFonts w:ascii="宋体" w:hAnsi="宋体"/>
          <w:color w:val="auto"/>
          <w:sz w:val="24"/>
          <w:szCs w:val="24"/>
          <w:highlight w:val="none"/>
        </w:rPr>
        <w:t>43</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pPr>
        <w:pStyle w:val="15"/>
        <w:tabs>
          <w:tab w:val="right" w:leader="dot" w:pos="8296"/>
        </w:tabs>
        <w:spacing w:line="440" w:lineRule="exact"/>
        <w:rPr>
          <w:rFonts w:ascii="宋体" w:hAnsi="宋体"/>
          <w:color w:val="auto"/>
          <w:sz w:val="24"/>
          <w:szCs w:val="24"/>
          <w:highlight w:val="none"/>
        </w:rPr>
      </w:pPr>
      <w:r>
        <w:rPr>
          <w:color w:val="auto"/>
          <w:highlight w:val="none"/>
        </w:rPr>
        <w:fldChar w:fldCharType="begin"/>
      </w:r>
      <w:r>
        <w:rPr>
          <w:color w:val="auto"/>
          <w:highlight w:val="none"/>
        </w:rPr>
        <w:instrText xml:space="preserve"> HYPERLINK \l "_Toc79002895" </w:instrText>
      </w:r>
      <w:r>
        <w:rPr>
          <w:color w:val="auto"/>
          <w:highlight w:val="none"/>
        </w:rPr>
        <w:fldChar w:fldCharType="separate"/>
      </w:r>
      <w:r>
        <w:rPr>
          <w:rStyle w:val="24"/>
          <w:rFonts w:hint="eastAsia" w:ascii="宋体" w:hAnsi="宋体" w:cs="宋体"/>
          <w:color w:val="auto"/>
          <w:sz w:val="24"/>
          <w:szCs w:val="24"/>
          <w:highlight w:val="none"/>
        </w:rPr>
        <w:t>（资格部分）</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_Toc79002895 \h </w:instrText>
      </w:r>
      <w:r>
        <w:rPr>
          <w:rFonts w:ascii="宋体" w:hAnsi="宋体"/>
          <w:color w:val="auto"/>
          <w:sz w:val="24"/>
          <w:szCs w:val="24"/>
          <w:highlight w:val="none"/>
        </w:rPr>
        <w:fldChar w:fldCharType="separate"/>
      </w:r>
      <w:r>
        <w:rPr>
          <w:rFonts w:ascii="宋体" w:hAnsi="宋体"/>
          <w:color w:val="auto"/>
          <w:sz w:val="24"/>
          <w:szCs w:val="24"/>
          <w:highlight w:val="none"/>
        </w:rPr>
        <w:t>44</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pPr>
        <w:pStyle w:val="15"/>
        <w:tabs>
          <w:tab w:val="right" w:leader="dot" w:pos="8296"/>
        </w:tabs>
        <w:spacing w:line="440" w:lineRule="exact"/>
        <w:rPr>
          <w:rFonts w:ascii="宋体" w:hAnsi="宋体"/>
          <w:color w:val="auto"/>
          <w:sz w:val="24"/>
          <w:szCs w:val="24"/>
          <w:highlight w:val="none"/>
        </w:rPr>
      </w:pPr>
      <w:r>
        <w:rPr>
          <w:color w:val="auto"/>
          <w:highlight w:val="none"/>
        </w:rPr>
        <w:fldChar w:fldCharType="begin"/>
      </w:r>
      <w:r>
        <w:rPr>
          <w:color w:val="auto"/>
          <w:highlight w:val="none"/>
        </w:rPr>
        <w:instrText xml:space="preserve"> HYPERLINK \l "_Toc79002900" </w:instrText>
      </w:r>
      <w:r>
        <w:rPr>
          <w:color w:val="auto"/>
          <w:highlight w:val="none"/>
        </w:rPr>
        <w:fldChar w:fldCharType="separate"/>
      </w:r>
      <w:r>
        <w:rPr>
          <w:rStyle w:val="24"/>
          <w:rFonts w:hint="eastAsia" w:ascii="宋体" w:hAnsi="宋体" w:cs="宋体"/>
          <w:color w:val="auto"/>
          <w:sz w:val="24"/>
          <w:szCs w:val="24"/>
          <w:highlight w:val="none"/>
        </w:rPr>
        <w:t>（技术和商务部分）</w:t>
      </w:r>
      <w:r>
        <w:rPr>
          <w:rFonts w:ascii="宋体" w:hAnsi="宋体"/>
          <w:color w:val="auto"/>
          <w:sz w:val="24"/>
          <w:szCs w:val="24"/>
          <w:highlight w:val="none"/>
        </w:rPr>
        <w:tab/>
      </w:r>
      <w:r>
        <w:rPr>
          <w:rFonts w:hint="eastAsia" w:ascii="宋体" w:hAnsi="宋体"/>
          <w:color w:val="auto"/>
          <w:sz w:val="24"/>
          <w:szCs w:val="24"/>
          <w:highlight w:val="none"/>
        </w:rPr>
        <w:t>6</w:t>
      </w:r>
      <w:r>
        <w:rPr>
          <w:rFonts w:hint="eastAsia" w:ascii="宋体" w:hAnsi="宋体"/>
          <w:color w:val="auto"/>
          <w:sz w:val="24"/>
          <w:szCs w:val="24"/>
          <w:highlight w:val="none"/>
        </w:rPr>
        <w:fldChar w:fldCharType="end"/>
      </w:r>
      <w:r>
        <w:rPr>
          <w:rStyle w:val="24"/>
          <w:rFonts w:hint="eastAsia" w:ascii="宋体" w:hAnsi="宋体"/>
          <w:color w:val="auto"/>
          <w:sz w:val="24"/>
          <w:szCs w:val="24"/>
          <w:highlight w:val="none"/>
        </w:rPr>
        <w:t>5</w:t>
      </w:r>
    </w:p>
    <w:p>
      <w:pPr>
        <w:spacing w:line="360" w:lineRule="auto"/>
        <w:rPr>
          <w:rFonts w:ascii="宋体" w:hAnsi="宋体" w:cs="宋体"/>
          <w:color w:val="auto"/>
          <w:szCs w:val="21"/>
          <w:highlight w:val="none"/>
        </w:rPr>
      </w:pPr>
      <w:r>
        <w:rPr>
          <w:rFonts w:hint="eastAsia" w:ascii="宋体" w:hAnsi="宋体" w:cs="宋体"/>
          <w:color w:val="auto"/>
          <w:sz w:val="24"/>
          <w:szCs w:val="24"/>
          <w:highlight w:val="none"/>
        </w:rPr>
        <w:fldChar w:fldCharType="end"/>
      </w:r>
      <w:bookmarkStart w:id="0" w:name="_Toc3545"/>
      <w:bookmarkStart w:id="1" w:name="_Toc727"/>
    </w:p>
    <w:p>
      <w:pPr>
        <w:spacing w:before="312" w:beforeLines="100" w:after="312" w:afterLines="100" w:line="360" w:lineRule="auto"/>
        <w:jc w:val="center"/>
        <w:rPr>
          <w:rFonts w:ascii="宋体" w:hAnsi="宋体" w:cs="宋体"/>
          <w:b/>
          <w:color w:val="auto"/>
          <w:kern w:val="0"/>
          <w:sz w:val="32"/>
          <w:szCs w:val="32"/>
          <w:highlight w:val="none"/>
        </w:rPr>
        <w:sectPr>
          <w:headerReference r:id="rId3" w:type="default"/>
          <w:footerReference r:id="rId4" w:type="default"/>
          <w:pgSz w:w="11906" w:h="16838"/>
          <w:pgMar w:top="1440" w:right="1800" w:bottom="1440" w:left="1800" w:header="851" w:footer="992" w:gutter="0"/>
          <w:cols w:space="720" w:num="1"/>
          <w:titlePg/>
          <w:docGrid w:type="lines" w:linePitch="312" w:charSpace="0"/>
        </w:sectPr>
      </w:pPr>
    </w:p>
    <w:p>
      <w:pPr>
        <w:spacing w:before="312" w:beforeLines="100" w:after="312" w:afterLines="100"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第一章 </w:t>
      </w:r>
      <w:bookmarkEnd w:id="0"/>
      <w:bookmarkEnd w:id="1"/>
      <w:r>
        <w:rPr>
          <w:rFonts w:hint="eastAsia" w:ascii="宋体"/>
          <w:b/>
          <w:color w:val="auto"/>
          <w:sz w:val="32"/>
          <w:szCs w:val="32"/>
          <w:highlight w:val="none"/>
        </w:rPr>
        <w:t>竞争性谈判公告</w:t>
      </w:r>
    </w:p>
    <w:tbl>
      <w:tblPr>
        <w:tblStyle w:val="19"/>
        <w:tblW w:w="0" w:type="auto"/>
        <w:tblInd w:w="9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3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25" w:type="dxa"/>
          </w:tcPr>
          <w:p>
            <w:pPr>
              <w:pStyle w:val="6"/>
              <w:shd w:val="clear" w:color="auto" w:fill="FFFFFF"/>
              <w:spacing w:line="360" w:lineRule="auto"/>
              <w:rPr>
                <w:rFonts w:ascii="宋体" w:hAnsi="宋体" w:eastAsia="宋体" w:cs="宋体"/>
                <w:b w:val="0"/>
                <w:color w:val="auto"/>
                <w:kern w:val="0"/>
                <w:sz w:val="21"/>
                <w:szCs w:val="21"/>
                <w:highlight w:val="none"/>
              </w:rPr>
            </w:pPr>
            <w:r>
              <w:rPr>
                <w:rStyle w:val="22"/>
                <w:rFonts w:hint="eastAsia" w:ascii="宋体" w:hAnsi="宋体" w:eastAsia="宋体" w:cs="宋体"/>
                <w:b/>
                <w:color w:val="auto"/>
                <w:szCs w:val="21"/>
                <w:highlight w:val="none"/>
              </w:rPr>
              <w:t>项目概况</w:t>
            </w:r>
          </w:p>
          <w:p>
            <w:pPr>
              <w:pStyle w:val="18"/>
              <w:shd w:val="clear" w:color="auto" w:fill="FFFFFF"/>
              <w:spacing w:before="0" w:beforeAutospacing="0" w:after="0" w:afterAutospacing="0" w:line="360" w:lineRule="auto"/>
              <w:ind w:firstLine="480"/>
              <w:jc w:val="both"/>
              <w:rPr>
                <w:rFonts w:cs="宋体"/>
                <w:color w:val="auto"/>
                <w:sz w:val="21"/>
                <w:szCs w:val="21"/>
                <w:highlight w:val="none"/>
              </w:rPr>
            </w:pPr>
            <w:r>
              <w:rPr>
                <w:rFonts w:hint="eastAsia" w:cs="宋体"/>
                <w:b/>
                <w:bCs/>
                <w:color w:val="auto"/>
                <w:sz w:val="21"/>
                <w:szCs w:val="21"/>
                <w:highlight w:val="none"/>
              </w:rPr>
              <w:t>安全防护警用装备采购项目</w:t>
            </w:r>
            <w:r>
              <w:rPr>
                <w:rFonts w:hint="eastAsia" w:cs="宋体"/>
                <w:b/>
                <w:bCs/>
                <w:color w:val="auto"/>
                <w:sz w:val="21"/>
                <w:szCs w:val="21"/>
                <w:highlight w:val="none"/>
                <w:lang w:eastAsia="zh-CN"/>
              </w:rPr>
              <w:t>（</w:t>
            </w:r>
            <w:r>
              <w:rPr>
                <w:rFonts w:hint="eastAsia" w:cs="宋体"/>
                <w:b/>
                <w:bCs/>
                <w:color w:val="auto"/>
                <w:sz w:val="21"/>
                <w:szCs w:val="21"/>
                <w:highlight w:val="none"/>
                <w:lang w:val="en-US" w:eastAsia="zh-CN"/>
              </w:rPr>
              <w:t>三次）</w:t>
            </w:r>
            <w:r>
              <w:rPr>
                <w:rFonts w:hint="eastAsia" w:cs="宋体"/>
                <w:color w:val="auto"/>
                <w:sz w:val="21"/>
                <w:szCs w:val="21"/>
                <w:highlight w:val="none"/>
              </w:rPr>
              <w:t>的潜在供应商应在</w:t>
            </w:r>
            <w:r>
              <w:rPr>
                <w:rFonts w:hint="eastAsia" w:cs="宋体"/>
                <w:b/>
                <w:bCs/>
                <w:color w:val="auto"/>
                <w:sz w:val="21"/>
                <w:szCs w:val="21"/>
                <w:highlight w:val="none"/>
              </w:rPr>
              <w:t>西安市南二环西段58号成长大厦10层标书发售处（持单位介绍信及授权代表身份证原件及复印件现场登记）</w:t>
            </w:r>
            <w:r>
              <w:rPr>
                <w:rFonts w:hint="eastAsia" w:cs="宋体"/>
                <w:color w:val="auto"/>
                <w:sz w:val="21"/>
                <w:szCs w:val="21"/>
                <w:highlight w:val="none"/>
              </w:rPr>
              <w:t>获取采购文件，并于2023年</w:t>
            </w:r>
            <w:r>
              <w:rPr>
                <w:rFonts w:hint="eastAsia" w:cs="宋体"/>
                <w:color w:val="auto"/>
                <w:sz w:val="21"/>
                <w:szCs w:val="21"/>
                <w:highlight w:val="none"/>
                <w:lang w:val="en-US" w:eastAsia="zh-CN"/>
              </w:rPr>
              <w:t>12</w:t>
            </w:r>
            <w:r>
              <w:rPr>
                <w:rFonts w:hint="eastAsia" w:cs="宋体"/>
                <w:color w:val="auto"/>
                <w:sz w:val="21"/>
                <w:szCs w:val="21"/>
                <w:highlight w:val="none"/>
              </w:rPr>
              <w:t>月</w:t>
            </w:r>
            <w:r>
              <w:rPr>
                <w:rFonts w:hint="eastAsia" w:cs="宋体"/>
                <w:color w:val="auto"/>
                <w:sz w:val="21"/>
                <w:szCs w:val="21"/>
                <w:highlight w:val="none"/>
                <w:lang w:val="en-US" w:eastAsia="zh-CN"/>
              </w:rPr>
              <w:t>07</w:t>
            </w:r>
            <w:r>
              <w:rPr>
                <w:rFonts w:hint="eastAsia" w:cs="宋体"/>
                <w:color w:val="auto"/>
                <w:sz w:val="21"/>
                <w:szCs w:val="21"/>
                <w:highlight w:val="none"/>
              </w:rPr>
              <w:t>日</w:t>
            </w:r>
            <w:r>
              <w:rPr>
                <w:rFonts w:hint="eastAsia" w:cs="宋体"/>
                <w:color w:val="auto"/>
                <w:sz w:val="21"/>
                <w:szCs w:val="21"/>
                <w:highlight w:val="none"/>
                <w:lang w:val="en-US" w:eastAsia="zh-CN"/>
              </w:rPr>
              <w:t>09</w:t>
            </w:r>
            <w:r>
              <w:rPr>
                <w:rFonts w:hint="eastAsia" w:cs="宋体"/>
                <w:color w:val="auto"/>
                <w:sz w:val="21"/>
                <w:szCs w:val="21"/>
                <w:highlight w:val="none"/>
              </w:rPr>
              <w:t>时</w:t>
            </w:r>
            <w:r>
              <w:rPr>
                <w:rFonts w:hint="eastAsia" w:cs="宋体"/>
                <w:color w:val="auto"/>
                <w:sz w:val="21"/>
                <w:szCs w:val="21"/>
                <w:highlight w:val="none"/>
                <w:lang w:val="en-US" w:eastAsia="zh-CN"/>
              </w:rPr>
              <w:t>30</w:t>
            </w:r>
            <w:r>
              <w:rPr>
                <w:rFonts w:hint="eastAsia" w:cs="宋体"/>
                <w:color w:val="auto"/>
                <w:sz w:val="21"/>
                <w:szCs w:val="21"/>
                <w:highlight w:val="none"/>
              </w:rPr>
              <w:t>分（北京时间）前提交响应文件。</w:t>
            </w:r>
          </w:p>
        </w:tc>
      </w:tr>
    </w:tbl>
    <w:p>
      <w:pPr>
        <w:pStyle w:val="5"/>
        <w:shd w:val="clear" w:color="auto" w:fill="FFFFFF"/>
        <w:spacing w:before="0" w:after="0" w:line="360" w:lineRule="auto"/>
        <w:rPr>
          <w:rFonts w:ascii="宋体" w:hAnsi="宋体" w:eastAsia="宋体" w:cs="宋体"/>
          <w:b w:val="0"/>
          <w:color w:val="auto"/>
          <w:sz w:val="21"/>
          <w:szCs w:val="21"/>
          <w:highlight w:val="none"/>
        </w:rPr>
      </w:pPr>
      <w:bookmarkStart w:id="2" w:name="_Hlk85093752"/>
      <w:r>
        <w:rPr>
          <w:rStyle w:val="22"/>
          <w:rFonts w:hint="eastAsia" w:ascii="宋体" w:hAnsi="宋体" w:eastAsia="宋体" w:cs="宋体"/>
          <w:b/>
          <w:bCs/>
          <w:color w:val="auto"/>
          <w:szCs w:val="21"/>
          <w:highlight w:val="none"/>
        </w:rPr>
        <w:t>一、项目基本情况</w:t>
      </w:r>
    </w:p>
    <w:p>
      <w:pPr>
        <w:pStyle w:val="18"/>
        <w:shd w:val="clear" w:color="auto" w:fill="FFFFFF"/>
        <w:spacing w:before="0" w:beforeAutospacing="0" w:after="0" w:afterAutospacing="0" w:line="360" w:lineRule="auto"/>
        <w:ind w:firstLine="420" w:firstLineChars="200"/>
        <w:jc w:val="both"/>
        <w:rPr>
          <w:rFonts w:hint="default" w:eastAsia="宋体" w:cs="宋体"/>
          <w:color w:val="auto"/>
          <w:sz w:val="21"/>
          <w:szCs w:val="21"/>
          <w:highlight w:val="none"/>
          <w:lang w:val="en-US" w:eastAsia="zh-CN"/>
        </w:rPr>
      </w:pPr>
      <w:r>
        <w:rPr>
          <w:rFonts w:hint="eastAsia" w:cs="宋体"/>
          <w:color w:val="auto"/>
          <w:sz w:val="21"/>
          <w:szCs w:val="21"/>
          <w:highlight w:val="none"/>
        </w:rPr>
        <w:t>项目编号：0617-2323HZ</w:t>
      </w:r>
      <w:r>
        <w:rPr>
          <w:rFonts w:hint="eastAsia" w:cs="宋体"/>
          <w:color w:val="auto"/>
          <w:sz w:val="21"/>
          <w:szCs w:val="21"/>
          <w:highlight w:val="none"/>
          <w:lang w:val="en-US" w:eastAsia="zh-CN"/>
        </w:rPr>
        <w:t>2263</w:t>
      </w:r>
    </w:p>
    <w:p>
      <w:pPr>
        <w:pStyle w:val="18"/>
        <w:shd w:val="clear" w:color="auto" w:fill="FFFFFF"/>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rPr>
        <w:t>项目名称：安全防护警用装备采购项目</w:t>
      </w:r>
      <w:r>
        <w:rPr>
          <w:rFonts w:hint="eastAsia" w:cs="宋体"/>
          <w:b/>
          <w:bCs/>
          <w:color w:val="auto"/>
          <w:sz w:val="21"/>
          <w:szCs w:val="21"/>
          <w:highlight w:val="none"/>
          <w:lang w:eastAsia="zh-CN"/>
        </w:rPr>
        <w:t>（</w:t>
      </w:r>
      <w:r>
        <w:rPr>
          <w:rFonts w:hint="eastAsia" w:cs="宋体"/>
          <w:b/>
          <w:bCs/>
          <w:color w:val="auto"/>
          <w:sz w:val="21"/>
          <w:szCs w:val="21"/>
          <w:highlight w:val="none"/>
          <w:lang w:val="en-US" w:eastAsia="zh-CN"/>
        </w:rPr>
        <w:t>三次）</w:t>
      </w:r>
    </w:p>
    <w:p>
      <w:pPr>
        <w:pStyle w:val="18"/>
        <w:shd w:val="clear" w:color="auto" w:fill="FFFFFF"/>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rPr>
        <w:t>采购方式：竞争性谈判</w:t>
      </w:r>
    </w:p>
    <w:p>
      <w:pPr>
        <w:pStyle w:val="18"/>
        <w:shd w:val="clear" w:color="auto" w:fill="FFFFFF"/>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rPr>
        <w:t>预算金额：</w:t>
      </w:r>
      <w:r>
        <w:rPr>
          <w:rFonts w:hint="eastAsia" w:cs="宋体"/>
          <w:bCs/>
          <w:color w:val="auto"/>
          <w:sz w:val="21"/>
          <w:szCs w:val="21"/>
          <w:highlight w:val="none"/>
        </w:rPr>
        <w:t>620000.00元</w:t>
      </w:r>
    </w:p>
    <w:p>
      <w:pPr>
        <w:pStyle w:val="18"/>
        <w:shd w:val="clear" w:color="auto" w:fill="FFFFFF"/>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rPr>
        <w:t>采购需求：</w:t>
      </w:r>
    </w:p>
    <w:p>
      <w:pPr>
        <w:pStyle w:val="18"/>
        <w:shd w:val="clear" w:color="auto" w:fill="FFFFFF"/>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rPr>
        <w:t>合同包1(安全防护警用装备):</w:t>
      </w:r>
    </w:p>
    <w:p>
      <w:pPr>
        <w:pStyle w:val="18"/>
        <w:shd w:val="clear" w:color="auto" w:fill="FFFFFF"/>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rPr>
        <w:t>合同包预算金额：</w:t>
      </w:r>
      <w:r>
        <w:rPr>
          <w:rFonts w:hint="eastAsia" w:cs="宋体"/>
          <w:bCs/>
          <w:color w:val="auto"/>
          <w:sz w:val="21"/>
          <w:szCs w:val="21"/>
          <w:highlight w:val="none"/>
        </w:rPr>
        <w:t>620000.00</w:t>
      </w:r>
      <w:r>
        <w:rPr>
          <w:rFonts w:hint="eastAsia" w:cs="宋体"/>
          <w:color w:val="auto"/>
          <w:sz w:val="21"/>
          <w:szCs w:val="21"/>
          <w:highlight w:val="none"/>
        </w:rPr>
        <w:t>元</w:t>
      </w:r>
    </w:p>
    <w:tbl>
      <w:tblPr>
        <w:tblStyle w:val="19"/>
        <w:tblW w:w="8536" w:type="dxa"/>
        <w:jc w:val="center"/>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Layout w:type="fixed"/>
        <w:tblCellMar>
          <w:top w:w="0" w:type="dxa"/>
          <w:left w:w="0" w:type="dxa"/>
          <w:bottom w:w="0" w:type="dxa"/>
          <w:right w:w="0" w:type="dxa"/>
        </w:tblCellMar>
      </w:tblPr>
      <w:tblGrid>
        <w:gridCol w:w="909"/>
        <w:gridCol w:w="1190"/>
        <w:gridCol w:w="1176"/>
        <w:gridCol w:w="1029"/>
        <w:gridCol w:w="1530"/>
        <w:gridCol w:w="1323"/>
        <w:gridCol w:w="1379"/>
      </w:tblGrid>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80" w:hRule="atLeast"/>
          <w:tblHeader/>
          <w:jc w:val="center"/>
        </w:trPr>
        <w:tc>
          <w:tcPr>
            <w:tcW w:w="909" w:type="dxa"/>
            <w:tcMar>
              <w:top w:w="75" w:type="dxa"/>
              <w:left w:w="120" w:type="dxa"/>
              <w:bottom w:w="75" w:type="dxa"/>
              <w:right w:w="120" w:type="dxa"/>
            </w:tcMar>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品目号</w:t>
            </w:r>
          </w:p>
        </w:tc>
        <w:tc>
          <w:tcPr>
            <w:tcW w:w="1190" w:type="dxa"/>
            <w:tcMar>
              <w:top w:w="75" w:type="dxa"/>
              <w:left w:w="120" w:type="dxa"/>
              <w:bottom w:w="75" w:type="dxa"/>
              <w:right w:w="120" w:type="dxa"/>
            </w:tcMar>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品目名称</w:t>
            </w:r>
          </w:p>
        </w:tc>
        <w:tc>
          <w:tcPr>
            <w:tcW w:w="1176" w:type="dxa"/>
            <w:tcMar>
              <w:top w:w="75" w:type="dxa"/>
              <w:left w:w="120" w:type="dxa"/>
              <w:bottom w:w="75" w:type="dxa"/>
              <w:right w:w="120" w:type="dxa"/>
            </w:tcMar>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采购标的</w:t>
            </w:r>
          </w:p>
        </w:tc>
        <w:tc>
          <w:tcPr>
            <w:tcW w:w="1029" w:type="dxa"/>
            <w:tcMar>
              <w:top w:w="75" w:type="dxa"/>
              <w:left w:w="120" w:type="dxa"/>
              <w:bottom w:w="75" w:type="dxa"/>
              <w:right w:w="120" w:type="dxa"/>
            </w:tcMar>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（单位）</w:t>
            </w:r>
          </w:p>
        </w:tc>
        <w:tc>
          <w:tcPr>
            <w:tcW w:w="1530" w:type="dxa"/>
            <w:tcMar>
              <w:top w:w="75" w:type="dxa"/>
              <w:left w:w="120" w:type="dxa"/>
              <w:bottom w:w="75" w:type="dxa"/>
              <w:right w:w="120" w:type="dxa"/>
            </w:tcMar>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技术规格</w:t>
            </w:r>
          </w:p>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参数及要求</w:t>
            </w:r>
          </w:p>
        </w:tc>
        <w:tc>
          <w:tcPr>
            <w:tcW w:w="1323" w:type="dxa"/>
            <w:tcMar>
              <w:top w:w="75" w:type="dxa"/>
              <w:left w:w="120" w:type="dxa"/>
              <w:bottom w:w="75" w:type="dxa"/>
              <w:right w:w="120" w:type="dxa"/>
            </w:tcMar>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品目预算(元)</w:t>
            </w:r>
          </w:p>
        </w:tc>
        <w:tc>
          <w:tcPr>
            <w:tcW w:w="1379" w:type="dxa"/>
            <w:tcMar>
              <w:top w:w="75" w:type="dxa"/>
              <w:left w:w="120" w:type="dxa"/>
              <w:bottom w:w="75" w:type="dxa"/>
              <w:right w:w="120" w:type="dxa"/>
            </w:tcMar>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最高限价(元)</w:t>
            </w: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1439" w:hRule="atLeast"/>
          <w:jc w:val="center"/>
        </w:trPr>
        <w:tc>
          <w:tcPr>
            <w:tcW w:w="909" w:type="dxa"/>
            <w:tcMar>
              <w:top w:w="75" w:type="dxa"/>
              <w:left w:w="120" w:type="dxa"/>
              <w:bottom w:w="75" w:type="dxa"/>
              <w:right w:w="120" w:type="dxa"/>
            </w:tcMar>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1190" w:type="dxa"/>
            <w:tcMar>
              <w:top w:w="75" w:type="dxa"/>
              <w:left w:w="120" w:type="dxa"/>
              <w:bottom w:w="75" w:type="dxa"/>
              <w:right w:w="120" w:type="dxa"/>
            </w:tcMar>
            <w:vAlign w:val="center"/>
          </w:tcPr>
          <w:p>
            <w:pPr>
              <w:spacing w:line="360" w:lineRule="auto"/>
              <w:jc w:val="center"/>
              <w:rPr>
                <w:rFonts w:ascii="宋体" w:hAnsi="宋体" w:cs="宋体"/>
                <w:color w:val="auto"/>
                <w:kern w:val="0"/>
                <w:szCs w:val="21"/>
                <w:highlight w:val="none"/>
              </w:rPr>
            </w:pPr>
            <w:r>
              <w:rPr>
                <w:rFonts w:hint="eastAsia" w:ascii="宋体" w:hAnsi="宋体" w:eastAsia="宋体" w:cs="宋体"/>
                <w:i w:val="0"/>
                <w:iCs w:val="0"/>
                <w:caps w:val="0"/>
                <w:color w:val="auto"/>
                <w:spacing w:val="0"/>
                <w:kern w:val="0"/>
                <w:sz w:val="21"/>
                <w:szCs w:val="21"/>
                <w:highlight w:val="none"/>
                <w:shd w:val="clear"/>
              </w:rPr>
              <w:t>交通管理设备</w:t>
            </w:r>
          </w:p>
        </w:tc>
        <w:tc>
          <w:tcPr>
            <w:tcW w:w="1176" w:type="dxa"/>
            <w:tcMar>
              <w:top w:w="75" w:type="dxa"/>
              <w:left w:w="120" w:type="dxa"/>
              <w:bottom w:w="75" w:type="dxa"/>
              <w:right w:w="120" w:type="dxa"/>
            </w:tcMar>
            <w:vAlign w:val="center"/>
          </w:tcPr>
          <w:p>
            <w:pPr>
              <w:spacing w:line="360" w:lineRule="auto"/>
              <w:jc w:val="center"/>
              <w:rPr>
                <w:rFonts w:ascii="宋体" w:hAnsi="宋体" w:cs="宋体"/>
                <w:color w:val="auto"/>
                <w:kern w:val="0"/>
                <w:szCs w:val="21"/>
                <w:highlight w:val="none"/>
              </w:rPr>
            </w:pPr>
            <w:r>
              <w:rPr>
                <w:rFonts w:hint="eastAsia" w:ascii="宋体" w:hAnsi="宋体" w:eastAsia="宋体" w:cs="宋体"/>
                <w:i w:val="0"/>
                <w:iCs w:val="0"/>
                <w:caps w:val="0"/>
                <w:color w:val="auto"/>
                <w:spacing w:val="0"/>
                <w:kern w:val="0"/>
                <w:sz w:val="21"/>
                <w:szCs w:val="21"/>
                <w:highlight w:val="none"/>
                <w:shd w:val="clear"/>
              </w:rPr>
              <w:t>单警装备购置（中省）</w:t>
            </w:r>
          </w:p>
        </w:tc>
        <w:tc>
          <w:tcPr>
            <w:tcW w:w="1029" w:type="dxa"/>
            <w:tcMar>
              <w:top w:w="75" w:type="dxa"/>
              <w:left w:w="120" w:type="dxa"/>
              <w:bottom w:w="75" w:type="dxa"/>
              <w:right w:w="120" w:type="dxa"/>
            </w:tcMar>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1(批)</w:t>
            </w:r>
          </w:p>
        </w:tc>
        <w:tc>
          <w:tcPr>
            <w:tcW w:w="1530" w:type="dxa"/>
            <w:tcMar>
              <w:top w:w="75" w:type="dxa"/>
              <w:left w:w="120" w:type="dxa"/>
              <w:bottom w:w="75" w:type="dxa"/>
              <w:right w:w="120" w:type="dxa"/>
            </w:tcMar>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详见采购文件</w:t>
            </w:r>
          </w:p>
        </w:tc>
        <w:tc>
          <w:tcPr>
            <w:tcW w:w="1323" w:type="dxa"/>
            <w:tcMar>
              <w:top w:w="75" w:type="dxa"/>
              <w:left w:w="120" w:type="dxa"/>
              <w:bottom w:w="75" w:type="dxa"/>
              <w:right w:w="120" w:type="dxa"/>
            </w:tcMar>
            <w:vAlign w:val="center"/>
          </w:tcPr>
          <w:p>
            <w:pPr>
              <w:spacing w:line="360" w:lineRule="auto"/>
              <w:jc w:val="center"/>
              <w:rPr>
                <w:rFonts w:ascii="宋体" w:hAnsi="宋体" w:cs="宋体"/>
                <w:color w:val="auto"/>
                <w:kern w:val="0"/>
                <w:szCs w:val="21"/>
                <w:highlight w:val="none"/>
              </w:rPr>
            </w:pPr>
            <w:r>
              <w:rPr>
                <w:rFonts w:hint="eastAsia" w:ascii="宋体" w:hAnsi="宋体" w:cs="宋体"/>
                <w:bCs/>
                <w:color w:val="auto"/>
                <w:kern w:val="0"/>
                <w:szCs w:val="21"/>
                <w:highlight w:val="none"/>
              </w:rPr>
              <w:t>620000.00</w:t>
            </w:r>
          </w:p>
        </w:tc>
        <w:tc>
          <w:tcPr>
            <w:tcW w:w="1379" w:type="dxa"/>
            <w:tcMar>
              <w:top w:w="75" w:type="dxa"/>
              <w:left w:w="120" w:type="dxa"/>
              <w:bottom w:w="75" w:type="dxa"/>
              <w:right w:w="120" w:type="dxa"/>
            </w:tcMar>
            <w:vAlign w:val="center"/>
          </w:tcPr>
          <w:p>
            <w:pPr>
              <w:spacing w:line="360" w:lineRule="auto"/>
              <w:jc w:val="center"/>
              <w:rPr>
                <w:rFonts w:ascii="宋体" w:hAnsi="宋体" w:eastAsia="仿宋_GB2312" w:cs="宋体"/>
                <w:color w:val="auto"/>
                <w:kern w:val="0"/>
                <w:szCs w:val="21"/>
                <w:highlight w:val="none"/>
              </w:rPr>
            </w:pPr>
            <w:r>
              <w:rPr>
                <w:rFonts w:hint="eastAsia" w:ascii="宋体" w:hAnsi="宋体" w:cs="宋体"/>
                <w:bCs/>
                <w:color w:val="auto"/>
                <w:kern w:val="0"/>
                <w:szCs w:val="21"/>
                <w:highlight w:val="none"/>
              </w:rPr>
              <w:t>620000.00</w:t>
            </w:r>
          </w:p>
        </w:tc>
      </w:tr>
    </w:tbl>
    <w:p>
      <w:pPr>
        <w:pStyle w:val="18"/>
        <w:shd w:val="clear" w:color="auto" w:fill="FFFFFF"/>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rPr>
        <w:t>本合同包不接受联合体投标。</w:t>
      </w:r>
    </w:p>
    <w:p>
      <w:pPr>
        <w:pStyle w:val="18"/>
        <w:shd w:val="clear" w:color="auto" w:fill="FFFFFF"/>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rPr>
        <w:t>合同履行期限：</w:t>
      </w:r>
      <w:r>
        <w:rPr>
          <w:rFonts w:hint="eastAsia" w:cs="宋体"/>
          <w:bCs/>
          <w:color w:val="auto"/>
          <w:sz w:val="21"/>
          <w:szCs w:val="21"/>
          <w:highlight w:val="none"/>
        </w:rPr>
        <w:t>按采购人要求</w:t>
      </w:r>
    </w:p>
    <w:p>
      <w:pPr>
        <w:pStyle w:val="5"/>
        <w:shd w:val="clear" w:color="auto" w:fill="FFFFFF"/>
        <w:spacing w:before="0" w:after="0" w:line="360" w:lineRule="auto"/>
        <w:rPr>
          <w:rFonts w:ascii="宋体" w:hAnsi="宋体" w:eastAsia="宋体" w:cs="宋体"/>
          <w:b w:val="0"/>
          <w:color w:val="auto"/>
          <w:sz w:val="21"/>
          <w:szCs w:val="21"/>
          <w:highlight w:val="none"/>
        </w:rPr>
      </w:pPr>
      <w:r>
        <w:rPr>
          <w:rStyle w:val="22"/>
          <w:rFonts w:hint="eastAsia" w:ascii="宋体" w:hAnsi="宋体" w:eastAsia="宋体" w:cs="宋体"/>
          <w:b/>
          <w:bCs/>
          <w:color w:val="auto"/>
          <w:szCs w:val="21"/>
          <w:highlight w:val="none"/>
        </w:rPr>
        <w:t>二、申请人的资格要求：</w:t>
      </w:r>
    </w:p>
    <w:p>
      <w:pPr>
        <w:pStyle w:val="18"/>
        <w:shd w:val="clear" w:color="auto" w:fill="FFFFFF"/>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rPr>
        <w:t>1.满足《中华人民共和国政府采购法》第二十二条规定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2.落实政府采购政策需满足的资格要求：无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3.本项目的特定资格要求：无</w:t>
      </w:r>
    </w:p>
    <w:p>
      <w:pPr>
        <w:pStyle w:val="5"/>
        <w:shd w:val="clear" w:color="auto" w:fill="FFFFFF"/>
        <w:spacing w:before="0" w:after="0" w:line="360" w:lineRule="auto"/>
        <w:rPr>
          <w:rFonts w:ascii="宋体" w:hAnsi="宋体" w:eastAsia="宋体" w:cs="宋体"/>
          <w:b w:val="0"/>
          <w:color w:val="auto"/>
          <w:sz w:val="21"/>
          <w:szCs w:val="21"/>
          <w:highlight w:val="none"/>
        </w:rPr>
      </w:pPr>
      <w:r>
        <w:rPr>
          <w:rStyle w:val="22"/>
          <w:rFonts w:hint="eastAsia" w:ascii="宋体" w:hAnsi="宋体" w:eastAsia="宋体" w:cs="宋体"/>
          <w:b/>
          <w:bCs/>
          <w:color w:val="auto"/>
          <w:szCs w:val="21"/>
          <w:highlight w:val="none"/>
        </w:rPr>
        <w:t>三、获取采购文件</w:t>
      </w:r>
    </w:p>
    <w:p>
      <w:pPr>
        <w:pStyle w:val="18"/>
        <w:shd w:val="clear" w:color="auto" w:fill="FFFFFF"/>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rPr>
        <w:t>时间：2023年</w:t>
      </w:r>
      <w:r>
        <w:rPr>
          <w:rFonts w:hint="eastAsia" w:cs="宋体"/>
          <w:color w:val="auto"/>
          <w:sz w:val="21"/>
          <w:szCs w:val="21"/>
          <w:highlight w:val="none"/>
          <w:lang w:val="en-US" w:eastAsia="zh-CN"/>
        </w:rPr>
        <w:t>12</w:t>
      </w:r>
      <w:r>
        <w:rPr>
          <w:rFonts w:hint="eastAsia" w:cs="宋体"/>
          <w:color w:val="auto"/>
          <w:sz w:val="21"/>
          <w:szCs w:val="21"/>
          <w:highlight w:val="none"/>
        </w:rPr>
        <w:t>月</w:t>
      </w:r>
      <w:r>
        <w:rPr>
          <w:rFonts w:hint="eastAsia" w:cs="宋体"/>
          <w:color w:val="auto"/>
          <w:sz w:val="21"/>
          <w:szCs w:val="21"/>
          <w:highlight w:val="none"/>
          <w:lang w:val="en-US" w:eastAsia="zh-CN"/>
        </w:rPr>
        <w:t>01</w:t>
      </w:r>
      <w:r>
        <w:rPr>
          <w:rFonts w:hint="eastAsia" w:cs="宋体"/>
          <w:color w:val="auto"/>
          <w:sz w:val="21"/>
          <w:szCs w:val="21"/>
          <w:highlight w:val="none"/>
        </w:rPr>
        <w:t>日至2023年</w:t>
      </w:r>
      <w:r>
        <w:rPr>
          <w:rFonts w:hint="eastAsia" w:cs="宋体"/>
          <w:color w:val="auto"/>
          <w:sz w:val="21"/>
          <w:szCs w:val="21"/>
          <w:highlight w:val="none"/>
          <w:lang w:val="en-US" w:eastAsia="zh-CN"/>
        </w:rPr>
        <w:t>12</w:t>
      </w:r>
      <w:r>
        <w:rPr>
          <w:rFonts w:hint="eastAsia" w:cs="宋体"/>
          <w:color w:val="auto"/>
          <w:sz w:val="21"/>
          <w:szCs w:val="21"/>
          <w:highlight w:val="none"/>
        </w:rPr>
        <w:t>月</w:t>
      </w:r>
      <w:r>
        <w:rPr>
          <w:rFonts w:hint="eastAsia" w:cs="宋体"/>
          <w:color w:val="auto"/>
          <w:sz w:val="21"/>
          <w:szCs w:val="21"/>
          <w:highlight w:val="none"/>
          <w:lang w:val="en-US" w:eastAsia="zh-CN"/>
        </w:rPr>
        <w:t>06</w:t>
      </w:r>
      <w:r>
        <w:rPr>
          <w:rFonts w:hint="eastAsia" w:cs="宋体"/>
          <w:color w:val="auto"/>
          <w:sz w:val="21"/>
          <w:szCs w:val="21"/>
          <w:highlight w:val="none"/>
        </w:rPr>
        <w:t>日，每天上午08:30:00至12:00:00，下午13:30:00至16:30:00（北京时间,法定节假日除外）</w:t>
      </w:r>
    </w:p>
    <w:p>
      <w:pPr>
        <w:pStyle w:val="18"/>
        <w:spacing w:before="0" w:beforeAutospacing="0" w:after="0" w:afterAutospacing="0" w:line="360" w:lineRule="auto"/>
        <w:ind w:firstLine="420" w:firstLineChars="200"/>
        <w:jc w:val="both"/>
        <w:rPr>
          <w:rFonts w:cs="宋体"/>
          <w:color w:val="auto"/>
          <w:kern w:val="2"/>
          <w:sz w:val="21"/>
          <w:szCs w:val="21"/>
          <w:highlight w:val="none"/>
        </w:rPr>
      </w:pPr>
      <w:r>
        <w:rPr>
          <w:rFonts w:hint="eastAsia" w:cs="宋体"/>
          <w:color w:val="auto"/>
          <w:sz w:val="21"/>
          <w:szCs w:val="21"/>
          <w:highlight w:val="none"/>
        </w:rPr>
        <w:t>途径：</w:t>
      </w:r>
      <w:r>
        <w:rPr>
          <w:rFonts w:hint="eastAsia" w:cs="宋体"/>
          <w:color w:val="auto"/>
          <w:kern w:val="2"/>
          <w:sz w:val="21"/>
          <w:szCs w:val="21"/>
          <w:highlight w:val="none"/>
        </w:rPr>
        <w:t>西安市南二环西段58号成长大厦10层标书发售处</w:t>
      </w:r>
      <w:r>
        <w:rPr>
          <w:rFonts w:hint="eastAsia" w:cs="宋体"/>
          <w:b/>
          <w:bCs/>
          <w:color w:val="auto"/>
          <w:sz w:val="21"/>
          <w:szCs w:val="21"/>
          <w:highlight w:val="none"/>
        </w:rPr>
        <w:t>（持单位介绍信及授权代表身份证原件及复印件现场登记）</w:t>
      </w:r>
    </w:p>
    <w:p>
      <w:pPr>
        <w:pStyle w:val="18"/>
        <w:shd w:val="clear" w:color="auto" w:fill="FFFFFF"/>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rPr>
        <w:t>方式：现场获取</w:t>
      </w:r>
    </w:p>
    <w:p>
      <w:pPr>
        <w:pStyle w:val="18"/>
        <w:shd w:val="clear" w:color="auto" w:fill="FFFFFF"/>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rPr>
        <w:t>售价：0元</w:t>
      </w:r>
    </w:p>
    <w:p>
      <w:pPr>
        <w:pStyle w:val="5"/>
        <w:shd w:val="clear" w:color="auto" w:fill="FFFFFF"/>
        <w:spacing w:before="0" w:after="0" w:line="360" w:lineRule="auto"/>
        <w:rPr>
          <w:rFonts w:ascii="宋体" w:hAnsi="宋体" w:eastAsia="宋体" w:cs="宋体"/>
          <w:b w:val="0"/>
          <w:color w:val="auto"/>
          <w:sz w:val="21"/>
          <w:szCs w:val="21"/>
          <w:highlight w:val="none"/>
        </w:rPr>
      </w:pPr>
      <w:r>
        <w:rPr>
          <w:rStyle w:val="22"/>
          <w:rFonts w:hint="eastAsia" w:ascii="宋体" w:hAnsi="宋体" w:eastAsia="宋体" w:cs="宋体"/>
          <w:b/>
          <w:bCs/>
          <w:color w:val="auto"/>
          <w:szCs w:val="21"/>
          <w:highlight w:val="none"/>
        </w:rPr>
        <w:t>四、响应文件提交</w:t>
      </w:r>
    </w:p>
    <w:p>
      <w:pPr>
        <w:pStyle w:val="18"/>
        <w:shd w:val="clear" w:color="auto" w:fill="FFFFFF"/>
        <w:spacing w:before="0" w:beforeAutospacing="0" w:after="0" w:afterAutospacing="0" w:line="360" w:lineRule="auto"/>
        <w:ind w:firstLine="420" w:firstLineChars="200"/>
        <w:jc w:val="both"/>
        <w:rPr>
          <w:rFonts w:cs="宋体"/>
          <w:color w:val="auto"/>
          <w:kern w:val="2"/>
          <w:sz w:val="21"/>
          <w:szCs w:val="21"/>
          <w:highlight w:val="none"/>
        </w:rPr>
      </w:pPr>
      <w:r>
        <w:rPr>
          <w:rFonts w:hint="eastAsia" w:cs="宋体"/>
          <w:color w:val="auto"/>
          <w:kern w:val="2"/>
          <w:sz w:val="21"/>
          <w:szCs w:val="21"/>
          <w:highlight w:val="none"/>
        </w:rPr>
        <w:t>截止时间：2023年</w:t>
      </w:r>
      <w:r>
        <w:rPr>
          <w:rFonts w:hint="eastAsia" w:cs="宋体"/>
          <w:color w:val="auto"/>
          <w:kern w:val="2"/>
          <w:sz w:val="21"/>
          <w:szCs w:val="21"/>
          <w:highlight w:val="none"/>
          <w:lang w:val="en-US" w:eastAsia="zh-CN"/>
        </w:rPr>
        <w:t>12</w:t>
      </w:r>
      <w:r>
        <w:rPr>
          <w:rFonts w:hint="eastAsia" w:cs="宋体"/>
          <w:color w:val="auto"/>
          <w:kern w:val="2"/>
          <w:sz w:val="21"/>
          <w:szCs w:val="21"/>
          <w:highlight w:val="none"/>
        </w:rPr>
        <w:t>月</w:t>
      </w:r>
      <w:r>
        <w:rPr>
          <w:rFonts w:hint="eastAsia" w:cs="宋体"/>
          <w:color w:val="auto"/>
          <w:kern w:val="2"/>
          <w:sz w:val="21"/>
          <w:szCs w:val="21"/>
          <w:highlight w:val="none"/>
          <w:lang w:val="en-US" w:eastAsia="zh-CN"/>
        </w:rPr>
        <w:t>07</w:t>
      </w:r>
      <w:r>
        <w:rPr>
          <w:rFonts w:hint="eastAsia" w:cs="宋体"/>
          <w:color w:val="auto"/>
          <w:kern w:val="2"/>
          <w:sz w:val="21"/>
          <w:szCs w:val="21"/>
          <w:highlight w:val="none"/>
        </w:rPr>
        <w:t>日</w:t>
      </w:r>
      <w:r>
        <w:rPr>
          <w:rFonts w:hint="eastAsia" w:cs="宋体"/>
          <w:color w:val="auto"/>
          <w:kern w:val="2"/>
          <w:sz w:val="21"/>
          <w:szCs w:val="21"/>
          <w:highlight w:val="none"/>
          <w:lang w:val="en-US" w:eastAsia="zh-CN"/>
        </w:rPr>
        <w:t>09</w:t>
      </w:r>
      <w:r>
        <w:rPr>
          <w:rFonts w:hint="eastAsia" w:cs="宋体"/>
          <w:color w:val="auto"/>
          <w:kern w:val="2"/>
          <w:sz w:val="21"/>
          <w:szCs w:val="21"/>
          <w:highlight w:val="none"/>
        </w:rPr>
        <w:t>时</w:t>
      </w:r>
      <w:r>
        <w:rPr>
          <w:rFonts w:hint="eastAsia" w:cs="宋体"/>
          <w:color w:val="auto"/>
          <w:kern w:val="2"/>
          <w:sz w:val="21"/>
          <w:szCs w:val="21"/>
          <w:highlight w:val="none"/>
          <w:lang w:val="en-US" w:eastAsia="zh-CN"/>
        </w:rPr>
        <w:t>30</w:t>
      </w:r>
      <w:r>
        <w:rPr>
          <w:rFonts w:hint="eastAsia" w:cs="宋体"/>
          <w:color w:val="auto"/>
          <w:kern w:val="2"/>
          <w:sz w:val="21"/>
          <w:szCs w:val="21"/>
          <w:highlight w:val="none"/>
        </w:rPr>
        <w:t>分（北京时间）</w:t>
      </w:r>
    </w:p>
    <w:p>
      <w:pPr>
        <w:pStyle w:val="18"/>
        <w:shd w:val="clear" w:color="auto" w:fill="FFFFFF"/>
        <w:spacing w:before="0" w:beforeAutospacing="0" w:after="0" w:afterAutospacing="0" w:line="360" w:lineRule="auto"/>
        <w:ind w:firstLine="420" w:firstLineChars="200"/>
        <w:jc w:val="both"/>
        <w:rPr>
          <w:rFonts w:cs="宋体"/>
          <w:color w:val="auto"/>
          <w:kern w:val="2"/>
          <w:sz w:val="21"/>
          <w:szCs w:val="21"/>
          <w:highlight w:val="none"/>
        </w:rPr>
      </w:pPr>
      <w:r>
        <w:rPr>
          <w:rFonts w:hint="eastAsia" w:cs="宋体"/>
          <w:color w:val="auto"/>
          <w:kern w:val="2"/>
          <w:sz w:val="21"/>
          <w:szCs w:val="21"/>
          <w:highlight w:val="none"/>
        </w:rPr>
        <w:t>地点：西安市南二环西段58号成长大厦10层会议室</w:t>
      </w:r>
    </w:p>
    <w:p>
      <w:pPr>
        <w:pStyle w:val="5"/>
        <w:numPr>
          <w:ilvl w:val="0"/>
          <w:numId w:val="1"/>
        </w:numPr>
        <w:shd w:val="clear" w:color="auto" w:fill="FFFFFF"/>
        <w:spacing w:before="0" w:after="0" w:line="360" w:lineRule="auto"/>
        <w:rPr>
          <w:rStyle w:val="22"/>
          <w:rFonts w:ascii="宋体" w:hAnsi="宋体" w:eastAsia="宋体" w:cs="宋体"/>
          <w:b/>
          <w:bCs/>
          <w:color w:val="auto"/>
          <w:szCs w:val="21"/>
          <w:highlight w:val="none"/>
        </w:rPr>
      </w:pPr>
      <w:r>
        <w:rPr>
          <w:rStyle w:val="22"/>
          <w:rFonts w:hint="eastAsia" w:ascii="宋体" w:hAnsi="宋体" w:eastAsia="宋体" w:cs="宋体"/>
          <w:b/>
          <w:bCs/>
          <w:color w:val="auto"/>
          <w:szCs w:val="21"/>
          <w:highlight w:val="none"/>
        </w:rPr>
        <w:t>开启</w:t>
      </w:r>
    </w:p>
    <w:p>
      <w:pPr>
        <w:pStyle w:val="18"/>
        <w:shd w:val="clear" w:color="auto" w:fill="FFFFFF"/>
        <w:spacing w:before="0" w:beforeAutospacing="0" w:after="0" w:afterAutospacing="0" w:line="360" w:lineRule="auto"/>
        <w:ind w:firstLine="420" w:firstLineChars="200"/>
        <w:jc w:val="both"/>
        <w:rPr>
          <w:rFonts w:cs="宋体"/>
          <w:color w:val="auto"/>
          <w:kern w:val="2"/>
          <w:sz w:val="21"/>
          <w:szCs w:val="21"/>
          <w:highlight w:val="none"/>
        </w:rPr>
      </w:pPr>
      <w:r>
        <w:rPr>
          <w:rFonts w:hint="eastAsia" w:cs="宋体"/>
          <w:color w:val="auto"/>
          <w:kern w:val="2"/>
          <w:sz w:val="21"/>
          <w:szCs w:val="21"/>
          <w:highlight w:val="none"/>
        </w:rPr>
        <w:t>时间：2023年</w:t>
      </w:r>
      <w:r>
        <w:rPr>
          <w:rFonts w:hint="eastAsia" w:cs="宋体"/>
          <w:color w:val="auto"/>
          <w:kern w:val="2"/>
          <w:sz w:val="21"/>
          <w:szCs w:val="21"/>
          <w:highlight w:val="none"/>
          <w:lang w:val="en-US" w:eastAsia="zh-CN"/>
        </w:rPr>
        <w:t>12</w:t>
      </w:r>
      <w:r>
        <w:rPr>
          <w:rFonts w:hint="eastAsia" w:cs="宋体"/>
          <w:color w:val="auto"/>
          <w:kern w:val="2"/>
          <w:sz w:val="21"/>
          <w:szCs w:val="21"/>
          <w:highlight w:val="none"/>
        </w:rPr>
        <w:t>月</w:t>
      </w:r>
      <w:r>
        <w:rPr>
          <w:rFonts w:hint="eastAsia" w:cs="宋体"/>
          <w:color w:val="auto"/>
          <w:kern w:val="2"/>
          <w:sz w:val="21"/>
          <w:szCs w:val="21"/>
          <w:highlight w:val="none"/>
          <w:lang w:val="en-US" w:eastAsia="zh-CN"/>
        </w:rPr>
        <w:t>07</w:t>
      </w:r>
      <w:r>
        <w:rPr>
          <w:rFonts w:hint="eastAsia" w:cs="宋体"/>
          <w:color w:val="auto"/>
          <w:kern w:val="2"/>
          <w:sz w:val="21"/>
          <w:szCs w:val="21"/>
          <w:highlight w:val="none"/>
        </w:rPr>
        <w:t>日</w:t>
      </w:r>
      <w:r>
        <w:rPr>
          <w:rFonts w:hint="eastAsia" w:cs="宋体"/>
          <w:color w:val="auto"/>
          <w:kern w:val="2"/>
          <w:sz w:val="21"/>
          <w:szCs w:val="21"/>
          <w:highlight w:val="none"/>
          <w:lang w:val="en-US" w:eastAsia="zh-CN"/>
        </w:rPr>
        <w:t>09</w:t>
      </w:r>
      <w:r>
        <w:rPr>
          <w:rFonts w:hint="eastAsia" w:cs="宋体"/>
          <w:color w:val="auto"/>
          <w:kern w:val="2"/>
          <w:sz w:val="21"/>
          <w:szCs w:val="21"/>
          <w:highlight w:val="none"/>
        </w:rPr>
        <w:t>时</w:t>
      </w:r>
      <w:r>
        <w:rPr>
          <w:rFonts w:hint="eastAsia" w:cs="宋体"/>
          <w:color w:val="auto"/>
          <w:kern w:val="2"/>
          <w:sz w:val="21"/>
          <w:szCs w:val="21"/>
          <w:highlight w:val="none"/>
          <w:lang w:val="en-US" w:eastAsia="zh-CN"/>
        </w:rPr>
        <w:t>30</w:t>
      </w:r>
      <w:r>
        <w:rPr>
          <w:rFonts w:hint="eastAsia" w:cs="宋体"/>
          <w:color w:val="auto"/>
          <w:kern w:val="2"/>
          <w:sz w:val="21"/>
          <w:szCs w:val="21"/>
          <w:highlight w:val="none"/>
        </w:rPr>
        <w:t>分（北京时间）</w:t>
      </w:r>
    </w:p>
    <w:p>
      <w:pPr>
        <w:pStyle w:val="5"/>
        <w:shd w:val="clear" w:color="auto" w:fill="FFFFFF"/>
        <w:spacing w:before="0" w:after="0" w:line="360" w:lineRule="auto"/>
        <w:ind w:firstLine="420" w:firstLine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地点：西安市南二环西段58号成长大厦10层会议室</w:t>
      </w:r>
    </w:p>
    <w:p>
      <w:pPr>
        <w:pStyle w:val="5"/>
        <w:shd w:val="clear" w:color="auto" w:fill="FFFFFF"/>
        <w:spacing w:before="0" w:after="0" w:line="360" w:lineRule="auto"/>
        <w:rPr>
          <w:rFonts w:ascii="宋体" w:hAnsi="宋体" w:eastAsia="宋体" w:cs="宋体"/>
          <w:b w:val="0"/>
          <w:color w:val="auto"/>
          <w:sz w:val="21"/>
          <w:szCs w:val="21"/>
          <w:highlight w:val="none"/>
        </w:rPr>
      </w:pPr>
      <w:r>
        <w:rPr>
          <w:rStyle w:val="22"/>
          <w:rFonts w:hint="eastAsia" w:ascii="宋体" w:hAnsi="宋体" w:eastAsia="宋体" w:cs="宋体"/>
          <w:b/>
          <w:bCs/>
          <w:color w:val="auto"/>
          <w:szCs w:val="21"/>
          <w:highlight w:val="none"/>
        </w:rPr>
        <w:t>六、公告期限</w:t>
      </w:r>
    </w:p>
    <w:p>
      <w:pPr>
        <w:pStyle w:val="18"/>
        <w:shd w:val="clear" w:color="auto" w:fill="FFFFFF"/>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rPr>
        <w:t>自本公告发布之日起3个工作日。</w:t>
      </w:r>
    </w:p>
    <w:p>
      <w:pPr>
        <w:pStyle w:val="5"/>
        <w:shd w:val="clear" w:color="auto" w:fill="FFFFFF"/>
        <w:spacing w:before="0" w:after="0" w:line="360" w:lineRule="auto"/>
        <w:rPr>
          <w:rFonts w:ascii="宋体" w:hAnsi="宋体" w:eastAsia="宋体" w:cs="宋体"/>
          <w:b w:val="0"/>
          <w:color w:val="auto"/>
          <w:sz w:val="21"/>
          <w:szCs w:val="21"/>
          <w:highlight w:val="none"/>
        </w:rPr>
      </w:pPr>
      <w:r>
        <w:rPr>
          <w:rStyle w:val="22"/>
          <w:rFonts w:hint="eastAsia" w:ascii="宋体" w:hAnsi="宋体" w:eastAsia="宋体" w:cs="宋体"/>
          <w:b/>
          <w:bCs/>
          <w:color w:val="auto"/>
          <w:szCs w:val="21"/>
          <w:highlight w:val="none"/>
        </w:rPr>
        <w:t>七、其他补充事宜</w:t>
      </w:r>
    </w:p>
    <w:bookmarkEnd w:id="2"/>
    <w:p>
      <w:pPr>
        <w:widowControl/>
        <w:tabs>
          <w:tab w:val="left" w:pos="1620"/>
        </w:tabs>
        <w:spacing w:line="360" w:lineRule="auto"/>
        <w:ind w:firstLine="422" w:firstLineChars="200"/>
        <w:jc w:val="left"/>
        <w:outlineLvl w:val="1"/>
        <w:rPr>
          <w:rFonts w:ascii="宋体" w:hAnsi="宋体" w:cs="宋体"/>
          <w:b/>
          <w:bCs/>
          <w:color w:val="auto"/>
          <w:szCs w:val="21"/>
          <w:highlight w:val="none"/>
        </w:rPr>
      </w:pPr>
      <w:r>
        <w:rPr>
          <w:rFonts w:hint="eastAsia" w:ascii="宋体" w:hAnsi="宋体" w:cs="宋体"/>
          <w:b/>
          <w:bCs/>
          <w:color w:val="auto"/>
          <w:szCs w:val="21"/>
          <w:highlight w:val="none"/>
        </w:rPr>
        <w:t>本项目专门面向中小企业采购，仅限符合《政府采购促进中小企业发展暂行办法》（财库〔2020〕46号）条件的中小企业参与，供应商应填写中小企业声明函并对真实性负责。（残疾人福利性单位及监狱企业视同为小型、微型企业）。</w:t>
      </w:r>
    </w:p>
    <w:p>
      <w:pPr>
        <w:widowControl/>
        <w:tabs>
          <w:tab w:val="left" w:pos="1620"/>
        </w:tabs>
        <w:spacing w:line="360" w:lineRule="auto"/>
        <w:ind w:firstLine="422" w:firstLineChars="200"/>
        <w:jc w:val="left"/>
        <w:outlineLvl w:val="1"/>
        <w:rPr>
          <w:rFonts w:ascii="宋体" w:hAnsi="宋体" w:cs="宋体"/>
          <w:b/>
          <w:bCs/>
          <w:color w:val="auto"/>
          <w:szCs w:val="21"/>
          <w:highlight w:val="none"/>
        </w:rPr>
      </w:pPr>
      <w:r>
        <w:rPr>
          <w:rFonts w:hint="eastAsia" w:ascii="宋体" w:hAnsi="宋体" w:cs="宋体"/>
          <w:b/>
          <w:bCs/>
          <w:color w:val="auto"/>
          <w:szCs w:val="21"/>
          <w:highlight w:val="none"/>
        </w:rPr>
        <w:t>本项目采购标的对应的中小企业划分标准所属行业为工业。</w:t>
      </w:r>
    </w:p>
    <w:p>
      <w:pPr>
        <w:spacing w:line="360" w:lineRule="auto"/>
        <w:ind w:firstLine="420" w:firstLineChars="200"/>
        <w:jc w:val="left"/>
        <w:outlineLvl w:val="1"/>
        <w:rPr>
          <w:rFonts w:ascii="宋体" w:hAnsi="宋体" w:cs="宋体"/>
          <w:bCs/>
          <w:color w:val="auto"/>
          <w:kern w:val="0"/>
          <w:szCs w:val="21"/>
          <w:highlight w:val="none"/>
        </w:rPr>
      </w:pPr>
      <w:r>
        <w:rPr>
          <w:rFonts w:hint="eastAsia" w:ascii="宋体" w:hAnsi="宋体" w:cs="宋体"/>
          <w:bCs/>
          <w:color w:val="auto"/>
          <w:kern w:val="0"/>
          <w:szCs w:val="21"/>
          <w:highlight w:val="none"/>
        </w:rPr>
        <w:t>本项目采购活动执行下列政府采购政策（具体办法详见竞争性谈判文件）：</w:t>
      </w:r>
    </w:p>
    <w:p>
      <w:pPr>
        <w:spacing w:line="360" w:lineRule="auto"/>
        <w:ind w:firstLine="420" w:firstLineChars="200"/>
        <w:jc w:val="left"/>
        <w:outlineLvl w:val="1"/>
        <w:rPr>
          <w:rFonts w:ascii="宋体" w:hAnsi="宋体" w:cs="宋体"/>
          <w:bCs/>
          <w:color w:val="auto"/>
          <w:kern w:val="0"/>
          <w:szCs w:val="21"/>
          <w:highlight w:val="none"/>
        </w:rPr>
      </w:pPr>
      <w:r>
        <w:rPr>
          <w:rFonts w:hint="eastAsia" w:ascii="宋体" w:hAnsi="宋体" w:cs="宋体"/>
          <w:bCs/>
          <w:color w:val="auto"/>
          <w:kern w:val="0"/>
          <w:szCs w:val="21"/>
          <w:highlight w:val="none"/>
        </w:rPr>
        <w:t>（1）《财政部 国家发展改革委关于印发〈节能产品政府采购实施意见〉的通知》（财库〔2004〕185号）；（2）《国务院办公厅关于建立政府强制采购节能产品制度的通知》（国办发〔2007〕51号）；（3）《财政部环保总局关于环境标志产品政府采购实施的意见》（财库〔2006〕90号）；（4）《财政部 司法部关于政府采购支持监狱企业发展有关问题的通知》（财库〔2014〕68号）；（5）《财政部、民政部、中国残疾人联合会关于促进残疾人就业政府采购政策的通知》（财库〔2017〕141号）；（6）《财政部 发展改革委 生态环境部 市场监管总局关于调整优化节能产品、环境标志产品政府采购执行机制的通知》（财库〔2019〕9号）；（7）《关于运用政府采购政策支持乡村产业振兴的通知》（财库〔2021〕19号）；（8）《政府采购促进中小企业发展管理办法》（财库〔2020〕46号）；（9）《陕西省财政厅关于印发&lt;陕西省中小企业政府采购信用融资办法&gt;的通知》（陕财办采〔2018〕23 号；（10）陕西省财政厅《关于进一步加强政府绿色采购有关问题的通知》（陕财办采〔2021〕29号）；（11）《关于进一步加大政府采购支持中小企业力度的通知》（财库〔2022〕19号；（12）《关于扩大政府采购支持绿色建材促进建筑品质提升政策实施范围的通知》财库〔2022〕35号。（13）其他需执行的政府采购政策。</w:t>
      </w:r>
    </w:p>
    <w:p>
      <w:pPr>
        <w:spacing w:line="360" w:lineRule="auto"/>
        <w:ind w:firstLine="422" w:firstLineChars="200"/>
        <w:jc w:val="left"/>
        <w:outlineLvl w:val="1"/>
        <w:rPr>
          <w:rStyle w:val="22"/>
          <w:rFonts w:cs="宋体"/>
          <w:bCs/>
          <w:color w:val="auto"/>
          <w:szCs w:val="21"/>
          <w:highlight w:val="none"/>
        </w:rPr>
      </w:pPr>
      <w:r>
        <w:rPr>
          <w:rStyle w:val="22"/>
          <w:rFonts w:hint="eastAsia" w:cs="宋体"/>
          <w:bCs/>
          <w:color w:val="auto"/>
          <w:szCs w:val="21"/>
          <w:highlight w:val="none"/>
        </w:rPr>
        <w:t>八、如对本次采购提出询问，请按以下方式联系。</w:t>
      </w:r>
    </w:p>
    <w:p>
      <w:pPr>
        <w:spacing w:line="360" w:lineRule="auto"/>
        <w:ind w:firstLine="420" w:firstLineChars="200"/>
        <w:jc w:val="left"/>
        <w:outlineLvl w:val="1"/>
        <w:rPr>
          <w:rFonts w:ascii="宋体" w:hAnsi="宋体" w:cs="宋体"/>
          <w:color w:val="auto"/>
          <w:szCs w:val="21"/>
          <w:highlight w:val="none"/>
        </w:rPr>
      </w:pPr>
      <w:bookmarkStart w:id="3" w:name="_Toc15378"/>
      <w:r>
        <w:rPr>
          <w:rFonts w:hint="eastAsia" w:ascii="宋体" w:hAnsi="宋体" w:cs="宋体"/>
          <w:color w:val="auto"/>
          <w:szCs w:val="21"/>
          <w:highlight w:val="none"/>
        </w:rPr>
        <w:t>1.采购人信息：</w:t>
      </w:r>
    </w:p>
    <w:p>
      <w:pPr>
        <w:spacing w:line="360" w:lineRule="auto"/>
        <w:ind w:firstLine="420" w:firstLineChars="200"/>
        <w:jc w:val="left"/>
        <w:outlineLvl w:val="1"/>
        <w:rPr>
          <w:rFonts w:ascii="宋体" w:hAnsi="宋体" w:cs="宋体"/>
          <w:color w:val="auto"/>
          <w:szCs w:val="21"/>
          <w:highlight w:val="none"/>
        </w:rPr>
      </w:pPr>
      <w:r>
        <w:rPr>
          <w:rFonts w:hint="eastAsia" w:ascii="宋体" w:hAnsi="宋体" w:cs="宋体"/>
          <w:color w:val="auto"/>
          <w:szCs w:val="21"/>
          <w:highlight w:val="none"/>
        </w:rPr>
        <w:t>名称：西安市公安局交通警察支队</w:t>
      </w:r>
      <w:bookmarkEnd w:id="3"/>
    </w:p>
    <w:p>
      <w:pPr>
        <w:spacing w:line="360" w:lineRule="auto"/>
        <w:ind w:firstLine="420" w:firstLineChars="200"/>
        <w:jc w:val="left"/>
        <w:outlineLvl w:val="1"/>
        <w:rPr>
          <w:rFonts w:ascii="宋体" w:hAnsi="宋体" w:cs="宋体"/>
          <w:color w:val="auto"/>
          <w:szCs w:val="21"/>
          <w:highlight w:val="none"/>
        </w:rPr>
      </w:pPr>
      <w:bookmarkStart w:id="4" w:name="_Toc19143"/>
      <w:r>
        <w:rPr>
          <w:rFonts w:hint="eastAsia" w:ascii="宋体" w:hAnsi="宋体" w:cs="宋体"/>
          <w:color w:val="auto"/>
          <w:szCs w:val="21"/>
          <w:highlight w:val="none"/>
        </w:rPr>
        <w:t>地址：太白南路222号</w:t>
      </w:r>
      <w:bookmarkEnd w:id="4"/>
    </w:p>
    <w:p>
      <w:pPr>
        <w:spacing w:line="360" w:lineRule="auto"/>
        <w:ind w:firstLine="420" w:firstLineChars="200"/>
        <w:jc w:val="left"/>
        <w:outlineLvl w:val="1"/>
        <w:rPr>
          <w:rFonts w:ascii="宋体" w:hAnsi="宋体" w:cs="宋体"/>
          <w:color w:val="auto"/>
          <w:kern w:val="0"/>
          <w:szCs w:val="21"/>
          <w:highlight w:val="none"/>
        </w:rPr>
      </w:pPr>
      <w:bookmarkStart w:id="5" w:name="_Toc4779"/>
      <w:r>
        <w:rPr>
          <w:rFonts w:hint="eastAsia" w:ascii="宋体" w:hAnsi="宋体" w:cs="宋体"/>
          <w:bCs/>
          <w:color w:val="auto"/>
          <w:kern w:val="0"/>
          <w:szCs w:val="21"/>
          <w:highlight w:val="none"/>
        </w:rPr>
        <w:t>联系方式：029-86755037</w:t>
      </w:r>
      <w:bookmarkEnd w:id="5"/>
    </w:p>
    <w:p>
      <w:pPr>
        <w:spacing w:line="360" w:lineRule="auto"/>
        <w:ind w:firstLine="420" w:firstLineChars="200"/>
        <w:jc w:val="left"/>
        <w:outlineLvl w:val="1"/>
        <w:rPr>
          <w:rFonts w:ascii="宋体" w:hAnsi="宋体" w:cs="宋体"/>
          <w:color w:val="auto"/>
          <w:szCs w:val="21"/>
          <w:highlight w:val="none"/>
        </w:rPr>
      </w:pPr>
      <w:bookmarkStart w:id="6" w:name="_Toc31494"/>
      <w:r>
        <w:rPr>
          <w:rFonts w:hint="eastAsia" w:ascii="宋体" w:hAnsi="宋体" w:cs="宋体"/>
          <w:color w:val="auto"/>
          <w:szCs w:val="21"/>
          <w:highlight w:val="none"/>
        </w:rPr>
        <w:t>2.采购代理机构信息</w:t>
      </w:r>
    </w:p>
    <w:p>
      <w:pPr>
        <w:spacing w:line="360" w:lineRule="auto"/>
        <w:ind w:firstLine="420" w:firstLineChars="200"/>
        <w:jc w:val="left"/>
        <w:outlineLvl w:val="1"/>
        <w:rPr>
          <w:rFonts w:ascii="宋体" w:hAnsi="宋体" w:cs="宋体"/>
          <w:bCs/>
          <w:color w:val="auto"/>
          <w:kern w:val="0"/>
          <w:szCs w:val="21"/>
          <w:highlight w:val="none"/>
        </w:rPr>
      </w:pPr>
      <w:bookmarkStart w:id="7" w:name="_Toc3789"/>
      <w:r>
        <w:rPr>
          <w:rFonts w:hint="eastAsia" w:ascii="宋体" w:hAnsi="宋体" w:cs="宋体"/>
          <w:bCs/>
          <w:color w:val="auto"/>
          <w:kern w:val="0"/>
          <w:szCs w:val="21"/>
          <w:highlight w:val="none"/>
        </w:rPr>
        <w:t>名称：西北（陕西）国际招标有限公司</w:t>
      </w:r>
      <w:bookmarkEnd w:id="7"/>
    </w:p>
    <w:p>
      <w:pPr>
        <w:spacing w:line="360" w:lineRule="auto"/>
        <w:ind w:firstLine="420" w:firstLineChars="200"/>
        <w:jc w:val="left"/>
        <w:outlineLvl w:val="1"/>
        <w:rPr>
          <w:rFonts w:ascii="宋体" w:hAnsi="宋体" w:cs="宋体"/>
          <w:bCs/>
          <w:color w:val="auto"/>
          <w:kern w:val="0"/>
          <w:szCs w:val="21"/>
          <w:highlight w:val="none"/>
        </w:rPr>
      </w:pPr>
      <w:bookmarkStart w:id="8" w:name="_Toc2260"/>
      <w:r>
        <w:rPr>
          <w:rFonts w:hint="eastAsia" w:ascii="宋体" w:hAnsi="宋体" w:cs="宋体"/>
          <w:bCs/>
          <w:color w:val="auto"/>
          <w:kern w:val="0"/>
          <w:szCs w:val="21"/>
          <w:highlight w:val="none"/>
        </w:rPr>
        <w:t>地址：西安市南二环西段58号成长大厦10-14层</w:t>
      </w:r>
      <w:bookmarkEnd w:id="8"/>
    </w:p>
    <w:bookmarkEnd w:id="6"/>
    <w:p>
      <w:pPr>
        <w:spacing w:line="360" w:lineRule="auto"/>
        <w:ind w:firstLine="420" w:firstLineChars="200"/>
        <w:jc w:val="left"/>
        <w:outlineLvl w:val="1"/>
        <w:rPr>
          <w:rFonts w:ascii="宋体" w:hAnsi="宋体" w:cs="宋体"/>
          <w:bCs/>
          <w:color w:val="auto"/>
          <w:kern w:val="0"/>
          <w:szCs w:val="21"/>
          <w:highlight w:val="none"/>
        </w:rPr>
      </w:pPr>
      <w:bookmarkStart w:id="9" w:name="_Toc29272"/>
      <w:r>
        <w:rPr>
          <w:rFonts w:hint="eastAsia" w:ascii="宋体" w:hAnsi="宋体" w:cs="宋体"/>
          <w:bCs/>
          <w:color w:val="auto"/>
          <w:kern w:val="0"/>
          <w:szCs w:val="21"/>
          <w:highlight w:val="none"/>
        </w:rPr>
        <w:t>联系方式：</w:t>
      </w:r>
      <w:bookmarkEnd w:id="9"/>
      <w:r>
        <w:rPr>
          <w:rFonts w:hint="eastAsia" w:ascii="宋体" w:hAnsi="宋体" w:cs="宋体"/>
          <w:color w:val="auto"/>
          <w:szCs w:val="21"/>
          <w:highlight w:val="none"/>
        </w:rPr>
        <w:t>029-89651853</w:t>
      </w:r>
    </w:p>
    <w:p>
      <w:pPr>
        <w:spacing w:line="360" w:lineRule="auto"/>
        <w:ind w:firstLine="420" w:firstLineChars="200"/>
        <w:jc w:val="left"/>
        <w:outlineLvl w:val="1"/>
        <w:rPr>
          <w:rFonts w:ascii="宋体" w:hAnsi="宋体" w:cs="宋体"/>
          <w:bCs/>
          <w:color w:val="auto"/>
          <w:kern w:val="0"/>
          <w:szCs w:val="21"/>
          <w:highlight w:val="none"/>
        </w:rPr>
      </w:pPr>
      <w:r>
        <w:rPr>
          <w:rFonts w:hint="eastAsia" w:ascii="宋体" w:hAnsi="宋体" w:cs="宋体"/>
          <w:bCs/>
          <w:color w:val="auto"/>
          <w:kern w:val="0"/>
          <w:szCs w:val="21"/>
          <w:highlight w:val="none"/>
        </w:rPr>
        <w:t>开户名称：西北（陕西）国际招标有限公司</w:t>
      </w:r>
    </w:p>
    <w:p>
      <w:pPr>
        <w:spacing w:line="360" w:lineRule="auto"/>
        <w:ind w:firstLine="420" w:firstLineChars="200"/>
        <w:jc w:val="left"/>
        <w:outlineLvl w:val="1"/>
        <w:rPr>
          <w:rFonts w:ascii="宋体" w:hAnsi="宋体" w:cs="宋体"/>
          <w:bCs/>
          <w:color w:val="auto"/>
          <w:kern w:val="0"/>
          <w:szCs w:val="21"/>
          <w:highlight w:val="none"/>
        </w:rPr>
      </w:pPr>
      <w:r>
        <w:rPr>
          <w:rFonts w:hint="eastAsia" w:ascii="宋体" w:hAnsi="宋体" w:cs="宋体"/>
          <w:bCs/>
          <w:color w:val="auto"/>
          <w:kern w:val="0"/>
          <w:szCs w:val="21"/>
          <w:highlight w:val="none"/>
        </w:rPr>
        <w:t>开户银行：交通银行西安长安大学支行</w:t>
      </w:r>
    </w:p>
    <w:p>
      <w:pPr>
        <w:spacing w:line="360" w:lineRule="auto"/>
        <w:ind w:firstLine="420" w:firstLineChars="200"/>
        <w:jc w:val="left"/>
        <w:outlineLvl w:val="1"/>
        <w:rPr>
          <w:rFonts w:ascii="宋体" w:hAnsi="宋体" w:cs="宋体"/>
          <w:bCs/>
          <w:color w:val="auto"/>
          <w:kern w:val="0"/>
          <w:szCs w:val="21"/>
          <w:highlight w:val="none"/>
        </w:rPr>
      </w:pPr>
      <w:r>
        <w:rPr>
          <w:rFonts w:hint="eastAsia" w:ascii="宋体" w:hAnsi="宋体" w:cs="宋体"/>
          <w:bCs/>
          <w:color w:val="auto"/>
          <w:kern w:val="0"/>
          <w:szCs w:val="21"/>
          <w:highlight w:val="none"/>
        </w:rPr>
        <w:t>账    号：611301151018010003843</w:t>
      </w:r>
    </w:p>
    <w:p>
      <w:pPr>
        <w:spacing w:line="360" w:lineRule="auto"/>
        <w:ind w:firstLine="420" w:firstLineChars="200"/>
        <w:jc w:val="left"/>
        <w:outlineLvl w:val="1"/>
        <w:rPr>
          <w:rFonts w:ascii="宋体" w:hAnsi="宋体" w:cs="宋体"/>
          <w:color w:val="auto"/>
          <w:szCs w:val="21"/>
          <w:highlight w:val="none"/>
        </w:rPr>
      </w:pPr>
      <w:r>
        <w:rPr>
          <w:rFonts w:hint="eastAsia" w:ascii="宋体" w:hAnsi="宋体" w:cs="宋体"/>
          <w:color w:val="auto"/>
          <w:szCs w:val="21"/>
          <w:highlight w:val="none"/>
        </w:rPr>
        <w:t>3.项目联系方式</w:t>
      </w:r>
    </w:p>
    <w:p>
      <w:pPr>
        <w:spacing w:line="360" w:lineRule="auto"/>
        <w:ind w:firstLine="420" w:firstLineChars="200"/>
        <w:jc w:val="left"/>
        <w:outlineLvl w:val="1"/>
        <w:rPr>
          <w:rFonts w:ascii="宋体" w:hAnsi="宋体" w:cs="宋体"/>
          <w:color w:val="auto"/>
          <w:szCs w:val="21"/>
          <w:highlight w:val="none"/>
        </w:rPr>
      </w:pPr>
      <w:r>
        <w:rPr>
          <w:rFonts w:hint="eastAsia" w:ascii="宋体" w:hAnsi="宋体" w:cs="宋体"/>
          <w:color w:val="auto"/>
          <w:szCs w:val="21"/>
          <w:highlight w:val="none"/>
        </w:rPr>
        <w:t>项目联系人：秦进、贾楠希</w:t>
      </w:r>
    </w:p>
    <w:p>
      <w:pPr>
        <w:spacing w:line="360" w:lineRule="auto"/>
        <w:ind w:firstLine="420" w:firstLineChars="200"/>
        <w:jc w:val="left"/>
        <w:outlineLvl w:val="1"/>
        <w:rPr>
          <w:rFonts w:ascii="宋体" w:hAnsi="宋体"/>
          <w:color w:val="auto"/>
          <w:kern w:val="0"/>
          <w:sz w:val="24"/>
          <w:szCs w:val="24"/>
          <w:highlight w:val="none"/>
        </w:rPr>
      </w:pPr>
      <w:r>
        <w:rPr>
          <w:rFonts w:hint="eastAsia" w:ascii="宋体" w:hAnsi="宋体" w:cs="宋体"/>
          <w:color w:val="auto"/>
          <w:szCs w:val="21"/>
          <w:highlight w:val="none"/>
        </w:rPr>
        <w:t>电话：029-89651853</w:t>
      </w:r>
    </w:p>
    <w:p>
      <w:pPr>
        <w:pStyle w:val="3"/>
        <w:rPr>
          <w:rFonts w:ascii="宋体" w:hAnsi="宋体"/>
          <w:b/>
          <w:color w:val="auto"/>
          <w:sz w:val="32"/>
          <w:szCs w:val="32"/>
          <w:highlight w:val="none"/>
        </w:rPr>
      </w:pPr>
      <w:r>
        <w:rPr>
          <w:rFonts w:ascii="宋体" w:hAnsi="宋体"/>
          <w:color w:val="auto"/>
          <w:kern w:val="0"/>
          <w:sz w:val="24"/>
          <w:szCs w:val="24"/>
          <w:highlight w:val="none"/>
        </w:rPr>
        <w:br w:type="page"/>
      </w:r>
      <w:bookmarkStart w:id="10" w:name="_Toc79002882"/>
      <w:r>
        <w:rPr>
          <w:rFonts w:hint="eastAsia" w:ascii="宋体" w:hAnsi="宋体"/>
          <w:b/>
          <w:color w:val="auto"/>
          <w:sz w:val="32"/>
          <w:szCs w:val="32"/>
          <w:highlight w:val="none"/>
        </w:rPr>
        <w:t>第二章 谈判须知及前附表</w:t>
      </w:r>
      <w:bookmarkEnd w:id="10"/>
    </w:p>
    <w:p>
      <w:pPr>
        <w:pStyle w:val="4"/>
        <w:spacing w:before="156" w:beforeLines="50" w:after="0" w:line="360" w:lineRule="auto"/>
        <w:jc w:val="center"/>
        <w:rPr>
          <w:rFonts w:ascii="宋体" w:hAnsi="宋体" w:eastAsia="宋体" w:cs="宋体"/>
          <w:color w:val="auto"/>
          <w:sz w:val="28"/>
          <w:szCs w:val="28"/>
          <w:highlight w:val="none"/>
        </w:rPr>
      </w:pPr>
      <w:bookmarkStart w:id="11" w:name="_Toc79002883"/>
      <w:r>
        <w:rPr>
          <w:rFonts w:hint="eastAsia" w:ascii="宋体" w:hAnsi="宋体" w:eastAsia="宋体" w:cs="宋体"/>
          <w:color w:val="auto"/>
          <w:sz w:val="28"/>
          <w:szCs w:val="28"/>
          <w:highlight w:val="none"/>
        </w:rPr>
        <w:t>谈判须知前附表</w:t>
      </w:r>
      <w:bookmarkEnd w:id="11"/>
    </w:p>
    <w:p>
      <w:pPr>
        <w:spacing w:line="360" w:lineRule="auto"/>
        <w:rPr>
          <w:rFonts w:ascii="宋体" w:hAnsi="宋体" w:cs="宋体"/>
          <w:color w:val="auto"/>
          <w:szCs w:val="21"/>
          <w:highlight w:val="none"/>
        </w:rPr>
      </w:pPr>
      <w:r>
        <w:rPr>
          <w:rFonts w:hint="eastAsia" w:ascii="宋体" w:hAnsi="宋体" w:cs="宋体"/>
          <w:color w:val="auto"/>
          <w:szCs w:val="21"/>
          <w:highlight w:val="none"/>
        </w:rPr>
        <w:t>（本表是对谈判须知的提示、补充和修改，如有矛盾，应以本表为准。）</w:t>
      </w:r>
    </w:p>
    <w:tbl>
      <w:tblPr>
        <w:tblStyle w:val="19"/>
        <w:tblW w:w="8343" w:type="dxa"/>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40"/>
        <w:gridCol w:w="1943"/>
        <w:gridCol w:w="55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6" w:hRule="atLeast"/>
          <w:tblHeader/>
        </w:trPr>
        <w:tc>
          <w:tcPr>
            <w:tcW w:w="840" w:type="dxa"/>
          </w:tcPr>
          <w:p>
            <w:pPr>
              <w:spacing w:before="156" w:beforeLines="50" w:after="156" w:afterLines="50"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1943" w:type="dxa"/>
          </w:tcPr>
          <w:p>
            <w:pPr>
              <w:spacing w:before="156" w:beforeLines="50" w:after="156" w:afterLines="50"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条款内容提示</w:t>
            </w:r>
          </w:p>
        </w:tc>
        <w:tc>
          <w:tcPr>
            <w:tcW w:w="5560" w:type="dxa"/>
          </w:tcPr>
          <w:p>
            <w:pPr>
              <w:spacing w:before="156" w:beforeLines="50" w:after="156" w:afterLines="50" w:line="360" w:lineRule="auto"/>
              <w:jc w:val="center"/>
              <w:rPr>
                <w:rFonts w:ascii="宋体" w:hAnsi="宋体" w:cs="宋体"/>
                <w:b/>
                <w:color w:val="auto"/>
                <w:szCs w:val="21"/>
                <w:highlight w:val="none"/>
              </w:rPr>
            </w:pPr>
            <w:r>
              <w:rPr>
                <w:rFonts w:hint="eastAsia" w:ascii="宋体" w:hAnsi="宋体" w:cs="宋体"/>
                <w:b/>
                <w:color w:val="auto"/>
                <w:szCs w:val="21"/>
                <w:highlight w:val="none"/>
              </w:rPr>
              <w:t>编 列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3" w:hRule="atLeast"/>
        </w:trPr>
        <w:tc>
          <w:tcPr>
            <w:tcW w:w="84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w:t>
            </w:r>
          </w:p>
        </w:tc>
        <w:tc>
          <w:tcPr>
            <w:tcW w:w="194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采购人</w:t>
            </w:r>
          </w:p>
        </w:tc>
        <w:tc>
          <w:tcPr>
            <w:tcW w:w="5560" w:type="dxa"/>
            <w:vAlign w:val="center"/>
          </w:tcPr>
          <w:p>
            <w:pPr>
              <w:widowControl/>
              <w:spacing w:line="360" w:lineRule="auto"/>
              <w:ind w:left="105" w:leftChars="50"/>
              <w:jc w:val="left"/>
              <w:rPr>
                <w:rFonts w:ascii="宋体" w:hAnsi="宋体" w:cs="宋体"/>
                <w:color w:val="auto"/>
                <w:szCs w:val="21"/>
                <w:highlight w:val="none"/>
              </w:rPr>
            </w:pPr>
            <w:r>
              <w:rPr>
                <w:rFonts w:hint="eastAsia" w:ascii="宋体" w:hAnsi="宋体" w:cs="宋体"/>
                <w:color w:val="auto"/>
                <w:szCs w:val="21"/>
                <w:highlight w:val="none"/>
              </w:rPr>
              <w:t>名称：西安市公安局交通警察支队</w:t>
            </w:r>
          </w:p>
          <w:p>
            <w:pPr>
              <w:widowControl/>
              <w:spacing w:line="360" w:lineRule="auto"/>
              <w:ind w:left="105" w:leftChars="50"/>
              <w:jc w:val="left"/>
              <w:rPr>
                <w:rFonts w:ascii="宋体" w:hAnsi="宋体" w:cs="宋体"/>
                <w:color w:val="auto"/>
                <w:kern w:val="0"/>
                <w:szCs w:val="21"/>
                <w:highlight w:val="none"/>
              </w:rPr>
            </w:pPr>
            <w:r>
              <w:rPr>
                <w:rFonts w:hint="eastAsia" w:ascii="宋体" w:hAnsi="宋体" w:cs="宋体"/>
                <w:color w:val="auto"/>
                <w:kern w:val="0"/>
                <w:szCs w:val="21"/>
                <w:highlight w:val="none"/>
              </w:rPr>
              <w:t>地址：太白南路222号</w:t>
            </w:r>
          </w:p>
          <w:p>
            <w:pPr>
              <w:widowControl/>
              <w:spacing w:line="360" w:lineRule="auto"/>
              <w:ind w:left="105" w:leftChars="50"/>
              <w:jc w:val="left"/>
              <w:rPr>
                <w:rFonts w:ascii="宋体" w:hAnsi="宋体" w:cs="宋体"/>
                <w:color w:val="auto"/>
                <w:kern w:val="0"/>
                <w:szCs w:val="21"/>
                <w:highlight w:val="none"/>
              </w:rPr>
            </w:pPr>
            <w:r>
              <w:rPr>
                <w:rFonts w:hint="eastAsia" w:ascii="宋体" w:hAnsi="宋体" w:cs="宋体"/>
                <w:color w:val="auto"/>
                <w:kern w:val="0"/>
                <w:szCs w:val="21"/>
                <w:highlight w:val="none"/>
              </w:rPr>
              <w:t>联系人：王警官</w:t>
            </w:r>
          </w:p>
          <w:p>
            <w:pPr>
              <w:widowControl/>
              <w:spacing w:line="360" w:lineRule="auto"/>
              <w:ind w:left="105" w:leftChars="50"/>
              <w:jc w:val="left"/>
              <w:rPr>
                <w:rFonts w:ascii="宋体" w:hAnsi="宋体" w:cs="宋体"/>
                <w:bCs/>
                <w:color w:val="auto"/>
                <w:kern w:val="0"/>
                <w:szCs w:val="21"/>
                <w:highlight w:val="none"/>
              </w:rPr>
            </w:pPr>
            <w:r>
              <w:rPr>
                <w:rFonts w:hint="eastAsia" w:ascii="宋体" w:hAnsi="宋体" w:cs="宋体"/>
                <w:color w:val="auto"/>
                <w:kern w:val="0"/>
                <w:szCs w:val="21"/>
                <w:highlight w:val="none"/>
              </w:rPr>
              <w:t>联系方式：029-86755037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84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2.1</w:t>
            </w:r>
          </w:p>
        </w:tc>
        <w:tc>
          <w:tcPr>
            <w:tcW w:w="194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采购代理机构</w:t>
            </w:r>
          </w:p>
        </w:tc>
        <w:tc>
          <w:tcPr>
            <w:tcW w:w="5560" w:type="dxa"/>
            <w:vAlign w:val="center"/>
          </w:tcPr>
          <w:p>
            <w:pPr>
              <w:widowControl/>
              <w:spacing w:line="360" w:lineRule="auto"/>
              <w:ind w:left="105" w:leftChars="50"/>
              <w:rPr>
                <w:rFonts w:ascii="宋体" w:hAnsi="宋体" w:cs="宋体"/>
                <w:color w:val="auto"/>
                <w:szCs w:val="21"/>
                <w:highlight w:val="none"/>
              </w:rPr>
            </w:pPr>
            <w:r>
              <w:rPr>
                <w:rFonts w:hint="eastAsia" w:ascii="宋体" w:hAnsi="宋体" w:cs="宋体"/>
                <w:color w:val="auto"/>
                <w:szCs w:val="21"/>
                <w:highlight w:val="none"/>
              </w:rPr>
              <w:t>名称：西北（陕西）国际招标有限公司</w:t>
            </w:r>
          </w:p>
          <w:p>
            <w:pPr>
              <w:widowControl/>
              <w:spacing w:line="360" w:lineRule="auto"/>
              <w:ind w:left="105" w:leftChars="50"/>
              <w:rPr>
                <w:rFonts w:ascii="宋体" w:hAnsi="宋体" w:cs="宋体"/>
                <w:color w:val="auto"/>
                <w:szCs w:val="21"/>
                <w:highlight w:val="none"/>
              </w:rPr>
            </w:pPr>
            <w:r>
              <w:rPr>
                <w:rFonts w:hint="eastAsia" w:ascii="宋体" w:hAnsi="宋体" w:cs="宋体"/>
                <w:color w:val="auto"/>
                <w:szCs w:val="21"/>
                <w:highlight w:val="none"/>
              </w:rPr>
              <w:t>地址：西安市南二环西段58号成长大厦10-14层</w:t>
            </w:r>
          </w:p>
          <w:p>
            <w:pPr>
              <w:widowControl/>
              <w:spacing w:line="360" w:lineRule="auto"/>
              <w:ind w:left="105" w:leftChars="50"/>
              <w:rPr>
                <w:rFonts w:ascii="宋体" w:hAnsi="宋体" w:cs="宋体"/>
                <w:color w:val="auto"/>
                <w:szCs w:val="21"/>
                <w:highlight w:val="none"/>
              </w:rPr>
            </w:pPr>
            <w:r>
              <w:rPr>
                <w:rFonts w:hint="eastAsia" w:ascii="宋体" w:hAnsi="宋体" w:cs="宋体"/>
                <w:color w:val="auto"/>
                <w:szCs w:val="21"/>
                <w:highlight w:val="none"/>
              </w:rPr>
              <w:t>邮编：710000</w:t>
            </w:r>
          </w:p>
          <w:p>
            <w:pPr>
              <w:widowControl/>
              <w:spacing w:line="360" w:lineRule="auto"/>
              <w:ind w:left="105" w:leftChars="50"/>
              <w:rPr>
                <w:rFonts w:ascii="宋体" w:hAnsi="宋体" w:cs="宋体"/>
                <w:color w:val="auto"/>
                <w:szCs w:val="21"/>
                <w:highlight w:val="none"/>
              </w:rPr>
            </w:pPr>
            <w:r>
              <w:rPr>
                <w:rFonts w:hint="eastAsia" w:ascii="宋体" w:hAnsi="宋体" w:cs="宋体"/>
                <w:color w:val="auto"/>
                <w:szCs w:val="21"/>
                <w:highlight w:val="none"/>
              </w:rPr>
              <w:t>联系人：秦进、贾楠希</w:t>
            </w:r>
          </w:p>
          <w:p>
            <w:pPr>
              <w:widowControl/>
              <w:spacing w:line="360" w:lineRule="auto"/>
              <w:ind w:left="105" w:leftChars="50"/>
              <w:rPr>
                <w:rFonts w:ascii="宋体" w:hAnsi="宋体" w:cs="宋体"/>
                <w:color w:val="auto"/>
                <w:szCs w:val="21"/>
                <w:highlight w:val="none"/>
              </w:rPr>
            </w:pPr>
            <w:r>
              <w:rPr>
                <w:rFonts w:hint="eastAsia" w:ascii="宋体" w:hAnsi="宋体" w:cs="宋体"/>
                <w:color w:val="auto"/>
                <w:szCs w:val="21"/>
                <w:highlight w:val="none"/>
              </w:rPr>
              <w:t>电话：029-89651853</w:t>
            </w:r>
          </w:p>
          <w:p>
            <w:pPr>
              <w:widowControl/>
              <w:spacing w:line="360" w:lineRule="auto"/>
              <w:ind w:left="105" w:leftChars="50"/>
              <w:rPr>
                <w:rFonts w:ascii="宋体" w:hAnsi="宋体" w:cs="宋体"/>
                <w:color w:val="auto"/>
                <w:szCs w:val="21"/>
                <w:highlight w:val="none"/>
              </w:rPr>
            </w:pPr>
            <w:r>
              <w:rPr>
                <w:rFonts w:hint="eastAsia" w:ascii="宋体" w:hAnsi="宋体" w:cs="宋体"/>
                <w:color w:val="auto"/>
                <w:szCs w:val="21"/>
                <w:highlight w:val="none"/>
              </w:rPr>
              <w:t>邮箱：a85214202@126.com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28" w:hRule="atLeast"/>
        </w:trPr>
        <w:tc>
          <w:tcPr>
            <w:tcW w:w="840" w:type="dxa"/>
            <w:vMerge w:val="restart"/>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2.2.1</w:t>
            </w:r>
          </w:p>
        </w:tc>
        <w:tc>
          <w:tcPr>
            <w:tcW w:w="1943" w:type="dxa"/>
            <w:tcBorders>
              <w:bottom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中华人民共和国法律、行政法规规定的其他条件；</w:t>
            </w:r>
          </w:p>
        </w:tc>
        <w:tc>
          <w:tcPr>
            <w:tcW w:w="5560" w:type="dxa"/>
            <w:tcBorders>
              <w:bottom w:val="single" w:color="auto" w:sz="4" w:space="0"/>
            </w:tcBorders>
            <w:vAlign w:val="center"/>
          </w:tcPr>
          <w:p>
            <w:pPr>
              <w:spacing w:line="360" w:lineRule="auto"/>
              <w:ind w:left="105" w:leftChars="50"/>
              <w:jc w:val="left"/>
              <w:rPr>
                <w:rFonts w:ascii="宋体" w:hAnsi="宋体" w:cs="宋体"/>
                <w:color w:val="auto"/>
                <w:szCs w:val="21"/>
                <w:highlight w:val="none"/>
              </w:rPr>
            </w:pPr>
            <w:r>
              <w:rPr>
                <w:rFonts w:hint="eastAsia" w:ascii="宋体" w:hAnsi="宋体" w:cs="宋体"/>
                <w:color w:val="auto"/>
                <w:szCs w:val="21"/>
                <w:highlight w:val="none"/>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vMerge w:val="continue"/>
            <w:vAlign w:val="center"/>
          </w:tcPr>
          <w:p>
            <w:pPr>
              <w:spacing w:line="360" w:lineRule="auto"/>
              <w:jc w:val="center"/>
              <w:rPr>
                <w:rFonts w:ascii="宋体" w:hAnsi="宋体" w:cs="宋体"/>
                <w:color w:val="auto"/>
                <w:szCs w:val="21"/>
                <w:highlight w:val="none"/>
              </w:rPr>
            </w:pPr>
          </w:p>
        </w:tc>
        <w:tc>
          <w:tcPr>
            <w:tcW w:w="1943" w:type="dxa"/>
            <w:tcBorders>
              <w:top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本项目特定条件</w:t>
            </w:r>
          </w:p>
        </w:tc>
        <w:tc>
          <w:tcPr>
            <w:tcW w:w="5560" w:type="dxa"/>
            <w:tcBorders>
              <w:top w:val="single" w:color="auto" w:sz="4" w:space="0"/>
            </w:tcBorders>
            <w:vAlign w:val="center"/>
          </w:tcPr>
          <w:p>
            <w:pPr>
              <w:spacing w:line="360" w:lineRule="auto"/>
              <w:ind w:left="105" w:leftChars="50"/>
              <w:jc w:val="left"/>
              <w:rPr>
                <w:rFonts w:ascii="宋体" w:hAnsi="宋体" w:cs="宋体"/>
                <w:color w:val="auto"/>
                <w:szCs w:val="21"/>
                <w:highlight w:val="none"/>
              </w:rPr>
            </w:pPr>
            <w:r>
              <w:rPr>
                <w:rFonts w:hint="eastAsia" w:ascii="宋体" w:hAnsi="宋体" w:cs="宋体"/>
                <w:color w:val="auto"/>
                <w:szCs w:val="21"/>
                <w:highlight w:val="none"/>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2.2.5</w:t>
            </w:r>
          </w:p>
        </w:tc>
        <w:tc>
          <w:tcPr>
            <w:tcW w:w="1943" w:type="dxa"/>
            <w:tcBorders>
              <w:top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是否接受</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联合体谈判</w:t>
            </w:r>
          </w:p>
        </w:tc>
        <w:tc>
          <w:tcPr>
            <w:tcW w:w="5560" w:type="dxa"/>
            <w:tcBorders>
              <w:top w:val="single" w:color="auto" w:sz="4" w:space="0"/>
            </w:tcBorders>
            <w:vAlign w:val="center"/>
          </w:tcPr>
          <w:p>
            <w:pPr>
              <w:spacing w:line="360" w:lineRule="auto"/>
              <w:ind w:left="105" w:leftChars="50"/>
              <w:jc w:val="left"/>
              <w:rPr>
                <w:rFonts w:ascii="宋体" w:hAnsi="宋体" w:cs="宋体"/>
                <w:color w:val="auto"/>
                <w:szCs w:val="21"/>
                <w:highlight w:val="none"/>
              </w:rPr>
            </w:pPr>
            <w:r>
              <w:rPr>
                <w:rFonts w:hint="eastAsia" w:ascii="宋体" w:hAnsi="宋体" w:cs="宋体"/>
                <w:color w:val="auto"/>
                <w:szCs w:val="21"/>
                <w:highlight w:val="non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84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2.2.8</w:t>
            </w:r>
          </w:p>
        </w:tc>
        <w:tc>
          <w:tcPr>
            <w:tcW w:w="194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供应商信用信息</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查询</w:t>
            </w:r>
          </w:p>
        </w:tc>
        <w:tc>
          <w:tcPr>
            <w:tcW w:w="5560" w:type="dxa"/>
            <w:vAlign w:val="center"/>
          </w:tcPr>
          <w:p>
            <w:pPr>
              <w:spacing w:line="360" w:lineRule="auto"/>
              <w:ind w:left="105" w:leftChars="50"/>
              <w:rPr>
                <w:rFonts w:ascii="宋体" w:hAnsi="宋体" w:cs="宋体"/>
                <w:color w:val="auto"/>
                <w:szCs w:val="21"/>
                <w:highlight w:val="none"/>
              </w:rPr>
            </w:pPr>
            <w:r>
              <w:rPr>
                <w:rFonts w:hint="eastAsia" w:ascii="宋体" w:hAnsi="宋体"/>
                <w:color w:val="auto"/>
                <w:szCs w:val="21"/>
                <w:highlight w:val="none"/>
              </w:rPr>
              <w:t>“信用中国”网站（www.creditchina.gov.cn）和“中国政府采购网”（www.ccgp.gov.cn）为供应商信用信息查询渠道，如果供应商被查实在响应文件递交截止时间前已列入失信被执行人</w:t>
            </w:r>
            <w:r>
              <w:rPr>
                <w:rFonts w:hint="eastAsia" w:ascii="宋体" w:hAnsi="宋体" w:cs="宋体"/>
                <w:color w:val="auto"/>
                <w:kern w:val="0"/>
                <w:szCs w:val="21"/>
                <w:highlight w:val="none"/>
              </w:rPr>
              <w:t>（页面跳转至“中国执行公开信息网”http://zxgk.court.gov.cn/shixin/）</w:t>
            </w:r>
            <w:r>
              <w:rPr>
                <w:rFonts w:hint="eastAsia" w:ascii="宋体" w:hAnsi="宋体"/>
                <w:color w:val="auto"/>
                <w:szCs w:val="21"/>
                <w:highlight w:val="none"/>
              </w:rPr>
              <w:t>、重大税收违法失信主体、政府采购严重违法失信行为记录名单，其响应文件为无效，采购代理机构将打印查询记录作为证据留存。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84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7.2</w:t>
            </w:r>
          </w:p>
        </w:tc>
        <w:tc>
          <w:tcPr>
            <w:tcW w:w="194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供应商提出质疑的时间</w:t>
            </w:r>
          </w:p>
        </w:tc>
        <w:tc>
          <w:tcPr>
            <w:tcW w:w="5560" w:type="dxa"/>
            <w:vAlign w:val="center"/>
          </w:tcPr>
          <w:p>
            <w:pPr>
              <w:spacing w:line="360" w:lineRule="auto"/>
              <w:ind w:left="105" w:leftChars="50"/>
              <w:rPr>
                <w:rFonts w:ascii="宋体" w:hAnsi="宋体" w:cs="宋体"/>
                <w:color w:val="auto"/>
                <w:szCs w:val="21"/>
                <w:highlight w:val="none"/>
              </w:rPr>
            </w:pPr>
            <w:r>
              <w:rPr>
                <w:rFonts w:hint="eastAsia" w:ascii="宋体" w:hAnsi="宋体" w:cs="宋体"/>
                <w:color w:val="auto"/>
                <w:szCs w:val="21"/>
                <w:highlight w:val="none"/>
              </w:rPr>
              <w:t>1）已经购买谈判文件的供应商对谈判文件有质疑的，可以在本项目竞争性谈判文件公告期限届满之日起七个工作日内，针对同一采购程序环节以书面形式向采购代理机构一次性提出，在此之后提出的质疑均为无效，采购代理机构不予受理。</w:t>
            </w:r>
          </w:p>
          <w:p>
            <w:pPr>
              <w:spacing w:line="360" w:lineRule="auto"/>
              <w:ind w:left="105" w:leftChars="50"/>
              <w:rPr>
                <w:rFonts w:ascii="宋体" w:hAnsi="宋体" w:cs="宋体"/>
                <w:color w:val="auto"/>
                <w:szCs w:val="21"/>
                <w:highlight w:val="none"/>
              </w:rPr>
            </w:pPr>
            <w:r>
              <w:rPr>
                <w:rFonts w:hint="eastAsia" w:ascii="宋体" w:hAnsi="宋体" w:cs="宋体"/>
                <w:color w:val="auto"/>
                <w:szCs w:val="21"/>
                <w:highlight w:val="none"/>
              </w:rPr>
              <w:t>2）接收质疑函的方式：书面形式，格式：见“中国政府采购网（www.ccgp.gov.cn）下载专区”。</w:t>
            </w:r>
          </w:p>
          <w:p>
            <w:pPr>
              <w:spacing w:line="360" w:lineRule="auto"/>
              <w:ind w:left="105" w:leftChars="50"/>
              <w:rPr>
                <w:rFonts w:ascii="宋体" w:hAnsi="宋体" w:cs="宋体"/>
                <w:color w:val="auto"/>
                <w:szCs w:val="21"/>
                <w:highlight w:val="none"/>
              </w:rPr>
            </w:pPr>
            <w:r>
              <w:rPr>
                <w:rFonts w:hint="eastAsia" w:ascii="宋体" w:hAnsi="宋体" w:cs="宋体"/>
                <w:color w:val="auto"/>
                <w:szCs w:val="21"/>
                <w:highlight w:val="none"/>
              </w:rPr>
              <w:t>3）联系部门：西北（陕西）国际招标有限公司综合监督处</w:t>
            </w:r>
          </w:p>
          <w:p>
            <w:pPr>
              <w:spacing w:line="360" w:lineRule="auto"/>
              <w:ind w:left="105" w:leftChars="50"/>
              <w:rPr>
                <w:rFonts w:ascii="宋体" w:hAnsi="宋体" w:cs="宋体"/>
                <w:color w:val="auto"/>
                <w:szCs w:val="21"/>
                <w:highlight w:val="none"/>
              </w:rPr>
            </w:pPr>
            <w:r>
              <w:rPr>
                <w:rFonts w:hint="eastAsia" w:ascii="宋体" w:hAnsi="宋体" w:cs="宋体"/>
                <w:color w:val="auto"/>
                <w:szCs w:val="21"/>
                <w:highlight w:val="none"/>
              </w:rPr>
              <w:t>4）联系电话：029-85362812</w:t>
            </w:r>
          </w:p>
          <w:p>
            <w:pPr>
              <w:spacing w:line="360" w:lineRule="auto"/>
              <w:ind w:left="105" w:leftChars="50"/>
              <w:rPr>
                <w:rFonts w:ascii="宋体" w:hAnsi="宋体" w:cs="宋体"/>
                <w:color w:val="auto"/>
                <w:szCs w:val="21"/>
                <w:highlight w:val="none"/>
              </w:rPr>
            </w:pPr>
            <w:r>
              <w:rPr>
                <w:rFonts w:hint="eastAsia" w:ascii="宋体" w:hAnsi="宋体" w:cs="宋体"/>
                <w:color w:val="auto"/>
                <w:szCs w:val="21"/>
                <w:highlight w:val="none"/>
              </w:rPr>
              <w:t>5）通讯地址：西安市南二环西段58号成长大厦12楼1203室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40" w:hRule="atLeast"/>
        </w:trPr>
        <w:tc>
          <w:tcPr>
            <w:tcW w:w="84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7.3</w:t>
            </w:r>
          </w:p>
        </w:tc>
        <w:tc>
          <w:tcPr>
            <w:tcW w:w="1943" w:type="dxa"/>
            <w:vAlign w:val="center"/>
          </w:tcPr>
          <w:p>
            <w:pPr>
              <w:spacing w:line="360" w:lineRule="auto"/>
              <w:jc w:val="center"/>
              <w:rPr>
                <w:rFonts w:ascii="宋体" w:hAnsi="宋体" w:cs="宋体"/>
                <w:color w:val="auto"/>
                <w:szCs w:val="21"/>
                <w:highlight w:val="none"/>
              </w:rPr>
            </w:pPr>
            <w:r>
              <w:rPr>
                <w:rFonts w:hint="eastAsia" w:ascii="宋体" w:hAnsi="宋体"/>
                <w:color w:val="auto"/>
                <w:szCs w:val="21"/>
                <w:highlight w:val="none"/>
              </w:rPr>
              <w:t>采购代理机构答疑的时间</w:t>
            </w:r>
          </w:p>
        </w:tc>
        <w:tc>
          <w:tcPr>
            <w:tcW w:w="5560" w:type="dxa"/>
            <w:vAlign w:val="center"/>
          </w:tcPr>
          <w:p>
            <w:pPr>
              <w:spacing w:line="360" w:lineRule="auto"/>
              <w:ind w:left="105" w:leftChars="50"/>
              <w:jc w:val="left"/>
              <w:rPr>
                <w:rFonts w:ascii="宋体" w:hAnsi="宋体" w:cs="宋体"/>
                <w:color w:val="auto"/>
                <w:szCs w:val="21"/>
                <w:highlight w:val="none"/>
              </w:rPr>
            </w:pPr>
            <w:r>
              <w:rPr>
                <w:rFonts w:hint="eastAsia" w:ascii="宋体" w:hAnsi="宋体"/>
                <w:color w:val="auto"/>
                <w:szCs w:val="21"/>
                <w:highlight w:val="none"/>
              </w:rPr>
              <w:t>对于在规定时间内收到的供应商依法提出的询问或者质疑，</w:t>
            </w:r>
            <w:r>
              <w:rPr>
                <w:rFonts w:ascii="宋体" w:hAnsi="宋体"/>
                <w:color w:val="auto"/>
                <w:szCs w:val="21"/>
                <w:highlight w:val="none"/>
              </w:rPr>
              <w:t>采购代理机构将</w:t>
            </w:r>
            <w:r>
              <w:rPr>
                <w:rFonts w:hint="eastAsia" w:ascii="宋体" w:hAnsi="宋体"/>
                <w:color w:val="auto"/>
                <w:szCs w:val="21"/>
                <w:highlight w:val="none"/>
              </w:rPr>
              <w:t>按程序及时作出答复，若对谈判文件做出实质性变动，则按照相关规定延长谈判响应截止时间。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6" w:hRule="atLeast"/>
        </w:trPr>
        <w:tc>
          <w:tcPr>
            <w:tcW w:w="84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7.4</w:t>
            </w:r>
          </w:p>
        </w:tc>
        <w:tc>
          <w:tcPr>
            <w:tcW w:w="1943" w:type="dxa"/>
            <w:vAlign w:val="center"/>
          </w:tcPr>
          <w:p>
            <w:pPr>
              <w:spacing w:line="360" w:lineRule="auto"/>
              <w:jc w:val="center"/>
              <w:rPr>
                <w:rFonts w:ascii="宋体" w:hAnsi="宋体" w:cs="宋体"/>
                <w:color w:val="auto"/>
                <w:szCs w:val="21"/>
                <w:highlight w:val="none"/>
              </w:rPr>
            </w:pPr>
            <w:r>
              <w:rPr>
                <w:rFonts w:hint="eastAsia" w:ascii="宋体" w:hAnsi="宋体"/>
                <w:color w:val="auto"/>
                <w:szCs w:val="21"/>
                <w:highlight w:val="none"/>
              </w:rPr>
              <w:t>质疑内容要求</w:t>
            </w:r>
          </w:p>
        </w:tc>
        <w:tc>
          <w:tcPr>
            <w:tcW w:w="5560" w:type="dxa"/>
            <w:vAlign w:val="center"/>
          </w:tcPr>
          <w:p>
            <w:pPr>
              <w:spacing w:line="360" w:lineRule="auto"/>
              <w:ind w:left="105" w:leftChars="50"/>
              <w:rPr>
                <w:color w:val="auto"/>
                <w:szCs w:val="21"/>
                <w:highlight w:val="none"/>
              </w:rPr>
            </w:pPr>
            <w:r>
              <w:rPr>
                <w:rFonts w:hint="eastAsia"/>
                <w:color w:val="auto"/>
                <w:szCs w:val="21"/>
                <w:highlight w:val="none"/>
              </w:rPr>
              <w:t>供应商提出质疑应当提交质疑函和必要的证明材料。</w:t>
            </w:r>
          </w:p>
          <w:p>
            <w:pPr>
              <w:spacing w:line="360" w:lineRule="auto"/>
              <w:ind w:left="105" w:leftChars="50"/>
              <w:rPr>
                <w:color w:val="auto"/>
                <w:szCs w:val="21"/>
                <w:highlight w:val="none"/>
              </w:rPr>
            </w:pPr>
            <w:r>
              <w:rPr>
                <w:rFonts w:hint="eastAsia"/>
                <w:color w:val="auto"/>
                <w:szCs w:val="21"/>
                <w:highlight w:val="none"/>
              </w:rPr>
              <w:t>质疑函应当包括下列内容：</w:t>
            </w:r>
          </w:p>
          <w:p>
            <w:pPr>
              <w:spacing w:line="360" w:lineRule="auto"/>
              <w:ind w:left="105" w:leftChars="50"/>
              <w:rPr>
                <w:color w:val="auto"/>
                <w:szCs w:val="21"/>
                <w:highlight w:val="none"/>
              </w:rPr>
            </w:pPr>
            <w:r>
              <w:rPr>
                <w:rFonts w:hint="eastAsia"/>
                <w:color w:val="auto"/>
                <w:szCs w:val="21"/>
                <w:highlight w:val="none"/>
              </w:rPr>
              <w:t>（一）供应商的姓名或者名称、地址、邮编、联系人及联系电话；</w:t>
            </w:r>
          </w:p>
          <w:p>
            <w:pPr>
              <w:spacing w:line="360" w:lineRule="auto"/>
              <w:ind w:left="105" w:leftChars="50"/>
              <w:rPr>
                <w:color w:val="auto"/>
                <w:szCs w:val="21"/>
                <w:highlight w:val="none"/>
              </w:rPr>
            </w:pPr>
            <w:r>
              <w:rPr>
                <w:rFonts w:hint="eastAsia"/>
                <w:color w:val="auto"/>
                <w:szCs w:val="21"/>
                <w:highlight w:val="none"/>
              </w:rPr>
              <w:t>（二）质疑项目的名称、编号；</w:t>
            </w:r>
          </w:p>
          <w:p>
            <w:pPr>
              <w:spacing w:line="360" w:lineRule="auto"/>
              <w:ind w:left="105" w:leftChars="50"/>
              <w:rPr>
                <w:color w:val="auto"/>
                <w:szCs w:val="21"/>
                <w:highlight w:val="none"/>
              </w:rPr>
            </w:pPr>
            <w:r>
              <w:rPr>
                <w:rFonts w:hint="eastAsia"/>
                <w:color w:val="auto"/>
                <w:szCs w:val="21"/>
                <w:highlight w:val="none"/>
              </w:rPr>
              <w:t>（三）具体、明确的质疑事项和与质疑事项相关的请求；</w:t>
            </w:r>
          </w:p>
          <w:p>
            <w:pPr>
              <w:spacing w:line="360" w:lineRule="auto"/>
              <w:ind w:left="105" w:leftChars="50"/>
              <w:rPr>
                <w:color w:val="auto"/>
                <w:szCs w:val="21"/>
                <w:highlight w:val="none"/>
              </w:rPr>
            </w:pPr>
            <w:r>
              <w:rPr>
                <w:rFonts w:hint="eastAsia"/>
                <w:color w:val="auto"/>
                <w:szCs w:val="21"/>
                <w:highlight w:val="none"/>
              </w:rPr>
              <w:t>（四）事实依据；</w:t>
            </w:r>
          </w:p>
          <w:p>
            <w:pPr>
              <w:spacing w:line="360" w:lineRule="auto"/>
              <w:ind w:left="105" w:leftChars="50"/>
              <w:rPr>
                <w:color w:val="auto"/>
                <w:szCs w:val="21"/>
                <w:highlight w:val="none"/>
              </w:rPr>
            </w:pPr>
            <w:r>
              <w:rPr>
                <w:rFonts w:hint="eastAsia"/>
                <w:color w:val="auto"/>
                <w:szCs w:val="21"/>
                <w:highlight w:val="none"/>
              </w:rPr>
              <w:t>（五）必要的法律依据；</w:t>
            </w:r>
          </w:p>
          <w:p>
            <w:pPr>
              <w:spacing w:line="360" w:lineRule="auto"/>
              <w:ind w:left="105" w:leftChars="50"/>
              <w:rPr>
                <w:color w:val="auto"/>
                <w:szCs w:val="21"/>
                <w:highlight w:val="none"/>
              </w:rPr>
            </w:pPr>
            <w:r>
              <w:rPr>
                <w:rFonts w:hint="eastAsia"/>
                <w:color w:val="auto"/>
                <w:szCs w:val="21"/>
                <w:highlight w:val="none"/>
              </w:rPr>
              <w:t>（六）提出质疑的日期。</w:t>
            </w:r>
          </w:p>
          <w:p>
            <w:pPr>
              <w:spacing w:line="360" w:lineRule="auto"/>
              <w:ind w:left="105" w:leftChars="50"/>
              <w:rPr>
                <w:color w:val="auto"/>
                <w:szCs w:val="21"/>
                <w:highlight w:val="none"/>
              </w:rPr>
            </w:pPr>
            <w:r>
              <w:rPr>
                <w:rFonts w:hint="eastAsia"/>
                <w:color w:val="auto"/>
                <w:szCs w:val="21"/>
                <w:highlight w:val="none"/>
              </w:rPr>
              <w:t>供应商为自然人的，应当由本人签字；供应商为法人或者其他组织的，应当由法定代表人、主要负责人，或者其授权代表（附法人代表授权书）签字或者盖章（鲜章），并加盖公章（鲜章）。</w:t>
            </w:r>
          </w:p>
          <w:p>
            <w:pPr>
              <w:spacing w:line="360" w:lineRule="auto"/>
              <w:ind w:left="105" w:leftChars="50"/>
              <w:rPr>
                <w:rFonts w:ascii="宋体" w:hAnsi="宋体" w:cs="宋体"/>
                <w:color w:val="auto"/>
                <w:szCs w:val="21"/>
                <w:highlight w:val="none"/>
              </w:rPr>
            </w:pPr>
            <w:r>
              <w:rPr>
                <w:rFonts w:hint="eastAsia"/>
                <w:color w:val="auto"/>
                <w:szCs w:val="21"/>
                <w:highlight w:val="none"/>
              </w:rPr>
              <w:t>质疑函格式应符合“政府采购供应商质疑函范本”要求，详见“中国政府</w:t>
            </w:r>
            <w:r>
              <w:rPr>
                <w:rFonts w:hint="eastAsia" w:ascii="宋体" w:hAnsi="宋体" w:cs="宋体"/>
                <w:color w:val="auto"/>
                <w:szCs w:val="21"/>
                <w:highlight w:val="none"/>
              </w:rPr>
              <w:t>采购网（www.ccgp.gov.cn）”下</w:t>
            </w:r>
            <w:r>
              <w:rPr>
                <w:rFonts w:hint="eastAsia"/>
                <w:color w:val="auto"/>
                <w:szCs w:val="21"/>
                <w:highlight w:val="none"/>
              </w:rPr>
              <w:t>载专区。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7" w:hRule="atLeast"/>
        </w:trPr>
        <w:tc>
          <w:tcPr>
            <w:tcW w:w="84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w:t>
            </w:r>
          </w:p>
        </w:tc>
        <w:tc>
          <w:tcPr>
            <w:tcW w:w="1943" w:type="dxa"/>
            <w:vAlign w:val="center"/>
          </w:tcPr>
          <w:p>
            <w:pPr>
              <w:spacing w:line="360" w:lineRule="auto"/>
              <w:jc w:val="center"/>
              <w:outlineLvl w:val="0"/>
              <w:rPr>
                <w:rFonts w:ascii="宋体" w:hAnsi="宋体" w:cs="宋体"/>
                <w:color w:val="auto"/>
                <w:szCs w:val="21"/>
                <w:highlight w:val="none"/>
              </w:rPr>
            </w:pPr>
            <w:r>
              <w:rPr>
                <w:rFonts w:hint="eastAsia" w:ascii="宋体" w:hAnsi="宋体" w:cs="宋体"/>
                <w:color w:val="auto"/>
                <w:szCs w:val="21"/>
                <w:highlight w:val="none"/>
              </w:rPr>
              <w:t>报价要求</w:t>
            </w:r>
          </w:p>
        </w:tc>
        <w:tc>
          <w:tcPr>
            <w:tcW w:w="5560" w:type="dxa"/>
            <w:vAlign w:val="center"/>
          </w:tcPr>
          <w:p>
            <w:pPr>
              <w:spacing w:line="360" w:lineRule="auto"/>
              <w:ind w:left="421" w:leftChars="50" w:hanging="316" w:hangingChars="150"/>
              <w:rPr>
                <w:rFonts w:ascii="宋体" w:hAnsi="宋体" w:cs="宋体"/>
                <w:b/>
                <w:bCs/>
                <w:color w:val="auto"/>
                <w:kern w:val="0"/>
                <w:szCs w:val="21"/>
                <w:highlight w:val="none"/>
              </w:rPr>
            </w:pPr>
            <w:r>
              <w:rPr>
                <w:rFonts w:hint="eastAsia" w:ascii="宋体" w:hAnsi="宋体" w:cs="宋体"/>
                <w:b/>
                <w:bCs/>
                <w:color w:val="auto"/>
                <w:kern w:val="0"/>
                <w:szCs w:val="21"/>
                <w:highlight w:val="none"/>
              </w:rPr>
              <w:t>报价要求：固定单价</w:t>
            </w:r>
          </w:p>
          <w:p>
            <w:pPr>
              <w:spacing w:line="360" w:lineRule="auto"/>
              <w:ind w:left="105" w:leftChars="50"/>
              <w:jc w:val="left"/>
              <w:rPr>
                <w:rFonts w:ascii="宋体" w:hAnsi="宋体" w:cs="宋体"/>
                <w:b/>
                <w:bCs/>
                <w:color w:val="auto"/>
                <w:szCs w:val="21"/>
                <w:highlight w:val="none"/>
              </w:rPr>
            </w:pPr>
            <w:r>
              <w:rPr>
                <w:rFonts w:hint="eastAsia" w:ascii="宋体" w:hAnsi="宋体" w:cs="宋体"/>
                <w:b/>
                <w:bCs/>
                <w:color w:val="auto"/>
                <w:kern w:val="0"/>
                <w:szCs w:val="21"/>
                <w:highlight w:val="none"/>
              </w:rPr>
              <w:t>1）报价应包含但不限于采购产品的设计打板、材料、包装、储运、装卸、质保、税费等等完成本项目并达到采购人可正常使用的一切费用；</w:t>
            </w:r>
          </w:p>
          <w:p>
            <w:pPr>
              <w:spacing w:line="360" w:lineRule="auto"/>
              <w:ind w:left="105" w:leftChars="50"/>
              <w:jc w:val="left"/>
              <w:rPr>
                <w:rFonts w:ascii="宋体" w:hAnsi="宋体" w:cs="宋体"/>
                <w:b/>
                <w:bCs/>
                <w:color w:val="auto"/>
                <w:highlight w:val="none"/>
              </w:rPr>
            </w:pPr>
            <w:r>
              <w:rPr>
                <w:rFonts w:hint="eastAsia" w:ascii="宋体" w:hAnsi="宋体" w:cs="宋体"/>
                <w:b/>
                <w:bCs/>
                <w:color w:val="auto"/>
                <w:kern w:val="0"/>
                <w:szCs w:val="21"/>
                <w:highlight w:val="none"/>
              </w:rPr>
              <w:t>2）</w:t>
            </w:r>
            <w:r>
              <w:rPr>
                <w:rFonts w:hint="eastAsia" w:ascii="宋体" w:hAnsi="宋体" w:cs="宋体"/>
                <w:b/>
                <w:bCs/>
                <w:color w:val="auto"/>
                <w:highlight w:val="none"/>
              </w:rPr>
              <w:t>单价报价不得超过“</w:t>
            </w:r>
            <w:r>
              <w:rPr>
                <w:rFonts w:hint="eastAsia" w:ascii="宋体" w:hAnsi="宋体" w:cs="宋体"/>
                <w:b/>
                <w:bCs/>
                <w:color w:val="auto"/>
                <w:szCs w:val="21"/>
                <w:highlight w:val="none"/>
              </w:rPr>
              <w:t>第四章 采购内容及技术要求</w:t>
            </w:r>
            <w:r>
              <w:rPr>
                <w:rFonts w:hint="eastAsia" w:ascii="宋体" w:hAnsi="宋体" w:cs="宋体"/>
                <w:b/>
                <w:bCs/>
                <w:color w:val="auto"/>
                <w:highlight w:val="none"/>
              </w:rPr>
              <w:t>”中各单项的最高限价，否则</w:t>
            </w:r>
            <w:r>
              <w:rPr>
                <w:rFonts w:hint="eastAsia" w:ascii="宋体" w:hAnsi="宋体" w:cs="宋体"/>
                <w:b/>
                <w:bCs/>
                <w:color w:val="auto"/>
                <w:szCs w:val="21"/>
                <w:highlight w:val="none"/>
              </w:rPr>
              <w:t>按否决响应处理；</w:t>
            </w:r>
          </w:p>
          <w:p>
            <w:pPr>
              <w:spacing w:line="360" w:lineRule="auto"/>
              <w:ind w:left="105" w:leftChars="50"/>
              <w:jc w:val="left"/>
              <w:rPr>
                <w:rFonts w:ascii="宋体" w:hAnsi="宋体" w:cs="宋体"/>
                <w:color w:val="auto"/>
                <w:kern w:val="0"/>
                <w:szCs w:val="21"/>
                <w:highlight w:val="none"/>
              </w:rPr>
            </w:pPr>
            <w:r>
              <w:rPr>
                <w:rFonts w:hint="eastAsia" w:ascii="宋体" w:hAnsi="宋体" w:cs="宋体"/>
                <w:color w:val="auto"/>
                <w:kern w:val="0"/>
                <w:szCs w:val="21"/>
                <w:highlight w:val="none"/>
              </w:rPr>
              <w:t>3）供应商必须对所响应项目进行完整报价，采购人不接受（将拒绝）只对部分内容进行报价的响应；</w:t>
            </w:r>
          </w:p>
          <w:p>
            <w:pPr>
              <w:spacing w:line="360" w:lineRule="auto"/>
              <w:ind w:left="105" w:leftChars="50"/>
              <w:jc w:val="left"/>
              <w:rPr>
                <w:rFonts w:ascii="宋体" w:hAnsi="宋体" w:cs="宋体"/>
                <w:color w:val="auto"/>
                <w:szCs w:val="21"/>
                <w:highlight w:val="none"/>
              </w:rPr>
            </w:pPr>
            <w:r>
              <w:rPr>
                <w:rFonts w:hint="eastAsia" w:ascii="宋体" w:hAnsi="宋体" w:cs="宋体"/>
                <w:color w:val="auto"/>
                <w:kern w:val="0"/>
                <w:szCs w:val="21"/>
                <w:highlight w:val="none"/>
              </w:rPr>
              <w:t>4）明显不合理或者低于成本且无法合理解释的报价将被否决。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05" w:hRule="atLeast"/>
        </w:trPr>
        <w:tc>
          <w:tcPr>
            <w:tcW w:w="84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13.1</w:t>
            </w:r>
          </w:p>
        </w:tc>
        <w:tc>
          <w:tcPr>
            <w:tcW w:w="194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资格证明文件</w:t>
            </w:r>
          </w:p>
        </w:tc>
        <w:tc>
          <w:tcPr>
            <w:tcW w:w="5560" w:type="dxa"/>
            <w:vAlign w:val="center"/>
          </w:tcPr>
          <w:p>
            <w:pPr>
              <w:spacing w:before="156" w:beforeLines="50" w:line="360" w:lineRule="auto"/>
              <w:ind w:left="105" w:leftChars="50"/>
              <w:rPr>
                <w:rFonts w:ascii="宋体" w:hAnsi="宋体" w:cs="宋体"/>
                <w:b/>
                <w:bCs/>
                <w:color w:val="auto"/>
                <w:kern w:val="0"/>
                <w:szCs w:val="21"/>
                <w:highlight w:val="none"/>
              </w:rPr>
            </w:pPr>
            <w:r>
              <w:rPr>
                <w:rFonts w:hint="eastAsia" w:ascii="宋体" w:hAnsi="宋体" w:cs="宋体"/>
                <w:b/>
                <w:bCs/>
                <w:color w:val="auto"/>
                <w:kern w:val="0"/>
                <w:szCs w:val="21"/>
                <w:highlight w:val="none"/>
              </w:rPr>
              <w:t>1）具有独立承担民事责任的能力</w:t>
            </w:r>
          </w:p>
          <w:p>
            <w:pPr>
              <w:spacing w:line="360" w:lineRule="auto"/>
              <w:ind w:left="105" w:leftChars="50"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提供注册登记凭证（营业执照、其他组织经营的合法凭证，自然人的提供身份证明文件）。</w:t>
            </w:r>
          </w:p>
          <w:p>
            <w:pPr>
              <w:spacing w:before="156" w:beforeLines="50" w:line="360" w:lineRule="auto"/>
              <w:ind w:left="105" w:leftChars="50"/>
              <w:rPr>
                <w:rFonts w:ascii="宋体" w:hAnsi="宋体" w:cs="宋体"/>
                <w:b/>
                <w:bCs/>
                <w:color w:val="auto"/>
                <w:kern w:val="0"/>
                <w:szCs w:val="21"/>
                <w:highlight w:val="none"/>
              </w:rPr>
            </w:pPr>
            <w:r>
              <w:rPr>
                <w:rFonts w:hint="eastAsia" w:ascii="宋体" w:hAnsi="宋体" w:cs="宋体"/>
                <w:b/>
                <w:bCs/>
                <w:color w:val="auto"/>
                <w:kern w:val="0"/>
                <w:szCs w:val="21"/>
                <w:highlight w:val="none"/>
              </w:rPr>
              <w:t>2）具有良好的商业信誉和健全的财务会计制度</w:t>
            </w:r>
          </w:p>
          <w:p>
            <w:pPr>
              <w:spacing w:line="360" w:lineRule="auto"/>
              <w:ind w:left="105" w:leftChars="50" w:firstLine="420" w:firstLineChars="200"/>
              <w:rPr>
                <w:rFonts w:ascii="宋体" w:hAnsi="宋体" w:cs="宋体"/>
                <w:color w:val="auto"/>
                <w:szCs w:val="21"/>
                <w:highlight w:val="none"/>
              </w:rPr>
            </w:pPr>
            <w:r>
              <w:rPr>
                <w:rFonts w:hint="eastAsia" w:ascii="宋体" w:hAnsi="宋体" w:cs="宋体"/>
                <w:color w:val="auto"/>
                <w:szCs w:val="21"/>
                <w:highlight w:val="none"/>
              </w:rPr>
              <w:t>提供2021年度经审计的财务报告（包括四表一注，即资产负债表、利润表、现金流量表、所有者权益变动表及其附注），且无反对意见；事业法人提供部门决算报告；</w:t>
            </w:r>
          </w:p>
          <w:p>
            <w:pPr>
              <w:spacing w:line="360" w:lineRule="auto"/>
              <w:ind w:left="105" w:leftChars="50" w:firstLine="420" w:firstLineChars="200"/>
              <w:rPr>
                <w:rFonts w:ascii="宋体" w:hAnsi="宋体" w:cs="宋体"/>
                <w:color w:val="auto"/>
                <w:szCs w:val="21"/>
                <w:highlight w:val="none"/>
              </w:rPr>
            </w:pPr>
            <w:r>
              <w:rPr>
                <w:rFonts w:hint="eastAsia" w:ascii="宋体" w:hAnsi="宋体" w:cs="宋体"/>
                <w:color w:val="auto"/>
                <w:szCs w:val="21"/>
                <w:highlight w:val="none"/>
              </w:rPr>
              <w:t>/或在</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截止日期前六个月内其基本开户银行出具的资信证明（附《基本存款账户信息》或《银行开户许可证》复印件）；</w:t>
            </w:r>
          </w:p>
          <w:p>
            <w:pPr>
              <w:spacing w:line="360" w:lineRule="auto"/>
              <w:ind w:left="105" w:leftChars="50" w:firstLine="420" w:firstLineChars="200"/>
              <w:rPr>
                <w:rFonts w:ascii="宋体" w:hAnsi="宋体" w:cs="宋体"/>
                <w:color w:val="auto"/>
                <w:szCs w:val="21"/>
                <w:highlight w:val="none"/>
              </w:rPr>
            </w:pPr>
            <w:r>
              <w:rPr>
                <w:rFonts w:hint="eastAsia" w:ascii="宋体" w:hAnsi="宋体" w:cs="宋体"/>
                <w:color w:val="auto"/>
                <w:szCs w:val="21"/>
                <w:highlight w:val="none"/>
              </w:rPr>
              <w:t>/或财政部门认可的政府采购专业担保机构出具的投标担保函；</w:t>
            </w:r>
          </w:p>
          <w:p>
            <w:pPr>
              <w:spacing w:line="360" w:lineRule="auto"/>
              <w:ind w:left="105" w:leftChars="50" w:firstLine="420" w:firstLineChars="200"/>
              <w:rPr>
                <w:rFonts w:ascii="宋体" w:hAnsi="宋体" w:cs="宋体"/>
                <w:color w:val="auto"/>
                <w:szCs w:val="21"/>
                <w:highlight w:val="none"/>
              </w:rPr>
            </w:pPr>
            <w:r>
              <w:rPr>
                <w:rFonts w:hint="eastAsia" w:ascii="宋体" w:hAnsi="宋体" w:cs="宋体"/>
                <w:color w:val="auto"/>
                <w:szCs w:val="21"/>
                <w:highlight w:val="none"/>
              </w:rPr>
              <w:t>以上三种形式的资料提供任何一种即可。</w:t>
            </w:r>
          </w:p>
          <w:p>
            <w:pPr>
              <w:spacing w:before="156" w:beforeLines="50" w:line="360" w:lineRule="auto"/>
              <w:ind w:left="105" w:leftChars="50"/>
              <w:rPr>
                <w:rFonts w:ascii="宋体" w:hAnsi="宋体" w:cs="宋体"/>
                <w:b/>
                <w:bCs/>
                <w:color w:val="auto"/>
                <w:kern w:val="0"/>
                <w:szCs w:val="21"/>
                <w:highlight w:val="none"/>
              </w:rPr>
            </w:pPr>
            <w:r>
              <w:rPr>
                <w:rFonts w:hint="eastAsia" w:ascii="宋体" w:hAnsi="宋体" w:cs="宋体"/>
                <w:b/>
                <w:bCs/>
                <w:color w:val="auto"/>
                <w:kern w:val="0"/>
                <w:szCs w:val="21"/>
                <w:highlight w:val="none"/>
              </w:rPr>
              <w:t>3）具有履行合同所必需的设备和专业技术能力</w:t>
            </w:r>
          </w:p>
          <w:p>
            <w:pPr>
              <w:spacing w:line="360" w:lineRule="auto"/>
              <w:ind w:left="105" w:leftChars="50"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提供声明文件原件。</w:t>
            </w:r>
          </w:p>
          <w:p>
            <w:pPr>
              <w:spacing w:before="156" w:beforeLines="50" w:line="360" w:lineRule="auto"/>
              <w:ind w:left="105" w:leftChars="50"/>
              <w:rPr>
                <w:rFonts w:ascii="宋体" w:hAnsi="宋体" w:cs="宋体"/>
                <w:b/>
                <w:bCs/>
                <w:color w:val="auto"/>
                <w:kern w:val="0"/>
                <w:szCs w:val="21"/>
                <w:highlight w:val="none"/>
              </w:rPr>
            </w:pPr>
            <w:r>
              <w:rPr>
                <w:rFonts w:hint="eastAsia" w:ascii="宋体" w:hAnsi="宋体" w:cs="宋体"/>
                <w:b/>
                <w:bCs/>
                <w:color w:val="auto"/>
                <w:kern w:val="0"/>
                <w:szCs w:val="21"/>
                <w:highlight w:val="none"/>
              </w:rPr>
              <w:t>4）具有依法缴纳税收的良好记录</w:t>
            </w:r>
          </w:p>
          <w:p>
            <w:pPr>
              <w:spacing w:line="360" w:lineRule="auto"/>
              <w:ind w:left="105" w:leftChars="50"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提供缴费所属日期为</w:t>
            </w:r>
            <w:r>
              <w:rPr>
                <w:rFonts w:hint="eastAsia" w:ascii="宋体" w:hAnsi="宋体" w:cs="宋体"/>
                <w:color w:val="auto"/>
                <w:kern w:val="0"/>
                <w:szCs w:val="21"/>
                <w:highlight w:val="none"/>
                <w:lang w:eastAsia="zh-CN"/>
              </w:rPr>
              <w:t>谈判</w:t>
            </w:r>
            <w:r>
              <w:rPr>
                <w:rFonts w:hint="eastAsia" w:ascii="宋体" w:hAnsi="宋体" w:cs="宋体"/>
                <w:color w:val="auto"/>
                <w:kern w:val="0"/>
                <w:szCs w:val="21"/>
                <w:highlight w:val="none"/>
              </w:rPr>
              <w:t>截止时间前6个月内任一月份（</w:t>
            </w:r>
            <w:r>
              <w:rPr>
                <w:rFonts w:hint="eastAsia" w:ascii="宋体" w:hAnsi="宋体" w:cs="宋体"/>
                <w:color w:val="auto"/>
                <w:kern w:val="0"/>
                <w:szCs w:val="21"/>
                <w:highlight w:val="none"/>
                <w:lang w:eastAsia="zh-CN"/>
              </w:rPr>
              <w:t>谈判</w:t>
            </w:r>
            <w:r>
              <w:rPr>
                <w:rFonts w:hint="eastAsia" w:ascii="宋体" w:hAnsi="宋体" w:cs="宋体"/>
                <w:color w:val="auto"/>
                <w:kern w:val="0"/>
                <w:szCs w:val="21"/>
                <w:highlight w:val="none"/>
              </w:rPr>
              <w:t>截止时间当月不计入）的</w:t>
            </w:r>
            <w:r>
              <w:rPr>
                <w:rFonts w:hint="eastAsia" w:ascii="宋体" w:hAnsi="宋体" w:cs="宋体"/>
                <w:color w:val="auto"/>
                <w:kern w:val="0"/>
                <w:szCs w:val="21"/>
                <w:highlight w:val="none"/>
                <w:lang w:val="en-US" w:eastAsia="zh-CN"/>
              </w:rPr>
              <w:t>增值税或所得税</w:t>
            </w:r>
            <w:r>
              <w:rPr>
                <w:rFonts w:hint="eastAsia" w:ascii="宋体" w:hAnsi="宋体" w:cs="宋体"/>
                <w:color w:val="auto"/>
                <w:kern w:val="0"/>
                <w:szCs w:val="21"/>
                <w:highlight w:val="none"/>
              </w:rPr>
              <w:t>缴费凭据或税务机关出具的完税证明/在法规范围内不需提供的应出具书面说明和证明文件。</w:t>
            </w:r>
          </w:p>
          <w:p>
            <w:pPr>
              <w:spacing w:before="156" w:beforeLines="50" w:line="360" w:lineRule="auto"/>
              <w:ind w:left="105" w:leftChars="50"/>
              <w:rPr>
                <w:rFonts w:ascii="宋体" w:hAnsi="宋体" w:cs="宋体"/>
                <w:b/>
                <w:bCs/>
                <w:color w:val="auto"/>
                <w:kern w:val="0"/>
                <w:szCs w:val="21"/>
                <w:highlight w:val="none"/>
              </w:rPr>
            </w:pPr>
            <w:r>
              <w:rPr>
                <w:rFonts w:hint="eastAsia" w:ascii="宋体" w:hAnsi="宋体" w:cs="宋体"/>
                <w:b/>
                <w:bCs/>
                <w:color w:val="auto"/>
                <w:kern w:val="0"/>
                <w:szCs w:val="21"/>
                <w:highlight w:val="none"/>
              </w:rPr>
              <w:t>5）具有依法缴纳社会保障资金的良好记录</w:t>
            </w:r>
          </w:p>
          <w:p>
            <w:pPr>
              <w:spacing w:line="360" w:lineRule="auto"/>
              <w:ind w:left="105" w:leftChars="50"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提供缴费所属日期为</w:t>
            </w:r>
            <w:r>
              <w:rPr>
                <w:rFonts w:hint="eastAsia" w:ascii="宋体" w:hAnsi="宋体" w:cs="宋体"/>
                <w:color w:val="auto"/>
                <w:kern w:val="0"/>
                <w:szCs w:val="21"/>
                <w:highlight w:val="none"/>
                <w:lang w:eastAsia="zh-CN"/>
              </w:rPr>
              <w:t>谈判</w:t>
            </w:r>
            <w:r>
              <w:rPr>
                <w:rFonts w:hint="eastAsia" w:ascii="宋体" w:hAnsi="宋体" w:cs="宋体"/>
                <w:color w:val="auto"/>
                <w:kern w:val="0"/>
                <w:szCs w:val="21"/>
                <w:highlight w:val="none"/>
              </w:rPr>
              <w:t>截止时间前6个月内任一月份（</w:t>
            </w:r>
            <w:r>
              <w:rPr>
                <w:rFonts w:hint="eastAsia" w:ascii="宋体" w:hAnsi="宋体" w:cs="宋体"/>
                <w:color w:val="auto"/>
                <w:kern w:val="0"/>
                <w:szCs w:val="21"/>
                <w:highlight w:val="none"/>
                <w:lang w:eastAsia="zh-CN"/>
              </w:rPr>
              <w:t>谈判</w:t>
            </w:r>
            <w:r>
              <w:rPr>
                <w:rFonts w:hint="eastAsia" w:ascii="宋体" w:hAnsi="宋体" w:cs="宋体"/>
                <w:color w:val="auto"/>
                <w:kern w:val="0"/>
                <w:szCs w:val="21"/>
                <w:highlight w:val="none"/>
              </w:rPr>
              <w:t>截止时间当月不计入）的缴费凭据或社保机关出具的缴费证明/在法规范围内不需提供的应出具书面说明和证明文件。</w:t>
            </w:r>
          </w:p>
          <w:p>
            <w:pPr>
              <w:spacing w:before="156" w:beforeLines="50" w:line="360" w:lineRule="auto"/>
              <w:ind w:left="105" w:leftChars="5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6）参加政府采购活动前3年内在经营活动中没有重大违法记录的书面声明（原件）。</w:t>
            </w:r>
          </w:p>
          <w:p>
            <w:pPr>
              <w:spacing w:before="156" w:beforeLines="50" w:line="360" w:lineRule="auto"/>
              <w:ind w:left="105" w:leftChars="50"/>
              <w:rPr>
                <w:rFonts w:ascii="宋体" w:hAnsi="宋体" w:cs="宋体"/>
                <w:b/>
                <w:bCs/>
                <w:color w:val="auto"/>
                <w:kern w:val="0"/>
                <w:szCs w:val="21"/>
                <w:highlight w:val="none"/>
              </w:rPr>
            </w:pPr>
            <w:r>
              <w:rPr>
                <w:rFonts w:hint="eastAsia" w:ascii="宋体" w:hAnsi="宋体" w:cs="宋体"/>
                <w:b/>
                <w:bCs/>
                <w:color w:val="auto"/>
                <w:kern w:val="0"/>
                <w:szCs w:val="21"/>
                <w:highlight w:val="none"/>
              </w:rPr>
              <w:t>7）法人代表授权书（原件）。</w:t>
            </w:r>
          </w:p>
          <w:p>
            <w:pPr>
              <w:spacing w:line="360" w:lineRule="auto"/>
              <w:ind w:left="105" w:leftChars="50"/>
              <w:rPr>
                <w:rFonts w:ascii="宋体" w:hAnsi="宋体" w:cs="宋体"/>
                <w:b/>
                <w:color w:val="auto"/>
                <w:szCs w:val="21"/>
                <w:highlight w:val="none"/>
              </w:rPr>
            </w:pPr>
            <w:r>
              <w:rPr>
                <w:rFonts w:hint="eastAsia" w:ascii="宋体" w:hAnsi="宋体" w:cs="宋体"/>
                <w:color w:val="auto"/>
                <w:kern w:val="0"/>
                <w:szCs w:val="21"/>
                <w:highlight w:val="none"/>
              </w:rPr>
              <w:t>注：①以上资格证明文件供应商必须完全提供，一项不合格即按照无效响应处理，注明原件的须胶装在响应文件正本中；②除注明原件外，均为复印件；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02" w:hRule="atLeast"/>
        </w:trPr>
        <w:tc>
          <w:tcPr>
            <w:tcW w:w="84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13.2</w:t>
            </w:r>
          </w:p>
        </w:tc>
        <w:tc>
          <w:tcPr>
            <w:tcW w:w="194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要求单独密封</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并与谈判响应文件一并提交的证明文件原件</w:t>
            </w:r>
          </w:p>
        </w:tc>
        <w:tc>
          <w:tcPr>
            <w:tcW w:w="5560" w:type="dxa"/>
            <w:vAlign w:val="center"/>
          </w:tcPr>
          <w:p>
            <w:pPr>
              <w:spacing w:line="360" w:lineRule="auto"/>
              <w:ind w:left="420" w:leftChars="50" w:hanging="315" w:hangingChars="150"/>
              <w:rPr>
                <w:rFonts w:ascii="宋体" w:hAnsi="宋体" w:cs="宋体"/>
                <w:color w:val="auto"/>
                <w:szCs w:val="21"/>
                <w:highlight w:val="none"/>
              </w:rPr>
            </w:pPr>
            <w:r>
              <w:rPr>
                <w:rFonts w:hint="eastAsia" w:ascii="宋体" w:hAnsi="宋体" w:cs="宋体"/>
                <w:color w:val="auto"/>
                <w:szCs w:val="21"/>
                <w:highlight w:val="none"/>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0" w:hRule="atLeast"/>
        </w:trPr>
        <w:tc>
          <w:tcPr>
            <w:tcW w:w="84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13.3</w:t>
            </w:r>
          </w:p>
        </w:tc>
        <w:tc>
          <w:tcPr>
            <w:tcW w:w="194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货物合法来源的</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证明文件</w:t>
            </w:r>
          </w:p>
        </w:tc>
        <w:tc>
          <w:tcPr>
            <w:tcW w:w="5560" w:type="dxa"/>
            <w:vAlign w:val="center"/>
          </w:tcPr>
          <w:p>
            <w:pPr>
              <w:spacing w:line="360" w:lineRule="auto"/>
              <w:ind w:left="105" w:leftChars="50"/>
              <w:rPr>
                <w:rFonts w:ascii="宋体" w:hAnsi="宋体"/>
                <w:color w:val="auto"/>
                <w:szCs w:val="21"/>
                <w:highlight w:val="none"/>
              </w:rPr>
            </w:pPr>
            <w:r>
              <w:rPr>
                <w:rFonts w:hint="eastAsia" w:ascii="宋体" w:hAnsi="宋体" w:cs="宋体"/>
                <w:color w:val="auto"/>
                <w:szCs w:val="21"/>
                <w:highlight w:val="none"/>
              </w:rPr>
              <w:t>提供响应产品合法来源渠道的证明文件（</w:t>
            </w:r>
            <w:r>
              <w:rPr>
                <w:rFonts w:hint="eastAsia" w:ascii="宋体" w:hAnsi="宋体"/>
                <w:color w:val="auto"/>
                <w:highlight w:val="none"/>
                <w:lang w:val="en-US" w:eastAsia="zh-CN"/>
              </w:rPr>
              <w:t>包括但不限于原厂</w:t>
            </w:r>
            <w:r>
              <w:rPr>
                <w:rFonts w:hint="eastAsia" w:ascii="宋体" w:hAnsi="宋体"/>
                <w:color w:val="auto"/>
                <w:highlight w:val="none"/>
              </w:rPr>
              <w:t>授权</w:t>
            </w:r>
            <w:r>
              <w:rPr>
                <w:rFonts w:hint="eastAsia" w:ascii="宋体" w:hAnsi="宋体"/>
                <w:color w:val="auto"/>
                <w:highlight w:val="none"/>
                <w:lang w:eastAsia="zh-CN"/>
              </w:rPr>
              <w:t>、</w:t>
            </w:r>
            <w:r>
              <w:rPr>
                <w:rFonts w:hint="eastAsia" w:ascii="宋体" w:hAnsi="宋体"/>
                <w:color w:val="auto"/>
                <w:highlight w:val="none"/>
                <w:lang w:val="en-US" w:eastAsia="zh-CN"/>
              </w:rPr>
              <w:t>代理协议、经销协议等证明材料</w:t>
            </w:r>
            <w:r>
              <w:rPr>
                <w:rFonts w:hint="eastAsia" w:ascii="宋体" w:hAnsi="宋体" w:cs="宋体"/>
                <w:color w:val="auto"/>
                <w:szCs w:val="21"/>
                <w:highlight w:val="none"/>
              </w:rPr>
              <w:t>）（仅代理商提供）。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5" w:hRule="atLeast"/>
        </w:trPr>
        <w:tc>
          <w:tcPr>
            <w:tcW w:w="84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14.2</w:t>
            </w:r>
          </w:p>
        </w:tc>
        <w:tc>
          <w:tcPr>
            <w:tcW w:w="194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1）本次采购特别</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要求的货物合格性证明文件</w:t>
            </w:r>
          </w:p>
        </w:tc>
        <w:tc>
          <w:tcPr>
            <w:tcW w:w="5560" w:type="dxa"/>
            <w:vAlign w:val="center"/>
          </w:tcPr>
          <w:p>
            <w:pPr>
              <w:spacing w:line="360" w:lineRule="auto"/>
              <w:ind w:left="105" w:leftChars="50"/>
              <w:rPr>
                <w:rFonts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84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15.1</w:t>
            </w:r>
          </w:p>
        </w:tc>
        <w:tc>
          <w:tcPr>
            <w:tcW w:w="194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是否要求</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谈判保证金</w:t>
            </w:r>
          </w:p>
        </w:tc>
        <w:tc>
          <w:tcPr>
            <w:tcW w:w="5560" w:type="dxa"/>
            <w:vAlign w:val="center"/>
          </w:tcPr>
          <w:p>
            <w:pPr>
              <w:spacing w:line="360" w:lineRule="auto"/>
              <w:ind w:left="105" w:leftChars="50"/>
              <w:rPr>
                <w:rFonts w:ascii="宋体" w:hAnsi="宋体" w:cs="宋体"/>
                <w:color w:val="auto"/>
                <w:szCs w:val="21"/>
                <w:highlight w:val="none"/>
              </w:rPr>
            </w:pPr>
            <w:r>
              <w:rPr>
                <w:rFonts w:hint="eastAsia" w:ascii="宋体" w:hAnsi="宋体" w:cs="宋体"/>
                <w:color w:val="auto"/>
                <w:szCs w:val="21"/>
                <w:highlight w:val="none"/>
              </w:rPr>
              <w:t>本次谈判</w:t>
            </w:r>
            <w:r>
              <w:rPr>
                <w:rFonts w:hint="eastAsia" w:ascii="宋体" w:hAnsi="宋体" w:cs="宋体"/>
                <w:bCs/>
                <w:color w:val="auto"/>
                <w:szCs w:val="21"/>
                <w:highlight w:val="none"/>
              </w:rPr>
              <w:t>不要求</w:t>
            </w:r>
            <w:r>
              <w:rPr>
                <w:rFonts w:hint="eastAsia" w:ascii="宋体" w:hAnsi="宋体" w:cs="宋体"/>
                <w:color w:val="auto"/>
                <w:szCs w:val="21"/>
                <w:highlight w:val="none"/>
              </w:rPr>
              <w:t>提交谈判保证金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16.1</w:t>
            </w:r>
          </w:p>
        </w:tc>
        <w:tc>
          <w:tcPr>
            <w:tcW w:w="194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谈判报价有效期</w:t>
            </w:r>
          </w:p>
        </w:tc>
        <w:tc>
          <w:tcPr>
            <w:tcW w:w="5560" w:type="dxa"/>
            <w:vAlign w:val="center"/>
          </w:tcPr>
          <w:p>
            <w:pPr>
              <w:spacing w:line="360" w:lineRule="auto"/>
              <w:ind w:left="105" w:leftChars="50"/>
              <w:rPr>
                <w:rFonts w:ascii="宋体" w:hAnsi="宋体" w:cs="宋体"/>
                <w:color w:val="auto"/>
                <w:szCs w:val="21"/>
                <w:highlight w:val="none"/>
              </w:rPr>
            </w:pPr>
            <w:r>
              <w:rPr>
                <w:rFonts w:hint="eastAsia" w:ascii="宋体" w:hAnsi="宋体" w:cs="宋体"/>
                <w:color w:val="auto"/>
                <w:szCs w:val="21"/>
                <w:highlight w:val="none"/>
              </w:rPr>
              <w:t>谈判后90天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17.1</w:t>
            </w:r>
          </w:p>
        </w:tc>
        <w:tc>
          <w:tcPr>
            <w:tcW w:w="194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谈判响应文件份数</w:t>
            </w:r>
          </w:p>
        </w:tc>
        <w:tc>
          <w:tcPr>
            <w:tcW w:w="5560" w:type="dxa"/>
            <w:vAlign w:val="center"/>
          </w:tcPr>
          <w:p>
            <w:pPr>
              <w:spacing w:line="360" w:lineRule="auto"/>
              <w:ind w:left="105" w:leftChars="50"/>
              <w:rPr>
                <w:rFonts w:ascii="宋体" w:hAnsi="宋体" w:cs="宋体"/>
                <w:color w:val="auto"/>
                <w:szCs w:val="21"/>
                <w:highlight w:val="none"/>
              </w:rPr>
            </w:pPr>
            <w:r>
              <w:rPr>
                <w:rFonts w:hint="eastAsia" w:ascii="宋体" w:hAnsi="宋体" w:cs="宋体"/>
                <w:color w:val="auto"/>
                <w:szCs w:val="21"/>
                <w:highlight w:val="none"/>
              </w:rPr>
              <w:t>正本一份，副本二份，电子版一份。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3" w:hRule="atLeast"/>
        </w:trPr>
        <w:tc>
          <w:tcPr>
            <w:tcW w:w="84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17.2</w:t>
            </w:r>
          </w:p>
        </w:tc>
        <w:tc>
          <w:tcPr>
            <w:tcW w:w="194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电子版文件要求</w:t>
            </w:r>
          </w:p>
        </w:tc>
        <w:tc>
          <w:tcPr>
            <w:tcW w:w="5560" w:type="dxa"/>
            <w:vAlign w:val="center"/>
          </w:tcPr>
          <w:p>
            <w:pPr>
              <w:spacing w:line="360" w:lineRule="auto"/>
              <w:ind w:left="105" w:leftChars="50"/>
              <w:rPr>
                <w:rFonts w:ascii="宋体" w:hAnsi="宋体" w:cs="宋体"/>
                <w:color w:val="auto"/>
                <w:szCs w:val="21"/>
                <w:highlight w:val="none"/>
              </w:rPr>
            </w:pPr>
            <w:r>
              <w:rPr>
                <w:rFonts w:hint="eastAsia" w:ascii="宋体" w:hAnsi="宋体" w:cs="宋体"/>
                <w:color w:val="auto"/>
                <w:szCs w:val="21"/>
                <w:highlight w:val="none"/>
              </w:rPr>
              <w:t>有，要求如下：</w:t>
            </w:r>
          </w:p>
          <w:p>
            <w:pPr>
              <w:spacing w:line="360" w:lineRule="auto"/>
              <w:ind w:left="420" w:leftChars="50" w:hanging="315" w:hangingChars="150"/>
              <w:rPr>
                <w:rFonts w:ascii="宋体" w:hAnsi="宋体" w:cs="宋体"/>
                <w:color w:val="auto"/>
                <w:szCs w:val="21"/>
                <w:highlight w:val="none"/>
              </w:rPr>
            </w:pPr>
            <w:r>
              <w:rPr>
                <w:rFonts w:hint="eastAsia" w:ascii="宋体" w:hAnsi="宋体" w:cs="宋体"/>
                <w:color w:val="auto"/>
                <w:szCs w:val="21"/>
                <w:highlight w:val="none"/>
              </w:rPr>
              <w:t>1）供应商须另行提供与纸质响应文件正本一致的PDF格式U盘，且盖章、签字处必须扫描并清晰可辨。</w:t>
            </w:r>
          </w:p>
          <w:p>
            <w:pPr>
              <w:spacing w:line="360" w:lineRule="auto"/>
              <w:ind w:left="420" w:leftChars="50" w:hanging="315" w:hangingChars="150"/>
              <w:rPr>
                <w:rFonts w:ascii="宋体" w:hAnsi="宋体" w:cs="宋体"/>
                <w:color w:val="auto"/>
                <w:szCs w:val="21"/>
                <w:highlight w:val="none"/>
              </w:rPr>
            </w:pPr>
            <w:r>
              <w:rPr>
                <w:rFonts w:hint="eastAsia" w:ascii="宋体" w:hAnsi="宋体" w:cs="宋体"/>
                <w:color w:val="auto"/>
                <w:szCs w:val="21"/>
                <w:highlight w:val="none"/>
              </w:rPr>
              <w:t>2）供应商须保证响应文件的纸质文件与电子文档保持一致。</w:t>
            </w:r>
          </w:p>
          <w:p>
            <w:pPr>
              <w:spacing w:line="360" w:lineRule="auto"/>
              <w:ind w:left="420" w:leftChars="50" w:hanging="315" w:hangingChars="150"/>
              <w:rPr>
                <w:rFonts w:ascii="宋体" w:hAnsi="宋体" w:cs="宋体"/>
                <w:color w:val="auto"/>
                <w:szCs w:val="21"/>
                <w:highlight w:val="none"/>
              </w:rPr>
            </w:pPr>
            <w:r>
              <w:rPr>
                <w:rFonts w:hint="eastAsia" w:ascii="宋体" w:hAnsi="宋体" w:cs="宋体"/>
                <w:color w:val="auto"/>
                <w:szCs w:val="21"/>
                <w:highlight w:val="none"/>
              </w:rPr>
              <w:t>3）电子文档表面需标明采购项目编号、供应商名称等信息。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44" w:hRule="atLeast"/>
        </w:trPr>
        <w:tc>
          <w:tcPr>
            <w:tcW w:w="84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17.3</w:t>
            </w:r>
          </w:p>
        </w:tc>
        <w:tc>
          <w:tcPr>
            <w:tcW w:w="1943" w:type="dxa"/>
            <w:vAlign w:val="center"/>
          </w:tcPr>
          <w:p>
            <w:pPr>
              <w:spacing w:line="360" w:lineRule="auto"/>
              <w:jc w:val="center"/>
              <w:rPr>
                <w:rFonts w:ascii="宋体" w:hAnsi="宋体" w:cs="宋体"/>
                <w:color w:val="auto"/>
                <w:szCs w:val="21"/>
                <w:highlight w:val="none"/>
              </w:rPr>
            </w:pPr>
            <w:r>
              <w:rPr>
                <w:rFonts w:hint="eastAsia" w:ascii="宋体" w:hAnsi="宋体"/>
                <w:color w:val="auto"/>
                <w:szCs w:val="21"/>
                <w:highlight w:val="none"/>
              </w:rPr>
              <w:t>法人代表授权书签字盖章要求</w:t>
            </w:r>
          </w:p>
        </w:tc>
        <w:tc>
          <w:tcPr>
            <w:tcW w:w="5560" w:type="dxa"/>
            <w:vAlign w:val="center"/>
          </w:tcPr>
          <w:p>
            <w:pPr>
              <w:spacing w:line="360" w:lineRule="auto"/>
              <w:ind w:left="105" w:leftChars="50"/>
              <w:jc w:val="left"/>
              <w:rPr>
                <w:rFonts w:ascii="宋体" w:hAnsi="宋体" w:cs="宋体"/>
                <w:color w:val="auto"/>
                <w:szCs w:val="21"/>
                <w:highlight w:val="none"/>
              </w:rPr>
            </w:pPr>
            <w:r>
              <w:rPr>
                <w:rFonts w:hint="eastAsia" w:ascii="宋体" w:hAnsi="宋体"/>
                <w:color w:val="auto"/>
                <w:szCs w:val="21"/>
                <w:highlight w:val="none"/>
              </w:rPr>
              <w:t>所有要求法人代表签字（名）处，均须由签字（名）者本人用不褪色的蓝(黑)色墨水(汁)书写，也可以加盖法人代表名章代替签名。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2" w:hRule="atLeast"/>
        </w:trPr>
        <w:tc>
          <w:tcPr>
            <w:tcW w:w="84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18.1</w:t>
            </w:r>
          </w:p>
        </w:tc>
        <w:tc>
          <w:tcPr>
            <w:tcW w:w="194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谈判响应文件装订及包装密封要求</w:t>
            </w:r>
          </w:p>
        </w:tc>
        <w:tc>
          <w:tcPr>
            <w:tcW w:w="5560" w:type="dxa"/>
            <w:vAlign w:val="center"/>
          </w:tcPr>
          <w:p>
            <w:pPr>
              <w:spacing w:line="360" w:lineRule="auto"/>
              <w:ind w:left="420" w:leftChars="50" w:hanging="315" w:hangingChars="150"/>
              <w:rPr>
                <w:rFonts w:ascii="宋体" w:hAnsi="宋体" w:cs="宋体"/>
                <w:color w:val="auto"/>
                <w:szCs w:val="21"/>
                <w:highlight w:val="none"/>
              </w:rPr>
            </w:pPr>
            <w:r>
              <w:rPr>
                <w:rFonts w:hint="eastAsia" w:ascii="宋体" w:hAnsi="宋体" w:cs="宋体"/>
                <w:color w:val="auto"/>
                <w:szCs w:val="21"/>
                <w:highlight w:val="none"/>
              </w:rPr>
              <w:t>1）谈判响应文件正、副本应分别装订成册，装订应牢固、不易拆散和换页，不得采用活页装订。</w:t>
            </w:r>
          </w:p>
          <w:p>
            <w:pPr>
              <w:spacing w:line="360" w:lineRule="auto"/>
              <w:ind w:left="105" w:leftChars="50"/>
              <w:rPr>
                <w:rFonts w:ascii="宋体" w:hAnsi="宋体" w:cs="宋体"/>
                <w:color w:val="auto"/>
                <w:szCs w:val="21"/>
                <w:highlight w:val="none"/>
              </w:rPr>
            </w:pPr>
            <w:r>
              <w:rPr>
                <w:rFonts w:hint="eastAsia" w:ascii="宋体" w:hAnsi="宋体" w:cs="宋体"/>
                <w:color w:val="auto"/>
                <w:szCs w:val="21"/>
                <w:highlight w:val="none"/>
              </w:rPr>
              <w:t>2）密封包装方式：</w:t>
            </w:r>
          </w:p>
          <w:p>
            <w:pPr>
              <w:spacing w:line="360" w:lineRule="auto"/>
              <w:ind w:left="420" w:leftChars="50" w:hanging="315" w:hangingChars="150"/>
              <w:rPr>
                <w:rFonts w:ascii="宋体" w:hAnsi="宋体"/>
                <w:color w:val="auto"/>
                <w:szCs w:val="21"/>
                <w:highlight w:val="none"/>
              </w:rPr>
            </w:pPr>
            <w:r>
              <w:rPr>
                <w:rFonts w:hint="eastAsia" w:ascii="宋体" w:hAnsi="宋体"/>
                <w:color w:val="auto"/>
                <w:szCs w:val="21"/>
                <w:highlight w:val="none"/>
              </w:rPr>
              <w:t>①资格部分谈判响应文件正、副本一包密封。</w:t>
            </w:r>
          </w:p>
          <w:p>
            <w:pPr>
              <w:spacing w:line="360" w:lineRule="auto"/>
              <w:ind w:left="420" w:leftChars="50" w:hanging="315" w:hangingChars="150"/>
              <w:rPr>
                <w:rFonts w:ascii="宋体" w:hAnsi="宋体"/>
                <w:color w:val="auto"/>
                <w:szCs w:val="21"/>
                <w:highlight w:val="none"/>
              </w:rPr>
            </w:pPr>
            <w:r>
              <w:rPr>
                <w:rFonts w:hint="eastAsia" w:ascii="宋体" w:hAnsi="宋体"/>
                <w:color w:val="auto"/>
                <w:szCs w:val="21"/>
                <w:highlight w:val="none"/>
              </w:rPr>
              <w:t>②技术和商务谈判响应文件正、副本一包密封。</w:t>
            </w:r>
          </w:p>
          <w:p>
            <w:pPr>
              <w:spacing w:line="360" w:lineRule="auto"/>
              <w:ind w:left="420" w:leftChars="50" w:hanging="315" w:hangingChars="150"/>
              <w:rPr>
                <w:rFonts w:ascii="宋体" w:hAnsi="宋体"/>
                <w:color w:val="auto"/>
                <w:szCs w:val="21"/>
                <w:highlight w:val="none"/>
              </w:rPr>
            </w:pPr>
            <w:r>
              <w:rPr>
                <w:rFonts w:hint="eastAsia" w:ascii="宋体" w:hAnsi="宋体"/>
                <w:color w:val="auto"/>
                <w:szCs w:val="21"/>
                <w:highlight w:val="none"/>
              </w:rPr>
              <w:t>③电子版单独密封递交。</w:t>
            </w:r>
          </w:p>
          <w:p>
            <w:pPr>
              <w:spacing w:line="360" w:lineRule="auto"/>
              <w:ind w:left="105" w:leftChars="5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）外层包装请按以下要求标记：</w:t>
            </w:r>
          </w:p>
          <w:p>
            <w:pPr>
              <w:spacing w:line="360" w:lineRule="auto"/>
              <w:ind w:left="420" w:leftChars="50" w:hanging="315" w:hangingChars="150"/>
              <w:rPr>
                <w:rFonts w:ascii="宋体" w:hAnsi="宋体"/>
                <w:color w:val="auto"/>
                <w:szCs w:val="21"/>
                <w:highlight w:val="none"/>
              </w:rPr>
            </w:pPr>
            <w:r>
              <w:rPr>
                <w:rFonts w:hint="eastAsia" w:ascii="宋体" w:hAnsi="宋体"/>
                <w:color w:val="auto"/>
                <w:szCs w:val="21"/>
                <w:highlight w:val="none"/>
              </w:rPr>
              <w:t>①供应商的全称；</w:t>
            </w:r>
          </w:p>
          <w:p>
            <w:pPr>
              <w:spacing w:line="360" w:lineRule="auto"/>
              <w:ind w:left="420" w:leftChars="50" w:hanging="315" w:hangingChars="150"/>
              <w:rPr>
                <w:rFonts w:ascii="宋体" w:hAnsi="宋体" w:cs="宋体"/>
                <w:color w:val="auto"/>
                <w:szCs w:val="21"/>
                <w:highlight w:val="none"/>
              </w:rPr>
            </w:pPr>
            <w:r>
              <w:rPr>
                <w:rFonts w:hint="eastAsia" w:ascii="宋体" w:hAnsi="宋体"/>
                <w:color w:val="auto"/>
                <w:szCs w:val="21"/>
                <w:highlight w:val="none"/>
              </w:rPr>
              <w:t>②项目名称、项目编号</w:t>
            </w:r>
            <w:r>
              <w:rPr>
                <w:rFonts w:ascii="宋体" w:hAnsi="宋体"/>
                <w:color w:val="auto"/>
                <w:szCs w:val="21"/>
                <w:highlight w:val="none"/>
              </w:rPr>
              <w:t>、包号</w:t>
            </w:r>
            <w:r>
              <w:rPr>
                <w:rFonts w:hint="eastAsia" w:ascii="宋体" w:hAnsi="宋体"/>
                <w:color w:val="auto"/>
                <w:szCs w:val="21"/>
                <w:highlight w:val="none"/>
              </w:rPr>
              <w:t>（如有）</w:t>
            </w:r>
            <w:r>
              <w:rPr>
                <w:rFonts w:hint="eastAsia" w:ascii="宋体" w:hAnsi="宋体" w:cs="宋体"/>
                <w:color w:val="auto"/>
                <w:szCs w:val="21"/>
                <w:highlight w:val="none"/>
              </w:rPr>
              <w:t>；</w:t>
            </w:r>
          </w:p>
          <w:p>
            <w:pPr>
              <w:spacing w:line="360" w:lineRule="auto"/>
              <w:ind w:left="105" w:leftChars="50" w:firstLine="210" w:firstLineChars="100"/>
              <w:rPr>
                <w:rFonts w:ascii="宋体" w:hAnsi="宋体" w:cs="宋体"/>
                <w:color w:val="auto"/>
                <w:szCs w:val="21"/>
                <w:highlight w:val="none"/>
              </w:rPr>
            </w:pPr>
            <w:r>
              <w:rPr>
                <w:rFonts w:hint="eastAsia" w:ascii="宋体" w:hAnsi="宋体" w:cs="宋体"/>
                <w:color w:val="auto"/>
                <w:szCs w:val="21"/>
                <w:highlight w:val="none"/>
              </w:rPr>
              <w:t>③“</w:t>
            </w:r>
            <w:r>
              <w:rPr>
                <w:rFonts w:hint="eastAsia" w:ascii="宋体" w:hAnsi="宋体"/>
                <w:color w:val="auto"/>
                <w:szCs w:val="21"/>
                <w:highlight w:val="none"/>
              </w:rPr>
              <w:t>请勿</w:t>
            </w:r>
            <w:r>
              <w:rPr>
                <w:rFonts w:hint="eastAsia" w:ascii="宋体" w:hAnsi="宋体" w:cs="宋体"/>
                <w:color w:val="auto"/>
                <w:szCs w:val="21"/>
                <w:highlight w:val="none"/>
              </w:rPr>
              <w:t>在＿＿＿＿＿（截止时间）之前启封”。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3" w:hRule="atLeast"/>
        </w:trPr>
        <w:tc>
          <w:tcPr>
            <w:tcW w:w="84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19.1</w:t>
            </w:r>
          </w:p>
        </w:tc>
        <w:tc>
          <w:tcPr>
            <w:tcW w:w="194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谈判响应文件递交的截止时间和谈判地点</w:t>
            </w:r>
          </w:p>
        </w:tc>
        <w:tc>
          <w:tcPr>
            <w:tcW w:w="5560" w:type="dxa"/>
            <w:vAlign w:val="center"/>
          </w:tcPr>
          <w:p>
            <w:pPr>
              <w:spacing w:line="360" w:lineRule="auto"/>
              <w:ind w:left="105" w:leftChars="50"/>
              <w:rPr>
                <w:rFonts w:ascii="宋体" w:hAnsi="宋体" w:cs="宋体"/>
                <w:color w:val="auto"/>
                <w:szCs w:val="21"/>
                <w:highlight w:val="none"/>
              </w:rPr>
            </w:pPr>
            <w:r>
              <w:rPr>
                <w:rFonts w:hint="eastAsia" w:ascii="宋体" w:hAnsi="宋体" w:cs="宋体"/>
                <w:color w:val="auto"/>
                <w:szCs w:val="21"/>
                <w:highlight w:val="none"/>
              </w:rPr>
              <w:t xml:space="preserve">响应文件递交地址： </w:t>
            </w:r>
            <w:r>
              <w:rPr>
                <w:rFonts w:hint="eastAsia" w:ascii="宋体" w:hAnsi="宋体" w:cs="宋体"/>
                <w:bCs/>
                <w:color w:val="auto"/>
                <w:szCs w:val="21"/>
                <w:highlight w:val="none"/>
              </w:rPr>
              <w:t>西安市南二环西段58号成长大厦10层</w:t>
            </w:r>
            <w:r>
              <w:rPr>
                <w:rFonts w:hint="eastAsia" w:ascii="宋体" w:hAnsi="宋体" w:cs="宋体"/>
                <w:color w:val="auto"/>
                <w:szCs w:val="21"/>
                <w:highlight w:val="none"/>
              </w:rPr>
              <w:t>会议室</w:t>
            </w:r>
          </w:p>
          <w:p>
            <w:pPr>
              <w:spacing w:line="360" w:lineRule="auto"/>
              <w:ind w:left="105" w:leftChars="50"/>
              <w:rPr>
                <w:rFonts w:ascii="宋体" w:hAnsi="宋体" w:cs="宋体"/>
                <w:color w:val="auto"/>
                <w:szCs w:val="21"/>
                <w:highlight w:val="none"/>
              </w:rPr>
            </w:pPr>
            <w:r>
              <w:rPr>
                <w:rFonts w:hint="eastAsia" w:ascii="宋体" w:hAnsi="宋体" w:cs="宋体"/>
                <w:color w:val="auto"/>
                <w:szCs w:val="21"/>
                <w:highlight w:val="none"/>
              </w:rPr>
              <w:t>响应文件递交截止时间：2023年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07</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分</w:t>
            </w:r>
          </w:p>
          <w:p>
            <w:pPr>
              <w:spacing w:line="360" w:lineRule="auto"/>
              <w:ind w:left="105" w:leftChars="50"/>
              <w:rPr>
                <w:rFonts w:ascii="宋体" w:hAnsi="宋体" w:cs="宋体"/>
                <w:color w:val="auto"/>
                <w:szCs w:val="21"/>
                <w:highlight w:val="none"/>
              </w:rPr>
            </w:pPr>
            <w:r>
              <w:rPr>
                <w:rFonts w:hint="eastAsia" w:ascii="宋体" w:hAnsi="宋体" w:cs="宋体"/>
                <w:color w:val="auto"/>
                <w:szCs w:val="21"/>
                <w:highlight w:val="none"/>
              </w:rPr>
              <w:t>响应文件接收人：西北（陕西）国际招标有限公司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7" w:hRule="atLeast"/>
        </w:trPr>
        <w:tc>
          <w:tcPr>
            <w:tcW w:w="84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22.1</w:t>
            </w:r>
          </w:p>
        </w:tc>
        <w:tc>
          <w:tcPr>
            <w:tcW w:w="194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谈判时间和地点</w:t>
            </w:r>
          </w:p>
        </w:tc>
        <w:tc>
          <w:tcPr>
            <w:tcW w:w="5560" w:type="dxa"/>
            <w:vAlign w:val="center"/>
          </w:tcPr>
          <w:p>
            <w:pPr>
              <w:spacing w:line="360" w:lineRule="auto"/>
              <w:ind w:left="105" w:leftChars="50"/>
              <w:rPr>
                <w:rFonts w:ascii="宋体" w:hAnsi="宋体" w:cs="宋体"/>
                <w:color w:val="auto"/>
                <w:szCs w:val="21"/>
                <w:highlight w:val="none"/>
              </w:rPr>
            </w:pPr>
            <w:r>
              <w:rPr>
                <w:rFonts w:hint="eastAsia" w:ascii="宋体" w:hAnsi="宋体" w:cs="宋体"/>
                <w:color w:val="auto"/>
                <w:szCs w:val="21"/>
                <w:highlight w:val="none"/>
              </w:rPr>
              <w:t>谈判开始时间：同响应文件递交截止时间</w:t>
            </w:r>
          </w:p>
          <w:p>
            <w:pPr>
              <w:spacing w:line="360" w:lineRule="auto"/>
              <w:ind w:left="105" w:leftChars="50"/>
              <w:rPr>
                <w:rFonts w:ascii="宋体" w:hAnsi="宋体" w:cs="宋体"/>
                <w:color w:val="auto"/>
                <w:szCs w:val="21"/>
                <w:highlight w:val="none"/>
              </w:rPr>
            </w:pPr>
            <w:r>
              <w:rPr>
                <w:rFonts w:hint="eastAsia" w:ascii="宋体" w:hAnsi="宋体" w:cs="宋体"/>
                <w:color w:val="auto"/>
                <w:szCs w:val="21"/>
                <w:highlight w:val="none"/>
              </w:rPr>
              <w:t>谈判地点：</w:t>
            </w:r>
            <w:r>
              <w:rPr>
                <w:rFonts w:hint="eastAsia" w:ascii="宋体" w:hAnsi="宋体" w:cs="宋体"/>
                <w:bCs/>
                <w:color w:val="auto"/>
                <w:szCs w:val="21"/>
                <w:highlight w:val="none"/>
              </w:rPr>
              <w:t>西安市南二环西段58号成长大厦10层</w:t>
            </w:r>
            <w:r>
              <w:rPr>
                <w:rFonts w:hint="eastAsia" w:ascii="宋体" w:hAnsi="宋体" w:cs="宋体"/>
                <w:color w:val="auto"/>
                <w:szCs w:val="21"/>
                <w:highlight w:val="none"/>
              </w:rPr>
              <w:t>会议室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92" w:hRule="atLeast"/>
        </w:trPr>
        <w:tc>
          <w:tcPr>
            <w:tcW w:w="84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22.2</w:t>
            </w:r>
          </w:p>
        </w:tc>
        <w:tc>
          <w:tcPr>
            <w:tcW w:w="194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谈判报价、谈判程序和最终报价的产生原则</w:t>
            </w:r>
          </w:p>
        </w:tc>
        <w:tc>
          <w:tcPr>
            <w:tcW w:w="5560" w:type="dxa"/>
            <w:vAlign w:val="center"/>
          </w:tcPr>
          <w:p>
            <w:pPr>
              <w:spacing w:line="360" w:lineRule="auto"/>
              <w:ind w:left="105" w:leftChars="50"/>
              <w:rPr>
                <w:rFonts w:ascii="宋体" w:hAnsi="宋体" w:cs="宋体"/>
                <w:color w:val="auto"/>
                <w:szCs w:val="21"/>
                <w:highlight w:val="none"/>
              </w:rPr>
            </w:pPr>
            <w:r>
              <w:rPr>
                <w:rFonts w:hint="eastAsia" w:ascii="宋体" w:hAnsi="宋体" w:cs="宋体"/>
                <w:color w:val="auto"/>
                <w:szCs w:val="21"/>
                <w:highlight w:val="none"/>
              </w:rPr>
              <w:t>谈判程序为：</w:t>
            </w:r>
          </w:p>
          <w:p>
            <w:pPr>
              <w:spacing w:line="360" w:lineRule="auto"/>
              <w:ind w:left="105" w:leftChars="50"/>
              <w:rPr>
                <w:rFonts w:ascii="宋体" w:hAnsi="宋体" w:cs="宋体"/>
                <w:color w:val="auto"/>
                <w:szCs w:val="21"/>
                <w:highlight w:val="none"/>
              </w:rPr>
            </w:pPr>
            <w:r>
              <w:rPr>
                <w:rFonts w:hint="eastAsia" w:ascii="宋体" w:hAnsi="宋体" w:cs="宋体"/>
                <w:color w:val="auto"/>
                <w:szCs w:val="21"/>
                <w:highlight w:val="none"/>
              </w:rPr>
              <w:t>（1）谈判小组对所有提交的响应文件进行评审；</w:t>
            </w:r>
          </w:p>
          <w:p>
            <w:pPr>
              <w:spacing w:line="360" w:lineRule="auto"/>
              <w:ind w:left="105" w:leftChars="50"/>
              <w:rPr>
                <w:rFonts w:ascii="宋体" w:hAnsi="宋体" w:cs="宋体"/>
                <w:color w:val="auto"/>
                <w:szCs w:val="21"/>
                <w:highlight w:val="none"/>
              </w:rPr>
            </w:pPr>
            <w:r>
              <w:rPr>
                <w:rFonts w:hint="eastAsia" w:ascii="宋体" w:hAnsi="宋体" w:cs="宋体"/>
                <w:color w:val="auto"/>
                <w:kern w:val="0"/>
                <w:szCs w:val="21"/>
                <w:highlight w:val="none"/>
              </w:rPr>
              <w:t>（2）谈判小组所有成员集中与单一供应商分别进行谈判；</w:t>
            </w:r>
          </w:p>
          <w:p>
            <w:pPr>
              <w:spacing w:line="360" w:lineRule="auto"/>
              <w:ind w:left="105" w:leftChars="5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eastAsia="宋体" w:cs="宋体"/>
                <w:i w:val="0"/>
                <w:iCs w:val="0"/>
                <w:caps w:val="0"/>
                <w:color w:val="auto"/>
                <w:spacing w:val="0"/>
                <w:kern w:val="0"/>
                <w:sz w:val="21"/>
                <w:szCs w:val="21"/>
                <w:highlight w:val="none"/>
                <w:shd w:val="clear"/>
              </w:rPr>
              <w:t>谈判结束后，谈判小组应当要求所有继续参加谈判的供应商在规定时间内提交最后报价，提交最后报价的供应商不得少于3家。</w:t>
            </w:r>
            <w:r>
              <w:rPr>
                <w:rFonts w:hint="eastAsia" w:ascii="宋体" w:hAnsi="宋体" w:eastAsia="宋体" w:cs="宋体"/>
                <w:bCs w:val="0"/>
                <w:color w:val="auto"/>
                <w:kern w:val="0"/>
                <w:sz w:val="21"/>
                <w:szCs w:val="21"/>
                <w:highlight w:val="none"/>
                <w:lang w:val="en-US" w:eastAsia="zh-CN"/>
              </w:rPr>
              <w:t>谈判后</w:t>
            </w:r>
            <w:r>
              <w:rPr>
                <w:rFonts w:hint="eastAsia" w:ascii="宋体" w:hAnsi="宋体" w:cs="宋体"/>
                <w:bCs w:val="0"/>
                <w:color w:val="auto"/>
                <w:kern w:val="0"/>
                <w:sz w:val="21"/>
                <w:szCs w:val="21"/>
                <w:highlight w:val="none"/>
              </w:rPr>
              <w:t>供应商响应</w:t>
            </w:r>
            <w:r>
              <w:rPr>
                <w:rFonts w:hint="eastAsia" w:ascii="宋体" w:hAnsi="宋体" w:cs="宋体"/>
                <w:bCs w:val="0"/>
                <w:color w:val="auto"/>
                <w:kern w:val="0"/>
                <w:sz w:val="21"/>
                <w:szCs w:val="21"/>
                <w:highlight w:val="none"/>
                <w:lang w:val="en-US" w:eastAsia="zh-CN"/>
              </w:rPr>
              <w:t>或谈判报价</w:t>
            </w:r>
            <w:r>
              <w:rPr>
                <w:rFonts w:hint="eastAsia" w:ascii="宋体" w:hAnsi="宋体" w:cs="宋体"/>
                <w:bCs w:val="0"/>
                <w:color w:val="auto"/>
                <w:kern w:val="0"/>
                <w:sz w:val="21"/>
                <w:szCs w:val="21"/>
                <w:highlight w:val="none"/>
              </w:rPr>
              <w:t>内容仍然不能满足谈判文件要求</w:t>
            </w:r>
            <w:r>
              <w:rPr>
                <w:rFonts w:hint="eastAsia" w:ascii="宋体" w:hAnsi="宋体" w:cs="宋体"/>
                <w:bCs w:val="0"/>
                <w:color w:val="auto"/>
                <w:kern w:val="0"/>
                <w:sz w:val="21"/>
                <w:szCs w:val="21"/>
                <w:highlight w:val="none"/>
                <w:lang w:val="en-US" w:eastAsia="zh-CN"/>
              </w:rPr>
              <w:t>或采购人实际需求，</w:t>
            </w:r>
            <w:r>
              <w:rPr>
                <w:rFonts w:hint="eastAsia" w:ascii="宋体" w:hAnsi="宋体" w:cs="宋体"/>
                <w:bCs w:val="0"/>
                <w:snapToGrid/>
                <w:color w:val="auto"/>
                <w:kern w:val="0"/>
                <w:sz w:val="21"/>
                <w:szCs w:val="21"/>
                <w:highlight w:val="none"/>
              </w:rPr>
              <w:t>需要增加谈判、报价轮次的</w:t>
            </w:r>
            <w:r>
              <w:rPr>
                <w:rFonts w:hint="eastAsia" w:ascii="宋体" w:hAnsi="宋体" w:cs="宋体"/>
                <w:bCs w:val="0"/>
                <w:snapToGrid/>
                <w:color w:val="auto"/>
                <w:kern w:val="0"/>
                <w:sz w:val="21"/>
                <w:szCs w:val="21"/>
                <w:highlight w:val="none"/>
                <w:lang w:eastAsia="zh-CN"/>
              </w:rPr>
              <w:t>，</w:t>
            </w:r>
            <w:r>
              <w:rPr>
                <w:rFonts w:hint="eastAsia" w:ascii="宋体" w:hAnsi="宋体" w:cs="宋体"/>
                <w:bCs w:val="0"/>
                <w:snapToGrid/>
                <w:color w:val="auto"/>
                <w:kern w:val="0"/>
                <w:sz w:val="21"/>
                <w:szCs w:val="21"/>
                <w:highlight w:val="none"/>
                <w:lang w:val="en-US" w:eastAsia="zh-CN"/>
              </w:rPr>
              <w:t>由</w:t>
            </w:r>
            <w:r>
              <w:rPr>
                <w:rFonts w:hint="eastAsia" w:ascii="宋体" w:hAnsi="宋体" w:cs="宋体"/>
                <w:bCs w:val="0"/>
                <w:snapToGrid/>
                <w:color w:val="auto"/>
                <w:kern w:val="0"/>
                <w:sz w:val="21"/>
                <w:szCs w:val="21"/>
                <w:highlight w:val="none"/>
              </w:rPr>
              <w:t>本项目</w:t>
            </w:r>
            <w:r>
              <w:rPr>
                <w:rFonts w:hint="eastAsia" w:ascii="宋体" w:hAnsi="宋体" w:cs="宋体"/>
                <w:bCs w:val="0"/>
                <w:snapToGrid/>
                <w:color w:val="auto"/>
                <w:kern w:val="0"/>
                <w:sz w:val="21"/>
                <w:szCs w:val="21"/>
                <w:highlight w:val="none"/>
                <w:lang w:val="en-US" w:eastAsia="zh-CN"/>
              </w:rPr>
              <w:t>谈判小组发起，并书面告知谈判供应商</w:t>
            </w:r>
            <w:r>
              <w:rPr>
                <w:rFonts w:hint="eastAsia" w:ascii="宋体" w:hAnsi="宋体" w:cs="宋体"/>
                <w:color w:val="auto"/>
                <w:szCs w:val="21"/>
                <w:highlight w:val="none"/>
              </w:rPr>
              <w:t>；</w:t>
            </w:r>
          </w:p>
          <w:p>
            <w:pPr>
              <w:spacing w:line="360" w:lineRule="auto"/>
              <w:ind w:left="105" w:leftChars="50"/>
              <w:rPr>
                <w:rFonts w:ascii="宋体" w:hAnsi="宋体" w:cs="宋体"/>
                <w:color w:val="auto"/>
                <w:szCs w:val="21"/>
                <w:highlight w:val="none"/>
              </w:rPr>
            </w:pPr>
            <w:r>
              <w:rPr>
                <w:rFonts w:hint="eastAsia" w:ascii="宋体" w:hAnsi="宋体" w:cs="宋体"/>
                <w:color w:val="auto"/>
                <w:szCs w:val="21"/>
                <w:highlight w:val="none"/>
              </w:rPr>
              <w:t>（4）谈判小组评审、推荐成交候选人。</w:t>
            </w:r>
          </w:p>
          <w:p>
            <w:pPr>
              <w:spacing w:line="360" w:lineRule="auto"/>
              <w:ind w:left="105" w:leftChars="50"/>
              <w:rPr>
                <w:rFonts w:ascii="宋体" w:hAnsi="宋体" w:cs="宋体"/>
                <w:color w:val="auto"/>
                <w:szCs w:val="21"/>
                <w:highlight w:val="none"/>
              </w:rPr>
            </w:pPr>
            <w:r>
              <w:rPr>
                <w:rFonts w:hint="eastAsia" w:ascii="宋体" w:hAnsi="宋体" w:cs="宋体"/>
                <w:color w:val="auto"/>
                <w:kern w:val="0"/>
                <w:szCs w:val="21"/>
                <w:highlight w:val="none"/>
              </w:rPr>
              <w:t>在谈判过程中，谈判小组可以根据谈判文件和谈判情况实质性变动采购需求中的技术、服务要求以及合同草案条款，</w:t>
            </w:r>
            <w:r>
              <w:rPr>
                <w:rFonts w:hint="eastAsia" w:ascii="宋体" w:hAnsi="宋体" w:cs="宋体"/>
                <w:color w:val="auto"/>
                <w:szCs w:val="21"/>
                <w:highlight w:val="none"/>
              </w:rPr>
              <w:t>如采购需求没有实质性变化，各供应商的报价应逐次降低，本次报价超过上次报价的，为无效报价。出现相同最低报价的，提交相同最低报价的供应商可再次报价，直至产生唯一最低报价。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24.1</w:t>
            </w:r>
          </w:p>
        </w:tc>
        <w:tc>
          <w:tcPr>
            <w:tcW w:w="194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成交候选人数量</w:t>
            </w:r>
          </w:p>
        </w:tc>
        <w:tc>
          <w:tcPr>
            <w:tcW w:w="5560" w:type="dxa"/>
            <w:vAlign w:val="center"/>
          </w:tcPr>
          <w:p>
            <w:pPr>
              <w:spacing w:line="360" w:lineRule="auto"/>
              <w:ind w:left="105" w:leftChars="50"/>
              <w:rPr>
                <w:rFonts w:ascii="宋体" w:hAnsi="宋体" w:cs="宋体"/>
                <w:color w:val="auto"/>
                <w:szCs w:val="21"/>
                <w:highlight w:val="none"/>
              </w:rPr>
            </w:pPr>
            <w:r>
              <w:rPr>
                <w:rFonts w:hint="eastAsia" w:ascii="宋体" w:hAnsi="宋体" w:cs="宋体"/>
                <w:color w:val="auto"/>
                <w:szCs w:val="21"/>
                <w:highlight w:val="none"/>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71" w:hRule="atLeast"/>
        </w:trPr>
        <w:tc>
          <w:tcPr>
            <w:tcW w:w="84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29</w:t>
            </w:r>
          </w:p>
        </w:tc>
        <w:tc>
          <w:tcPr>
            <w:tcW w:w="194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采购代理服务费</w:t>
            </w:r>
          </w:p>
        </w:tc>
        <w:tc>
          <w:tcPr>
            <w:tcW w:w="5560" w:type="dxa"/>
            <w:vAlign w:val="center"/>
          </w:tcPr>
          <w:p>
            <w:pPr>
              <w:spacing w:line="360" w:lineRule="auto"/>
              <w:ind w:left="105" w:leftChars="50"/>
              <w:rPr>
                <w:rFonts w:ascii="宋体" w:hAnsi="宋体" w:cs="宋体"/>
                <w:color w:val="auto"/>
                <w:szCs w:val="21"/>
                <w:highlight w:val="none"/>
              </w:rPr>
            </w:pPr>
            <w:r>
              <w:rPr>
                <w:rFonts w:hint="eastAsia" w:ascii="宋体" w:hAnsi="宋体" w:cs="宋体"/>
                <w:color w:val="auto"/>
                <w:szCs w:val="21"/>
                <w:highlight w:val="none"/>
              </w:rPr>
              <w:t>确定成交人后3日内，由成交人向采购代理机构一次付清采购代理服务费。采购代理服务费的金额以预算金额为基数参照原《国家计委关于印发&lt;招标代理服务收费管理暂行办法&gt;的通知》（计价格【2002】1980号）执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2" w:hRule="atLeast"/>
        </w:trPr>
        <w:tc>
          <w:tcPr>
            <w:tcW w:w="840" w:type="dxa"/>
            <w:vAlign w:val="center"/>
          </w:tcPr>
          <w:p>
            <w:pPr>
              <w:spacing w:line="360" w:lineRule="auto"/>
              <w:jc w:val="center"/>
              <w:rPr>
                <w:rFonts w:ascii="宋体" w:hAnsi="宋体" w:cs="宋体"/>
                <w:color w:val="auto"/>
                <w:szCs w:val="21"/>
                <w:highlight w:val="none"/>
              </w:rPr>
            </w:pPr>
            <w:r>
              <w:rPr>
                <w:rStyle w:val="27"/>
                <w:rFonts w:hint="eastAsia" w:ascii="宋体" w:hAnsi="宋体" w:cs="宋体"/>
                <w:color w:val="auto"/>
                <w:sz w:val="21"/>
                <w:szCs w:val="21"/>
                <w:highlight w:val="none"/>
              </w:rPr>
              <w:t>/</w:t>
            </w:r>
          </w:p>
        </w:tc>
        <w:tc>
          <w:tcPr>
            <w:tcW w:w="194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政府采购政策功能</w:t>
            </w:r>
          </w:p>
        </w:tc>
        <w:tc>
          <w:tcPr>
            <w:tcW w:w="5560" w:type="dxa"/>
            <w:vAlign w:val="center"/>
          </w:tcPr>
          <w:p>
            <w:pPr>
              <w:spacing w:line="360" w:lineRule="auto"/>
              <w:ind w:left="105" w:leftChars="50"/>
              <w:rPr>
                <w:rFonts w:ascii="宋体" w:hAnsi="宋体" w:cs="宋体"/>
                <w:color w:val="auto"/>
                <w:szCs w:val="21"/>
                <w:highlight w:val="none"/>
              </w:rPr>
            </w:pPr>
            <w:r>
              <w:rPr>
                <w:rFonts w:hint="eastAsia" w:ascii="宋体" w:hAnsi="宋体" w:cs="宋体"/>
                <w:color w:val="auto"/>
                <w:szCs w:val="21"/>
                <w:highlight w:val="none"/>
              </w:rPr>
              <w:t>1）根据《陕西省财政厅关于印发&lt;陕西省中小企业政府采购信用融资办法&gt;的通知》（陕财办采〔2018〕23 号，详见本章附件1）相关规定，有融资需求的供应商可根据自身情况，在陕西省政府采购信用融资平台http://www.ccgp-shaanxi.gov.cn/zcdservice/zcd/shanxi/）自主选择金融机构及其融资产品，凭政府采购成交（成交）通知书或政府采购合同提出融资申请。政府采购监管部门业务咨询电话：029-68936409、68936341、69936154。</w:t>
            </w:r>
          </w:p>
          <w:p>
            <w:pPr>
              <w:spacing w:line="360" w:lineRule="auto"/>
              <w:ind w:left="105" w:leftChars="5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本项目专门面向中</w:t>
            </w:r>
            <w:r>
              <w:rPr>
                <w:rFonts w:ascii="宋体" w:hAnsi="宋体" w:cs="宋体"/>
                <w:color w:val="auto"/>
                <w:szCs w:val="21"/>
                <w:highlight w:val="none"/>
              </w:rPr>
              <w:t>小</w:t>
            </w:r>
            <w:r>
              <w:rPr>
                <w:rFonts w:hint="eastAsia" w:ascii="宋体" w:hAnsi="宋体" w:cs="宋体"/>
                <w:color w:val="auto"/>
                <w:szCs w:val="21"/>
                <w:highlight w:val="none"/>
                <w:lang w:val="en-US" w:eastAsia="zh-CN"/>
              </w:rPr>
              <w:t>企业采购</w:t>
            </w:r>
            <w:r>
              <w:rPr>
                <w:rFonts w:ascii="宋体" w:hAnsi="宋体" w:cs="宋体"/>
                <w:color w:val="auto"/>
                <w:szCs w:val="21"/>
                <w:highlight w:val="none"/>
              </w:rPr>
              <w:t>，</w:t>
            </w:r>
            <w:r>
              <w:rPr>
                <w:rFonts w:hint="eastAsia" w:ascii="宋体" w:hAnsi="宋体" w:cs="宋体"/>
                <w:color w:val="auto"/>
                <w:szCs w:val="21"/>
                <w:highlight w:val="none"/>
                <w:lang w:val="en-US" w:eastAsia="zh-CN"/>
              </w:rPr>
              <w:t>不执行价格折扣</w:t>
            </w:r>
            <w:r>
              <w:rPr>
                <w:rFonts w:ascii="宋体" w:hAnsi="宋体" w:cs="宋体"/>
                <w:color w:val="auto"/>
                <w:szCs w:val="21"/>
                <w:highlight w:val="none"/>
              </w:rPr>
              <w:t>。</w:t>
            </w:r>
          </w:p>
          <w:p>
            <w:pPr>
              <w:pStyle w:val="2"/>
              <w:ind w:firstLine="0" w:firstLineChars="0"/>
              <w:rPr>
                <w:rFonts w:hint="eastAsia" w:eastAsia="宋体"/>
                <w:lang w:val="en-US" w:eastAsia="zh-CN"/>
              </w:rPr>
            </w:pPr>
            <w:r>
              <w:rPr>
                <w:rFonts w:hint="eastAsia" w:ascii="宋体" w:hAnsi="宋体" w:cs="宋体"/>
                <w:color w:val="auto"/>
                <w:sz w:val="21"/>
                <w:szCs w:val="21"/>
                <w:highlight w:val="none"/>
                <w:lang w:val="en-US" w:eastAsia="zh-CN"/>
              </w:rPr>
              <w:t>3）</w:t>
            </w:r>
            <w:r>
              <w:rPr>
                <w:rFonts w:hint="eastAsia" w:ascii="宋体" w:hAnsi="宋体" w:cs="宋体"/>
                <w:b w:val="0"/>
                <w:bCs w:val="0"/>
                <w:color w:val="auto"/>
                <w:sz w:val="21"/>
                <w:szCs w:val="21"/>
                <w:highlight w:val="none"/>
              </w:rPr>
              <w:t>本项目采购标的对应的中小企业划分标准所属行业为工业。</w:t>
            </w:r>
          </w:p>
        </w:tc>
      </w:tr>
    </w:tbl>
    <w:p>
      <w:pPr>
        <w:widowControl/>
        <w:spacing w:line="360" w:lineRule="auto"/>
        <w:textAlignment w:val="baseline"/>
        <w:rPr>
          <w:b/>
          <w:bCs/>
          <w:color w:val="auto"/>
          <w:szCs w:val="21"/>
          <w:highlight w:val="none"/>
        </w:rPr>
      </w:pPr>
      <w:r>
        <w:rPr>
          <w:rFonts w:ascii="宋体" w:hAnsi="宋体" w:cs="宋体"/>
          <w:b/>
          <w:bCs/>
          <w:color w:val="auto"/>
          <w:kern w:val="0"/>
          <w:sz w:val="24"/>
          <w:szCs w:val="24"/>
          <w:highlight w:val="none"/>
        </w:rPr>
        <w:br w:type="page"/>
      </w:r>
      <w:r>
        <w:rPr>
          <w:rFonts w:hint="eastAsia"/>
          <w:b/>
          <w:bCs/>
          <w:color w:val="auto"/>
          <w:szCs w:val="21"/>
          <w:highlight w:val="none"/>
        </w:rPr>
        <w:t>附件1：</w:t>
      </w:r>
    </w:p>
    <w:p>
      <w:pPr>
        <w:pStyle w:val="3"/>
        <w:keepNext w:val="0"/>
        <w:spacing w:before="312" w:beforeLines="100" w:after="156" w:afterLines="50" w:line="360" w:lineRule="auto"/>
        <w:rPr>
          <w:b/>
          <w:color w:val="auto"/>
          <w:sz w:val="39"/>
          <w:szCs w:val="39"/>
          <w:highlight w:val="none"/>
        </w:rPr>
      </w:pPr>
      <w:r>
        <w:rPr>
          <w:b/>
          <w:color w:val="auto"/>
          <w:sz w:val="24"/>
          <w:szCs w:val="24"/>
          <w:highlight w:val="none"/>
        </w:rPr>
        <w:t>陕西省财政厅关于印发《陕西省中小企业政府采购信用融资办法》</w:t>
      </w:r>
    </w:p>
    <w:p>
      <w:pPr>
        <w:pStyle w:val="18"/>
        <w:spacing w:before="156" w:beforeLines="50" w:beforeAutospacing="0" w:after="156" w:afterLines="50" w:afterAutospacing="0" w:line="360" w:lineRule="auto"/>
        <w:jc w:val="center"/>
        <w:textAlignment w:val="baseline"/>
        <w:rPr>
          <w:color w:val="auto"/>
          <w:highlight w:val="none"/>
        </w:rPr>
      </w:pPr>
      <w:r>
        <w:rPr>
          <w:rFonts w:hint="eastAsia" w:cs="宋体"/>
          <w:color w:val="auto"/>
          <w:sz w:val="21"/>
          <w:szCs w:val="21"/>
          <w:highlight w:val="none"/>
        </w:rPr>
        <w:t>陕财办采〔2018〕23号</w:t>
      </w:r>
    </w:p>
    <w:p>
      <w:pPr>
        <w:widowControl/>
        <w:spacing w:line="360" w:lineRule="auto"/>
        <w:jc w:val="left"/>
        <w:rPr>
          <w:color w:val="auto"/>
          <w:highlight w:val="none"/>
        </w:rPr>
      </w:pPr>
      <w:r>
        <w:rPr>
          <w:rFonts w:hint="eastAsia" w:ascii="宋体" w:hAnsi="宋体" w:cs="宋体"/>
          <w:color w:val="auto"/>
          <w:kern w:val="0"/>
          <w:szCs w:val="21"/>
          <w:highlight w:val="none"/>
          <w:lang w:bidi="ar"/>
        </w:rPr>
        <w:t>各设区市、西咸新区、韩城市财政局，省级各部门、单位，各有关金融机构、有关企业：</w:t>
      </w:r>
    </w:p>
    <w:p>
      <w:pPr>
        <w:pStyle w:val="18"/>
        <w:spacing w:before="156" w:beforeLines="50" w:beforeAutospacing="0" w:after="0" w:afterAutospacing="0" w:line="360" w:lineRule="auto"/>
        <w:ind w:firstLine="420" w:firstLineChars="200"/>
        <w:rPr>
          <w:color w:val="auto"/>
          <w:highlight w:val="none"/>
        </w:rPr>
      </w:pPr>
      <w:r>
        <w:rPr>
          <w:rFonts w:hint="eastAsia" w:cs="宋体"/>
          <w:color w:val="auto"/>
          <w:sz w:val="21"/>
          <w:szCs w:val="21"/>
          <w:highlight w:val="none"/>
        </w:rPr>
        <w:t>自2012年起，我省启动了政府采购信用担保融资试点工作，取得了一定成效。为进一步贯彻落实国务院和我省关于支持中小企业发展的政策措施，发挥政府采购政策导向作用，充分利用信息化技术，通过搭建信息对称、相互对接的平台，有效缓解中小企业融资难、融资贵问题。结合我省政府采购信息化建设实际，我们制定了《陕西省中小企业政府采购信用融资办法》，现印发给你们，请遵照执行。</w:t>
      </w:r>
    </w:p>
    <w:p>
      <w:pPr>
        <w:pStyle w:val="18"/>
        <w:spacing w:before="0" w:beforeAutospacing="0" w:after="0" w:afterAutospacing="0" w:line="360" w:lineRule="auto"/>
        <w:jc w:val="right"/>
        <w:rPr>
          <w:color w:val="auto"/>
          <w:highlight w:val="none"/>
        </w:rPr>
      </w:pPr>
      <w:r>
        <w:rPr>
          <w:rFonts w:hint="eastAsia" w:cs="宋体"/>
          <w:color w:val="auto"/>
          <w:sz w:val="21"/>
          <w:szCs w:val="21"/>
          <w:highlight w:val="none"/>
        </w:rPr>
        <w:t>陕西省财政厅</w:t>
      </w:r>
    </w:p>
    <w:p>
      <w:pPr>
        <w:pStyle w:val="18"/>
        <w:spacing w:before="0" w:beforeAutospacing="0" w:after="0" w:afterAutospacing="0" w:line="360" w:lineRule="auto"/>
        <w:jc w:val="right"/>
        <w:rPr>
          <w:color w:val="auto"/>
          <w:highlight w:val="none"/>
        </w:rPr>
      </w:pPr>
      <w:r>
        <w:rPr>
          <w:rFonts w:hint="eastAsia" w:cs="宋体"/>
          <w:color w:val="auto"/>
          <w:sz w:val="21"/>
          <w:szCs w:val="21"/>
          <w:highlight w:val="none"/>
        </w:rPr>
        <w:t>2018年10月8日</w:t>
      </w:r>
    </w:p>
    <w:p>
      <w:pPr>
        <w:widowControl/>
        <w:spacing w:before="624" w:beforeLines="200" w:after="312" w:afterLines="100" w:line="360" w:lineRule="auto"/>
        <w:jc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陕西省中小企业政府采购信用融资办法</w:t>
      </w:r>
    </w:p>
    <w:p>
      <w:pPr>
        <w:widowControl/>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第一条 为进一步贯彻落实国务院和我省关于支持中小企业发展的政策措施，发挥政府采购政策导向作用，充分利用信息化技术，通过搭建信息对称、相互对接的平台，有效缓解中小企业融资难、融资贵问题。 根据《政府采购法》以及《政府采购促进中小企业发展暂行办法》等有关规定，结合本省实际，制定本办法。</w:t>
      </w:r>
    </w:p>
    <w:p>
      <w:pPr>
        <w:widowControl/>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第二条 本办法所称“中小企业”包括中型、小型及微型企业，其划型标准按照《关于印发中小企业划型标准规定的通知》（工信部联企业〔2011〕300号）规定执行。</w:t>
      </w:r>
    </w:p>
    <w:p>
      <w:pPr>
        <w:widowControl/>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第三条 本办法所称的政府采购信用融资，是指银行业金融机构（以下简称银行）以政府采购诚信考核和信用审查为基础，凭借政府采购合同，按优于一般中小企业的贷款利率直接向申请贷款的供应商发放贷款的一种融资方式。</w:t>
      </w:r>
    </w:p>
    <w:p>
      <w:pPr>
        <w:widowControl/>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第四条 开展政府采购信用融资的银行，应当为在陕西省境内注册或设立分支机构，并经财政部门审核且在我省政府采购信息系统搭建服务链接窗口的金融机构。</w:t>
      </w:r>
    </w:p>
    <w:p>
      <w:pPr>
        <w:widowControl/>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第五条 政府采购信用融资应当坚持“财政引导，市场运行，银企自愿，互惠共赢”的原则。</w:t>
      </w:r>
    </w:p>
    <w:p>
      <w:pPr>
        <w:widowControl/>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第六条 省财政厅以全省统一的电子化政府采购系统为平台，对接银行信息化系统，推进政府采购成交成交信息、合同信息、融资信息、支付信息和信用信息等信息资源共享。</w:t>
      </w:r>
    </w:p>
    <w:p>
      <w:pPr>
        <w:widowControl/>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第七条 各级财政部门应当以政府采购诚信考核和信息化建设为基础，积极为中小企业信用融资搭建平台，提供银企对接的机会和相关的服务支持，但不得为相关贷款项目提供任何形式的担保。</w:t>
      </w:r>
    </w:p>
    <w:p>
      <w:pPr>
        <w:widowControl/>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第八条 各银行可自主决定是否提供政府采购信用融资以及融资额度，并与供应商签订融资协议；各供应商也可自行决定是否参加政府采购信用融资，并自愿选择合适的融资银行及在该银行开设银行账户。任何单位和个人均不得干预银企双方开展政府采购信用融资业务。</w:t>
      </w:r>
    </w:p>
    <w:p>
      <w:pPr>
        <w:widowControl/>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第九条 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pPr>
        <w:widowControl/>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第十条 银行为参与政府采购融资的中小企业提供的产品，应以信用贷款为主，贷款利率应当优于一般中小企业的贷款利率水平，并将产品信息（包括贷款发放条件、利率优惠、贷款金额）等在陕西政府采购网予以展示。</w:t>
      </w:r>
    </w:p>
    <w:p>
      <w:pPr>
        <w:widowControl/>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第十一条 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pPr>
        <w:widowControl/>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第十二条 银行应按规定对申请信用融资的供应商的政府采购合同信息进行审查，必要时可通过陕西政府采购网对该政府采购合同进行审核，以确保政府采购合同的真实性和有效性。</w:t>
      </w:r>
    </w:p>
    <w:p>
      <w:pPr>
        <w:widowControl/>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第十三条 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pPr>
        <w:widowControl/>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第十四条 各银行应当建立政府采购合同融资绿色通道，配备专业人员定向服务，简化贷款审批程序，制定相应业务管理规范，审核无误后，银行应当凭合同和事先约定的优惠利率及时予以放款，提供快捷、方便、专业的融资服务。</w:t>
      </w:r>
    </w:p>
    <w:p>
      <w:pPr>
        <w:widowControl/>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第十五条 省本级政府采购资金支付时，各采购单位必须将采购资金支付到备案合同中指定的融资银行及收款账号，以保障贷款资金的安全回收。</w:t>
      </w:r>
    </w:p>
    <w:p>
      <w:pPr>
        <w:widowControl/>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第十六条 各市县操作程序由各地结合本地实际自行拟定，但应当体现“便捷高效、监管有效、风险可控”的原则。</w:t>
      </w:r>
    </w:p>
    <w:p>
      <w:pPr>
        <w:widowControl/>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第十七条 供应商弄虚作假或以伪造政府采购合同等方式违规获取政府采购信用融资，或无故不及时还款的，或出现其他违反本办法规定情形的，除按融资合同约定承担违约责任外，同级财政部门应当将其行为按“不良行为”记入供应商诚信档案；情节严重的，应记入供应商“黑名单”；涉嫌犯罪的，移送司法机关处理。</w:t>
      </w:r>
    </w:p>
    <w:p>
      <w:pPr>
        <w:widowControl/>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第十八条 本办法由陕西省财政厅负责解释。</w:t>
      </w:r>
    </w:p>
    <w:p>
      <w:pPr>
        <w:widowControl/>
        <w:spacing w:line="360" w:lineRule="auto"/>
        <w:ind w:firstLine="420" w:firstLineChars="200"/>
        <w:jc w:val="left"/>
        <w:rPr>
          <w:color w:val="auto"/>
          <w:highlight w:val="none"/>
        </w:rPr>
      </w:pPr>
      <w:r>
        <w:rPr>
          <w:rFonts w:hint="eastAsia" w:ascii="宋体" w:hAnsi="宋体" w:cs="宋体"/>
          <w:color w:val="auto"/>
          <w:kern w:val="0"/>
          <w:szCs w:val="21"/>
          <w:highlight w:val="none"/>
          <w:lang w:bidi="ar"/>
        </w:rPr>
        <w:t>第十九条 本办法自2018年11月1日起施行。</w:t>
      </w:r>
    </w:p>
    <w:p>
      <w:pPr>
        <w:spacing w:before="468" w:beforeLines="150" w:line="360" w:lineRule="auto"/>
        <w:jc w:val="center"/>
        <w:rPr>
          <w:rStyle w:val="27"/>
          <w:rFonts w:ascii="宋体" w:hAnsi="宋体"/>
          <w:b/>
          <w:color w:val="auto"/>
          <w:sz w:val="32"/>
          <w:szCs w:val="32"/>
          <w:highlight w:val="none"/>
        </w:rPr>
      </w:pPr>
      <w:r>
        <w:rPr>
          <w:rFonts w:hint="eastAsia" w:ascii="宋体" w:hAnsi="宋体" w:cs="宋体"/>
          <w:b/>
          <w:color w:val="auto"/>
          <w:sz w:val="32"/>
          <w:szCs w:val="32"/>
          <w:highlight w:val="none"/>
        </w:rPr>
        <w:br w:type="page"/>
      </w:r>
      <w:r>
        <w:rPr>
          <w:rStyle w:val="27"/>
          <w:rFonts w:hint="eastAsia" w:ascii="宋体" w:hAnsi="宋体"/>
          <w:b/>
          <w:color w:val="auto"/>
          <w:sz w:val="32"/>
          <w:szCs w:val="32"/>
          <w:highlight w:val="none"/>
        </w:rPr>
        <w:t>谈判须知</w:t>
      </w:r>
    </w:p>
    <w:p>
      <w:pPr>
        <w:pStyle w:val="34"/>
        <w:keepNext w:val="0"/>
        <w:keepLines w:val="0"/>
        <w:spacing w:before="156" w:beforeLines="50" w:after="312" w:afterLines="100"/>
        <w:textAlignment w:val="baseline"/>
        <w:outlineLvl w:val="1"/>
        <w:rPr>
          <w:rStyle w:val="27"/>
          <w:rFonts w:ascii="Times New Roman" w:hAnsi="Times New Roman"/>
          <w:color w:val="auto"/>
          <w:highlight w:val="none"/>
        </w:rPr>
      </w:pPr>
      <w:r>
        <w:rPr>
          <w:rStyle w:val="27"/>
          <w:rFonts w:hint="eastAsia" w:ascii="Times New Roman" w:hAnsi="Times New Roman"/>
          <w:color w:val="auto"/>
          <w:highlight w:val="none"/>
        </w:rPr>
        <w:t>一、总则</w:t>
      </w:r>
    </w:p>
    <w:p>
      <w:pPr>
        <w:spacing w:before="156" w:beforeLines="50" w:line="360" w:lineRule="auto"/>
        <w:rPr>
          <w:rFonts w:ascii="宋体" w:hAnsi="宋体" w:cs="宋体"/>
          <w:b/>
          <w:color w:val="auto"/>
          <w:szCs w:val="21"/>
          <w:highlight w:val="none"/>
        </w:rPr>
      </w:pPr>
      <w:r>
        <w:rPr>
          <w:rFonts w:hint="eastAsia" w:ascii="宋体" w:hAnsi="宋体" w:cs="宋体"/>
          <w:b/>
          <w:color w:val="auto"/>
          <w:szCs w:val="21"/>
          <w:highlight w:val="none"/>
        </w:rPr>
        <w:t>1.采购人和资金来源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1.1采购人名称、地址见前附表。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1.2本次谈判采购所签订合同将使用财政性资金支付，资金已落实到位。</w:t>
      </w:r>
    </w:p>
    <w:p>
      <w:pPr>
        <w:spacing w:before="156" w:beforeLines="50" w:line="360" w:lineRule="auto"/>
        <w:rPr>
          <w:rFonts w:ascii="宋体" w:hAnsi="宋体" w:cs="宋体"/>
          <w:b/>
          <w:color w:val="auto"/>
          <w:szCs w:val="21"/>
          <w:highlight w:val="none"/>
        </w:rPr>
      </w:pPr>
      <w:r>
        <w:rPr>
          <w:rFonts w:hint="eastAsia" w:ascii="宋体" w:hAnsi="宋体" w:cs="宋体"/>
          <w:b/>
          <w:color w:val="auto"/>
          <w:szCs w:val="21"/>
          <w:highlight w:val="none"/>
        </w:rPr>
        <w:t>2.采购代理机构及合格的供应商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 采购代理机构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组织本次谈判的采购代理机构为西北（陕西）国际招标有限公司。西北（陕西）国际招标有限公司具有中华人民共和国财政部授予的中华人民共和国政府采购代理机构甲级资格，在陕西省政府采购网登记备案。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2.2合格的供应商：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2.2.1具备下列条件，方为合格的供应商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1）具有独立承担民事责任的能力；</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4）有依法缴纳税收和社会保障资金的良好纪录；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5）参加政府采购活动前三年内，在经营活动中没有重大违法纪录；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6）中华人民共和国法律、行政法规规定的其他条件（见谈判须知前附表）；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7）根据本次采购项目的特殊要求，规定的供应商特定条件（见谈判须知前附表）。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2.2.2参加本次谈判的供应商不得直接或间接地与采购单位（包括西北（陕西）国际招标有限公司、采购人及用户）有任何关联，亦不得是采购单位的附属机构。如果供应商在谈判中隐瞒了上述关系，其谈判响应文件按照无效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2.2.3单位负责人为同一人或者存在直接控股、管理关系的不同供应商，不得参加本项目同一合同项下的谈判。如果供应商在谈判中隐瞒了上述关系，其谈判响应文件按照无效处理。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2.2.4为本采购项目提供整体设计、规范编制或者项目管理、监理、检测等服务的供应商，不得再参加本采购项目的谈判报价</w:t>
      </w:r>
      <w:r>
        <w:rPr>
          <w:rFonts w:hint="eastAsia" w:ascii="宋体" w:hAnsi="宋体" w:cs="宋体"/>
          <w:color w:val="auto"/>
          <w:kern w:val="0"/>
          <w:szCs w:val="21"/>
          <w:highlight w:val="none"/>
        </w:rPr>
        <w:t>。</w:t>
      </w:r>
      <w:r>
        <w:rPr>
          <w:rFonts w:hint="eastAsia" w:ascii="宋体" w:hAnsi="宋体" w:cs="宋体"/>
          <w:color w:val="auto"/>
          <w:szCs w:val="21"/>
          <w:highlight w:val="none"/>
        </w:rPr>
        <w:t>如果供应商在谈判中隐瞒了上述事实，其谈判响应文件按照无效处理。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2.2.5如果在谈判文件中接受联合体报价（见谈判须知前附表），则两个以上供应商可以组成一个谈判联合体，以一个供应商的身份谈判报价。以联合体形式参加谈判报价的，联合体各方均应当符合政府采购法第二十二条第一款规定的条件。采购人根据采购项目的特殊要求规定供应商特定条件的，联合体各方中至少应当有一方符合采购人规定的特定条件。联合体各方之间应当签订共同谈判报价协议，明确约定联合体各方承担的工作和相应的责任，并将共同谈判报价协议附在谈判响应文件中一并提交。联合体各方签订共同谈判报价协议后，不得再以自己名义单独在同一项目中进行谈判报价，也不得组成新的联合体参加同一项目谈判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2.2.6供应商必须在西北（陕西）国际招标有限公司依法获取谈判文件，方可参加谈判。谈判文件售后不退。</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2.2.7谈判费用自理。不论谈判的结果如何，供应商均应自行承担所有与参加谈判有关的费用。</w:t>
      </w:r>
    </w:p>
    <w:p>
      <w:pPr>
        <w:spacing w:line="360" w:lineRule="auto"/>
        <w:ind w:firstLine="420" w:firstLineChars="200"/>
        <w:rPr>
          <w:rFonts w:ascii="宋体" w:hAnsi="宋体" w:cs="宋体"/>
          <w:color w:val="auto"/>
          <w:szCs w:val="21"/>
          <w:highlight w:val="none"/>
        </w:rPr>
      </w:pPr>
      <w:bookmarkStart w:id="12" w:name="_Hlk36455810"/>
      <w:r>
        <w:rPr>
          <w:rFonts w:hint="eastAsia" w:ascii="宋体" w:hAnsi="宋体" w:cs="宋体"/>
          <w:color w:val="auto"/>
          <w:szCs w:val="21"/>
          <w:highlight w:val="none"/>
        </w:rPr>
        <w:t>2.2.8供应商信用记录查询及使用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信用中国”网站（www.creditchina.gov.cn）和“中国政府采购网”（www.ccgp.gov.cn）为供应商信用信息查询渠道，如果供应商被查实在响应文件递交截止时间前已列入失信被执行人、重大税收违法失信主体、政府采购严重违法失信行为记录名单，其响应文件为无效。采购代理机构将打印查询记录作为证据留存。</w:t>
      </w:r>
    </w:p>
    <w:p>
      <w:pPr>
        <w:spacing w:before="156" w:beforeLines="50" w:line="360" w:lineRule="auto"/>
        <w:rPr>
          <w:rFonts w:ascii="宋体" w:hAnsi="宋体" w:cs="宋体"/>
          <w:b/>
          <w:color w:val="auto"/>
          <w:szCs w:val="21"/>
          <w:highlight w:val="none"/>
        </w:rPr>
      </w:pPr>
      <w:r>
        <w:rPr>
          <w:rFonts w:hint="eastAsia" w:ascii="宋体" w:hAnsi="宋体" w:cs="宋体"/>
          <w:b/>
          <w:color w:val="auto"/>
          <w:szCs w:val="21"/>
          <w:highlight w:val="none"/>
        </w:rPr>
        <w:t>3.谈判供给货物及服务的合格性和合法性</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3.1谈判供给货物及服务应满足谈判文件的要求，并应符合国家法律法规、行业管理部门所要求的其他强制性标准。</w:t>
      </w:r>
    </w:p>
    <w:bookmarkEnd w:id="12"/>
    <w:p>
      <w:pPr>
        <w:spacing w:before="156" w:beforeLines="50" w:line="360" w:lineRule="auto"/>
        <w:rPr>
          <w:rFonts w:ascii="宋体" w:hAnsi="宋体" w:cs="宋体"/>
          <w:b/>
          <w:color w:val="auto"/>
          <w:szCs w:val="21"/>
          <w:highlight w:val="none"/>
        </w:rPr>
      </w:pPr>
      <w:r>
        <w:rPr>
          <w:rFonts w:hint="eastAsia" w:ascii="宋体" w:hAnsi="宋体" w:cs="宋体"/>
          <w:b/>
          <w:color w:val="auto"/>
          <w:szCs w:val="21"/>
          <w:highlight w:val="none"/>
        </w:rPr>
        <w:t>4.谈判响应文件内容的真实性</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供应商应保证其谈判响应文件中所提供的所有有关谈判的资料、信息是真实的，并且来源于合法的渠道。因谈判响应文件中所提供的有关谈判和报价的资料、信息不真实，或者其来源不合法而导致的所有法律责任，由供应商自行承担。</w:t>
      </w:r>
    </w:p>
    <w:p>
      <w:pPr>
        <w:spacing w:before="156" w:beforeLines="50" w:line="360" w:lineRule="auto"/>
        <w:rPr>
          <w:rFonts w:ascii="宋体" w:hAnsi="宋体" w:cs="宋体"/>
          <w:b/>
          <w:color w:val="auto"/>
          <w:szCs w:val="21"/>
          <w:highlight w:val="none"/>
        </w:rPr>
      </w:pPr>
      <w:r>
        <w:rPr>
          <w:rFonts w:hint="eastAsia" w:ascii="宋体" w:hAnsi="宋体" w:cs="宋体"/>
          <w:b/>
          <w:color w:val="auto"/>
          <w:szCs w:val="21"/>
          <w:highlight w:val="none"/>
        </w:rPr>
        <w:t>5.谈判过程的监督和管理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5.1同级人民政府财政部门及有关部门依法履行对谈判过程的监督管理职责。</w:t>
      </w:r>
    </w:p>
    <w:p>
      <w:pPr>
        <w:pStyle w:val="34"/>
        <w:keepNext w:val="0"/>
        <w:keepLines w:val="0"/>
        <w:spacing w:before="624" w:beforeLines="200" w:after="312" w:afterLines="100"/>
        <w:textAlignment w:val="baseline"/>
        <w:outlineLvl w:val="1"/>
        <w:rPr>
          <w:rStyle w:val="27"/>
          <w:rFonts w:ascii="Times New Roman" w:hAnsi="Times New Roman"/>
          <w:color w:val="auto"/>
          <w:highlight w:val="none"/>
        </w:rPr>
      </w:pPr>
      <w:r>
        <w:rPr>
          <w:rStyle w:val="27"/>
          <w:rFonts w:hint="eastAsia" w:ascii="Times New Roman" w:hAnsi="Times New Roman"/>
          <w:color w:val="auto"/>
          <w:highlight w:val="none"/>
        </w:rPr>
        <w:t>二、谈判文件</w:t>
      </w:r>
    </w:p>
    <w:p>
      <w:pPr>
        <w:spacing w:before="156" w:beforeLines="50" w:line="360" w:lineRule="auto"/>
        <w:rPr>
          <w:rFonts w:ascii="宋体" w:hAnsi="宋体" w:cs="宋体"/>
          <w:b/>
          <w:color w:val="auto"/>
          <w:szCs w:val="21"/>
          <w:highlight w:val="none"/>
        </w:rPr>
      </w:pPr>
      <w:r>
        <w:rPr>
          <w:rFonts w:hint="eastAsia" w:ascii="宋体" w:hAnsi="宋体" w:cs="宋体"/>
          <w:b/>
          <w:color w:val="auto"/>
          <w:szCs w:val="21"/>
          <w:highlight w:val="none"/>
        </w:rPr>
        <w:t>6.谈判文件构成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 谈判文件规定了要求提供的货物及服务。谈判程序和合同条件在谈判文件中均有说明。谈判文件共6章，内容如下：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第一章 竞争性谈判公告</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第二章 谈判须知及前附表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第三章 合同条款及格式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第四章 谈判内容及技术要求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第五章 评审方法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第六章 谈判响应文件格式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供应商应认真阅读谈判文件中所有的事项、格式、条款和规范等要求。如果供应商没有按照谈判文件要求提交全部资料，或者谈判响应文件没有对谈判文件在各方面都做出实质性响应，由此带来的不利于供应商的评审结果，其风险由供应商承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6.3本谈判文件的解释权归西北（陕西）国际招标有限公司。</w:t>
      </w:r>
    </w:p>
    <w:p>
      <w:pPr>
        <w:spacing w:before="156" w:beforeLines="50" w:line="360" w:lineRule="auto"/>
        <w:rPr>
          <w:rFonts w:ascii="宋体" w:hAnsi="宋体" w:cs="宋体"/>
          <w:b/>
          <w:color w:val="auto"/>
          <w:szCs w:val="21"/>
          <w:highlight w:val="none"/>
        </w:rPr>
      </w:pPr>
      <w:r>
        <w:rPr>
          <w:rFonts w:hint="eastAsia" w:ascii="宋体" w:hAnsi="宋体" w:cs="宋体"/>
          <w:b/>
          <w:color w:val="auto"/>
          <w:szCs w:val="21"/>
          <w:highlight w:val="none"/>
        </w:rPr>
        <w:t>7.谈判文件的澄清修改和质疑答复</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7.1谈判采购单位如果对已发出的谈判文件进行必要的澄清或者修改，将在谈判文件要求提交首次谈判响应文件截止时间3个工作日前，以书面形式通知所有合法获取谈判文件的供应商，不足3个工作日的，将顺延提交首次谈判响应文件截止时间。该澄清或者修改的内容作为谈判文件的组成部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 已经合法获取谈判文件的供应商对谈判文件有询问或者质疑的，应当以书面形式向采购代理机构提出，在此之后提出的询问和质疑为无效询问和质疑，采购代理机构不予受理。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7.3对于在规定时间内收到的供应商依法提出的询问或者质疑，采购代理机构将按程序及时作出答复，若对谈判文件做出实质性变动，则按照相关规定延长谈判响应截止时间。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7.4供应商提出质疑应当有明确的请求和必要的证明材料。</w:t>
      </w:r>
    </w:p>
    <w:p>
      <w:pPr>
        <w:spacing w:before="156" w:beforeLines="50" w:line="360" w:lineRule="auto"/>
        <w:rPr>
          <w:rFonts w:ascii="宋体" w:hAnsi="宋体" w:cs="宋体"/>
          <w:b/>
          <w:color w:val="auto"/>
          <w:szCs w:val="21"/>
          <w:highlight w:val="none"/>
        </w:rPr>
      </w:pPr>
      <w:r>
        <w:rPr>
          <w:rFonts w:hint="eastAsia" w:ascii="宋体" w:hAnsi="宋体" w:cs="宋体"/>
          <w:b/>
          <w:color w:val="auto"/>
          <w:szCs w:val="21"/>
          <w:highlight w:val="none"/>
        </w:rPr>
        <w:t>8.谈判响应截止时间和谈判时间的延长</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8.1采购代理机构可以视采购具体情况延长谈判截止时间和谈判时间，并以书面形式通知所有合法获取谈判文件的供应商。</w:t>
      </w:r>
    </w:p>
    <w:p>
      <w:pPr>
        <w:pStyle w:val="34"/>
        <w:keepNext w:val="0"/>
        <w:keepLines w:val="0"/>
        <w:spacing w:before="312" w:beforeLines="100" w:after="312" w:afterLines="100"/>
        <w:textAlignment w:val="baseline"/>
        <w:outlineLvl w:val="1"/>
        <w:rPr>
          <w:rStyle w:val="27"/>
          <w:rFonts w:ascii="Times New Roman" w:hAnsi="Times New Roman"/>
          <w:color w:val="auto"/>
          <w:highlight w:val="none"/>
        </w:rPr>
      </w:pPr>
      <w:r>
        <w:rPr>
          <w:rStyle w:val="27"/>
          <w:rFonts w:hint="eastAsia" w:ascii="Times New Roman" w:hAnsi="Times New Roman"/>
          <w:color w:val="auto"/>
          <w:highlight w:val="none"/>
        </w:rPr>
        <w:t>三、谈判响应文件的编制</w:t>
      </w:r>
    </w:p>
    <w:p>
      <w:pPr>
        <w:spacing w:before="156" w:beforeLines="50" w:line="360" w:lineRule="auto"/>
        <w:rPr>
          <w:rFonts w:ascii="宋体" w:hAnsi="宋体" w:cs="宋体"/>
          <w:b/>
          <w:color w:val="auto"/>
          <w:szCs w:val="21"/>
          <w:highlight w:val="none"/>
        </w:rPr>
      </w:pPr>
      <w:r>
        <w:rPr>
          <w:rFonts w:hint="eastAsia" w:ascii="宋体" w:hAnsi="宋体" w:cs="宋体"/>
          <w:b/>
          <w:color w:val="auto"/>
          <w:szCs w:val="21"/>
          <w:highlight w:val="none"/>
        </w:rPr>
        <w:t>9.谈判报价语言和谈判报价货币</w:t>
      </w:r>
    </w:p>
    <w:p>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9.1供应商提交的谈判响应文件以及供应商与采购代理机构就有关谈判报价的所有来往函电均应使用中文。对不同文字文本谈判响应文件的解释发生异议的，以中文文本为准。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9.2谈判报价应以人民币报价。任何包含非人民币报价的谈判响应文件均按无效处理。</w:t>
      </w:r>
    </w:p>
    <w:p>
      <w:pPr>
        <w:spacing w:before="156" w:beforeLines="50" w:line="360" w:lineRule="auto"/>
        <w:rPr>
          <w:rFonts w:ascii="宋体" w:hAnsi="宋体" w:cs="宋体"/>
          <w:b/>
          <w:color w:val="auto"/>
          <w:szCs w:val="21"/>
          <w:highlight w:val="none"/>
        </w:rPr>
      </w:pPr>
      <w:r>
        <w:rPr>
          <w:rFonts w:hint="eastAsia" w:ascii="宋体" w:hAnsi="宋体" w:cs="宋体"/>
          <w:b/>
          <w:color w:val="auto"/>
          <w:szCs w:val="21"/>
          <w:highlight w:val="none"/>
        </w:rPr>
        <w:t>10.谈判响应文件的构成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10.1 供应商提交的谈判响应文件应包括下列部分的内容：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10.1.1按照谈判须知的要求和谈判响应文件规定格式填写的谈判响应书，谈判报价表，按要求格式出具的法人代表授权书。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10.1.2按照谈判文件的要求编制的谈判报价方案说明书，内容应包括设备和服务的详细说明、技术规格响应表、设备配置说明、供货一览表、彩色样本、使用说明书，质量保证和售后服务承诺等。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10.1.3按照谈判文件的要求提交的资格证明文件和其他证明文件；</w:t>
      </w:r>
    </w:p>
    <w:p>
      <w:pPr>
        <w:spacing w:before="156" w:beforeLines="50" w:line="360" w:lineRule="auto"/>
        <w:rPr>
          <w:rFonts w:ascii="宋体" w:hAnsi="宋体" w:cs="宋体"/>
          <w:b/>
          <w:color w:val="auto"/>
          <w:szCs w:val="21"/>
          <w:highlight w:val="none"/>
        </w:rPr>
      </w:pPr>
      <w:r>
        <w:rPr>
          <w:rFonts w:hint="eastAsia" w:ascii="宋体" w:hAnsi="宋体" w:cs="宋体"/>
          <w:b/>
          <w:color w:val="auto"/>
          <w:szCs w:val="21"/>
          <w:highlight w:val="none"/>
        </w:rPr>
        <w:t>11.谈判响应文件格式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 供应商应按照谈判文件中“谈判响应文件格式”所提供的格式和要求制作谈判响应文件，明确表达谈判响应意愿，详细说明谈判响应方案和报价。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 供应商应完整地提供谈判文件要求的所有数据和资料。</w:t>
      </w:r>
    </w:p>
    <w:p>
      <w:pPr>
        <w:spacing w:before="156" w:beforeLines="50" w:line="360" w:lineRule="auto"/>
        <w:rPr>
          <w:rFonts w:ascii="宋体" w:hAnsi="宋体" w:cs="宋体"/>
          <w:b/>
          <w:color w:val="auto"/>
          <w:szCs w:val="21"/>
          <w:highlight w:val="none"/>
        </w:rPr>
      </w:pPr>
      <w:r>
        <w:rPr>
          <w:rFonts w:hint="eastAsia" w:ascii="宋体" w:hAnsi="宋体" w:cs="宋体"/>
          <w:b/>
          <w:color w:val="auto"/>
          <w:szCs w:val="21"/>
          <w:highlight w:val="none"/>
        </w:rPr>
        <w:t>12.谈判报价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12.1供应商应按照“谈判须知前附表”中规定的要求报价，按照谈判报价表的内容标明谈判报价的所有单项价格和总价。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12.2最后谈判报价是供应商响应文件的有效组成部分。</w:t>
      </w:r>
    </w:p>
    <w:p>
      <w:pPr>
        <w:spacing w:before="156" w:beforeLines="50" w:line="360" w:lineRule="auto"/>
        <w:rPr>
          <w:rFonts w:ascii="宋体" w:hAnsi="宋体" w:cs="宋体"/>
          <w:b/>
          <w:color w:val="auto"/>
          <w:szCs w:val="21"/>
          <w:highlight w:val="none"/>
        </w:rPr>
      </w:pPr>
      <w:r>
        <w:rPr>
          <w:rFonts w:hint="eastAsia" w:ascii="宋体" w:hAnsi="宋体" w:cs="宋体"/>
          <w:b/>
          <w:color w:val="auto"/>
          <w:szCs w:val="21"/>
          <w:highlight w:val="none"/>
        </w:rPr>
        <w:t>13.证明供应商合格和资格的文件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13.1供应商应按照谈判文件“谈判须知前附表”的要求，在谈判响应文件中提交证明其资格合格的文件。如果资格证明文件不齐全或不合格的，其谈判响应文件按照无效处理。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13.2如果“谈判须知前附表”有要求，供应商还应按照要求提交证明文件的原件。如果未能提供原件或者提供原件不全的，其谈判响应文件按照无效处理。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13.3如果供应商为代理商时，应按照谈判文件“谈判须知前附表”的要求，提供货物来源渠道合法的证明（包括但不限于销售协议、代理协议、原厂授权等）。</w:t>
      </w:r>
    </w:p>
    <w:p>
      <w:pPr>
        <w:spacing w:before="156" w:beforeLines="50" w:line="360" w:lineRule="auto"/>
        <w:rPr>
          <w:rFonts w:ascii="宋体" w:hAnsi="宋体" w:cs="宋体"/>
          <w:b/>
          <w:color w:val="auto"/>
          <w:szCs w:val="21"/>
          <w:highlight w:val="none"/>
        </w:rPr>
      </w:pPr>
      <w:r>
        <w:rPr>
          <w:rFonts w:hint="eastAsia" w:ascii="宋体" w:hAnsi="宋体" w:cs="宋体"/>
          <w:b/>
          <w:color w:val="auto"/>
          <w:szCs w:val="21"/>
          <w:highlight w:val="none"/>
        </w:rPr>
        <w:t>14.证明货物的合格性和符合谈判文件规定的文件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供应商应在谈判响应文件中提交货物满足谈判文件要求并符合国家法律法规、行业管理部门要求的其他强制性标准的证明文件。缺少证明文件或证明文件不合格的响应文件，与谈判文件要求有重大偏离的响应文件，不符合国家法律法规、行业管理部门要求的其他强制性标准的响应文件将按照无效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14.2上述证明文件可以是文字资料、图纸、图片和数据，它包括：</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1）本次采购特别要求的货物合格性证明文件（见“谈判须知前附表”）；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2）主要技术指标和性能的详细说明；</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3）国家法定检验机构出具的检验报告；</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4）逐条对谈判文件提出的技术要求和商务要求进行应答，说明所提供的货物和/或服务对谈判的技术和商务要求是否做出了实质性响应并提供支持文件；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5）设备配置、供货范围和服务内容的详细说明。</w:t>
      </w:r>
    </w:p>
    <w:p>
      <w:pPr>
        <w:spacing w:before="156" w:beforeLines="50" w:line="360" w:lineRule="auto"/>
        <w:rPr>
          <w:rFonts w:ascii="宋体" w:hAnsi="宋体" w:cs="宋体"/>
          <w:b/>
          <w:color w:val="auto"/>
          <w:szCs w:val="21"/>
          <w:highlight w:val="none"/>
        </w:rPr>
      </w:pPr>
      <w:r>
        <w:rPr>
          <w:rFonts w:hint="eastAsia" w:ascii="宋体" w:hAnsi="宋体" w:cs="宋体"/>
          <w:b/>
          <w:color w:val="auto"/>
          <w:szCs w:val="21"/>
          <w:highlight w:val="none"/>
        </w:rPr>
        <w:t>15.谈判保证金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15.1如果谈判文件有要求，供应商应按照“谈判须知前附表”的要求向西北（陕西）国际招标有限公司提交谈判保证金,其有效期与谈判报价有效期一致，并作为其谈判响应的一部分。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15.2谈判保证金的数额、形式、交纳办法和交纳时间见“谈判须知前附表”。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15.3谈判后经审查，未按照“谈判须知前附表”的要求交纳谈判保证金的、已交纳的谈判保证金金额不足的或有效期不足的，其谈判响应文件将按照无效处理。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15.4未成交人的谈判保证金，在成交通知书发出后五个工作日内退还；成交人的谈判保证金，在采购合同签订并按规定交纳代理服务费后五个工作日内退还。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15.5有下列情形之一的，保证金不予退还：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15.5.1供应商在提交响应文件截止时间后撤回响应文件的；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15.5.2供应商在响应文件中提供虚假材料的；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15.5.3除因不可抗力或谈判文件认可的情形以外，成交供应商不与采购人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签订合同的；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15.5.4供应商与采购人、其他供应商或者采购代理机构恶意串通的；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15.5.5成交供应商未能按规定交纳代理服务费的。</w:t>
      </w:r>
    </w:p>
    <w:p>
      <w:pPr>
        <w:spacing w:before="156" w:beforeLines="50" w:line="360" w:lineRule="auto"/>
        <w:rPr>
          <w:rFonts w:ascii="宋体" w:hAnsi="宋体" w:cs="宋体"/>
          <w:b/>
          <w:color w:val="auto"/>
          <w:szCs w:val="21"/>
          <w:highlight w:val="none"/>
        </w:rPr>
      </w:pPr>
      <w:r>
        <w:rPr>
          <w:rFonts w:hint="eastAsia" w:ascii="宋体" w:hAnsi="宋体" w:cs="宋体"/>
          <w:b/>
          <w:color w:val="auto"/>
          <w:szCs w:val="21"/>
          <w:highlight w:val="none"/>
        </w:rPr>
        <w:t>16.谈判报价有效期</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16.1谈判报价应在 “谈判须知前附表”中规定的谈判报价有效期内保持有效。谈判报价不满足规定有效期的，其谈判响应文件将按照无效处理。</w:t>
      </w:r>
    </w:p>
    <w:p>
      <w:pPr>
        <w:spacing w:before="156" w:beforeLines="50" w:line="360" w:lineRule="auto"/>
        <w:rPr>
          <w:rFonts w:ascii="宋体" w:hAnsi="宋体" w:cs="宋体"/>
          <w:b/>
          <w:color w:val="auto"/>
          <w:szCs w:val="21"/>
          <w:highlight w:val="none"/>
        </w:rPr>
      </w:pPr>
      <w:r>
        <w:rPr>
          <w:rFonts w:hint="eastAsia" w:ascii="宋体" w:hAnsi="宋体" w:cs="宋体"/>
          <w:b/>
          <w:color w:val="auto"/>
          <w:szCs w:val="21"/>
          <w:highlight w:val="none"/>
        </w:rPr>
        <w:t>17.谈判响应文件的式样和签署</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17.1供应商应按照谈判须知的要求, 准备一份谈判响应文件正本和“谈判须知前附表”中规定数量的副本，副本可以是正本的复印件。每套谈判响应文件须清楚地标明“正本”或“副本”。如果发生正本与副本不一致的情况，以正本为准。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17.2如果谈判文件有要求，还应按照“谈判须知前附表”的要求准备相应格式和载体的电子版文件。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17.3谈判响应文件正本需打印或用不褪色的蓝(黑)色墨水(汁)书写,并由供应商法人代表或经法人代表正式授权的代表签字。授权代表须将按谈判文件规定的格式出具的“法人代表授权书”附在谈判响应文件中。</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17.4任何行间插字、涂改和增删，必须由谈判响应文件的签字人在旁边签字才有效。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17.5因字迹潦草、表述不清或不按谈判文件格式编制的谈判响应文件，所引起的对供应商不利的后果，由供应商自行负责。</w:t>
      </w:r>
    </w:p>
    <w:p>
      <w:pPr>
        <w:pStyle w:val="34"/>
        <w:keepNext w:val="0"/>
        <w:keepLines w:val="0"/>
        <w:spacing w:before="312" w:beforeLines="100" w:after="312" w:afterLines="100"/>
        <w:textAlignment w:val="baseline"/>
        <w:outlineLvl w:val="1"/>
        <w:rPr>
          <w:rStyle w:val="27"/>
          <w:rFonts w:ascii="Times New Roman" w:hAnsi="Times New Roman"/>
          <w:color w:val="auto"/>
          <w:highlight w:val="none"/>
        </w:rPr>
      </w:pPr>
      <w:r>
        <w:rPr>
          <w:rStyle w:val="27"/>
          <w:rFonts w:hint="eastAsia" w:ascii="Times New Roman" w:hAnsi="Times New Roman"/>
          <w:color w:val="auto"/>
          <w:highlight w:val="none"/>
        </w:rPr>
        <w:t>四、谈判响应文件的递交</w:t>
      </w:r>
    </w:p>
    <w:p>
      <w:pPr>
        <w:spacing w:before="156" w:beforeLines="50" w:line="360" w:lineRule="auto"/>
        <w:rPr>
          <w:rFonts w:ascii="宋体" w:hAnsi="宋体" w:cs="宋体"/>
          <w:b/>
          <w:color w:val="auto"/>
          <w:szCs w:val="21"/>
          <w:highlight w:val="none"/>
        </w:rPr>
      </w:pPr>
      <w:r>
        <w:rPr>
          <w:rFonts w:hint="eastAsia" w:ascii="宋体" w:hAnsi="宋体" w:cs="宋体"/>
          <w:b/>
          <w:color w:val="auto"/>
          <w:szCs w:val="21"/>
          <w:highlight w:val="none"/>
        </w:rPr>
        <w:t>18.谈判响应文件的装订、密封和标记</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18.1谈判响应文件的正本与副本应分别装订成册，并编制目录，具体装订和包装密封要求见本须知“谈判须知前附表”规定。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18.2外层包装请按以下要求标记：</w:t>
      </w:r>
    </w:p>
    <w:p>
      <w:pPr>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1)供应商的全称</w:t>
      </w:r>
    </w:p>
    <w:p>
      <w:pPr>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2)谈判报价项目名称、项目编号、包号</w:t>
      </w:r>
    </w:p>
    <w:p>
      <w:pPr>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3）正本或副本及“请勿在＿＿＿＿＿(谈判时间)之前启封”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18.3如果在“谈判须知前附表”中要求提供证明文件的原件，则证明文件的原件必须按照谈判须知前附表的规定进行封装和递交。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18.4如果供应商未对谈判响应文件按上述要求进行完好密封，所引起的对供应商不利的后果，由供应商自行承担。</w:t>
      </w:r>
    </w:p>
    <w:p>
      <w:pPr>
        <w:spacing w:before="156" w:beforeLines="50" w:line="360" w:lineRule="auto"/>
        <w:rPr>
          <w:rFonts w:ascii="宋体" w:hAnsi="宋体" w:cs="宋体"/>
          <w:b/>
          <w:color w:val="auto"/>
          <w:szCs w:val="21"/>
          <w:highlight w:val="none"/>
        </w:rPr>
      </w:pPr>
      <w:r>
        <w:rPr>
          <w:rFonts w:hint="eastAsia" w:ascii="宋体" w:hAnsi="宋体" w:cs="宋体"/>
          <w:b/>
          <w:color w:val="auto"/>
          <w:szCs w:val="21"/>
          <w:highlight w:val="none"/>
        </w:rPr>
        <w:t>19．谈判响应文件递交方式和谈判截止时间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19.1供应商必须派出代表，在“谈判须知前附表”规定的谈判响应文件递交截止时间前，将全部谈判响应文件和谈判报价资料递交至谈判地点并签字确认。谈判地点见“谈判须知前附表”指明的地址或采购代理机构另行通知的地址。</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19.2 若谈判文件未规定接受邮寄方式递交谈判响应文件，以邮寄方式递交谈判响应文件的，其谈判响应文件将按照无效处理。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19.3采购代理机构拒绝接收在规定的谈判响应文件递交截止时间后递交的谈判响应文件和谈判报价资料。</w:t>
      </w:r>
    </w:p>
    <w:p>
      <w:pPr>
        <w:spacing w:before="156" w:beforeLines="50" w:line="360" w:lineRule="auto"/>
        <w:rPr>
          <w:rFonts w:ascii="宋体" w:hAnsi="宋体" w:cs="宋体"/>
          <w:b/>
          <w:color w:val="auto"/>
          <w:szCs w:val="21"/>
          <w:highlight w:val="none"/>
        </w:rPr>
      </w:pPr>
      <w:r>
        <w:rPr>
          <w:rFonts w:hint="eastAsia" w:ascii="宋体" w:hAnsi="宋体" w:cs="宋体"/>
          <w:b/>
          <w:color w:val="auto"/>
          <w:szCs w:val="21"/>
          <w:highlight w:val="none"/>
        </w:rPr>
        <w:t>20．谈判报价的修改与撤回</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供应商在递交谈判响应文件后，可以修改或撤回其谈判响应文件，也可以提出价格变动声明，但供应商必须在规定的谈判响应文件递交截止时间之前将修改或撤回或变动价格的书面通知文件递交到采购代理机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 供应商的修改或撤回或变动价格的通知应按本须知第17条和18条的规定编制、密封、标记和递交。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20.3 在谈判响应文件递交截止时间之后，供应商不得对其已递交的谈判报价做任何修改或撤回。</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20.4在谈判结束之后，对于供应商正常经营活动必须的资质和证明文件原件（包括但不限于：营业执照、经营许可证、资质等级证书、成交通知书、经济合同等），经审查后予以退还。其他谈判响应文件和资料一律不予退还。</w:t>
      </w:r>
    </w:p>
    <w:p>
      <w:pPr>
        <w:pStyle w:val="34"/>
        <w:keepNext w:val="0"/>
        <w:keepLines w:val="0"/>
        <w:spacing w:before="312" w:beforeLines="100" w:after="312" w:afterLines="100"/>
        <w:textAlignment w:val="baseline"/>
        <w:outlineLvl w:val="1"/>
        <w:rPr>
          <w:rStyle w:val="27"/>
          <w:rFonts w:ascii="Times New Roman" w:hAnsi="Times New Roman"/>
          <w:color w:val="auto"/>
          <w:highlight w:val="none"/>
        </w:rPr>
      </w:pPr>
      <w:r>
        <w:rPr>
          <w:rStyle w:val="27"/>
          <w:rFonts w:hint="eastAsia" w:ascii="Times New Roman" w:hAnsi="Times New Roman"/>
          <w:color w:val="auto"/>
          <w:highlight w:val="none"/>
        </w:rPr>
        <w:t>五、谈判与评审</w:t>
      </w:r>
    </w:p>
    <w:p>
      <w:pPr>
        <w:spacing w:before="156" w:beforeLines="50" w:line="360" w:lineRule="auto"/>
        <w:rPr>
          <w:rFonts w:ascii="宋体" w:hAnsi="宋体" w:cs="宋体"/>
          <w:b/>
          <w:color w:val="auto"/>
          <w:szCs w:val="21"/>
          <w:highlight w:val="none"/>
        </w:rPr>
      </w:pPr>
      <w:r>
        <w:rPr>
          <w:rFonts w:hint="eastAsia" w:ascii="宋体" w:hAnsi="宋体" w:cs="宋体"/>
          <w:b/>
          <w:color w:val="auto"/>
          <w:szCs w:val="21"/>
          <w:highlight w:val="none"/>
        </w:rPr>
        <w:t>21.谈判小组和谈判评审原则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21.1按照《中华人民共和国政府采购法》、《中华人民共和国政府采购法实施条例》和《政府采购非招标采购方式管理办法》的规定，采购机构将依法组建竞争性谈判小组，依法进行谈判和评审工作。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21.2谈判文件和供应商的响应文件是评审的依据。</w:t>
      </w:r>
    </w:p>
    <w:p>
      <w:pPr>
        <w:spacing w:before="156" w:beforeLines="50" w:line="360" w:lineRule="auto"/>
        <w:rPr>
          <w:rFonts w:ascii="宋体" w:hAnsi="宋体" w:cs="宋体"/>
          <w:b/>
          <w:color w:val="auto"/>
          <w:szCs w:val="21"/>
          <w:highlight w:val="none"/>
        </w:rPr>
      </w:pPr>
      <w:r>
        <w:rPr>
          <w:rFonts w:hint="eastAsia" w:ascii="宋体" w:hAnsi="宋体" w:cs="宋体"/>
          <w:b/>
          <w:color w:val="auto"/>
          <w:szCs w:val="21"/>
          <w:highlight w:val="none"/>
        </w:rPr>
        <w:t>22.谈判及评审程序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22.1采购代理机构在规定的时间和地点组织谈判。</w:t>
      </w:r>
    </w:p>
    <w:p>
      <w:pPr>
        <w:spacing w:line="360" w:lineRule="auto"/>
        <w:ind w:left="2" w:firstLine="417" w:firstLineChars="199"/>
        <w:rPr>
          <w:rFonts w:ascii="宋体" w:hAnsi="宋体" w:cs="宋体"/>
          <w:color w:val="auto"/>
          <w:szCs w:val="21"/>
          <w:highlight w:val="none"/>
        </w:rPr>
      </w:pPr>
      <w:r>
        <w:rPr>
          <w:rFonts w:hint="eastAsia" w:ascii="宋体" w:hAnsi="宋体" w:cs="宋体"/>
          <w:color w:val="auto"/>
          <w:szCs w:val="21"/>
          <w:highlight w:val="none"/>
        </w:rPr>
        <w:t>22.2本次谈判的报价次数、谈判程序和最终报价的产生原则见“谈判须知前附表”的规定。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22.3谈判开始后，</w:t>
      </w:r>
      <w:r>
        <w:rPr>
          <w:rFonts w:hint="eastAsia" w:ascii="宋体" w:hAnsi="宋体" w:cs="宋体"/>
          <w:color w:val="auto"/>
          <w:kern w:val="0"/>
          <w:szCs w:val="21"/>
          <w:highlight w:val="none"/>
        </w:rPr>
        <w:t>谈判小组首先对响应文件进行评审，并根据谈判文件规定的程序、评定成交的标准等事项与实质性响应谈判文件要求的供应商进行谈判。未实质性响应谈判文件的响应文件按无效处理，谈判小组将告知有关供应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22.4</w:t>
      </w:r>
      <w:r>
        <w:rPr>
          <w:rFonts w:hint="eastAsia" w:ascii="宋体" w:hAnsi="宋体" w:cs="宋体"/>
          <w:color w:val="auto"/>
          <w:kern w:val="0"/>
          <w:szCs w:val="21"/>
          <w:highlight w:val="none"/>
        </w:rPr>
        <w:t>谈判小组所有成员集中与单一供应商分别进行谈判，并给予所有参加谈判的供应商平等的谈判机会。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22.5在谈判过程中，谈判小组可以根据谈判文件和谈判情况实质性变动采购需求中的技术、服务要求以及合同草案条款。所有变动内容均是谈判文件的有效组成部分，谈判小组将以书面形式同时通知所有参加谈判的供应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22.6参加谈判的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22.7谈判结束后，谈判小组要求所有继续参加谈判的供应商在规定时间内提交最后报价，最后报价是供应商响应文件的有效组成部分。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22.8已提交响应文件的供应商，在提交最后报价之前，可以根据谈判情况退出谈判。采购机构将退还退出谈判的供应商的保证金。</w:t>
      </w:r>
    </w:p>
    <w:p>
      <w:pPr>
        <w:spacing w:before="156" w:beforeLines="50" w:line="360" w:lineRule="auto"/>
        <w:rPr>
          <w:rFonts w:ascii="宋体" w:hAnsi="宋体" w:cs="宋体"/>
          <w:b/>
          <w:color w:val="auto"/>
          <w:szCs w:val="21"/>
          <w:highlight w:val="none"/>
        </w:rPr>
      </w:pPr>
      <w:r>
        <w:rPr>
          <w:rFonts w:hint="eastAsia" w:ascii="宋体" w:hAnsi="宋体" w:cs="宋体"/>
          <w:b/>
          <w:color w:val="auto"/>
          <w:szCs w:val="21"/>
          <w:highlight w:val="none"/>
        </w:rPr>
        <w:t>23．评审过程的保密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23.1竞争性谈判小组成员和与评审活动有关的工作人员不得泄露有关谈判响应文件的评审和比较、成交候选人的推荐以及与评审有关的其他情况。</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23.2在评审过程中，如果供应商试图在谈判响应文件的评审和比较、成交候选人的推荐以及与评审有关的其他方面，向谈判小组、采购人和采购代理机构施加任何影响，其谈判响应文件将按照无效处理。</w:t>
      </w:r>
    </w:p>
    <w:p>
      <w:pPr>
        <w:spacing w:before="156" w:beforeLines="50" w:line="360" w:lineRule="auto"/>
        <w:rPr>
          <w:rFonts w:ascii="宋体" w:hAnsi="宋体" w:cs="宋体"/>
          <w:b/>
          <w:color w:val="auto"/>
          <w:szCs w:val="21"/>
          <w:highlight w:val="none"/>
        </w:rPr>
      </w:pPr>
      <w:r>
        <w:rPr>
          <w:rFonts w:hint="eastAsia" w:ascii="宋体" w:hAnsi="宋体" w:cs="宋体"/>
          <w:b/>
          <w:color w:val="auto"/>
          <w:szCs w:val="21"/>
          <w:highlight w:val="none"/>
        </w:rPr>
        <w:t>24．评审方法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按照《中华人民共和国政府采购法》、《中华人民共和国政府采购法实施条例》和《政府采购非招标采购方式管理办法》的规定，竞争性谈判小组将从质量和服务均能满足谈判文件实质性响应要求的供应商中，按照最后报价由低到高的顺序提出3名以上成交候选人。</w:t>
      </w:r>
    </w:p>
    <w:p>
      <w:pPr>
        <w:pStyle w:val="34"/>
        <w:keepNext w:val="0"/>
        <w:keepLines w:val="0"/>
        <w:spacing w:before="312" w:beforeLines="100" w:after="156" w:afterLines="50"/>
        <w:textAlignment w:val="baseline"/>
        <w:outlineLvl w:val="1"/>
        <w:rPr>
          <w:rStyle w:val="27"/>
          <w:rFonts w:ascii="Times New Roman" w:hAnsi="Times New Roman"/>
          <w:color w:val="auto"/>
          <w:highlight w:val="none"/>
        </w:rPr>
      </w:pPr>
      <w:r>
        <w:rPr>
          <w:rStyle w:val="27"/>
          <w:rFonts w:hint="eastAsia" w:ascii="Times New Roman" w:hAnsi="Times New Roman"/>
          <w:color w:val="auto"/>
          <w:highlight w:val="none"/>
        </w:rPr>
        <w:t>六、确定成交人、成交通知与签约</w:t>
      </w:r>
    </w:p>
    <w:p>
      <w:pPr>
        <w:spacing w:before="156" w:beforeLines="50" w:line="360" w:lineRule="auto"/>
        <w:rPr>
          <w:rFonts w:ascii="宋体" w:hAnsi="宋体" w:cs="宋体"/>
          <w:b/>
          <w:color w:val="auto"/>
          <w:szCs w:val="21"/>
          <w:highlight w:val="none"/>
        </w:rPr>
      </w:pPr>
      <w:r>
        <w:rPr>
          <w:rFonts w:hint="eastAsia" w:ascii="宋体" w:hAnsi="宋体" w:cs="宋体"/>
          <w:b/>
          <w:color w:val="auto"/>
          <w:szCs w:val="21"/>
          <w:highlight w:val="none"/>
        </w:rPr>
        <w:t>25．确定成交人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25.1谈判小组根据评审方法的规定对供应商进行评审排序，推荐成交候选人，形成评审报告。评审报告由谈判小组成员签字确认。</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25.2采购人</w:t>
      </w:r>
      <w:r>
        <w:rPr>
          <w:rFonts w:hint="eastAsia" w:ascii="宋体" w:hAnsi="宋体" w:cs="宋体"/>
          <w:color w:val="auto"/>
          <w:kern w:val="0"/>
          <w:szCs w:val="21"/>
          <w:highlight w:val="none"/>
        </w:rPr>
        <w:t>从评审报告提出的成交候选人中，根据质量和服务均能满足谈判文件实质性响应要求且最后评审价最低的原则确定成交供应商。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25.3采购人也可以书面授权谈判小组直接确定成交供应商。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25.4成交供应商确定之后，成交结果将在财政部门指定的政府采购信息发布媒体上公告。如果成交供应商为</w:t>
      </w:r>
      <w:r>
        <w:rPr>
          <w:rFonts w:hint="eastAsia" w:ascii="宋体" w:hAnsi="宋体" w:cs="宋体"/>
          <w:color w:val="auto"/>
          <w:szCs w:val="21"/>
          <w:highlight w:val="none"/>
          <w:lang w:val="en-US" w:eastAsia="zh-CN"/>
        </w:rPr>
        <w:t>中小</w:t>
      </w:r>
      <w:r>
        <w:rPr>
          <w:rFonts w:hint="eastAsia" w:ascii="宋体" w:hAnsi="宋体" w:cs="宋体"/>
          <w:color w:val="auto"/>
          <w:szCs w:val="21"/>
          <w:highlight w:val="none"/>
        </w:rPr>
        <w:t>企业或残疾人福利性单位的，将同时公告其《中小企业声明函》或《残疾人福利性单位声明函》。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25.5供应商对成交公告有异议的，按照《中华人民共和国政府采购法》第五十二条之有关规定执行。提出质疑的供应商应当有明确的请求和必要的证明材料，应保证提出的质疑内容及相应证明材料的真实性及来源的合法性，并承担相应的法律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25.6成交供应商拒绝与采购人签订合同的，采购人可以按照评审报告推荐的成交候选人名单排序，确定下一候选人为成交供应商，也可以重新开展政府采购活动。</w:t>
      </w:r>
    </w:p>
    <w:p>
      <w:pPr>
        <w:spacing w:before="156" w:beforeLines="50" w:line="360" w:lineRule="auto"/>
        <w:rPr>
          <w:rFonts w:ascii="宋体" w:hAnsi="宋体" w:cs="宋体"/>
          <w:b/>
          <w:color w:val="auto"/>
          <w:szCs w:val="21"/>
          <w:highlight w:val="none"/>
        </w:rPr>
      </w:pPr>
      <w:r>
        <w:rPr>
          <w:rFonts w:hint="eastAsia" w:ascii="宋体" w:hAnsi="宋体" w:cs="宋体"/>
          <w:b/>
          <w:color w:val="auto"/>
          <w:szCs w:val="21"/>
          <w:highlight w:val="none"/>
        </w:rPr>
        <w:t>26．成交通知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26.1成交供应商确定之后，西北（陕西）国际招标有限公司将发出《成交通知书》。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26.2成交通知书对采购人和成交供应商具有同等法律效力。成交通知书发出之后，采购人改变成交结果，或者成交供应商放弃成交，应当承担相应的法律责任。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26.3 成交通知书发出后五个工作日内，西北（陕西）国际招标有限公司将通知未成交的供应商，并退还其谈判保证金。</w:t>
      </w:r>
    </w:p>
    <w:p>
      <w:pPr>
        <w:spacing w:before="156" w:beforeLines="50" w:line="360" w:lineRule="auto"/>
        <w:rPr>
          <w:rFonts w:ascii="宋体" w:hAnsi="宋体" w:cs="宋体"/>
          <w:b/>
          <w:color w:val="auto"/>
          <w:szCs w:val="21"/>
          <w:highlight w:val="none"/>
        </w:rPr>
      </w:pPr>
      <w:r>
        <w:rPr>
          <w:rFonts w:hint="eastAsia" w:ascii="宋体" w:hAnsi="宋体" w:cs="宋体"/>
          <w:b/>
          <w:color w:val="auto"/>
          <w:szCs w:val="21"/>
          <w:highlight w:val="none"/>
        </w:rPr>
        <w:t>27.成交合同的签订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27.1采购人应当自成交通知书发出之日起三十日内，按照谈判文件和成交供应商的响应文件（包括谈判评审中形成的最后报价等补充文件），与成交供应商签订书面合同。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27.2采购人自政府采购合同签订之日起2个工作日内，将政府采购合同在省级以上人民政府财政部门指定的媒体上公告，但政府采购合同中涉及国家秘密、商业秘密的内容除外。</w:t>
      </w:r>
    </w:p>
    <w:p>
      <w:pPr>
        <w:spacing w:before="156" w:beforeLines="50" w:line="360" w:lineRule="auto"/>
        <w:rPr>
          <w:rFonts w:ascii="宋体" w:hAnsi="宋体" w:cs="宋体"/>
          <w:b/>
          <w:color w:val="auto"/>
          <w:szCs w:val="21"/>
          <w:highlight w:val="none"/>
        </w:rPr>
      </w:pPr>
      <w:r>
        <w:rPr>
          <w:rFonts w:hint="eastAsia" w:ascii="宋体" w:hAnsi="宋体" w:cs="宋体"/>
          <w:b/>
          <w:color w:val="auto"/>
          <w:szCs w:val="21"/>
          <w:highlight w:val="none"/>
        </w:rPr>
        <w:t>28．成交合同的履约验收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28.1采购人将按照政府采购合同规定的技术、服务、安全标准组织对供应商履约情况进行验收，并出具验收书。验收书应当包括每一项技术、服务、安全标准的履约情况。</w:t>
      </w:r>
    </w:p>
    <w:p>
      <w:pPr>
        <w:spacing w:before="156" w:beforeLines="50" w:line="360" w:lineRule="auto"/>
        <w:rPr>
          <w:rFonts w:ascii="宋体" w:hAnsi="宋体" w:cs="宋体"/>
          <w:b/>
          <w:color w:val="auto"/>
          <w:szCs w:val="21"/>
          <w:highlight w:val="none"/>
        </w:rPr>
      </w:pPr>
      <w:r>
        <w:rPr>
          <w:rFonts w:hint="eastAsia" w:ascii="宋体" w:hAnsi="宋体" w:cs="宋体"/>
          <w:b/>
          <w:color w:val="auto"/>
          <w:szCs w:val="21"/>
          <w:highlight w:val="none"/>
        </w:rPr>
        <w:t>29．采购代理服务费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29.1成交单位应在收到成交通知书3日内，向西北（陕西）国际招标有限公司一次性支付采购代理服务费。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29.2采购代理服务费的金额见前附表。</w:t>
      </w:r>
    </w:p>
    <w:p>
      <w:pPr>
        <w:spacing w:before="156" w:beforeLines="50" w:line="360" w:lineRule="auto"/>
        <w:rPr>
          <w:rFonts w:ascii="宋体" w:hAnsi="宋体" w:cs="宋体"/>
          <w:b/>
          <w:color w:val="auto"/>
          <w:szCs w:val="21"/>
          <w:highlight w:val="none"/>
        </w:rPr>
      </w:pPr>
      <w:r>
        <w:rPr>
          <w:rFonts w:hint="eastAsia" w:ascii="宋体" w:hAnsi="宋体" w:cs="宋体"/>
          <w:b/>
          <w:color w:val="auto"/>
          <w:szCs w:val="21"/>
          <w:highlight w:val="none"/>
        </w:rPr>
        <w:t>30.其他</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30.1谈判开始后，出现下列情形之一的，采购代理机构将终止竞争性谈判采购活动，发布项目终止公告并说明原因，重新开展采购活动：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（一）因情况变化，不再符合规定的竞争性谈判采购方式适用情形的；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（二）出现影响采购公正的违法、违规行为的；</w:t>
      </w:r>
    </w:p>
    <w:p>
      <w:pPr>
        <w:spacing w:line="360" w:lineRule="auto"/>
        <w:ind w:left="1109" w:leftChars="228" w:hanging="630" w:hangingChars="300"/>
        <w:rPr>
          <w:rFonts w:ascii="宋体" w:hAnsi="宋体" w:cs="宋体"/>
          <w:color w:val="auto"/>
          <w:szCs w:val="21"/>
          <w:highlight w:val="none"/>
        </w:rPr>
      </w:pPr>
      <w:r>
        <w:rPr>
          <w:rFonts w:hint="eastAsia" w:ascii="宋体" w:hAnsi="宋体" w:cs="宋体"/>
          <w:color w:val="auto"/>
          <w:szCs w:val="21"/>
          <w:highlight w:val="none"/>
        </w:rPr>
        <w:t>（三）在采购过程中符合竞争要求的供应商不足3家的；</w:t>
      </w:r>
    </w:p>
    <w:p>
      <w:pPr>
        <w:spacing w:line="360" w:lineRule="auto"/>
        <w:ind w:left="1109" w:leftChars="228" w:hanging="630" w:hangingChars="300"/>
        <w:rPr>
          <w:rFonts w:ascii="宋体" w:hAnsi="宋体" w:cs="宋体"/>
          <w:color w:val="auto"/>
          <w:szCs w:val="21"/>
          <w:highlight w:val="none"/>
        </w:rPr>
      </w:pPr>
      <w:r>
        <w:rPr>
          <w:rFonts w:hint="eastAsia" w:ascii="宋体" w:hAnsi="宋体" w:cs="宋体"/>
          <w:color w:val="auto"/>
          <w:szCs w:val="21"/>
          <w:highlight w:val="none"/>
        </w:rPr>
        <w:t>（四）报价未超过采购预算的供应商不足3家的。</w:t>
      </w:r>
    </w:p>
    <w:p>
      <w:pPr>
        <w:spacing w:line="360" w:lineRule="auto"/>
        <w:ind w:left="2" w:firstLine="420" w:firstLineChars="200"/>
        <w:rPr>
          <w:rFonts w:ascii="宋体" w:hAnsi="宋体" w:cs="宋体"/>
          <w:color w:val="auto"/>
          <w:szCs w:val="21"/>
          <w:highlight w:val="none"/>
        </w:rPr>
      </w:pPr>
      <w:r>
        <w:rPr>
          <w:rFonts w:hint="eastAsia" w:ascii="宋体" w:hAnsi="宋体" w:cs="宋体"/>
          <w:color w:val="auto"/>
          <w:szCs w:val="21"/>
          <w:highlight w:val="none"/>
        </w:rPr>
        <w:t>30.2谈判报价产品进入“节能产品政府采购品目清单”的；进入“环境标志产品政府采购品目清单”的，提供证明文件，在评审中享受评审价格优惠折扣(详见评审方法)。谈判响应单位属于（财库〔2020〕46号）文件规定的小微企业的，提供中小企业声明函，在评审中享受评审价格优惠折扣 (详见评审方法)。谈判响应单位属于（财库〔2014〕68号）文件规定的监狱企业的，提供由省级以上监狱管理局、戒毒管理局出具的属于监狱企业的证明文件，视同小微企业，在评审中享受评审价格优惠折扣 (详见评审方法)。供应商属于（财库〔2017〕141号）文件规定的残疾人福利性单位的，提供《残疾人福利性单位声明函》，视同小微企业，在评审方法中享受报价优惠折扣 （详见评审方法）。供应商提供的上述文件与事实不符的，依照《政府采购法》第七十七条第一款的规定追究法律责任。</w:t>
      </w:r>
    </w:p>
    <w:p>
      <w:pPr>
        <w:pStyle w:val="14"/>
        <w:spacing w:before="0" w:after="0" w:line="360" w:lineRule="auto"/>
        <w:jc w:val="center"/>
        <w:rPr>
          <w:color w:val="auto"/>
          <w:highlight w:val="none"/>
          <w:lang w:val="zh-CN"/>
        </w:rPr>
      </w:pPr>
      <w:r>
        <w:rPr>
          <w:rFonts w:ascii="宋体" w:hAnsi="宋体"/>
          <w:color w:val="auto"/>
          <w:sz w:val="24"/>
          <w:szCs w:val="24"/>
          <w:highlight w:val="none"/>
        </w:rPr>
        <w:br w:type="page"/>
      </w:r>
      <w:bookmarkStart w:id="13" w:name="_Toc79002891"/>
    </w:p>
    <w:p>
      <w:pPr>
        <w:pStyle w:val="3"/>
        <w:spacing w:line="360" w:lineRule="auto"/>
        <w:rPr>
          <w:rFonts w:ascii="宋体" w:hAnsi="宋体"/>
          <w:b/>
          <w:color w:val="auto"/>
          <w:sz w:val="32"/>
          <w:szCs w:val="32"/>
          <w:highlight w:val="none"/>
        </w:rPr>
      </w:pPr>
      <w:r>
        <w:rPr>
          <w:rFonts w:hint="eastAsia" w:ascii="宋体" w:hAnsi="宋体"/>
          <w:b/>
          <w:color w:val="auto"/>
          <w:sz w:val="32"/>
          <w:szCs w:val="32"/>
          <w:highlight w:val="none"/>
        </w:rPr>
        <w:t>第三章 合同条款及格式</w:t>
      </w:r>
      <w:bookmarkEnd w:id="13"/>
    </w:p>
    <w:p>
      <w:pPr>
        <w:pStyle w:val="14"/>
        <w:spacing w:before="0" w:after="0" w:line="360" w:lineRule="auto"/>
        <w:jc w:val="center"/>
        <w:rPr>
          <w:color w:val="auto"/>
          <w:highlight w:val="none"/>
          <w:lang w:val="zh-CN"/>
        </w:rPr>
      </w:pPr>
    </w:p>
    <w:p>
      <w:pPr>
        <w:pStyle w:val="14"/>
        <w:spacing w:before="0" w:after="0" w:line="360" w:lineRule="auto"/>
        <w:jc w:val="center"/>
        <w:rPr>
          <w:color w:val="auto"/>
          <w:highlight w:val="none"/>
          <w:lang w:val="zh-CN"/>
        </w:rPr>
      </w:pPr>
    </w:p>
    <w:p>
      <w:pPr>
        <w:spacing w:line="360" w:lineRule="auto"/>
        <w:jc w:val="center"/>
        <w:rPr>
          <w:rFonts w:ascii="宋体" w:hAnsi="宋体" w:cs="宋体"/>
          <w:b/>
          <w:bCs/>
          <w:color w:val="auto"/>
          <w:sz w:val="44"/>
          <w:szCs w:val="44"/>
          <w:highlight w:val="none"/>
        </w:rPr>
      </w:pPr>
      <w:r>
        <w:rPr>
          <w:rFonts w:hint="eastAsia" w:ascii="宋体" w:hAnsi="宋体" w:cs="宋体"/>
          <w:b/>
          <w:bCs/>
          <w:color w:val="auto"/>
          <w:sz w:val="36"/>
          <w:szCs w:val="36"/>
          <w:highlight w:val="none"/>
        </w:rPr>
        <w:t>西安市公安局交通警察支队安全防护警用装备</w:t>
      </w:r>
    </w:p>
    <w:p>
      <w:pPr>
        <w:spacing w:line="360" w:lineRule="auto"/>
        <w:jc w:val="center"/>
        <w:rPr>
          <w:rFonts w:ascii="宋体" w:hAnsi="宋体" w:cs="宋体"/>
          <w:b/>
          <w:bCs/>
          <w:color w:val="auto"/>
          <w:sz w:val="44"/>
          <w:szCs w:val="44"/>
          <w:highlight w:val="none"/>
        </w:rPr>
      </w:pPr>
    </w:p>
    <w:p>
      <w:pPr>
        <w:spacing w:line="360" w:lineRule="auto"/>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货物合同</w:t>
      </w:r>
    </w:p>
    <w:p>
      <w:pPr>
        <w:pStyle w:val="14"/>
        <w:spacing w:line="360" w:lineRule="auto"/>
        <w:rPr>
          <w:color w:val="auto"/>
          <w:highlight w:val="none"/>
        </w:rPr>
      </w:pPr>
    </w:p>
    <w:p>
      <w:pPr>
        <w:spacing w:line="360" w:lineRule="auto"/>
        <w:jc w:val="center"/>
        <w:rPr>
          <w:rFonts w:ascii="宋体" w:hAnsi="宋体" w:cs="宋体"/>
          <w:b/>
          <w:bCs/>
          <w:color w:val="auto"/>
          <w:sz w:val="32"/>
          <w:szCs w:val="32"/>
          <w:highlight w:val="none"/>
        </w:rPr>
      </w:pPr>
    </w:p>
    <w:p>
      <w:pPr>
        <w:spacing w:line="360" w:lineRule="auto"/>
        <w:jc w:val="center"/>
        <w:rPr>
          <w:rFonts w:hint="default" w:ascii="宋体" w:hAnsi="宋体" w:eastAsia="宋体" w:cs="宋体"/>
          <w:b/>
          <w:bCs/>
          <w:color w:val="auto"/>
          <w:sz w:val="36"/>
          <w:szCs w:val="36"/>
          <w:highlight w:val="none"/>
          <w:lang w:val="en-US" w:eastAsia="zh-CN"/>
        </w:rPr>
      </w:pPr>
      <w:r>
        <w:rPr>
          <w:rFonts w:hint="eastAsia" w:ascii="宋体" w:hAnsi="宋体" w:cs="宋体"/>
          <w:b/>
          <w:bCs/>
          <w:color w:val="auto"/>
          <w:sz w:val="36"/>
          <w:szCs w:val="36"/>
          <w:highlight w:val="none"/>
        </w:rPr>
        <w:t>项目编号：0617-2323HZ</w:t>
      </w:r>
      <w:r>
        <w:rPr>
          <w:rFonts w:hint="eastAsia" w:ascii="宋体" w:hAnsi="宋体" w:cs="宋体"/>
          <w:b/>
          <w:bCs/>
          <w:color w:val="auto"/>
          <w:sz w:val="36"/>
          <w:szCs w:val="36"/>
          <w:highlight w:val="none"/>
          <w:lang w:val="en-US" w:eastAsia="zh-CN"/>
        </w:rPr>
        <w:t>2263</w:t>
      </w:r>
    </w:p>
    <w:p>
      <w:pPr>
        <w:spacing w:line="360" w:lineRule="auto"/>
        <w:rPr>
          <w:rFonts w:ascii="宋体" w:hAnsi="宋体" w:cs="宋体"/>
          <w:color w:val="auto"/>
          <w:sz w:val="36"/>
          <w:szCs w:val="36"/>
          <w:highlight w:val="none"/>
        </w:rPr>
      </w:pPr>
    </w:p>
    <w:p>
      <w:pPr>
        <w:pStyle w:val="2"/>
        <w:rPr>
          <w:rFonts w:ascii="宋体" w:hAnsi="宋体" w:cs="宋体"/>
          <w:color w:val="auto"/>
          <w:sz w:val="36"/>
          <w:szCs w:val="36"/>
          <w:highlight w:val="none"/>
        </w:rPr>
      </w:pPr>
    </w:p>
    <w:p>
      <w:pPr>
        <w:rPr>
          <w:color w:val="auto"/>
          <w:highlight w:val="none"/>
        </w:rPr>
      </w:pPr>
    </w:p>
    <w:p>
      <w:pPr>
        <w:spacing w:line="360" w:lineRule="auto"/>
        <w:rPr>
          <w:rFonts w:ascii="宋体" w:hAnsi="宋体" w:cs="宋体"/>
          <w:color w:val="auto"/>
          <w:sz w:val="36"/>
          <w:szCs w:val="36"/>
          <w:highlight w:val="none"/>
        </w:rPr>
      </w:pPr>
    </w:p>
    <w:p>
      <w:pPr>
        <w:spacing w:line="360" w:lineRule="auto"/>
        <w:ind w:firstLine="1446" w:firstLineChars="400"/>
        <w:rPr>
          <w:rFonts w:ascii="宋体" w:hAnsi="宋体" w:cs="宋体"/>
          <w:b/>
          <w:bCs/>
          <w:color w:val="auto"/>
          <w:sz w:val="36"/>
          <w:szCs w:val="36"/>
          <w:highlight w:val="none"/>
        </w:rPr>
      </w:pPr>
    </w:p>
    <w:p>
      <w:pPr>
        <w:spacing w:after="312" w:afterLines="100" w:line="360" w:lineRule="auto"/>
        <w:ind w:firstLine="1446" w:firstLineChars="400"/>
        <w:rPr>
          <w:rFonts w:ascii="宋体" w:hAnsi="宋体" w:cs="宋体"/>
          <w:b/>
          <w:bCs/>
          <w:color w:val="auto"/>
          <w:sz w:val="36"/>
          <w:szCs w:val="36"/>
          <w:highlight w:val="none"/>
          <w:u w:val="single"/>
        </w:rPr>
      </w:pPr>
      <w:r>
        <w:rPr>
          <w:rFonts w:hint="eastAsia" w:ascii="宋体" w:hAnsi="宋体" w:cs="宋体"/>
          <w:b/>
          <w:bCs/>
          <w:color w:val="auto"/>
          <w:sz w:val="36"/>
          <w:szCs w:val="36"/>
          <w:highlight w:val="none"/>
        </w:rPr>
        <w:t>甲  方：</w:t>
      </w:r>
      <w:r>
        <w:rPr>
          <w:rFonts w:hint="eastAsia" w:ascii="宋体" w:hAnsi="宋体" w:cs="宋体"/>
          <w:b/>
          <w:bCs/>
          <w:color w:val="auto"/>
          <w:sz w:val="36"/>
          <w:szCs w:val="36"/>
          <w:highlight w:val="none"/>
          <w:u w:val="single"/>
        </w:rPr>
        <w:t>西安市公安局交通警察支队</w:t>
      </w:r>
    </w:p>
    <w:p>
      <w:pPr>
        <w:spacing w:line="360" w:lineRule="auto"/>
        <w:ind w:firstLine="1446" w:firstLineChars="400"/>
        <w:rPr>
          <w:rFonts w:ascii="宋体" w:hAnsi="宋体" w:cs="宋体"/>
          <w:b/>
          <w:bCs/>
          <w:color w:val="auto"/>
          <w:sz w:val="36"/>
          <w:szCs w:val="36"/>
          <w:highlight w:val="none"/>
          <w:u w:val="single"/>
        </w:rPr>
      </w:pPr>
      <w:r>
        <w:rPr>
          <w:rFonts w:hint="eastAsia" w:ascii="宋体" w:hAnsi="宋体" w:cs="宋体"/>
          <w:b/>
          <w:bCs/>
          <w:color w:val="auto"/>
          <w:sz w:val="36"/>
          <w:szCs w:val="36"/>
          <w:highlight w:val="none"/>
        </w:rPr>
        <w:t>乙  方：</w:t>
      </w:r>
      <w:r>
        <w:rPr>
          <w:rFonts w:hint="eastAsia" w:ascii="宋体" w:hAnsi="宋体" w:cs="宋体"/>
          <w:b/>
          <w:bCs/>
          <w:color w:val="auto"/>
          <w:sz w:val="36"/>
          <w:szCs w:val="36"/>
          <w:highlight w:val="none"/>
          <w:u w:val="single"/>
        </w:rPr>
        <w:t xml:space="preserve">                        </w:t>
      </w:r>
    </w:p>
    <w:p>
      <w:pPr>
        <w:tabs>
          <w:tab w:val="left" w:pos="5460"/>
        </w:tabs>
        <w:autoSpaceDE w:val="0"/>
        <w:autoSpaceDN w:val="0"/>
        <w:adjustRightInd w:val="0"/>
        <w:spacing w:line="360" w:lineRule="auto"/>
        <w:jc w:val="center"/>
        <w:rPr>
          <w:rFonts w:ascii="宋体" w:hAnsi="宋体" w:cs="宋体"/>
          <w:b/>
          <w:bCs/>
          <w:color w:val="auto"/>
          <w:sz w:val="32"/>
          <w:szCs w:val="32"/>
          <w:highlight w:val="none"/>
          <w:lang w:val="zh-CN"/>
        </w:rPr>
      </w:pPr>
    </w:p>
    <w:p>
      <w:pPr>
        <w:tabs>
          <w:tab w:val="left" w:pos="5460"/>
        </w:tabs>
        <w:autoSpaceDE w:val="0"/>
        <w:autoSpaceDN w:val="0"/>
        <w:adjustRightInd w:val="0"/>
        <w:spacing w:line="360" w:lineRule="auto"/>
        <w:jc w:val="center"/>
        <w:rPr>
          <w:rFonts w:ascii="宋体" w:hAnsi="宋体" w:cs="宋体"/>
          <w:b/>
          <w:bCs/>
          <w:color w:val="auto"/>
          <w:sz w:val="36"/>
          <w:szCs w:val="36"/>
          <w:highlight w:val="none"/>
          <w:lang w:val="zh-CN"/>
        </w:rPr>
      </w:pPr>
    </w:p>
    <w:p>
      <w:pPr>
        <w:tabs>
          <w:tab w:val="left" w:pos="5460"/>
        </w:tabs>
        <w:autoSpaceDE w:val="0"/>
        <w:autoSpaceDN w:val="0"/>
        <w:adjustRightInd w:val="0"/>
        <w:spacing w:line="360" w:lineRule="auto"/>
        <w:jc w:val="center"/>
        <w:rPr>
          <w:rFonts w:ascii="宋体" w:hAnsi="宋体" w:cs="宋体"/>
          <w:b/>
          <w:bCs/>
          <w:color w:val="auto"/>
          <w:sz w:val="36"/>
          <w:szCs w:val="36"/>
          <w:highlight w:val="none"/>
        </w:rPr>
      </w:pPr>
      <w:r>
        <w:rPr>
          <w:rFonts w:hint="eastAsia" w:ascii="宋体" w:hAnsi="宋体" w:cs="宋体"/>
          <w:b/>
          <w:bCs/>
          <w:color w:val="auto"/>
          <w:sz w:val="36"/>
          <w:szCs w:val="36"/>
          <w:highlight w:val="none"/>
          <w:lang w:val="zh-CN"/>
        </w:rPr>
        <w:t>二零</w:t>
      </w:r>
      <w:r>
        <w:rPr>
          <w:rFonts w:hint="eastAsia" w:ascii="宋体" w:hAnsi="宋体" w:cs="宋体"/>
          <w:b/>
          <w:bCs/>
          <w:color w:val="auto"/>
          <w:sz w:val="36"/>
          <w:szCs w:val="36"/>
          <w:highlight w:val="none"/>
        </w:rPr>
        <w:t>二三</w:t>
      </w:r>
      <w:r>
        <w:rPr>
          <w:rFonts w:hint="eastAsia" w:ascii="宋体" w:hAnsi="宋体" w:cs="宋体"/>
          <w:b/>
          <w:bCs/>
          <w:color w:val="auto"/>
          <w:sz w:val="36"/>
          <w:szCs w:val="36"/>
          <w:highlight w:val="none"/>
          <w:lang w:val="zh-CN"/>
        </w:rPr>
        <w:t>年</w:t>
      </w:r>
      <w:r>
        <w:rPr>
          <w:rFonts w:hint="eastAsia" w:ascii="宋体" w:hAnsi="宋体" w:cs="宋体"/>
          <w:b/>
          <w:bCs/>
          <w:color w:val="auto"/>
          <w:sz w:val="36"/>
          <w:szCs w:val="36"/>
          <w:highlight w:val="none"/>
          <w:u w:val="single"/>
        </w:rPr>
        <w:t xml:space="preserve">     </w:t>
      </w:r>
      <w:r>
        <w:rPr>
          <w:rFonts w:hint="eastAsia" w:ascii="宋体" w:hAnsi="宋体" w:cs="宋体"/>
          <w:b/>
          <w:bCs/>
          <w:color w:val="auto"/>
          <w:sz w:val="36"/>
          <w:szCs w:val="36"/>
          <w:highlight w:val="none"/>
          <w:lang w:val="zh-CN"/>
        </w:rPr>
        <w:t>月</w:t>
      </w:r>
    </w:p>
    <w:p>
      <w:pPr>
        <w:tabs>
          <w:tab w:val="left" w:pos="5460"/>
        </w:tabs>
        <w:autoSpaceDE w:val="0"/>
        <w:autoSpaceDN w:val="0"/>
        <w:spacing w:before="156" w:beforeLines="50" w:line="360" w:lineRule="auto"/>
        <w:jc w:val="center"/>
        <w:rPr>
          <w:rFonts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中国  西安</w:t>
      </w:r>
    </w:p>
    <w:p>
      <w:pPr>
        <w:tabs>
          <w:tab w:val="left" w:pos="5460"/>
        </w:tabs>
        <w:autoSpaceDE w:val="0"/>
        <w:autoSpaceDN w:val="0"/>
        <w:adjustRightInd w:val="0"/>
        <w:spacing w:line="360" w:lineRule="auto"/>
        <w:jc w:val="center"/>
        <w:rPr>
          <w:rFonts w:ascii="宋体" w:hAnsi="宋体" w:cs="宋体"/>
          <w:b/>
          <w:bCs/>
          <w:color w:val="auto"/>
          <w:sz w:val="36"/>
          <w:szCs w:val="36"/>
          <w:highlight w:val="none"/>
          <w:lang w:val="zh-CN"/>
        </w:rPr>
      </w:pPr>
    </w:p>
    <w:p>
      <w:pPr>
        <w:spacing w:after="156" w:afterLines="50" w:line="360" w:lineRule="auto"/>
        <w:jc w:val="center"/>
        <w:rPr>
          <w:rFonts w:ascii="宋体" w:hAnsi="宋体" w:cs="宋体"/>
          <w:b/>
          <w:bCs/>
          <w:color w:val="auto"/>
          <w:sz w:val="24"/>
          <w:szCs w:val="24"/>
          <w:highlight w:val="none"/>
        </w:rPr>
      </w:pPr>
      <w:r>
        <w:rPr>
          <w:rFonts w:hint="eastAsia" w:ascii="宋体" w:hAnsi="宋体" w:cs="宋体"/>
          <w:b/>
          <w:bCs/>
          <w:color w:val="auto"/>
          <w:sz w:val="22"/>
          <w:szCs w:val="22"/>
          <w:highlight w:val="none"/>
        </w:rPr>
        <w:br w:type="page"/>
      </w:r>
      <w:r>
        <w:rPr>
          <w:rFonts w:hint="eastAsia" w:ascii="宋体" w:hAnsi="宋体" w:cs="宋体"/>
          <w:b/>
          <w:bCs/>
          <w:color w:val="auto"/>
          <w:sz w:val="24"/>
          <w:szCs w:val="24"/>
          <w:highlight w:val="none"/>
        </w:rPr>
        <w:t>西安市公安局交通警察支队安全防护警用装备采购项目</w:t>
      </w:r>
    </w:p>
    <w:p>
      <w:pPr>
        <w:autoSpaceDE w:val="0"/>
        <w:autoSpaceDN w:val="0"/>
        <w:adjustRightInd w:val="0"/>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甲    方：</w:t>
      </w:r>
      <w:r>
        <w:rPr>
          <w:rFonts w:hint="eastAsia" w:ascii="宋体" w:hAnsi="宋体" w:cs="宋体"/>
          <w:bCs/>
          <w:color w:val="auto"/>
          <w:szCs w:val="21"/>
          <w:highlight w:val="none"/>
          <w:u w:val="single"/>
        </w:rPr>
        <w:t xml:space="preserve"> 西安市公安局交通警察支队</w:t>
      </w:r>
    </w:p>
    <w:p>
      <w:pPr>
        <w:autoSpaceDE w:val="0"/>
        <w:autoSpaceDN w:val="0"/>
        <w:adjustRightInd w:val="0"/>
        <w:spacing w:after="312" w:afterLines="100"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乙    方：</w:t>
      </w:r>
      <w:r>
        <w:rPr>
          <w:rFonts w:hint="eastAsia" w:ascii="宋体" w:hAnsi="宋体" w:cs="宋体"/>
          <w:bCs/>
          <w:color w:val="auto"/>
          <w:szCs w:val="21"/>
          <w:highlight w:val="none"/>
          <w:u w:val="single"/>
        </w:rPr>
        <w:t xml:space="preserve">     </w:t>
      </w:r>
      <w:r>
        <w:rPr>
          <w:rFonts w:hint="eastAsia" w:ascii="宋体" w:hAnsi="宋体" w:cs="宋体"/>
          <w:color w:val="auto"/>
          <w:highlight w:val="none"/>
          <w:u w:val="single"/>
        </w:rPr>
        <w:t xml:space="preserve">（成交供应商）      </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u w:val="single"/>
        </w:rPr>
        <w:t>安全防护警用装备采购项目（项目编号：0617-2323HZ</w:t>
      </w:r>
      <w:r>
        <w:rPr>
          <w:rFonts w:hint="eastAsia" w:ascii="宋体" w:hAnsi="宋体" w:cs="宋体"/>
          <w:color w:val="auto"/>
          <w:kern w:val="0"/>
          <w:szCs w:val="21"/>
          <w:highlight w:val="none"/>
          <w:u w:val="single"/>
          <w:lang w:val="en-US" w:eastAsia="zh-CN"/>
        </w:rPr>
        <w:t>2263</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，在西安市财政局的监督管理下，由</w:t>
      </w:r>
      <w:r>
        <w:rPr>
          <w:rFonts w:hint="eastAsia" w:ascii="宋体" w:hAnsi="宋体" w:cs="宋体"/>
          <w:color w:val="auto"/>
          <w:kern w:val="0"/>
          <w:szCs w:val="21"/>
          <w:highlight w:val="none"/>
          <w:u w:val="single"/>
        </w:rPr>
        <w:t>西北（陕西）国际招标有限公司</w:t>
      </w:r>
      <w:r>
        <w:rPr>
          <w:rFonts w:hint="eastAsia" w:ascii="宋体" w:hAnsi="宋体" w:cs="宋体"/>
          <w:color w:val="auto"/>
          <w:kern w:val="0"/>
          <w:szCs w:val="21"/>
          <w:highlight w:val="none"/>
        </w:rPr>
        <w:t>组织竞争性谈判。</w:t>
      </w:r>
      <w:r>
        <w:rPr>
          <w:rFonts w:hint="eastAsia" w:ascii="宋体" w:hAnsi="宋体" w:cs="宋体"/>
          <w:color w:val="auto"/>
          <w:kern w:val="0"/>
          <w:szCs w:val="21"/>
          <w:highlight w:val="none"/>
          <w:u w:val="single"/>
        </w:rPr>
        <w:t>西安市公安局交通警察支队</w:t>
      </w:r>
      <w:r>
        <w:rPr>
          <w:rFonts w:hint="eastAsia" w:ascii="宋体" w:hAnsi="宋体" w:cs="宋体"/>
          <w:color w:val="auto"/>
          <w:kern w:val="0"/>
          <w:szCs w:val="21"/>
          <w:highlight w:val="none"/>
        </w:rPr>
        <w:t>（以下简称“甲方”）确定</w:t>
      </w:r>
      <w:r>
        <w:rPr>
          <w:rFonts w:hint="eastAsia" w:ascii="宋体" w:hAnsi="宋体" w:cs="宋体"/>
          <w:color w:val="auto"/>
          <w:kern w:val="0"/>
          <w:szCs w:val="21"/>
          <w:highlight w:val="none"/>
          <w:u w:val="single"/>
        </w:rPr>
        <w:t xml:space="preserve"> （成交供应商名称） </w:t>
      </w:r>
      <w:r>
        <w:rPr>
          <w:rFonts w:hint="eastAsia" w:ascii="宋体" w:hAnsi="宋体" w:cs="宋体"/>
          <w:color w:val="auto"/>
          <w:kern w:val="0"/>
          <w:szCs w:val="21"/>
          <w:highlight w:val="none"/>
        </w:rPr>
        <w:t>（以下简称“乙方”）为该项目成交供应商。依据《中华人民共和国政府采购法》、《中华人民共和国政府采购法实施条例》、《中华人民共和国民法典》以及竞争性谈判文件、成交通知书，达成如下条款：</w:t>
      </w:r>
    </w:p>
    <w:p>
      <w:pPr>
        <w:spacing w:before="156" w:beforeLines="50"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一、项目概况</w:t>
      </w:r>
    </w:p>
    <w:p>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为进一步保障民警人身安全，公安部下发了《查处酒驾醉驾安全防护“八个一律”》及《道路交通事故现场安全防护“八个必须”》要点提示，对酒驾查处现场和事故处理警用防护装备和设备进行了规范。我支队根据公安部的规范要求，结合前期摸排及一线大队警用装备使用的需求情况，计划采购一批安全防护警用装备和事故防闯入报警设备。</w:t>
      </w:r>
    </w:p>
    <w:p>
      <w:pPr>
        <w:spacing w:before="156" w:beforeLines="50"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二、合同金额</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（1）本项目合同金额为</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元</w:t>
      </w:r>
      <w:r>
        <w:rPr>
          <w:rFonts w:ascii="宋体" w:hAnsi="宋体" w:cs="宋体"/>
          <w:b/>
          <w:bCs/>
          <w:color w:val="auto"/>
          <w:szCs w:val="21"/>
          <w:highlight w:val="none"/>
        </w:rPr>
        <w:t>（</w:t>
      </w:r>
      <w:r>
        <w:rPr>
          <w:rFonts w:hint="eastAsia" w:ascii="宋体" w:hAnsi="宋体" w:cs="宋体"/>
          <w:b/>
          <w:bCs/>
          <w:color w:val="auto"/>
          <w:szCs w:val="21"/>
          <w:highlight w:val="none"/>
          <w:lang w:eastAsia="zh-Hans"/>
        </w:rPr>
        <w:t>含税</w:t>
      </w:r>
      <w:r>
        <w:rPr>
          <w:rFonts w:ascii="宋体" w:hAnsi="宋体" w:cs="宋体"/>
          <w:b/>
          <w:bCs/>
          <w:color w:val="auto"/>
          <w:szCs w:val="21"/>
          <w:highlight w:val="none"/>
        </w:rPr>
        <w:t>）</w:t>
      </w:r>
      <w:r>
        <w:rPr>
          <w:rFonts w:hint="eastAsia" w:ascii="宋体" w:hAnsi="宋体" w:cs="宋体"/>
          <w:b/>
          <w:bCs/>
          <w:color w:val="auto"/>
          <w:szCs w:val="21"/>
          <w:highlight w:val="none"/>
          <w:lang w:eastAsia="zh-Hans"/>
        </w:rPr>
        <w:t>上述金额为履行本合同的全部费用</w:t>
      </w:r>
      <w:r>
        <w:rPr>
          <w:rFonts w:hint="eastAsia" w:ascii="宋体" w:hAnsi="宋体" w:cs="宋体"/>
          <w:b/>
          <w:bCs/>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本合同采用固定单价合同，最终按各单项成交单价，以实际验收数量据实结算，最终不超过项目预算金额：620000元。报价应包含货物的设计打板、材料、包装、储运、装卸、质保、税费等完成本项目需计入的一切费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本合同为最高合同金额限制下的综合单价合同，各综合单价为一次性报价，不受市场价格变化及其他影响，各综合单价为含税价，包括乙方为完成合同全部义务应承担的一切成本、费用和支出以及乙方的合理利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③本合同各综合单价明细表以成交通知书所列为准。最终以实际发生量在预算内根据成交价格据实结算。</w:t>
      </w:r>
    </w:p>
    <w:p>
      <w:pPr>
        <w:widowControl/>
        <w:numPr>
          <w:ilvl w:val="0"/>
          <w:numId w:val="2"/>
        </w:numPr>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采购清单及价格</w:t>
      </w:r>
    </w:p>
    <w:tbl>
      <w:tblPr>
        <w:tblStyle w:val="19"/>
        <w:tblW w:w="8875" w:type="dxa"/>
        <w:tblInd w:w="96" w:type="dxa"/>
        <w:tblLayout w:type="fixed"/>
        <w:tblCellMar>
          <w:top w:w="0" w:type="dxa"/>
          <w:left w:w="108" w:type="dxa"/>
          <w:bottom w:w="0" w:type="dxa"/>
          <w:right w:w="108" w:type="dxa"/>
        </w:tblCellMar>
      </w:tblPr>
      <w:tblGrid>
        <w:gridCol w:w="753"/>
        <w:gridCol w:w="1933"/>
        <w:gridCol w:w="708"/>
        <w:gridCol w:w="1842"/>
        <w:gridCol w:w="1842"/>
        <w:gridCol w:w="1797"/>
      </w:tblGrid>
      <w:tr>
        <w:tblPrEx>
          <w:tblCellMar>
            <w:top w:w="0" w:type="dxa"/>
            <w:left w:w="108" w:type="dxa"/>
            <w:bottom w:w="0" w:type="dxa"/>
            <w:right w:w="108" w:type="dxa"/>
          </w:tblCellMar>
        </w:tblPrEx>
        <w:trPr>
          <w:trHeight w:val="552" w:hRule="atLeast"/>
        </w:trPr>
        <w:tc>
          <w:tcPr>
            <w:tcW w:w="6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74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品类</w:t>
            </w:r>
          </w:p>
        </w:tc>
        <w:tc>
          <w:tcPr>
            <w:tcW w:w="63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16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成交单价/元</w:t>
            </w:r>
          </w:p>
        </w:tc>
        <w:tc>
          <w:tcPr>
            <w:tcW w:w="16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采购数量</w:t>
            </w:r>
          </w:p>
        </w:tc>
        <w:tc>
          <w:tcPr>
            <w:tcW w:w="162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小计/元</w:t>
            </w:r>
          </w:p>
        </w:tc>
      </w:tr>
      <w:tr>
        <w:tblPrEx>
          <w:tblCellMar>
            <w:top w:w="0" w:type="dxa"/>
            <w:left w:w="108" w:type="dxa"/>
            <w:bottom w:w="0" w:type="dxa"/>
            <w:right w:w="108" w:type="dxa"/>
          </w:tblCellMar>
        </w:tblPrEx>
        <w:trPr>
          <w:trHeight w:val="552" w:hRule="atLeast"/>
        </w:trPr>
        <w:tc>
          <w:tcPr>
            <w:tcW w:w="68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74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发光警示牌</w:t>
            </w:r>
          </w:p>
        </w:tc>
        <w:tc>
          <w:tcPr>
            <w:tcW w:w="638"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个</w:t>
            </w:r>
          </w:p>
        </w:tc>
        <w:tc>
          <w:tcPr>
            <w:tcW w:w="166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p>
        </w:tc>
        <w:tc>
          <w:tcPr>
            <w:tcW w:w="166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p>
        </w:tc>
        <w:tc>
          <w:tcPr>
            <w:tcW w:w="162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52" w:hRule="atLeast"/>
        </w:trPr>
        <w:tc>
          <w:tcPr>
            <w:tcW w:w="68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74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车辆闯入报警设备</w:t>
            </w:r>
          </w:p>
        </w:tc>
        <w:tc>
          <w:tcPr>
            <w:tcW w:w="638"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套</w:t>
            </w:r>
          </w:p>
        </w:tc>
        <w:tc>
          <w:tcPr>
            <w:tcW w:w="166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p>
        </w:tc>
        <w:tc>
          <w:tcPr>
            <w:tcW w:w="166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p>
        </w:tc>
        <w:tc>
          <w:tcPr>
            <w:tcW w:w="162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52" w:hRule="atLeast"/>
        </w:trPr>
        <w:tc>
          <w:tcPr>
            <w:tcW w:w="68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74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交通锥</w:t>
            </w:r>
          </w:p>
        </w:tc>
        <w:tc>
          <w:tcPr>
            <w:tcW w:w="638"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个</w:t>
            </w:r>
          </w:p>
        </w:tc>
        <w:tc>
          <w:tcPr>
            <w:tcW w:w="166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p>
        </w:tc>
        <w:tc>
          <w:tcPr>
            <w:tcW w:w="166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p>
        </w:tc>
        <w:tc>
          <w:tcPr>
            <w:tcW w:w="162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52" w:hRule="atLeast"/>
        </w:trPr>
        <w:tc>
          <w:tcPr>
            <w:tcW w:w="68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74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便携式</w:t>
            </w:r>
            <w:r>
              <w:rPr>
                <w:rFonts w:ascii="宋体" w:hAnsi="宋体" w:cs="宋体"/>
                <w:color w:val="auto"/>
                <w:szCs w:val="21"/>
                <w:highlight w:val="none"/>
              </w:rPr>
              <w:t>LED</w:t>
            </w:r>
            <w:r>
              <w:rPr>
                <w:rFonts w:hint="eastAsia" w:ascii="宋体" w:hAnsi="宋体" w:cs="宋体"/>
                <w:color w:val="auto"/>
                <w:szCs w:val="21"/>
                <w:highlight w:val="none"/>
              </w:rPr>
              <w:t>警示灯</w:t>
            </w:r>
          </w:p>
        </w:tc>
        <w:tc>
          <w:tcPr>
            <w:tcW w:w="638"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套</w:t>
            </w:r>
          </w:p>
        </w:tc>
        <w:tc>
          <w:tcPr>
            <w:tcW w:w="166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p>
        </w:tc>
        <w:tc>
          <w:tcPr>
            <w:tcW w:w="166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p>
        </w:tc>
        <w:tc>
          <w:tcPr>
            <w:tcW w:w="162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52" w:hRule="atLeast"/>
        </w:trPr>
        <w:tc>
          <w:tcPr>
            <w:tcW w:w="68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74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挂肩警示灯</w:t>
            </w:r>
          </w:p>
        </w:tc>
        <w:tc>
          <w:tcPr>
            <w:tcW w:w="638"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个</w:t>
            </w:r>
          </w:p>
        </w:tc>
        <w:tc>
          <w:tcPr>
            <w:tcW w:w="166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p>
        </w:tc>
        <w:tc>
          <w:tcPr>
            <w:tcW w:w="166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p>
        </w:tc>
        <w:tc>
          <w:tcPr>
            <w:tcW w:w="162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52" w:hRule="atLeast"/>
        </w:trPr>
        <w:tc>
          <w:tcPr>
            <w:tcW w:w="6380"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ascii="宋体" w:hAnsi="宋体" w:cs="宋体"/>
                <w:color w:val="auto"/>
                <w:szCs w:val="21"/>
                <w:highlight w:val="none"/>
              </w:rPr>
              <w:t>合计</w:t>
            </w:r>
          </w:p>
        </w:tc>
        <w:tc>
          <w:tcPr>
            <w:tcW w:w="162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p>
        </w:tc>
      </w:tr>
    </w:tbl>
    <w:p>
      <w:pPr>
        <w:widowControl/>
        <w:spacing w:line="36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注:报价应包含货物的设计打板、材料、包装、储运、装卸、质保、税费等完成本项目需计入的一切费用。</w:t>
      </w:r>
    </w:p>
    <w:p>
      <w:pPr>
        <w:spacing w:before="156" w:beforeLines="50"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三、款项结算</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1.结算单位：银行转账，由采购人负责结算。</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2.付款方式：</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签订合同后，乙方根据甲方需求一次或分批次供货,甲方根据验收情况一次或分批次支付合同款项。付款前乙方需向甲方出具符合要求的等额发票，若因乙方提供的发票不合格而导致迟延付款的，甲方不承担责任。</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结算方式：乙方应按照双方签订的合同规定交货,货物由甲方验收合格并出具政府采购项目验收单（一式陆份），乙方持成交通知书、服务合同、发票、政府采购项目验收单，最终按成交单价在合同金额内据实结算,结算额不得超出本项目采购预算620000元。</w:t>
      </w:r>
    </w:p>
    <w:p>
      <w:pPr>
        <w:spacing w:line="360" w:lineRule="auto"/>
        <w:ind w:right="-252" w:rightChars="-120" w:firstLine="422" w:firstLineChars="200"/>
        <w:rPr>
          <w:rFonts w:ascii="宋体" w:hAnsi="宋体" w:cs="宋体"/>
          <w:b/>
          <w:color w:val="auto"/>
          <w:highlight w:val="none"/>
        </w:rPr>
      </w:pPr>
      <w:r>
        <w:rPr>
          <w:rFonts w:hint="eastAsia" w:ascii="宋体" w:hAnsi="宋体" w:cs="宋体"/>
          <w:b/>
          <w:color w:val="auto"/>
          <w:highlight w:val="none"/>
        </w:rPr>
        <w:t>四、交货期、交货地点和方式</w:t>
      </w:r>
    </w:p>
    <w:p>
      <w:pPr>
        <w:spacing w:line="360" w:lineRule="auto"/>
        <w:ind w:right="-252" w:rightChars="-120" w:firstLine="420" w:firstLineChars="200"/>
        <w:rPr>
          <w:rFonts w:ascii="宋体" w:hAnsi="宋体" w:cs="宋体"/>
          <w:color w:val="auto"/>
          <w:highlight w:val="none"/>
        </w:rPr>
      </w:pPr>
      <w:r>
        <w:rPr>
          <w:rFonts w:hint="eastAsia" w:ascii="宋体" w:hAnsi="宋体" w:cs="宋体"/>
          <w:color w:val="auto"/>
          <w:highlight w:val="none"/>
        </w:rPr>
        <w:t>1.交货期：按需配送，每次接到采购人订单之日起</w:t>
      </w:r>
      <w:r>
        <w:rPr>
          <w:rFonts w:hint="eastAsia" w:ascii="宋体" w:hAnsi="宋体" w:cs="宋体"/>
          <w:color w:val="auto"/>
          <w:highlight w:val="none"/>
          <w:u w:val="single"/>
        </w:rPr>
        <w:t xml:space="preserve"> 10 </w:t>
      </w:r>
      <w:r>
        <w:rPr>
          <w:rFonts w:hint="eastAsia" w:ascii="宋体" w:hAnsi="宋体" w:cs="宋体"/>
          <w:color w:val="auto"/>
          <w:highlight w:val="none"/>
        </w:rPr>
        <w:t>个自然日内交付。</w:t>
      </w:r>
    </w:p>
    <w:p>
      <w:pPr>
        <w:spacing w:line="360" w:lineRule="auto"/>
        <w:ind w:right="-252" w:rightChars="-120" w:firstLine="420" w:firstLineChars="200"/>
        <w:rPr>
          <w:rFonts w:ascii="宋体" w:hAnsi="宋体" w:cs="宋体"/>
          <w:color w:val="auto"/>
          <w:highlight w:val="none"/>
        </w:rPr>
      </w:pPr>
      <w:r>
        <w:rPr>
          <w:rFonts w:hint="eastAsia" w:ascii="宋体" w:hAnsi="宋体" w:cs="宋体"/>
          <w:color w:val="auto"/>
          <w:highlight w:val="none"/>
        </w:rPr>
        <w:t>2.乙方自行选择适宜的运输工具及线路安排合同货物运输。货物终验收合格前的风险由乙方承担。</w:t>
      </w:r>
    </w:p>
    <w:p>
      <w:pPr>
        <w:spacing w:line="360" w:lineRule="auto"/>
        <w:ind w:right="-252" w:rightChars="-120" w:firstLine="420" w:firstLineChars="200"/>
        <w:rPr>
          <w:rFonts w:ascii="宋体" w:hAnsi="宋体" w:cs="宋体"/>
          <w:color w:val="auto"/>
          <w:highlight w:val="none"/>
        </w:rPr>
      </w:pPr>
      <w:r>
        <w:rPr>
          <w:rFonts w:hint="eastAsia" w:ascii="宋体" w:hAnsi="宋体" w:cs="宋体"/>
          <w:color w:val="auto"/>
          <w:highlight w:val="none"/>
        </w:rPr>
        <w:t>3.交货地点：甲方指定地点。</w:t>
      </w:r>
    </w:p>
    <w:p>
      <w:pPr>
        <w:spacing w:line="360" w:lineRule="auto"/>
        <w:ind w:right="-252" w:rightChars="-120" w:firstLine="422" w:firstLineChars="200"/>
        <w:rPr>
          <w:rFonts w:ascii="宋体" w:hAnsi="宋体" w:cs="宋体"/>
          <w:color w:val="auto"/>
          <w:highlight w:val="none"/>
        </w:rPr>
      </w:pPr>
      <w:r>
        <w:rPr>
          <w:rFonts w:hint="eastAsia" w:ascii="宋体" w:hAnsi="宋体" w:cs="宋体"/>
          <w:b/>
          <w:color w:val="auto"/>
          <w:highlight w:val="none"/>
        </w:rPr>
        <w:t>五、质保期：</w:t>
      </w:r>
      <w:r>
        <w:rPr>
          <w:rFonts w:hint="eastAsia" w:ascii="宋体" w:hAnsi="宋体" w:cs="宋体"/>
          <w:color w:val="auto"/>
          <w:highlight w:val="none"/>
        </w:rPr>
        <w:t xml:space="preserve">为终验合格之日起 </w:t>
      </w:r>
      <w:r>
        <w:rPr>
          <w:rFonts w:hint="eastAsia" w:ascii="宋体" w:hAnsi="宋体" w:cs="宋体"/>
          <w:color w:val="auto"/>
          <w:highlight w:val="none"/>
          <w:u w:val="single"/>
        </w:rPr>
        <w:t xml:space="preserve"> 12 </w:t>
      </w:r>
      <w:r>
        <w:rPr>
          <w:rFonts w:hint="eastAsia" w:ascii="宋体" w:hAnsi="宋体" w:cs="宋体"/>
          <w:color w:val="auto"/>
          <w:highlight w:val="none"/>
        </w:rPr>
        <w:t>个月。</w:t>
      </w:r>
    </w:p>
    <w:p>
      <w:pPr>
        <w:spacing w:line="360" w:lineRule="auto"/>
        <w:ind w:right="-252" w:rightChars="-120" w:firstLine="422" w:firstLineChars="200"/>
        <w:rPr>
          <w:rFonts w:ascii="宋体" w:hAnsi="宋体" w:cs="宋体"/>
          <w:b/>
          <w:color w:val="auto"/>
          <w:highlight w:val="none"/>
        </w:rPr>
      </w:pPr>
      <w:r>
        <w:rPr>
          <w:rFonts w:hint="eastAsia" w:ascii="宋体" w:hAnsi="宋体" w:cs="宋体"/>
          <w:b/>
          <w:color w:val="auto"/>
          <w:highlight w:val="none"/>
          <w:lang w:val="en-US" w:eastAsia="zh-CN"/>
        </w:rPr>
        <w:t>六</w:t>
      </w:r>
      <w:r>
        <w:rPr>
          <w:rFonts w:hint="eastAsia" w:ascii="宋体" w:hAnsi="宋体" w:cs="宋体"/>
          <w:b/>
          <w:color w:val="auto"/>
          <w:highlight w:val="none"/>
        </w:rPr>
        <w:t>、合同当事人(甲乙双方)的权利和义务</w:t>
      </w:r>
    </w:p>
    <w:p>
      <w:pPr>
        <w:spacing w:line="360" w:lineRule="auto"/>
        <w:ind w:right="-252" w:rightChars="-120" w:firstLine="420" w:firstLineChars="200"/>
        <w:rPr>
          <w:rFonts w:hint="eastAsia" w:ascii="宋体" w:hAnsi="宋体" w:cs="宋体"/>
          <w:color w:val="auto"/>
          <w:highlight w:val="none"/>
        </w:rPr>
      </w:pPr>
      <w:r>
        <w:rPr>
          <w:rFonts w:hint="eastAsia" w:ascii="宋体" w:hAnsi="宋体" w:cs="宋体"/>
          <w:color w:val="auto"/>
          <w:highlight w:val="none"/>
        </w:rPr>
        <w:t>1.本合同下交付的产品必须等同或优于本项目竞争性谈判文件《采购内容及技术要求》所述的标准。若乙方在其投标文件中承诺的技术标准优于本项目竞争性谈判文件《采购内容及技</w:t>
      </w:r>
    </w:p>
    <w:p>
      <w:pPr>
        <w:spacing w:line="360" w:lineRule="auto"/>
        <w:ind w:right="-252" w:rightChars="-120" w:firstLine="420" w:firstLineChars="200"/>
        <w:rPr>
          <w:rFonts w:hint="eastAsia" w:ascii="宋体" w:hAnsi="宋体" w:cs="宋体"/>
          <w:color w:val="auto"/>
          <w:highlight w:val="none"/>
        </w:rPr>
      </w:pPr>
    </w:p>
    <w:p>
      <w:pPr>
        <w:spacing w:line="360" w:lineRule="auto"/>
        <w:ind w:right="-252" w:rightChars="-120" w:firstLine="420" w:firstLineChars="200"/>
        <w:rPr>
          <w:rFonts w:hint="eastAsia" w:ascii="宋体" w:hAnsi="宋体" w:cs="宋体"/>
          <w:color w:val="auto"/>
          <w:highlight w:val="none"/>
        </w:rPr>
      </w:pPr>
    </w:p>
    <w:p>
      <w:pPr>
        <w:spacing w:line="360" w:lineRule="auto"/>
        <w:ind w:right="-252" w:rightChars="-120" w:firstLine="420" w:firstLineChars="200"/>
        <w:rPr>
          <w:rFonts w:ascii="宋体" w:hAnsi="宋体" w:cs="宋体"/>
          <w:color w:val="auto"/>
          <w:highlight w:val="none"/>
        </w:rPr>
      </w:pPr>
      <w:r>
        <w:rPr>
          <w:rFonts w:hint="eastAsia" w:ascii="宋体" w:hAnsi="宋体" w:cs="宋体"/>
          <w:color w:val="auto"/>
          <w:highlight w:val="none"/>
        </w:rPr>
        <w:t>术要求》所述标准的，按投标文件的承诺执行。</w:t>
      </w:r>
    </w:p>
    <w:p>
      <w:pPr>
        <w:spacing w:line="360" w:lineRule="auto"/>
        <w:ind w:right="-252" w:rightChars="-120" w:firstLine="420" w:firstLineChars="200"/>
        <w:rPr>
          <w:rFonts w:ascii="宋体" w:hAnsi="宋体" w:cs="宋体"/>
          <w:color w:val="auto"/>
          <w:highlight w:val="none"/>
        </w:rPr>
      </w:pPr>
      <w:r>
        <w:rPr>
          <w:rFonts w:hint="eastAsia" w:ascii="宋体" w:hAnsi="宋体" w:cs="宋体"/>
          <w:color w:val="auto"/>
          <w:highlight w:val="none"/>
        </w:rPr>
        <w:t>2.甲方有权通知乙方在其指定地点对货物进行检验、测试，以确认货物是否符合合同约定的质量标准，检验测试的相关费用由乙方承担。</w:t>
      </w:r>
    </w:p>
    <w:p>
      <w:pPr>
        <w:spacing w:line="360" w:lineRule="auto"/>
        <w:ind w:right="-252" w:rightChars="-120" w:firstLine="420" w:firstLineChars="200"/>
        <w:rPr>
          <w:rFonts w:ascii="宋体" w:hAnsi="宋体" w:cs="宋体"/>
          <w:color w:val="auto"/>
          <w:highlight w:val="none"/>
        </w:rPr>
      </w:pPr>
      <w:r>
        <w:rPr>
          <w:rFonts w:hint="eastAsia" w:ascii="宋体" w:hAnsi="宋体" w:cs="宋体"/>
          <w:color w:val="auto"/>
          <w:highlight w:val="none"/>
        </w:rPr>
        <w:t>3.检验和测试在甲方指定的交货地点进行。</w:t>
      </w:r>
    </w:p>
    <w:p>
      <w:pPr>
        <w:spacing w:line="360" w:lineRule="auto"/>
        <w:ind w:right="-252" w:rightChars="-120" w:firstLine="420" w:firstLineChars="200"/>
        <w:rPr>
          <w:rFonts w:ascii="宋体" w:hAnsi="宋体" w:cs="宋体"/>
          <w:color w:val="auto"/>
          <w:highlight w:val="none"/>
        </w:rPr>
      </w:pPr>
      <w:r>
        <w:rPr>
          <w:rFonts w:hint="eastAsia" w:ascii="宋体" w:hAnsi="宋体" w:cs="宋体"/>
          <w:color w:val="auto"/>
          <w:highlight w:val="none"/>
        </w:rPr>
        <w:t>4.如果任何被检验或测试的货物不能满足竞争性谈判文件及合同的要求，甲方可以拒绝接受该货物，乙方应更换被拒绝的货物，或者免费进行必要的修改以满足规格的要求。</w:t>
      </w:r>
    </w:p>
    <w:p>
      <w:pPr>
        <w:spacing w:line="360" w:lineRule="auto"/>
        <w:ind w:right="-252" w:rightChars="-120" w:firstLine="420" w:firstLineChars="200"/>
        <w:rPr>
          <w:rFonts w:ascii="宋体" w:hAnsi="宋体" w:cs="宋体"/>
          <w:color w:val="auto"/>
          <w:highlight w:val="none"/>
        </w:rPr>
      </w:pPr>
      <w:r>
        <w:rPr>
          <w:rFonts w:hint="eastAsia" w:ascii="宋体" w:hAnsi="宋体" w:cs="宋体"/>
          <w:color w:val="auto"/>
          <w:highlight w:val="none"/>
        </w:rPr>
        <w:t>5.在交货前，乙方应让生产商对货物的质量、规格、数量和重量等进行详细而全面的检验，并出具一份证明符合合同规定的检验证书，检验证书是验收文件的一个组成部分，但不能作为有关质量、规格、性能、数量和重量的最终检验，制造商检验的结果和细节应附在质量检验证书后面。</w:t>
      </w:r>
    </w:p>
    <w:p>
      <w:pPr>
        <w:spacing w:line="360" w:lineRule="auto"/>
        <w:ind w:right="-252" w:rightChars="-120" w:firstLine="420" w:firstLineChars="200"/>
        <w:rPr>
          <w:rFonts w:ascii="宋体" w:hAnsi="宋体" w:cs="宋体"/>
          <w:color w:val="auto"/>
          <w:highlight w:val="none"/>
        </w:rPr>
      </w:pPr>
      <w:r>
        <w:rPr>
          <w:rFonts w:hint="eastAsia" w:ascii="宋体" w:hAnsi="宋体" w:cs="宋体"/>
          <w:color w:val="auto"/>
          <w:highlight w:val="none"/>
        </w:rPr>
        <w:t>6.如果在货物使用寿命期内，根据检验结果，发现货物的质量或规格与合同要求不符，或被证实有缺陷，包含潜在的缺陷或使用不合适的材料，乙方应承担甲方由此造成的损失。</w:t>
      </w:r>
    </w:p>
    <w:p>
      <w:pPr>
        <w:spacing w:line="360" w:lineRule="auto"/>
        <w:ind w:right="-252" w:rightChars="-120" w:firstLine="420" w:firstLineChars="200"/>
        <w:rPr>
          <w:rFonts w:ascii="宋体" w:hAnsi="宋体" w:cs="宋体"/>
          <w:color w:val="auto"/>
          <w:highlight w:val="none"/>
        </w:rPr>
      </w:pPr>
      <w:r>
        <w:rPr>
          <w:rFonts w:hint="eastAsia" w:ascii="宋体" w:hAnsi="宋体" w:cs="宋体"/>
          <w:color w:val="auto"/>
          <w:highlight w:val="none"/>
        </w:rPr>
        <w:t>7.乙方负责货物到达交货地点前的所有包装、运输、装卸及保险事项，相关费用应包括在合同总价中。</w:t>
      </w:r>
    </w:p>
    <w:p>
      <w:pPr>
        <w:spacing w:line="360" w:lineRule="auto"/>
        <w:ind w:right="-252" w:rightChars="-120" w:firstLine="420" w:firstLineChars="200"/>
        <w:rPr>
          <w:rFonts w:ascii="宋体" w:hAnsi="宋体" w:cs="宋体"/>
          <w:color w:val="auto"/>
          <w:highlight w:val="none"/>
        </w:rPr>
      </w:pPr>
      <w:r>
        <w:rPr>
          <w:rFonts w:hint="eastAsia" w:ascii="宋体" w:hAnsi="宋体" w:cs="宋体"/>
          <w:color w:val="auto"/>
          <w:highlight w:val="none"/>
        </w:rPr>
        <w:t>8.乙方应提供货物运至合同规定的最终目的地所需要的包装，以防止货物在运转中损坏。这类包装应采取防漏、防晒、防震动及防止其它损坏的必要保护措施。乙方应承担由于其包装或其防护措施不妥而引起货物损坏和丢失的任何损失责任和费用。</w:t>
      </w:r>
    </w:p>
    <w:p>
      <w:pPr>
        <w:spacing w:line="360" w:lineRule="auto"/>
        <w:ind w:right="-252" w:rightChars="-120" w:firstLine="420" w:firstLineChars="200"/>
        <w:rPr>
          <w:rFonts w:ascii="宋体" w:hAnsi="宋体" w:cs="宋体"/>
          <w:color w:val="auto"/>
          <w:highlight w:val="none"/>
        </w:rPr>
      </w:pPr>
      <w:r>
        <w:rPr>
          <w:rFonts w:hint="eastAsia" w:ascii="宋体" w:hAnsi="宋体" w:cs="宋体"/>
          <w:color w:val="auto"/>
          <w:highlight w:val="none"/>
        </w:rPr>
        <w:t>9.货物的运输方式由乙方自行选择，但包装必须满足货物运输和装卸的要求，保证甲方收到的是无任何损伤的货物。否则，因此造成的损失由乙方自行承担。</w:t>
      </w:r>
    </w:p>
    <w:p>
      <w:pPr>
        <w:spacing w:line="360" w:lineRule="auto"/>
        <w:ind w:right="-252" w:rightChars="-120" w:firstLine="420" w:firstLineChars="200"/>
        <w:rPr>
          <w:rFonts w:ascii="宋体" w:hAnsi="宋体" w:cs="宋体"/>
          <w:color w:val="auto"/>
          <w:highlight w:val="none"/>
        </w:rPr>
      </w:pPr>
      <w:r>
        <w:rPr>
          <w:rFonts w:hint="eastAsia" w:ascii="宋体" w:hAnsi="宋体" w:cs="宋体"/>
          <w:color w:val="auto"/>
          <w:highlight w:val="none"/>
        </w:rPr>
        <w:t>10.乙方应提供本项目竞争性谈判文件“商务条款”和“技术规格与要求”中规定的所有服务。为履行要求的伴随服务的报价或双方商定的费用应包括在合同价中。</w:t>
      </w:r>
    </w:p>
    <w:p>
      <w:pPr>
        <w:spacing w:line="360" w:lineRule="auto"/>
        <w:ind w:right="-252" w:rightChars="-120" w:firstLine="420" w:firstLineChars="200"/>
        <w:rPr>
          <w:rFonts w:ascii="宋体" w:hAnsi="宋体" w:cs="宋体"/>
          <w:color w:val="auto"/>
          <w:highlight w:val="none"/>
        </w:rPr>
      </w:pPr>
      <w:r>
        <w:rPr>
          <w:rFonts w:hint="eastAsia" w:ascii="宋体" w:hAnsi="宋体" w:cs="宋体"/>
          <w:color w:val="auto"/>
          <w:highlight w:val="none"/>
        </w:rPr>
        <w:t>11.如果乙方或生产厂提供的伴随服务的费用未含在货物的合同价中，双方应事先就其达成协议，但其费用单价不应超过乙方向其他人提供类似服务所收取的现行单价。</w:t>
      </w:r>
    </w:p>
    <w:p>
      <w:pPr>
        <w:spacing w:line="360" w:lineRule="auto"/>
        <w:ind w:right="-252" w:rightChars="-120" w:firstLine="420" w:firstLineChars="200"/>
        <w:rPr>
          <w:rFonts w:ascii="宋体" w:hAnsi="宋体" w:cs="宋体"/>
          <w:color w:val="auto"/>
          <w:highlight w:val="none"/>
        </w:rPr>
      </w:pPr>
      <w:r>
        <w:rPr>
          <w:rFonts w:hint="eastAsia" w:ascii="宋体" w:hAnsi="宋体" w:cs="宋体"/>
          <w:color w:val="auto"/>
          <w:highlight w:val="none"/>
        </w:rPr>
        <w:t>12.乙方应保证合同项下所供货物是合同规定厂家制造的、全新的、未使用过的，并完全符合合同规定的质量、规格和性能要求的合格货物。在货物的质量保证期内，乙方对由于设计、工艺或材料的缺陷而产生的质量问题负责。</w:t>
      </w:r>
    </w:p>
    <w:p>
      <w:pPr>
        <w:spacing w:line="360" w:lineRule="auto"/>
        <w:ind w:right="-252" w:rightChars="-120" w:firstLine="420" w:firstLineChars="200"/>
        <w:rPr>
          <w:rFonts w:ascii="宋体" w:hAnsi="宋体" w:cs="宋体"/>
          <w:color w:val="auto"/>
          <w:highlight w:val="none"/>
        </w:rPr>
      </w:pPr>
      <w:r>
        <w:rPr>
          <w:rFonts w:hint="eastAsia" w:ascii="宋体" w:hAnsi="宋体" w:cs="宋体"/>
          <w:color w:val="auto"/>
          <w:highlight w:val="none"/>
        </w:rPr>
        <w:t>13.根据检验结果或者在质量保证期内，如果货物的数量、质量或规格与合同不符，或证实货物是有缺陷的，包括潜在的缺陷，甲方应尽快以书面形式向乙方提出所发现的缺陷。</w:t>
      </w:r>
    </w:p>
    <w:p>
      <w:pPr>
        <w:spacing w:line="360" w:lineRule="auto"/>
        <w:ind w:right="-252" w:rightChars="-120" w:firstLine="420" w:firstLineChars="200"/>
        <w:rPr>
          <w:rFonts w:ascii="宋体" w:hAnsi="宋体" w:cs="宋体"/>
          <w:color w:val="auto"/>
          <w:highlight w:val="none"/>
        </w:rPr>
      </w:pPr>
      <w:r>
        <w:rPr>
          <w:rFonts w:hint="eastAsia" w:ascii="宋体" w:hAnsi="宋体" w:cs="宋体"/>
          <w:color w:val="auto"/>
          <w:highlight w:val="none"/>
        </w:rPr>
        <w:t>14.乙方收到通知后应在竞争性谈判文件规定的时间内以合理的速度免费维修或更换有缺陷的货物。</w:t>
      </w:r>
    </w:p>
    <w:p>
      <w:pPr>
        <w:spacing w:line="360" w:lineRule="auto"/>
        <w:ind w:right="-252" w:rightChars="-120" w:firstLine="420" w:firstLineChars="200"/>
        <w:rPr>
          <w:rFonts w:ascii="宋体" w:hAnsi="宋体" w:cs="宋体"/>
          <w:color w:val="auto"/>
          <w:highlight w:val="none"/>
        </w:rPr>
      </w:pPr>
      <w:r>
        <w:rPr>
          <w:rFonts w:hint="eastAsia" w:ascii="宋体" w:hAnsi="宋体" w:cs="宋体"/>
          <w:color w:val="auto"/>
          <w:highlight w:val="none"/>
        </w:rPr>
        <w:t>15.如果乙方收到通知后在竞争性谈判文件规定的时间内没有及时修补缺陷，甲方可提出索赔，并可采取必要的补救措施，但其风险和费用将由乙方承担，甲方根据合同规定对乙方行的其他权力不受影响。</w:t>
      </w:r>
    </w:p>
    <w:p>
      <w:pPr>
        <w:spacing w:line="360" w:lineRule="auto"/>
        <w:ind w:right="-252" w:rightChars="-120" w:firstLine="420" w:firstLineChars="200"/>
        <w:rPr>
          <w:rFonts w:ascii="宋体" w:hAnsi="宋体" w:cs="宋体"/>
          <w:color w:val="auto"/>
          <w:highlight w:val="none"/>
        </w:rPr>
      </w:pPr>
      <w:r>
        <w:rPr>
          <w:rFonts w:hint="eastAsia" w:ascii="宋体" w:hAnsi="宋体" w:cs="宋体"/>
          <w:color w:val="auto"/>
          <w:highlight w:val="none"/>
        </w:rPr>
        <w:t>16.如果乙方对偏差负有责任，而甲方在验收和质量保证期内提出了索赔，乙方应按照甲方同意的下列一种或几种方式结合起来解决索赔事宜：</w:t>
      </w:r>
    </w:p>
    <w:p>
      <w:pPr>
        <w:spacing w:line="360" w:lineRule="auto"/>
        <w:ind w:right="-252" w:rightChars="-120" w:firstLine="420" w:firstLineChars="200"/>
        <w:rPr>
          <w:rFonts w:ascii="宋体" w:hAnsi="宋体" w:cs="宋体"/>
          <w:color w:val="auto"/>
          <w:highlight w:val="none"/>
        </w:rPr>
      </w:pPr>
      <w:r>
        <w:rPr>
          <w:rFonts w:hint="eastAsia" w:ascii="宋体" w:hAnsi="宋体" w:cs="宋体"/>
          <w:color w:val="auto"/>
          <w:highlight w:val="none"/>
        </w:rPr>
        <w:t>（1）乙方同意退货并用合同规定的货币将货款退还给甲方，并承担由此发生的一切损失和费用，包括利息、银行手续费、运费、保险费、检验费、仓储费、装卸费以及为看管和保护退回货物所需的其它必要费用。</w:t>
      </w:r>
    </w:p>
    <w:p>
      <w:pPr>
        <w:spacing w:line="360" w:lineRule="auto"/>
        <w:ind w:right="-252" w:rightChars="-120" w:firstLine="420" w:firstLineChars="200"/>
        <w:rPr>
          <w:rFonts w:ascii="宋体" w:hAnsi="宋体" w:cs="宋体"/>
          <w:color w:val="auto"/>
          <w:highlight w:val="none"/>
        </w:rPr>
      </w:pPr>
      <w:r>
        <w:rPr>
          <w:rFonts w:hint="eastAsia" w:ascii="宋体" w:hAnsi="宋体" w:cs="宋体"/>
          <w:color w:val="auto"/>
          <w:highlight w:val="none"/>
        </w:rPr>
        <w:t>（2）根据货物的偏差情况、损坏程度、以及甲方所遭受损失的金额，经甲乙双方商定降低货物的价格。</w:t>
      </w:r>
    </w:p>
    <w:p>
      <w:pPr>
        <w:spacing w:line="360" w:lineRule="auto"/>
        <w:ind w:right="-252" w:rightChars="-120" w:firstLine="420" w:firstLineChars="200"/>
        <w:rPr>
          <w:rFonts w:ascii="宋体" w:hAnsi="宋体" w:cs="宋体"/>
          <w:color w:val="auto"/>
          <w:highlight w:val="none"/>
        </w:rPr>
      </w:pPr>
      <w:r>
        <w:rPr>
          <w:rFonts w:hint="eastAsia" w:ascii="宋体" w:hAnsi="宋体" w:cs="宋体"/>
          <w:color w:val="auto"/>
          <w:highlight w:val="none"/>
        </w:rPr>
        <w:t>（3）用符合合同规定的规格、质量和性能要求的货物来更换有缺陷的部分和/或修补缺陷部分，乙方应承担一切费用和风险并负担甲方蒙受的全部直接损失费用。</w:t>
      </w:r>
    </w:p>
    <w:p>
      <w:pPr>
        <w:spacing w:line="360" w:lineRule="auto"/>
        <w:ind w:right="-252" w:rightChars="-120" w:firstLine="420" w:firstLineChars="200"/>
        <w:rPr>
          <w:rFonts w:ascii="宋体" w:hAnsi="宋体" w:cs="宋体"/>
          <w:color w:val="auto"/>
          <w:highlight w:val="none"/>
        </w:rPr>
      </w:pPr>
      <w:r>
        <w:rPr>
          <w:rFonts w:hint="eastAsia" w:ascii="宋体" w:hAnsi="宋体" w:cs="宋体"/>
          <w:color w:val="auto"/>
          <w:highlight w:val="none"/>
        </w:rPr>
        <w:t>17.如果在甲方发出索赔通知后三十（30）天内，乙方未作答复，上述索赔应视为已被乙方接受。如乙方未能在甲方发出索赔通知后三十（30）天内或甲方同意的延长期限内，按照甲方同意的上述规定的任何一种方法解决索赔事宜，甲方将从未付货款中扣回索赔金额。若索赔金额超过未付货款的，乙方必须用已收货款进行弥补。</w:t>
      </w:r>
    </w:p>
    <w:p>
      <w:pPr>
        <w:spacing w:line="360" w:lineRule="auto"/>
        <w:ind w:right="-252" w:rightChars="-120" w:firstLine="420" w:firstLineChars="200"/>
        <w:rPr>
          <w:rFonts w:ascii="宋体" w:hAnsi="宋体" w:cs="宋体"/>
          <w:color w:val="auto"/>
          <w:highlight w:val="none"/>
        </w:rPr>
      </w:pPr>
      <w:r>
        <w:rPr>
          <w:rFonts w:hint="eastAsia" w:ascii="宋体" w:hAnsi="宋体" w:cs="宋体"/>
          <w:color w:val="auto"/>
          <w:highlight w:val="none"/>
        </w:rPr>
        <w:t>18.在履行合同过程中，如果乙方遇到妨碍按时提供服务的情况时，应及时以书面形式将拖延的事实、可能拖延的时间和原因通知甲方。甲方在收到乙方通知后，应尽快对情况进行评价，并确定是否同意延长交货时间以及是否收取误期赔偿费。延期应通过修改合同的方式由双方认可。</w:t>
      </w:r>
    </w:p>
    <w:p>
      <w:pPr>
        <w:spacing w:line="360" w:lineRule="auto"/>
        <w:ind w:right="-252" w:rightChars="-120" w:firstLine="422" w:firstLineChars="200"/>
        <w:rPr>
          <w:rFonts w:ascii="宋体" w:hAnsi="宋体" w:cs="宋体"/>
          <w:b/>
          <w:color w:val="auto"/>
          <w:highlight w:val="none"/>
        </w:rPr>
      </w:pPr>
      <w:r>
        <w:rPr>
          <w:rFonts w:hint="eastAsia" w:ascii="宋体" w:hAnsi="宋体" w:cs="宋体"/>
          <w:b/>
          <w:color w:val="auto"/>
          <w:highlight w:val="none"/>
          <w:lang w:val="en-US" w:eastAsia="zh-CN"/>
        </w:rPr>
        <w:t>七</w:t>
      </w:r>
      <w:r>
        <w:rPr>
          <w:rFonts w:hint="eastAsia" w:ascii="宋体" w:hAnsi="宋体" w:cs="宋体"/>
          <w:b/>
          <w:color w:val="auto"/>
          <w:highlight w:val="none"/>
        </w:rPr>
        <w:t>、售后服务</w:t>
      </w:r>
    </w:p>
    <w:p>
      <w:pPr>
        <w:spacing w:line="360" w:lineRule="auto"/>
        <w:ind w:right="-252" w:rightChars="-120" w:firstLine="420" w:firstLineChars="200"/>
        <w:rPr>
          <w:rFonts w:ascii="宋体" w:hAnsi="宋体" w:cs="宋体"/>
          <w:color w:val="auto"/>
          <w:highlight w:val="none"/>
        </w:rPr>
      </w:pPr>
      <w:r>
        <w:rPr>
          <w:rFonts w:hint="eastAsia" w:ascii="宋体" w:hAnsi="宋体" w:cs="宋体"/>
          <w:color w:val="auto"/>
          <w:highlight w:val="none"/>
        </w:rPr>
        <w:t>1.合同后附成交人售后服务承诺。</w:t>
      </w:r>
    </w:p>
    <w:p>
      <w:pPr>
        <w:spacing w:line="360" w:lineRule="auto"/>
        <w:ind w:right="-252" w:rightChars="-120" w:firstLine="420" w:firstLineChars="200"/>
        <w:rPr>
          <w:rFonts w:ascii="宋体" w:hAnsi="宋体" w:cs="宋体"/>
          <w:color w:val="auto"/>
          <w:highlight w:val="none"/>
        </w:rPr>
      </w:pPr>
      <w:r>
        <w:rPr>
          <w:rFonts w:hint="eastAsia" w:ascii="宋体" w:hAnsi="宋体" w:cs="宋体"/>
          <w:color w:val="auto"/>
          <w:highlight w:val="none"/>
        </w:rPr>
        <w:t>2.同一主要部件出现质量问题经过两次维修后仍无法正常使用，可以更换同型号、同规格的产品；</w:t>
      </w:r>
    </w:p>
    <w:p>
      <w:pPr>
        <w:spacing w:line="360" w:lineRule="auto"/>
        <w:ind w:right="-252" w:rightChars="-120" w:firstLine="420" w:firstLineChars="200"/>
        <w:rPr>
          <w:rFonts w:ascii="宋体" w:hAnsi="宋体" w:cs="宋体"/>
          <w:color w:val="auto"/>
          <w:highlight w:val="none"/>
        </w:rPr>
      </w:pPr>
      <w:r>
        <w:rPr>
          <w:rFonts w:hint="eastAsia" w:ascii="宋体" w:hAnsi="宋体" w:cs="宋体"/>
          <w:color w:val="auto"/>
          <w:highlight w:val="none"/>
        </w:rPr>
        <w:t>3.30天内，如出现质量问题，可以选择换货或退货；</w:t>
      </w:r>
    </w:p>
    <w:p>
      <w:pPr>
        <w:spacing w:line="360" w:lineRule="auto"/>
        <w:ind w:right="-252" w:rightChars="-120" w:firstLine="420" w:firstLineChars="200"/>
        <w:rPr>
          <w:rFonts w:ascii="宋体" w:hAnsi="宋体" w:cs="宋体"/>
          <w:color w:val="auto"/>
          <w:highlight w:val="none"/>
        </w:rPr>
      </w:pPr>
      <w:r>
        <w:rPr>
          <w:rFonts w:hint="eastAsia" w:ascii="宋体" w:hAnsi="宋体" w:cs="宋体"/>
          <w:color w:val="auto"/>
          <w:highlight w:val="none"/>
        </w:rPr>
        <w:t>4.30天至60天内，如出现质量问题，可选择换货。</w:t>
      </w:r>
    </w:p>
    <w:p>
      <w:pPr>
        <w:spacing w:line="360" w:lineRule="auto"/>
        <w:ind w:right="-252" w:rightChars="-120" w:firstLine="420" w:firstLineChars="200"/>
        <w:rPr>
          <w:rFonts w:ascii="宋体" w:hAnsi="宋体" w:cs="宋体"/>
          <w:color w:val="auto"/>
          <w:highlight w:val="none"/>
        </w:rPr>
      </w:pPr>
      <w:r>
        <w:rPr>
          <w:rFonts w:hint="eastAsia" w:ascii="宋体" w:hAnsi="宋体" w:cs="宋体"/>
          <w:color w:val="auto"/>
          <w:highlight w:val="none"/>
        </w:rPr>
        <w:t>5.发生质量问题，接到甲方通知后：</w:t>
      </w:r>
    </w:p>
    <w:p>
      <w:pPr>
        <w:spacing w:line="360" w:lineRule="auto"/>
        <w:ind w:right="-252" w:rightChars="-120" w:firstLine="420" w:firstLineChars="200"/>
        <w:rPr>
          <w:rFonts w:ascii="宋体" w:hAnsi="宋体" w:cs="宋体"/>
          <w:color w:val="auto"/>
          <w:highlight w:val="none"/>
        </w:rPr>
      </w:pPr>
      <w:r>
        <w:rPr>
          <w:rFonts w:hint="eastAsia" w:ascii="宋体" w:hAnsi="宋体" w:cs="宋体"/>
          <w:color w:val="auto"/>
          <w:highlight w:val="none"/>
        </w:rPr>
        <w:t>（1）服务响应时间不超过2小时，明确解决问题方案不超过2小时；</w:t>
      </w:r>
    </w:p>
    <w:p>
      <w:pPr>
        <w:spacing w:line="360" w:lineRule="auto"/>
        <w:ind w:right="-252" w:rightChars="-120" w:firstLine="420" w:firstLineChars="200"/>
        <w:rPr>
          <w:rFonts w:ascii="宋体" w:hAnsi="宋体" w:cs="宋体"/>
          <w:color w:val="auto"/>
          <w:highlight w:val="none"/>
        </w:rPr>
      </w:pPr>
      <w:r>
        <w:rPr>
          <w:rFonts w:hint="eastAsia" w:ascii="宋体" w:hAnsi="宋体" w:cs="宋体"/>
          <w:color w:val="auto"/>
          <w:highlight w:val="none"/>
        </w:rPr>
        <w:t>（2）应于当日2小时内派出专业的维修人员到现场进行检测维修，发生的全部费用由成交供应商承担，若需送回生产厂家，成交供应商承担往返费用；</w:t>
      </w:r>
    </w:p>
    <w:p>
      <w:pPr>
        <w:spacing w:line="360" w:lineRule="auto"/>
        <w:ind w:right="-252" w:rightChars="-120" w:firstLine="420" w:firstLineChars="200"/>
        <w:rPr>
          <w:rFonts w:ascii="宋体" w:hAnsi="宋体" w:cs="宋体"/>
          <w:color w:val="auto"/>
          <w:highlight w:val="none"/>
        </w:rPr>
      </w:pPr>
      <w:r>
        <w:rPr>
          <w:rFonts w:hint="eastAsia" w:ascii="宋体" w:hAnsi="宋体" w:cs="宋体"/>
          <w:color w:val="auto"/>
          <w:highlight w:val="none"/>
        </w:rPr>
        <w:t>（3）排除故障的期限不得超过2个工作日，否则采购人有权指定第三方维修，维修费用由成交供应商承担。</w:t>
      </w:r>
    </w:p>
    <w:p>
      <w:pPr>
        <w:spacing w:line="360" w:lineRule="auto"/>
        <w:ind w:right="-252" w:rightChars="-120" w:firstLine="422" w:firstLineChars="200"/>
        <w:rPr>
          <w:rFonts w:ascii="宋体" w:hAnsi="宋体" w:cs="宋体"/>
          <w:b/>
          <w:color w:val="auto"/>
          <w:highlight w:val="none"/>
        </w:rPr>
      </w:pPr>
      <w:r>
        <w:rPr>
          <w:rFonts w:hint="eastAsia" w:ascii="宋体" w:hAnsi="宋体" w:cs="宋体"/>
          <w:b/>
          <w:color w:val="auto"/>
          <w:highlight w:val="none"/>
          <w:lang w:val="en-US" w:eastAsia="zh-CN"/>
        </w:rPr>
        <w:t>八</w:t>
      </w:r>
      <w:r>
        <w:rPr>
          <w:rFonts w:hint="eastAsia" w:ascii="宋体" w:hAnsi="宋体" w:cs="宋体"/>
          <w:b/>
          <w:color w:val="auto"/>
          <w:highlight w:val="none"/>
        </w:rPr>
        <w:t>、验收</w:t>
      </w:r>
    </w:p>
    <w:p>
      <w:pPr>
        <w:pStyle w:val="31"/>
        <w:numPr>
          <w:ilvl w:val="0"/>
          <w:numId w:val="3"/>
        </w:numPr>
        <w:spacing w:line="360" w:lineRule="auto"/>
        <w:ind w:left="0" w:right="-252" w:rightChars="-120" w:firstLine="567" w:firstLineChars="0"/>
        <w:rPr>
          <w:rFonts w:ascii="宋体" w:hAnsi="宋体" w:cs="宋体"/>
          <w:color w:val="auto"/>
          <w:highlight w:val="none"/>
        </w:rPr>
      </w:pPr>
      <w:r>
        <w:rPr>
          <w:rFonts w:hint="eastAsia" w:ascii="宋体" w:hAnsi="宋体" w:cs="宋体"/>
          <w:color w:val="auto"/>
          <w:highlight w:val="none"/>
        </w:rPr>
        <w:t>乙方按甲方要求将货物送至指定地点，在交货前，甲乙双方应对货物的质量、规格、数量等进行详细而全面的检验。</w:t>
      </w:r>
    </w:p>
    <w:p>
      <w:pPr>
        <w:spacing w:line="360" w:lineRule="auto"/>
        <w:ind w:right="-252" w:rightChars="-120" w:firstLine="420" w:firstLineChars="200"/>
        <w:rPr>
          <w:rFonts w:ascii="宋体" w:hAnsi="宋体" w:cs="宋体"/>
          <w:color w:val="auto"/>
          <w:highlight w:val="none"/>
        </w:rPr>
      </w:pPr>
      <w:r>
        <w:rPr>
          <w:rFonts w:hint="eastAsia" w:ascii="宋体" w:hAnsi="宋体" w:cs="宋体"/>
          <w:color w:val="auto"/>
          <w:highlight w:val="none"/>
        </w:rPr>
        <w:t>2.经采购人确认后，组织成交供应商进行验收（必要时采购人可委托具有相关资质的第三方检测机构/技术专家对产品进行验收，需要国家法定检验部门进行检验或验收的由成交供应商负责联系）。验收合格后，填写政府采购项目验收单作为对产品的最终认可。</w:t>
      </w:r>
    </w:p>
    <w:p>
      <w:pPr>
        <w:spacing w:line="360" w:lineRule="auto"/>
        <w:ind w:right="-252" w:rightChars="-120" w:firstLine="420" w:firstLineChars="200"/>
        <w:rPr>
          <w:rFonts w:ascii="宋体" w:hAnsi="宋体" w:cs="宋体"/>
          <w:color w:val="auto"/>
          <w:highlight w:val="none"/>
        </w:rPr>
      </w:pPr>
      <w:r>
        <w:rPr>
          <w:rFonts w:hint="eastAsia" w:ascii="宋体" w:hAnsi="宋体" w:cs="宋体"/>
          <w:color w:val="auto"/>
          <w:highlight w:val="none"/>
        </w:rPr>
        <w:t>3.验收依据</w:t>
      </w:r>
    </w:p>
    <w:p>
      <w:pPr>
        <w:spacing w:line="360" w:lineRule="auto"/>
        <w:ind w:right="-252" w:rightChars="-120" w:firstLine="420" w:firstLineChars="200"/>
        <w:rPr>
          <w:rFonts w:ascii="宋体" w:hAnsi="宋体" w:cs="宋体"/>
          <w:color w:val="auto"/>
          <w:highlight w:val="none"/>
        </w:rPr>
      </w:pPr>
      <w:r>
        <w:rPr>
          <w:rFonts w:hint="eastAsia" w:ascii="宋体" w:hAnsi="宋体" w:cs="宋体"/>
          <w:color w:val="auto"/>
          <w:highlight w:val="none"/>
        </w:rPr>
        <w:t>（1）竞争性谈判文件、响应文件、相关检验证书等；</w:t>
      </w:r>
    </w:p>
    <w:p>
      <w:pPr>
        <w:spacing w:line="360" w:lineRule="auto"/>
        <w:ind w:right="-252" w:rightChars="-120" w:firstLine="420" w:firstLineChars="200"/>
        <w:rPr>
          <w:rFonts w:ascii="宋体" w:hAnsi="宋体" w:cs="宋体"/>
          <w:color w:val="auto"/>
          <w:highlight w:val="none"/>
        </w:rPr>
      </w:pPr>
      <w:r>
        <w:rPr>
          <w:rFonts w:hint="eastAsia" w:ascii="宋体" w:hAnsi="宋体" w:cs="宋体"/>
          <w:color w:val="auto"/>
          <w:highlight w:val="none"/>
        </w:rPr>
        <w:t>（2）本合同及附件文本；</w:t>
      </w:r>
    </w:p>
    <w:p>
      <w:pPr>
        <w:spacing w:line="360" w:lineRule="auto"/>
        <w:ind w:right="-252" w:rightChars="-120" w:firstLine="420" w:firstLineChars="200"/>
        <w:rPr>
          <w:rFonts w:ascii="宋体" w:hAnsi="宋体" w:cs="宋体"/>
          <w:color w:val="auto"/>
          <w:highlight w:val="none"/>
        </w:rPr>
      </w:pPr>
      <w:r>
        <w:rPr>
          <w:rFonts w:hint="eastAsia" w:ascii="宋体" w:hAnsi="宋体" w:cs="宋体"/>
          <w:color w:val="auto"/>
          <w:highlight w:val="none"/>
        </w:rPr>
        <w:t>（3）合同签订时国家及行业现行的标准和技术规范。</w:t>
      </w:r>
    </w:p>
    <w:p>
      <w:pPr>
        <w:spacing w:line="360" w:lineRule="auto"/>
        <w:ind w:right="-252" w:rightChars="-120" w:firstLine="420" w:firstLineChars="200"/>
        <w:rPr>
          <w:rFonts w:ascii="宋体" w:hAnsi="宋体" w:cs="宋体"/>
          <w:color w:val="auto"/>
          <w:highlight w:val="none"/>
        </w:rPr>
      </w:pPr>
      <w:r>
        <w:rPr>
          <w:rFonts w:hint="eastAsia" w:ascii="宋体" w:hAnsi="宋体" w:cs="宋体"/>
          <w:color w:val="auto"/>
          <w:highlight w:val="none"/>
        </w:rPr>
        <w:t>3.成交供应商应向采购人提交项目实施过程中的所有资料，以便采购人日后管理和维护。</w:t>
      </w:r>
    </w:p>
    <w:p>
      <w:pPr>
        <w:spacing w:line="360" w:lineRule="auto"/>
        <w:ind w:right="-252" w:rightChars="-120" w:firstLine="420" w:firstLineChars="200"/>
        <w:rPr>
          <w:rFonts w:ascii="宋体" w:hAnsi="宋体" w:cs="宋体"/>
          <w:color w:val="auto"/>
          <w:highlight w:val="none"/>
        </w:rPr>
      </w:pPr>
      <w:r>
        <w:rPr>
          <w:rFonts w:hint="eastAsia" w:ascii="宋体" w:hAnsi="宋体" w:cs="宋体"/>
          <w:color w:val="auto"/>
          <w:highlight w:val="none"/>
        </w:rPr>
        <w:t>4.鉴定和验收费用，由乙方承担。</w:t>
      </w:r>
    </w:p>
    <w:p>
      <w:pPr>
        <w:spacing w:line="360" w:lineRule="auto"/>
        <w:ind w:right="-252" w:rightChars="-120" w:firstLine="422" w:firstLineChars="200"/>
        <w:rPr>
          <w:rFonts w:ascii="宋体" w:hAnsi="宋体" w:cs="宋体"/>
          <w:b/>
          <w:color w:val="auto"/>
          <w:highlight w:val="none"/>
        </w:rPr>
      </w:pPr>
      <w:r>
        <w:rPr>
          <w:rFonts w:hint="eastAsia" w:ascii="宋体" w:hAnsi="宋体" w:cs="宋体"/>
          <w:b/>
          <w:color w:val="auto"/>
          <w:highlight w:val="none"/>
          <w:lang w:val="en-US" w:eastAsia="zh-CN"/>
        </w:rPr>
        <w:t>九</w:t>
      </w:r>
      <w:r>
        <w:rPr>
          <w:rFonts w:hint="eastAsia" w:ascii="宋体" w:hAnsi="宋体" w:cs="宋体"/>
          <w:b/>
          <w:color w:val="auto"/>
          <w:highlight w:val="none"/>
        </w:rPr>
        <w:t>、保密</w:t>
      </w:r>
    </w:p>
    <w:p>
      <w:pPr>
        <w:spacing w:line="360" w:lineRule="auto"/>
        <w:ind w:right="-252" w:rightChars="-120" w:firstLine="420" w:firstLineChars="200"/>
        <w:rPr>
          <w:rFonts w:ascii="宋体" w:hAnsi="宋体" w:cs="宋体"/>
          <w:color w:val="auto"/>
          <w:highlight w:val="none"/>
        </w:rPr>
      </w:pPr>
      <w:r>
        <w:rPr>
          <w:rFonts w:ascii="宋体" w:hAnsi="宋体" w:cs="宋体"/>
          <w:color w:val="auto"/>
          <w:highlight w:val="none"/>
        </w:rPr>
        <w:t>1</w:t>
      </w:r>
      <w:r>
        <w:rPr>
          <w:rFonts w:hint="eastAsia" w:ascii="宋体" w:hAnsi="宋体" w:cs="宋体"/>
          <w:color w:val="auto"/>
          <w:highlight w:val="none"/>
        </w:rPr>
        <w:t>、没有甲方事先书面同意，乙方不得将甲方或代表甲方提供的有关合同或任何合同条文、规格、计划、资料提供给与履行本合同无关的任何其他人，即使向与履行本合同有关的人员提供，也应注意保密并限于履行合同必须的范围。</w:t>
      </w:r>
    </w:p>
    <w:p>
      <w:pPr>
        <w:spacing w:line="360" w:lineRule="auto"/>
        <w:ind w:right="-252" w:rightChars="-120" w:firstLine="420" w:firstLineChars="200"/>
        <w:rPr>
          <w:rFonts w:ascii="宋体" w:hAnsi="宋体" w:cs="宋体"/>
          <w:color w:val="auto"/>
          <w:highlight w:val="none"/>
        </w:rPr>
      </w:pPr>
      <w:r>
        <w:rPr>
          <w:rFonts w:ascii="宋体" w:hAnsi="宋体" w:cs="宋体"/>
          <w:color w:val="auto"/>
          <w:highlight w:val="none"/>
        </w:rPr>
        <w:t>2</w:t>
      </w:r>
      <w:r>
        <w:rPr>
          <w:rFonts w:hint="eastAsia" w:ascii="宋体" w:hAnsi="宋体" w:cs="宋体"/>
          <w:color w:val="auto"/>
          <w:highlight w:val="none"/>
        </w:rPr>
        <w:t>、没有甲方事先书面同意，除了履行本合同之外，乙方不应使用合同条款所列举的任何文件和资料。</w:t>
      </w:r>
    </w:p>
    <w:p>
      <w:pPr>
        <w:spacing w:line="360" w:lineRule="auto"/>
        <w:ind w:right="-252" w:rightChars="-120" w:firstLine="420" w:firstLineChars="200"/>
        <w:rPr>
          <w:rFonts w:ascii="宋体" w:hAnsi="宋体" w:cs="宋体"/>
          <w:color w:val="auto"/>
          <w:highlight w:val="none"/>
        </w:rPr>
      </w:pPr>
      <w:r>
        <w:rPr>
          <w:rFonts w:ascii="宋体" w:hAnsi="宋体" w:cs="宋体"/>
          <w:color w:val="auto"/>
          <w:highlight w:val="none"/>
        </w:rPr>
        <w:t>3</w:t>
      </w:r>
      <w:r>
        <w:rPr>
          <w:rFonts w:hint="eastAsia" w:ascii="宋体" w:hAnsi="宋体" w:cs="宋体"/>
          <w:color w:val="auto"/>
          <w:highlight w:val="none"/>
        </w:rPr>
        <w:t>、除了合同本身以外，合同条款所列举的任何文件是甲方的财产。如果甲方有要求，乙方在完成合同后应将这些文件及全部复制件还给甲方。</w:t>
      </w:r>
    </w:p>
    <w:p>
      <w:pPr>
        <w:spacing w:line="360" w:lineRule="auto"/>
        <w:ind w:right="-252" w:rightChars="-120" w:firstLine="420" w:firstLineChars="200"/>
        <w:rPr>
          <w:rFonts w:ascii="宋体" w:hAnsi="宋体" w:cs="宋体"/>
          <w:color w:val="auto"/>
          <w:highlight w:val="none"/>
        </w:rPr>
      </w:pPr>
      <w:r>
        <w:rPr>
          <w:rFonts w:hint="eastAsia" w:ascii="宋体" w:hAnsi="宋体" w:cs="宋体"/>
          <w:color w:val="auto"/>
          <w:highlight w:val="none"/>
        </w:rPr>
        <w:t>4、履行前述保密义务，不受本合同期满、解除、中止或终止等任何情形的影响而被限制或取消，直至相关保密信息通过合法途径为公众所知，或对方书面同意解除此项义务时止</w:t>
      </w:r>
    </w:p>
    <w:p>
      <w:pPr>
        <w:spacing w:line="360" w:lineRule="auto"/>
        <w:ind w:right="-252" w:rightChars="-120" w:firstLine="422" w:firstLineChars="200"/>
        <w:rPr>
          <w:rFonts w:ascii="宋体" w:hAnsi="宋体" w:cs="宋体"/>
          <w:b/>
          <w:color w:val="auto"/>
          <w:highlight w:val="none"/>
        </w:rPr>
      </w:pPr>
      <w:r>
        <w:rPr>
          <w:rFonts w:hint="eastAsia" w:ascii="宋体" w:hAnsi="宋体" w:cs="宋体"/>
          <w:b/>
          <w:color w:val="auto"/>
          <w:highlight w:val="none"/>
        </w:rPr>
        <w:t>十、合同争议的解决</w:t>
      </w:r>
    </w:p>
    <w:p>
      <w:pPr>
        <w:spacing w:line="360" w:lineRule="auto"/>
        <w:ind w:right="-252" w:rightChars="-120" w:firstLine="420" w:firstLineChars="200"/>
        <w:rPr>
          <w:rFonts w:ascii="宋体" w:hAnsi="宋体" w:cs="宋体"/>
          <w:color w:val="auto"/>
          <w:highlight w:val="none"/>
        </w:rPr>
      </w:pPr>
      <w:r>
        <w:rPr>
          <w:rFonts w:hint="eastAsia" w:ascii="宋体" w:hAnsi="宋体" w:cs="宋体"/>
          <w:color w:val="auto"/>
          <w:highlight w:val="none"/>
        </w:rPr>
        <w:t>因执行本合同所发生的或与本合同有关的一切争议,双方应通过友好协商解决，协商不成的可依法向采购人所在地有管辖权的人民法院提起诉讼。</w:t>
      </w:r>
    </w:p>
    <w:p>
      <w:pPr>
        <w:spacing w:line="360" w:lineRule="auto"/>
        <w:ind w:right="-252" w:rightChars="-120" w:firstLine="422" w:firstLineChars="200"/>
        <w:rPr>
          <w:rFonts w:ascii="宋体" w:hAnsi="宋体" w:cs="宋体"/>
          <w:b/>
          <w:color w:val="auto"/>
          <w:highlight w:val="none"/>
        </w:rPr>
      </w:pPr>
      <w:r>
        <w:rPr>
          <w:rFonts w:hint="eastAsia" w:ascii="宋体" w:hAnsi="宋体" w:cs="宋体"/>
          <w:b/>
          <w:color w:val="auto"/>
          <w:highlight w:val="none"/>
        </w:rPr>
        <w:t>十</w:t>
      </w:r>
      <w:r>
        <w:rPr>
          <w:rFonts w:hint="eastAsia" w:ascii="宋体" w:hAnsi="宋体" w:cs="宋体"/>
          <w:b/>
          <w:color w:val="auto"/>
          <w:highlight w:val="none"/>
          <w:lang w:val="en-US" w:eastAsia="zh-CN"/>
        </w:rPr>
        <w:t>一</w:t>
      </w:r>
      <w:r>
        <w:rPr>
          <w:rFonts w:hint="eastAsia" w:ascii="宋体" w:hAnsi="宋体" w:cs="宋体"/>
          <w:b/>
          <w:color w:val="auto"/>
          <w:highlight w:val="none"/>
        </w:rPr>
        <w:t>、不可抗力情况下的免责约定</w:t>
      </w:r>
    </w:p>
    <w:p>
      <w:pPr>
        <w:spacing w:line="360" w:lineRule="auto"/>
        <w:ind w:right="-252" w:rightChars="-120" w:firstLine="420" w:firstLineChars="200"/>
        <w:rPr>
          <w:rFonts w:ascii="宋体" w:hAnsi="宋体" w:cs="宋体"/>
          <w:color w:val="auto"/>
          <w:highlight w:val="none"/>
        </w:rPr>
      </w:pPr>
      <w:r>
        <w:rPr>
          <w:rFonts w:hint="eastAsia" w:ascii="宋体" w:hAnsi="宋体" w:cs="宋体"/>
          <w:color w:val="auto"/>
          <w:highlight w:val="none"/>
        </w:rPr>
        <w:t>1.如果任何一方当事人受到不能预见、不能避免且不能克服的不可抗力事件的影响，例如战争、严重的火灾、台风、地震、洪水等情形，而无法履行合同项下的任何义务，则受影响的一方当事人应立即将此类事件的发生通知另一方当事人，并应在不可抗力事件发生后28日内将有关当局或机构出具的证明文件提交给另一方当事人。</w:t>
      </w:r>
    </w:p>
    <w:p>
      <w:pPr>
        <w:spacing w:line="360" w:lineRule="auto"/>
        <w:ind w:right="-252" w:rightChars="-120" w:firstLine="420" w:firstLineChars="200"/>
        <w:rPr>
          <w:rFonts w:ascii="宋体" w:hAnsi="宋体" w:cs="宋体"/>
          <w:color w:val="auto"/>
          <w:highlight w:val="none"/>
        </w:rPr>
      </w:pPr>
      <w:r>
        <w:rPr>
          <w:rFonts w:hint="eastAsia" w:ascii="宋体" w:hAnsi="宋体" w:cs="宋体"/>
          <w:color w:val="auto"/>
          <w:highlight w:val="none"/>
        </w:rPr>
        <w:t>2.受不可抗力事件影响的一方当事人对于不可抗力事件导致的任何合同义务的迟延履行或不能履行不承担违约责任。但该方当事人应尽快将不可抗力事件结束或消除的情况通知另一方当事人。</w:t>
      </w:r>
    </w:p>
    <w:p>
      <w:pPr>
        <w:spacing w:line="360" w:lineRule="auto"/>
        <w:ind w:right="-252" w:rightChars="-120" w:firstLine="420" w:firstLineChars="200"/>
        <w:rPr>
          <w:rFonts w:ascii="宋体" w:hAnsi="宋体" w:cs="宋体"/>
          <w:color w:val="auto"/>
          <w:highlight w:val="none"/>
        </w:rPr>
      </w:pPr>
      <w:r>
        <w:rPr>
          <w:rFonts w:hint="eastAsia" w:ascii="宋体" w:hAnsi="宋体" w:cs="宋体"/>
          <w:color w:val="auto"/>
          <w:highlight w:val="none"/>
        </w:rPr>
        <w:t>3.双方当事人应在不可抗力事件结束或其影响消除后立即继续履行其合同义务，合同期限也应相应顺延。如果不可抗力事件的影响持续超过90日，则任何一方当事人均有权以书面通知解除合同。</w:t>
      </w:r>
    </w:p>
    <w:p>
      <w:pPr>
        <w:spacing w:line="360" w:lineRule="auto"/>
        <w:ind w:right="-252" w:rightChars="-120" w:firstLine="422" w:firstLineChars="200"/>
        <w:rPr>
          <w:rFonts w:ascii="宋体" w:hAnsi="宋体" w:cs="宋体"/>
          <w:b/>
          <w:color w:val="auto"/>
          <w:highlight w:val="none"/>
        </w:rPr>
      </w:pPr>
      <w:r>
        <w:rPr>
          <w:rFonts w:hint="eastAsia" w:ascii="宋体" w:hAnsi="宋体" w:cs="宋体"/>
          <w:b/>
          <w:color w:val="auto"/>
          <w:highlight w:val="none"/>
        </w:rPr>
        <w:t>十</w:t>
      </w:r>
      <w:r>
        <w:rPr>
          <w:rFonts w:hint="eastAsia" w:ascii="宋体" w:hAnsi="宋体" w:cs="宋体"/>
          <w:b/>
          <w:color w:val="auto"/>
          <w:highlight w:val="none"/>
          <w:lang w:val="en-US" w:eastAsia="zh-CN"/>
        </w:rPr>
        <w:t>二</w:t>
      </w:r>
      <w:r>
        <w:rPr>
          <w:rFonts w:hint="eastAsia" w:ascii="宋体" w:hAnsi="宋体" w:cs="宋体"/>
          <w:b/>
          <w:color w:val="auto"/>
          <w:highlight w:val="none"/>
        </w:rPr>
        <w:t>、违约责任</w:t>
      </w:r>
    </w:p>
    <w:p>
      <w:pPr>
        <w:spacing w:line="360" w:lineRule="auto"/>
        <w:ind w:right="-252" w:rightChars="-120" w:firstLine="420" w:firstLineChars="200"/>
        <w:rPr>
          <w:rFonts w:ascii="宋体" w:hAnsi="宋体" w:cs="宋体"/>
          <w:color w:val="auto"/>
          <w:highlight w:val="none"/>
        </w:rPr>
      </w:pPr>
      <w:r>
        <w:rPr>
          <w:rFonts w:hint="eastAsia" w:ascii="宋体" w:hAnsi="宋体" w:cs="宋体"/>
          <w:color w:val="auto"/>
          <w:highlight w:val="none"/>
        </w:rPr>
        <w:t>1.如乙方事先未征得甲方书面同意而单方面延迟完成项目的，每逾期一日按照合同总价款的万分之五承担违约责任；乙方逾期累计15天以上的，甲方有权解除合同,乙方应承担合同总价款30%的违约金，对甲方造成损失的，乙方应承担赔偿责任（包括但不限于实际损失、可预期损失及律师费）。</w:t>
      </w:r>
    </w:p>
    <w:p>
      <w:pPr>
        <w:spacing w:line="360" w:lineRule="auto"/>
        <w:ind w:right="-252" w:rightChars="-120" w:firstLine="420" w:firstLineChars="200"/>
        <w:rPr>
          <w:rFonts w:ascii="宋体" w:hAnsi="宋体" w:cs="宋体"/>
          <w:color w:val="auto"/>
          <w:highlight w:val="none"/>
        </w:rPr>
      </w:pPr>
      <w:r>
        <w:rPr>
          <w:rFonts w:hint="eastAsia" w:ascii="宋体" w:hAnsi="宋体" w:cs="宋体"/>
          <w:color w:val="auto"/>
          <w:highlight w:val="none"/>
        </w:rPr>
        <w:t>2.乙方所供货物不符合竞争性谈判文件规定或不合格的或本项目不能通过验收的，甲方有权解除合同，并要求其承担合同总价款30%的违约金，对甲方造成损失的，乙方应承担赔偿责任（包括但不限于实际损失、可预期损失及律师费）。</w:t>
      </w:r>
    </w:p>
    <w:p>
      <w:pPr>
        <w:spacing w:line="360" w:lineRule="auto"/>
        <w:ind w:right="-252" w:rightChars="-120" w:firstLine="420" w:firstLineChars="200"/>
        <w:rPr>
          <w:rFonts w:ascii="宋体" w:hAnsi="宋体" w:cs="宋体"/>
          <w:color w:val="auto"/>
          <w:highlight w:val="none"/>
        </w:rPr>
      </w:pPr>
      <w:r>
        <w:rPr>
          <w:rFonts w:hint="eastAsia" w:ascii="宋体" w:hAnsi="宋体" w:cs="宋体"/>
          <w:color w:val="auto"/>
          <w:highlight w:val="none"/>
        </w:rPr>
        <w:t>3.部分物品不合格的，甲方有权要求乙方在指定期间内免费更换，乙方拒不更换的，甲方有权自行或委托第三方购买，但物品的供应费、运输费等全部费用由乙方承担。</w:t>
      </w:r>
    </w:p>
    <w:p>
      <w:pPr>
        <w:spacing w:line="360" w:lineRule="auto"/>
        <w:ind w:right="-252" w:rightChars="-120" w:firstLine="420" w:firstLineChars="200"/>
        <w:rPr>
          <w:rFonts w:ascii="宋体" w:hAnsi="宋体" w:cs="宋体"/>
          <w:color w:val="auto"/>
          <w:highlight w:val="none"/>
        </w:rPr>
      </w:pPr>
      <w:r>
        <w:rPr>
          <w:rFonts w:hint="eastAsia" w:ascii="宋体" w:hAnsi="宋体" w:cs="宋体"/>
          <w:color w:val="auto"/>
          <w:highlight w:val="none"/>
        </w:rPr>
        <w:t>4．质保期内乙方未按照竞争性谈判文件、投标文件规定及合同约定提供质保服务的，甲方有权指定第三方提供质保服务，但第三方维修费、交通费、人工费等全部费用由乙方承担。</w:t>
      </w:r>
    </w:p>
    <w:p>
      <w:pPr>
        <w:spacing w:line="360" w:lineRule="auto"/>
        <w:ind w:right="-252" w:rightChars="-120" w:firstLine="420" w:firstLineChars="200"/>
        <w:rPr>
          <w:rFonts w:ascii="宋体" w:hAnsi="宋体" w:cs="宋体"/>
          <w:color w:val="auto"/>
          <w:highlight w:val="none"/>
        </w:rPr>
      </w:pPr>
      <w:r>
        <w:rPr>
          <w:rFonts w:hint="eastAsia" w:ascii="宋体" w:hAnsi="宋体" w:cs="宋体"/>
          <w:color w:val="auto"/>
          <w:highlight w:val="none"/>
        </w:rPr>
        <w:t>5．因乙方提供的物品及服务侵害他人权利的，乙方应承担全部赔偿责任，甲方有权解除合同,乙方应承担合同总价款30%的违约金，对甲方造成损失的，乙方应承担赔偿责任（包括但不限于实际损失、可预期损失及律师费）。</w:t>
      </w:r>
    </w:p>
    <w:p>
      <w:pPr>
        <w:spacing w:line="360" w:lineRule="auto"/>
        <w:ind w:right="-252" w:rightChars="-120" w:firstLine="420" w:firstLineChars="200"/>
        <w:rPr>
          <w:rFonts w:ascii="宋体" w:hAnsi="宋体" w:cs="宋体"/>
          <w:color w:val="auto"/>
          <w:highlight w:val="none"/>
        </w:rPr>
      </w:pPr>
      <w:r>
        <w:rPr>
          <w:rFonts w:hint="eastAsia" w:ascii="宋体" w:hAnsi="宋体" w:cs="宋体"/>
          <w:color w:val="auto"/>
          <w:highlight w:val="none"/>
        </w:rPr>
        <w:t>6．乙方在提供服务过程中造成他人损害的，由乙方承担全部责任。</w:t>
      </w:r>
    </w:p>
    <w:p>
      <w:pPr>
        <w:spacing w:line="360" w:lineRule="auto"/>
        <w:ind w:right="-252" w:rightChars="-120" w:firstLine="420" w:firstLineChars="200"/>
        <w:rPr>
          <w:rFonts w:ascii="宋体" w:hAnsi="宋体" w:cs="宋体"/>
          <w:color w:val="auto"/>
          <w:highlight w:val="none"/>
        </w:rPr>
      </w:pPr>
      <w:r>
        <w:rPr>
          <w:rFonts w:hint="eastAsia" w:ascii="宋体" w:hAnsi="宋体" w:cs="宋体"/>
          <w:color w:val="auto"/>
          <w:highlight w:val="none"/>
        </w:rPr>
        <w:t>7．因乙方的原因，合同无法履行的，甲方有权解除合同，乙方应在收到解除通知后7天内退还已收取的所有款项并承担合同总价款30%的违约金，对甲方造成损失的，乙方应承担赔偿责任（包括但不限于实际损失、可预期损失及律师费）。</w:t>
      </w:r>
    </w:p>
    <w:p>
      <w:pPr>
        <w:spacing w:line="360" w:lineRule="auto"/>
        <w:ind w:right="-252" w:rightChars="-120" w:firstLine="420" w:firstLineChars="200"/>
        <w:rPr>
          <w:rFonts w:ascii="宋体" w:hAnsi="宋体" w:cs="宋体"/>
          <w:color w:val="auto"/>
          <w:highlight w:val="none"/>
        </w:rPr>
      </w:pPr>
      <w:r>
        <w:rPr>
          <w:rFonts w:hint="eastAsia" w:ascii="宋体" w:hAnsi="宋体" w:cs="宋体"/>
          <w:color w:val="auto"/>
          <w:highlight w:val="none"/>
        </w:rPr>
        <w:t>8．甲方应当将乙方违约的情况以及拟采取的措施以书面形式报政府采购监管部门，根据政府采购监管部门的处理意见，甲方有权要求乙方承担违约责任。同时，政府采购监管部门有权依据《政府采购法》及相关法律法规对乙方的违法行为进行相应的处罚。</w:t>
      </w:r>
    </w:p>
    <w:p>
      <w:pPr>
        <w:spacing w:line="360" w:lineRule="auto"/>
        <w:ind w:right="-252" w:rightChars="-120" w:firstLine="420" w:firstLineChars="200"/>
        <w:rPr>
          <w:rFonts w:ascii="宋体" w:hAnsi="宋体" w:cs="宋体"/>
          <w:color w:val="auto"/>
          <w:highlight w:val="none"/>
        </w:rPr>
      </w:pPr>
      <w:r>
        <w:rPr>
          <w:rFonts w:hint="eastAsia" w:ascii="宋体" w:hAnsi="宋体" w:cs="宋体"/>
          <w:color w:val="auto"/>
          <w:highlight w:val="none"/>
        </w:rPr>
        <w:t>9．乙方违反其他合同条款的，应承担合同总价款30%的违约责任，对甲方造成损失的，乙方应承担赔偿责任（包括但不限于实际损失、可预期损失及律师费）。</w:t>
      </w:r>
    </w:p>
    <w:p>
      <w:pPr>
        <w:spacing w:line="360" w:lineRule="auto"/>
        <w:ind w:right="-252" w:rightChars="-120" w:firstLine="420" w:firstLineChars="200"/>
        <w:rPr>
          <w:rFonts w:ascii="宋体" w:hAnsi="宋体" w:cs="宋体"/>
          <w:color w:val="auto"/>
          <w:highlight w:val="none"/>
        </w:rPr>
      </w:pPr>
      <w:r>
        <w:rPr>
          <w:rFonts w:hint="eastAsia" w:ascii="宋体" w:hAnsi="宋体" w:cs="宋体"/>
          <w:color w:val="auto"/>
          <w:highlight w:val="none"/>
        </w:rPr>
        <w:t>10．上述约定的违约条款可合并适用，合并适用后仍不能弥补甲方损失的，甲方有权继续追偿。</w:t>
      </w:r>
    </w:p>
    <w:p>
      <w:pPr>
        <w:spacing w:line="360" w:lineRule="auto"/>
        <w:ind w:right="-252" w:rightChars="-120" w:firstLine="422" w:firstLineChars="200"/>
        <w:rPr>
          <w:rFonts w:ascii="宋体" w:hAnsi="宋体" w:cs="宋体"/>
          <w:b/>
          <w:color w:val="auto"/>
          <w:highlight w:val="none"/>
        </w:rPr>
      </w:pPr>
      <w:r>
        <w:rPr>
          <w:rFonts w:hint="eastAsia" w:ascii="宋体" w:hAnsi="宋体" w:cs="宋体"/>
          <w:b/>
          <w:color w:val="auto"/>
          <w:highlight w:val="none"/>
        </w:rPr>
        <w:t>十</w:t>
      </w:r>
      <w:r>
        <w:rPr>
          <w:rFonts w:hint="eastAsia" w:ascii="宋体" w:hAnsi="宋体" w:cs="宋体"/>
          <w:b/>
          <w:color w:val="auto"/>
          <w:highlight w:val="none"/>
          <w:lang w:val="en-US" w:eastAsia="zh-CN"/>
        </w:rPr>
        <w:t>三</w:t>
      </w:r>
      <w:r>
        <w:rPr>
          <w:rFonts w:hint="eastAsia" w:ascii="宋体" w:hAnsi="宋体" w:cs="宋体"/>
          <w:b/>
          <w:color w:val="auto"/>
          <w:highlight w:val="none"/>
        </w:rPr>
        <w:t>、其他(在合同中具体明确)</w:t>
      </w:r>
    </w:p>
    <w:p>
      <w:pPr>
        <w:spacing w:line="360" w:lineRule="auto"/>
        <w:ind w:right="-252" w:rightChars="-120" w:firstLine="422" w:firstLineChars="200"/>
        <w:rPr>
          <w:rFonts w:ascii="宋体" w:hAnsi="宋体" w:cs="宋体"/>
          <w:b/>
          <w:color w:val="auto"/>
          <w:highlight w:val="none"/>
        </w:rPr>
      </w:pPr>
      <w:r>
        <w:rPr>
          <w:rFonts w:hint="eastAsia" w:ascii="宋体" w:hAnsi="宋体" w:cs="宋体"/>
          <w:b/>
          <w:color w:val="auto"/>
          <w:highlight w:val="none"/>
        </w:rPr>
        <w:t>十</w:t>
      </w:r>
      <w:r>
        <w:rPr>
          <w:rFonts w:hint="eastAsia" w:ascii="宋体" w:hAnsi="宋体" w:cs="宋体"/>
          <w:b/>
          <w:color w:val="auto"/>
          <w:highlight w:val="none"/>
          <w:lang w:val="en-US" w:eastAsia="zh-CN"/>
        </w:rPr>
        <w:t>四</w:t>
      </w:r>
      <w:r>
        <w:rPr>
          <w:rFonts w:hint="eastAsia" w:ascii="宋体" w:hAnsi="宋体" w:cs="宋体"/>
          <w:b/>
          <w:color w:val="auto"/>
          <w:highlight w:val="none"/>
        </w:rPr>
        <w:t>、合同订立</w:t>
      </w:r>
    </w:p>
    <w:p>
      <w:pPr>
        <w:spacing w:line="360" w:lineRule="auto"/>
        <w:ind w:right="-252" w:rightChars="-120" w:firstLine="420" w:firstLineChars="200"/>
        <w:rPr>
          <w:rFonts w:ascii="宋体" w:hAnsi="宋体" w:cs="宋体"/>
          <w:color w:val="auto"/>
          <w:highlight w:val="none"/>
        </w:rPr>
      </w:pPr>
      <w:r>
        <w:rPr>
          <w:rFonts w:hint="eastAsia" w:ascii="宋体" w:hAnsi="宋体" w:cs="宋体"/>
          <w:color w:val="auto"/>
          <w:highlight w:val="none"/>
        </w:rPr>
        <w:t>1.订立时间：</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pPr>
        <w:spacing w:line="360" w:lineRule="auto"/>
        <w:ind w:right="-252" w:rightChars="-120" w:firstLine="420" w:firstLineChars="200"/>
        <w:rPr>
          <w:rFonts w:ascii="宋体" w:hAnsi="宋体" w:cs="宋体"/>
          <w:color w:val="auto"/>
          <w:highlight w:val="none"/>
        </w:rPr>
      </w:pPr>
      <w:r>
        <w:rPr>
          <w:rFonts w:hint="eastAsia" w:ascii="宋体" w:hAnsi="宋体" w:cs="宋体"/>
          <w:color w:val="auto"/>
          <w:highlight w:val="none"/>
        </w:rPr>
        <w:t>2.订立地点：</w:t>
      </w:r>
      <w:r>
        <w:rPr>
          <w:rFonts w:hint="eastAsia" w:ascii="宋体" w:hAnsi="宋体" w:cs="宋体"/>
          <w:color w:val="auto"/>
          <w:highlight w:val="none"/>
          <w:u w:val="single"/>
        </w:rPr>
        <w:t>陕西西安</w:t>
      </w:r>
      <w:r>
        <w:rPr>
          <w:rFonts w:hint="eastAsia" w:ascii="宋体" w:hAnsi="宋体" w:cs="宋体"/>
          <w:color w:val="auto"/>
          <w:highlight w:val="none"/>
        </w:rPr>
        <w:t>。</w:t>
      </w:r>
    </w:p>
    <w:p>
      <w:pPr>
        <w:tabs>
          <w:tab w:val="left" w:pos="980"/>
        </w:tabs>
        <w:wordWrap w:val="0"/>
        <w:overflowPunct w:val="0"/>
        <w:topLinePunct/>
        <w:spacing w:line="360" w:lineRule="auto"/>
        <w:ind w:firstLine="420" w:firstLineChars="200"/>
        <w:rPr>
          <w:rFonts w:ascii="宋体" w:hAnsi="宋体" w:cs="宋体"/>
          <w:color w:val="auto"/>
          <w:highlight w:val="none"/>
        </w:rPr>
      </w:pPr>
      <w:r>
        <w:rPr>
          <w:rFonts w:hint="eastAsia" w:ascii="宋体" w:hAnsi="宋体" w:cs="宋体"/>
          <w:color w:val="auto"/>
          <w:highlight w:val="none"/>
        </w:rPr>
        <w:t>3.本合同一式陆份，具有同等法律效力，甲方叁份，乙方壹份,监管部门备案壹份、采购代理机构存档壹份。各方签字盖章后生效，合同执行完毕自动失效（合同的服务承诺则长期有效）。本合同附件是本合同不可分割的一部分，与本合同具有同等的法律效力。</w:t>
      </w:r>
    </w:p>
    <w:p>
      <w:pPr>
        <w:tabs>
          <w:tab w:val="left" w:pos="980"/>
        </w:tabs>
        <w:wordWrap w:val="0"/>
        <w:overflowPunct w:val="0"/>
        <w:topLinePunct/>
        <w:spacing w:line="360" w:lineRule="auto"/>
        <w:ind w:firstLine="420" w:firstLineChars="200"/>
        <w:rPr>
          <w:rFonts w:ascii="宋体" w:hAnsi="宋体" w:cs="宋体"/>
          <w:color w:val="auto"/>
          <w:highlight w:val="none"/>
        </w:rPr>
      </w:pPr>
      <w:r>
        <w:rPr>
          <w:rFonts w:hint="eastAsia" w:ascii="宋体" w:hAnsi="宋体" w:cs="宋体"/>
          <w:color w:val="auto"/>
          <w:highlight w:val="none"/>
        </w:rPr>
        <w:t>签章页：</w:t>
      </w:r>
    </w:p>
    <w:tbl>
      <w:tblPr>
        <w:tblStyle w:val="19"/>
        <w:tblW w:w="4866" w:type="pct"/>
        <w:tblInd w:w="12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75"/>
        <w:gridCol w:w="2603"/>
        <w:gridCol w:w="26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75" w:type="dxa"/>
            <w:vAlign w:val="center"/>
          </w:tcPr>
          <w:p>
            <w:pPr>
              <w:pStyle w:val="16"/>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甲  方</w:t>
            </w:r>
          </w:p>
        </w:tc>
        <w:tc>
          <w:tcPr>
            <w:tcW w:w="2603" w:type="dxa"/>
            <w:vAlign w:val="center"/>
          </w:tcPr>
          <w:p>
            <w:pPr>
              <w:pStyle w:val="16"/>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乙  方</w:t>
            </w:r>
          </w:p>
        </w:tc>
        <w:tc>
          <w:tcPr>
            <w:tcW w:w="2616" w:type="dxa"/>
            <w:vAlign w:val="center"/>
          </w:tcPr>
          <w:p>
            <w:pPr>
              <w:pStyle w:val="16"/>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见 证 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075" w:type="dxa"/>
            <w:vAlign w:val="center"/>
          </w:tcPr>
          <w:p>
            <w:pPr>
              <w:pStyle w:val="16"/>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西安市公安局交通警察支队</w:t>
            </w:r>
          </w:p>
          <w:p>
            <w:pPr>
              <w:pStyle w:val="16"/>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（公章）</w:t>
            </w:r>
          </w:p>
        </w:tc>
        <w:tc>
          <w:tcPr>
            <w:tcW w:w="2603" w:type="dxa"/>
            <w:vAlign w:val="center"/>
          </w:tcPr>
          <w:p>
            <w:pPr>
              <w:pStyle w:val="16"/>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（公章）</w:t>
            </w:r>
          </w:p>
        </w:tc>
        <w:tc>
          <w:tcPr>
            <w:tcW w:w="2616" w:type="dxa"/>
            <w:vAlign w:val="center"/>
          </w:tcPr>
          <w:p>
            <w:pPr>
              <w:pStyle w:val="16"/>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075" w:type="dxa"/>
            <w:vAlign w:val="center"/>
          </w:tcPr>
          <w:p>
            <w:pPr>
              <w:pStyle w:val="16"/>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地址：陕西省西安市雁塔区太白南路222号</w:t>
            </w:r>
          </w:p>
        </w:tc>
        <w:tc>
          <w:tcPr>
            <w:tcW w:w="2603" w:type="dxa"/>
            <w:vAlign w:val="center"/>
          </w:tcPr>
          <w:p>
            <w:pPr>
              <w:pStyle w:val="16"/>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地址：</w:t>
            </w:r>
          </w:p>
        </w:tc>
        <w:tc>
          <w:tcPr>
            <w:tcW w:w="2616" w:type="dxa"/>
            <w:vAlign w:val="center"/>
          </w:tcPr>
          <w:p>
            <w:pPr>
              <w:pStyle w:val="16"/>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地址：西安市雁塔区南二环西段58号成长大厦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75" w:type="dxa"/>
            <w:vAlign w:val="center"/>
          </w:tcPr>
          <w:p>
            <w:pPr>
              <w:pStyle w:val="16"/>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邮编：710000</w:t>
            </w:r>
          </w:p>
        </w:tc>
        <w:tc>
          <w:tcPr>
            <w:tcW w:w="2603" w:type="dxa"/>
            <w:vAlign w:val="center"/>
          </w:tcPr>
          <w:p>
            <w:pPr>
              <w:pStyle w:val="16"/>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邮编：</w:t>
            </w:r>
          </w:p>
        </w:tc>
        <w:tc>
          <w:tcPr>
            <w:tcW w:w="2616" w:type="dxa"/>
            <w:vAlign w:val="center"/>
          </w:tcPr>
          <w:p>
            <w:pPr>
              <w:pStyle w:val="16"/>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邮编：710000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75" w:type="dxa"/>
            <w:vAlign w:val="center"/>
          </w:tcPr>
          <w:p>
            <w:pPr>
              <w:pStyle w:val="16"/>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法定或委托代理人：</w:t>
            </w:r>
          </w:p>
        </w:tc>
        <w:tc>
          <w:tcPr>
            <w:tcW w:w="2603" w:type="dxa"/>
            <w:vAlign w:val="center"/>
          </w:tcPr>
          <w:p>
            <w:pPr>
              <w:pStyle w:val="16"/>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法定代表人：</w:t>
            </w:r>
          </w:p>
        </w:tc>
        <w:tc>
          <w:tcPr>
            <w:tcW w:w="2616" w:type="dxa"/>
            <w:vMerge w:val="restart"/>
            <w:vAlign w:val="center"/>
          </w:tcPr>
          <w:p>
            <w:pPr>
              <w:pStyle w:val="16"/>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负责人：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75" w:type="dxa"/>
            <w:vAlign w:val="center"/>
          </w:tcPr>
          <w:p>
            <w:pPr>
              <w:pStyle w:val="16"/>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项目负责人：</w:t>
            </w:r>
          </w:p>
        </w:tc>
        <w:tc>
          <w:tcPr>
            <w:tcW w:w="2603" w:type="dxa"/>
            <w:vAlign w:val="center"/>
          </w:tcPr>
          <w:p>
            <w:pPr>
              <w:pStyle w:val="16"/>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负责人：</w:t>
            </w:r>
          </w:p>
        </w:tc>
        <w:tc>
          <w:tcPr>
            <w:tcW w:w="2616" w:type="dxa"/>
            <w:vMerge w:val="continue"/>
            <w:vAlign w:val="center"/>
          </w:tcPr>
          <w:p>
            <w:pPr>
              <w:pStyle w:val="16"/>
              <w:spacing w:line="360" w:lineRule="auto"/>
              <w:rPr>
                <w:rFonts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75" w:type="dxa"/>
            <w:vAlign w:val="center"/>
          </w:tcPr>
          <w:p>
            <w:pPr>
              <w:pStyle w:val="16"/>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经办人：</w:t>
            </w:r>
          </w:p>
        </w:tc>
        <w:tc>
          <w:tcPr>
            <w:tcW w:w="2603" w:type="dxa"/>
            <w:vAlign w:val="center"/>
          </w:tcPr>
          <w:p>
            <w:pPr>
              <w:pStyle w:val="16"/>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电话：</w:t>
            </w:r>
          </w:p>
        </w:tc>
        <w:tc>
          <w:tcPr>
            <w:tcW w:w="2616" w:type="dxa"/>
            <w:vAlign w:val="center"/>
          </w:tcPr>
          <w:p>
            <w:pPr>
              <w:pStyle w:val="16"/>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电话：029-85592866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75" w:type="dxa"/>
            <w:vAlign w:val="center"/>
          </w:tcPr>
          <w:p>
            <w:pPr>
              <w:pStyle w:val="16"/>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电话：</w:t>
            </w:r>
          </w:p>
        </w:tc>
        <w:tc>
          <w:tcPr>
            <w:tcW w:w="2603" w:type="dxa"/>
            <w:vAlign w:val="center"/>
          </w:tcPr>
          <w:p>
            <w:pPr>
              <w:pStyle w:val="16"/>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开户银行：</w:t>
            </w:r>
          </w:p>
        </w:tc>
        <w:tc>
          <w:tcPr>
            <w:tcW w:w="2616" w:type="dxa"/>
            <w:vAlign w:val="center"/>
          </w:tcPr>
          <w:p>
            <w:pPr>
              <w:pStyle w:val="16"/>
              <w:spacing w:line="360" w:lineRule="auto"/>
              <w:rPr>
                <w:rFonts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75" w:type="dxa"/>
            <w:vAlign w:val="center"/>
          </w:tcPr>
          <w:p>
            <w:pPr>
              <w:pStyle w:val="16"/>
              <w:spacing w:line="360" w:lineRule="auto"/>
              <w:rPr>
                <w:rFonts w:ascii="宋体" w:hAnsi="宋体" w:cs="宋体"/>
                <w:color w:val="auto"/>
                <w:sz w:val="21"/>
                <w:szCs w:val="21"/>
                <w:highlight w:val="none"/>
              </w:rPr>
            </w:pPr>
          </w:p>
        </w:tc>
        <w:tc>
          <w:tcPr>
            <w:tcW w:w="2603" w:type="dxa"/>
            <w:vAlign w:val="center"/>
          </w:tcPr>
          <w:p>
            <w:pPr>
              <w:pStyle w:val="16"/>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账号：</w:t>
            </w:r>
          </w:p>
        </w:tc>
        <w:tc>
          <w:tcPr>
            <w:tcW w:w="2616" w:type="dxa"/>
            <w:vAlign w:val="center"/>
          </w:tcPr>
          <w:p>
            <w:pPr>
              <w:pStyle w:val="16"/>
              <w:spacing w:line="360" w:lineRule="auto"/>
              <w:rPr>
                <w:rFonts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75" w:type="dxa"/>
            <w:vAlign w:val="center"/>
          </w:tcPr>
          <w:p>
            <w:pPr>
              <w:pStyle w:val="16"/>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日期：   年   月   日</w:t>
            </w:r>
          </w:p>
        </w:tc>
        <w:tc>
          <w:tcPr>
            <w:tcW w:w="2603" w:type="dxa"/>
            <w:vAlign w:val="center"/>
          </w:tcPr>
          <w:p>
            <w:pPr>
              <w:pStyle w:val="16"/>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日期：   年   月   日</w:t>
            </w:r>
          </w:p>
        </w:tc>
        <w:tc>
          <w:tcPr>
            <w:tcW w:w="2616" w:type="dxa"/>
            <w:vAlign w:val="center"/>
          </w:tcPr>
          <w:p>
            <w:pPr>
              <w:pStyle w:val="16"/>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日期：   年   月   日</w:t>
            </w:r>
          </w:p>
        </w:tc>
      </w:tr>
    </w:tbl>
    <w:p>
      <w:pPr>
        <w:pStyle w:val="3"/>
        <w:spacing w:before="312" w:beforeLines="100" w:after="312" w:afterLines="100" w:line="360" w:lineRule="auto"/>
        <w:rPr>
          <w:rFonts w:ascii="宋体" w:hAnsi="宋体"/>
          <w:b/>
          <w:color w:val="auto"/>
          <w:sz w:val="32"/>
          <w:szCs w:val="32"/>
          <w:highlight w:val="none"/>
        </w:rPr>
      </w:pPr>
      <w:r>
        <w:rPr>
          <w:rFonts w:ascii="宋体" w:hAnsi="宋体"/>
          <w:bCs/>
          <w:color w:val="auto"/>
          <w:highlight w:val="none"/>
        </w:rPr>
        <w:br w:type="page"/>
      </w:r>
      <w:bookmarkStart w:id="14" w:name="_Toc79002892"/>
      <w:r>
        <w:rPr>
          <w:rFonts w:hint="eastAsia" w:ascii="宋体" w:hAnsi="宋体"/>
          <w:b/>
          <w:color w:val="auto"/>
          <w:sz w:val="32"/>
          <w:szCs w:val="32"/>
          <w:highlight w:val="none"/>
        </w:rPr>
        <w:t xml:space="preserve">第四章 </w:t>
      </w:r>
      <w:bookmarkEnd w:id="14"/>
      <w:r>
        <w:rPr>
          <w:rFonts w:hint="eastAsia" w:ascii="宋体" w:hAnsi="宋体"/>
          <w:b/>
          <w:color w:val="auto"/>
          <w:sz w:val="32"/>
          <w:szCs w:val="32"/>
          <w:highlight w:val="none"/>
          <w:lang w:eastAsia="zh-Hans"/>
        </w:rPr>
        <w:t>采购内容</w:t>
      </w:r>
      <w:r>
        <w:rPr>
          <w:rFonts w:hint="eastAsia" w:ascii="宋体" w:hAnsi="宋体"/>
          <w:b/>
          <w:color w:val="auto"/>
          <w:sz w:val="32"/>
          <w:szCs w:val="32"/>
          <w:highlight w:val="none"/>
        </w:rPr>
        <w:t>及技术要求</w:t>
      </w:r>
    </w:p>
    <w:p>
      <w:pPr>
        <w:spacing w:before="156" w:beforeLines="50" w:line="360" w:lineRule="auto"/>
        <w:ind w:firstLine="422" w:firstLineChars="200"/>
        <w:rPr>
          <w:rFonts w:ascii="宋体" w:hAnsi="宋体" w:cs="宋体"/>
          <w:b/>
          <w:color w:val="auto"/>
          <w:szCs w:val="21"/>
          <w:highlight w:val="none"/>
        </w:rPr>
      </w:pPr>
      <w:bookmarkStart w:id="15" w:name="_Toc79002893"/>
      <w:r>
        <w:rPr>
          <w:rFonts w:hint="eastAsia" w:ascii="宋体" w:hAnsi="宋体" w:cs="宋体"/>
          <w:b/>
          <w:color w:val="auto"/>
          <w:szCs w:val="21"/>
          <w:highlight w:val="none"/>
        </w:rPr>
        <w:t>一、项目概况</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为进一步保障民警人身安全，公安部下发了《查处酒驾醉驾安全防护“八个一律”》及《道路交通事故现场安全防护“八个必须”》要点提示，对酒驾查处现场和事故处理警用防护装备和设备进行了规范。我支队根据公安部的规范要求，结合前期摸排及一线大队警用装备使用的需求情况，计划采购一批安全防护警用装备和事故防闯入报警设备。</w:t>
      </w:r>
    </w:p>
    <w:p>
      <w:pPr>
        <w:spacing w:before="156" w:beforeLines="5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二、采购内容内容</w:t>
      </w:r>
    </w:p>
    <w:tbl>
      <w:tblPr>
        <w:tblStyle w:val="19"/>
        <w:tblW w:w="4998" w:type="pct"/>
        <w:tblInd w:w="0" w:type="dxa"/>
        <w:tblLayout w:type="autofit"/>
        <w:tblCellMar>
          <w:top w:w="0" w:type="dxa"/>
          <w:left w:w="108" w:type="dxa"/>
          <w:bottom w:w="0" w:type="dxa"/>
          <w:right w:w="108" w:type="dxa"/>
        </w:tblCellMar>
      </w:tblPr>
      <w:tblGrid>
        <w:gridCol w:w="910"/>
        <w:gridCol w:w="3809"/>
        <w:gridCol w:w="1623"/>
        <w:gridCol w:w="2177"/>
      </w:tblGrid>
      <w:tr>
        <w:tblPrEx>
          <w:tblCellMar>
            <w:top w:w="0" w:type="dxa"/>
            <w:left w:w="108" w:type="dxa"/>
            <w:bottom w:w="0" w:type="dxa"/>
            <w:right w:w="108" w:type="dxa"/>
          </w:tblCellMar>
        </w:tblPrEx>
        <w:trPr>
          <w:trHeight w:val="552" w:hRule="atLeast"/>
        </w:trPr>
        <w:tc>
          <w:tcPr>
            <w:tcW w:w="534"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bookmarkStart w:id="16" w:name="bookmark67"/>
            <w:r>
              <w:rPr>
                <w:rFonts w:hint="eastAsia" w:ascii="宋体" w:hAnsi="宋体" w:cs="宋体"/>
                <w:color w:val="auto"/>
                <w:szCs w:val="21"/>
                <w:highlight w:val="none"/>
              </w:rPr>
              <w:t>序号</w:t>
            </w:r>
          </w:p>
        </w:tc>
        <w:tc>
          <w:tcPr>
            <w:tcW w:w="2235" w:type="pct"/>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品类</w:t>
            </w:r>
          </w:p>
        </w:tc>
        <w:tc>
          <w:tcPr>
            <w:tcW w:w="952" w:type="pct"/>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1277" w:type="pct"/>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单价最高限价/元</w:t>
            </w:r>
          </w:p>
        </w:tc>
      </w:tr>
      <w:tr>
        <w:tblPrEx>
          <w:tblCellMar>
            <w:top w:w="0" w:type="dxa"/>
            <w:left w:w="108" w:type="dxa"/>
            <w:bottom w:w="0" w:type="dxa"/>
            <w:right w:w="108" w:type="dxa"/>
          </w:tblCellMar>
        </w:tblPrEx>
        <w:trPr>
          <w:trHeight w:val="552" w:hRule="atLeast"/>
        </w:trPr>
        <w:tc>
          <w:tcPr>
            <w:tcW w:w="534"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2235" w:type="pct"/>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发光警示牌</w:t>
            </w:r>
          </w:p>
        </w:tc>
        <w:tc>
          <w:tcPr>
            <w:tcW w:w="952" w:type="pct"/>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个</w:t>
            </w:r>
          </w:p>
        </w:tc>
        <w:tc>
          <w:tcPr>
            <w:tcW w:w="1277" w:type="pct"/>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950</w:t>
            </w:r>
          </w:p>
        </w:tc>
      </w:tr>
      <w:tr>
        <w:tblPrEx>
          <w:tblCellMar>
            <w:top w:w="0" w:type="dxa"/>
            <w:left w:w="108" w:type="dxa"/>
            <w:bottom w:w="0" w:type="dxa"/>
            <w:right w:w="108" w:type="dxa"/>
          </w:tblCellMar>
        </w:tblPrEx>
        <w:trPr>
          <w:trHeight w:val="552" w:hRule="atLeast"/>
        </w:trPr>
        <w:tc>
          <w:tcPr>
            <w:tcW w:w="534"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2235" w:type="pct"/>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车辆闯入报警设备</w:t>
            </w:r>
          </w:p>
        </w:tc>
        <w:tc>
          <w:tcPr>
            <w:tcW w:w="952" w:type="pct"/>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套</w:t>
            </w:r>
          </w:p>
        </w:tc>
        <w:tc>
          <w:tcPr>
            <w:tcW w:w="1277" w:type="pct"/>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3580</w:t>
            </w:r>
          </w:p>
        </w:tc>
      </w:tr>
      <w:tr>
        <w:tblPrEx>
          <w:tblCellMar>
            <w:top w:w="0" w:type="dxa"/>
            <w:left w:w="108" w:type="dxa"/>
            <w:bottom w:w="0" w:type="dxa"/>
            <w:right w:w="108" w:type="dxa"/>
          </w:tblCellMar>
        </w:tblPrEx>
        <w:trPr>
          <w:trHeight w:val="552" w:hRule="atLeast"/>
        </w:trPr>
        <w:tc>
          <w:tcPr>
            <w:tcW w:w="534"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2235" w:type="pct"/>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交通锥</w:t>
            </w:r>
          </w:p>
        </w:tc>
        <w:tc>
          <w:tcPr>
            <w:tcW w:w="952" w:type="pct"/>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个</w:t>
            </w:r>
          </w:p>
        </w:tc>
        <w:tc>
          <w:tcPr>
            <w:tcW w:w="1277" w:type="pct"/>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179</w:t>
            </w:r>
          </w:p>
        </w:tc>
      </w:tr>
      <w:tr>
        <w:tblPrEx>
          <w:tblCellMar>
            <w:top w:w="0" w:type="dxa"/>
            <w:left w:w="108" w:type="dxa"/>
            <w:bottom w:w="0" w:type="dxa"/>
            <w:right w:w="108" w:type="dxa"/>
          </w:tblCellMar>
        </w:tblPrEx>
        <w:trPr>
          <w:trHeight w:val="552" w:hRule="atLeast"/>
        </w:trPr>
        <w:tc>
          <w:tcPr>
            <w:tcW w:w="534"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2235" w:type="pct"/>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便携式</w:t>
            </w:r>
            <w:r>
              <w:rPr>
                <w:rFonts w:ascii="宋体" w:hAnsi="宋体" w:cs="宋体"/>
                <w:color w:val="auto"/>
                <w:szCs w:val="21"/>
                <w:highlight w:val="none"/>
              </w:rPr>
              <w:t>LED</w:t>
            </w:r>
            <w:r>
              <w:rPr>
                <w:rFonts w:hint="eastAsia" w:ascii="宋体" w:hAnsi="宋体" w:cs="宋体"/>
                <w:color w:val="auto"/>
                <w:szCs w:val="21"/>
                <w:highlight w:val="none"/>
              </w:rPr>
              <w:t>警示灯</w:t>
            </w:r>
          </w:p>
        </w:tc>
        <w:tc>
          <w:tcPr>
            <w:tcW w:w="952" w:type="pct"/>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套</w:t>
            </w:r>
          </w:p>
        </w:tc>
        <w:tc>
          <w:tcPr>
            <w:tcW w:w="1277" w:type="pct"/>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795</w:t>
            </w:r>
          </w:p>
        </w:tc>
      </w:tr>
      <w:tr>
        <w:tblPrEx>
          <w:tblCellMar>
            <w:top w:w="0" w:type="dxa"/>
            <w:left w:w="108" w:type="dxa"/>
            <w:bottom w:w="0" w:type="dxa"/>
            <w:right w:w="108" w:type="dxa"/>
          </w:tblCellMar>
        </w:tblPrEx>
        <w:trPr>
          <w:trHeight w:val="552" w:hRule="atLeast"/>
        </w:trPr>
        <w:tc>
          <w:tcPr>
            <w:tcW w:w="534"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2235" w:type="pct"/>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挂肩警示灯</w:t>
            </w:r>
          </w:p>
        </w:tc>
        <w:tc>
          <w:tcPr>
            <w:tcW w:w="952" w:type="pct"/>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个</w:t>
            </w:r>
          </w:p>
        </w:tc>
        <w:tc>
          <w:tcPr>
            <w:tcW w:w="1277" w:type="pct"/>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50</w:t>
            </w:r>
          </w:p>
        </w:tc>
      </w:tr>
      <w:bookmarkEnd w:id="16"/>
    </w:tbl>
    <w:p>
      <w:pPr>
        <w:widowControl/>
        <w:wordWrap w:val="0"/>
        <w:overflowPunct w:val="0"/>
        <w:topLinePunct/>
        <w:autoSpaceDE w:val="0"/>
        <w:autoSpaceDN w:val="0"/>
        <w:spacing w:line="360" w:lineRule="auto"/>
        <w:ind w:firstLine="422" w:firstLineChars="200"/>
        <w:textAlignment w:val="baseline"/>
        <w:rPr>
          <w:rFonts w:ascii="宋体" w:hAnsi="宋体" w:cs="宋体"/>
          <w:b/>
          <w:bCs/>
          <w:color w:val="auto"/>
          <w:szCs w:val="21"/>
          <w:highlight w:val="none"/>
        </w:rPr>
      </w:pPr>
      <w:bookmarkStart w:id="17" w:name="bookmark16"/>
      <w:r>
        <w:rPr>
          <w:rFonts w:hint="eastAsia" w:ascii="宋体" w:hAnsi="宋体" w:cs="宋体"/>
          <w:b/>
          <w:bCs/>
          <w:color w:val="auto"/>
          <w:szCs w:val="21"/>
          <w:highlight w:val="none"/>
        </w:rPr>
        <w:t>三、技术要求</w:t>
      </w:r>
      <w:bookmarkEnd w:id="17"/>
    </w:p>
    <w:p>
      <w:pPr>
        <w:pStyle w:val="31"/>
        <w:numPr>
          <w:ilvl w:val="0"/>
          <w:numId w:val="4"/>
        </w:numPr>
        <w:spacing w:line="360" w:lineRule="auto"/>
        <w:ind w:firstLineChars="0"/>
        <w:contextualSpacing/>
        <w:rPr>
          <w:rFonts w:ascii="宋体" w:hAnsi="宋体"/>
          <w:b/>
          <w:bCs/>
          <w:color w:val="auto"/>
          <w:highlight w:val="none"/>
        </w:rPr>
      </w:pPr>
      <w:bookmarkStart w:id="18" w:name="bookmark18"/>
      <w:r>
        <w:rPr>
          <w:rFonts w:hint="eastAsia" w:ascii="宋体" w:hAnsi="宋体" w:cs="宋体"/>
          <w:b/>
          <w:bCs/>
          <w:color w:val="auto"/>
          <w:szCs w:val="21"/>
          <w:highlight w:val="none"/>
        </w:rPr>
        <w:t>发光警示牌</w:t>
      </w:r>
    </w:p>
    <w:p>
      <w:pPr>
        <w:pStyle w:val="31"/>
        <w:spacing w:line="360" w:lineRule="auto"/>
        <w:ind w:left="765" w:firstLine="0" w:firstLineChars="0"/>
        <w:contextualSpacing/>
        <w:rPr>
          <w:rFonts w:ascii="宋体" w:hAnsi="宋体"/>
          <w:color w:val="auto"/>
          <w:highlight w:val="none"/>
        </w:rPr>
      </w:pPr>
      <w:r>
        <w:rPr>
          <w:rFonts w:ascii="宋体" w:hAnsi="宋体"/>
          <w:color w:val="auto"/>
          <w:highlight w:val="none"/>
        </w:rPr>
        <w:drawing>
          <wp:inline distT="0" distB="0" distL="114300" distR="114300">
            <wp:extent cx="1466850" cy="2299970"/>
            <wp:effectExtent l="0" t="0" r="0" b="508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a:stretch>
                      <a:fillRect/>
                    </a:stretch>
                  </pic:blipFill>
                  <pic:spPr>
                    <a:xfrm>
                      <a:off x="0" y="0"/>
                      <a:ext cx="1466850" cy="2299970"/>
                    </a:xfrm>
                    <a:prstGeom prst="rect">
                      <a:avLst/>
                    </a:prstGeom>
                    <a:noFill/>
                    <a:ln>
                      <a:noFill/>
                    </a:ln>
                  </pic:spPr>
                </pic:pic>
              </a:graphicData>
            </a:graphic>
          </wp:inline>
        </w:drawing>
      </w:r>
    </w:p>
    <w:p>
      <w:pPr>
        <w:spacing w:line="360" w:lineRule="auto"/>
        <w:contextualSpacing/>
        <w:rPr>
          <w:rFonts w:ascii="宋体" w:hAnsi="宋体"/>
          <w:color w:val="auto"/>
          <w:highlight w:val="none"/>
        </w:rPr>
      </w:pPr>
      <w:r>
        <w:rPr>
          <w:rFonts w:hint="eastAsia" w:ascii="宋体" w:hAnsi="宋体"/>
          <w:color w:val="auto"/>
          <w:highlight w:val="none"/>
        </w:rPr>
        <w:t>（1）产品参数</w:t>
      </w:r>
    </w:p>
    <w:p>
      <w:pPr>
        <w:spacing w:line="360" w:lineRule="auto"/>
        <w:contextualSpacing/>
        <w:rPr>
          <w:rFonts w:ascii="宋体" w:hAnsi="宋体"/>
          <w:color w:val="auto"/>
          <w:highlight w:val="none"/>
        </w:rPr>
      </w:pPr>
      <w:r>
        <w:rPr>
          <w:rFonts w:hint="eastAsia" w:ascii="宋体" w:hAnsi="宋体"/>
          <w:color w:val="auto"/>
          <w:highlight w:val="none"/>
        </w:rPr>
        <w:t>1、材质：铝板、冷轧板支撑架</w:t>
      </w:r>
      <w:r>
        <w:rPr>
          <w:rFonts w:ascii="宋体" w:hAnsi="宋体"/>
          <w:color w:val="auto"/>
          <w:highlight w:val="none"/>
        </w:rPr>
        <w:t xml:space="preserve">  </w:t>
      </w:r>
    </w:p>
    <w:p>
      <w:pPr>
        <w:spacing w:line="360" w:lineRule="auto"/>
        <w:contextualSpacing/>
        <w:rPr>
          <w:rFonts w:ascii="宋体" w:hAnsi="宋体"/>
          <w:color w:val="auto"/>
          <w:highlight w:val="none"/>
        </w:rPr>
      </w:pPr>
      <w:r>
        <w:rPr>
          <w:rFonts w:hint="eastAsia" w:ascii="宋体" w:hAnsi="宋体"/>
          <w:color w:val="auto"/>
          <w:highlight w:val="none"/>
        </w:rPr>
        <w:t>2、展开后整体尺寸：</w:t>
      </w:r>
      <w:r>
        <w:rPr>
          <w:rFonts w:ascii="宋体" w:hAnsi="宋体"/>
          <w:color w:val="auto"/>
          <w:highlight w:val="none"/>
        </w:rPr>
        <w:t>56</w:t>
      </w:r>
      <w:r>
        <w:rPr>
          <w:rFonts w:hint="eastAsia" w:ascii="宋体" w:hAnsi="宋体"/>
          <w:color w:val="auto"/>
          <w:highlight w:val="none"/>
        </w:rPr>
        <w:t>0</w:t>
      </w:r>
      <w:r>
        <w:rPr>
          <w:rFonts w:ascii="宋体" w:hAnsi="宋体"/>
          <w:color w:val="auto"/>
          <w:highlight w:val="none"/>
        </w:rPr>
        <w:t>*490*940mm</w:t>
      </w:r>
      <w:r>
        <w:rPr>
          <w:rFonts w:hint="eastAsia" w:ascii="宋体" w:hAnsi="宋体"/>
          <w:color w:val="auto"/>
          <w:highlight w:val="none"/>
        </w:rPr>
        <w:t>±5mm</w:t>
      </w:r>
      <w:r>
        <w:rPr>
          <w:rFonts w:ascii="宋体" w:hAnsi="宋体"/>
          <w:color w:val="auto"/>
          <w:highlight w:val="none"/>
        </w:rPr>
        <w:t xml:space="preserve">  </w:t>
      </w:r>
    </w:p>
    <w:p>
      <w:pPr>
        <w:spacing w:line="360" w:lineRule="auto"/>
        <w:contextualSpacing/>
        <w:rPr>
          <w:rFonts w:ascii="宋体" w:hAnsi="宋体"/>
          <w:color w:val="auto"/>
          <w:highlight w:val="none"/>
        </w:rPr>
      </w:pPr>
      <w:r>
        <w:rPr>
          <w:rFonts w:hint="eastAsia" w:ascii="宋体" w:hAnsi="宋体"/>
          <w:color w:val="auto"/>
          <w:highlight w:val="none"/>
        </w:rPr>
        <w:t>3、收缩折叠后尺寸：</w:t>
      </w:r>
      <w:r>
        <w:rPr>
          <w:rFonts w:ascii="宋体" w:hAnsi="宋体"/>
          <w:color w:val="auto"/>
          <w:highlight w:val="none"/>
        </w:rPr>
        <w:t>56</w:t>
      </w:r>
      <w:r>
        <w:rPr>
          <w:rFonts w:hint="eastAsia" w:ascii="宋体" w:hAnsi="宋体"/>
          <w:color w:val="auto"/>
          <w:highlight w:val="none"/>
        </w:rPr>
        <w:t>0</w:t>
      </w:r>
      <w:r>
        <w:rPr>
          <w:rFonts w:ascii="宋体" w:hAnsi="宋体"/>
          <w:color w:val="auto"/>
          <w:highlight w:val="none"/>
        </w:rPr>
        <w:t>*5</w:t>
      </w:r>
      <w:r>
        <w:rPr>
          <w:rFonts w:hint="eastAsia" w:ascii="宋体" w:hAnsi="宋体"/>
          <w:color w:val="auto"/>
          <w:highlight w:val="none"/>
        </w:rPr>
        <w:t>0</w:t>
      </w:r>
      <w:r>
        <w:rPr>
          <w:rFonts w:ascii="宋体" w:hAnsi="宋体"/>
          <w:color w:val="auto"/>
          <w:highlight w:val="none"/>
        </w:rPr>
        <w:t>*63</w:t>
      </w:r>
      <w:r>
        <w:rPr>
          <w:rFonts w:hint="eastAsia" w:ascii="宋体" w:hAnsi="宋体"/>
          <w:color w:val="auto"/>
          <w:highlight w:val="none"/>
        </w:rPr>
        <w:t>0</w:t>
      </w:r>
      <w:r>
        <w:rPr>
          <w:rFonts w:ascii="宋体" w:hAnsi="宋体"/>
          <w:color w:val="auto"/>
          <w:highlight w:val="none"/>
        </w:rPr>
        <w:t>mm</w:t>
      </w:r>
      <w:r>
        <w:rPr>
          <w:rFonts w:hint="eastAsia" w:ascii="宋体" w:hAnsi="宋体"/>
          <w:color w:val="auto"/>
          <w:highlight w:val="none"/>
        </w:rPr>
        <w:t>±5mm</w:t>
      </w:r>
      <w:r>
        <w:rPr>
          <w:rFonts w:ascii="宋体" w:hAnsi="宋体"/>
          <w:color w:val="auto"/>
          <w:highlight w:val="none"/>
        </w:rPr>
        <w:t xml:space="preserve"> </w:t>
      </w:r>
    </w:p>
    <w:p>
      <w:pPr>
        <w:spacing w:line="360" w:lineRule="auto"/>
        <w:contextualSpacing/>
        <w:rPr>
          <w:rFonts w:ascii="宋体" w:hAnsi="宋体"/>
          <w:color w:val="auto"/>
          <w:highlight w:val="none"/>
        </w:rPr>
      </w:pPr>
      <w:r>
        <w:rPr>
          <w:rFonts w:hint="eastAsia" w:ascii="宋体" w:hAnsi="宋体"/>
          <w:color w:val="auto"/>
          <w:highlight w:val="none"/>
        </w:rPr>
        <w:t>4、单块反光警示板尺寸：</w:t>
      </w:r>
      <w:r>
        <w:rPr>
          <w:rFonts w:ascii="宋体" w:hAnsi="宋体"/>
          <w:color w:val="auto"/>
          <w:highlight w:val="none"/>
        </w:rPr>
        <w:t>49</w:t>
      </w:r>
      <w:r>
        <w:rPr>
          <w:rFonts w:hint="eastAsia" w:ascii="宋体" w:hAnsi="宋体"/>
          <w:color w:val="auto"/>
          <w:highlight w:val="none"/>
        </w:rPr>
        <w:t>5</w:t>
      </w:r>
      <w:r>
        <w:rPr>
          <w:rFonts w:ascii="宋体" w:hAnsi="宋体"/>
          <w:color w:val="auto"/>
          <w:highlight w:val="none"/>
        </w:rPr>
        <w:t>*42</w:t>
      </w:r>
      <w:r>
        <w:rPr>
          <w:rFonts w:hint="eastAsia" w:ascii="宋体" w:hAnsi="宋体"/>
          <w:color w:val="auto"/>
          <w:highlight w:val="none"/>
        </w:rPr>
        <w:t>0</w:t>
      </w:r>
      <w:r>
        <w:rPr>
          <w:rFonts w:ascii="宋体" w:hAnsi="宋体"/>
          <w:color w:val="auto"/>
          <w:highlight w:val="none"/>
        </w:rPr>
        <w:t>mm</w:t>
      </w:r>
      <w:r>
        <w:rPr>
          <w:rFonts w:hint="eastAsia" w:ascii="宋体" w:hAnsi="宋体"/>
          <w:color w:val="auto"/>
          <w:highlight w:val="none"/>
        </w:rPr>
        <w:t>±5mm</w:t>
      </w:r>
      <w:r>
        <w:rPr>
          <w:rFonts w:ascii="宋体" w:hAnsi="宋体"/>
          <w:color w:val="auto"/>
          <w:highlight w:val="none"/>
        </w:rPr>
        <w:t xml:space="preserve"> </w:t>
      </w:r>
    </w:p>
    <w:p>
      <w:pPr>
        <w:spacing w:line="360" w:lineRule="auto"/>
        <w:contextualSpacing/>
        <w:rPr>
          <w:rFonts w:ascii="宋体" w:hAnsi="宋体"/>
          <w:color w:val="auto"/>
          <w:highlight w:val="none"/>
        </w:rPr>
      </w:pPr>
      <w:r>
        <w:rPr>
          <w:rFonts w:hint="eastAsia" w:ascii="宋体" w:hAnsi="宋体"/>
          <w:color w:val="auto"/>
          <w:highlight w:val="none"/>
        </w:rPr>
        <w:t>5、产品整体重量：≤</w:t>
      </w:r>
      <w:r>
        <w:rPr>
          <w:rFonts w:ascii="宋体" w:hAnsi="宋体"/>
          <w:color w:val="auto"/>
          <w:highlight w:val="none"/>
        </w:rPr>
        <w:t>8.</w:t>
      </w:r>
      <w:r>
        <w:rPr>
          <w:rFonts w:hint="eastAsia" w:ascii="宋体" w:hAnsi="宋体"/>
          <w:color w:val="auto"/>
          <w:highlight w:val="none"/>
        </w:rPr>
        <w:t>5 Kg</w:t>
      </w:r>
    </w:p>
    <w:p>
      <w:pPr>
        <w:spacing w:line="360" w:lineRule="auto"/>
        <w:contextualSpacing/>
        <w:rPr>
          <w:rFonts w:ascii="宋体" w:hAnsi="宋体"/>
          <w:color w:val="auto"/>
          <w:highlight w:val="none"/>
        </w:rPr>
      </w:pPr>
      <w:r>
        <w:rPr>
          <w:rFonts w:hint="eastAsia" w:ascii="宋体" w:hAnsi="宋体"/>
          <w:color w:val="auto"/>
          <w:highlight w:val="none"/>
        </w:rPr>
        <w:t>6、警示灯充电时间：≤</w:t>
      </w:r>
      <w:r>
        <w:rPr>
          <w:rFonts w:ascii="宋体" w:hAnsi="宋体"/>
          <w:color w:val="auto"/>
          <w:highlight w:val="none"/>
        </w:rPr>
        <w:t>6</w:t>
      </w:r>
      <w:r>
        <w:rPr>
          <w:rFonts w:hint="eastAsia" w:ascii="宋体" w:hAnsi="宋体"/>
          <w:color w:val="auto"/>
          <w:highlight w:val="none"/>
        </w:rPr>
        <w:t>小时</w:t>
      </w:r>
    </w:p>
    <w:p>
      <w:pPr>
        <w:spacing w:line="360" w:lineRule="auto"/>
        <w:contextualSpacing/>
        <w:rPr>
          <w:rFonts w:ascii="宋体" w:hAnsi="宋体"/>
          <w:color w:val="auto"/>
          <w:highlight w:val="none"/>
        </w:rPr>
      </w:pPr>
      <w:r>
        <w:rPr>
          <w:rFonts w:hint="eastAsia" w:ascii="宋体" w:hAnsi="宋体"/>
          <w:color w:val="auto"/>
          <w:highlight w:val="none"/>
        </w:rPr>
        <w:t>7、警示灯工作时间（内置电池充电）：≥</w:t>
      </w:r>
      <w:r>
        <w:rPr>
          <w:rFonts w:ascii="宋体" w:hAnsi="宋体"/>
          <w:color w:val="auto"/>
          <w:highlight w:val="none"/>
        </w:rPr>
        <w:t>20</w:t>
      </w:r>
      <w:r>
        <w:rPr>
          <w:rFonts w:hint="eastAsia" w:ascii="宋体" w:hAnsi="宋体"/>
          <w:color w:val="auto"/>
          <w:highlight w:val="none"/>
        </w:rPr>
        <w:t>小时</w:t>
      </w:r>
    </w:p>
    <w:p>
      <w:pPr>
        <w:spacing w:line="360" w:lineRule="auto"/>
        <w:contextualSpacing/>
        <w:rPr>
          <w:rFonts w:ascii="宋体" w:hAnsi="宋体"/>
          <w:color w:val="auto"/>
          <w:highlight w:val="none"/>
        </w:rPr>
      </w:pPr>
      <w:r>
        <w:rPr>
          <w:rFonts w:hint="eastAsia" w:ascii="宋体" w:hAnsi="宋体"/>
          <w:color w:val="auto"/>
          <w:highlight w:val="none"/>
        </w:rPr>
        <w:t>8、警示灯珠：≥9*9 LED灯（红灯珠≥</w:t>
      </w:r>
      <w:r>
        <w:rPr>
          <w:rFonts w:ascii="宋体" w:hAnsi="宋体"/>
          <w:color w:val="auto"/>
          <w:highlight w:val="none"/>
        </w:rPr>
        <w:t>9</w:t>
      </w:r>
      <w:r>
        <w:rPr>
          <w:rFonts w:hint="eastAsia" w:ascii="宋体" w:hAnsi="宋体"/>
          <w:color w:val="auto"/>
          <w:highlight w:val="none"/>
        </w:rPr>
        <w:t>颗</w:t>
      </w:r>
      <w:r>
        <w:rPr>
          <w:rFonts w:ascii="宋体" w:hAnsi="宋体"/>
          <w:color w:val="auto"/>
          <w:highlight w:val="none"/>
        </w:rPr>
        <w:t>/</w:t>
      </w:r>
      <w:r>
        <w:rPr>
          <w:rFonts w:hint="eastAsia" w:ascii="宋体" w:hAnsi="宋体"/>
          <w:color w:val="auto"/>
          <w:highlight w:val="none"/>
        </w:rPr>
        <w:t>蓝灯珠≥</w:t>
      </w:r>
      <w:r>
        <w:rPr>
          <w:rFonts w:ascii="宋体" w:hAnsi="宋体"/>
          <w:color w:val="auto"/>
          <w:highlight w:val="none"/>
        </w:rPr>
        <w:t>9</w:t>
      </w:r>
      <w:r>
        <w:rPr>
          <w:rFonts w:hint="eastAsia" w:ascii="宋体" w:hAnsi="宋体"/>
          <w:color w:val="auto"/>
          <w:highlight w:val="none"/>
        </w:rPr>
        <w:t>颗）</w:t>
      </w:r>
    </w:p>
    <w:p>
      <w:pPr>
        <w:spacing w:line="360" w:lineRule="auto"/>
        <w:contextualSpacing/>
        <w:rPr>
          <w:rFonts w:ascii="宋体" w:hAnsi="宋体"/>
          <w:color w:val="auto"/>
          <w:highlight w:val="none"/>
        </w:rPr>
      </w:pPr>
      <w:r>
        <w:rPr>
          <w:rFonts w:hint="eastAsia" w:ascii="宋体" w:hAnsi="宋体"/>
          <w:color w:val="auto"/>
          <w:highlight w:val="none"/>
        </w:rPr>
        <w:t>9、警示距离：</w:t>
      </w:r>
      <w:r>
        <w:rPr>
          <w:rFonts w:ascii="宋体" w:hAnsi="宋体"/>
          <w:color w:val="auto"/>
          <w:highlight w:val="none"/>
        </w:rPr>
        <w:t>100-300</w:t>
      </w:r>
      <w:r>
        <w:rPr>
          <w:rFonts w:hint="eastAsia" w:ascii="宋体" w:hAnsi="宋体"/>
          <w:color w:val="auto"/>
          <w:highlight w:val="none"/>
        </w:rPr>
        <w:t>米</w:t>
      </w:r>
      <w:r>
        <w:rPr>
          <w:rFonts w:ascii="宋体" w:hAnsi="宋体"/>
          <w:color w:val="auto"/>
          <w:highlight w:val="none"/>
        </w:rPr>
        <w:t xml:space="preserve">        </w:t>
      </w:r>
    </w:p>
    <w:p>
      <w:pPr>
        <w:spacing w:line="360" w:lineRule="auto"/>
        <w:contextualSpacing/>
        <w:rPr>
          <w:rFonts w:ascii="宋体" w:hAnsi="宋体"/>
          <w:color w:val="auto"/>
          <w:highlight w:val="none"/>
        </w:rPr>
      </w:pPr>
      <w:r>
        <w:rPr>
          <w:rFonts w:hint="eastAsia" w:ascii="宋体" w:hAnsi="宋体"/>
          <w:color w:val="auto"/>
          <w:highlight w:val="none"/>
        </w:rPr>
        <w:t>10、</w:t>
      </w:r>
      <w:r>
        <w:rPr>
          <w:rFonts w:hint="eastAsia" w:ascii="宋体" w:hAnsi="宋体"/>
          <w:color w:val="auto"/>
          <w:highlight w:val="none"/>
          <w:lang w:val="en-US" w:eastAsia="zh-CN"/>
        </w:rPr>
        <w:t>防护</w:t>
      </w:r>
      <w:r>
        <w:rPr>
          <w:rFonts w:hint="eastAsia" w:ascii="宋体" w:hAnsi="宋体"/>
          <w:color w:val="auto"/>
          <w:highlight w:val="none"/>
        </w:rPr>
        <w:t>等级：</w:t>
      </w:r>
      <w:r>
        <w:rPr>
          <w:rFonts w:hint="eastAsia" w:ascii="宋体" w:hAnsi="宋体"/>
          <w:color w:val="auto"/>
          <w:highlight w:val="none"/>
          <w:lang w:val="en-US" w:eastAsia="zh-CN"/>
        </w:rPr>
        <w:t>≥</w:t>
      </w:r>
      <w:r>
        <w:rPr>
          <w:rFonts w:ascii="宋体" w:hAnsi="宋体"/>
          <w:color w:val="auto"/>
          <w:highlight w:val="none"/>
        </w:rPr>
        <w:t>IP6</w:t>
      </w:r>
      <w:r>
        <w:rPr>
          <w:rFonts w:hint="eastAsia" w:ascii="宋体" w:hAnsi="宋体"/>
          <w:color w:val="auto"/>
          <w:highlight w:val="none"/>
        </w:rPr>
        <w:t>5</w:t>
      </w:r>
      <w:r>
        <w:rPr>
          <w:rFonts w:ascii="宋体" w:hAnsi="宋体"/>
          <w:color w:val="auto"/>
          <w:highlight w:val="none"/>
        </w:rPr>
        <w:t xml:space="preserve">  </w:t>
      </w:r>
    </w:p>
    <w:p>
      <w:pPr>
        <w:spacing w:line="360" w:lineRule="auto"/>
        <w:contextualSpacing/>
        <w:rPr>
          <w:rFonts w:ascii="宋体" w:hAnsi="宋体"/>
          <w:color w:val="auto"/>
          <w:highlight w:val="none"/>
        </w:rPr>
      </w:pPr>
      <w:r>
        <w:rPr>
          <w:rFonts w:hint="eastAsia" w:ascii="宋体" w:hAnsi="宋体"/>
          <w:color w:val="auto"/>
          <w:highlight w:val="none"/>
        </w:rPr>
        <w:t>11、产品所使用的旋转卡扣或插销均为不锈钢或铝合金材质。</w:t>
      </w:r>
      <w:r>
        <w:rPr>
          <w:rFonts w:ascii="宋体" w:hAnsi="宋体"/>
          <w:color w:val="auto"/>
          <w:highlight w:val="none"/>
        </w:rPr>
        <w:t xml:space="preserve">         </w:t>
      </w:r>
    </w:p>
    <w:p>
      <w:pPr>
        <w:spacing w:line="360" w:lineRule="auto"/>
        <w:contextualSpacing/>
        <w:rPr>
          <w:rFonts w:ascii="宋体" w:hAnsi="宋体"/>
          <w:color w:val="auto"/>
          <w:highlight w:val="none"/>
        </w:rPr>
      </w:pPr>
      <w:r>
        <w:rPr>
          <w:rFonts w:hint="eastAsia" w:ascii="宋体" w:hAnsi="宋体"/>
          <w:color w:val="auto"/>
          <w:highlight w:val="none"/>
        </w:rPr>
        <w:t>12、两块（四面）反光警示牌内容可按要求定制：如“交通管制”、“前方事故”、“警察临检”、“禁止超车”、“谨慎驾驶”、“靠边停车”、“依次通过”、“接受检查”、“</w:t>
      </w:r>
      <w:r>
        <w:rPr>
          <w:rFonts w:ascii="宋体" w:hAnsi="宋体"/>
          <w:color w:val="auto"/>
          <w:highlight w:val="none"/>
        </w:rPr>
        <w:t xml:space="preserve">  </w:t>
      </w:r>
      <w:r>
        <w:rPr>
          <w:rFonts w:hint="eastAsia" w:ascii="宋体" w:hAnsi="宋体"/>
          <w:color w:val="auto"/>
          <w:highlight w:val="none"/>
        </w:rPr>
        <w:t>＜＜＜＜</w:t>
      </w:r>
      <w:r>
        <w:rPr>
          <w:rFonts w:ascii="宋体" w:hAnsi="宋体"/>
          <w:color w:val="auto"/>
          <w:highlight w:val="none"/>
        </w:rPr>
        <w:t xml:space="preserve">  ”</w:t>
      </w:r>
      <w:r>
        <w:rPr>
          <w:rFonts w:hint="eastAsia" w:ascii="宋体" w:hAnsi="宋体"/>
          <w:color w:val="auto"/>
          <w:highlight w:val="none"/>
        </w:rPr>
        <w:t>左向、“</w:t>
      </w:r>
      <w:r>
        <w:rPr>
          <w:rFonts w:ascii="宋体" w:hAnsi="宋体"/>
          <w:color w:val="auto"/>
          <w:highlight w:val="none"/>
        </w:rPr>
        <w:t xml:space="preserve">  </w:t>
      </w:r>
      <w:r>
        <w:rPr>
          <w:rFonts w:hint="eastAsia" w:ascii="宋体" w:hAnsi="宋体"/>
          <w:color w:val="auto"/>
          <w:highlight w:val="none"/>
        </w:rPr>
        <w:t>＞＞＞＞</w:t>
      </w:r>
      <w:r>
        <w:rPr>
          <w:rFonts w:ascii="宋体" w:hAnsi="宋体"/>
          <w:color w:val="auto"/>
          <w:highlight w:val="none"/>
        </w:rPr>
        <w:t xml:space="preserve">  ”</w:t>
      </w:r>
      <w:r>
        <w:rPr>
          <w:rFonts w:hint="eastAsia" w:ascii="宋体" w:hAnsi="宋体"/>
          <w:color w:val="auto"/>
          <w:highlight w:val="none"/>
        </w:rPr>
        <w:t>右向等</w:t>
      </w:r>
    </w:p>
    <w:p>
      <w:pPr>
        <w:spacing w:line="360" w:lineRule="auto"/>
        <w:contextualSpacing/>
        <w:rPr>
          <w:rFonts w:ascii="宋体" w:hAnsi="宋体"/>
          <w:b/>
          <w:color w:val="auto"/>
          <w:highlight w:val="none"/>
        </w:rPr>
      </w:pPr>
      <w:r>
        <w:rPr>
          <w:rFonts w:hint="eastAsia" w:ascii="宋体" w:hAnsi="宋体" w:cs="宋体"/>
          <w:b/>
          <w:color w:val="auto"/>
          <w:highlight w:val="none"/>
        </w:rPr>
        <w:t>（二）</w:t>
      </w:r>
      <w:r>
        <w:rPr>
          <w:rFonts w:hint="eastAsia" w:ascii="宋体" w:hAnsi="宋体" w:cs="宋体"/>
          <w:b/>
          <w:bCs/>
          <w:color w:val="auto"/>
          <w:szCs w:val="21"/>
          <w:highlight w:val="none"/>
        </w:rPr>
        <w:t>车辆闯入报警设备</w:t>
      </w:r>
    </w:p>
    <w:p>
      <w:pPr>
        <w:spacing w:line="360" w:lineRule="auto"/>
        <w:contextualSpacing/>
        <w:jc w:val="center"/>
        <w:rPr>
          <w:rFonts w:ascii="宋体" w:hAnsi="宋体"/>
          <w:color w:val="auto"/>
          <w:highlight w:val="none"/>
        </w:rPr>
      </w:pPr>
      <w:r>
        <w:rPr>
          <w:rFonts w:ascii="宋体" w:hAnsi="宋体"/>
          <w:color w:val="auto"/>
          <w:highlight w:val="none"/>
        </w:rPr>
        <w:drawing>
          <wp:inline distT="0" distB="0" distL="114300" distR="114300">
            <wp:extent cx="2475230" cy="1840865"/>
            <wp:effectExtent l="0" t="0" r="127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2475230" cy="1840865"/>
                    </a:xfrm>
                    <a:prstGeom prst="rect">
                      <a:avLst/>
                    </a:prstGeom>
                    <a:noFill/>
                    <a:ln>
                      <a:noFill/>
                    </a:ln>
                  </pic:spPr>
                </pic:pic>
              </a:graphicData>
            </a:graphic>
          </wp:inline>
        </w:drawing>
      </w:r>
    </w:p>
    <w:p>
      <w:pPr>
        <w:spacing w:line="360" w:lineRule="auto"/>
        <w:contextualSpacing/>
        <w:textAlignment w:val="center"/>
        <w:rPr>
          <w:rFonts w:ascii="宋体" w:hAnsi="宋体"/>
          <w:color w:val="auto"/>
          <w:highlight w:val="none"/>
        </w:rPr>
      </w:pPr>
      <w:r>
        <w:rPr>
          <w:rFonts w:hint="eastAsia" w:ascii="宋体" w:hAnsi="宋体"/>
          <w:color w:val="auto"/>
          <w:highlight w:val="none"/>
        </w:rPr>
        <w:t>（1）主要功能：预警路锥红蓝闪烁；预警肩灯红蓝闪烁、白光照明；远距离无线声光报警。</w:t>
      </w:r>
    </w:p>
    <w:p>
      <w:pPr>
        <w:spacing w:line="360" w:lineRule="auto"/>
        <w:contextualSpacing/>
        <w:textAlignment w:val="center"/>
        <w:rPr>
          <w:rFonts w:ascii="宋体" w:hAnsi="宋体"/>
          <w:color w:val="auto"/>
          <w:highlight w:val="none"/>
        </w:rPr>
      </w:pPr>
      <w:r>
        <w:rPr>
          <w:rFonts w:hint="eastAsia" w:ascii="宋体" w:hAnsi="宋体"/>
          <w:color w:val="auto"/>
          <w:highlight w:val="none"/>
        </w:rPr>
        <w:t>（2）系统组成</w:t>
      </w:r>
    </w:p>
    <w:p>
      <w:pPr>
        <w:spacing w:line="360" w:lineRule="auto"/>
        <w:contextualSpacing/>
        <w:textAlignment w:val="center"/>
        <w:rPr>
          <w:rFonts w:ascii="宋体" w:hAnsi="宋体"/>
          <w:color w:val="auto"/>
          <w:highlight w:val="none"/>
        </w:rPr>
      </w:pPr>
      <w:r>
        <w:rPr>
          <w:rFonts w:ascii="宋体" w:hAnsi="宋体"/>
          <w:color w:val="auto"/>
          <w:highlight w:val="none"/>
        </w:rPr>
        <w:t>1</w:t>
      </w:r>
      <w:r>
        <w:rPr>
          <w:rFonts w:hint="eastAsia" w:ascii="宋体" w:hAnsi="宋体"/>
          <w:color w:val="auto"/>
          <w:highlight w:val="none"/>
        </w:rPr>
        <w:t>、主箱体</w:t>
      </w:r>
    </w:p>
    <w:p>
      <w:pPr>
        <w:spacing w:line="360" w:lineRule="auto"/>
        <w:contextualSpacing/>
        <w:textAlignment w:val="center"/>
        <w:rPr>
          <w:rFonts w:ascii="宋体" w:hAnsi="宋体"/>
          <w:color w:val="auto"/>
          <w:highlight w:val="none"/>
        </w:rPr>
      </w:pPr>
      <w:r>
        <w:rPr>
          <w:rFonts w:ascii="宋体" w:hAnsi="宋体"/>
          <w:color w:val="auto"/>
          <w:highlight w:val="none"/>
        </w:rPr>
        <w:t>1</w:t>
      </w:r>
      <w:r>
        <w:rPr>
          <w:rFonts w:hint="eastAsia" w:ascii="宋体" w:hAnsi="宋体"/>
          <w:color w:val="auto"/>
          <w:highlight w:val="none"/>
        </w:rPr>
        <w:t>）主箱体带充电器</w:t>
      </w:r>
    </w:p>
    <w:p>
      <w:pPr>
        <w:spacing w:line="360" w:lineRule="auto"/>
        <w:contextualSpacing/>
        <w:textAlignment w:val="center"/>
        <w:rPr>
          <w:rFonts w:ascii="宋体" w:hAnsi="宋体"/>
          <w:color w:val="auto"/>
          <w:highlight w:val="none"/>
        </w:rPr>
      </w:pPr>
      <w:r>
        <w:rPr>
          <w:rFonts w:ascii="宋体" w:hAnsi="宋体"/>
          <w:color w:val="auto"/>
          <w:highlight w:val="none"/>
        </w:rPr>
        <w:t>2</w:t>
      </w:r>
      <w:r>
        <w:rPr>
          <w:rFonts w:hint="eastAsia" w:ascii="宋体" w:hAnsi="宋体"/>
          <w:color w:val="auto"/>
          <w:highlight w:val="none"/>
        </w:rPr>
        <w:t>）规格尺寸：</w:t>
      </w:r>
      <w:r>
        <w:rPr>
          <w:rFonts w:ascii="宋体" w:hAnsi="宋体"/>
          <w:color w:val="auto"/>
          <w:highlight w:val="none"/>
        </w:rPr>
        <w:t>7</w:t>
      </w:r>
      <w:r>
        <w:rPr>
          <w:rFonts w:hint="eastAsia" w:ascii="宋体" w:hAnsi="宋体"/>
          <w:color w:val="auto"/>
          <w:highlight w:val="none"/>
        </w:rPr>
        <w:t>5</w:t>
      </w:r>
      <w:r>
        <w:rPr>
          <w:rFonts w:ascii="宋体" w:hAnsi="宋体"/>
          <w:color w:val="auto"/>
          <w:highlight w:val="none"/>
        </w:rPr>
        <w:t>*</w:t>
      </w:r>
      <w:r>
        <w:rPr>
          <w:rFonts w:hint="eastAsia" w:ascii="宋体" w:hAnsi="宋体"/>
          <w:color w:val="auto"/>
          <w:highlight w:val="none"/>
        </w:rPr>
        <w:t>40</w:t>
      </w:r>
      <w:r>
        <w:rPr>
          <w:rFonts w:ascii="宋体" w:hAnsi="宋体"/>
          <w:color w:val="auto"/>
          <w:highlight w:val="none"/>
        </w:rPr>
        <w:t>*3</w:t>
      </w:r>
      <w:r>
        <w:rPr>
          <w:rFonts w:hint="eastAsia" w:ascii="宋体" w:hAnsi="宋体"/>
          <w:color w:val="auto"/>
          <w:highlight w:val="none"/>
        </w:rPr>
        <w:t>5</w:t>
      </w:r>
      <w:r>
        <w:rPr>
          <w:rFonts w:ascii="宋体" w:hAnsi="宋体"/>
          <w:color w:val="auto"/>
          <w:highlight w:val="none"/>
        </w:rPr>
        <w:t>cm</w:t>
      </w:r>
      <w:r>
        <w:rPr>
          <w:rFonts w:hint="eastAsia" w:ascii="宋体" w:hAnsi="宋体"/>
          <w:color w:val="auto"/>
          <w:highlight w:val="none"/>
        </w:rPr>
        <w:t>±3cm</w:t>
      </w:r>
    </w:p>
    <w:p>
      <w:pPr>
        <w:spacing w:line="360" w:lineRule="auto"/>
        <w:contextualSpacing/>
        <w:textAlignment w:val="center"/>
        <w:rPr>
          <w:rFonts w:ascii="宋体" w:hAnsi="宋体"/>
          <w:color w:val="auto"/>
          <w:highlight w:val="none"/>
        </w:rPr>
      </w:pPr>
      <w:r>
        <w:rPr>
          <w:rFonts w:ascii="宋体" w:hAnsi="宋体"/>
          <w:color w:val="auto"/>
          <w:highlight w:val="none"/>
        </w:rPr>
        <w:t>3</w:t>
      </w:r>
      <w:r>
        <w:rPr>
          <w:rFonts w:hint="eastAsia" w:ascii="宋体" w:hAnsi="宋体"/>
          <w:color w:val="auto"/>
          <w:highlight w:val="none"/>
        </w:rPr>
        <w:t>）配有拉杆和滚轮</w:t>
      </w:r>
    </w:p>
    <w:p>
      <w:pPr>
        <w:spacing w:line="360" w:lineRule="auto"/>
        <w:contextualSpacing/>
        <w:textAlignment w:val="center"/>
        <w:rPr>
          <w:rFonts w:ascii="宋体" w:hAnsi="宋体"/>
          <w:color w:val="auto"/>
          <w:highlight w:val="none"/>
        </w:rPr>
      </w:pPr>
      <w:r>
        <w:rPr>
          <w:rFonts w:hint="eastAsia" w:ascii="宋体" w:hAnsi="宋体"/>
          <w:color w:val="auto"/>
          <w:highlight w:val="none"/>
        </w:rPr>
        <w:t>4）额定功率：≥</w:t>
      </w:r>
      <w:r>
        <w:rPr>
          <w:rFonts w:ascii="宋体" w:hAnsi="宋体"/>
          <w:color w:val="auto"/>
          <w:highlight w:val="none"/>
        </w:rPr>
        <w:t>50W</w:t>
      </w:r>
      <w:r>
        <w:rPr>
          <w:rFonts w:hint="eastAsia" w:ascii="宋体" w:hAnsi="宋体"/>
          <w:color w:val="auto"/>
          <w:highlight w:val="none"/>
        </w:rPr>
        <w:t>。</w:t>
      </w:r>
    </w:p>
    <w:p>
      <w:pPr>
        <w:spacing w:line="360" w:lineRule="auto"/>
        <w:contextualSpacing/>
        <w:textAlignment w:val="center"/>
        <w:rPr>
          <w:rFonts w:ascii="宋体" w:hAnsi="宋体"/>
          <w:color w:val="auto"/>
          <w:highlight w:val="none"/>
        </w:rPr>
      </w:pPr>
      <w:r>
        <w:rPr>
          <w:rFonts w:hint="eastAsia" w:ascii="宋体" w:hAnsi="宋体"/>
          <w:color w:val="auto"/>
          <w:highlight w:val="none"/>
        </w:rPr>
        <w:t>5）内置≥</w:t>
      </w:r>
      <w:r>
        <w:rPr>
          <w:rFonts w:ascii="宋体" w:hAnsi="宋体"/>
          <w:color w:val="auto"/>
          <w:highlight w:val="none"/>
        </w:rPr>
        <w:t>9</w:t>
      </w:r>
      <w:r>
        <w:rPr>
          <w:rFonts w:hint="eastAsia" w:ascii="宋体" w:hAnsi="宋体"/>
          <w:color w:val="auto"/>
          <w:highlight w:val="none"/>
        </w:rPr>
        <w:t>路</w:t>
      </w:r>
      <w:r>
        <w:rPr>
          <w:rFonts w:ascii="宋体" w:hAnsi="宋体"/>
          <w:color w:val="auto"/>
          <w:highlight w:val="none"/>
        </w:rPr>
        <w:t>USB</w:t>
      </w:r>
      <w:r>
        <w:rPr>
          <w:rFonts w:hint="eastAsia" w:ascii="宋体" w:hAnsi="宋体"/>
          <w:color w:val="auto"/>
          <w:highlight w:val="none"/>
        </w:rPr>
        <w:t>智能充电器，每路输出</w:t>
      </w:r>
      <w:r>
        <w:rPr>
          <w:rFonts w:ascii="宋体" w:hAnsi="宋体"/>
          <w:color w:val="auto"/>
          <w:highlight w:val="none"/>
        </w:rPr>
        <w:t>5V1A</w:t>
      </w:r>
      <w:r>
        <w:rPr>
          <w:rFonts w:hint="eastAsia" w:ascii="宋体" w:hAnsi="宋体"/>
          <w:color w:val="auto"/>
          <w:highlight w:val="none"/>
        </w:rPr>
        <w:t>。</w:t>
      </w:r>
    </w:p>
    <w:p>
      <w:pPr>
        <w:spacing w:line="360" w:lineRule="auto"/>
        <w:contextualSpacing/>
        <w:textAlignment w:val="center"/>
        <w:rPr>
          <w:rFonts w:ascii="宋体" w:hAnsi="宋体"/>
          <w:color w:val="auto"/>
          <w:highlight w:val="none"/>
        </w:rPr>
      </w:pPr>
      <w:r>
        <w:rPr>
          <w:rFonts w:ascii="宋体" w:hAnsi="宋体"/>
          <w:color w:val="auto"/>
          <w:highlight w:val="none"/>
        </w:rPr>
        <w:t>2</w:t>
      </w:r>
      <w:r>
        <w:rPr>
          <w:rFonts w:hint="eastAsia" w:ascii="宋体" w:hAnsi="宋体"/>
          <w:color w:val="auto"/>
          <w:highlight w:val="none"/>
        </w:rPr>
        <w:t>、预警肩灯</w:t>
      </w:r>
    </w:p>
    <w:p>
      <w:pPr>
        <w:spacing w:line="360" w:lineRule="auto"/>
        <w:contextualSpacing/>
        <w:textAlignment w:val="center"/>
        <w:rPr>
          <w:rFonts w:ascii="宋体" w:hAnsi="宋体"/>
          <w:strike/>
          <w:color w:val="auto"/>
          <w:highlight w:val="none"/>
        </w:rPr>
      </w:pPr>
      <w:r>
        <w:rPr>
          <w:rFonts w:ascii="宋体" w:hAnsi="宋体"/>
          <w:color w:val="auto"/>
          <w:highlight w:val="none"/>
        </w:rPr>
        <w:t>1</w:t>
      </w:r>
      <w:r>
        <w:rPr>
          <w:rFonts w:hint="eastAsia" w:ascii="宋体" w:hAnsi="宋体"/>
          <w:color w:val="auto"/>
          <w:highlight w:val="none"/>
        </w:rPr>
        <w:t>）功能：支持接收预警器发出的报警信号，支持发出连续急促的“嘀嘀”声和连续闪光报警。</w:t>
      </w:r>
    </w:p>
    <w:p>
      <w:pPr>
        <w:spacing w:line="360" w:lineRule="auto"/>
        <w:contextualSpacing/>
        <w:textAlignment w:val="center"/>
        <w:rPr>
          <w:rFonts w:ascii="宋体" w:hAnsi="宋体"/>
          <w:color w:val="auto"/>
          <w:highlight w:val="none"/>
        </w:rPr>
      </w:pPr>
      <w:r>
        <w:rPr>
          <w:rFonts w:hint="eastAsia" w:ascii="宋体" w:hAnsi="宋体"/>
          <w:color w:val="auto"/>
          <w:highlight w:val="none"/>
        </w:rPr>
        <w:t>2）工作方式：红蓝</w:t>
      </w:r>
      <w:r>
        <w:rPr>
          <w:rFonts w:ascii="宋体" w:hAnsi="宋体"/>
          <w:color w:val="auto"/>
          <w:highlight w:val="none"/>
        </w:rPr>
        <w:t>LED</w:t>
      </w:r>
      <w:r>
        <w:rPr>
          <w:rFonts w:hint="eastAsia" w:ascii="宋体" w:hAnsi="宋体"/>
          <w:color w:val="auto"/>
          <w:highlight w:val="none"/>
        </w:rPr>
        <w:t>灯组闪烁、白光照明、无线预警（发射、接收）。</w:t>
      </w:r>
    </w:p>
    <w:p>
      <w:pPr>
        <w:spacing w:line="360" w:lineRule="auto"/>
        <w:contextualSpacing/>
        <w:textAlignment w:val="center"/>
        <w:rPr>
          <w:rFonts w:ascii="宋体" w:hAnsi="宋体"/>
          <w:color w:val="auto"/>
          <w:highlight w:val="none"/>
        </w:rPr>
      </w:pPr>
      <w:r>
        <w:rPr>
          <w:rFonts w:hint="eastAsia" w:ascii="宋体" w:hAnsi="宋体"/>
          <w:color w:val="auto"/>
          <w:highlight w:val="none"/>
        </w:rPr>
        <w:t>3）锂电池容量：≥</w:t>
      </w:r>
      <w:r>
        <w:rPr>
          <w:rFonts w:ascii="宋体" w:hAnsi="宋体"/>
          <w:color w:val="auto"/>
          <w:highlight w:val="none"/>
        </w:rPr>
        <w:t>500mAh</w:t>
      </w:r>
      <w:r>
        <w:rPr>
          <w:rFonts w:hint="eastAsia" w:ascii="宋体" w:hAnsi="宋体"/>
          <w:color w:val="auto"/>
          <w:highlight w:val="none"/>
        </w:rPr>
        <w:t>。</w:t>
      </w:r>
    </w:p>
    <w:p>
      <w:pPr>
        <w:spacing w:line="360" w:lineRule="auto"/>
        <w:contextualSpacing/>
        <w:textAlignment w:val="center"/>
        <w:rPr>
          <w:rFonts w:ascii="宋体" w:hAnsi="宋体"/>
          <w:color w:val="auto"/>
          <w:highlight w:val="none"/>
        </w:rPr>
      </w:pPr>
      <w:r>
        <w:rPr>
          <w:rFonts w:hint="eastAsia" w:ascii="宋体" w:hAnsi="宋体"/>
          <w:color w:val="auto"/>
          <w:highlight w:val="none"/>
        </w:rPr>
        <w:t>4）工作时间：肩灯模式≥</w:t>
      </w:r>
      <w:r>
        <w:rPr>
          <w:rFonts w:ascii="宋体" w:hAnsi="宋体"/>
          <w:color w:val="auto"/>
          <w:highlight w:val="none"/>
        </w:rPr>
        <w:t>12</w:t>
      </w:r>
      <w:r>
        <w:rPr>
          <w:rFonts w:hint="eastAsia" w:ascii="宋体" w:hAnsi="宋体"/>
          <w:color w:val="auto"/>
          <w:highlight w:val="none"/>
        </w:rPr>
        <w:t>小时，预警模式≥</w:t>
      </w:r>
      <w:r>
        <w:rPr>
          <w:rFonts w:ascii="宋体" w:hAnsi="宋体"/>
          <w:color w:val="auto"/>
          <w:highlight w:val="none"/>
        </w:rPr>
        <w:t>6</w:t>
      </w:r>
      <w:r>
        <w:rPr>
          <w:rFonts w:hint="eastAsia" w:ascii="宋体" w:hAnsi="宋体"/>
          <w:color w:val="auto"/>
          <w:highlight w:val="none"/>
        </w:rPr>
        <w:t>小时。</w:t>
      </w:r>
    </w:p>
    <w:p>
      <w:pPr>
        <w:spacing w:line="360" w:lineRule="auto"/>
        <w:contextualSpacing/>
        <w:textAlignment w:val="center"/>
        <w:rPr>
          <w:rFonts w:ascii="宋体" w:hAnsi="宋体"/>
          <w:color w:val="auto"/>
          <w:highlight w:val="none"/>
        </w:rPr>
      </w:pPr>
      <w:r>
        <w:rPr>
          <w:rFonts w:hint="eastAsia" w:ascii="宋体" w:hAnsi="宋体"/>
          <w:color w:val="auto"/>
          <w:highlight w:val="none"/>
        </w:rPr>
        <w:t>5</w:t>
      </w:r>
      <w:r>
        <w:rPr>
          <w:rFonts w:ascii="宋体" w:hAnsi="宋体"/>
          <w:color w:val="auto"/>
          <w:highlight w:val="none"/>
        </w:rPr>
        <w:t xml:space="preserve">) </w:t>
      </w:r>
      <w:r>
        <w:rPr>
          <w:rFonts w:hint="eastAsia" w:ascii="宋体" w:hAnsi="宋体"/>
          <w:color w:val="auto"/>
          <w:highlight w:val="none"/>
        </w:rPr>
        <w:t xml:space="preserve">无线工作频率：≥ 400 </w:t>
      </w:r>
      <w:r>
        <w:rPr>
          <w:rFonts w:ascii="宋体" w:hAnsi="宋体"/>
          <w:color w:val="auto"/>
          <w:highlight w:val="none"/>
        </w:rPr>
        <w:t>MHz</w:t>
      </w:r>
      <w:r>
        <w:rPr>
          <w:rFonts w:hint="eastAsia" w:ascii="宋体" w:hAnsi="宋体"/>
          <w:color w:val="auto"/>
          <w:highlight w:val="none"/>
        </w:rPr>
        <w:t>。</w:t>
      </w:r>
    </w:p>
    <w:p>
      <w:pPr>
        <w:spacing w:line="360" w:lineRule="auto"/>
        <w:contextualSpacing/>
        <w:textAlignment w:val="center"/>
        <w:rPr>
          <w:rFonts w:ascii="宋体" w:hAnsi="宋体"/>
          <w:color w:val="auto"/>
          <w:highlight w:val="none"/>
        </w:rPr>
      </w:pPr>
      <w:r>
        <w:rPr>
          <w:rFonts w:hint="eastAsia" w:ascii="宋体" w:hAnsi="宋体"/>
          <w:color w:val="auto"/>
          <w:highlight w:val="none"/>
        </w:rPr>
        <w:t xml:space="preserve">6）接收距离：空旷地区 ≥ </w:t>
      </w:r>
      <w:r>
        <w:rPr>
          <w:rFonts w:ascii="宋体" w:hAnsi="宋体"/>
          <w:color w:val="auto"/>
          <w:highlight w:val="none"/>
        </w:rPr>
        <w:t>200</w:t>
      </w:r>
      <w:r>
        <w:rPr>
          <w:rFonts w:hint="eastAsia" w:ascii="宋体" w:hAnsi="宋体"/>
          <w:color w:val="auto"/>
          <w:highlight w:val="none"/>
        </w:rPr>
        <w:t>米。</w:t>
      </w:r>
    </w:p>
    <w:p>
      <w:pPr>
        <w:spacing w:line="360" w:lineRule="auto"/>
        <w:contextualSpacing/>
        <w:textAlignment w:val="center"/>
        <w:rPr>
          <w:rFonts w:ascii="宋体" w:hAnsi="宋体"/>
          <w:color w:val="auto"/>
          <w:highlight w:val="none"/>
        </w:rPr>
      </w:pPr>
      <w:r>
        <w:rPr>
          <w:rFonts w:hint="eastAsia" w:ascii="宋体" w:hAnsi="宋体"/>
          <w:color w:val="auto"/>
          <w:highlight w:val="none"/>
        </w:rPr>
        <w:t>7）响应时间：＜</w:t>
      </w:r>
      <w:r>
        <w:rPr>
          <w:rFonts w:ascii="宋体" w:hAnsi="宋体"/>
          <w:color w:val="auto"/>
          <w:highlight w:val="none"/>
        </w:rPr>
        <w:t>10ms</w:t>
      </w:r>
      <w:r>
        <w:rPr>
          <w:rFonts w:hint="eastAsia" w:ascii="宋体" w:hAnsi="宋体"/>
          <w:color w:val="auto"/>
          <w:highlight w:val="none"/>
        </w:rPr>
        <w:t>。</w:t>
      </w:r>
    </w:p>
    <w:p>
      <w:pPr>
        <w:spacing w:line="360" w:lineRule="auto"/>
        <w:contextualSpacing/>
        <w:textAlignment w:val="center"/>
        <w:rPr>
          <w:rFonts w:ascii="宋体" w:hAnsi="宋体"/>
          <w:color w:val="auto"/>
          <w:highlight w:val="none"/>
        </w:rPr>
      </w:pPr>
      <w:r>
        <w:rPr>
          <w:rFonts w:hint="eastAsia" w:ascii="宋体" w:hAnsi="宋体"/>
          <w:color w:val="auto"/>
          <w:highlight w:val="none"/>
        </w:rPr>
        <w:t>8）规格尺寸</w:t>
      </w:r>
      <w:r>
        <w:rPr>
          <w:rFonts w:ascii="宋体" w:hAnsi="宋体"/>
          <w:color w:val="auto"/>
          <w:highlight w:val="none"/>
        </w:rPr>
        <w:t xml:space="preserve">: </w:t>
      </w:r>
      <w:r>
        <w:rPr>
          <w:rFonts w:hint="eastAsia" w:ascii="宋体" w:hAnsi="宋体"/>
          <w:color w:val="auto"/>
          <w:highlight w:val="none"/>
        </w:rPr>
        <w:t>（90</w:t>
      </w:r>
      <w:r>
        <w:rPr>
          <w:rFonts w:ascii="宋体" w:hAnsi="宋体"/>
          <w:color w:val="auto"/>
          <w:highlight w:val="none"/>
        </w:rPr>
        <w:t>×3</w:t>
      </w:r>
      <w:r>
        <w:rPr>
          <w:rFonts w:hint="eastAsia" w:ascii="宋体" w:hAnsi="宋体"/>
          <w:color w:val="auto"/>
          <w:highlight w:val="none"/>
        </w:rPr>
        <w:t>5</w:t>
      </w:r>
      <w:r>
        <w:rPr>
          <w:rFonts w:ascii="宋体" w:hAnsi="宋体"/>
          <w:color w:val="auto"/>
          <w:highlight w:val="none"/>
        </w:rPr>
        <w:t>×</w:t>
      </w:r>
      <w:r>
        <w:rPr>
          <w:rFonts w:hint="eastAsia" w:ascii="宋体" w:hAnsi="宋体"/>
          <w:color w:val="auto"/>
          <w:highlight w:val="none"/>
        </w:rPr>
        <w:t>30</w:t>
      </w:r>
      <w:r>
        <w:rPr>
          <w:rFonts w:ascii="宋体" w:hAnsi="宋体"/>
          <w:color w:val="auto"/>
          <w:highlight w:val="none"/>
        </w:rPr>
        <w:t>mm</w:t>
      </w:r>
      <w:r>
        <w:rPr>
          <w:rFonts w:hint="eastAsia" w:ascii="宋体" w:hAnsi="宋体"/>
          <w:color w:val="auto"/>
          <w:highlight w:val="none"/>
        </w:rPr>
        <w:t>）±</w:t>
      </w:r>
      <w:r>
        <w:rPr>
          <w:rFonts w:ascii="宋体" w:hAnsi="宋体"/>
          <w:color w:val="auto"/>
          <w:highlight w:val="none"/>
        </w:rPr>
        <w:t>1 mm</w:t>
      </w:r>
      <w:r>
        <w:rPr>
          <w:rFonts w:hint="eastAsia" w:ascii="宋体" w:hAnsi="宋体"/>
          <w:color w:val="auto"/>
          <w:highlight w:val="none"/>
        </w:rPr>
        <w:t>。</w:t>
      </w:r>
    </w:p>
    <w:p>
      <w:pPr>
        <w:spacing w:line="360" w:lineRule="auto"/>
        <w:contextualSpacing/>
        <w:textAlignment w:val="center"/>
        <w:rPr>
          <w:rFonts w:ascii="宋体" w:hAnsi="宋体"/>
          <w:color w:val="auto"/>
          <w:highlight w:val="none"/>
        </w:rPr>
      </w:pPr>
      <w:r>
        <w:rPr>
          <w:rFonts w:hint="eastAsia" w:ascii="宋体" w:hAnsi="宋体"/>
          <w:color w:val="auto"/>
          <w:highlight w:val="none"/>
        </w:rPr>
        <w:t>9）防护等级：</w:t>
      </w:r>
      <w:r>
        <w:rPr>
          <w:rFonts w:hint="eastAsia" w:ascii="宋体" w:hAnsi="宋体"/>
          <w:color w:val="auto"/>
          <w:highlight w:val="none"/>
          <w:lang w:val="en-US" w:eastAsia="zh-CN"/>
        </w:rPr>
        <w:t>≥</w:t>
      </w:r>
      <w:r>
        <w:rPr>
          <w:rFonts w:ascii="宋体" w:hAnsi="宋体"/>
          <w:color w:val="auto"/>
          <w:highlight w:val="none"/>
        </w:rPr>
        <w:t>IP54</w:t>
      </w:r>
      <w:r>
        <w:rPr>
          <w:rFonts w:hint="eastAsia" w:ascii="宋体" w:hAnsi="宋体"/>
          <w:color w:val="auto"/>
          <w:highlight w:val="none"/>
        </w:rPr>
        <w:t>。</w:t>
      </w:r>
    </w:p>
    <w:p>
      <w:pPr>
        <w:spacing w:line="360" w:lineRule="auto"/>
        <w:contextualSpacing/>
        <w:textAlignment w:val="center"/>
        <w:rPr>
          <w:rFonts w:ascii="宋体" w:hAnsi="宋体"/>
          <w:color w:val="auto"/>
          <w:highlight w:val="none"/>
        </w:rPr>
      </w:pPr>
      <w:r>
        <w:rPr>
          <w:rFonts w:hint="eastAsia" w:ascii="宋体" w:hAnsi="宋体"/>
          <w:color w:val="auto"/>
          <w:highlight w:val="none"/>
        </w:rPr>
        <w:t>10）重</w:t>
      </w:r>
      <w:r>
        <w:rPr>
          <w:rFonts w:ascii="宋体" w:hAnsi="宋体"/>
          <w:color w:val="auto"/>
          <w:highlight w:val="none"/>
        </w:rPr>
        <w:t xml:space="preserve"> </w:t>
      </w:r>
      <w:r>
        <w:rPr>
          <w:rFonts w:hint="eastAsia" w:ascii="宋体" w:hAnsi="宋体"/>
          <w:color w:val="auto"/>
          <w:highlight w:val="none"/>
        </w:rPr>
        <w:t>量：＜</w:t>
      </w:r>
      <w:r>
        <w:rPr>
          <w:rFonts w:ascii="宋体" w:hAnsi="宋体"/>
          <w:color w:val="auto"/>
          <w:highlight w:val="none"/>
        </w:rPr>
        <w:t>50g</w:t>
      </w:r>
      <w:r>
        <w:rPr>
          <w:rFonts w:hint="eastAsia" w:ascii="宋体" w:hAnsi="宋体"/>
          <w:color w:val="auto"/>
          <w:highlight w:val="none"/>
        </w:rPr>
        <w:t>。</w:t>
      </w:r>
    </w:p>
    <w:p>
      <w:pPr>
        <w:spacing w:line="360" w:lineRule="auto"/>
        <w:contextualSpacing/>
        <w:textAlignment w:val="center"/>
        <w:rPr>
          <w:rFonts w:ascii="宋体" w:hAnsi="宋体"/>
          <w:color w:val="auto"/>
          <w:highlight w:val="none"/>
        </w:rPr>
      </w:pPr>
      <w:r>
        <w:rPr>
          <w:rFonts w:hint="eastAsia" w:ascii="宋体" w:hAnsi="宋体"/>
          <w:color w:val="auto"/>
          <w:highlight w:val="none"/>
        </w:rPr>
        <w:t>（3）报警器</w:t>
      </w:r>
    </w:p>
    <w:p>
      <w:pPr>
        <w:spacing w:line="360" w:lineRule="auto"/>
        <w:contextualSpacing/>
        <w:textAlignment w:val="center"/>
        <w:rPr>
          <w:rFonts w:ascii="宋体" w:hAnsi="宋体"/>
          <w:color w:val="auto"/>
          <w:highlight w:val="none"/>
        </w:rPr>
      </w:pPr>
      <w:r>
        <w:rPr>
          <w:rFonts w:ascii="宋体" w:hAnsi="宋体"/>
          <w:color w:val="auto"/>
          <w:highlight w:val="none"/>
        </w:rPr>
        <w:t>1</w:t>
      </w:r>
      <w:r>
        <w:rPr>
          <w:rFonts w:hint="eastAsia" w:ascii="宋体" w:hAnsi="宋体"/>
          <w:color w:val="auto"/>
          <w:highlight w:val="none"/>
        </w:rPr>
        <w:t>）功能：支持报警器用于红蓝</w:t>
      </w:r>
      <w:r>
        <w:rPr>
          <w:rFonts w:ascii="宋体" w:hAnsi="宋体"/>
          <w:color w:val="auto"/>
          <w:highlight w:val="none"/>
        </w:rPr>
        <w:t>LED</w:t>
      </w:r>
      <w:r>
        <w:rPr>
          <w:rFonts w:hint="eastAsia" w:ascii="宋体" w:hAnsi="宋体"/>
          <w:color w:val="auto"/>
          <w:highlight w:val="none"/>
        </w:rPr>
        <w:t>闪烁和接收报警信号。报警器需与肩灯或报警路锥配合使用。</w:t>
      </w:r>
    </w:p>
    <w:p>
      <w:pPr>
        <w:spacing w:line="360" w:lineRule="auto"/>
        <w:contextualSpacing/>
        <w:textAlignment w:val="center"/>
        <w:rPr>
          <w:rFonts w:ascii="宋体" w:hAnsi="宋体"/>
          <w:color w:val="auto"/>
          <w:highlight w:val="none"/>
        </w:rPr>
      </w:pPr>
      <w:r>
        <w:rPr>
          <w:rFonts w:ascii="宋体" w:hAnsi="宋体"/>
          <w:color w:val="auto"/>
          <w:highlight w:val="none"/>
        </w:rPr>
        <w:t>2</w:t>
      </w:r>
      <w:r>
        <w:rPr>
          <w:rFonts w:hint="eastAsia" w:ascii="宋体" w:hAnsi="宋体"/>
          <w:color w:val="auto"/>
          <w:highlight w:val="none"/>
        </w:rPr>
        <w:t>）锂电池容量：≥</w:t>
      </w:r>
      <w:r>
        <w:rPr>
          <w:rFonts w:ascii="宋体" w:hAnsi="宋体"/>
          <w:color w:val="auto"/>
          <w:highlight w:val="none"/>
        </w:rPr>
        <w:t xml:space="preserve">750mAh </w:t>
      </w:r>
      <w:r>
        <w:rPr>
          <w:rFonts w:hint="eastAsia" w:ascii="宋体" w:hAnsi="宋体"/>
          <w:color w:val="auto"/>
          <w:highlight w:val="none"/>
        </w:rPr>
        <w:t>。</w:t>
      </w:r>
    </w:p>
    <w:p>
      <w:pPr>
        <w:spacing w:line="360" w:lineRule="auto"/>
        <w:contextualSpacing/>
        <w:textAlignment w:val="center"/>
        <w:rPr>
          <w:rFonts w:ascii="宋体" w:hAnsi="宋体"/>
          <w:color w:val="auto"/>
          <w:highlight w:val="none"/>
        </w:rPr>
      </w:pPr>
      <w:r>
        <w:rPr>
          <w:rFonts w:ascii="宋体" w:hAnsi="宋体"/>
          <w:color w:val="auto"/>
          <w:highlight w:val="none"/>
        </w:rPr>
        <w:t>3</w:t>
      </w:r>
      <w:r>
        <w:rPr>
          <w:rFonts w:hint="eastAsia" w:ascii="宋体" w:hAnsi="宋体"/>
          <w:color w:val="auto"/>
          <w:highlight w:val="none"/>
        </w:rPr>
        <w:t>）工作方式：红蓝</w:t>
      </w:r>
      <w:r>
        <w:rPr>
          <w:rFonts w:ascii="宋体" w:hAnsi="宋体"/>
          <w:color w:val="auto"/>
          <w:highlight w:val="none"/>
        </w:rPr>
        <w:t>LED</w:t>
      </w:r>
      <w:r>
        <w:rPr>
          <w:rFonts w:hint="eastAsia" w:ascii="宋体" w:hAnsi="宋体"/>
          <w:color w:val="auto"/>
          <w:highlight w:val="none"/>
        </w:rPr>
        <w:t>灯组闪烁、声光报警。</w:t>
      </w:r>
    </w:p>
    <w:p>
      <w:pPr>
        <w:spacing w:line="360" w:lineRule="auto"/>
        <w:contextualSpacing/>
        <w:textAlignment w:val="center"/>
        <w:rPr>
          <w:rFonts w:ascii="宋体" w:hAnsi="宋体"/>
          <w:color w:val="auto"/>
          <w:highlight w:val="none"/>
        </w:rPr>
      </w:pPr>
      <w:r>
        <w:rPr>
          <w:rFonts w:ascii="宋体" w:hAnsi="宋体"/>
          <w:color w:val="auto"/>
          <w:highlight w:val="none"/>
        </w:rPr>
        <w:t>4</w:t>
      </w:r>
      <w:r>
        <w:rPr>
          <w:rFonts w:hint="eastAsia" w:ascii="宋体" w:hAnsi="宋体"/>
          <w:color w:val="auto"/>
          <w:highlight w:val="none"/>
        </w:rPr>
        <w:t>）闪烁频率：≥</w:t>
      </w:r>
      <w:r>
        <w:rPr>
          <w:rFonts w:ascii="宋体" w:hAnsi="宋体"/>
          <w:color w:val="auto"/>
          <w:highlight w:val="none"/>
        </w:rPr>
        <w:t>5Hz</w:t>
      </w:r>
      <w:r>
        <w:rPr>
          <w:rFonts w:hint="eastAsia" w:ascii="宋体" w:hAnsi="宋体"/>
          <w:color w:val="auto"/>
          <w:highlight w:val="none"/>
        </w:rPr>
        <w:t>。</w:t>
      </w:r>
    </w:p>
    <w:p>
      <w:pPr>
        <w:spacing w:line="360" w:lineRule="auto"/>
        <w:contextualSpacing/>
        <w:textAlignment w:val="center"/>
        <w:rPr>
          <w:rFonts w:ascii="宋体" w:hAnsi="宋体"/>
          <w:color w:val="auto"/>
          <w:highlight w:val="none"/>
        </w:rPr>
      </w:pPr>
      <w:r>
        <w:rPr>
          <w:rFonts w:ascii="宋体" w:hAnsi="宋体"/>
          <w:color w:val="auto"/>
          <w:highlight w:val="none"/>
        </w:rPr>
        <w:t>5</w:t>
      </w:r>
      <w:r>
        <w:rPr>
          <w:rFonts w:hint="eastAsia" w:ascii="宋体" w:hAnsi="宋体"/>
          <w:color w:val="auto"/>
          <w:highlight w:val="none"/>
        </w:rPr>
        <w:t>）闪烁工作时间：≥</w:t>
      </w:r>
      <w:r>
        <w:rPr>
          <w:rFonts w:ascii="宋体" w:hAnsi="宋体"/>
          <w:color w:val="auto"/>
          <w:highlight w:val="none"/>
        </w:rPr>
        <w:t>10</w:t>
      </w:r>
      <w:r>
        <w:rPr>
          <w:rFonts w:hint="eastAsia" w:ascii="宋体" w:hAnsi="宋体"/>
          <w:color w:val="auto"/>
          <w:highlight w:val="none"/>
        </w:rPr>
        <w:t>小时。</w:t>
      </w:r>
    </w:p>
    <w:p>
      <w:pPr>
        <w:spacing w:line="360" w:lineRule="auto"/>
        <w:contextualSpacing/>
        <w:textAlignment w:val="center"/>
        <w:rPr>
          <w:rFonts w:ascii="宋体" w:hAnsi="宋体"/>
          <w:color w:val="auto"/>
          <w:highlight w:val="none"/>
        </w:rPr>
      </w:pPr>
      <w:r>
        <w:rPr>
          <w:rFonts w:ascii="宋体" w:hAnsi="宋体"/>
          <w:color w:val="auto"/>
          <w:highlight w:val="none"/>
        </w:rPr>
        <w:t>6</w:t>
      </w:r>
      <w:r>
        <w:rPr>
          <w:rFonts w:hint="eastAsia" w:ascii="宋体" w:hAnsi="宋体"/>
          <w:color w:val="auto"/>
          <w:highlight w:val="none"/>
        </w:rPr>
        <w:t>）声音强度：≥</w:t>
      </w:r>
      <w:r>
        <w:rPr>
          <w:rFonts w:ascii="宋体" w:hAnsi="宋体"/>
          <w:color w:val="auto"/>
          <w:highlight w:val="none"/>
        </w:rPr>
        <w:t>100dB</w:t>
      </w:r>
      <w:r>
        <w:rPr>
          <w:rFonts w:hint="eastAsia" w:ascii="宋体" w:hAnsi="宋体"/>
          <w:color w:val="auto"/>
          <w:highlight w:val="none"/>
        </w:rPr>
        <w:t>。</w:t>
      </w:r>
    </w:p>
    <w:p>
      <w:pPr>
        <w:spacing w:line="360" w:lineRule="auto"/>
        <w:contextualSpacing/>
        <w:textAlignment w:val="center"/>
        <w:rPr>
          <w:rFonts w:ascii="宋体" w:hAnsi="宋体"/>
          <w:color w:val="auto"/>
          <w:highlight w:val="none"/>
        </w:rPr>
      </w:pPr>
      <w:r>
        <w:rPr>
          <w:rFonts w:ascii="宋体" w:hAnsi="宋体"/>
          <w:color w:val="auto"/>
          <w:highlight w:val="none"/>
        </w:rPr>
        <w:t>7</w:t>
      </w:r>
      <w:r>
        <w:rPr>
          <w:rFonts w:hint="eastAsia" w:ascii="宋体" w:hAnsi="宋体"/>
          <w:color w:val="auto"/>
          <w:highlight w:val="none"/>
        </w:rPr>
        <w:t>）吸附功能：尾部内置磁铁，可吸附在磁铁或铁质金属物质表面。</w:t>
      </w:r>
    </w:p>
    <w:p>
      <w:pPr>
        <w:spacing w:line="360" w:lineRule="auto"/>
        <w:contextualSpacing/>
        <w:textAlignment w:val="center"/>
        <w:rPr>
          <w:rFonts w:ascii="宋体" w:hAnsi="宋体"/>
          <w:color w:val="auto"/>
          <w:highlight w:val="none"/>
        </w:rPr>
      </w:pPr>
      <w:r>
        <w:rPr>
          <w:rFonts w:ascii="宋体" w:hAnsi="宋体"/>
          <w:color w:val="auto"/>
          <w:highlight w:val="none"/>
        </w:rPr>
        <w:t xml:space="preserve">8) </w:t>
      </w:r>
      <w:r>
        <w:rPr>
          <w:rFonts w:hint="eastAsia" w:ascii="宋体" w:hAnsi="宋体"/>
          <w:color w:val="auto"/>
          <w:highlight w:val="none"/>
        </w:rPr>
        <w:t>无线工作频率：≥400</w:t>
      </w:r>
      <w:r>
        <w:rPr>
          <w:rFonts w:ascii="宋体" w:hAnsi="宋体"/>
          <w:color w:val="auto"/>
          <w:highlight w:val="none"/>
        </w:rPr>
        <w:t>MHz</w:t>
      </w:r>
      <w:r>
        <w:rPr>
          <w:rFonts w:hint="eastAsia" w:ascii="宋体" w:hAnsi="宋体"/>
          <w:color w:val="auto"/>
          <w:highlight w:val="none"/>
        </w:rPr>
        <w:t>。</w:t>
      </w:r>
    </w:p>
    <w:p>
      <w:pPr>
        <w:spacing w:line="360" w:lineRule="auto"/>
        <w:contextualSpacing/>
        <w:textAlignment w:val="center"/>
        <w:rPr>
          <w:rFonts w:ascii="宋体" w:hAnsi="宋体"/>
          <w:color w:val="auto"/>
          <w:highlight w:val="none"/>
        </w:rPr>
      </w:pPr>
      <w:r>
        <w:rPr>
          <w:rFonts w:ascii="宋体" w:hAnsi="宋体"/>
          <w:color w:val="auto"/>
          <w:highlight w:val="none"/>
        </w:rPr>
        <w:t>9</w:t>
      </w:r>
      <w:r>
        <w:rPr>
          <w:rFonts w:hint="eastAsia" w:ascii="宋体" w:hAnsi="宋体"/>
          <w:color w:val="auto"/>
          <w:highlight w:val="none"/>
        </w:rPr>
        <w:t>）接收距离：空旷地区≥</w:t>
      </w:r>
      <w:r>
        <w:rPr>
          <w:rFonts w:ascii="宋体" w:hAnsi="宋体"/>
          <w:color w:val="auto"/>
          <w:highlight w:val="none"/>
        </w:rPr>
        <w:t>200</w:t>
      </w:r>
      <w:r>
        <w:rPr>
          <w:rFonts w:hint="eastAsia" w:ascii="宋体" w:hAnsi="宋体"/>
          <w:color w:val="auto"/>
          <w:highlight w:val="none"/>
        </w:rPr>
        <w:t>米。</w:t>
      </w:r>
    </w:p>
    <w:p>
      <w:pPr>
        <w:spacing w:line="360" w:lineRule="auto"/>
        <w:contextualSpacing/>
        <w:textAlignment w:val="center"/>
        <w:rPr>
          <w:rFonts w:ascii="宋体" w:hAnsi="宋体"/>
          <w:color w:val="auto"/>
          <w:highlight w:val="none"/>
        </w:rPr>
      </w:pPr>
      <w:r>
        <w:rPr>
          <w:rFonts w:ascii="宋体" w:hAnsi="宋体"/>
          <w:color w:val="auto"/>
          <w:highlight w:val="none"/>
        </w:rPr>
        <w:t>10</w:t>
      </w:r>
      <w:r>
        <w:rPr>
          <w:rFonts w:hint="eastAsia" w:ascii="宋体" w:hAnsi="宋体"/>
          <w:color w:val="auto"/>
          <w:highlight w:val="none"/>
        </w:rPr>
        <w:t>）规格尺寸：</w:t>
      </w:r>
      <w:r>
        <w:rPr>
          <w:rFonts w:ascii="宋体" w:hAnsi="宋体"/>
          <w:color w:val="auto"/>
          <w:highlight w:val="none"/>
        </w:rPr>
        <w:t>1</w:t>
      </w:r>
      <w:r>
        <w:rPr>
          <w:rFonts w:hint="eastAsia" w:ascii="宋体" w:hAnsi="宋体"/>
          <w:color w:val="auto"/>
          <w:highlight w:val="none"/>
        </w:rPr>
        <w:t>5</w:t>
      </w:r>
      <w:r>
        <w:rPr>
          <w:rFonts w:ascii="宋体" w:hAnsi="宋体"/>
          <w:color w:val="auto"/>
          <w:highlight w:val="none"/>
        </w:rPr>
        <w:t>*1</w:t>
      </w:r>
      <w:r>
        <w:rPr>
          <w:rFonts w:hint="eastAsia" w:ascii="宋体" w:hAnsi="宋体"/>
          <w:color w:val="auto"/>
          <w:highlight w:val="none"/>
        </w:rPr>
        <w:t>5</w:t>
      </w:r>
      <w:r>
        <w:rPr>
          <w:rFonts w:ascii="宋体" w:hAnsi="宋体"/>
          <w:color w:val="auto"/>
          <w:highlight w:val="none"/>
        </w:rPr>
        <w:t>cm</w:t>
      </w:r>
      <w:r>
        <w:rPr>
          <w:rFonts w:hint="eastAsia" w:ascii="宋体" w:hAnsi="宋体"/>
          <w:color w:val="auto"/>
          <w:highlight w:val="none"/>
        </w:rPr>
        <w:t>±2cm</w:t>
      </w:r>
    </w:p>
    <w:p>
      <w:pPr>
        <w:spacing w:line="360" w:lineRule="auto"/>
        <w:contextualSpacing/>
        <w:textAlignment w:val="center"/>
        <w:rPr>
          <w:rFonts w:ascii="宋体" w:hAnsi="宋体"/>
          <w:color w:val="auto"/>
          <w:highlight w:val="none"/>
        </w:rPr>
      </w:pPr>
      <w:r>
        <w:rPr>
          <w:rFonts w:ascii="宋体" w:hAnsi="宋体"/>
          <w:color w:val="auto"/>
          <w:highlight w:val="none"/>
        </w:rPr>
        <w:t>11</w:t>
      </w:r>
      <w:r>
        <w:rPr>
          <w:rFonts w:hint="eastAsia" w:ascii="宋体" w:hAnsi="宋体"/>
          <w:color w:val="auto"/>
          <w:highlight w:val="none"/>
        </w:rPr>
        <w:t>）防护等级：</w:t>
      </w:r>
      <w:r>
        <w:rPr>
          <w:rFonts w:hint="eastAsia" w:ascii="宋体" w:hAnsi="宋体"/>
          <w:color w:val="auto"/>
          <w:highlight w:val="none"/>
          <w:lang w:val="en-US" w:eastAsia="zh-CN"/>
        </w:rPr>
        <w:t>≥</w:t>
      </w:r>
      <w:r>
        <w:rPr>
          <w:rFonts w:ascii="宋体" w:hAnsi="宋体"/>
          <w:color w:val="auto"/>
          <w:highlight w:val="none"/>
        </w:rPr>
        <w:t>IP54</w:t>
      </w:r>
      <w:r>
        <w:rPr>
          <w:rFonts w:hint="eastAsia" w:ascii="宋体" w:hAnsi="宋体"/>
          <w:color w:val="auto"/>
          <w:highlight w:val="none"/>
        </w:rPr>
        <w:t>。</w:t>
      </w:r>
    </w:p>
    <w:p>
      <w:pPr>
        <w:spacing w:line="360" w:lineRule="auto"/>
        <w:contextualSpacing/>
        <w:textAlignment w:val="center"/>
        <w:rPr>
          <w:rFonts w:ascii="宋体" w:hAnsi="宋体"/>
          <w:color w:val="auto"/>
          <w:highlight w:val="none"/>
        </w:rPr>
      </w:pPr>
      <w:r>
        <w:rPr>
          <w:rFonts w:ascii="宋体" w:hAnsi="宋体"/>
          <w:color w:val="auto"/>
          <w:highlight w:val="none"/>
        </w:rPr>
        <w:t>12</w:t>
      </w:r>
      <w:r>
        <w:rPr>
          <w:rFonts w:hint="eastAsia" w:ascii="宋体" w:hAnsi="宋体"/>
          <w:color w:val="auto"/>
          <w:highlight w:val="none"/>
        </w:rPr>
        <w:t>）重量：</w:t>
      </w:r>
      <w:r>
        <w:rPr>
          <w:rFonts w:hint="eastAsia" w:ascii="宋体" w:hAnsi="宋体" w:cs="宋体"/>
          <w:color w:val="auto"/>
          <w:highlight w:val="none"/>
        </w:rPr>
        <w:t>≤</w:t>
      </w:r>
      <w:r>
        <w:rPr>
          <w:rFonts w:ascii="宋体" w:hAnsi="宋体"/>
          <w:color w:val="auto"/>
          <w:highlight w:val="none"/>
        </w:rPr>
        <w:t>4</w:t>
      </w:r>
      <w:r>
        <w:rPr>
          <w:rFonts w:hint="eastAsia" w:ascii="宋体" w:hAnsi="宋体"/>
          <w:color w:val="auto"/>
          <w:highlight w:val="none"/>
        </w:rPr>
        <w:t>50</w:t>
      </w:r>
      <w:r>
        <w:rPr>
          <w:rFonts w:ascii="宋体" w:hAnsi="宋体"/>
          <w:color w:val="auto"/>
          <w:highlight w:val="none"/>
        </w:rPr>
        <w:t>g</w:t>
      </w:r>
      <w:r>
        <w:rPr>
          <w:rFonts w:hint="eastAsia" w:ascii="宋体" w:hAnsi="宋体"/>
          <w:color w:val="auto"/>
          <w:highlight w:val="none"/>
        </w:rPr>
        <w:t>。</w:t>
      </w:r>
    </w:p>
    <w:p>
      <w:pPr>
        <w:spacing w:line="360" w:lineRule="auto"/>
        <w:contextualSpacing/>
        <w:textAlignment w:val="center"/>
        <w:rPr>
          <w:rFonts w:ascii="宋体" w:hAnsi="宋体"/>
          <w:color w:val="auto"/>
          <w:highlight w:val="none"/>
        </w:rPr>
      </w:pPr>
      <w:r>
        <w:rPr>
          <w:rFonts w:hint="eastAsia" w:ascii="宋体" w:hAnsi="宋体"/>
          <w:color w:val="auto"/>
          <w:highlight w:val="none"/>
        </w:rPr>
        <w:t>（4）预警路锥</w:t>
      </w:r>
    </w:p>
    <w:p>
      <w:pPr>
        <w:spacing w:line="360" w:lineRule="auto"/>
        <w:contextualSpacing/>
        <w:textAlignment w:val="center"/>
        <w:rPr>
          <w:rFonts w:ascii="宋体" w:hAnsi="宋体"/>
          <w:color w:val="auto"/>
          <w:highlight w:val="none"/>
        </w:rPr>
      </w:pPr>
      <w:r>
        <w:rPr>
          <w:rFonts w:ascii="宋体" w:hAnsi="宋体"/>
          <w:color w:val="auto"/>
          <w:highlight w:val="none"/>
        </w:rPr>
        <w:t>1</w:t>
      </w:r>
      <w:r>
        <w:rPr>
          <w:rFonts w:hint="eastAsia" w:ascii="宋体" w:hAnsi="宋体"/>
          <w:color w:val="auto"/>
          <w:highlight w:val="none"/>
        </w:rPr>
        <w:t>）功能：支持红蓝爆闪</w:t>
      </w:r>
      <w:r>
        <w:rPr>
          <w:rFonts w:ascii="宋体" w:hAnsi="宋体"/>
          <w:color w:val="auto"/>
          <w:highlight w:val="none"/>
        </w:rPr>
        <w:t>/</w:t>
      </w:r>
      <w:r>
        <w:rPr>
          <w:rFonts w:hint="eastAsia" w:ascii="宋体" w:hAnsi="宋体"/>
          <w:color w:val="auto"/>
          <w:highlight w:val="none"/>
        </w:rPr>
        <w:t>慢闪功能，支持道路交通预警功能，支持路锥受到撞击发生倾倒、加速、位移时，发出无线警报信号。</w:t>
      </w:r>
    </w:p>
    <w:p>
      <w:pPr>
        <w:spacing w:line="360" w:lineRule="auto"/>
        <w:contextualSpacing/>
        <w:textAlignment w:val="center"/>
        <w:rPr>
          <w:rFonts w:ascii="宋体" w:hAnsi="宋体"/>
          <w:color w:val="auto"/>
          <w:highlight w:val="none"/>
        </w:rPr>
      </w:pPr>
      <w:r>
        <w:rPr>
          <w:rFonts w:ascii="宋体" w:hAnsi="宋体"/>
          <w:color w:val="auto"/>
          <w:highlight w:val="none"/>
        </w:rPr>
        <w:t>2</w:t>
      </w:r>
      <w:r>
        <w:rPr>
          <w:rFonts w:hint="eastAsia" w:ascii="宋体" w:hAnsi="宋体"/>
          <w:color w:val="auto"/>
          <w:highlight w:val="none"/>
        </w:rPr>
        <w:t>）锂电池容量：≥</w:t>
      </w:r>
      <w:r>
        <w:rPr>
          <w:rFonts w:ascii="宋体" w:hAnsi="宋体"/>
          <w:color w:val="auto"/>
          <w:highlight w:val="none"/>
        </w:rPr>
        <w:t xml:space="preserve">2000mAh </w:t>
      </w:r>
    </w:p>
    <w:p>
      <w:pPr>
        <w:spacing w:line="360" w:lineRule="auto"/>
        <w:contextualSpacing/>
        <w:textAlignment w:val="center"/>
        <w:rPr>
          <w:rFonts w:ascii="宋体" w:hAnsi="宋体"/>
          <w:color w:val="auto"/>
          <w:highlight w:val="none"/>
        </w:rPr>
      </w:pPr>
      <w:r>
        <w:rPr>
          <w:rFonts w:ascii="宋体" w:hAnsi="宋体"/>
          <w:color w:val="auto"/>
          <w:highlight w:val="none"/>
        </w:rPr>
        <w:t>3</w:t>
      </w:r>
      <w:r>
        <w:rPr>
          <w:rFonts w:hint="eastAsia" w:ascii="宋体" w:hAnsi="宋体"/>
          <w:color w:val="auto"/>
          <w:highlight w:val="none"/>
        </w:rPr>
        <w:t>）闪烁工作时间：≥</w:t>
      </w:r>
      <w:r>
        <w:rPr>
          <w:rFonts w:ascii="宋体" w:hAnsi="宋体"/>
          <w:color w:val="auto"/>
          <w:highlight w:val="none"/>
        </w:rPr>
        <w:t>16</w:t>
      </w:r>
      <w:r>
        <w:rPr>
          <w:rFonts w:hint="eastAsia" w:ascii="宋体" w:hAnsi="宋体"/>
          <w:color w:val="auto"/>
          <w:highlight w:val="none"/>
        </w:rPr>
        <w:t>小时</w:t>
      </w:r>
    </w:p>
    <w:p>
      <w:pPr>
        <w:spacing w:line="360" w:lineRule="auto"/>
        <w:contextualSpacing/>
        <w:textAlignment w:val="center"/>
        <w:rPr>
          <w:rFonts w:ascii="宋体" w:hAnsi="宋体"/>
          <w:color w:val="auto"/>
          <w:highlight w:val="none"/>
        </w:rPr>
      </w:pPr>
      <w:r>
        <w:rPr>
          <w:rFonts w:ascii="宋体" w:hAnsi="宋体"/>
          <w:color w:val="auto"/>
          <w:highlight w:val="none"/>
        </w:rPr>
        <w:t>4</w:t>
      </w:r>
      <w:r>
        <w:rPr>
          <w:rFonts w:hint="eastAsia" w:ascii="宋体" w:hAnsi="宋体"/>
          <w:color w:val="auto"/>
          <w:highlight w:val="none"/>
        </w:rPr>
        <w:t>）伸缩功能：锥筒顶部有拱形拉手，支持伸缩。</w:t>
      </w:r>
    </w:p>
    <w:p>
      <w:pPr>
        <w:spacing w:line="360" w:lineRule="auto"/>
        <w:contextualSpacing/>
        <w:textAlignment w:val="center"/>
        <w:rPr>
          <w:rFonts w:ascii="宋体" w:hAnsi="宋体"/>
          <w:color w:val="auto"/>
          <w:highlight w:val="none"/>
        </w:rPr>
      </w:pPr>
      <w:r>
        <w:rPr>
          <w:rFonts w:ascii="宋体" w:hAnsi="宋体"/>
          <w:color w:val="auto"/>
          <w:highlight w:val="none"/>
        </w:rPr>
        <w:t>5</w:t>
      </w:r>
      <w:r>
        <w:rPr>
          <w:rFonts w:hint="eastAsia" w:ascii="宋体" w:hAnsi="宋体"/>
          <w:color w:val="auto"/>
          <w:highlight w:val="none"/>
        </w:rPr>
        <w:t>）防护等级：</w:t>
      </w:r>
      <w:r>
        <w:rPr>
          <w:rFonts w:hint="eastAsia" w:ascii="宋体" w:hAnsi="宋体"/>
          <w:color w:val="auto"/>
          <w:highlight w:val="none"/>
          <w:lang w:val="en-US" w:eastAsia="zh-CN"/>
        </w:rPr>
        <w:t>≥</w:t>
      </w:r>
      <w:r>
        <w:rPr>
          <w:rFonts w:ascii="宋体" w:hAnsi="宋体"/>
          <w:color w:val="auto"/>
          <w:highlight w:val="none"/>
        </w:rPr>
        <w:t>IP65</w:t>
      </w:r>
      <w:r>
        <w:rPr>
          <w:rFonts w:hint="eastAsia" w:ascii="宋体" w:hAnsi="宋体"/>
          <w:color w:val="auto"/>
          <w:highlight w:val="none"/>
        </w:rPr>
        <w:t>。</w:t>
      </w:r>
    </w:p>
    <w:p>
      <w:pPr>
        <w:spacing w:line="360" w:lineRule="auto"/>
        <w:contextualSpacing/>
        <w:textAlignment w:val="center"/>
        <w:rPr>
          <w:rFonts w:ascii="宋体" w:hAnsi="宋体"/>
          <w:color w:val="auto"/>
          <w:highlight w:val="none"/>
        </w:rPr>
      </w:pPr>
      <w:r>
        <w:rPr>
          <w:rFonts w:ascii="宋体" w:hAnsi="宋体"/>
          <w:color w:val="auto"/>
          <w:highlight w:val="none"/>
        </w:rPr>
        <w:t>6</w:t>
      </w:r>
      <w:r>
        <w:rPr>
          <w:rFonts w:hint="eastAsia" w:ascii="宋体" w:hAnsi="宋体"/>
          <w:color w:val="auto"/>
          <w:highlight w:val="none"/>
        </w:rPr>
        <w:t>）展开高度：≥</w:t>
      </w:r>
      <w:r>
        <w:rPr>
          <w:rFonts w:ascii="宋体" w:hAnsi="宋体"/>
          <w:color w:val="auto"/>
          <w:highlight w:val="none"/>
        </w:rPr>
        <w:t>70cm</w:t>
      </w:r>
      <w:r>
        <w:rPr>
          <w:rFonts w:hint="eastAsia" w:ascii="宋体" w:hAnsi="宋体"/>
          <w:color w:val="auto"/>
          <w:highlight w:val="none"/>
        </w:rPr>
        <w:t>。</w:t>
      </w:r>
    </w:p>
    <w:p>
      <w:pPr>
        <w:spacing w:line="360" w:lineRule="auto"/>
        <w:contextualSpacing/>
        <w:textAlignment w:val="center"/>
        <w:rPr>
          <w:rFonts w:ascii="宋体" w:hAnsi="宋体"/>
          <w:color w:val="auto"/>
          <w:highlight w:val="none"/>
        </w:rPr>
      </w:pPr>
      <w:r>
        <w:rPr>
          <w:rFonts w:ascii="宋体" w:hAnsi="宋体"/>
          <w:color w:val="auto"/>
          <w:highlight w:val="none"/>
        </w:rPr>
        <w:t>7</w:t>
      </w:r>
      <w:r>
        <w:rPr>
          <w:rFonts w:hint="eastAsia" w:ascii="宋体" w:hAnsi="宋体"/>
          <w:color w:val="auto"/>
          <w:highlight w:val="none"/>
        </w:rPr>
        <w:t>）重量：</w:t>
      </w:r>
      <w:r>
        <w:rPr>
          <w:rFonts w:hint="eastAsia" w:ascii="宋体" w:hAnsi="宋体" w:cs="宋体"/>
          <w:color w:val="auto"/>
          <w:highlight w:val="none"/>
        </w:rPr>
        <w:t>≤</w:t>
      </w:r>
      <w:r>
        <w:rPr>
          <w:rFonts w:ascii="宋体" w:hAnsi="宋体"/>
          <w:color w:val="auto"/>
          <w:highlight w:val="none"/>
        </w:rPr>
        <w:t>2kg</w:t>
      </w:r>
      <w:r>
        <w:rPr>
          <w:rFonts w:hint="eastAsia" w:ascii="宋体" w:hAnsi="宋体"/>
          <w:color w:val="auto"/>
          <w:highlight w:val="none"/>
        </w:rPr>
        <w:t>。</w:t>
      </w:r>
    </w:p>
    <w:p>
      <w:pPr>
        <w:spacing w:line="360" w:lineRule="auto"/>
        <w:contextualSpacing/>
        <w:textAlignment w:val="center"/>
        <w:rPr>
          <w:rFonts w:ascii="宋体" w:hAnsi="宋体" w:cs="宋体"/>
          <w:b/>
          <w:color w:val="auto"/>
          <w:highlight w:val="none"/>
        </w:rPr>
      </w:pPr>
      <w:r>
        <w:rPr>
          <w:rFonts w:hint="eastAsia" w:ascii="宋体" w:hAnsi="宋体"/>
          <w:b/>
          <w:color w:val="auto"/>
          <w:highlight w:val="none"/>
        </w:rPr>
        <w:t>（三）</w:t>
      </w:r>
      <w:r>
        <w:rPr>
          <w:rFonts w:hint="eastAsia" w:ascii="宋体" w:hAnsi="宋体" w:cs="宋体"/>
          <w:b/>
          <w:color w:val="auto"/>
          <w:highlight w:val="none"/>
        </w:rPr>
        <w:t>交通锥</w:t>
      </w:r>
    </w:p>
    <w:p>
      <w:pPr>
        <w:spacing w:line="360" w:lineRule="auto"/>
        <w:contextualSpacing/>
        <w:jc w:val="center"/>
        <w:textAlignment w:val="center"/>
        <w:rPr>
          <w:rFonts w:ascii="宋体" w:hAnsi="宋体" w:cs="宋体"/>
          <w:color w:val="auto"/>
          <w:highlight w:val="none"/>
        </w:rPr>
      </w:pPr>
      <w:r>
        <w:rPr>
          <w:rFonts w:hint="eastAsia" w:ascii="宋体" w:hAnsi="宋体" w:cs="宋体"/>
          <w:color w:val="auto"/>
          <w:highlight w:val="none"/>
        </w:rPr>
        <w:drawing>
          <wp:inline distT="0" distB="0" distL="114300" distR="114300">
            <wp:extent cx="1873250" cy="1917700"/>
            <wp:effectExtent l="0" t="0" r="6350" b="0"/>
            <wp:docPr id="9" name="图片 9" descr="215850336576907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15850336576907179"/>
                    <pic:cNvPicPr>
                      <a:picLocks noChangeAspect="1"/>
                    </pic:cNvPicPr>
                  </pic:nvPicPr>
                  <pic:blipFill>
                    <a:blip r:embed="rId11"/>
                    <a:stretch>
                      <a:fillRect/>
                    </a:stretch>
                  </pic:blipFill>
                  <pic:spPr>
                    <a:xfrm>
                      <a:off x="0" y="0"/>
                      <a:ext cx="1873250" cy="1917700"/>
                    </a:xfrm>
                    <a:prstGeom prst="rect">
                      <a:avLst/>
                    </a:prstGeom>
                  </pic:spPr>
                </pic:pic>
              </a:graphicData>
            </a:graphic>
          </wp:inline>
        </w:drawing>
      </w:r>
    </w:p>
    <w:p>
      <w:pPr>
        <w:spacing w:line="360" w:lineRule="auto"/>
        <w:rPr>
          <w:rFonts w:ascii="宋体" w:hAnsi="宋体" w:cs="宋体"/>
          <w:color w:val="auto"/>
          <w:highlight w:val="none"/>
        </w:rPr>
      </w:pPr>
      <w:r>
        <w:rPr>
          <w:rFonts w:hint="eastAsia" w:ascii="宋体" w:hAnsi="宋体" w:cs="宋体"/>
          <w:color w:val="auto"/>
          <w:highlight w:val="none"/>
        </w:rPr>
        <w:t>（1）技术参数</w:t>
      </w:r>
    </w:p>
    <w:p>
      <w:pPr>
        <w:spacing w:line="360" w:lineRule="auto"/>
        <w:rPr>
          <w:rFonts w:ascii="宋体" w:hAnsi="宋体" w:cs="宋体"/>
          <w:color w:val="auto"/>
          <w:highlight w:val="none"/>
        </w:rPr>
      </w:pPr>
      <w:r>
        <w:rPr>
          <w:rFonts w:ascii="宋体" w:hAnsi="宋体" w:cs="宋体"/>
          <w:color w:val="auto"/>
          <w:highlight w:val="none"/>
        </w:rPr>
        <w:t>1</w:t>
      </w:r>
      <w:r>
        <w:rPr>
          <w:rFonts w:hint="eastAsia" w:ascii="宋体" w:hAnsi="宋体" w:cs="宋体"/>
          <w:color w:val="auto"/>
          <w:highlight w:val="none"/>
        </w:rPr>
        <w:t>、规格尺寸：展开尺寸</w:t>
      </w:r>
      <w:r>
        <w:rPr>
          <w:rFonts w:hint="eastAsia" w:ascii="宋体" w:hAnsi="宋体"/>
          <w:color w:val="auto"/>
          <w:highlight w:val="none"/>
        </w:rPr>
        <w:t>≥</w:t>
      </w:r>
      <w:r>
        <w:rPr>
          <w:rFonts w:ascii="宋体" w:hAnsi="宋体" w:cs="宋体"/>
          <w:color w:val="auto"/>
          <w:highlight w:val="none"/>
        </w:rPr>
        <w:t>700*</w:t>
      </w:r>
      <w:r>
        <w:rPr>
          <w:rFonts w:hint="eastAsia" w:ascii="宋体" w:hAnsi="宋体" w:cs="宋体"/>
          <w:color w:val="auto"/>
          <w:highlight w:val="none"/>
        </w:rPr>
        <w:t>290</w:t>
      </w:r>
      <w:r>
        <w:rPr>
          <w:rFonts w:ascii="宋体" w:hAnsi="宋体" w:cs="宋体"/>
          <w:color w:val="auto"/>
          <w:highlight w:val="none"/>
        </w:rPr>
        <w:t>*</w:t>
      </w:r>
      <w:r>
        <w:rPr>
          <w:rFonts w:hint="eastAsia" w:ascii="宋体" w:hAnsi="宋体" w:cs="宋体"/>
          <w:color w:val="auto"/>
          <w:highlight w:val="none"/>
        </w:rPr>
        <w:t>290</w:t>
      </w:r>
      <w:r>
        <w:rPr>
          <w:rFonts w:ascii="宋体" w:hAnsi="宋体" w:cs="宋体"/>
          <w:color w:val="auto"/>
          <w:highlight w:val="none"/>
        </w:rPr>
        <w:t>mm</w:t>
      </w:r>
      <w:r>
        <w:rPr>
          <w:rFonts w:hint="eastAsia" w:ascii="宋体" w:hAnsi="宋体" w:cs="宋体"/>
          <w:color w:val="auto"/>
          <w:highlight w:val="none"/>
        </w:rPr>
        <w:t>，收纳尺寸≤300</w:t>
      </w:r>
      <w:r>
        <w:rPr>
          <w:rFonts w:ascii="宋体" w:hAnsi="宋体" w:cs="宋体"/>
          <w:color w:val="auto"/>
          <w:highlight w:val="none"/>
        </w:rPr>
        <w:t>*</w:t>
      </w:r>
      <w:r>
        <w:rPr>
          <w:rFonts w:hint="eastAsia" w:ascii="宋体" w:hAnsi="宋体" w:cs="宋体"/>
          <w:color w:val="auto"/>
          <w:highlight w:val="none"/>
        </w:rPr>
        <w:t>300</w:t>
      </w:r>
      <w:r>
        <w:rPr>
          <w:rFonts w:ascii="宋体" w:hAnsi="宋体" w:cs="宋体"/>
          <w:color w:val="auto"/>
          <w:highlight w:val="none"/>
        </w:rPr>
        <w:t>*70mm</w:t>
      </w:r>
      <w:r>
        <w:rPr>
          <w:rFonts w:hint="eastAsia" w:ascii="宋体" w:hAnsi="宋体" w:cs="宋体"/>
          <w:color w:val="auto"/>
          <w:highlight w:val="none"/>
        </w:rPr>
        <w:t>。</w:t>
      </w:r>
    </w:p>
    <w:p>
      <w:pPr>
        <w:spacing w:line="360" w:lineRule="auto"/>
        <w:rPr>
          <w:rFonts w:ascii="宋体" w:hAnsi="宋体" w:cs="宋体"/>
          <w:color w:val="auto"/>
          <w:highlight w:val="none"/>
        </w:rPr>
      </w:pPr>
      <w:r>
        <w:rPr>
          <w:rFonts w:ascii="宋体" w:hAnsi="宋体" w:cs="宋体"/>
          <w:color w:val="auto"/>
          <w:highlight w:val="none"/>
        </w:rPr>
        <w:t>2</w:t>
      </w:r>
      <w:r>
        <w:rPr>
          <w:rFonts w:hint="eastAsia" w:ascii="宋体" w:hAnsi="宋体" w:cs="宋体"/>
          <w:color w:val="auto"/>
          <w:highlight w:val="none"/>
        </w:rPr>
        <w:t>、产品单重：≤</w:t>
      </w:r>
      <w:r>
        <w:rPr>
          <w:rFonts w:ascii="宋体" w:hAnsi="宋体" w:cs="宋体"/>
          <w:color w:val="auto"/>
          <w:highlight w:val="none"/>
        </w:rPr>
        <w:t>2</w:t>
      </w:r>
      <w:r>
        <w:rPr>
          <w:rFonts w:hint="eastAsia" w:ascii="宋体" w:hAnsi="宋体" w:cs="宋体"/>
          <w:color w:val="auto"/>
          <w:highlight w:val="none"/>
        </w:rPr>
        <w:t>.5</w:t>
      </w:r>
      <w:r>
        <w:rPr>
          <w:rFonts w:ascii="宋体" w:hAnsi="宋体" w:cs="宋体"/>
          <w:color w:val="auto"/>
          <w:highlight w:val="none"/>
        </w:rPr>
        <w:t>kg</w:t>
      </w:r>
      <w:r>
        <w:rPr>
          <w:rFonts w:hint="eastAsia" w:ascii="宋体" w:hAnsi="宋体" w:cs="宋体"/>
          <w:color w:val="auto"/>
          <w:highlight w:val="none"/>
        </w:rPr>
        <w:t>。</w:t>
      </w:r>
    </w:p>
    <w:p>
      <w:pPr>
        <w:spacing w:line="360" w:lineRule="auto"/>
        <w:rPr>
          <w:rFonts w:ascii="宋体" w:hAnsi="宋体" w:cs="宋体"/>
          <w:color w:val="auto"/>
          <w:highlight w:val="none"/>
        </w:rPr>
      </w:pPr>
      <w:r>
        <w:rPr>
          <w:rFonts w:ascii="宋体" w:hAnsi="宋体" w:cs="宋体"/>
          <w:color w:val="auto"/>
          <w:highlight w:val="none"/>
        </w:rPr>
        <w:t>3</w:t>
      </w:r>
      <w:r>
        <w:rPr>
          <w:rFonts w:hint="eastAsia" w:ascii="宋体" w:hAnsi="宋体" w:cs="宋体"/>
          <w:color w:val="auto"/>
          <w:highlight w:val="none"/>
        </w:rPr>
        <w:t>、</w:t>
      </w:r>
      <w:r>
        <w:rPr>
          <w:rFonts w:ascii="宋体" w:hAnsi="宋体" w:cs="宋体"/>
          <w:color w:val="auto"/>
          <w:highlight w:val="none"/>
        </w:rPr>
        <w:t>LED</w:t>
      </w:r>
      <w:r>
        <w:rPr>
          <w:rFonts w:hint="eastAsia" w:ascii="宋体" w:hAnsi="宋体" w:cs="宋体"/>
          <w:color w:val="auto"/>
          <w:highlight w:val="none"/>
        </w:rPr>
        <w:t>光源：LED灯带，</w:t>
      </w:r>
      <w:r>
        <w:rPr>
          <w:rFonts w:hint="eastAsia" w:ascii="宋体" w:hAnsi="宋体"/>
          <w:color w:val="auto"/>
          <w:highlight w:val="none"/>
        </w:rPr>
        <w:t>≥</w:t>
      </w:r>
      <w:r>
        <w:rPr>
          <w:rFonts w:ascii="宋体" w:hAnsi="宋体" w:cs="宋体"/>
          <w:color w:val="auto"/>
          <w:highlight w:val="none"/>
        </w:rPr>
        <w:t>5</w:t>
      </w:r>
      <w:r>
        <w:rPr>
          <w:rFonts w:hint="eastAsia" w:ascii="宋体" w:hAnsi="宋体" w:cs="宋体"/>
          <w:color w:val="auto"/>
          <w:highlight w:val="none"/>
        </w:rPr>
        <w:t>0颗红灯，</w:t>
      </w:r>
      <w:r>
        <w:rPr>
          <w:rFonts w:hint="eastAsia" w:ascii="宋体" w:hAnsi="宋体"/>
          <w:color w:val="auto"/>
          <w:highlight w:val="none"/>
        </w:rPr>
        <w:t>≥</w:t>
      </w:r>
      <w:r>
        <w:rPr>
          <w:rFonts w:ascii="宋体" w:hAnsi="宋体" w:cs="宋体"/>
          <w:color w:val="auto"/>
          <w:highlight w:val="none"/>
        </w:rPr>
        <w:t>2</w:t>
      </w:r>
      <w:r>
        <w:rPr>
          <w:rFonts w:hint="eastAsia" w:ascii="宋体" w:hAnsi="宋体" w:cs="宋体"/>
          <w:color w:val="auto"/>
          <w:highlight w:val="none"/>
        </w:rPr>
        <w:t>5颗蓝灯。</w:t>
      </w:r>
    </w:p>
    <w:p>
      <w:pPr>
        <w:spacing w:line="360" w:lineRule="auto"/>
        <w:rPr>
          <w:rFonts w:ascii="宋体" w:hAnsi="宋体" w:cs="宋体"/>
          <w:color w:val="auto"/>
          <w:highlight w:val="none"/>
        </w:rPr>
      </w:pPr>
      <w:r>
        <w:rPr>
          <w:rFonts w:ascii="宋体" w:hAnsi="宋体" w:cs="宋体"/>
          <w:color w:val="auto"/>
          <w:highlight w:val="none"/>
        </w:rPr>
        <w:t>4</w:t>
      </w:r>
      <w:r>
        <w:rPr>
          <w:rFonts w:hint="eastAsia" w:ascii="宋体" w:hAnsi="宋体" w:cs="宋体"/>
          <w:color w:val="auto"/>
          <w:highlight w:val="none"/>
        </w:rPr>
        <w:t>、发光模式：红蓝爆闪</w:t>
      </w:r>
      <w:r>
        <w:rPr>
          <w:rFonts w:ascii="宋体" w:hAnsi="宋体" w:cs="宋体"/>
          <w:color w:val="auto"/>
          <w:highlight w:val="none"/>
        </w:rPr>
        <w:t>/</w:t>
      </w:r>
      <w:r>
        <w:rPr>
          <w:rFonts w:hint="eastAsia" w:ascii="宋体" w:hAnsi="宋体" w:cs="宋体"/>
          <w:color w:val="auto"/>
          <w:highlight w:val="none"/>
        </w:rPr>
        <w:t>慢闪。</w:t>
      </w:r>
    </w:p>
    <w:p>
      <w:pPr>
        <w:spacing w:line="360" w:lineRule="auto"/>
        <w:rPr>
          <w:rFonts w:ascii="宋体" w:hAnsi="宋体" w:cs="宋体"/>
          <w:color w:val="auto"/>
          <w:highlight w:val="none"/>
        </w:rPr>
      </w:pPr>
      <w:r>
        <w:rPr>
          <w:rFonts w:ascii="宋体" w:hAnsi="宋体" w:cs="宋体"/>
          <w:color w:val="auto"/>
          <w:highlight w:val="none"/>
        </w:rPr>
        <w:t>5</w:t>
      </w:r>
      <w:r>
        <w:rPr>
          <w:rFonts w:hint="eastAsia" w:ascii="宋体" w:hAnsi="宋体" w:cs="宋体"/>
          <w:color w:val="auto"/>
          <w:highlight w:val="none"/>
        </w:rPr>
        <w:t>、可视距离：</w:t>
      </w:r>
      <w:r>
        <w:rPr>
          <w:rFonts w:hint="eastAsia" w:ascii="宋体" w:hAnsi="宋体"/>
          <w:color w:val="auto"/>
          <w:highlight w:val="none"/>
        </w:rPr>
        <w:t>≥</w:t>
      </w:r>
      <w:r>
        <w:rPr>
          <w:rFonts w:ascii="宋体" w:hAnsi="宋体" w:cs="宋体"/>
          <w:color w:val="auto"/>
          <w:highlight w:val="none"/>
        </w:rPr>
        <w:t>800m</w:t>
      </w:r>
      <w:r>
        <w:rPr>
          <w:rFonts w:hint="eastAsia" w:ascii="宋体" w:hAnsi="宋体" w:cs="宋体"/>
          <w:color w:val="auto"/>
          <w:highlight w:val="none"/>
        </w:rPr>
        <w:t>。</w:t>
      </w:r>
    </w:p>
    <w:p>
      <w:pPr>
        <w:spacing w:line="360" w:lineRule="auto"/>
        <w:rPr>
          <w:rFonts w:ascii="宋体" w:hAnsi="宋体" w:cs="宋体"/>
          <w:color w:val="auto"/>
          <w:highlight w:val="none"/>
        </w:rPr>
      </w:pPr>
      <w:r>
        <w:rPr>
          <w:rFonts w:ascii="宋体" w:hAnsi="宋体" w:cs="宋体"/>
          <w:color w:val="auto"/>
          <w:highlight w:val="none"/>
        </w:rPr>
        <w:t>6</w:t>
      </w:r>
      <w:r>
        <w:rPr>
          <w:rFonts w:hint="eastAsia" w:ascii="宋体" w:hAnsi="宋体" w:cs="宋体"/>
          <w:color w:val="auto"/>
          <w:highlight w:val="none"/>
        </w:rPr>
        <w:t>、锂电池容量：内置可充电锂电池</w:t>
      </w:r>
      <w:r>
        <w:rPr>
          <w:rFonts w:hint="eastAsia" w:ascii="宋体" w:hAnsi="宋体"/>
          <w:color w:val="auto"/>
          <w:highlight w:val="none"/>
        </w:rPr>
        <w:t>≥</w:t>
      </w:r>
      <w:r>
        <w:rPr>
          <w:rFonts w:ascii="宋体" w:hAnsi="宋体" w:cs="宋体"/>
          <w:color w:val="auto"/>
          <w:highlight w:val="none"/>
        </w:rPr>
        <w:t>2000mAh</w:t>
      </w:r>
      <w:r>
        <w:rPr>
          <w:rFonts w:hint="eastAsia" w:ascii="宋体" w:hAnsi="宋体" w:cs="宋体"/>
          <w:color w:val="auto"/>
          <w:highlight w:val="none"/>
        </w:rPr>
        <w:t>。</w:t>
      </w:r>
    </w:p>
    <w:p>
      <w:pPr>
        <w:spacing w:line="360" w:lineRule="auto"/>
        <w:rPr>
          <w:rFonts w:ascii="宋体" w:hAnsi="宋体" w:cs="宋体"/>
          <w:color w:val="auto"/>
          <w:highlight w:val="none"/>
        </w:rPr>
      </w:pPr>
      <w:r>
        <w:rPr>
          <w:rFonts w:ascii="宋体" w:hAnsi="宋体" w:cs="宋体"/>
          <w:color w:val="auto"/>
          <w:highlight w:val="none"/>
        </w:rPr>
        <w:t>7</w:t>
      </w:r>
      <w:r>
        <w:rPr>
          <w:rFonts w:hint="eastAsia" w:ascii="宋体" w:hAnsi="宋体" w:cs="宋体"/>
          <w:color w:val="auto"/>
          <w:highlight w:val="none"/>
        </w:rPr>
        <w:t>、充电时间：小于</w:t>
      </w:r>
      <w:r>
        <w:rPr>
          <w:rFonts w:ascii="宋体" w:hAnsi="宋体" w:cs="宋体"/>
          <w:color w:val="auto"/>
          <w:highlight w:val="none"/>
        </w:rPr>
        <w:t>4</w:t>
      </w:r>
      <w:r>
        <w:rPr>
          <w:rFonts w:hint="eastAsia" w:ascii="宋体" w:hAnsi="宋体" w:cs="宋体"/>
          <w:color w:val="auto"/>
          <w:highlight w:val="none"/>
        </w:rPr>
        <w:t>小时。</w:t>
      </w:r>
    </w:p>
    <w:p>
      <w:pPr>
        <w:spacing w:line="360" w:lineRule="auto"/>
        <w:rPr>
          <w:rFonts w:ascii="宋体" w:hAnsi="宋体" w:cs="宋体"/>
          <w:color w:val="auto"/>
          <w:highlight w:val="none"/>
        </w:rPr>
      </w:pPr>
      <w:r>
        <w:rPr>
          <w:rFonts w:ascii="宋体" w:hAnsi="宋体" w:cs="宋体"/>
          <w:color w:val="auto"/>
          <w:highlight w:val="none"/>
        </w:rPr>
        <w:t>8</w:t>
      </w:r>
      <w:r>
        <w:rPr>
          <w:rFonts w:hint="eastAsia" w:ascii="宋体" w:hAnsi="宋体" w:cs="宋体"/>
          <w:color w:val="auto"/>
          <w:highlight w:val="none"/>
        </w:rPr>
        <w:t>、工作时间：</w:t>
      </w:r>
      <w:r>
        <w:rPr>
          <w:rFonts w:hint="eastAsia" w:ascii="宋体" w:hAnsi="宋体"/>
          <w:color w:val="auto"/>
          <w:highlight w:val="none"/>
        </w:rPr>
        <w:t>≥</w:t>
      </w:r>
      <w:r>
        <w:rPr>
          <w:rFonts w:ascii="宋体" w:hAnsi="宋体" w:cs="宋体"/>
          <w:color w:val="auto"/>
          <w:highlight w:val="none"/>
        </w:rPr>
        <w:t>35</w:t>
      </w:r>
      <w:r>
        <w:rPr>
          <w:rFonts w:hint="eastAsia" w:ascii="宋体" w:hAnsi="宋体" w:cs="宋体"/>
          <w:color w:val="auto"/>
          <w:highlight w:val="none"/>
        </w:rPr>
        <w:t>小时。</w:t>
      </w:r>
    </w:p>
    <w:p>
      <w:pPr>
        <w:spacing w:line="360" w:lineRule="auto"/>
        <w:rPr>
          <w:rFonts w:ascii="宋体" w:hAnsi="宋体" w:cs="宋体"/>
          <w:color w:val="auto"/>
          <w:highlight w:val="none"/>
        </w:rPr>
      </w:pPr>
      <w:r>
        <w:rPr>
          <w:rFonts w:ascii="宋体" w:hAnsi="宋体" w:cs="宋体"/>
          <w:color w:val="auto"/>
          <w:highlight w:val="none"/>
        </w:rPr>
        <w:t>9</w:t>
      </w:r>
      <w:r>
        <w:rPr>
          <w:rFonts w:hint="eastAsia" w:ascii="宋体" w:hAnsi="宋体" w:cs="宋体"/>
          <w:color w:val="auto"/>
          <w:highlight w:val="none"/>
        </w:rPr>
        <w:t>、布料：荧光防水涂层布，高亮反光布。</w:t>
      </w:r>
    </w:p>
    <w:p>
      <w:pPr>
        <w:spacing w:line="360" w:lineRule="auto"/>
        <w:rPr>
          <w:rFonts w:ascii="宋体" w:hAnsi="宋体" w:cs="宋体"/>
          <w:color w:val="auto"/>
          <w:highlight w:val="none"/>
        </w:rPr>
      </w:pPr>
      <w:r>
        <w:rPr>
          <w:rFonts w:ascii="宋体" w:hAnsi="宋体" w:cs="宋体"/>
          <w:color w:val="auto"/>
          <w:highlight w:val="none"/>
        </w:rPr>
        <w:t>10</w:t>
      </w:r>
      <w:r>
        <w:rPr>
          <w:rFonts w:hint="eastAsia" w:ascii="宋体" w:hAnsi="宋体" w:cs="宋体"/>
          <w:color w:val="auto"/>
          <w:highlight w:val="none"/>
        </w:rPr>
        <w:t>、塑胶：荧光橙</w:t>
      </w:r>
      <w:r>
        <w:rPr>
          <w:rFonts w:ascii="宋体" w:hAnsi="宋体" w:cs="宋体"/>
          <w:color w:val="auto"/>
          <w:highlight w:val="none"/>
        </w:rPr>
        <w:t>PP</w:t>
      </w:r>
      <w:r>
        <w:rPr>
          <w:rFonts w:hint="eastAsia" w:ascii="宋体" w:hAnsi="宋体" w:cs="宋体"/>
          <w:color w:val="auto"/>
          <w:highlight w:val="none"/>
        </w:rPr>
        <w:t>材料，锥筒顶部有拱形拉手。</w:t>
      </w:r>
    </w:p>
    <w:p>
      <w:pPr>
        <w:spacing w:line="360" w:lineRule="auto"/>
        <w:rPr>
          <w:rFonts w:ascii="宋体" w:hAnsi="宋体" w:cs="宋体"/>
          <w:color w:val="auto"/>
          <w:highlight w:val="none"/>
        </w:rPr>
      </w:pPr>
      <w:r>
        <w:rPr>
          <w:rFonts w:ascii="宋体" w:hAnsi="宋体" w:cs="宋体"/>
          <w:color w:val="auto"/>
          <w:highlight w:val="none"/>
        </w:rPr>
        <w:t>11</w:t>
      </w:r>
      <w:r>
        <w:rPr>
          <w:rFonts w:hint="eastAsia" w:ascii="宋体" w:hAnsi="宋体" w:cs="宋体"/>
          <w:color w:val="auto"/>
          <w:highlight w:val="none"/>
        </w:rPr>
        <w:t>、标配：</w:t>
      </w:r>
      <w:r>
        <w:rPr>
          <w:rFonts w:hint="eastAsia" w:ascii="宋体" w:hAnsi="宋体"/>
          <w:color w:val="auto"/>
          <w:highlight w:val="none"/>
        </w:rPr>
        <w:t>≥</w:t>
      </w:r>
      <w:r>
        <w:rPr>
          <w:rFonts w:ascii="宋体" w:hAnsi="宋体" w:cs="宋体"/>
          <w:color w:val="auto"/>
          <w:highlight w:val="none"/>
        </w:rPr>
        <w:t>60cm</w:t>
      </w:r>
      <w:r>
        <w:rPr>
          <w:rFonts w:hint="eastAsia" w:ascii="宋体" w:hAnsi="宋体" w:cs="宋体"/>
          <w:color w:val="auto"/>
          <w:highlight w:val="none"/>
        </w:rPr>
        <w:t>充电线一条。</w:t>
      </w:r>
    </w:p>
    <w:p>
      <w:pPr>
        <w:spacing w:line="360" w:lineRule="auto"/>
        <w:rPr>
          <w:rFonts w:ascii="宋体" w:hAnsi="宋体" w:cs="宋体"/>
          <w:color w:val="auto"/>
          <w:highlight w:val="none"/>
        </w:rPr>
      </w:pPr>
      <w:r>
        <w:rPr>
          <w:rFonts w:ascii="宋体" w:hAnsi="宋体" w:cs="宋体"/>
          <w:color w:val="auto"/>
          <w:highlight w:val="none"/>
        </w:rPr>
        <w:t>12</w:t>
      </w:r>
      <w:r>
        <w:rPr>
          <w:rFonts w:hint="eastAsia" w:ascii="宋体" w:hAnsi="宋体" w:cs="宋体"/>
          <w:color w:val="auto"/>
          <w:highlight w:val="none"/>
        </w:rPr>
        <w:t>、配备收纳袋</w:t>
      </w:r>
    </w:p>
    <w:p>
      <w:pPr>
        <w:spacing w:line="360" w:lineRule="auto"/>
        <w:rPr>
          <w:rFonts w:ascii="宋体" w:hAnsi="宋体" w:cs="宋体"/>
          <w:color w:val="auto"/>
          <w:highlight w:val="none"/>
        </w:rPr>
      </w:pPr>
      <w:r>
        <w:rPr>
          <w:rFonts w:ascii="宋体" w:hAnsi="宋体" w:cs="宋体"/>
          <w:color w:val="auto"/>
          <w:highlight w:val="none"/>
        </w:rPr>
        <w:t>13</w:t>
      </w:r>
      <w:r>
        <w:rPr>
          <w:rFonts w:hint="eastAsia" w:ascii="宋体" w:hAnsi="宋体" w:cs="宋体"/>
          <w:color w:val="auto"/>
          <w:highlight w:val="none"/>
        </w:rPr>
        <w:t>、至少每</w:t>
      </w:r>
      <w:r>
        <w:rPr>
          <w:rFonts w:ascii="宋体" w:hAnsi="宋体" w:cs="宋体"/>
          <w:color w:val="auto"/>
          <w:highlight w:val="none"/>
        </w:rPr>
        <w:t>5</w:t>
      </w:r>
      <w:r>
        <w:rPr>
          <w:rFonts w:hint="eastAsia" w:ascii="宋体" w:hAnsi="宋体" w:cs="宋体"/>
          <w:color w:val="auto"/>
          <w:highlight w:val="none"/>
        </w:rPr>
        <w:t>个锥桶配备一个遥控器</w:t>
      </w:r>
    </w:p>
    <w:p>
      <w:pPr>
        <w:spacing w:line="360" w:lineRule="auto"/>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4</w:t>
      </w:r>
      <w:r>
        <w:rPr>
          <w:rFonts w:hint="eastAsia" w:ascii="宋体" w:hAnsi="宋体" w:cs="宋体"/>
          <w:color w:val="auto"/>
          <w:highlight w:val="none"/>
        </w:rPr>
        <w:t>、防水设计：</w:t>
      </w:r>
      <w:r>
        <w:rPr>
          <w:rFonts w:ascii="宋体" w:hAnsi="宋体" w:cs="宋体"/>
          <w:color w:val="auto"/>
          <w:highlight w:val="none"/>
        </w:rPr>
        <w:t>LED</w:t>
      </w:r>
      <w:r>
        <w:rPr>
          <w:rFonts w:hint="eastAsia" w:ascii="宋体" w:hAnsi="宋体" w:cs="宋体"/>
          <w:color w:val="auto"/>
          <w:highlight w:val="none"/>
        </w:rPr>
        <w:t>灯罩采用防水处理，防泼溅雨水。</w:t>
      </w:r>
    </w:p>
    <w:p>
      <w:pPr>
        <w:spacing w:line="360" w:lineRule="auto"/>
        <w:rPr>
          <w:rFonts w:ascii="宋体" w:hAnsi="宋体"/>
          <w:color w:val="auto"/>
          <w:highlight w:val="none"/>
        </w:rPr>
      </w:pPr>
      <w:r>
        <w:rPr>
          <w:rFonts w:hint="eastAsia" w:ascii="宋体" w:hAnsi="宋体" w:cs="宋体"/>
          <w:color w:val="auto"/>
          <w:highlight w:val="none"/>
        </w:rPr>
        <w:t>15、可视范围：快闪立体发光</w:t>
      </w:r>
      <w:r>
        <w:rPr>
          <w:rFonts w:ascii="宋体" w:hAnsi="宋体" w:cs="宋体"/>
          <w:color w:val="auto"/>
          <w:highlight w:val="none"/>
        </w:rPr>
        <w:t>360</w:t>
      </w:r>
      <w:r>
        <w:rPr>
          <w:rFonts w:hint="eastAsia" w:ascii="宋体" w:hAnsi="宋体" w:cs="宋体"/>
          <w:color w:val="auto"/>
          <w:highlight w:val="none"/>
        </w:rPr>
        <w:t>度可视</w:t>
      </w:r>
    </w:p>
    <w:p>
      <w:pPr>
        <w:spacing w:line="360" w:lineRule="auto"/>
        <w:rPr>
          <w:rFonts w:hint="default" w:ascii="宋体" w:hAnsi="宋体" w:eastAsia="宋体"/>
          <w:b/>
          <w:color w:val="auto"/>
          <w:highlight w:val="none"/>
          <w:lang w:val="en-US" w:eastAsia="zh-CN"/>
        </w:rPr>
      </w:pPr>
      <w:r>
        <w:rPr>
          <w:rFonts w:hint="eastAsia" w:ascii="宋体" w:hAnsi="宋体"/>
          <w:b w:val="0"/>
          <w:bCs/>
          <w:color w:val="auto"/>
          <w:highlight w:val="none"/>
          <w:lang w:val="en-US" w:eastAsia="zh-CN"/>
        </w:rPr>
        <w:t>16、</w:t>
      </w:r>
      <w:r>
        <w:rPr>
          <w:rFonts w:hint="eastAsia" w:ascii="宋体" w:hAnsi="宋体"/>
          <w:color w:val="auto"/>
          <w:highlight w:val="none"/>
        </w:rPr>
        <w:t>防护等级：</w:t>
      </w:r>
      <w:r>
        <w:rPr>
          <w:rFonts w:hint="eastAsia" w:ascii="宋体" w:hAnsi="宋体"/>
          <w:color w:val="auto"/>
          <w:highlight w:val="none"/>
          <w:lang w:val="en-US" w:eastAsia="zh-CN"/>
        </w:rPr>
        <w:t>≥</w:t>
      </w:r>
      <w:r>
        <w:rPr>
          <w:rFonts w:ascii="宋体" w:hAnsi="宋体"/>
          <w:color w:val="auto"/>
          <w:highlight w:val="none"/>
        </w:rPr>
        <w:t>IP54</w:t>
      </w:r>
    </w:p>
    <w:p>
      <w:pPr>
        <w:spacing w:line="360" w:lineRule="auto"/>
        <w:rPr>
          <w:rFonts w:ascii="宋体" w:hAnsi="宋体"/>
          <w:b/>
          <w:color w:val="auto"/>
          <w:highlight w:val="none"/>
        </w:rPr>
      </w:pPr>
      <w:r>
        <w:rPr>
          <w:rFonts w:hint="eastAsia" w:ascii="宋体" w:hAnsi="宋体"/>
          <w:b/>
          <w:color w:val="auto"/>
          <w:highlight w:val="none"/>
        </w:rPr>
        <w:t>（四）便携式</w:t>
      </w:r>
      <w:r>
        <w:rPr>
          <w:rFonts w:ascii="宋体" w:hAnsi="宋体"/>
          <w:b/>
          <w:color w:val="auto"/>
          <w:highlight w:val="none"/>
        </w:rPr>
        <w:t>LED</w:t>
      </w:r>
      <w:r>
        <w:rPr>
          <w:rFonts w:hint="eastAsia" w:ascii="宋体" w:hAnsi="宋体"/>
          <w:b/>
          <w:color w:val="auto"/>
          <w:highlight w:val="none"/>
        </w:rPr>
        <w:t>警示灯</w:t>
      </w:r>
    </w:p>
    <w:p>
      <w:pPr>
        <w:spacing w:line="360" w:lineRule="auto"/>
        <w:jc w:val="center"/>
        <w:rPr>
          <w:rFonts w:ascii="宋体" w:hAnsi="宋体"/>
          <w:color w:val="auto"/>
          <w:highlight w:val="none"/>
        </w:rPr>
      </w:pPr>
      <w:r>
        <w:rPr>
          <w:rFonts w:ascii="宋体" w:hAnsi="宋体"/>
          <w:color w:val="auto"/>
          <w:highlight w:val="none"/>
        </w:rPr>
        <w:drawing>
          <wp:inline distT="0" distB="0" distL="114300" distR="114300">
            <wp:extent cx="1755775" cy="1627505"/>
            <wp:effectExtent l="0" t="0" r="15875" b="1079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2"/>
                    <a:stretch>
                      <a:fillRect/>
                    </a:stretch>
                  </pic:blipFill>
                  <pic:spPr>
                    <a:xfrm>
                      <a:off x="0" y="0"/>
                      <a:ext cx="1755775" cy="1627505"/>
                    </a:xfrm>
                    <a:prstGeom prst="rect">
                      <a:avLst/>
                    </a:prstGeom>
                    <a:noFill/>
                    <a:ln>
                      <a:noFill/>
                    </a:ln>
                  </pic:spPr>
                </pic:pic>
              </a:graphicData>
            </a:graphic>
          </wp:inline>
        </w:drawing>
      </w:r>
    </w:p>
    <w:p>
      <w:pPr>
        <w:spacing w:line="360" w:lineRule="auto"/>
        <w:rPr>
          <w:rFonts w:ascii="宋体" w:hAnsi="宋体" w:cs="宋体"/>
          <w:color w:val="auto"/>
          <w:highlight w:val="none"/>
        </w:rPr>
      </w:pPr>
      <w:r>
        <w:rPr>
          <w:rFonts w:hint="eastAsia" w:ascii="宋体" w:hAnsi="宋体" w:cs="宋体"/>
          <w:color w:val="auto"/>
          <w:highlight w:val="none"/>
        </w:rPr>
        <w:t>主要技术参数（单个）</w:t>
      </w:r>
    </w:p>
    <w:p>
      <w:pPr>
        <w:spacing w:line="360" w:lineRule="auto"/>
        <w:rPr>
          <w:rFonts w:ascii="宋体" w:hAnsi="宋体" w:cs="宋体"/>
          <w:color w:val="auto"/>
          <w:highlight w:val="none"/>
        </w:rPr>
      </w:pPr>
      <w:r>
        <w:rPr>
          <w:rFonts w:ascii="宋体" w:hAnsi="宋体" w:cs="宋体"/>
          <w:color w:val="auto"/>
          <w:highlight w:val="none"/>
        </w:rPr>
        <w:t>1</w:t>
      </w:r>
      <w:r>
        <w:rPr>
          <w:rFonts w:hint="eastAsia" w:ascii="宋体" w:hAnsi="宋体" w:cs="宋体"/>
          <w:color w:val="auto"/>
          <w:highlight w:val="none"/>
        </w:rPr>
        <w:t>、外形尺寸及外壳材质：≤长</w:t>
      </w:r>
      <w:r>
        <w:rPr>
          <w:rFonts w:ascii="宋体" w:hAnsi="宋体" w:cs="宋体"/>
          <w:color w:val="auto"/>
          <w:highlight w:val="none"/>
        </w:rPr>
        <w:t>3</w:t>
      </w:r>
      <w:r>
        <w:rPr>
          <w:rFonts w:hint="eastAsia" w:ascii="宋体" w:hAnsi="宋体" w:cs="宋体"/>
          <w:color w:val="auto"/>
          <w:highlight w:val="none"/>
        </w:rPr>
        <w:t>20</w:t>
      </w:r>
      <w:r>
        <w:rPr>
          <w:rFonts w:ascii="宋体" w:hAnsi="宋体" w:cs="宋体"/>
          <w:color w:val="auto"/>
          <w:highlight w:val="none"/>
        </w:rPr>
        <w:t xml:space="preserve">mm * </w:t>
      </w:r>
      <w:r>
        <w:rPr>
          <w:rFonts w:hint="eastAsia" w:ascii="宋体" w:hAnsi="宋体" w:cs="宋体"/>
          <w:color w:val="auto"/>
          <w:highlight w:val="none"/>
        </w:rPr>
        <w:t>宽50</w:t>
      </w:r>
      <w:r>
        <w:rPr>
          <w:rFonts w:ascii="宋体" w:hAnsi="宋体" w:cs="宋体"/>
          <w:color w:val="auto"/>
          <w:highlight w:val="none"/>
        </w:rPr>
        <w:t xml:space="preserve">mm * </w:t>
      </w:r>
      <w:r>
        <w:rPr>
          <w:rFonts w:hint="eastAsia" w:ascii="宋体" w:hAnsi="宋体" w:cs="宋体"/>
          <w:color w:val="auto"/>
          <w:highlight w:val="none"/>
        </w:rPr>
        <w:t>厚</w:t>
      </w:r>
      <w:r>
        <w:rPr>
          <w:rFonts w:ascii="宋体" w:hAnsi="宋体" w:cs="宋体"/>
          <w:color w:val="auto"/>
          <w:highlight w:val="none"/>
        </w:rPr>
        <w:t>40mm、铝型材灯座</w:t>
      </w:r>
    </w:p>
    <w:p>
      <w:pPr>
        <w:spacing w:line="360" w:lineRule="auto"/>
        <w:rPr>
          <w:rFonts w:ascii="宋体" w:hAnsi="宋体" w:cs="宋体"/>
          <w:color w:val="auto"/>
          <w:highlight w:val="none"/>
        </w:rPr>
      </w:pPr>
      <w:r>
        <w:rPr>
          <w:rFonts w:ascii="宋体" w:hAnsi="宋体" w:cs="宋体"/>
          <w:color w:val="auto"/>
          <w:highlight w:val="none"/>
        </w:rPr>
        <w:t>2</w:t>
      </w:r>
      <w:r>
        <w:rPr>
          <w:rFonts w:hint="eastAsia" w:ascii="宋体" w:hAnsi="宋体" w:cs="宋体"/>
          <w:color w:val="auto"/>
          <w:highlight w:val="none"/>
        </w:rPr>
        <w:t>、灯珠数量颜色：</w:t>
      </w:r>
      <w:r>
        <w:rPr>
          <w:rFonts w:ascii="宋体" w:hAnsi="宋体" w:cs="宋体"/>
          <w:color w:val="auto"/>
          <w:highlight w:val="none"/>
        </w:rPr>
        <w:t xml:space="preserve"> LED</w:t>
      </w:r>
      <w:r>
        <w:rPr>
          <w:rFonts w:hint="eastAsia" w:ascii="宋体" w:hAnsi="宋体" w:cs="宋体"/>
          <w:color w:val="auto"/>
          <w:highlight w:val="none"/>
        </w:rPr>
        <w:t>灯珠≥</w:t>
      </w:r>
      <w:r>
        <w:rPr>
          <w:rFonts w:ascii="宋体" w:hAnsi="宋体" w:cs="宋体"/>
          <w:color w:val="auto"/>
          <w:highlight w:val="none"/>
        </w:rPr>
        <w:t xml:space="preserve"> 12</w:t>
      </w:r>
      <w:r>
        <w:rPr>
          <w:rFonts w:hint="eastAsia" w:ascii="宋体" w:hAnsi="宋体" w:cs="宋体"/>
          <w:color w:val="auto"/>
          <w:highlight w:val="none"/>
        </w:rPr>
        <w:t>颗、红色警示灯≥</w:t>
      </w:r>
      <w:r>
        <w:rPr>
          <w:rFonts w:ascii="宋体" w:hAnsi="宋体" w:cs="宋体"/>
          <w:color w:val="auto"/>
          <w:highlight w:val="none"/>
        </w:rPr>
        <w:t xml:space="preserve"> 6</w:t>
      </w:r>
      <w:r>
        <w:rPr>
          <w:rFonts w:hint="eastAsia" w:ascii="宋体" w:hAnsi="宋体" w:cs="宋体"/>
          <w:color w:val="auto"/>
          <w:highlight w:val="none"/>
        </w:rPr>
        <w:t>颗，蓝色警示灯≥</w:t>
      </w:r>
      <w:r>
        <w:rPr>
          <w:rFonts w:ascii="宋体" w:hAnsi="宋体" w:cs="宋体"/>
          <w:color w:val="auto"/>
          <w:highlight w:val="none"/>
        </w:rPr>
        <w:t xml:space="preserve"> 6</w:t>
      </w:r>
      <w:r>
        <w:rPr>
          <w:rFonts w:hint="eastAsia" w:ascii="宋体" w:hAnsi="宋体" w:cs="宋体"/>
          <w:color w:val="auto"/>
          <w:highlight w:val="none"/>
        </w:rPr>
        <w:t>颗</w:t>
      </w:r>
    </w:p>
    <w:p>
      <w:pPr>
        <w:spacing w:line="360" w:lineRule="auto"/>
        <w:rPr>
          <w:rFonts w:ascii="宋体" w:hAnsi="宋体" w:cs="宋体"/>
          <w:color w:val="auto"/>
          <w:highlight w:val="none"/>
        </w:rPr>
      </w:pPr>
      <w:r>
        <w:rPr>
          <w:rFonts w:ascii="宋体" w:hAnsi="宋体" w:cs="宋体"/>
          <w:color w:val="auto"/>
          <w:highlight w:val="none"/>
        </w:rPr>
        <w:t>3</w:t>
      </w:r>
      <w:r>
        <w:rPr>
          <w:rFonts w:hint="eastAsia" w:ascii="宋体" w:hAnsi="宋体" w:cs="宋体"/>
          <w:color w:val="auto"/>
          <w:highlight w:val="none"/>
        </w:rPr>
        <w:t>、内置电池：内置可充电≥</w:t>
      </w:r>
      <w:r>
        <w:rPr>
          <w:rFonts w:ascii="宋体" w:hAnsi="宋体" w:cs="宋体"/>
          <w:color w:val="auto"/>
          <w:highlight w:val="none"/>
        </w:rPr>
        <w:t xml:space="preserve"> 4000mA</w:t>
      </w:r>
      <w:r>
        <w:rPr>
          <w:rFonts w:hint="eastAsia" w:ascii="宋体" w:hAnsi="宋体" w:cs="宋体"/>
          <w:color w:val="auto"/>
          <w:highlight w:val="none"/>
        </w:rPr>
        <w:t>锂电池组</w:t>
      </w:r>
    </w:p>
    <w:p>
      <w:pPr>
        <w:spacing w:line="360" w:lineRule="auto"/>
        <w:rPr>
          <w:rFonts w:ascii="宋体" w:hAnsi="宋体" w:cs="宋体"/>
          <w:color w:val="auto"/>
          <w:highlight w:val="none"/>
        </w:rPr>
      </w:pPr>
      <w:r>
        <w:rPr>
          <w:rFonts w:hint="eastAsia" w:ascii="宋体" w:hAnsi="宋体" w:cs="宋体"/>
          <w:color w:val="auto"/>
          <w:highlight w:val="none"/>
        </w:rPr>
        <w:t>4、工作时间：连续工作≥</w:t>
      </w:r>
      <w:r>
        <w:rPr>
          <w:rFonts w:ascii="宋体" w:hAnsi="宋体" w:cs="宋体"/>
          <w:color w:val="auto"/>
          <w:highlight w:val="none"/>
        </w:rPr>
        <w:t xml:space="preserve"> 50</w:t>
      </w:r>
      <w:r>
        <w:rPr>
          <w:rFonts w:hint="eastAsia" w:ascii="宋体" w:hAnsi="宋体" w:cs="宋体"/>
          <w:color w:val="auto"/>
          <w:highlight w:val="none"/>
        </w:rPr>
        <w:t>小时</w:t>
      </w:r>
    </w:p>
    <w:p>
      <w:pPr>
        <w:spacing w:line="360" w:lineRule="auto"/>
        <w:rPr>
          <w:rFonts w:ascii="宋体" w:hAnsi="宋体" w:cs="宋体"/>
          <w:color w:val="auto"/>
          <w:highlight w:val="none"/>
        </w:rPr>
      </w:pPr>
      <w:r>
        <w:rPr>
          <w:rFonts w:hint="eastAsia" w:ascii="宋体" w:hAnsi="宋体" w:cs="宋体"/>
          <w:color w:val="auto"/>
          <w:highlight w:val="none"/>
        </w:rPr>
        <w:t>5、充电时间：≤</w:t>
      </w:r>
      <w:r>
        <w:rPr>
          <w:rFonts w:ascii="宋体" w:hAnsi="宋体" w:cs="宋体"/>
          <w:color w:val="auto"/>
          <w:highlight w:val="none"/>
        </w:rPr>
        <w:t>6</w:t>
      </w:r>
      <w:r>
        <w:rPr>
          <w:rFonts w:hint="eastAsia" w:ascii="宋体" w:hAnsi="宋体" w:cs="宋体"/>
          <w:color w:val="auto"/>
          <w:highlight w:val="none"/>
        </w:rPr>
        <w:t>小时</w:t>
      </w:r>
    </w:p>
    <w:p>
      <w:pPr>
        <w:spacing w:line="360" w:lineRule="auto"/>
        <w:rPr>
          <w:rFonts w:ascii="宋体" w:hAnsi="宋体" w:cs="宋体"/>
          <w:color w:val="auto"/>
          <w:highlight w:val="none"/>
        </w:rPr>
      </w:pPr>
      <w:r>
        <w:rPr>
          <w:rFonts w:ascii="宋体" w:hAnsi="宋体" w:cs="宋体"/>
          <w:color w:val="auto"/>
          <w:highlight w:val="none"/>
        </w:rPr>
        <w:t>6</w:t>
      </w:r>
      <w:r>
        <w:rPr>
          <w:rFonts w:hint="eastAsia" w:ascii="宋体" w:hAnsi="宋体" w:cs="宋体"/>
          <w:color w:val="auto"/>
          <w:highlight w:val="none"/>
        </w:rPr>
        <w:t>、产品重量：≤5</w:t>
      </w:r>
      <w:r>
        <w:rPr>
          <w:rFonts w:ascii="宋体" w:hAnsi="宋体" w:cs="宋体"/>
          <w:color w:val="auto"/>
          <w:highlight w:val="none"/>
        </w:rPr>
        <w:t xml:space="preserve"> kg</w:t>
      </w:r>
      <w:r>
        <w:rPr>
          <w:rFonts w:hint="eastAsia" w:ascii="宋体" w:hAnsi="宋体" w:cs="宋体"/>
          <w:color w:val="auto"/>
          <w:highlight w:val="none"/>
        </w:rPr>
        <w:t>（套装）</w:t>
      </w:r>
    </w:p>
    <w:p>
      <w:pPr>
        <w:spacing w:line="360" w:lineRule="auto"/>
        <w:rPr>
          <w:rFonts w:ascii="宋体" w:hAnsi="宋体" w:cs="宋体"/>
          <w:color w:val="auto"/>
          <w:highlight w:val="none"/>
        </w:rPr>
      </w:pPr>
      <w:r>
        <w:rPr>
          <w:rFonts w:ascii="宋体" w:hAnsi="宋体" w:cs="宋体"/>
          <w:color w:val="auto"/>
          <w:highlight w:val="none"/>
        </w:rPr>
        <w:t>7</w:t>
      </w:r>
      <w:r>
        <w:rPr>
          <w:rFonts w:hint="eastAsia" w:ascii="宋体" w:hAnsi="宋体" w:cs="宋体"/>
          <w:color w:val="auto"/>
          <w:highlight w:val="none"/>
        </w:rPr>
        <w:t>、警示距离：来车时速</w:t>
      </w:r>
      <w:r>
        <w:rPr>
          <w:rFonts w:ascii="宋体" w:hAnsi="宋体" w:cs="宋体"/>
          <w:color w:val="auto"/>
          <w:highlight w:val="none"/>
        </w:rPr>
        <w:t>120</w:t>
      </w:r>
      <w:r>
        <w:rPr>
          <w:rFonts w:hint="eastAsia" w:ascii="宋体" w:hAnsi="宋体" w:cs="宋体"/>
          <w:color w:val="auto"/>
          <w:highlight w:val="none"/>
        </w:rPr>
        <w:t>公里</w:t>
      </w:r>
      <w:r>
        <w:rPr>
          <w:rFonts w:ascii="宋体" w:hAnsi="宋体" w:cs="宋体"/>
          <w:color w:val="auto"/>
          <w:highlight w:val="none"/>
        </w:rPr>
        <w:t>/</w:t>
      </w:r>
      <w:r>
        <w:rPr>
          <w:rFonts w:hint="eastAsia" w:ascii="宋体" w:hAnsi="宋体" w:cs="宋体"/>
          <w:color w:val="auto"/>
          <w:highlight w:val="none"/>
        </w:rPr>
        <w:t>小时行车状态中可视距离</w:t>
      </w:r>
      <w:r>
        <w:rPr>
          <w:rFonts w:hint="eastAsia" w:ascii="宋体" w:hAnsi="宋体" w:cs="宋体"/>
          <w:color w:val="auto"/>
          <w:highlight w:val="none"/>
          <w:lang w:val="en-US" w:eastAsia="zh-CN"/>
        </w:rPr>
        <w:t>≥</w:t>
      </w:r>
      <w:r>
        <w:rPr>
          <w:rFonts w:ascii="宋体" w:hAnsi="宋体" w:cs="宋体"/>
          <w:color w:val="auto"/>
          <w:highlight w:val="none"/>
        </w:rPr>
        <w:t>500</w:t>
      </w:r>
      <w:r>
        <w:rPr>
          <w:rFonts w:hint="eastAsia" w:ascii="宋体" w:hAnsi="宋体" w:cs="宋体"/>
          <w:color w:val="auto"/>
          <w:highlight w:val="none"/>
        </w:rPr>
        <w:t>米</w:t>
      </w:r>
    </w:p>
    <w:p>
      <w:pPr>
        <w:spacing w:line="360" w:lineRule="auto"/>
        <w:rPr>
          <w:rFonts w:ascii="宋体" w:hAnsi="宋体" w:cs="宋体"/>
          <w:color w:val="auto"/>
          <w:highlight w:val="none"/>
        </w:rPr>
      </w:pPr>
      <w:r>
        <w:rPr>
          <w:rFonts w:ascii="宋体" w:hAnsi="宋体" w:cs="宋体"/>
          <w:color w:val="auto"/>
          <w:highlight w:val="none"/>
        </w:rPr>
        <w:t>8</w:t>
      </w:r>
      <w:r>
        <w:rPr>
          <w:rFonts w:hint="eastAsia" w:ascii="宋体" w:hAnsi="宋体" w:cs="宋体"/>
          <w:color w:val="auto"/>
          <w:highlight w:val="none"/>
        </w:rPr>
        <w:t>、防水防尘：</w:t>
      </w:r>
      <w:r>
        <w:rPr>
          <w:rFonts w:hint="eastAsia" w:ascii="宋体" w:hAnsi="宋体"/>
          <w:color w:val="auto"/>
          <w:highlight w:val="none"/>
          <w:lang w:val="en-US" w:eastAsia="zh-CN"/>
        </w:rPr>
        <w:t>≥</w:t>
      </w:r>
      <w:r>
        <w:rPr>
          <w:rFonts w:ascii="宋体" w:hAnsi="宋体" w:cs="宋体"/>
          <w:color w:val="auto"/>
          <w:highlight w:val="none"/>
        </w:rPr>
        <w:t>IP 65</w:t>
      </w:r>
    </w:p>
    <w:p>
      <w:pPr>
        <w:spacing w:line="360" w:lineRule="auto"/>
        <w:rPr>
          <w:rFonts w:ascii="宋体" w:hAnsi="宋体" w:cs="宋体"/>
          <w:color w:val="auto"/>
          <w:highlight w:val="none"/>
        </w:rPr>
      </w:pPr>
      <w:r>
        <w:rPr>
          <w:rFonts w:ascii="宋体" w:hAnsi="宋体" w:cs="宋体"/>
          <w:color w:val="auto"/>
          <w:highlight w:val="none"/>
        </w:rPr>
        <w:t>9</w:t>
      </w: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组</w:t>
      </w:r>
      <w:r>
        <w:rPr>
          <w:rFonts w:ascii="宋体" w:hAnsi="宋体" w:cs="宋体"/>
          <w:color w:val="auto"/>
          <w:highlight w:val="none"/>
        </w:rPr>
        <w:t>LED</w:t>
      </w:r>
      <w:r>
        <w:rPr>
          <w:rFonts w:hint="eastAsia" w:ascii="宋体" w:hAnsi="宋体" w:cs="宋体"/>
          <w:color w:val="auto"/>
          <w:highlight w:val="none"/>
        </w:rPr>
        <w:t>警示灯组成</w:t>
      </w:r>
    </w:p>
    <w:p>
      <w:pPr>
        <w:spacing w:line="360" w:lineRule="auto"/>
        <w:rPr>
          <w:rFonts w:ascii="宋体" w:hAnsi="宋体"/>
          <w:b/>
          <w:color w:val="auto"/>
          <w:highlight w:val="none"/>
        </w:rPr>
      </w:pPr>
      <w:r>
        <w:rPr>
          <w:rFonts w:hint="eastAsia" w:ascii="宋体" w:hAnsi="宋体"/>
          <w:b/>
          <w:color w:val="auto"/>
          <w:highlight w:val="none"/>
        </w:rPr>
        <w:t>（五）挂肩警示灯</w:t>
      </w:r>
    </w:p>
    <w:p>
      <w:pPr>
        <w:spacing w:line="360" w:lineRule="auto"/>
        <w:jc w:val="center"/>
        <w:rPr>
          <w:rFonts w:ascii="宋体" w:hAnsi="宋体"/>
          <w:b/>
          <w:color w:val="auto"/>
          <w:highlight w:val="none"/>
        </w:rPr>
      </w:pPr>
      <w:r>
        <w:rPr>
          <w:color w:val="auto"/>
          <w:highlight w:val="none"/>
        </w:rPr>
        <w:drawing>
          <wp:inline distT="0" distB="0" distL="114300" distR="114300">
            <wp:extent cx="1421130" cy="1885315"/>
            <wp:effectExtent l="0" t="0" r="635" b="762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3"/>
                    <a:stretch>
                      <a:fillRect/>
                    </a:stretch>
                  </pic:blipFill>
                  <pic:spPr>
                    <a:xfrm rot="5400000">
                      <a:off x="0" y="0"/>
                      <a:ext cx="1421130" cy="1885315"/>
                    </a:xfrm>
                    <a:prstGeom prst="rect">
                      <a:avLst/>
                    </a:prstGeom>
                    <a:noFill/>
                    <a:ln>
                      <a:noFill/>
                    </a:ln>
                  </pic:spPr>
                </pic:pic>
              </a:graphicData>
            </a:graphic>
          </wp:inline>
        </w:drawing>
      </w:r>
    </w:p>
    <w:p>
      <w:pPr>
        <w:spacing w:line="360" w:lineRule="auto"/>
        <w:rPr>
          <w:rFonts w:ascii="宋体" w:hAnsi="宋体"/>
          <w:color w:val="auto"/>
          <w:highlight w:val="none"/>
        </w:rPr>
      </w:pPr>
      <w:r>
        <w:rPr>
          <w:rFonts w:ascii="宋体" w:hAnsi="宋体"/>
          <w:color w:val="auto"/>
          <w:highlight w:val="none"/>
        </w:rPr>
        <w:t>1</w:t>
      </w:r>
      <w:r>
        <w:rPr>
          <w:rFonts w:hint="eastAsia" w:ascii="宋体" w:hAnsi="宋体"/>
          <w:color w:val="auto"/>
          <w:highlight w:val="none"/>
        </w:rPr>
        <w:t>、电池容量</w:t>
      </w:r>
      <w:r>
        <w:rPr>
          <w:rFonts w:hint="eastAsia" w:ascii="宋体" w:hAnsi="宋体" w:cs="宋体"/>
          <w:color w:val="auto"/>
          <w:highlight w:val="none"/>
          <w:lang w:val="en-US" w:eastAsia="zh-CN"/>
        </w:rPr>
        <w:t>≥</w:t>
      </w:r>
      <w:r>
        <w:rPr>
          <w:rFonts w:ascii="宋体" w:hAnsi="宋体"/>
          <w:color w:val="auto"/>
          <w:highlight w:val="none"/>
        </w:rPr>
        <w:t>3.7V/600mAH</w:t>
      </w:r>
    </w:p>
    <w:p>
      <w:pPr>
        <w:spacing w:line="360" w:lineRule="auto"/>
        <w:rPr>
          <w:rFonts w:hint="eastAsia" w:ascii="宋体" w:hAnsi="宋体" w:eastAsia="宋体"/>
          <w:color w:val="auto"/>
          <w:highlight w:val="none"/>
          <w:lang w:eastAsia="zh-CN"/>
        </w:rPr>
      </w:pPr>
      <w:r>
        <w:rPr>
          <w:rFonts w:ascii="宋体" w:hAnsi="宋体"/>
          <w:color w:val="auto"/>
          <w:highlight w:val="none"/>
        </w:rPr>
        <w:t>2</w:t>
      </w:r>
      <w:r>
        <w:rPr>
          <w:rFonts w:hint="eastAsia" w:ascii="宋体" w:hAnsi="宋体"/>
          <w:color w:val="auto"/>
          <w:highlight w:val="none"/>
        </w:rPr>
        <w:t>、防护等级</w:t>
      </w:r>
      <w:r>
        <w:rPr>
          <w:rFonts w:hint="eastAsia" w:ascii="宋体" w:hAnsi="宋体" w:cs="宋体"/>
          <w:color w:val="auto"/>
          <w:highlight w:val="none"/>
          <w:lang w:val="en-US" w:eastAsia="zh-CN"/>
        </w:rPr>
        <w:t>≥</w:t>
      </w:r>
      <w:r>
        <w:rPr>
          <w:rFonts w:ascii="宋体" w:hAnsi="宋体"/>
          <w:color w:val="auto"/>
          <w:highlight w:val="none"/>
        </w:rPr>
        <w:t>IP6</w:t>
      </w:r>
      <w:r>
        <w:rPr>
          <w:rFonts w:hint="eastAsia" w:ascii="宋体" w:hAnsi="宋体"/>
          <w:color w:val="auto"/>
          <w:highlight w:val="none"/>
          <w:lang w:val="en-US" w:eastAsia="zh-CN"/>
        </w:rPr>
        <w:t>6</w:t>
      </w:r>
    </w:p>
    <w:p>
      <w:pPr>
        <w:spacing w:line="360" w:lineRule="auto"/>
        <w:rPr>
          <w:rFonts w:ascii="宋体" w:hAnsi="宋体"/>
          <w:color w:val="auto"/>
          <w:highlight w:val="none"/>
        </w:rPr>
      </w:pPr>
      <w:r>
        <w:rPr>
          <w:rFonts w:hint="eastAsia" w:ascii="宋体" w:hAnsi="宋体"/>
          <w:color w:val="auto"/>
          <w:highlight w:val="none"/>
        </w:rPr>
        <w:t>3、持续工作时间，红蓝灯频闪</w:t>
      </w:r>
      <w:r>
        <w:rPr>
          <w:rFonts w:hint="eastAsia" w:ascii="宋体" w:hAnsi="宋体" w:cs="宋体"/>
          <w:color w:val="auto"/>
          <w:highlight w:val="none"/>
        </w:rPr>
        <w:t>≥</w:t>
      </w:r>
      <w:r>
        <w:rPr>
          <w:rFonts w:hint="eastAsia" w:ascii="宋体" w:hAnsi="宋体"/>
          <w:color w:val="auto"/>
          <w:highlight w:val="none"/>
        </w:rPr>
        <w:t>16小时</w:t>
      </w:r>
    </w:p>
    <w:p>
      <w:pPr>
        <w:spacing w:line="360" w:lineRule="auto"/>
        <w:rPr>
          <w:rFonts w:ascii="宋体" w:hAnsi="宋体"/>
          <w:color w:val="auto"/>
          <w:highlight w:val="none"/>
        </w:rPr>
      </w:pPr>
      <w:r>
        <w:rPr>
          <w:rFonts w:hint="eastAsia" w:ascii="宋体" w:hAnsi="宋体"/>
          <w:color w:val="auto"/>
          <w:highlight w:val="none"/>
        </w:rPr>
        <w:t>4、闪烁模式：侧面单侧红蓝交替</w:t>
      </w:r>
      <w:r>
        <w:rPr>
          <w:rFonts w:ascii="宋体" w:hAnsi="宋体"/>
          <w:color w:val="auto"/>
          <w:highlight w:val="none"/>
        </w:rPr>
        <w:t>/</w:t>
      </w:r>
      <w:r>
        <w:rPr>
          <w:rFonts w:hint="eastAsia" w:ascii="宋体" w:hAnsi="宋体"/>
          <w:color w:val="auto"/>
          <w:highlight w:val="none"/>
        </w:rPr>
        <w:t>正面红蓝交替/齐闪</w:t>
      </w:r>
    </w:p>
    <w:p>
      <w:pPr>
        <w:spacing w:line="360" w:lineRule="auto"/>
        <w:rPr>
          <w:rFonts w:ascii="宋体" w:hAnsi="宋体"/>
          <w:color w:val="auto"/>
          <w:highlight w:val="none"/>
        </w:rPr>
      </w:pPr>
      <w:r>
        <w:rPr>
          <w:rFonts w:hint="eastAsia" w:ascii="宋体" w:hAnsi="宋体"/>
          <w:color w:val="auto"/>
          <w:highlight w:val="none"/>
        </w:rPr>
        <w:t>5、支持手套模式，</w:t>
      </w:r>
    </w:p>
    <w:p>
      <w:pPr>
        <w:spacing w:line="360" w:lineRule="auto"/>
        <w:rPr>
          <w:rFonts w:ascii="宋体" w:hAnsi="宋体"/>
          <w:color w:val="auto"/>
          <w:highlight w:val="none"/>
        </w:rPr>
      </w:pPr>
      <w:r>
        <w:rPr>
          <w:rFonts w:hint="eastAsia" w:ascii="宋体" w:hAnsi="宋体"/>
          <w:color w:val="auto"/>
          <w:highlight w:val="none"/>
        </w:rPr>
        <w:t>6、不锈钢可旋转背夹。</w:t>
      </w:r>
    </w:p>
    <w:p>
      <w:pPr>
        <w:spacing w:line="360" w:lineRule="auto"/>
        <w:rPr>
          <w:rFonts w:ascii="宋体" w:hAnsi="宋体"/>
          <w:strike/>
          <w:color w:val="auto"/>
          <w:highlight w:val="none"/>
        </w:rPr>
      </w:pPr>
      <w:r>
        <w:rPr>
          <w:rFonts w:hint="eastAsia" w:ascii="宋体" w:hAnsi="宋体"/>
          <w:color w:val="auto"/>
          <w:highlight w:val="none"/>
        </w:rPr>
        <w:t>7、支持白灯照明功能</w:t>
      </w:r>
    </w:p>
    <w:p>
      <w:pPr>
        <w:spacing w:line="360" w:lineRule="auto"/>
        <w:rPr>
          <w:rFonts w:ascii="宋体" w:hAnsi="宋体"/>
          <w:color w:val="auto"/>
          <w:highlight w:val="none"/>
        </w:rPr>
      </w:pPr>
      <w:r>
        <w:rPr>
          <w:rFonts w:hint="eastAsia" w:ascii="宋体" w:hAnsi="宋体"/>
          <w:color w:val="auto"/>
          <w:highlight w:val="none"/>
        </w:rPr>
        <w:t>8、充电接口支持type-c接口，或提供转换接口</w:t>
      </w:r>
    </w:p>
    <w:p>
      <w:pPr>
        <w:spacing w:line="360" w:lineRule="auto"/>
        <w:rPr>
          <w:rFonts w:ascii="宋体" w:hAnsi="宋体"/>
          <w:color w:val="auto"/>
          <w:highlight w:val="none"/>
        </w:rPr>
      </w:pPr>
    </w:p>
    <w:p>
      <w:pPr>
        <w:spacing w:line="360" w:lineRule="auto"/>
        <w:contextualSpacing/>
        <w:textAlignment w:val="center"/>
        <w:rPr>
          <w:rFonts w:hint="eastAsia" w:ascii="宋体" w:hAnsi="宋体" w:cs="宋体"/>
          <w:b/>
          <w:bCs/>
          <w:color w:val="auto"/>
          <w:highlight w:val="none"/>
          <w:lang w:eastAsia="zh-CN"/>
        </w:rPr>
      </w:pPr>
      <w:r>
        <w:rPr>
          <w:rFonts w:hint="eastAsia" w:ascii="宋体" w:hAnsi="宋体"/>
          <w:color w:val="auto"/>
          <w:highlight w:val="none"/>
        </w:rPr>
        <w:t>注：上述产品所列明图片均为示意图；以上产品技术参数响应情况</w:t>
      </w:r>
      <w:r>
        <w:rPr>
          <w:rFonts w:hint="eastAsia" w:ascii="宋体" w:hAnsi="宋体"/>
          <w:color w:val="auto"/>
          <w:highlight w:val="none"/>
          <w:lang w:val="en-US" w:eastAsia="zh-CN"/>
        </w:rPr>
        <w:t>需提供相关功能证明材料（</w:t>
      </w:r>
      <w:r>
        <w:rPr>
          <w:rFonts w:hint="eastAsia" w:ascii="宋体" w:hAnsi="宋体"/>
          <w:b/>
          <w:bCs/>
          <w:color w:val="auto"/>
          <w:highlight w:val="none"/>
          <w:lang w:val="en-US" w:eastAsia="zh-CN"/>
        </w:rPr>
        <w:t>包括但不限于</w:t>
      </w:r>
      <w:r>
        <w:rPr>
          <w:rFonts w:hint="eastAsia" w:ascii="宋体" w:hAnsi="宋体" w:cs="Times New Roman"/>
          <w:b/>
          <w:bCs/>
          <w:i w:val="0"/>
          <w:color w:val="auto"/>
          <w:sz w:val="21"/>
          <w:szCs w:val="20"/>
          <w:highlight w:val="none"/>
        </w:rPr>
        <w:t>产品宣传彩页、</w:t>
      </w:r>
      <w:r>
        <w:rPr>
          <w:rFonts w:hint="eastAsia" w:ascii="宋体" w:hAnsi="宋体" w:cs="Times New Roman"/>
          <w:b/>
          <w:bCs/>
          <w:i w:val="0"/>
          <w:color w:val="auto"/>
          <w:sz w:val="21"/>
          <w:szCs w:val="20"/>
          <w:highlight w:val="none"/>
          <w:lang w:val="en-US" w:eastAsia="zh-CN"/>
        </w:rPr>
        <w:t>产品</w:t>
      </w:r>
      <w:r>
        <w:rPr>
          <w:rFonts w:hint="eastAsia" w:ascii="宋体" w:hAnsi="宋体" w:cs="Times New Roman"/>
          <w:b/>
          <w:bCs/>
          <w:i w:val="0"/>
          <w:color w:val="auto"/>
          <w:sz w:val="21"/>
          <w:szCs w:val="20"/>
          <w:highlight w:val="none"/>
        </w:rPr>
        <w:t>说明书</w:t>
      </w:r>
      <w:r>
        <w:rPr>
          <w:rFonts w:hint="eastAsia" w:ascii="宋体" w:hAnsi="宋体" w:cs="Times New Roman"/>
          <w:b/>
          <w:bCs/>
          <w:i w:val="0"/>
          <w:color w:val="auto"/>
          <w:sz w:val="21"/>
          <w:szCs w:val="20"/>
          <w:highlight w:val="none"/>
          <w:lang w:val="en-US" w:eastAsia="zh-CN"/>
        </w:rPr>
        <w:t>彩页、</w:t>
      </w:r>
      <w:r>
        <w:rPr>
          <w:rFonts w:hint="eastAsia" w:ascii="宋体" w:hAnsi="宋体" w:cs="Times New Roman"/>
          <w:b/>
          <w:bCs/>
          <w:i w:val="0"/>
          <w:color w:val="auto"/>
          <w:sz w:val="21"/>
          <w:szCs w:val="20"/>
          <w:highlight w:val="none"/>
        </w:rPr>
        <w:t>制造商官方网站发布的产品信息</w:t>
      </w:r>
      <w:r>
        <w:rPr>
          <w:rFonts w:hint="eastAsia" w:ascii="宋体" w:hAnsi="宋体" w:cs="Times New Roman"/>
          <w:b/>
          <w:bCs/>
          <w:i w:val="0"/>
          <w:color w:val="auto"/>
          <w:sz w:val="21"/>
          <w:szCs w:val="20"/>
          <w:highlight w:val="none"/>
          <w:lang w:val="en-US" w:eastAsia="zh-CN"/>
        </w:rPr>
        <w:t>网页截图</w:t>
      </w:r>
      <w:r>
        <w:rPr>
          <w:rFonts w:hint="eastAsia" w:ascii="宋体" w:hAnsi="宋体" w:cs="Times New Roman"/>
          <w:b/>
          <w:bCs/>
          <w:i w:val="0"/>
          <w:color w:val="auto"/>
          <w:sz w:val="21"/>
          <w:szCs w:val="20"/>
          <w:highlight w:val="none"/>
        </w:rPr>
        <w:t>或</w:t>
      </w:r>
      <w:r>
        <w:rPr>
          <w:rFonts w:hint="eastAsia" w:ascii="宋体" w:hAnsi="宋体"/>
          <w:b/>
          <w:bCs/>
          <w:color w:val="auto"/>
          <w:highlight w:val="none"/>
          <w:lang w:val="en-US" w:eastAsia="zh-CN"/>
        </w:rPr>
        <w:t>公安部认可的检测报告等</w:t>
      </w:r>
      <w:r>
        <w:rPr>
          <w:rFonts w:hint="eastAsia" w:ascii="宋体" w:hAnsi="宋体"/>
          <w:color w:val="auto"/>
          <w:highlight w:val="none"/>
          <w:lang w:val="en-US" w:eastAsia="zh-CN"/>
        </w:rPr>
        <w:t>）</w:t>
      </w:r>
      <w:r>
        <w:rPr>
          <w:rFonts w:hint="eastAsia" w:ascii="宋体" w:hAnsi="宋体"/>
          <w:color w:val="auto"/>
          <w:highlight w:val="none"/>
        </w:rPr>
        <w:t>为事实依据，</w:t>
      </w:r>
      <w:r>
        <w:rPr>
          <w:rFonts w:hint="eastAsia" w:ascii="宋体" w:hAnsi="宋体" w:cs="宋体"/>
          <w:color w:val="auto"/>
          <w:highlight w:val="none"/>
        </w:rPr>
        <w:t>以查验核对货物质量性能</w:t>
      </w:r>
      <w:r>
        <w:rPr>
          <w:rFonts w:hint="eastAsia" w:ascii="宋体" w:hAnsi="宋体" w:cs="宋体"/>
          <w:color w:val="auto"/>
          <w:highlight w:val="none"/>
          <w:lang w:eastAsia="zh-CN"/>
        </w:rPr>
        <w:t>；</w:t>
      </w:r>
      <w:r>
        <w:rPr>
          <w:rFonts w:hint="eastAsia" w:ascii="宋体" w:hAnsi="宋体" w:cs="宋体"/>
          <w:b/>
          <w:bCs/>
          <w:color w:val="auto"/>
          <w:highlight w:val="none"/>
          <w:lang w:val="en-US" w:eastAsia="zh-CN"/>
        </w:rPr>
        <w:t>本项目供应商所响应产品技术参数必须满足竞争性谈判文件所要求的最低指标要求，否则按未</w:t>
      </w:r>
      <w:r>
        <w:rPr>
          <w:rFonts w:hint="eastAsia" w:ascii="宋体" w:hAnsi="宋体" w:cs="宋体"/>
          <w:b/>
          <w:bCs/>
          <w:color w:val="auto"/>
          <w:szCs w:val="21"/>
          <w:highlight w:val="none"/>
        </w:rPr>
        <w:t>实质性响应谈判文件要求</w:t>
      </w:r>
      <w:r>
        <w:rPr>
          <w:rFonts w:hint="eastAsia" w:ascii="宋体" w:hAnsi="宋体" w:cs="宋体"/>
          <w:b/>
          <w:bCs/>
          <w:color w:val="auto"/>
          <w:szCs w:val="21"/>
          <w:highlight w:val="none"/>
          <w:lang w:val="en-US" w:eastAsia="zh-CN"/>
        </w:rPr>
        <w:t>处理。</w:t>
      </w:r>
    </w:p>
    <w:p>
      <w:pPr>
        <w:spacing w:line="360" w:lineRule="auto"/>
        <w:contextualSpacing/>
        <w:textAlignment w:val="center"/>
        <w:rPr>
          <w:rFonts w:hint="eastAsia" w:ascii="宋体" w:hAnsi="宋体"/>
          <w:color w:val="auto"/>
          <w:highlight w:val="none"/>
          <w:lang w:eastAsia="zh-CN"/>
        </w:rPr>
      </w:pPr>
      <w:r>
        <w:rPr>
          <w:rFonts w:hint="eastAsia" w:ascii="宋体" w:hAnsi="宋体"/>
          <w:color w:val="auto"/>
          <w:highlight w:val="none"/>
        </w:rPr>
        <w:t>产品须提供</w:t>
      </w:r>
      <w:r>
        <w:rPr>
          <w:rFonts w:hint="eastAsia" w:ascii="宋体" w:hAnsi="宋体"/>
          <w:color w:val="auto"/>
          <w:highlight w:val="none"/>
          <w:lang w:val="en-US" w:eastAsia="zh-CN"/>
        </w:rPr>
        <w:t>货物来源渠道合法证明文件（</w:t>
      </w:r>
      <w:r>
        <w:rPr>
          <w:rFonts w:hint="eastAsia" w:ascii="宋体" w:hAnsi="宋体"/>
          <w:b/>
          <w:bCs/>
          <w:color w:val="auto"/>
          <w:highlight w:val="none"/>
          <w:lang w:val="en-US" w:eastAsia="zh-CN"/>
        </w:rPr>
        <w:t>包括但不限于原厂</w:t>
      </w:r>
      <w:r>
        <w:rPr>
          <w:rFonts w:hint="eastAsia" w:ascii="宋体" w:hAnsi="宋体"/>
          <w:b/>
          <w:bCs/>
          <w:color w:val="auto"/>
          <w:highlight w:val="none"/>
        </w:rPr>
        <w:t>授权</w:t>
      </w:r>
      <w:r>
        <w:rPr>
          <w:rFonts w:hint="eastAsia" w:ascii="宋体" w:hAnsi="宋体"/>
          <w:b/>
          <w:bCs/>
          <w:color w:val="auto"/>
          <w:highlight w:val="none"/>
          <w:lang w:eastAsia="zh-CN"/>
        </w:rPr>
        <w:t>、</w:t>
      </w:r>
      <w:r>
        <w:rPr>
          <w:rFonts w:hint="eastAsia" w:ascii="宋体" w:hAnsi="宋体"/>
          <w:b/>
          <w:bCs/>
          <w:color w:val="auto"/>
          <w:highlight w:val="none"/>
          <w:lang w:val="en-US" w:eastAsia="zh-CN"/>
        </w:rPr>
        <w:t>代理协议、经销协议等证明材料</w:t>
      </w:r>
      <w:r>
        <w:rPr>
          <w:rFonts w:hint="eastAsia" w:ascii="宋体" w:hAnsi="宋体"/>
          <w:color w:val="auto"/>
          <w:highlight w:val="none"/>
          <w:lang w:val="en-US" w:eastAsia="zh-CN"/>
        </w:rPr>
        <w:t>）</w:t>
      </w:r>
      <w:r>
        <w:rPr>
          <w:rFonts w:hint="eastAsia" w:ascii="宋体" w:hAnsi="宋体"/>
          <w:color w:val="auto"/>
          <w:highlight w:val="none"/>
          <w:lang w:eastAsia="zh-CN"/>
        </w:rPr>
        <w:t>。</w:t>
      </w:r>
      <w:r>
        <w:rPr>
          <w:rFonts w:hint="eastAsia" w:ascii="宋体" w:hAnsi="宋体" w:cs="宋体"/>
          <w:color w:val="auto"/>
          <w:szCs w:val="21"/>
          <w:highlight w:val="none"/>
        </w:rPr>
        <w:t>（</w:t>
      </w:r>
      <w:r>
        <w:rPr>
          <w:rFonts w:hint="eastAsia" w:ascii="宋体" w:hAnsi="宋体" w:cs="宋体"/>
          <w:b/>
          <w:bCs/>
          <w:color w:val="auto"/>
          <w:szCs w:val="21"/>
          <w:highlight w:val="none"/>
        </w:rPr>
        <w:t>仅代理商提供</w:t>
      </w:r>
      <w:r>
        <w:rPr>
          <w:rFonts w:hint="eastAsia" w:ascii="宋体" w:hAnsi="宋体" w:cs="宋体"/>
          <w:color w:val="auto"/>
          <w:szCs w:val="21"/>
          <w:highlight w:val="none"/>
        </w:rPr>
        <w:t>）</w:t>
      </w:r>
    </w:p>
    <w:p>
      <w:pPr>
        <w:spacing w:line="360" w:lineRule="auto"/>
        <w:contextualSpacing/>
        <w:textAlignment w:val="center"/>
        <w:rPr>
          <w:rFonts w:ascii="宋体" w:hAnsi="宋体" w:cs="宋体"/>
          <w:b/>
          <w:bCs/>
          <w:color w:val="auto"/>
          <w:highlight w:val="none"/>
        </w:rPr>
      </w:pPr>
      <w:r>
        <w:rPr>
          <w:rFonts w:hint="eastAsia" w:ascii="宋体" w:hAnsi="宋体"/>
          <w:b/>
          <w:bCs/>
          <w:color w:val="auto"/>
          <w:highlight w:val="none"/>
          <w:lang w:val="en-US" w:eastAsia="zh-CN"/>
        </w:rPr>
        <w:t>上述证明材料</w:t>
      </w:r>
      <w:r>
        <w:rPr>
          <w:rFonts w:hint="eastAsia" w:ascii="宋体" w:hAnsi="宋体" w:cs="宋体"/>
          <w:b/>
          <w:bCs/>
          <w:color w:val="auto"/>
          <w:highlight w:val="none"/>
        </w:rPr>
        <w:t>未提供按无效响应处理。</w:t>
      </w:r>
    </w:p>
    <w:p>
      <w:pPr>
        <w:spacing w:line="360" w:lineRule="auto"/>
        <w:rPr>
          <w:rFonts w:ascii="宋体" w:hAnsi="宋体"/>
          <w:color w:val="auto"/>
          <w:highlight w:val="none"/>
        </w:rPr>
      </w:pPr>
    </w:p>
    <w:bookmarkEnd w:id="18"/>
    <w:p>
      <w:pPr>
        <w:spacing w:before="312" w:beforeLines="100" w:after="312" w:afterLines="100" w:line="360" w:lineRule="auto"/>
        <w:ind w:firstLine="643" w:firstLineChars="200"/>
        <w:jc w:val="center"/>
        <w:rPr>
          <w:rFonts w:ascii="宋体" w:hAnsi="宋体"/>
          <w:b/>
          <w:color w:val="auto"/>
          <w:sz w:val="32"/>
          <w:szCs w:val="32"/>
          <w:highlight w:val="none"/>
        </w:rPr>
      </w:pPr>
      <w:r>
        <w:rPr>
          <w:rFonts w:hint="eastAsia" w:ascii="宋体" w:hAnsi="宋体"/>
          <w:b/>
          <w:color w:val="auto"/>
          <w:sz w:val="32"/>
          <w:szCs w:val="32"/>
          <w:highlight w:val="none"/>
        </w:rPr>
        <w:br w:type="page"/>
      </w:r>
      <w:r>
        <w:rPr>
          <w:rFonts w:hint="eastAsia" w:ascii="宋体" w:hAnsi="宋体"/>
          <w:b/>
          <w:color w:val="auto"/>
          <w:sz w:val="32"/>
          <w:szCs w:val="32"/>
          <w:highlight w:val="none"/>
        </w:rPr>
        <w:t>第五章 评审方法</w:t>
      </w:r>
      <w:bookmarkEnd w:id="15"/>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一、评审方法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按照《中华人民共和国政府采购法》、《中华人民共和国政府采购法实施条例》、和《政府采购非招标采购方式管理办法》的规定，竞争性谈判小组将从质量和服务均能满足采购文件实质性响应要求的供应商中，按照最后评审价由低到高的顺序提出3名成交候选人。</w:t>
      </w:r>
    </w:p>
    <w:p>
      <w:pPr>
        <w:spacing w:line="360" w:lineRule="auto"/>
        <w:ind w:firstLine="422" w:firstLineChars="200"/>
        <w:rPr>
          <w:rFonts w:ascii="宋体" w:hAnsi="宋体" w:cs="宋体"/>
          <w:b/>
          <w:color w:val="auto"/>
          <w:spacing w:val="4"/>
          <w:szCs w:val="21"/>
          <w:highlight w:val="none"/>
        </w:rPr>
      </w:pPr>
      <w:r>
        <w:rPr>
          <w:rFonts w:hint="eastAsia" w:ascii="宋体" w:hAnsi="宋体" w:cs="宋体"/>
          <w:b/>
          <w:bCs/>
          <w:color w:val="auto"/>
          <w:szCs w:val="21"/>
          <w:highlight w:val="none"/>
        </w:rPr>
        <w:t>二、评审程序</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1.响应文件审查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审查分为资格性检查和符合性检查。分别按照以下内容对谈判响应文件进行检查，一项不合格即按照无效响应处理。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响应文件审查合格的为实质性响应谈判文件要求的供应商。</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1.1资格性检查：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1.1.1提供的资格证明文件是否符合国家法律法规和谈判文件的要求，并且齐全、真实、有效。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1.1.2是否按照谈判文件的要求提交了足额有效的谈判保证金（如有要求）。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在“信用中国”网站（www.creditchina.gov.cn）和“中国政府采购网”（www.ccgp.gov.cn）对供应商信用信息进行查询，如果供应商被查实在谈判截止时间前已列入失信被执行人、重大税收违法失信主体、政府采购严重违法失信行为记录名单，其谈判响应为无效。</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1.2符合性检查：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1.2.1谈判响应文件的完整性审查。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1.2.1.1响应文件是否按照谈判文件要求的格式编写。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1.2.2谈判响应文件的有效性审查。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1.2.2.1响应文件的签署、加盖印章是否有效；提供的各种证明文件、数据、资料是否有效。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1.2.3谈判响应文件的响应性审查。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1.2.3.1谈判报价是否超过采购预算或最高限价；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1.2.3.2谈判报价是否低于成本价，涉嫌不正当竞争；（如果</w:t>
      </w:r>
      <w:r>
        <w:rPr>
          <w:rFonts w:hint="eastAsia" w:ascii="宋体" w:hAnsi="宋体" w:cs="宋体"/>
          <w:color w:val="auto"/>
          <w:szCs w:val="21"/>
          <w:highlight w:val="none"/>
          <w:lang w:val="en-US" w:eastAsia="zh-CN"/>
        </w:rPr>
        <w:t>谈判小组</w:t>
      </w:r>
      <w:r>
        <w:rPr>
          <w:rFonts w:hint="eastAsia" w:ascii="宋体" w:hAnsi="宋体" w:cs="宋体"/>
          <w:color w:val="auto"/>
          <w:szCs w:val="21"/>
          <w:highlight w:val="none"/>
        </w:rPr>
        <w:t>认为最低的谈判报价明显不合理或者低于成本，应当要求其在规定期限内提供书面文件予以解释说明，并提交相关证明材料。）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1.2.3.3谈判报价有效期是否符合谈判文件的要求；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1.2.3.4响应文件内容是否符合国家法律法规，没有重大偏离；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1.2.3.5对谈判文件中规定的要求是否做出了实质性响应。</w:t>
      </w:r>
    </w:p>
    <w:p>
      <w:pPr>
        <w:widowControl/>
        <w:tabs>
          <w:tab w:val="left" w:pos="1620"/>
        </w:tabs>
        <w:spacing w:line="360" w:lineRule="auto"/>
        <w:ind w:firstLine="422" w:firstLineChars="200"/>
        <w:jc w:val="left"/>
        <w:outlineLvl w:val="1"/>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1.2.3.6</w:t>
      </w:r>
      <w:r>
        <w:rPr>
          <w:rFonts w:hint="eastAsia" w:ascii="宋体" w:hAnsi="宋体" w:cs="宋体"/>
          <w:b/>
          <w:bCs/>
          <w:color w:val="auto"/>
          <w:szCs w:val="21"/>
          <w:highlight w:val="none"/>
        </w:rPr>
        <w:t>本项目专门面向中小企业采购，仅限符合《政府采购促进中小企业发展暂行办法》（财库〔2020〕46号）条件的中小企业参与，供应商应填写中小企业声明函并对真实性负责。（残疾人福利性单位及监狱企业视同为小型、微型企业）。</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2.澄清有关问题</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谈判小组在对响应文件的有效性、完整性和响应程度进行审查时，可以要求</w:t>
      </w:r>
      <w:r>
        <w:rPr>
          <w:rFonts w:hint="eastAsia" w:ascii="宋体" w:hAnsi="宋体"/>
          <w:color w:val="auto"/>
          <w:szCs w:val="21"/>
          <w:highlight w:val="none"/>
        </w:rPr>
        <w:t>供应商</w:t>
      </w:r>
      <w:r>
        <w:rPr>
          <w:rFonts w:ascii="宋体" w:hAnsi="宋体"/>
          <w:color w:val="auto"/>
          <w:szCs w:val="21"/>
          <w:highlight w:val="none"/>
        </w:rPr>
        <w:t>对响应文件中含义不明确、同类问题表述不一致或者有明显文字和计算错误的内容等作出必要的澄清、说明或者更正。</w:t>
      </w:r>
      <w:r>
        <w:rPr>
          <w:rFonts w:hint="eastAsia" w:ascii="宋体" w:hAnsi="宋体"/>
          <w:color w:val="auto"/>
          <w:szCs w:val="21"/>
          <w:highlight w:val="none"/>
        </w:rPr>
        <w:t>供应商</w:t>
      </w:r>
      <w:r>
        <w:rPr>
          <w:rFonts w:ascii="宋体" w:hAnsi="宋体"/>
          <w:color w:val="auto"/>
          <w:szCs w:val="21"/>
          <w:highlight w:val="none"/>
        </w:rPr>
        <w:t>的澄清、说明或者更正不得超出响应文件的范围或者改变响应文件的实质性内容。</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谈判小组要求</w:t>
      </w:r>
      <w:r>
        <w:rPr>
          <w:rFonts w:hint="eastAsia" w:ascii="宋体" w:hAnsi="宋体"/>
          <w:color w:val="auto"/>
          <w:szCs w:val="21"/>
          <w:highlight w:val="none"/>
        </w:rPr>
        <w:t>供应商</w:t>
      </w:r>
      <w:r>
        <w:rPr>
          <w:rFonts w:ascii="宋体" w:hAnsi="宋体"/>
          <w:color w:val="auto"/>
          <w:szCs w:val="21"/>
          <w:highlight w:val="none"/>
        </w:rPr>
        <w:t>澄清、说明或者更正响应文件</w:t>
      </w:r>
      <w:r>
        <w:rPr>
          <w:rFonts w:hint="eastAsia" w:ascii="宋体" w:hAnsi="宋体"/>
          <w:color w:val="auto"/>
          <w:szCs w:val="21"/>
          <w:highlight w:val="none"/>
        </w:rPr>
        <w:t>的，</w:t>
      </w:r>
      <w:r>
        <w:rPr>
          <w:rFonts w:ascii="宋体" w:hAnsi="宋体"/>
          <w:color w:val="auto"/>
          <w:szCs w:val="21"/>
          <w:highlight w:val="none"/>
        </w:rPr>
        <w:t>应当以书面形式</w:t>
      </w:r>
      <w:r>
        <w:rPr>
          <w:rFonts w:hint="eastAsia" w:ascii="宋体" w:hAnsi="宋体"/>
          <w:color w:val="auto"/>
          <w:szCs w:val="21"/>
          <w:highlight w:val="none"/>
        </w:rPr>
        <w:t>提</w:t>
      </w:r>
      <w:r>
        <w:rPr>
          <w:rFonts w:ascii="宋体" w:hAnsi="宋体"/>
          <w:color w:val="auto"/>
          <w:szCs w:val="21"/>
          <w:highlight w:val="none"/>
        </w:rPr>
        <w:t>出。</w:t>
      </w:r>
      <w:r>
        <w:rPr>
          <w:rFonts w:hint="eastAsia" w:ascii="宋体" w:hAnsi="宋体"/>
          <w:color w:val="auto"/>
          <w:szCs w:val="21"/>
          <w:highlight w:val="none"/>
        </w:rPr>
        <w:t>供应商</w:t>
      </w:r>
      <w:r>
        <w:rPr>
          <w:rFonts w:ascii="宋体" w:hAnsi="宋体"/>
          <w:color w:val="auto"/>
          <w:szCs w:val="21"/>
          <w:highlight w:val="none"/>
        </w:rPr>
        <w:t>的澄清、说明或者更正应当由法定代表人或其授权代表签字或者加盖公章。由授权代表签字的，应当</w:t>
      </w:r>
      <w:r>
        <w:rPr>
          <w:rFonts w:hint="eastAsia" w:ascii="宋体" w:hAnsi="宋体"/>
          <w:color w:val="auto"/>
          <w:szCs w:val="21"/>
          <w:highlight w:val="none"/>
        </w:rPr>
        <w:t>提供</w:t>
      </w:r>
      <w:r>
        <w:rPr>
          <w:rFonts w:ascii="宋体" w:hAnsi="宋体"/>
          <w:color w:val="auto"/>
          <w:szCs w:val="21"/>
          <w:highlight w:val="none"/>
        </w:rPr>
        <w:t>法定代表人授权书。</w:t>
      </w:r>
    </w:p>
    <w:p>
      <w:pPr>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3.</w:t>
      </w:r>
      <w:r>
        <w:rPr>
          <w:rFonts w:hint="eastAsia" w:ascii="宋体" w:hAnsi="宋体" w:cs="宋体"/>
          <w:b/>
          <w:bCs/>
          <w:color w:val="auto"/>
          <w:kern w:val="0"/>
          <w:szCs w:val="21"/>
          <w:highlight w:val="none"/>
        </w:rPr>
        <w:t>谈判小组所有成员集中与实质性响应谈判文件要求的供应商分别进行谈判。</w:t>
      </w:r>
    </w:p>
    <w:p>
      <w:pPr>
        <w:spacing w:line="360" w:lineRule="auto"/>
        <w:ind w:firstLine="422" w:firstLineChars="200"/>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rPr>
        <w:t>4.</w:t>
      </w:r>
      <w:r>
        <w:rPr>
          <w:rFonts w:hint="eastAsia" w:ascii="宋体" w:hAnsi="宋体" w:cs="宋体"/>
          <w:b/>
          <w:bCs/>
          <w:color w:val="auto"/>
          <w:szCs w:val="21"/>
          <w:highlight w:val="none"/>
          <w:lang w:val="en-US" w:eastAsia="zh-CN"/>
        </w:rPr>
        <w:t>中小企</w:t>
      </w:r>
      <w:r>
        <w:rPr>
          <w:rFonts w:hint="eastAsia" w:ascii="宋体" w:hAnsi="宋体" w:cs="宋体"/>
          <w:b/>
          <w:bCs/>
          <w:color w:val="auto"/>
          <w:kern w:val="0"/>
          <w:szCs w:val="21"/>
          <w:highlight w:val="none"/>
          <w:lang w:val="en-US" w:eastAsia="zh-CN"/>
        </w:rPr>
        <w:t>业、</w:t>
      </w:r>
      <w:r>
        <w:rPr>
          <w:rFonts w:hint="eastAsia" w:ascii="宋体" w:hAnsi="宋体" w:cs="宋体"/>
          <w:b/>
          <w:bCs/>
          <w:color w:val="auto"/>
          <w:kern w:val="0"/>
          <w:szCs w:val="21"/>
          <w:highlight w:val="none"/>
        </w:rPr>
        <w:t>残疾人福利性单位</w:t>
      </w:r>
      <w:r>
        <w:rPr>
          <w:rFonts w:hint="eastAsia" w:ascii="宋体" w:hAnsi="宋体" w:cs="宋体"/>
          <w:b/>
          <w:bCs/>
          <w:color w:val="auto"/>
          <w:kern w:val="0"/>
          <w:szCs w:val="21"/>
          <w:highlight w:val="none"/>
          <w:lang w:val="en-US" w:eastAsia="zh-CN"/>
        </w:rPr>
        <w:t>及</w:t>
      </w:r>
      <w:r>
        <w:rPr>
          <w:rFonts w:hint="eastAsia" w:ascii="宋体" w:hAnsi="宋体" w:cs="宋体"/>
          <w:b/>
          <w:bCs/>
          <w:color w:val="auto"/>
          <w:kern w:val="0"/>
          <w:szCs w:val="21"/>
          <w:highlight w:val="none"/>
        </w:rPr>
        <w:t>监狱企业</w:t>
      </w:r>
      <w:r>
        <w:rPr>
          <w:rFonts w:hint="eastAsia" w:ascii="宋体" w:hAnsi="宋体" w:cs="宋体"/>
          <w:b/>
          <w:bCs/>
          <w:color w:val="auto"/>
          <w:kern w:val="0"/>
          <w:szCs w:val="21"/>
          <w:highlight w:val="none"/>
          <w:lang w:val="en-US" w:eastAsia="zh-CN"/>
        </w:rPr>
        <w:t>认定</w:t>
      </w:r>
    </w:p>
    <w:p>
      <w:pPr>
        <w:spacing w:line="360" w:lineRule="auto"/>
        <w:ind w:firstLine="436" w:firstLineChars="200"/>
        <w:rPr>
          <w:rFonts w:ascii="宋体" w:hAnsi="宋体" w:cs="宋体"/>
          <w:color w:val="auto"/>
          <w:spacing w:val="4"/>
          <w:szCs w:val="21"/>
          <w:highlight w:val="none"/>
        </w:rPr>
      </w:pPr>
      <w:r>
        <w:rPr>
          <w:rFonts w:hint="eastAsia" w:ascii="宋体" w:hAnsi="宋体" w:cs="宋体"/>
          <w:color w:val="auto"/>
          <w:spacing w:val="4"/>
          <w:szCs w:val="21"/>
          <w:highlight w:val="none"/>
        </w:rPr>
        <w:t>4.</w:t>
      </w:r>
      <w:r>
        <w:rPr>
          <w:rFonts w:hint="eastAsia" w:ascii="宋体" w:hAnsi="宋体" w:cs="宋体"/>
          <w:color w:val="auto"/>
          <w:spacing w:val="4"/>
          <w:szCs w:val="21"/>
          <w:highlight w:val="none"/>
          <w:lang w:val="en-US" w:eastAsia="zh-CN"/>
        </w:rPr>
        <w:t>1.1</w:t>
      </w:r>
      <w:r>
        <w:rPr>
          <w:rFonts w:hint="eastAsia" w:ascii="宋体" w:hAnsi="宋体" w:cs="宋体"/>
          <w:color w:val="auto"/>
          <w:spacing w:val="4"/>
          <w:szCs w:val="21"/>
          <w:highlight w:val="none"/>
        </w:rPr>
        <w:t>确认为小微企业（含小型、微型企业，下同）谈判的，应当同时符合以下条件：</w:t>
      </w:r>
    </w:p>
    <w:p>
      <w:pPr>
        <w:spacing w:line="360" w:lineRule="auto"/>
        <w:ind w:firstLine="436" w:firstLineChars="200"/>
        <w:rPr>
          <w:rFonts w:ascii="宋体" w:hAnsi="宋体" w:cs="宋体"/>
          <w:color w:val="auto"/>
          <w:spacing w:val="4"/>
          <w:szCs w:val="21"/>
          <w:highlight w:val="none"/>
        </w:rPr>
      </w:pPr>
      <w:r>
        <w:rPr>
          <w:rFonts w:hint="eastAsia" w:ascii="宋体" w:hAnsi="宋体" w:cs="宋体"/>
          <w:color w:val="auto"/>
          <w:spacing w:val="4"/>
          <w:szCs w:val="21"/>
          <w:highlight w:val="none"/>
        </w:rPr>
        <w:t>4.</w:t>
      </w:r>
      <w:r>
        <w:rPr>
          <w:rFonts w:hint="eastAsia" w:ascii="宋体" w:hAnsi="宋体" w:cs="宋体"/>
          <w:color w:val="auto"/>
          <w:spacing w:val="4"/>
          <w:szCs w:val="21"/>
          <w:highlight w:val="none"/>
          <w:lang w:val="en-US" w:eastAsia="zh-CN"/>
        </w:rPr>
        <w:t>1.</w:t>
      </w:r>
      <w:r>
        <w:rPr>
          <w:rFonts w:hint="eastAsia" w:ascii="宋体" w:hAnsi="宋体" w:cs="宋体"/>
          <w:color w:val="auto"/>
          <w:spacing w:val="4"/>
          <w:szCs w:val="21"/>
          <w:highlight w:val="none"/>
        </w:rPr>
        <w:t>2符合国务院有关部门根据企业从业人员、营业收入、资产总额等指标制定的中小企业划型标准（工信部联企业〔2011〕300号）；</w:t>
      </w:r>
    </w:p>
    <w:p>
      <w:pPr>
        <w:widowControl/>
        <w:shd w:val="clear" w:color="auto" w:fill="FFFFFF"/>
        <w:spacing w:line="360" w:lineRule="auto"/>
        <w:ind w:firstLine="436" w:firstLineChars="200"/>
        <w:jc w:val="left"/>
        <w:rPr>
          <w:rFonts w:ascii="宋体" w:hAnsi="宋体" w:cs="宋体"/>
          <w:color w:val="auto"/>
          <w:spacing w:val="4"/>
          <w:szCs w:val="21"/>
          <w:highlight w:val="none"/>
        </w:rPr>
      </w:pPr>
      <w:r>
        <w:rPr>
          <w:rFonts w:hint="eastAsia" w:ascii="宋体" w:hAnsi="宋体" w:cs="宋体"/>
          <w:color w:val="auto"/>
          <w:spacing w:val="4"/>
          <w:szCs w:val="21"/>
          <w:highlight w:val="none"/>
        </w:rPr>
        <w:t>4.</w:t>
      </w:r>
      <w:r>
        <w:rPr>
          <w:rFonts w:hint="eastAsia" w:ascii="宋体" w:hAnsi="宋体" w:cs="宋体"/>
          <w:color w:val="auto"/>
          <w:spacing w:val="4"/>
          <w:szCs w:val="21"/>
          <w:highlight w:val="none"/>
          <w:lang w:val="en-US" w:eastAsia="zh-CN"/>
        </w:rPr>
        <w:t>1</w:t>
      </w:r>
      <w:r>
        <w:rPr>
          <w:rFonts w:hint="eastAsia" w:ascii="宋体" w:hAnsi="宋体" w:cs="宋体"/>
          <w:color w:val="auto"/>
          <w:spacing w:val="4"/>
          <w:szCs w:val="21"/>
          <w:highlight w:val="none"/>
        </w:rPr>
        <w:t>.</w:t>
      </w:r>
      <w:r>
        <w:rPr>
          <w:rFonts w:hint="eastAsia" w:ascii="宋体" w:hAnsi="宋体" w:cs="宋体"/>
          <w:color w:val="auto"/>
          <w:spacing w:val="4"/>
          <w:szCs w:val="21"/>
          <w:highlight w:val="none"/>
          <w:lang w:val="en-US" w:eastAsia="zh-CN"/>
        </w:rPr>
        <w:t>3</w:t>
      </w:r>
      <w:r>
        <w:rPr>
          <w:rFonts w:hint="eastAsia" w:ascii="宋体" w:hAnsi="宋体" w:cs="宋体"/>
          <w:color w:val="auto"/>
          <w:spacing w:val="4"/>
          <w:szCs w:val="21"/>
          <w:highlight w:val="none"/>
        </w:rPr>
        <w:t>在货物采购项目中，货物由中小企业制造，即货物由中小企业生产且使用该中小企业商号或者注册商标；</w:t>
      </w:r>
    </w:p>
    <w:p>
      <w:pPr>
        <w:spacing w:line="360" w:lineRule="auto"/>
        <w:ind w:firstLine="436" w:firstLineChars="200"/>
        <w:rPr>
          <w:rFonts w:ascii="宋体" w:hAnsi="宋体" w:cs="宋体"/>
          <w:color w:val="auto"/>
          <w:szCs w:val="21"/>
          <w:highlight w:val="none"/>
        </w:rPr>
      </w:pPr>
      <w:r>
        <w:rPr>
          <w:rFonts w:hint="eastAsia" w:ascii="宋体" w:hAnsi="宋体" w:cs="宋体"/>
          <w:color w:val="auto"/>
          <w:spacing w:val="4"/>
          <w:szCs w:val="21"/>
          <w:highlight w:val="none"/>
        </w:rPr>
        <w:t>4.</w:t>
      </w:r>
      <w:r>
        <w:rPr>
          <w:rFonts w:hint="eastAsia" w:ascii="宋体" w:hAnsi="宋体" w:cs="宋体"/>
          <w:color w:val="auto"/>
          <w:spacing w:val="4"/>
          <w:szCs w:val="21"/>
          <w:highlight w:val="none"/>
          <w:lang w:val="en-US" w:eastAsia="zh-CN"/>
        </w:rPr>
        <w:t>1</w:t>
      </w:r>
      <w:r>
        <w:rPr>
          <w:rFonts w:hint="eastAsia" w:ascii="宋体" w:hAnsi="宋体" w:cs="宋体"/>
          <w:color w:val="auto"/>
          <w:spacing w:val="4"/>
          <w:szCs w:val="21"/>
          <w:highlight w:val="none"/>
        </w:rPr>
        <w:t>.</w:t>
      </w:r>
      <w:r>
        <w:rPr>
          <w:rFonts w:hint="eastAsia" w:ascii="宋体" w:hAnsi="宋体" w:cs="宋体"/>
          <w:color w:val="auto"/>
          <w:spacing w:val="4"/>
          <w:szCs w:val="21"/>
          <w:highlight w:val="none"/>
          <w:lang w:val="en-US" w:eastAsia="zh-CN"/>
        </w:rPr>
        <w:t>4</w:t>
      </w:r>
      <w:r>
        <w:rPr>
          <w:rFonts w:hint="eastAsia" w:ascii="宋体" w:hAnsi="宋体" w:cs="宋体"/>
          <w:color w:val="auto"/>
          <w:spacing w:val="4"/>
          <w:szCs w:val="21"/>
          <w:highlight w:val="none"/>
        </w:rPr>
        <w:t>谈判时须</w:t>
      </w:r>
      <w:r>
        <w:rPr>
          <w:rFonts w:hint="eastAsia" w:ascii="宋体" w:hAnsi="宋体" w:cs="宋体"/>
          <w:color w:val="auto"/>
          <w:szCs w:val="21"/>
          <w:highlight w:val="none"/>
        </w:rPr>
        <w:t>提供按照</w:t>
      </w:r>
      <w:r>
        <w:rPr>
          <w:rFonts w:hint="eastAsia" w:ascii="宋体" w:hAnsi="宋体" w:cs="宋体"/>
          <w:color w:val="auto"/>
          <w:spacing w:val="4"/>
          <w:szCs w:val="21"/>
          <w:highlight w:val="none"/>
        </w:rPr>
        <w:t>（财库〔2020〕46号）文件附件格式填写的</w:t>
      </w:r>
      <w:r>
        <w:rPr>
          <w:rFonts w:hint="eastAsia" w:ascii="宋体" w:hAnsi="宋体" w:cs="宋体"/>
          <w:color w:val="auto"/>
          <w:szCs w:val="21"/>
          <w:highlight w:val="none"/>
        </w:rPr>
        <w:t>《中小企业声明函（货物）》。</w:t>
      </w:r>
    </w:p>
    <w:p>
      <w:pPr>
        <w:spacing w:line="360" w:lineRule="auto"/>
        <w:ind w:firstLine="436" w:firstLineChars="200"/>
        <w:rPr>
          <w:rFonts w:ascii="宋体" w:hAnsi="宋体" w:cs="宋体"/>
          <w:color w:val="auto"/>
          <w:spacing w:val="4"/>
          <w:szCs w:val="21"/>
          <w:highlight w:val="none"/>
        </w:rPr>
      </w:pPr>
      <w:r>
        <w:rPr>
          <w:rFonts w:hint="eastAsia" w:ascii="宋体" w:hAnsi="宋体" w:cs="宋体"/>
          <w:color w:val="auto"/>
          <w:spacing w:val="4"/>
          <w:szCs w:val="21"/>
          <w:highlight w:val="none"/>
        </w:rPr>
        <w:t>4.2确认为残疾人福利性单位谈判的，应当同时符合以下条件：</w:t>
      </w:r>
    </w:p>
    <w:p>
      <w:pPr>
        <w:spacing w:line="360" w:lineRule="auto"/>
        <w:ind w:firstLine="436" w:firstLineChars="200"/>
        <w:rPr>
          <w:rFonts w:ascii="宋体" w:hAnsi="宋体" w:cs="宋体"/>
          <w:color w:val="auto"/>
          <w:spacing w:val="4"/>
          <w:szCs w:val="21"/>
          <w:highlight w:val="none"/>
        </w:rPr>
      </w:pPr>
      <w:r>
        <w:rPr>
          <w:rFonts w:hint="eastAsia" w:ascii="宋体" w:hAnsi="宋体" w:cs="宋体"/>
          <w:color w:val="auto"/>
          <w:spacing w:val="4"/>
          <w:szCs w:val="21"/>
          <w:highlight w:val="none"/>
        </w:rPr>
        <w:t>4.2.1符合（财库〔2017〕141号）文件相关规定。</w:t>
      </w:r>
    </w:p>
    <w:p>
      <w:pPr>
        <w:spacing w:line="360" w:lineRule="auto"/>
        <w:ind w:firstLine="436" w:firstLineChars="200"/>
        <w:rPr>
          <w:rFonts w:ascii="宋体" w:hAnsi="宋体" w:cs="宋体"/>
          <w:color w:val="auto"/>
          <w:spacing w:val="4"/>
          <w:szCs w:val="21"/>
          <w:highlight w:val="none"/>
        </w:rPr>
      </w:pPr>
      <w:r>
        <w:rPr>
          <w:rFonts w:hint="eastAsia" w:ascii="宋体" w:hAnsi="宋体" w:cs="宋体"/>
          <w:color w:val="auto"/>
          <w:spacing w:val="4"/>
          <w:szCs w:val="21"/>
          <w:highlight w:val="none"/>
        </w:rPr>
        <w:t>4.2.2谈判时提供本单位制造的货物、承担的工程或者服务（以下简称产品），或者提供其他残疾人福利性单位制造的货物（不包括使用非残疾人福利性单位注册商标的货物）。</w:t>
      </w:r>
    </w:p>
    <w:p>
      <w:pPr>
        <w:spacing w:line="360" w:lineRule="auto"/>
        <w:ind w:firstLine="436" w:firstLineChars="200"/>
        <w:rPr>
          <w:rFonts w:ascii="宋体" w:hAnsi="宋体" w:cs="宋体"/>
          <w:color w:val="auto"/>
          <w:spacing w:val="4"/>
          <w:szCs w:val="21"/>
          <w:highlight w:val="none"/>
        </w:rPr>
      </w:pPr>
      <w:r>
        <w:rPr>
          <w:rFonts w:hint="eastAsia" w:ascii="宋体" w:hAnsi="宋体" w:cs="宋体"/>
          <w:color w:val="auto"/>
          <w:spacing w:val="4"/>
          <w:szCs w:val="21"/>
          <w:highlight w:val="none"/>
        </w:rPr>
        <w:t>4.2.3供应商须提供按照（财库〔2017〕141号）文件附件格式填写的《残疾人福利性单位声明函》。</w:t>
      </w:r>
    </w:p>
    <w:p>
      <w:pPr>
        <w:spacing w:line="360" w:lineRule="auto"/>
        <w:ind w:firstLine="436" w:firstLineChars="200"/>
        <w:rPr>
          <w:rFonts w:ascii="宋体" w:hAnsi="宋体" w:cs="宋体"/>
          <w:color w:val="auto"/>
          <w:spacing w:val="4"/>
          <w:szCs w:val="21"/>
          <w:highlight w:val="none"/>
        </w:rPr>
      </w:pPr>
      <w:r>
        <w:rPr>
          <w:rFonts w:hint="eastAsia" w:ascii="宋体" w:hAnsi="宋体" w:cs="宋体"/>
          <w:color w:val="auto"/>
          <w:spacing w:val="4"/>
          <w:szCs w:val="21"/>
          <w:highlight w:val="none"/>
        </w:rPr>
        <w:t>4.3确认为监狱企业谈判的，应当同时符合以下条件：</w:t>
      </w:r>
    </w:p>
    <w:p>
      <w:pPr>
        <w:spacing w:line="360" w:lineRule="auto"/>
        <w:ind w:firstLine="436" w:firstLineChars="200"/>
        <w:rPr>
          <w:rFonts w:ascii="宋体" w:hAnsi="宋体" w:cs="宋体"/>
          <w:color w:val="auto"/>
          <w:spacing w:val="4"/>
          <w:szCs w:val="21"/>
          <w:highlight w:val="none"/>
        </w:rPr>
      </w:pPr>
      <w:r>
        <w:rPr>
          <w:rFonts w:hint="eastAsia" w:ascii="宋体" w:hAnsi="宋体" w:cs="宋体"/>
          <w:color w:val="auto"/>
          <w:spacing w:val="4"/>
          <w:szCs w:val="21"/>
          <w:highlight w:val="none"/>
        </w:rPr>
        <w:t>4.</w:t>
      </w:r>
      <w:r>
        <w:rPr>
          <w:rFonts w:hint="eastAsia" w:ascii="宋体" w:hAnsi="宋体" w:cs="宋体"/>
          <w:color w:val="auto"/>
          <w:spacing w:val="4"/>
          <w:szCs w:val="21"/>
          <w:highlight w:val="none"/>
          <w:lang w:val="en-US" w:eastAsia="zh-CN"/>
        </w:rPr>
        <w:t>3.1</w:t>
      </w:r>
      <w:r>
        <w:rPr>
          <w:rFonts w:hint="eastAsia" w:ascii="宋体" w:hAnsi="宋体" w:cs="宋体"/>
          <w:color w:val="auto"/>
          <w:spacing w:val="4"/>
          <w:szCs w:val="21"/>
          <w:highlight w:val="none"/>
        </w:rPr>
        <w:t>符合（财库〔2014〕68号）文件相关规定。</w:t>
      </w:r>
    </w:p>
    <w:p>
      <w:pPr>
        <w:spacing w:line="360" w:lineRule="auto"/>
        <w:ind w:firstLine="436" w:firstLineChars="200"/>
        <w:rPr>
          <w:rFonts w:ascii="宋体" w:hAnsi="宋体" w:cs="宋体"/>
          <w:color w:val="auto"/>
          <w:spacing w:val="4"/>
          <w:szCs w:val="21"/>
          <w:highlight w:val="none"/>
        </w:rPr>
      </w:pPr>
      <w:r>
        <w:rPr>
          <w:rFonts w:hint="eastAsia" w:ascii="宋体" w:hAnsi="宋体" w:cs="宋体"/>
          <w:color w:val="auto"/>
          <w:spacing w:val="4"/>
          <w:szCs w:val="21"/>
          <w:highlight w:val="none"/>
        </w:rPr>
        <w:t>4.</w:t>
      </w:r>
      <w:r>
        <w:rPr>
          <w:rFonts w:hint="eastAsia" w:ascii="宋体" w:hAnsi="宋体" w:cs="宋体"/>
          <w:color w:val="auto"/>
          <w:spacing w:val="4"/>
          <w:szCs w:val="21"/>
          <w:highlight w:val="none"/>
          <w:lang w:val="en-US" w:eastAsia="zh-CN"/>
        </w:rPr>
        <w:t>3.2</w:t>
      </w:r>
      <w:r>
        <w:rPr>
          <w:rFonts w:hint="eastAsia" w:ascii="宋体" w:hAnsi="宋体" w:cs="宋体"/>
          <w:color w:val="auto"/>
          <w:spacing w:val="4"/>
          <w:szCs w:val="21"/>
          <w:highlight w:val="none"/>
        </w:rPr>
        <w:t>谈判时提供本单位的货物，或者提供其他监狱企业承担的货物。</w:t>
      </w:r>
    </w:p>
    <w:p>
      <w:pPr>
        <w:spacing w:line="360" w:lineRule="auto"/>
        <w:ind w:firstLine="436" w:firstLineChars="200"/>
        <w:rPr>
          <w:rFonts w:ascii="宋体" w:hAnsi="宋体" w:cs="宋体"/>
          <w:color w:val="auto"/>
          <w:spacing w:val="4"/>
          <w:szCs w:val="21"/>
          <w:highlight w:val="none"/>
        </w:rPr>
      </w:pPr>
      <w:r>
        <w:rPr>
          <w:rFonts w:hint="eastAsia" w:ascii="宋体" w:hAnsi="宋体" w:cs="宋体"/>
          <w:color w:val="auto"/>
          <w:spacing w:val="4"/>
          <w:szCs w:val="21"/>
          <w:highlight w:val="none"/>
        </w:rPr>
        <w:t>4.</w:t>
      </w:r>
      <w:r>
        <w:rPr>
          <w:rFonts w:hint="eastAsia" w:ascii="宋体" w:hAnsi="宋体" w:cs="宋体"/>
          <w:color w:val="auto"/>
          <w:spacing w:val="4"/>
          <w:szCs w:val="21"/>
          <w:highlight w:val="none"/>
          <w:lang w:val="en-US" w:eastAsia="zh-CN"/>
        </w:rPr>
        <w:t>3.3</w:t>
      </w:r>
      <w:r>
        <w:rPr>
          <w:rFonts w:hint="eastAsia" w:ascii="宋体" w:hAnsi="宋体" w:cs="宋体"/>
          <w:color w:val="auto"/>
          <w:spacing w:val="4"/>
          <w:szCs w:val="21"/>
          <w:highlight w:val="none"/>
        </w:rPr>
        <w:t>供应商须提供由省级以上监狱管理局、戒毒管理局（含新疆生产建设兵团）出具的属于监狱企业的证明文件。</w:t>
      </w:r>
    </w:p>
    <w:p>
      <w:pPr>
        <w:spacing w:line="360" w:lineRule="auto"/>
        <w:ind w:firstLine="436" w:firstLineChars="200"/>
        <w:rPr>
          <w:rFonts w:ascii="宋体" w:hAnsi="宋体" w:cs="宋体"/>
          <w:color w:val="auto"/>
          <w:spacing w:val="4"/>
          <w:szCs w:val="21"/>
          <w:highlight w:val="none"/>
        </w:rPr>
      </w:pPr>
      <w:r>
        <w:rPr>
          <w:rFonts w:hint="eastAsia" w:ascii="宋体" w:hAnsi="宋体" w:cs="宋体"/>
          <w:color w:val="auto"/>
          <w:spacing w:val="4"/>
          <w:szCs w:val="21"/>
          <w:highlight w:val="none"/>
        </w:rPr>
        <w:t>4.4符合节能产品文件规定的评</w:t>
      </w:r>
      <w:r>
        <w:rPr>
          <w:rFonts w:hint="eastAsia" w:ascii="宋体" w:hAnsi="宋体" w:cs="宋体"/>
          <w:color w:val="auto"/>
          <w:szCs w:val="21"/>
          <w:highlight w:val="none"/>
        </w:rPr>
        <w:t>审</w:t>
      </w:r>
      <w:r>
        <w:rPr>
          <w:rFonts w:hint="eastAsia" w:ascii="宋体" w:hAnsi="宋体" w:cs="宋体"/>
          <w:color w:val="auto"/>
          <w:spacing w:val="4"/>
          <w:szCs w:val="21"/>
          <w:highlight w:val="none"/>
        </w:rPr>
        <w:t>价计算规则：</w:t>
      </w:r>
    </w:p>
    <w:p>
      <w:pPr>
        <w:spacing w:line="360" w:lineRule="auto"/>
        <w:ind w:firstLine="436" w:firstLineChars="200"/>
        <w:rPr>
          <w:rFonts w:ascii="宋体" w:hAnsi="宋体" w:cs="宋体"/>
          <w:color w:val="auto"/>
          <w:spacing w:val="4"/>
          <w:szCs w:val="21"/>
          <w:highlight w:val="none"/>
        </w:rPr>
      </w:pPr>
      <w:r>
        <w:rPr>
          <w:rFonts w:hint="eastAsia" w:ascii="宋体" w:hAnsi="宋体" w:cs="宋体"/>
          <w:color w:val="auto"/>
          <w:spacing w:val="4"/>
          <w:szCs w:val="21"/>
          <w:highlight w:val="none"/>
        </w:rPr>
        <w:t>4.4.1谈判服务涉及提供的所有谈判产品进入“节能产品政府采购品目清单”（相关证书的颁发机构应来自《参与实施政府采购节能产品认证机构名录》）的，其评</w:t>
      </w:r>
      <w:r>
        <w:rPr>
          <w:rFonts w:hint="eastAsia" w:ascii="宋体" w:hAnsi="宋体" w:cs="宋体"/>
          <w:color w:val="auto"/>
          <w:szCs w:val="21"/>
          <w:highlight w:val="none"/>
        </w:rPr>
        <w:t>审</w:t>
      </w:r>
      <w:r>
        <w:rPr>
          <w:rFonts w:hint="eastAsia" w:ascii="宋体" w:hAnsi="宋体" w:cs="宋体"/>
          <w:color w:val="auto"/>
          <w:spacing w:val="4"/>
          <w:szCs w:val="21"/>
          <w:highlight w:val="none"/>
        </w:rPr>
        <w:t>价=最终报价*（1-3%）；（不是所有响应产品的不享受此项优惠）。</w:t>
      </w:r>
    </w:p>
    <w:p>
      <w:pPr>
        <w:spacing w:line="360" w:lineRule="auto"/>
        <w:ind w:firstLine="436" w:firstLineChars="200"/>
        <w:rPr>
          <w:rFonts w:ascii="宋体" w:hAnsi="宋体" w:cs="宋体"/>
          <w:color w:val="auto"/>
          <w:spacing w:val="4"/>
          <w:szCs w:val="21"/>
          <w:highlight w:val="none"/>
        </w:rPr>
      </w:pPr>
      <w:r>
        <w:rPr>
          <w:rFonts w:hint="eastAsia" w:ascii="宋体" w:hAnsi="宋体" w:cs="宋体"/>
          <w:color w:val="auto"/>
          <w:spacing w:val="4"/>
          <w:szCs w:val="21"/>
          <w:highlight w:val="none"/>
        </w:rPr>
        <w:t>4.5符合环境标志产品文件规定的评</w:t>
      </w:r>
      <w:r>
        <w:rPr>
          <w:rFonts w:hint="eastAsia" w:ascii="宋体" w:hAnsi="宋体" w:cs="宋体"/>
          <w:color w:val="auto"/>
          <w:szCs w:val="21"/>
          <w:highlight w:val="none"/>
        </w:rPr>
        <w:t>审</w:t>
      </w:r>
      <w:r>
        <w:rPr>
          <w:rFonts w:hint="eastAsia" w:ascii="宋体" w:hAnsi="宋体" w:cs="宋体"/>
          <w:color w:val="auto"/>
          <w:spacing w:val="4"/>
          <w:szCs w:val="21"/>
          <w:highlight w:val="none"/>
        </w:rPr>
        <w:t>价计算规则：</w:t>
      </w:r>
    </w:p>
    <w:p>
      <w:pPr>
        <w:spacing w:line="360" w:lineRule="auto"/>
        <w:ind w:firstLine="436" w:firstLineChars="200"/>
        <w:rPr>
          <w:rFonts w:ascii="宋体" w:hAnsi="宋体" w:cs="宋体"/>
          <w:color w:val="auto"/>
          <w:spacing w:val="4"/>
          <w:szCs w:val="21"/>
          <w:highlight w:val="none"/>
        </w:rPr>
      </w:pPr>
      <w:r>
        <w:rPr>
          <w:rFonts w:hint="eastAsia" w:ascii="宋体" w:hAnsi="宋体" w:cs="宋体"/>
          <w:color w:val="auto"/>
          <w:spacing w:val="4"/>
          <w:szCs w:val="21"/>
          <w:highlight w:val="none"/>
        </w:rPr>
        <w:t>4.5.1谈判货物涉及提供的所有谈判产品进入“</w:t>
      </w:r>
      <w:r>
        <w:rPr>
          <w:rFonts w:hint="eastAsia" w:ascii="宋体" w:hAnsi="宋体" w:cs="宋体"/>
          <w:color w:val="auto"/>
          <w:spacing w:val="4"/>
          <w:szCs w:val="21"/>
          <w:highlight w:val="none"/>
          <w:lang w:val="en-US" w:eastAsia="zh-CN"/>
        </w:rPr>
        <w:t>环境标志</w:t>
      </w:r>
      <w:r>
        <w:rPr>
          <w:rFonts w:hint="eastAsia" w:ascii="宋体" w:hAnsi="宋体" w:cs="宋体"/>
          <w:color w:val="auto"/>
          <w:spacing w:val="4"/>
          <w:szCs w:val="21"/>
          <w:highlight w:val="none"/>
        </w:rPr>
        <w:t>产品政府采购品目清单”（相关证书的颁发机构应来自《参与实施政府采购环境标志产品认证机构名录》）的，其评</w:t>
      </w:r>
      <w:r>
        <w:rPr>
          <w:rFonts w:hint="eastAsia" w:ascii="宋体" w:hAnsi="宋体" w:cs="宋体"/>
          <w:color w:val="auto"/>
          <w:szCs w:val="21"/>
          <w:highlight w:val="none"/>
        </w:rPr>
        <w:t>审</w:t>
      </w:r>
      <w:r>
        <w:rPr>
          <w:rFonts w:hint="eastAsia" w:ascii="宋体" w:hAnsi="宋体" w:cs="宋体"/>
          <w:color w:val="auto"/>
          <w:spacing w:val="4"/>
          <w:szCs w:val="21"/>
          <w:highlight w:val="none"/>
        </w:rPr>
        <w:t>价=最终报价*（1-3%）；（不是所有谈判产品的不享受此项优惠）。</w:t>
      </w:r>
    </w:p>
    <w:p>
      <w:pPr>
        <w:spacing w:line="360" w:lineRule="auto"/>
        <w:ind w:firstLine="436" w:firstLineChars="200"/>
        <w:rPr>
          <w:rFonts w:ascii="宋体" w:hAnsi="宋体" w:cs="宋体"/>
          <w:color w:val="auto"/>
          <w:spacing w:val="4"/>
          <w:szCs w:val="21"/>
          <w:highlight w:val="none"/>
        </w:rPr>
      </w:pPr>
      <w:r>
        <w:rPr>
          <w:rFonts w:hint="eastAsia" w:ascii="宋体" w:hAnsi="宋体" w:cs="宋体"/>
          <w:color w:val="auto"/>
          <w:spacing w:val="4"/>
          <w:szCs w:val="21"/>
          <w:highlight w:val="none"/>
        </w:rPr>
        <w:t>4.</w:t>
      </w:r>
      <w:r>
        <w:rPr>
          <w:rFonts w:hint="eastAsia" w:ascii="宋体" w:hAnsi="宋体" w:cs="宋体"/>
          <w:color w:val="auto"/>
          <w:spacing w:val="4"/>
          <w:szCs w:val="21"/>
          <w:highlight w:val="none"/>
          <w:lang w:val="en-US" w:eastAsia="zh-CN"/>
        </w:rPr>
        <w:t>6</w:t>
      </w:r>
      <w:r>
        <w:rPr>
          <w:rFonts w:hint="eastAsia" w:ascii="宋体" w:hAnsi="宋体" w:cs="宋体"/>
          <w:color w:val="auto"/>
          <w:spacing w:val="4"/>
          <w:szCs w:val="21"/>
          <w:highlight w:val="none"/>
        </w:rPr>
        <w:t>评审价的计算：</w:t>
      </w:r>
    </w:p>
    <w:p>
      <w:pPr>
        <w:spacing w:line="360" w:lineRule="auto"/>
        <w:ind w:firstLine="420" w:firstLineChars="200"/>
        <w:rPr>
          <w:rFonts w:ascii="宋体" w:hAnsi="宋体" w:cs="宋体"/>
          <w:color w:val="auto"/>
          <w:spacing w:val="4"/>
          <w:szCs w:val="21"/>
          <w:highlight w:val="none"/>
        </w:rPr>
      </w:pPr>
      <w:r>
        <w:rPr>
          <w:rFonts w:hint="eastAsia" w:ascii="宋体" w:hAnsi="宋体" w:cs="宋体"/>
          <w:b w:val="0"/>
          <w:bCs w:val="0"/>
          <w:color w:val="auto"/>
          <w:szCs w:val="21"/>
          <w:highlight w:val="none"/>
          <w:lang w:val="en-US" w:eastAsia="zh-CN"/>
        </w:rPr>
        <w:t>本项目专门面向中小企业采购，中小企</w:t>
      </w:r>
      <w:r>
        <w:rPr>
          <w:rFonts w:hint="eastAsia" w:ascii="宋体" w:hAnsi="宋体" w:cs="宋体"/>
          <w:b w:val="0"/>
          <w:bCs w:val="0"/>
          <w:color w:val="auto"/>
          <w:kern w:val="0"/>
          <w:szCs w:val="21"/>
          <w:highlight w:val="none"/>
          <w:lang w:val="en-US" w:eastAsia="zh-CN"/>
        </w:rPr>
        <w:t>业、</w:t>
      </w:r>
      <w:r>
        <w:rPr>
          <w:rFonts w:hint="eastAsia" w:ascii="宋体" w:hAnsi="宋体" w:cs="宋体"/>
          <w:b w:val="0"/>
          <w:bCs w:val="0"/>
          <w:color w:val="auto"/>
          <w:kern w:val="0"/>
          <w:szCs w:val="21"/>
          <w:highlight w:val="none"/>
        </w:rPr>
        <w:t>残疾人福利性单位</w:t>
      </w:r>
      <w:r>
        <w:rPr>
          <w:rFonts w:hint="eastAsia" w:ascii="宋体" w:hAnsi="宋体" w:cs="宋体"/>
          <w:b w:val="0"/>
          <w:bCs w:val="0"/>
          <w:color w:val="auto"/>
          <w:kern w:val="0"/>
          <w:szCs w:val="21"/>
          <w:highlight w:val="none"/>
          <w:lang w:val="en-US" w:eastAsia="zh-CN"/>
        </w:rPr>
        <w:t>及</w:t>
      </w:r>
      <w:r>
        <w:rPr>
          <w:rFonts w:hint="eastAsia" w:ascii="宋体" w:hAnsi="宋体" w:cs="宋体"/>
          <w:b w:val="0"/>
          <w:bCs w:val="0"/>
          <w:color w:val="auto"/>
          <w:kern w:val="0"/>
          <w:szCs w:val="21"/>
          <w:highlight w:val="none"/>
        </w:rPr>
        <w:t>监狱企业</w:t>
      </w:r>
      <w:r>
        <w:rPr>
          <w:rFonts w:hint="eastAsia" w:ascii="宋体" w:hAnsi="宋体" w:cs="宋体"/>
          <w:b w:val="0"/>
          <w:bCs w:val="0"/>
          <w:color w:val="auto"/>
          <w:kern w:val="0"/>
          <w:szCs w:val="21"/>
          <w:highlight w:val="none"/>
          <w:lang w:val="en-US" w:eastAsia="zh-CN"/>
        </w:rPr>
        <w:t>不再执行价格折扣；如出现</w:t>
      </w:r>
      <w:r>
        <w:rPr>
          <w:rFonts w:hint="eastAsia" w:ascii="宋体" w:hAnsi="宋体" w:cs="宋体"/>
          <w:b w:val="0"/>
          <w:bCs w:val="0"/>
          <w:color w:val="auto"/>
          <w:spacing w:val="4"/>
          <w:szCs w:val="21"/>
          <w:highlight w:val="none"/>
        </w:rPr>
        <w:t>节能产品</w:t>
      </w:r>
      <w:r>
        <w:rPr>
          <w:rFonts w:hint="eastAsia" w:ascii="宋体" w:hAnsi="宋体" w:cs="宋体"/>
          <w:b w:val="0"/>
          <w:bCs w:val="0"/>
          <w:color w:val="auto"/>
          <w:spacing w:val="4"/>
          <w:szCs w:val="21"/>
          <w:highlight w:val="none"/>
          <w:lang w:eastAsia="zh-CN"/>
        </w:rPr>
        <w:t>、</w:t>
      </w:r>
      <w:r>
        <w:rPr>
          <w:rFonts w:hint="eastAsia" w:ascii="宋体" w:hAnsi="宋体" w:cs="宋体"/>
          <w:b w:val="0"/>
          <w:bCs w:val="0"/>
          <w:color w:val="auto"/>
          <w:spacing w:val="4"/>
          <w:szCs w:val="21"/>
          <w:highlight w:val="none"/>
          <w:lang w:val="en-US" w:eastAsia="zh-CN"/>
        </w:rPr>
        <w:t>环境标志</w:t>
      </w:r>
      <w:r>
        <w:rPr>
          <w:rFonts w:hint="eastAsia" w:ascii="宋体" w:hAnsi="宋体" w:cs="宋体"/>
          <w:b w:val="0"/>
          <w:bCs w:val="0"/>
          <w:color w:val="auto"/>
          <w:spacing w:val="4"/>
          <w:szCs w:val="21"/>
          <w:highlight w:val="none"/>
        </w:rPr>
        <w:t>产品</w:t>
      </w:r>
      <w:r>
        <w:rPr>
          <w:rFonts w:hint="eastAsia" w:ascii="宋体" w:hAnsi="宋体" w:cs="宋体"/>
          <w:b w:val="0"/>
          <w:bCs w:val="0"/>
          <w:color w:val="auto"/>
          <w:spacing w:val="4"/>
          <w:szCs w:val="21"/>
          <w:highlight w:val="none"/>
          <w:lang w:val="en-US" w:eastAsia="zh-CN"/>
        </w:rPr>
        <w:t>符合价格折扣要求，则按谈判文件要求进行认定并进行折扣。</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5.推荐成交候选人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谈判小组从质量和服务均能满足采购文件实质性响应要求的供应商中，按照最后报价和计算价格折扣之后的评审价（如果有）由低到高的顺序提出3名成交候选人。</w:t>
      </w:r>
    </w:p>
    <w:p>
      <w:pPr>
        <w:tabs>
          <w:tab w:val="left" w:pos="851"/>
        </w:tabs>
        <w:spacing w:before="312" w:beforeLines="100" w:after="312" w:afterLines="100" w:line="360" w:lineRule="auto"/>
        <w:jc w:val="center"/>
        <w:rPr>
          <w:rFonts w:ascii="宋体" w:hAnsi="宋体"/>
          <w:b/>
          <w:color w:val="auto"/>
          <w:sz w:val="32"/>
          <w:szCs w:val="32"/>
          <w:highlight w:val="none"/>
        </w:rPr>
      </w:pPr>
      <w:r>
        <w:rPr>
          <w:rFonts w:ascii="宋体" w:hAnsi="宋体"/>
          <w:b/>
          <w:color w:val="auto"/>
          <w:sz w:val="36"/>
          <w:szCs w:val="36"/>
          <w:highlight w:val="none"/>
        </w:rPr>
        <w:br w:type="page"/>
      </w:r>
      <w:bookmarkStart w:id="19" w:name="_Toc79002894"/>
      <w:r>
        <w:rPr>
          <w:rFonts w:hint="eastAsia" w:ascii="宋体" w:hAnsi="宋体"/>
          <w:b/>
          <w:color w:val="auto"/>
          <w:sz w:val="32"/>
          <w:szCs w:val="32"/>
          <w:highlight w:val="none"/>
        </w:rPr>
        <w:t>第六章 谈判响应文件格式</w:t>
      </w:r>
      <w:bookmarkEnd w:id="19"/>
    </w:p>
    <w:p>
      <w:pPr>
        <w:jc w:val="center"/>
        <w:rPr>
          <w:rFonts w:ascii="宋体" w:hAnsi="宋体"/>
          <w:b/>
          <w:color w:val="auto"/>
          <w:sz w:val="44"/>
          <w:szCs w:val="44"/>
          <w:highlight w:val="none"/>
        </w:rPr>
      </w:pPr>
      <w:r>
        <w:rPr>
          <w:rFonts w:ascii="宋体" w:hAnsi="宋体"/>
          <w:b/>
          <w:color w:val="auto"/>
          <w:sz w:val="44"/>
          <w:szCs w:val="44"/>
          <w:highlight w:val="none"/>
        </w:rPr>
        <w:br w:type="page"/>
      </w:r>
    </w:p>
    <w:p>
      <w:pPr>
        <w:jc w:val="center"/>
        <w:rPr>
          <w:rFonts w:ascii="宋体" w:hAnsi="宋体"/>
          <w:b/>
          <w:color w:val="auto"/>
          <w:sz w:val="44"/>
          <w:szCs w:val="44"/>
          <w:highlight w:val="none"/>
        </w:rPr>
      </w:pPr>
    </w:p>
    <w:p>
      <w:pPr>
        <w:jc w:val="center"/>
        <w:rPr>
          <w:rFonts w:ascii="宋体" w:hAnsi="宋体"/>
          <w:b/>
          <w:color w:val="auto"/>
          <w:sz w:val="44"/>
          <w:szCs w:val="44"/>
          <w:highlight w:val="none"/>
        </w:rPr>
      </w:pPr>
      <w:r>
        <w:rPr>
          <w:rFonts w:hint="eastAsia" w:ascii="宋体" w:hAnsi="宋体"/>
          <w:b/>
          <w:color w:val="auto"/>
          <w:sz w:val="44"/>
          <w:szCs w:val="44"/>
          <w:highlight w:val="none"/>
        </w:rPr>
        <w:t>政府采购货物项目</w:t>
      </w:r>
    </w:p>
    <w:p>
      <w:pPr>
        <w:jc w:val="center"/>
        <w:rPr>
          <w:rFonts w:ascii="宋体" w:hAnsi="宋体"/>
          <w:b/>
          <w:color w:val="auto"/>
          <w:sz w:val="36"/>
          <w:szCs w:val="36"/>
          <w:highlight w:val="none"/>
        </w:rPr>
      </w:pPr>
    </w:p>
    <w:p>
      <w:pPr>
        <w:jc w:val="center"/>
        <w:rPr>
          <w:rFonts w:ascii="宋体" w:hAnsi="宋体"/>
          <w:b/>
          <w:color w:val="auto"/>
          <w:sz w:val="44"/>
          <w:szCs w:val="44"/>
          <w:highlight w:val="none"/>
        </w:rPr>
      </w:pPr>
    </w:p>
    <w:p>
      <w:pPr>
        <w:jc w:val="center"/>
        <w:rPr>
          <w:rFonts w:ascii="宋体" w:hAnsi="宋体"/>
          <w:b/>
          <w:color w:val="auto"/>
          <w:sz w:val="36"/>
          <w:szCs w:val="36"/>
          <w:highlight w:val="none"/>
        </w:rPr>
      </w:pPr>
    </w:p>
    <w:p>
      <w:pPr>
        <w:jc w:val="center"/>
        <w:rPr>
          <w:rFonts w:ascii="宋体" w:hAnsi="宋体"/>
          <w:b/>
          <w:color w:val="auto"/>
          <w:sz w:val="84"/>
          <w:szCs w:val="84"/>
          <w:highlight w:val="none"/>
        </w:rPr>
      </w:pPr>
      <w:r>
        <w:rPr>
          <w:rFonts w:hint="eastAsia" w:ascii="宋体" w:hAnsi="宋体"/>
          <w:b/>
          <w:color w:val="auto"/>
          <w:sz w:val="84"/>
          <w:szCs w:val="84"/>
          <w:highlight w:val="none"/>
        </w:rPr>
        <w:t>谈判响应文件</w:t>
      </w:r>
    </w:p>
    <w:p>
      <w:pPr>
        <w:jc w:val="center"/>
        <w:rPr>
          <w:rFonts w:ascii="宋体" w:hAnsi="宋体"/>
          <w:b/>
          <w:color w:val="auto"/>
          <w:sz w:val="36"/>
          <w:szCs w:val="36"/>
          <w:highlight w:val="none"/>
        </w:rPr>
      </w:pPr>
    </w:p>
    <w:p>
      <w:pPr>
        <w:pStyle w:val="4"/>
        <w:spacing w:before="0" w:after="0" w:line="360" w:lineRule="auto"/>
        <w:jc w:val="center"/>
        <w:rPr>
          <w:rFonts w:ascii="宋体" w:hAnsi="宋体" w:eastAsia="宋体" w:cs="宋体"/>
          <w:color w:val="auto"/>
          <w:sz w:val="36"/>
          <w:szCs w:val="36"/>
          <w:highlight w:val="none"/>
        </w:rPr>
      </w:pPr>
      <w:bookmarkStart w:id="20" w:name="_Toc79002895"/>
      <w:r>
        <w:rPr>
          <w:rFonts w:hint="eastAsia" w:ascii="宋体" w:hAnsi="宋体" w:eastAsia="宋体" w:cs="宋体"/>
          <w:color w:val="auto"/>
          <w:sz w:val="36"/>
          <w:szCs w:val="36"/>
          <w:highlight w:val="none"/>
        </w:rPr>
        <w:t>（资格部分）</w:t>
      </w:r>
      <w:bookmarkEnd w:id="20"/>
    </w:p>
    <w:p>
      <w:pPr>
        <w:jc w:val="center"/>
        <w:rPr>
          <w:rFonts w:ascii="宋体" w:hAnsi="宋体"/>
          <w:b/>
          <w:color w:val="auto"/>
          <w:sz w:val="36"/>
          <w:szCs w:val="36"/>
          <w:highlight w:val="none"/>
        </w:rPr>
      </w:pPr>
    </w:p>
    <w:p>
      <w:pPr>
        <w:jc w:val="center"/>
        <w:rPr>
          <w:rFonts w:ascii="宋体" w:hAnsi="宋体"/>
          <w:color w:val="auto"/>
          <w:sz w:val="36"/>
          <w:szCs w:val="36"/>
          <w:highlight w:val="none"/>
        </w:rPr>
      </w:pPr>
    </w:p>
    <w:p>
      <w:pPr>
        <w:tabs>
          <w:tab w:val="left" w:pos="2628"/>
        </w:tabs>
        <w:spacing w:line="360" w:lineRule="auto"/>
        <w:ind w:left="2498" w:leftChars="401" w:hanging="1656" w:hangingChars="550"/>
        <w:jc w:val="left"/>
        <w:rPr>
          <w:rFonts w:ascii="宋体" w:hAnsi="宋体"/>
          <w:b/>
          <w:bCs/>
          <w:color w:val="auto"/>
          <w:sz w:val="30"/>
          <w:szCs w:val="30"/>
          <w:highlight w:val="none"/>
        </w:rPr>
      </w:pPr>
      <w:r>
        <w:rPr>
          <w:rFonts w:hint="eastAsia" w:ascii="宋体" w:hAnsi="宋体"/>
          <w:b/>
          <w:bCs/>
          <w:color w:val="auto"/>
          <w:sz w:val="30"/>
          <w:szCs w:val="30"/>
          <w:highlight w:val="none"/>
        </w:rPr>
        <w:t>项目名称：</w:t>
      </w:r>
    </w:p>
    <w:p>
      <w:pPr>
        <w:tabs>
          <w:tab w:val="left" w:pos="2628"/>
        </w:tabs>
        <w:spacing w:line="360" w:lineRule="auto"/>
        <w:ind w:left="843"/>
        <w:jc w:val="left"/>
        <w:rPr>
          <w:rFonts w:ascii="宋体" w:hAnsi="宋体"/>
          <w:b/>
          <w:bCs/>
          <w:color w:val="auto"/>
          <w:sz w:val="30"/>
          <w:szCs w:val="30"/>
          <w:highlight w:val="none"/>
        </w:rPr>
      </w:pPr>
      <w:r>
        <w:rPr>
          <w:rFonts w:hint="eastAsia" w:ascii="宋体" w:hAnsi="宋体"/>
          <w:b/>
          <w:bCs/>
          <w:color w:val="auto"/>
          <w:sz w:val="30"/>
          <w:szCs w:val="30"/>
          <w:highlight w:val="none"/>
        </w:rPr>
        <w:t>项目编号：</w:t>
      </w:r>
    </w:p>
    <w:p>
      <w:pPr>
        <w:jc w:val="center"/>
        <w:rPr>
          <w:rFonts w:ascii="宋体" w:hAnsi="宋体"/>
          <w:color w:val="auto"/>
          <w:sz w:val="44"/>
          <w:szCs w:val="44"/>
          <w:highlight w:val="none"/>
        </w:rPr>
      </w:pPr>
    </w:p>
    <w:p>
      <w:pPr>
        <w:jc w:val="center"/>
        <w:rPr>
          <w:rFonts w:ascii="宋体" w:hAnsi="宋体"/>
          <w:color w:val="auto"/>
          <w:sz w:val="44"/>
          <w:szCs w:val="44"/>
          <w:highlight w:val="none"/>
        </w:rPr>
      </w:pPr>
    </w:p>
    <w:p>
      <w:pPr>
        <w:spacing w:line="360" w:lineRule="auto"/>
        <w:jc w:val="center"/>
        <w:rPr>
          <w:rFonts w:ascii="宋体" w:hAnsi="宋体"/>
          <w:b/>
          <w:color w:val="auto"/>
          <w:sz w:val="30"/>
          <w:szCs w:val="30"/>
          <w:highlight w:val="none"/>
        </w:rPr>
      </w:pPr>
      <w:r>
        <w:rPr>
          <w:rFonts w:hint="eastAsia" w:ascii="宋体" w:hAnsi="宋体"/>
          <w:b/>
          <w:color w:val="auto"/>
          <w:sz w:val="30"/>
          <w:szCs w:val="30"/>
          <w:highlight w:val="none"/>
        </w:rPr>
        <w:t>供应商名称：</w:t>
      </w:r>
      <w:r>
        <w:rPr>
          <w:rFonts w:hint="eastAsia" w:ascii="宋体" w:hAnsi="宋体"/>
          <w:b/>
          <w:color w:val="auto"/>
          <w:sz w:val="30"/>
          <w:szCs w:val="30"/>
          <w:highlight w:val="none"/>
          <w:u w:val="single"/>
        </w:rPr>
        <w:t xml:space="preserve">                   </w:t>
      </w:r>
      <w:r>
        <w:rPr>
          <w:rFonts w:hint="eastAsia" w:ascii="宋体" w:hAnsi="宋体"/>
          <w:b/>
          <w:color w:val="auto"/>
          <w:sz w:val="30"/>
          <w:szCs w:val="30"/>
          <w:highlight w:val="none"/>
        </w:rPr>
        <w:t>（公章）</w:t>
      </w:r>
    </w:p>
    <w:p>
      <w:pPr>
        <w:spacing w:before="156" w:beforeLines="50" w:line="360" w:lineRule="auto"/>
        <w:ind w:firstLine="1205" w:firstLineChars="400"/>
        <w:rPr>
          <w:rFonts w:ascii="宋体" w:hAnsi="宋体"/>
          <w:b/>
          <w:color w:val="auto"/>
          <w:sz w:val="30"/>
          <w:szCs w:val="30"/>
          <w:highlight w:val="none"/>
        </w:rPr>
      </w:pPr>
      <w:r>
        <w:rPr>
          <w:rFonts w:hint="eastAsia" w:ascii="宋体" w:hAnsi="宋体"/>
          <w:b/>
          <w:color w:val="auto"/>
          <w:sz w:val="30"/>
          <w:szCs w:val="30"/>
          <w:highlight w:val="none"/>
        </w:rPr>
        <w:t>日      期：</w:t>
      </w:r>
      <w:r>
        <w:rPr>
          <w:rFonts w:hint="eastAsia" w:ascii="宋体" w:hAnsi="宋体"/>
          <w:b/>
          <w:color w:val="auto"/>
          <w:sz w:val="30"/>
          <w:szCs w:val="30"/>
          <w:highlight w:val="none"/>
          <w:u w:val="single"/>
        </w:rPr>
        <w:t xml:space="preserve">        </w:t>
      </w:r>
      <w:r>
        <w:rPr>
          <w:rFonts w:hint="eastAsia" w:ascii="宋体" w:hAnsi="宋体"/>
          <w:b/>
          <w:color w:val="auto"/>
          <w:sz w:val="30"/>
          <w:szCs w:val="30"/>
          <w:highlight w:val="none"/>
        </w:rPr>
        <w:t>年</w:t>
      </w:r>
      <w:r>
        <w:rPr>
          <w:rFonts w:hint="eastAsia" w:ascii="宋体" w:hAnsi="宋体"/>
          <w:b/>
          <w:color w:val="auto"/>
          <w:sz w:val="30"/>
          <w:szCs w:val="30"/>
          <w:highlight w:val="none"/>
          <w:u w:val="single"/>
        </w:rPr>
        <w:t xml:space="preserve">      </w:t>
      </w:r>
      <w:r>
        <w:rPr>
          <w:rFonts w:hint="eastAsia" w:ascii="宋体" w:hAnsi="宋体"/>
          <w:b/>
          <w:color w:val="auto"/>
          <w:sz w:val="30"/>
          <w:szCs w:val="30"/>
          <w:highlight w:val="none"/>
        </w:rPr>
        <w:t>月</w:t>
      </w:r>
      <w:r>
        <w:rPr>
          <w:rFonts w:hint="eastAsia" w:ascii="宋体" w:hAnsi="宋体"/>
          <w:b/>
          <w:color w:val="auto"/>
          <w:sz w:val="30"/>
          <w:szCs w:val="30"/>
          <w:highlight w:val="none"/>
          <w:u w:val="single"/>
        </w:rPr>
        <w:t xml:space="preserve">      </w:t>
      </w:r>
      <w:r>
        <w:rPr>
          <w:rFonts w:hint="eastAsia" w:ascii="宋体" w:hAnsi="宋体"/>
          <w:b/>
          <w:color w:val="auto"/>
          <w:sz w:val="30"/>
          <w:szCs w:val="30"/>
          <w:highlight w:val="none"/>
        </w:rPr>
        <w:t>日</w:t>
      </w:r>
    </w:p>
    <w:p>
      <w:pPr>
        <w:spacing w:line="500" w:lineRule="exact"/>
        <w:jc w:val="center"/>
        <w:rPr>
          <w:rFonts w:ascii="宋体" w:hAnsi="宋体"/>
          <w:b/>
          <w:bCs/>
          <w:color w:val="auto"/>
          <w:spacing w:val="4"/>
          <w:sz w:val="30"/>
          <w:szCs w:val="30"/>
          <w:highlight w:val="none"/>
        </w:rPr>
      </w:pPr>
    </w:p>
    <w:p>
      <w:pPr>
        <w:spacing w:line="500" w:lineRule="exact"/>
        <w:jc w:val="center"/>
        <w:rPr>
          <w:rFonts w:ascii="宋体" w:hAnsi="宋体"/>
          <w:b/>
          <w:bCs/>
          <w:color w:val="auto"/>
          <w:spacing w:val="4"/>
          <w:sz w:val="36"/>
          <w:szCs w:val="36"/>
          <w:highlight w:val="none"/>
        </w:rPr>
      </w:pPr>
    </w:p>
    <w:p>
      <w:pPr>
        <w:spacing w:before="312" w:beforeLines="100" w:after="312" w:afterLines="100" w:line="360" w:lineRule="auto"/>
        <w:jc w:val="center"/>
        <w:rPr>
          <w:rFonts w:ascii="宋体" w:hAnsi="宋体"/>
          <w:b/>
          <w:bCs/>
          <w:color w:val="auto"/>
          <w:spacing w:val="4"/>
          <w:sz w:val="36"/>
          <w:szCs w:val="36"/>
          <w:highlight w:val="none"/>
        </w:rPr>
      </w:pPr>
      <w:r>
        <w:rPr>
          <w:rFonts w:ascii="宋体" w:hAnsi="宋体"/>
          <w:b/>
          <w:bCs/>
          <w:color w:val="auto"/>
          <w:spacing w:val="4"/>
          <w:sz w:val="36"/>
          <w:szCs w:val="36"/>
          <w:highlight w:val="none"/>
        </w:rPr>
        <w:br w:type="page"/>
      </w:r>
      <w:r>
        <w:rPr>
          <w:rFonts w:hint="eastAsia" w:ascii="宋体" w:hAnsi="宋体"/>
          <w:b/>
          <w:bCs/>
          <w:color w:val="auto"/>
          <w:spacing w:val="4"/>
          <w:sz w:val="36"/>
          <w:szCs w:val="36"/>
          <w:highlight w:val="none"/>
        </w:rPr>
        <w:t>目 录</w:t>
      </w:r>
    </w:p>
    <w:p>
      <w:pPr>
        <w:spacing w:line="480" w:lineRule="auto"/>
        <w:ind w:firstLine="992" w:firstLineChars="400"/>
        <w:rPr>
          <w:rFonts w:ascii="宋体" w:hAnsi="宋体"/>
          <w:color w:val="auto"/>
          <w:spacing w:val="4"/>
          <w:sz w:val="24"/>
          <w:szCs w:val="24"/>
          <w:highlight w:val="none"/>
        </w:rPr>
      </w:pPr>
      <w:r>
        <w:rPr>
          <w:rFonts w:hint="eastAsia" w:ascii="宋体" w:hAnsi="宋体"/>
          <w:color w:val="auto"/>
          <w:spacing w:val="4"/>
          <w:sz w:val="24"/>
          <w:szCs w:val="24"/>
          <w:highlight w:val="none"/>
        </w:rPr>
        <w:t>（一）法人代表授权书</w:t>
      </w:r>
    </w:p>
    <w:p>
      <w:pPr>
        <w:spacing w:line="480" w:lineRule="auto"/>
        <w:ind w:firstLine="992" w:firstLineChars="400"/>
        <w:rPr>
          <w:rFonts w:ascii="宋体" w:hAnsi="宋体"/>
          <w:color w:val="auto"/>
          <w:spacing w:val="4"/>
          <w:sz w:val="24"/>
          <w:szCs w:val="24"/>
          <w:highlight w:val="none"/>
        </w:rPr>
      </w:pPr>
      <w:r>
        <w:rPr>
          <w:rFonts w:hint="eastAsia" w:ascii="宋体" w:hAnsi="宋体"/>
          <w:color w:val="auto"/>
          <w:spacing w:val="4"/>
          <w:sz w:val="24"/>
          <w:szCs w:val="24"/>
          <w:highlight w:val="none"/>
        </w:rPr>
        <w:t>（二）陕西省政府采购供应商拒绝政府采购领域商业贿赂承诺书</w:t>
      </w:r>
    </w:p>
    <w:p>
      <w:pPr>
        <w:spacing w:line="480" w:lineRule="auto"/>
        <w:ind w:firstLine="992" w:firstLineChars="400"/>
        <w:rPr>
          <w:rFonts w:ascii="宋体" w:hAnsi="宋体"/>
          <w:color w:val="auto"/>
          <w:sz w:val="32"/>
          <w:highlight w:val="none"/>
        </w:rPr>
      </w:pPr>
      <w:r>
        <w:rPr>
          <w:rFonts w:hint="eastAsia" w:ascii="宋体" w:hAnsi="宋体"/>
          <w:color w:val="auto"/>
          <w:spacing w:val="4"/>
          <w:sz w:val="24"/>
          <w:szCs w:val="24"/>
          <w:highlight w:val="none"/>
        </w:rPr>
        <w:t>（三）证明文件</w:t>
      </w:r>
    </w:p>
    <w:p>
      <w:pPr>
        <w:spacing w:before="312" w:beforeLines="100" w:after="312" w:afterLines="100" w:line="360" w:lineRule="auto"/>
        <w:jc w:val="center"/>
        <w:rPr>
          <w:rFonts w:ascii="宋体" w:hAnsi="宋体" w:cs="宋体"/>
          <w:b/>
          <w:color w:val="auto"/>
          <w:spacing w:val="4"/>
          <w:sz w:val="36"/>
          <w:szCs w:val="36"/>
          <w:highlight w:val="none"/>
        </w:rPr>
      </w:pPr>
      <w:r>
        <w:rPr>
          <w:rFonts w:hint="eastAsia" w:ascii="宋体" w:hAnsi="宋体"/>
          <w:color w:val="auto"/>
          <w:sz w:val="28"/>
          <w:highlight w:val="none"/>
        </w:rPr>
        <w:br w:type="page"/>
      </w:r>
      <w:bookmarkStart w:id="21" w:name="_Toc9120"/>
      <w:bookmarkStart w:id="22" w:name="_Toc4025"/>
      <w:bookmarkStart w:id="23" w:name="_Toc28285"/>
      <w:r>
        <w:rPr>
          <w:rFonts w:hint="eastAsia" w:ascii="宋体" w:hAnsi="宋体" w:cs="宋体"/>
          <w:b/>
          <w:color w:val="auto"/>
          <w:spacing w:val="4"/>
          <w:sz w:val="36"/>
          <w:szCs w:val="36"/>
          <w:highlight w:val="none"/>
        </w:rPr>
        <w:t>一、法人代表授权书</w:t>
      </w:r>
      <w:bookmarkEnd w:id="21"/>
      <w:bookmarkEnd w:id="22"/>
      <w:bookmarkEnd w:id="23"/>
    </w:p>
    <w:p>
      <w:pPr>
        <w:spacing w:line="360" w:lineRule="auto"/>
        <w:rPr>
          <w:rFonts w:ascii="宋体" w:hAnsi="宋体" w:cs="宋体"/>
          <w:color w:val="auto"/>
          <w:spacing w:val="4"/>
          <w:szCs w:val="21"/>
          <w:highlight w:val="none"/>
        </w:rPr>
      </w:pPr>
      <w:r>
        <w:rPr>
          <w:rFonts w:hint="eastAsia" w:ascii="宋体" w:hAnsi="宋体" w:cs="宋体"/>
          <w:color w:val="auto"/>
          <w:spacing w:val="4"/>
          <w:szCs w:val="21"/>
          <w:highlight w:val="none"/>
        </w:rPr>
        <w:t>致：西北（陕西）国际招标有限公司</w:t>
      </w:r>
    </w:p>
    <w:p>
      <w:pPr>
        <w:spacing w:line="360" w:lineRule="auto"/>
        <w:ind w:firstLine="436" w:firstLineChars="200"/>
        <w:rPr>
          <w:rFonts w:ascii="宋体" w:hAnsi="宋体" w:cs="宋体"/>
          <w:color w:val="auto"/>
          <w:spacing w:val="4"/>
          <w:szCs w:val="21"/>
          <w:highlight w:val="none"/>
        </w:rPr>
      </w:pPr>
      <w:r>
        <w:rPr>
          <w:rFonts w:hint="eastAsia" w:ascii="宋体" w:hAnsi="宋体" w:cs="宋体"/>
          <w:color w:val="auto"/>
          <w:spacing w:val="4"/>
          <w:szCs w:val="21"/>
          <w:highlight w:val="none"/>
          <w:u w:val="single"/>
        </w:rPr>
        <w:t xml:space="preserve">( 供应商名称) </w:t>
      </w:r>
      <w:r>
        <w:rPr>
          <w:rFonts w:hint="eastAsia" w:ascii="宋体" w:hAnsi="宋体" w:cs="宋体"/>
          <w:color w:val="auto"/>
          <w:spacing w:val="4"/>
          <w:szCs w:val="21"/>
          <w:highlight w:val="none"/>
        </w:rPr>
        <w:t>按中华人民共和国法律于</w:t>
      </w:r>
      <w:r>
        <w:rPr>
          <w:rFonts w:hint="eastAsia" w:ascii="宋体" w:hAnsi="宋体" w:cs="宋体"/>
          <w:color w:val="auto"/>
          <w:spacing w:val="4"/>
          <w:szCs w:val="21"/>
          <w:highlight w:val="none"/>
          <w:u w:val="single"/>
        </w:rPr>
        <w:t>（    年   月   日）</w:t>
      </w:r>
      <w:r>
        <w:rPr>
          <w:rFonts w:hint="eastAsia" w:ascii="宋体" w:hAnsi="宋体" w:cs="宋体"/>
          <w:color w:val="auto"/>
          <w:spacing w:val="4"/>
          <w:szCs w:val="21"/>
          <w:highlight w:val="none"/>
        </w:rPr>
        <w:t>成立。</w:t>
      </w:r>
      <w:r>
        <w:rPr>
          <w:rFonts w:hint="eastAsia" w:ascii="宋体" w:hAnsi="宋体" w:cs="宋体"/>
          <w:color w:val="auto"/>
          <w:spacing w:val="4"/>
          <w:szCs w:val="21"/>
          <w:highlight w:val="none"/>
          <w:u w:val="single"/>
        </w:rPr>
        <w:t>( 法定代表人姓名 )</w:t>
      </w:r>
      <w:r>
        <w:rPr>
          <w:rFonts w:hint="eastAsia" w:ascii="宋体" w:hAnsi="宋体" w:cs="宋体"/>
          <w:color w:val="auto"/>
          <w:spacing w:val="4"/>
          <w:szCs w:val="21"/>
          <w:highlight w:val="none"/>
        </w:rPr>
        <w:t>特授权</w:t>
      </w:r>
      <w:r>
        <w:rPr>
          <w:rFonts w:hint="eastAsia" w:ascii="宋体" w:hAnsi="宋体" w:cs="宋体"/>
          <w:color w:val="auto"/>
          <w:spacing w:val="4"/>
          <w:szCs w:val="21"/>
          <w:highlight w:val="none"/>
          <w:u w:val="single"/>
        </w:rPr>
        <w:t>（ 被授权人姓名 ）</w:t>
      </w:r>
      <w:r>
        <w:rPr>
          <w:rFonts w:hint="eastAsia" w:ascii="宋体" w:hAnsi="宋体" w:cs="宋体"/>
          <w:color w:val="auto"/>
          <w:spacing w:val="4"/>
          <w:szCs w:val="21"/>
          <w:highlight w:val="none"/>
        </w:rPr>
        <w:t>代表我公司全权办理针对本次政府采购</w:t>
      </w:r>
      <w:r>
        <w:rPr>
          <w:rFonts w:hint="eastAsia" w:ascii="宋体" w:hAnsi="宋体" w:cs="宋体"/>
          <w:color w:val="auto"/>
          <w:spacing w:val="4"/>
          <w:szCs w:val="21"/>
          <w:highlight w:val="none"/>
          <w:u w:val="single"/>
        </w:rPr>
        <w:t>（ 谈判项目名称和项目编号 ）</w:t>
      </w:r>
      <w:r>
        <w:rPr>
          <w:rFonts w:hint="eastAsia" w:ascii="宋体" w:hAnsi="宋体" w:cs="宋体"/>
          <w:color w:val="auto"/>
          <w:spacing w:val="4"/>
          <w:szCs w:val="21"/>
          <w:highlight w:val="none"/>
        </w:rPr>
        <w:t>项目的谈判、签约等具体工作，并签署全部有关的文件、协议及合同。</w:t>
      </w:r>
    </w:p>
    <w:p>
      <w:pPr>
        <w:spacing w:line="360" w:lineRule="auto"/>
        <w:ind w:firstLine="436" w:firstLineChars="200"/>
        <w:rPr>
          <w:rFonts w:ascii="宋体" w:hAnsi="宋体" w:cs="宋体"/>
          <w:color w:val="auto"/>
          <w:spacing w:val="4"/>
          <w:szCs w:val="21"/>
          <w:highlight w:val="none"/>
        </w:rPr>
      </w:pPr>
      <w:r>
        <w:rPr>
          <w:rFonts w:hint="eastAsia" w:ascii="宋体" w:hAnsi="宋体" w:cs="宋体"/>
          <w:color w:val="auto"/>
          <w:spacing w:val="4"/>
          <w:szCs w:val="21"/>
          <w:highlight w:val="none"/>
        </w:rPr>
        <w:t>我公司对被授权人的签名负全部责任。</w:t>
      </w:r>
    </w:p>
    <w:p>
      <w:pPr>
        <w:spacing w:line="360" w:lineRule="auto"/>
        <w:ind w:firstLine="436" w:firstLineChars="200"/>
        <w:rPr>
          <w:rFonts w:ascii="宋体" w:hAnsi="宋体" w:cs="宋体"/>
          <w:color w:val="auto"/>
          <w:spacing w:val="4"/>
          <w:szCs w:val="21"/>
          <w:highlight w:val="none"/>
        </w:rPr>
      </w:pPr>
      <w:r>
        <w:rPr>
          <w:rFonts w:hint="eastAsia" w:ascii="宋体" w:hAnsi="宋体" w:cs="宋体"/>
          <w:color w:val="auto"/>
          <w:spacing w:val="4"/>
          <w:szCs w:val="21"/>
          <w:highlight w:val="none"/>
        </w:rPr>
        <w:t>本授权书在谈判报价有效期内对我方具有约束力</w:t>
      </w:r>
    </w:p>
    <w:p>
      <w:pPr>
        <w:spacing w:line="440" w:lineRule="exact"/>
        <w:ind w:firstLine="436" w:firstLineChars="200"/>
        <w:jc w:val="left"/>
        <w:rPr>
          <w:rFonts w:ascii="宋体" w:hAnsi="宋体" w:cs="宋体"/>
          <w:color w:val="auto"/>
          <w:spacing w:val="4"/>
          <w:szCs w:val="21"/>
          <w:highlight w:val="none"/>
        </w:rPr>
      </w:pPr>
    </w:p>
    <w:p>
      <w:pPr>
        <w:spacing w:line="440" w:lineRule="exact"/>
        <w:ind w:firstLine="436" w:firstLineChars="200"/>
        <w:jc w:val="left"/>
        <w:rPr>
          <w:rFonts w:ascii="宋体" w:hAnsi="宋体" w:cs="宋体"/>
          <w:color w:val="auto"/>
          <w:spacing w:val="4"/>
          <w:szCs w:val="21"/>
          <w:highlight w:val="none"/>
        </w:rPr>
      </w:pPr>
    </w:p>
    <w:tbl>
      <w:tblPr>
        <w:tblStyle w:val="19"/>
        <w:tblW w:w="0" w:type="auto"/>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4139"/>
        <w:gridCol w:w="4139"/>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850" w:hRule="atLeast"/>
          <w:jc w:val="center"/>
        </w:trPr>
        <w:tc>
          <w:tcPr>
            <w:tcW w:w="4139" w:type="dxa"/>
          </w:tcPr>
          <w:p>
            <w:pPr>
              <w:spacing w:line="440" w:lineRule="exact"/>
              <w:jc w:val="left"/>
              <w:rPr>
                <w:rFonts w:ascii="宋体" w:hAnsi="宋体" w:cs="宋体"/>
                <w:color w:val="auto"/>
                <w:spacing w:val="4"/>
                <w:szCs w:val="21"/>
                <w:highlight w:val="none"/>
              </w:rPr>
            </w:pPr>
            <w:r>
              <w:rPr>
                <w:rFonts w:hint="eastAsia" w:ascii="宋体" w:hAnsi="宋体" w:cs="宋体"/>
                <w:color w:val="auto"/>
                <w:spacing w:val="4"/>
                <w:szCs w:val="21"/>
                <w:highlight w:val="none"/>
              </w:rPr>
              <w:t>被授权人（签字或盖章）：</w:t>
            </w:r>
          </w:p>
        </w:tc>
        <w:tc>
          <w:tcPr>
            <w:tcW w:w="4139" w:type="dxa"/>
          </w:tcPr>
          <w:p>
            <w:pPr>
              <w:spacing w:line="440" w:lineRule="exact"/>
              <w:jc w:val="left"/>
              <w:rPr>
                <w:rFonts w:ascii="宋体" w:hAnsi="宋体" w:cs="宋体"/>
                <w:color w:val="auto"/>
                <w:spacing w:val="4"/>
                <w:szCs w:val="21"/>
                <w:highlight w:val="none"/>
              </w:rPr>
            </w:pPr>
            <w:r>
              <w:rPr>
                <w:rFonts w:hint="eastAsia" w:ascii="宋体" w:hAnsi="宋体" w:cs="宋体"/>
                <w:color w:val="auto"/>
                <w:spacing w:val="4"/>
                <w:szCs w:val="21"/>
                <w:highlight w:val="none"/>
              </w:rPr>
              <w:t>法定代表人（签字或盖章）：</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850" w:hRule="atLeast"/>
          <w:jc w:val="center"/>
        </w:trPr>
        <w:tc>
          <w:tcPr>
            <w:tcW w:w="4139" w:type="dxa"/>
          </w:tcPr>
          <w:p>
            <w:pPr>
              <w:spacing w:line="440" w:lineRule="exact"/>
              <w:jc w:val="left"/>
              <w:rPr>
                <w:rFonts w:ascii="宋体" w:hAnsi="宋体" w:cs="宋体"/>
                <w:color w:val="auto"/>
                <w:spacing w:val="4"/>
                <w:szCs w:val="21"/>
                <w:highlight w:val="none"/>
              </w:rPr>
            </w:pPr>
          </w:p>
        </w:tc>
        <w:tc>
          <w:tcPr>
            <w:tcW w:w="4139" w:type="dxa"/>
          </w:tcPr>
          <w:p>
            <w:pPr>
              <w:spacing w:line="440" w:lineRule="exact"/>
              <w:jc w:val="left"/>
              <w:rPr>
                <w:rFonts w:ascii="宋体" w:hAnsi="宋体" w:cs="宋体"/>
                <w:color w:val="auto"/>
                <w:spacing w:val="4"/>
                <w:szCs w:val="21"/>
                <w:highlight w:val="none"/>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850" w:hRule="atLeast"/>
          <w:jc w:val="center"/>
        </w:trPr>
        <w:tc>
          <w:tcPr>
            <w:tcW w:w="4139" w:type="dxa"/>
          </w:tcPr>
          <w:p>
            <w:pPr>
              <w:spacing w:line="440" w:lineRule="exact"/>
              <w:jc w:val="left"/>
              <w:rPr>
                <w:rFonts w:ascii="宋体" w:hAnsi="宋体" w:cs="宋体"/>
                <w:color w:val="auto"/>
                <w:spacing w:val="4"/>
                <w:szCs w:val="21"/>
                <w:highlight w:val="none"/>
              </w:rPr>
            </w:pPr>
            <w:r>
              <w:rPr>
                <w:rFonts w:hint="eastAsia" w:ascii="宋体" w:hAnsi="宋体" w:cs="宋体"/>
                <w:color w:val="auto"/>
                <w:spacing w:val="4"/>
                <w:szCs w:val="21"/>
                <w:highlight w:val="none"/>
              </w:rPr>
              <w:t>职务：</w:t>
            </w:r>
          </w:p>
        </w:tc>
        <w:tc>
          <w:tcPr>
            <w:tcW w:w="4139" w:type="dxa"/>
          </w:tcPr>
          <w:p>
            <w:pPr>
              <w:spacing w:line="440" w:lineRule="exact"/>
              <w:jc w:val="left"/>
              <w:rPr>
                <w:rFonts w:ascii="宋体" w:hAnsi="宋体" w:cs="宋体"/>
                <w:color w:val="auto"/>
                <w:spacing w:val="4"/>
                <w:szCs w:val="21"/>
                <w:highlight w:val="none"/>
              </w:rPr>
            </w:pPr>
            <w:r>
              <w:rPr>
                <w:rFonts w:hint="eastAsia" w:ascii="宋体" w:hAnsi="宋体" w:cs="宋体"/>
                <w:color w:val="auto"/>
                <w:spacing w:val="4"/>
                <w:szCs w:val="21"/>
                <w:highlight w:val="none"/>
              </w:rPr>
              <w:t>职务：</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850" w:hRule="atLeast"/>
          <w:jc w:val="center"/>
        </w:trPr>
        <w:tc>
          <w:tcPr>
            <w:tcW w:w="4139" w:type="dxa"/>
          </w:tcPr>
          <w:p>
            <w:pPr>
              <w:spacing w:line="440" w:lineRule="exact"/>
              <w:jc w:val="left"/>
              <w:rPr>
                <w:rFonts w:ascii="宋体" w:hAnsi="宋体" w:cs="宋体"/>
                <w:color w:val="auto"/>
                <w:spacing w:val="4"/>
                <w:szCs w:val="21"/>
                <w:highlight w:val="none"/>
              </w:rPr>
            </w:pPr>
          </w:p>
        </w:tc>
        <w:tc>
          <w:tcPr>
            <w:tcW w:w="4139" w:type="dxa"/>
          </w:tcPr>
          <w:p>
            <w:pPr>
              <w:spacing w:line="440" w:lineRule="exact"/>
              <w:jc w:val="left"/>
              <w:rPr>
                <w:rFonts w:ascii="宋体" w:hAnsi="宋体" w:cs="宋体"/>
                <w:color w:val="auto"/>
                <w:spacing w:val="4"/>
                <w:szCs w:val="21"/>
                <w:highlight w:val="none"/>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850" w:hRule="atLeast"/>
          <w:jc w:val="center"/>
        </w:trPr>
        <w:tc>
          <w:tcPr>
            <w:tcW w:w="4139" w:type="dxa"/>
          </w:tcPr>
          <w:p>
            <w:pPr>
              <w:spacing w:line="440" w:lineRule="exact"/>
              <w:jc w:val="left"/>
              <w:rPr>
                <w:rFonts w:ascii="宋体" w:hAnsi="宋体" w:cs="宋体"/>
                <w:color w:val="auto"/>
                <w:spacing w:val="4"/>
                <w:szCs w:val="21"/>
                <w:highlight w:val="none"/>
              </w:rPr>
            </w:pPr>
            <w:r>
              <w:rPr>
                <w:rFonts w:hint="eastAsia" w:ascii="宋体" w:hAnsi="宋体" w:cs="宋体"/>
                <w:color w:val="auto"/>
                <w:spacing w:val="4"/>
                <w:szCs w:val="21"/>
                <w:highlight w:val="none"/>
              </w:rPr>
              <w:t>所在部门：</w:t>
            </w:r>
          </w:p>
        </w:tc>
        <w:tc>
          <w:tcPr>
            <w:tcW w:w="4139" w:type="dxa"/>
          </w:tcPr>
          <w:p>
            <w:pPr>
              <w:spacing w:line="440" w:lineRule="exact"/>
              <w:jc w:val="left"/>
              <w:rPr>
                <w:rFonts w:ascii="宋体" w:hAnsi="宋体" w:cs="宋体"/>
                <w:color w:val="auto"/>
                <w:spacing w:val="4"/>
                <w:szCs w:val="21"/>
                <w:highlight w:val="none"/>
              </w:rPr>
            </w:pPr>
          </w:p>
        </w:tc>
      </w:tr>
    </w:tbl>
    <w:p>
      <w:pPr>
        <w:widowControl/>
        <w:spacing w:before="780" w:beforeLines="250" w:line="360" w:lineRule="auto"/>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供应商名称：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（加盖公章）</w:t>
      </w:r>
    </w:p>
    <w:p>
      <w:pPr>
        <w:spacing w:before="312" w:beforeLines="100" w:line="360" w:lineRule="auto"/>
        <w:ind w:firstLine="219" w:firstLineChars="100"/>
        <w:rPr>
          <w:rFonts w:ascii="宋体" w:hAnsi="宋体" w:cs="宋体"/>
          <w:b/>
          <w:bCs/>
          <w:color w:val="auto"/>
          <w:spacing w:val="4"/>
          <w:szCs w:val="21"/>
          <w:highlight w:val="none"/>
        </w:rPr>
      </w:pPr>
    </w:p>
    <w:p>
      <w:pPr>
        <w:spacing w:before="312" w:beforeLines="100" w:line="360" w:lineRule="auto"/>
        <w:ind w:firstLine="219" w:firstLineChars="100"/>
        <w:rPr>
          <w:rFonts w:ascii="宋体" w:hAnsi="宋体" w:cs="宋体"/>
          <w:b/>
          <w:bCs/>
          <w:color w:val="auto"/>
          <w:spacing w:val="4"/>
          <w:szCs w:val="21"/>
          <w:highlight w:val="none"/>
        </w:rPr>
      </w:pPr>
      <w:r>
        <w:rPr>
          <w:rFonts w:hint="eastAsia" w:ascii="宋体" w:hAnsi="宋体" w:cs="宋体"/>
          <w:b/>
          <w:bCs/>
          <w:color w:val="auto"/>
          <w:spacing w:val="4"/>
          <w:szCs w:val="21"/>
          <w:highlight w:val="none"/>
        </w:rPr>
        <w:t>附件：法定代表人、被授权人身份证复印件（必须印正反两面的完整信息）</w:t>
      </w:r>
    </w:p>
    <w:p>
      <w:pPr>
        <w:spacing w:before="156" w:beforeLines="50" w:after="156" w:afterLines="50" w:line="360" w:lineRule="auto"/>
        <w:rPr>
          <w:rFonts w:ascii="宋体" w:hAnsi="宋体" w:cs="宋体"/>
          <w:b/>
          <w:bCs/>
          <w:color w:val="auto"/>
          <w:highlight w:val="none"/>
        </w:rPr>
      </w:pPr>
      <w:r>
        <w:rPr>
          <w:rFonts w:hint="eastAsia" w:ascii="宋体" w:hAnsi="宋体" w:cs="宋体"/>
          <w:color w:val="auto"/>
          <w:spacing w:val="4"/>
          <w:szCs w:val="21"/>
          <w:highlight w:val="none"/>
        </w:rPr>
        <w:br w:type="page"/>
      </w:r>
      <w:r>
        <w:rPr>
          <w:rFonts w:hint="eastAsia" w:ascii="宋体" w:hAnsi="宋体" w:cs="宋体"/>
          <w:b/>
          <w:bCs/>
          <w:color w:val="auto"/>
          <w:highlight w:val="none"/>
        </w:rPr>
        <w:t>附：法定代表人（单位负责人）身份证复印件及委托代理人身份证复印件</w:t>
      </w:r>
    </w:p>
    <w:p>
      <w:pPr>
        <w:spacing w:before="156" w:beforeLines="50" w:after="156" w:afterLines="50" w:line="360" w:lineRule="auto"/>
        <w:rPr>
          <w:rFonts w:ascii="宋体" w:hAnsi="宋体" w:cs="宋体"/>
          <w:b/>
          <w:bCs/>
          <w:color w:val="auto"/>
          <w:highlight w:val="none"/>
        </w:rPr>
      </w:pPr>
      <w:r>
        <w:rPr>
          <w:rFonts w:hint="eastAsia" w:ascii="宋体" w:hAnsi="宋体" w:cs="宋体"/>
          <w:b/>
          <w:bCs/>
          <w:color w:val="auto"/>
          <w:spacing w:val="4"/>
          <w:szCs w:val="21"/>
          <w:highlight w:val="none"/>
        </w:rPr>
        <w:t>（必须印正反两面的完整信息）</w:t>
      </w:r>
    </w:p>
    <w:tbl>
      <w:tblPr>
        <w:tblStyle w:val="19"/>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39"/>
        <w:gridCol w:w="4139"/>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268" w:hRule="atLeast"/>
          <w:jc w:val="center"/>
        </w:trPr>
        <w:tc>
          <w:tcPr>
            <w:tcW w:w="4139" w:type="dxa"/>
            <w:vAlign w:val="center"/>
          </w:tcPr>
          <w:p>
            <w:pPr>
              <w:spacing w:line="480" w:lineRule="auto"/>
              <w:jc w:val="center"/>
              <w:rPr>
                <w:rFonts w:ascii="宋体" w:hAnsi="宋体"/>
                <w:color w:val="auto"/>
                <w:szCs w:val="21"/>
                <w:highlight w:val="none"/>
              </w:rPr>
            </w:pPr>
          </w:p>
        </w:tc>
        <w:tc>
          <w:tcPr>
            <w:tcW w:w="4139" w:type="dxa"/>
            <w:vAlign w:val="center"/>
          </w:tcPr>
          <w:p>
            <w:pPr>
              <w:spacing w:line="480" w:lineRule="auto"/>
              <w:jc w:val="center"/>
              <w:rPr>
                <w:rFonts w:ascii="宋体" w:hAnsi="宋体"/>
                <w:color w:val="auto"/>
                <w:szCs w:val="21"/>
                <w:highlight w:val="none"/>
              </w:rPr>
            </w:pP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268" w:hRule="atLeast"/>
          <w:jc w:val="center"/>
        </w:trPr>
        <w:tc>
          <w:tcPr>
            <w:tcW w:w="4139" w:type="dxa"/>
            <w:vAlign w:val="center"/>
          </w:tcPr>
          <w:p>
            <w:pPr>
              <w:spacing w:line="480" w:lineRule="auto"/>
              <w:jc w:val="center"/>
              <w:rPr>
                <w:rFonts w:ascii="宋体" w:hAnsi="宋体"/>
                <w:color w:val="auto"/>
                <w:szCs w:val="21"/>
                <w:highlight w:val="none"/>
              </w:rPr>
            </w:pPr>
          </w:p>
        </w:tc>
        <w:tc>
          <w:tcPr>
            <w:tcW w:w="4139" w:type="dxa"/>
            <w:vAlign w:val="center"/>
          </w:tcPr>
          <w:p>
            <w:pPr>
              <w:spacing w:line="480" w:lineRule="auto"/>
              <w:jc w:val="center"/>
              <w:rPr>
                <w:rFonts w:ascii="宋体" w:hAnsi="宋体"/>
                <w:color w:val="auto"/>
                <w:szCs w:val="21"/>
                <w:highlight w:val="none"/>
              </w:rPr>
            </w:pPr>
          </w:p>
        </w:tc>
      </w:tr>
    </w:tbl>
    <w:p>
      <w:pPr>
        <w:rPr>
          <w:color w:val="auto"/>
          <w:highlight w:val="none"/>
        </w:rPr>
      </w:pPr>
    </w:p>
    <w:p>
      <w:pPr>
        <w:jc w:val="center"/>
        <w:outlineLvl w:val="1"/>
        <w:rPr>
          <w:rFonts w:ascii="宋体" w:hAnsi="宋体" w:cs="宋体"/>
          <w:b/>
          <w:color w:val="auto"/>
          <w:sz w:val="36"/>
          <w:szCs w:val="36"/>
          <w:highlight w:val="none"/>
        </w:rPr>
      </w:pPr>
      <w:bookmarkStart w:id="24" w:name="_Toc29360"/>
      <w:bookmarkStart w:id="25" w:name="_Toc30493"/>
      <w:bookmarkStart w:id="26" w:name="_Toc1272"/>
      <w:r>
        <w:rPr>
          <w:rFonts w:hint="eastAsia" w:ascii="宋体" w:hAnsi="宋体" w:cs="宋体"/>
          <w:b/>
          <w:color w:val="auto"/>
          <w:sz w:val="36"/>
          <w:szCs w:val="36"/>
          <w:highlight w:val="none"/>
        </w:rPr>
        <w:br w:type="page"/>
      </w:r>
      <w:r>
        <w:rPr>
          <w:rFonts w:hint="eastAsia" w:ascii="宋体" w:hAnsi="宋体" w:cs="宋体"/>
          <w:b/>
          <w:color w:val="auto"/>
          <w:sz w:val="36"/>
          <w:szCs w:val="36"/>
          <w:highlight w:val="none"/>
        </w:rPr>
        <w:t>二、陕西省政府采购供应商</w:t>
      </w:r>
      <w:bookmarkEnd w:id="24"/>
      <w:bookmarkEnd w:id="25"/>
      <w:bookmarkEnd w:id="26"/>
    </w:p>
    <w:p>
      <w:pPr>
        <w:jc w:val="center"/>
        <w:rPr>
          <w:rFonts w:ascii="宋体" w:hAnsi="宋体" w:cs="宋体"/>
          <w:color w:val="auto"/>
          <w:highlight w:val="none"/>
        </w:rPr>
      </w:pPr>
      <w:r>
        <w:rPr>
          <w:rFonts w:hint="eastAsia" w:ascii="宋体" w:hAnsi="宋体" w:cs="宋体"/>
          <w:b/>
          <w:color w:val="auto"/>
          <w:sz w:val="36"/>
          <w:szCs w:val="36"/>
          <w:highlight w:val="none"/>
        </w:rPr>
        <w:t>拒绝政府采购领域商业贿赂承诺书</w:t>
      </w:r>
    </w:p>
    <w:p>
      <w:pPr>
        <w:widowControl/>
        <w:spacing w:line="408" w:lineRule="auto"/>
        <w:ind w:left="239" w:leftChars="114" w:firstLine="470" w:firstLineChars="196"/>
        <w:jc w:val="center"/>
        <w:rPr>
          <w:rFonts w:ascii="宋体" w:hAnsi="宋体" w:cs="宋体"/>
          <w:color w:val="auto"/>
          <w:kern w:val="0"/>
          <w:sz w:val="24"/>
          <w:highlight w:val="none"/>
        </w:rPr>
      </w:pPr>
    </w:p>
    <w:p>
      <w:pPr>
        <w:widowControl/>
        <w:spacing w:line="360" w:lineRule="auto"/>
        <w:ind w:left="239" w:leftChars="114"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为响应党中央、国务院关于治理政府采购领域商业贿赂行为的号召，我公司在此庄严承诺：</w:t>
      </w:r>
    </w:p>
    <w:p>
      <w:pPr>
        <w:widowControl/>
        <w:spacing w:line="360" w:lineRule="auto"/>
        <w:ind w:left="239" w:leftChars="114"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1.在参与政府采购活动中遵纪守法、诚信经营、公平竞标。</w:t>
      </w:r>
    </w:p>
    <w:p>
      <w:pPr>
        <w:widowControl/>
        <w:spacing w:line="360" w:lineRule="auto"/>
        <w:ind w:left="239" w:leftChars="114"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2.不向政府采购人、采购代理机构和政府采购评审专家进行任何形式的商业贿赂以谋取交易机会。</w:t>
      </w:r>
    </w:p>
    <w:p>
      <w:pPr>
        <w:widowControl/>
        <w:spacing w:line="360" w:lineRule="auto"/>
        <w:ind w:left="239" w:leftChars="114"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3.不向政府采购代理机构和采购人提供虚假资质文件或采用虚假应标方式参与政府采购市场竞争并谋取成交、成交。</w:t>
      </w:r>
    </w:p>
    <w:p>
      <w:pPr>
        <w:widowControl/>
        <w:spacing w:line="360" w:lineRule="auto"/>
        <w:ind w:left="239" w:leftChars="114"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4.不采取“围标、陪标”等商业欺诈手段获得政府采购定单。</w:t>
      </w:r>
    </w:p>
    <w:p>
      <w:pPr>
        <w:widowControl/>
        <w:spacing w:line="360" w:lineRule="auto"/>
        <w:ind w:left="239" w:leftChars="114"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5.不采取不正当手段诋毁、排挤其他供应商。</w:t>
      </w:r>
    </w:p>
    <w:p>
      <w:pPr>
        <w:widowControl/>
        <w:spacing w:line="360" w:lineRule="auto"/>
        <w:ind w:left="239" w:leftChars="114"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6.不在提供商品和服务时“偷梁换柱、以次充好”损害采购人的合法权益。</w:t>
      </w:r>
    </w:p>
    <w:p>
      <w:pPr>
        <w:widowControl/>
        <w:spacing w:line="360" w:lineRule="auto"/>
        <w:ind w:left="239" w:leftChars="114"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7.不与采购人、采购代理机构政府采购评审专家或其它供应商恶意串通，进行质疑和投诉，维护政府采购市场秩序。</w:t>
      </w:r>
    </w:p>
    <w:p>
      <w:pPr>
        <w:widowControl/>
        <w:spacing w:line="360" w:lineRule="auto"/>
        <w:ind w:left="239" w:leftChars="114"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8.尊重和接受政府采购监督管理部门的监督和政府采购代理机构招标采购要求，承担因违约行为给采购人造成的损失。</w:t>
      </w:r>
    </w:p>
    <w:p>
      <w:pPr>
        <w:widowControl/>
        <w:spacing w:line="360" w:lineRule="auto"/>
        <w:ind w:left="239" w:leftChars="114"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9.不发生其他有悖于政府采购公开、公平、公正和诚信原则的行为。</w:t>
      </w:r>
    </w:p>
    <w:p>
      <w:pPr>
        <w:widowControl/>
        <w:spacing w:before="936" w:beforeLines="300"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供应商名称：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（加盖公章）</w:t>
      </w:r>
    </w:p>
    <w:p>
      <w:pPr>
        <w:spacing w:before="312" w:beforeLines="100" w:line="360" w:lineRule="auto"/>
        <w:ind w:firstLine="436" w:firstLineChars="200"/>
        <w:rPr>
          <w:rFonts w:ascii="宋体" w:hAnsi="宋体" w:cs="宋体"/>
          <w:color w:val="auto"/>
          <w:kern w:val="0"/>
          <w:szCs w:val="21"/>
          <w:highlight w:val="none"/>
        </w:rPr>
      </w:pPr>
      <w:r>
        <w:rPr>
          <w:rFonts w:hint="eastAsia" w:ascii="宋体" w:hAnsi="宋体" w:cs="宋体"/>
          <w:color w:val="auto"/>
          <w:spacing w:val="4"/>
          <w:szCs w:val="21"/>
          <w:highlight w:val="none"/>
        </w:rPr>
        <w:t>法定代表人或</w:t>
      </w:r>
      <w:r>
        <w:rPr>
          <w:rFonts w:hint="eastAsia" w:ascii="宋体" w:hAnsi="宋体" w:cs="宋体"/>
          <w:color w:val="auto"/>
          <w:kern w:val="0"/>
          <w:szCs w:val="21"/>
          <w:highlight w:val="none"/>
        </w:rPr>
        <w:t>授权代表</w:t>
      </w:r>
      <w:r>
        <w:rPr>
          <w:rFonts w:hint="eastAsia" w:ascii="宋体" w:hAnsi="宋体" w:cs="宋体"/>
          <w:color w:val="auto"/>
          <w:spacing w:val="4"/>
          <w:szCs w:val="21"/>
          <w:highlight w:val="none"/>
        </w:rPr>
        <w:t>（签字或盖章）</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w:t>
      </w:r>
    </w:p>
    <w:p>
      <w:pPr>
        <w:spacing w:after="312" w:afterLines="100" w:line="360" w:lineRule="auto"/>
        <w:jc w:val="center"/>
        <w:outlineLvl w:val="1"/>
        <w:rPr>
          <w:rFonts w:ascii="宋体" w:hAnsi="宋体" w:cs="宋体"/>
          <w:b/>
          <w:color w:val="auto"/>
          <w:sz w:val="36"/>
          <w:szCs w:val="36"/>
          <w:highlight w:val="none"/>
        </w:rPr>
      </w:pPr>
      <w:r>
        <w:rPr>
          <w:rFonts w:hint="eastAsia" w:ascii="宋体" w:hAnsi="宋体" w:cs="宋体"/>
          <w:color w:val="auto"/>
          <w:kern w:val="0"/>
          <w:sz w:val="24"/>
          <w:highlight w:val="none"/>
        </w:rPr>
        <w:br w:type="page"/>
      </w:r>
      <w:bookmarkStart w:id="27" w:name="_Toc30016"/>
      <w:bookmarkStart w:id="28" w:name="_Toc12184"/>
      <w:bookmarkStart w:id="29" w:name="_Toc25637"/>
      <w:r>
        <w:rPr>
          <w:rFonts w:hint="eastAsia" w:ascii="宋体" w:hAnsi="宋体" w:cs="宋体"/>
          <w:b/>
          <w:color w:val="auto"/>
          <w:sz w:val="36"/>
          <w:szCs w:val="36"/>
          <w:highlight w:val="none"/>
        </w:rPr>
        <w:t>三、资格证明文件</w:t>
      </w:r>
      <w:bookmarkEnd w:id="27"/>
      <w:bookmarkEnd w:id="28"/>
      <w:bookmarkEnd w:id="29"/>
    </w:p>
    <w:p>
      <w:pPr>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1）具有独立承担民事责任的能力</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提供注册登记凭证（营业执照、其他组织经营的合法凭证，自然人的提供身份证明文件）。</w:t>
      </w:r>
    </w:p>
    <w:p>
      <w:pPr>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2）具有良好的商业信誉和健全的财务会计制度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提供2021年度经审计的财务报告（包括四表一注，即资产负债表、利润表、现金流量表、所有者权益变动表及其附注），且无反对意见；事业法人提供部门决算报告；</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/或在</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截止日期前六个月内其基本开户银行出具的资信证明（附《基本存款账户信息》或《银行开户许可证》复印件）；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/或财政部门认可的政府采购专业担保机构出具的投标担保函；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以上三种形式的资料提供任何一种即可。</w:t>
      </w:r>
    </w:p>
    <w:p>
      <w:pPr>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3）具有履行合同所必需的设备和专业技术能力</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提供声明文件原件。</w:t>
      </w:r>
    </w:p>
    <w:p>
      <w:pPr>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4）具有依法缴纳税收的良好记录</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提供缴费所属日期为</w:t>
      </w:r>
      <w:r>
        <w:rPr>
          <w:rFonts w:hint="eastAsia" w:ascii="宋体" w:hAnsi="宋体" w:cs="宋体"/>
          <w:color w:val="auto"/>
          <w:kern w:val="0"/>
          <w:szCs w:val="21"/>
          <w:highlight w:val="none"/>
          <w:lang w:eastAsia="zh-CN"/>
        </w:rPr>
        <w:t>谈判</w:t>
      </w:r>
      <w:r>
        <w:rPr>
          <w:rFonts w:hint="eastAsia" w:ascii="宋体" w:hAnsi="宋体" w:cs="宋体"/>
          <w:color w:val="auto"/>
          <w:kern w:val="0"/>
          <w:szCs w:val="21"/>
          <w:highlight w:val="none"/>
        </w:rPr>
        <w:t>截止时间前6个月内任一月份（</w:t>
      </w:r>
      <w:r>
        <w:rPr>
          <w:rFonts w:hint="eastAsia" w:ascii="宋体" w:hAnsi="宋体" w:cs="宋体"/>
          <w:color w:val="auto"/>
          <w:kern w:val="0"/>
          <w:szCs w:val="21"/>
          <w:highlight w:val="none"/>
          <w:lang w:eastAsia="zh-CN"/>
        </w:rPr>
        <w:t>谈判</w:t>
      </w:r>
      <w:r>
        <w:rPr>
          <w:rFonts w:hint="eastAsia" w:ascii="宋体" w:hAnsi="宋体" w:cs="宋体"/>
          <w:color w:val="auto"/>
          <w:kern w:val="0"/>
          <w:szCs w:val="21"/>
          <w:highlight w:val="none"/>
        </w:rPr>
        <w:t>截止时间当月不计入）的</w:t>
      </w:r>
      <w:r>
        <w:rPr>
          <w:rFonts w:hint="eastAsia" w:ascii="宋体" w:hAnsi="宋体" w:cs="宋体"/>
          <w:color w:val="auto"/>
          <w:kern w:val="0"/>
          <w:szCs w:val="21"/>
          <w:highlight w:val="none"/>
          <w:lang w:val="en-US" w:eastAsia="zh-CN"/>
        </w:rPr>
        <w:t>增值税或所得税</w:t>
      </w:r>
      <w:r>
        <w:rPr>
          <w:rFonts w:hint="eastAsia" w:ascii="宋体" w:hAnsi="宋体" w:cs="宋体"/>
          <w:color w:val="auto"/>
          <w:kern w:val="0"/>
          <w:szCs w:val="21"/>
          <w:highlight w:val="none"/>
        </w:rPr>
        <w:t>缴费凭据或税务机关出具的完税证明/在法规范围内不需提供的应出具书面说明和证明文件。</w:t>
      </w:r>
    </w:p>
    <w:p>
      <w:pPr>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5）具有依法缴纳社会保障资金的良好记录</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提供缴费所属日期为</w:t>
      </w:r>
      <w:r>
        <w:rPr>
          <w:rFonts w:hint="eastAsia" w:ascii="宋体" w:hAnsi="宋体" w:cs="宋体"/>
          <w:color w:val="auto"/>
          <w:kern w:val="0"/>
          <w:szCs w:val="21"/>
          <w:highlight w:val="none"/>
          <w:lang w:eastAsia="zh-CN"/>
        </w:rPr>
        <w:t>谈判</w:t>
      </w:r>
      <w:r>
        <w:rPr>
          <w:rFonts w:hint="eastAsia" w:ascii="宋体" w:hAnsi="宋体" w:cs="宋体"/>
          <w:color w:val="auto"/>
          <w:kern w:val="0"/>
          <w:szCs w:val="21"/>
          <w:highlight w:val="none"/>
        </w:rPr>
        <w:t>截止时间前6个月内任一月份（</w:t>
      </w:r>
      <w:r>
        <w:rPr>
          <w:rFonts w:hint="eastAsia" w:ascii="宋体" w:hAnsi="宋体" w:cs="宋体"/>
          <w:color w:val="auto"/>
          <w:kern w:val="0"/>
          <w:szCs w:val="21"/>
          <w:highlight w:val="none"/>
          <w:lang w:eastAsia="zh-CN"/>
        </w:rPr>
        <w:t>谈判</w:t>
      </w:r>
      <w:r>
        <w:rPr>
          <w:rFonts w:hint="eastAsia" w:ascii="宋体" w:hAnsi="宋体" w:cs="宋体"/>
          <w:color w:val="auto"/>
          <w:kern w:val="0"/>
          <w:szCs w:val="21"/>
          <w:highlight w:val="none"/>
        </w:rPr>
        <w:t>截止时间当月不计入）的缴费凭据或社保机关出具的缴费证明/在法规范围内不需提供的应出具书面说明和证明文件。</w:t>
      </w:r>
    </w:p>
    <w:p>
      <w:pPr>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6）参加政府采购活动前3年内在经营活动中没有重大违法记录的书面声明（原件）。</w:t>
      </w:r>
    </w:p>
    <w:p>
      <w:pPr>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7）法人代表授权书（原件）。</w:t>
      </w:r>
    </w:p>
    <w:p>
      <w:pPr>
        <w:spacing w:before="468" w:beforeLines="150" w:line="360" w:lineRule="auto"/>
        <w:rPr>
          <w:rFonts w:ascii="宋体" w:hAnsi="宋体" w:cs="宋体"/>
          <w:color w:val="auto"/>
          <w:spacing w:val="4"/>
          <w:szCs w:val="21"/>
          <w:highlight w:val="none"/>
        </w:rPr>
      </w:pPr>
      <w:r>
        <w:rPr>
          <w:rFonts w:hint="eastAsia" w:ascii="宋体" w:hAnsi="宋体" w:cs="宋体"/>
          <w:color w:val="auto"/>
          <w:szCs w:val="21"/>
          <w:highlight w:val="none"/>
        </w:rPr>
        <w:t>注:所有要求在响应文件中提供复印件的文件，在评审过程中，评审小组可随时要求查验原件，供应商不得拒绝，否则其响应文件将按照无效响应处理。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说明：后附部分内容参考格式，其他内容供应商自行编制。</w:t>
      </w:r>
    </w:p>
    <w:p>
      <w:pPr>
        <w:spacing w:before="156" w:beforeLines="50" w:line="360" w:lineRule="auto"/>
        <w:rPr>
          <w:rFonts w:ascii="宋体" w:hAnsi="宋体" w:cs="宋体"/>
          <w:b/>
          <w:color w:val="auto"/>
          <w:sz w:val="36"/>
          <w:szCs w:val="36"/>
          <w:highlight w:val="none"/>
        </w:rPr>
      </w:pPr>
      <w:r>
        <w:rPr>
          <w:rFonts w:hint="eastAsia" w:ascii="宋体" w:hAnsi="宋体" w:cs="宋体"/>
          <w:b/>
          <w:color w:val="auto"/>
          <w:sz w:val="30"/>
          <w:szCs w:val="30"/>
          <w:highlight w:val="none"/>
        </w:rPr>
        <w:br w:type="page"/>
      </w:r>
      <w:bookmarkStart w:id="30" w:name="_Toc1864"/>
      <w:bookmarkStart w:id="31" w:name="_Toc22764"/>
      <w:bookmarkStart w:id="32" w:name="_Toc353"/>
      <w:r>
        <w:rPr>
          <w:rFonts w:hint="eastAsia" w:ascii="宋体" w:hAnsi="宋体" w:cs="宋体"/>
          <w:b/>
          <w:color w:val="auto"/>
          <w:sz w:val="24"/>
          <w:szCs w:val="24"/>
          <w:highlight w:val="none"/>
        </w:rPr>
        <w:t>附件：</w:t>
      </w:r>
      <w:bookmarkEnd w:id="30"/>
      <w:bookmarkEnd w:id="31"/>
      <w:bookmarkEnd w:id="32"/>
      <w:r>
        <w:rPr>
          <w:rFonts w:hint="eastAsia" w:ascii="宋体" w:hAnsi="宋体" w:cs="宋体"/>
          <w:b/>
          <w:color w:val="auto"/>
          <w:sz w:val="24"/>
          <w:szCs w:val="24"/>
          <w:highlight w:val="none"/>
        </w:rPr>
        <w:t>格式</w:t>
      </w:r>
    </w:p>
    <w:p>
      <w:pPr>
        <w:spacing w:before="312" w:beforeLines="100" w:after="312" w:afterLines="100"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供应商无重大违法记录的书面声明格式</w:t>
      </w:r>
    </w:p>
    <w:p>
      <w:pPr>
        <w:spacing w:line="480" w:lineRule="auto"/>
        <w:jc w:val="left"/>
        <w:rPr>
          <w:rFonts w:ascii="宋体" w:hAnsi="宋体" w:cs="宋体"/>
          <w:color w:val="auto"/>
          <w:spacing w:val="4"/>
          <w:szCs w:val="21"/>
          <w:highlight w:val="none"/>
          <w:u w:val="single"/>
        </w:rPr>
      </w:pPr>
      <w:r>
        <w:rPr>
          <w:rFonts w:hint="eastAsia" w:ascii="宋体" w:hAnsi="宋体" w:cs="宋体"/>
          <w:color w:val="auto"/>
          <w:spacing w:val="4"/>
          <w:szCs w:val="21"/>
          <w:highlight w:val="none"/>
          <w:u w:val="single"/>
        </w:rPr>
        <w:t>致：（采购机构名称）、（采购代理机构名称）</w:t>
      </w:r>
    </w:p>
    <w:p>
      <w:pPr>
        <w:spacing w:line="480" w:lineRule="auto"/>
        <w:ind w:firstLine="436" w:firstLineChars="200"/>
        <w:jc w:val="left"/>
        <w:rPr>
          <w:rFonts w:ascii="宋体" w:hAnsi="宋体" w:cs="宋体"/>
          <w:color w:val="auto"/>
          <w:spacing w:val="4"/>
          <w:szCs w:val="21"/>
          <w:highlight w:val="none"/>
          <w:u w:val="single"/>
        </w:rPr>
      </w:pPr>
      <w:r>
        <w:rPr>
          <w:rFonts w:hint="eastAsia" w:ascii="宋体" w:hAnsi="宋体" w:cs="宋体"/>
          <w:color w:val="auto"/>
          <w:spacing w:val="4"/>
          <w:szCs w:val="21"/>
          <w:highlight w:val="none"/>
          <w:u w:val="single"/>
        </w:rPr>
        <w:t>（供应商名称）</w:t>
      </w:r>
      <w:r>
        <w:rPr>
          <w:rFonts w:hint="eastAsia" w:ascii="宋体" w:hAnsi="宋体" w:cs="宋体"/>
          <w:color w:val="auto"/>
          <w:spacing w:val="4"/>
          <w:szCs w:val="21"/>
          <w:highlight w:val="none"/>
        </w:rPr>
        <w:t>为在中华人民共和国境内合法注册并经营的机构。在此郑重声明，我公司在参与本次政府采购活动前3年内在经营活动中没有重大违法记录。</w:t>
      </w:r>
    </w:p>
    <w:p>
      <w:pPr>
        <w:spacing w:before="312" w:beforeLines="100" w:after="156" w:afterLines="50" w:line="480" w:lineRule="auto"/>
        <w:ind w:firstLine="170"/>
        <w:jc w:val="left"/>
        <w:rPr>
          <w:rFonts w:ascii="宋体" w:hAnsi="宋体" w:cs="宋体"/>
          <w:color w:val="auto"/>
          <w:spacing w:val="4"/>
          <w:sz w:val="24"/>
          <w:szCs w:val="24"/>
          <w:highlight w:val="none"/>
        </w:rPr>
      </w:pPr>
    </w:p>
    <w:p>
      <w:pPr>
        <w:spacing w:before="312" w:beforeLines="100" w:after="156" w:afterLines="50" w:line="360" w:lineRule="auto"/>
        <w:ind w:firstLine="170"/>
        <w:rPr>
          <w:rFonts w:ascii="宋体" w:hAnsi="宋体" w:cs="宋体"/>
          <w:color w:val="auto"/>
          <w:spacing w:val="4"/>
          <w:sz w:val="24"/>
          <w:szCs w:val="24"/>
          <w:highlight w:val="none"/>
        </w:rPr>
      </w:pPr>
    </w:p>
    <w:p>
      <w:pPr>
        <w:spacing w:before="312" w:beforeLines="100" w:after="156" w:afterLines="50" w:line="360" w:lineRule="auto"/>
        <w:ind w:firstLine="170"/>
        <w:rPr>
          <w:rFonts w:ascii="宋体" w:hAnsi="宋体" w:cs="宋体"/>
          <w:color w:val="auto"/>
          <w:spacing w:val="4"/>
          <w:sz w:val="24"/>
          <w:szCs w:val="24"/>
          <w:highlight w:val="none"/>
        </w:rPr>
      </w:pPr>
    </w:p>
    <w:p>
      <w:pPr>
        <w:spacing w:before="156" w:beforeLines="50" w:after="156" w:afterLines="50" w:line="360" w:lineRule="auto"/>
        <w:ind w:firstLine="2398" w:firstLineChars="1100"/>
        <w:jc w:val="left"/>
        <w:rPr>
          <w:rFonts w:ascii="宋体" w:hAnsi="宋体" w:cs="宋体"/>
          <w:color w:val="auto"/>
          <w:spacing w:val="14"/>
          <w:kern w:val="0"/>
          <w:szCs w:val="21"/>
          <w:highlight w:val="none"/>
        </w:rPr>
      </w:pPr>
      <w:r>
        <w:rPr>
          <w:rFonts w:hint="eastAsia" w:ascii="宋体" w:hAnsi="宋体" w:cs="宋体"/>
          <w:color w:val="auto"/>
          <w:spacing w:val="4"/>
          <w:szCs w:val="21"/>
          <w:highlight w:val="none"/>
        </w:rPr>
        <w:t>供应商名称（盖章）：</w:t>
      </w:r>
      <w:r>
        <w:rPr>
          <w:rFonts w:hint="eastAsia" w:ascii="宋体" w:hAnsi="宋体" w:cs="宋体"/>
          <w:color w:val="auto"/>
          <w:spacing w:val="4"/>
          <w:szCs w:val="21"/>
          <w:highlight w:val="none"/>
          <w:u w:val="single"/>
        </w:rPr>
        <w:t xml:space="preserve">                      </w:t>
      </w:r>
      <w:r>
        <w:rPr>
          <w:rFonts w:hint="eastAsia" w:ascii="宋体" w:hAnsi="宋体" w:cs="宋体"/>
          <w:color w:val="auto"/>
          <w:spacing w:val="14"/>
          <w:kern w:val="0"/>
          <w:szCs w:val="21"/>
          <w:highlight w:val="none"/>
          <w:u w:val="single"/>
        </w:rPr>
        <w:t>（单位全称）</w:t>
      </w:r>
    </w:p>
    <w:p>
      <w:pPr>
        <w:spacing w:before="156" w:beforeLines="50" w:after="156" w:afterLines="50" w:line="360" w:lineRule="auto"/>
        <w:ind w:firstLine="2398" w:firstLineChars="1100"/>
        <w:jc w:val="left"/>
        <w:rPr>
          <w:rFonts w:ascii="宋体" w:hAnsi="宋体" w:cs="宋体"/>
          <w:color w:val="auto"/>
          <w:spacing w:val="4"/>
          <w:szCs w:val="21"/>
          <w:highlight w:val="none"/>
        </w:rPr>
      </w:pPr>
      <w:r>
        <w:rPr>
          <w:rFonts w:hint="eastAsia" w:ascii="宋体" w:hAnsi="宋体" w:cs="宋体"/>
          <w:color w:val="auto"/>
          <w:spacing w:val="4"/>
          <w:szCs w:val="21"/>
          <w:highlight w:val="none"/>
        </w:rPr>
        <w:t>法定代表人或授权代表（签字或盖章）：</w:t>
      </w:r>
      <w:r>
        <w:rPr>
          <w:rFonts w:hint="eastAsia" w:ascii="宋体" w:hAnsi="宋体" w:cs="宋体"/>
          <w:color w:val="auto"/>
          <w:spacing w:val="4"/>
          <w:szCs w:val="21"/>
          <w:highlight w:val="none"/>
          <w:u w:val="single"/>
        </w:rPr>
        <w:t xml:space="preserve">                  </w:t>
      </w:r>
    </w:p>
    <w:p>
      <w:pPr>
        <w:spacing w:before="156" w:beforeLines="50" w:after="156" w:afterLines="50" w:line="360" w:lineRule="auto"/>
        <w:jc w:val="center"/>
        <w:rPr>
          <w:rFonts w:ascii="宋体" w:hAnsi="宋体" w:cs="宋体"/>
          <w:color w:val="auto"/>
          <w:spacing w:val="4"/>
          <w:sz w:val="24"/>
          <w:szCs w:val="24"/>
          <w:highlight w:val="none"/>
        </w:rPr>
      </w:pPr>
      <w:r>
        <w:rPr>
          <w:rFonts w:hint="eastAsia" w:ascii="宋体" w:hAnsi="宋体" w:cs="宋体"/>
          <w:color w:val="auto"/>
          <w:spacing w:val="4"/>
          <w:szCs w:val="21"/>
          <w:highlight w:val="none"/>
        </w:rPr>
        <w:t xml:space="preserve">                                                 日期：</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年</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月</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日</w:t>
      </w:r>
    </w:p>
    <w:p>
      <w:pPr>
        <w:spacing w:line="360" w:lineRule="auto"/>
        <w:jc w:val="left"/>
        <w:outlineLvl w:val="0"/>
        <w:rPr>
          <w:rFonts w:ascii="宋体" w:hAnsi="宋体" w:cs="宋体"/>
          <w:b/>
          <w:color w:val="auto"/>
          <w:sz w:val="24"/>
          <w:szCs w:val="24"/>
          <w:highlight w:val="none"/>
        </w:rPr>
      </w:pPr>
      <w:r>
        <w:rPr>
          <w:rFonts w:hint="eastAsia" w:ascii="宋体" w:hAnsi="宋体" w:cs="宋体"/>
          <w:color w:val="auto"/>
          <w:spacing w:val="4"/>
          <w:sz w:val="24"/>
          <w:szCs w:val="24"/>
          <w:highlight w:val="none"/>
        </w:rPr>
        <w:br w:type="page"/>
      </w:r>
      <w:bookmarkStart w:id="33" w:name="_Toc1230"/>
      <w:bookmarkStart w:id="34" w:name="_Toc12255"/>
      <w:bookmarkStart w:id="35" w:name="_Toc28280"/>
      <w:r>
        <w:rPr>
          <w:rFonts w:hint="eastAsia" w:ascii="宋体" w:hAnsi="宋体" w:cs="宋体"/>
          <w:b/>
          <w:color w:val="auto"/>
          <w:sz w:val="24"/>
          <w:szCs w:val="24"/>
          <w:highlight w:val="none"/>
        </w:rPr>
        <w:t>附件：</w:t>
      </w:r>
      <w:bookmarkEnd w:id="33"/>
      <w:bookmarkEnd w:id="34"/>
      <w:bookmarkEnd w:id="35"/>
      <w:r>
        <w:rPr>
          <w:rFonts w:hint="eastAsia" w:ascii="宋体" w:hAnsi="宋体" w:cs="宋体"/>
          <w:b/>
          <w:color w:val="auto"/>
          <w:sz w:val="24"/>
          <w:szCs w:val="24"/>
          <w:highlight w:val="none"/>
        </w:rPr>
        <w:t>格式</w:t>
      </w:r>
    </w:p>
    <w:p>
      <w:pPr>
        <w:spacing w:before="312" w:beforeLines="100"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供应商具有履行本合同所必需的设备和专业技术</w:t>
      </w: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能力的说明及承诺</w:t>
      </w:r>
    </w:p>
    <w:p>
      <w:pPr>
        <w:spacing w:before="468" w:beforeLines="150" w:line="360" w:lineRule="auto"/>
        <w:jc w:val="left"/>
        <w:rPr>
          <w:rFonts w:ascii="宋体" w:hAnsi="宋体" w:cs="宋体"/>
          <w:color w:val="auto"/>
          <w:spacing w:val="4"/>
          <w:szCs w:val="21"/>
          <w:highlight w:val="none"/>
          <w:u w:val="single"/>
        </w:rPr>
      </w:pPr>
      <w:r>
        <w:rPr>
          <w:rFonts w:hint="eastAsia" w:ascii="宋体" w:hAnsi="宋体" w:cs="宋体"/>
          <w:color w:val="auto"/>
          <w:spacing w:val="4"/>
          <w:szCs w:val="21"/>
          <w:highlight w:val="none"/>
        </w:rPr>
        <w:t>致：</w:t>
      </w:r>
      <w:r>
        <w:rPr>
          <w:rFonts w:hint="eastAsia" w:ascii="宋体" w:hAnsi="宋体" w:cs="宋体"/>
          <w:color w:val="auto"/>
          <w:spacing w:val="4"/>
          <w:szCs w:val="21"/>
          <w:highlight w:val="none"/>
          <w:u w:val="single"/>
        </w:rPr>
        <w:t>（采购人名称）、（采购代理机构名称）</w:t>
      </w:r>
    </w:p>
    <w:p>
      <w:pPr>
        <w:spacing w:before="312" w:beforeLines="100" w:line="360" w:lineRule="auto"/>
        <w:ind w:firstLine="436" w:firstLineChars="200"/>
        <w:jc w:val="left"/>
        <w:rPr>
          <w:rFonts w:ascii="宋体" w:hAnsi="宋体" w:cs="宋体"/>
          <w:color w:val="auto"/>
          <w:spacing w:val="4"/>
          <w:szCs w:val="21"/>
          <w:highlight w:val="none"/>
        </w:rPr>
      </w:pPr>
      <w:r>
        <w:rPr>
          <w:rFonts w:hint="eastAsia" w:ascii="宋体" w:hAnsi="宋体" w:cs="宋体"/>
          <w:color w:val="auto"/>
          <w:spacing w:val="4"/>
          <w:szCs w:val="21"/>
          <w:highlight w:val="none"/>
        </w:rPr>
        <w:t>（</w:t>
      </w:r>
      <w:r>
        <w:rPr>
          <w:rFonts w:hint="eastAsia" w:ascii="宋体" w:hAnsi="宋体" w:cs="宋体"/>
          <w:color w:val="auto"/>
          <w:spacing w:val="4"/>
          <w:szCs w:val="21"/>
          <w:highlight w:val="none"/>
          <w:u w:val="single"/>
        </w:rPr>
        <w:t xml:space="preserve"> 公司名称 </w:t>
      </w:r>
      <w:r>
        <w:rPr>
          <w:rFonts w:hint="eastAsia" w:ascii="宋体" w:hAnsi="宋体" w:cs="宋体"/>
          <w:color w:val="auto"/>
          <w:spacing w:val="4"/>
          <w:szCs w:val="21"/>
          <w:highlight w:val="none"/>
        </w:rPr>
        <w:t>）于</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年</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月</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日在中华人民共和国境内（</w:t>
      </w:r>
      <w:r>
        <w:rPr>
          <w:rFonts w:hint="eastAsia" w:ascii="宋体" w:hAnsi="宋体" w:cs="宋体"/>
          <w:color w:val="auto"/>
          <w:spacing w:val="4"/>
          <w:szCs w:val="21"/>
          <w:highlight w:val="none"/>
          <w:u w:val="single"/>
        </w:rPr>
        <w:t xml:space="preserve"> 详细注册地址 </w:t>
      </w:r>
      <w:r>
        <w:rPr>
          <w:rFonts w:hint="eastAsia" w:ascii="宋体" w:hAnsi="宋体" w:cs="宋体"/>
          <w:color w:val="auto"/>
          <w:spacing w:val="4"/>
          <w:szCs w:val="21"/>
          <w:highlight w:val="none"/>
        </w:rPr>
        <w:t>）合法注册并经营，公司主营业务为（</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），营业（生产经营）面积为（</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），现有员工数量为（</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），其中与履行本合同相关的专业技术人员有（</w:t>
      </w:r>
      <w:r>
        <w:rPr>
          <w:rFonts w:hint="eastAsia" w:ascii="宋体" w:hAnsi="宋体" w:cs="宋体"/>
          <w:color w:val="auto"/>
          <w:spacing w:val="4"/>
          <w:szCs w:val="21"/>
          <w:highlight w:val="none"/>
          <w:u w:val="single"/>
        </w:rPr>
        <w:t>专业能力、数量</w:t>
      </w:r>
      <w:r>
        <w:rPr>
          <w:rFonts w:hint="eastAsia" w:ascii="宋体" w:hAnsi="宋体" w:cs="宋体"/>
          <w:color w:val="auto"/>
          <w:spacing w:val="4"/>
          <w:szCs w:val="21"/>
          <w:highlight w:val="none"/>
        </w:rPr>
        <w:t>），本公司郑重承诺，具有履行本合同所必需的设备和专业技术能力。</w:t>
      </w:r>
    </w:p>
    <w:p>
      <w:pPr>
        <w:spacing w:line="360" w:lineRule="auto"/>
        <w:jc w:val="left"/>
        <w:rPr>
          <w:rFonts w:ascii="宋体" w:hAnsi="宋体" w:cs="宋体"/>
          <w:color w:val="auto"/>
          <w:spacing w:val="4"/>
          <w:szCs w:val="21"/>
          <w:highlight w:val="none"/>
        </w:rPr>
      </w:pPr>
    </w:p>
    <w:p>
      <w:pPr>
        <w:spacing w:line="480" w:lineRule="auto"/>
        <w:jc w:val="left"/>
        <w:rPr>
          <w:rFonts w:ascii="宋体" w:hAnsi="宋体" w:cs="宋体"/>
          <w:color w:val="auto"/>
          <w:spacing w:val="4"/>
          <w:sz w:val="24"/>
          <w:szCs w:val="24"/>
          <w:highlight w:val="none"/>
          <w:u w:val="single"/>
        </w:rPr>
      </w:pPr>
    </w:p>
    <w:p>
      <w:pPr>
        <w:spacing w:line="480" w:lineRule="auto"/>
        <w:jc w:val="left"/>
        <w:rPr>
          <w:rFonts w:ascii="宋体" w:hAnsi="宋体" w:cs="宋体"/>
          <w:color w:val="auto"/>
          <w:spacing w:val="4"/>
          <w:sz w:val="24"/>
          <w:szCs w:val="24"/>
          <w:highlight w:val="none"/>
          <w:u w:val="single"/>
        </w:rPr>
      </w:pPr>
    </w:p>
    <w:p>
      <w:pPr>
        <w:spacing w:line="480" w:lineRule="auto"/>
        <w:jc w:val="left"/>
        <w:rPr>
          <w:rFonts w:ascii="宋体" w:hAnsi="宋体" w:cs="宋体"/>
          <w:color w:val="auto"/>
          <w:spacing w:val="4"/>
          <w:sz w:val="24"/>
          <w:szCs w:val="24"/>
          <w:highlight w:val="none"/>
          <w:u w:val="single"/>
        </w:rPr>
      </w:pPr>
    </w:p>
    <w:p>
      <w:pPr>
        <w:spacing w:before="156" w:beforeLines="50" w:after="156" w:afterLines="50" w:line="360" w:lineRule="auto"/>
        <w:ind w:firstLine="2243" w:firstLineChars="1029"/>
        <w:jc w:val="left"/>
        <w:rPr>
          <w:rFonts w:ascii="宋体" w:hAnsi="宋体" w:cs="宋体"/>
          <w:color w:val="auto"/>
          <w:spacing w:val="14"/>
          <w:kern w:val="0"/>
          <w:szCs w:val="21"/>
          <w:highlight w:val="none"/>
        </w:rPr>
      </w:pPr>
      <w:r>
        <w:rPr>
          <w:rFonts w:hint="eastAsia" w:ascii="宋体" w:hAnsi="宋体" w:cs="宋体"/>
          <w:color w:val="auto"/>
          <w:spacing w:val="4"/>
          <w:szCs w:val="21"/>
          <w:highlight w:val="none"/>
        </w:rPr>
        <w:t>供应商名称（盖章）：</w:t>
      </w:r>
      <w:r>
        <w:rPr>
          <w:rFonts w:hint="eastAsia" w:ascii="宋体" w:hAnsi="宋体" w:cs="宋体"/>
          <w:color w:val="auto"/>
          <w:spacing w:val="4"/>
          <w:szCs w:val="21"/>
          <w:highlight w:val="none"/>
          <w:u w:val="single"/>
        </w:rPr>
        <w:t xml:space="preserve">                       </w:t>
      </w:r>
      <w:r>
        <w:rPr>
          <w:rFonts w:hint="eastAsia" w:ascii="宋体" w:hAnsi="宋体" w:cs="宋体"/>
          <w:color w:val="auto"/>
          <w:spacing w:val="14"/>
          <w:kern w:val="0"/>
          <w:szCs w:val="21"/>
          <w:highlight w:val="none"/>
          <w:u w:val="single"/>
        </w:rPr>
        <w:t>（单位全称）</w:t>
      </w:r>
    </w:p>
    <w:p>
      <w:pPr>
        <w:spacing w:before="156" w:beforeLines="50" w:after="156" w:afterLines="50" w:line="360" w:lineRule="auto"/>
        <w:ind w:firstLine="2243" w:firstLineChars="1029"/>
        <w:jc w:val="left"/>
        <w:rPr>
          <w:rFonts w:ascii="宋体" w:hAnsi="宋体" w:cs="宋体"/>
          <w:color w:val="auto"/>
          <w:spacing w:val="4"/>
          <w:szCs w:val="21"/>
          <w:highlight w:val="none"/>
        </w:rPr>
      </w:pPr>
      <w:r>
        <w:rPr>
          <w:rFonts w:hint="eastAsia" w:ascii="宋体" w:hAnsi="宋体" w:cs="宋体"/>
          <w:color w:val="auto"/>
          <w:spacing w:val="4"/>
          <w:szCs w:val="21"/>
          <w:highlight w:val="none"/>
        </w:rPr>
        <w:t>法定代表人或授权代表（签字或盖章）：</w:t>
      </w:r>
      <w:r>
        <w:rPr>
          <w:rFonts w:hint="eastAsia" w:ascii="宋体" w:hAnsi="宋体" w:cs="宋体"/>
          <w:color w:val="auto"/>
          <w:spacing w:val="4"/>
          <w:szCs w:val="21"/>
          <w:highlight w:val="none"/>
          <w:u w:val="single"/>
        </w:rPr>
        <w:t xml:space="preserve">                   </w:t>
      </w:r>
    </w:p>
    <w:p>
      <w:pPr>
        <w:spacing w:before="156" w:beforeLines="50" w:after="156" w:afterLines="50" w:line="360" w:lineRule="auto"/>
        <w:jc w:val="center"/>
        <w:rPr>
          <w:rFonts w:ascii="宋体" w:hAnsi="宋体" w:cs="宋体"/>
          <w:color w:val="auto"/>
          <w:spacing w:val="4"/>
          <w:sz w:val="24"/>
          <w:szCs w:val="24"/>
          <w:highlight w:val="none"/>
        </w:rPr>
      </w:pPr>
      <w:r>
        <w:rPr>
          <w:rFonts w:hint="eastAsia" w:ascii="宋体" w:hAnsi="宋体" w:cs="宋体"/>
          <w:color w:val="auto"/>
          <w:spacing w:val="4"/>
          <w:szCs w:val="21"/>
          <w:highlight w:val="none"/>
        </w:rPr>
        <w:t xml:space="preserve">                                                 日期：</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年</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月</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日</w:t>
      </w:r>
    </w:p>
    <w:p>
      <w:pPr>
        <w:spacing w:before="156" w:beforeLines="50" w:after="156" w:afterLines="50" w:line="360" w:lineRule="auto"/>
        <w:jc w:val="left"/>
        <w:rPr>
          <w:rFonts w:ascii="宋体" w:hAnsi="宋体"/>
          <w:b/>
          <w:color w:val="auto"/>
          <w:sz w:val="44"/>
          <w:szCs w:val="44"/>
          <w:highlight w:val="none"/>
        </w:rPr>
      </w:pPr>
      <w:r>
        <w:rPr>
          <w:rFonts w:ascii="宋体" w:hAnsi="宋体"/>
          <w:color w:val="auto"/>
          <w:spacing w:val="4"/>
          <w:sz w:val="24"/>
          <w:szCs w:val="24"/>
          <w:highlight w:val="none"/>
        </w:rPr>
        <w:br w:type="page"/>
      </w:r>
    </w:p>
    <w:p>
      <w:pPr>
        <w:jc w:val="center"/>
        <w:rPr>
          <w:rFonts w:ascii="宋体" w:hAnsi="宋体"/>
          <w:b/>
          <w:color w:val="auto"/>
          <w:sz w:val="44"/>
          <w:szCs w:val="44"/>
          <w:highlight w:val="none"/>
        </w:rPr>
      </w:pPr>
    </w:p>
    <w:p>
      <w:pPr>
        <w:jc w:val="center"/>
        <w:rPr>
          <w:rFonts w:ascii="宋体" w:hAnsi="宋体"/>
          <w:b/>
          <w:color w:val="auto"/>
          <w:sz w:val="44"/>
          <w:szCs w:val="44"/>
          <w:highlight w:val="none"/>
        </w:rPr>
      </w:pPr>
      <w:r>
        <w:rPr>
          <w:rFonts w:hint="eastAsia" w:ascii="宋体" w:hAnsi="宋体"/>
          <w:b/>
          <w:color w:val="auto"/>
          <w:sz w:val="44"/>
          <w:szCs w:val="44"/>
          <w:highlight w:val="none"/>
        </w:rPr>
        <w:t>政府采购货物项目</w:t>
      </w:r>
    </w:p>
    <w:p>
      <w:pPr>
        <w:jc w:val="center"/>
        <w:rPr>
          <w:rFonts w:ascii="宋体" w:hAnsi="宋体"/>
          <w:b/>
          <w:color w:val="auto"/>
          <w:sz w:val="36"/>
          <w:szCs w:val="36"/>
          <w:highlight w:val="none"/>
        </w:rPr>
      </w:pPr>
    </w:p>
    <w:p>
      <w:pPr>
        <w:jc w:val="center"/>
        <w:rPr>
          <w:rFonts w:ascii="宋体" w:hAnsi="宋体"/>
          <w:b/>
          <w:color w:val="auto"/>
          <w:sz w:val="44"/>
          <w:szCs w:val="44"/>
          <w:highlight w:val="none"/>
        </w:rPr>
      </w:pPr>
    </w:p>
    <w:p>
      <w:pPr>
        <w:jc w:val="center"/>
        <w:rPr>
          <w:rFonts w:ascii="宋体" w:hAnsi="宋体"/>
          <w:b/>
          <w:color w:val="auto"/>
          <w:sz w:val="36"/>
          <w:szCs w:val="36"/>
          <w:highlight w:val="none"/>
        </w:rPr>
      </w:pPr>
    </w:p>
    <w:p>
      <w:pPr>
        <w:jc w:val="center"/>
        <w:rPr>
          <w:rFonts w:ascii="宋体" w:hAnsi="宋体"/>
          <w:b/>
          <w:color w:val="auto"/>
          <w:sz w:val="84"/>
          <w:szCs w:val="84"/>
          <w:highlight w:val="none"/>
        </w:rPr>
      </w:pPr>
      <w:r>
        <w:rPr>
          <w:rFonts w:hint="eastAsia" w:ascii="宋体" w:hAnsi="宋体"/>
          <w:b/>
          <w:color w:val="auto"/>
          <w:sz w:val="84"/>
          <w:szCs w:val="84"/>
          <w:highlight w:val="none"/>
        </w:rPr>
        <w:t>谈判响应文件</w:t>
      </w:r>
    </w:p>
    <w:p>
      <w:pPr>
        <w:jc w:val="center"/>
        <w:rPr>
          <w:rFonts w:ascii="宋体" w:hAnsi="宋体"/>
          <w:b/>
          <w:color w:val="auto"/>
          <w:sz w:val="36"/>
          <w:szCs w:val="36"/>
          <w:highlight w:val="none"/>
        </w:rPr>
      </w:pPr>
    </w:p>
    <w:p>
      <w:pPr>
        <w:pStyle w:val="4"/>
        <w:spacing w:before="0" w:after="0" w:line="360" w:lineRule="auto"/>
        <w:jc w:val="center"/>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（技术和商务部分）</w:t>
      </w:r>
    </w:p>
    <w:p>
      <w:pPr>
        <w:jc w:val="center"/>
        <w:rPr>
          <w:rFonts w:ascii="宋体" w:hAnsi="宋体"/>
          <w:b/>
          <w:color w:val="auto"/>
          <w:sz w:val="36"/>
          <w:szCs w:val="36"/>
          <w:highlight w:val="none"/>
        </w:rPr>
      </w:pPr>
    </w:p>
    <w:p>
      <w:pPr>
        <w:jc w:val="center"/>
        <w:rPr>
          <w:rFonts w:ascii="宋体" w:hAnsi="宋体"/>
          <w:color w:val="auto"/>
          <w:sz w:val="36"/>
          <w:szCs w:val="36"/>
          <w:highlight w:val="none"/>
        </w:rPr>
      </w:pPr>
    </w:p>
    <w:p>
      <w:pPr>
        <w:tabs>
          <w:tab w:val="left" w:pos="2628"/>
        </w:tabs>
        <w:spacing w:line="360" w:lineRule="auto"/>
        <w:ind w:left="2498" w:leftChars="401" w:hanging="1656" w:hangingChars="550"/>
        <w:jc w:val="left"/>
        <w:rPr>
          <w:rFonts w:ascii="宋体" w:hAnsi="宋体"/>
          <w:b/>
          <w:bCs/>
          <w:color w:val="auto"/>
          <w:sz w:val="30"/>
          <w:szCs w:val="30"/>
          <w:highlight w:val="none"/>
        </w:rPr>
      </w:pPr>
      <w:r>
        <w:rPr>
          <w:rFonts w:hint="eastAsia" w:ascii="宋体" w:hAnsi="宋体"/>
          <w:b/>
          <w:bCs/>
          <w:color w:val="auto"/>
          <w:sz w:val="30"/>
          <w:szCs w:val="30"/>
          <w:highlight w:val="none"/>
        </w:rPr>
        <w:t>项目名称：</w:t>
      </w:r>
    </w:p>
    <w:p>
      <w:pPr>
        <w:tabs>
          <w:tab w:val="left" w:pos="2628"/>
        </w:tabs>
        <w:spacing w:line="360" w:lineRule="auto"/>
        <w:ind w:left="843"/>
        <w:jc w:val="left"/>
        <w:rPr>
          <w:rFonts w:ascii="宋体" w:hAnsi="宋体"/>
          <w:b/>
          <w:bCs/>
          <w:color w:val="auto"/>
          <w:sz w:val="30"/>
          <w:szCs w:val="30"/>
          <w:highlight w:val="none"/>
        </w:rPr>
      </w:pPr>
      <w:r>
        <w:rPr>
          <w:rFonts w:hint="eastAsia" w:ascii="宋体" w:hAnsi="宋体"/>
          <w:b/>
          <w:bCs/>
          <w:color w:val="auto"/>
          <w:sz w:val="30"/>
          <w:szCs w:val="30"/>
          <w:highlight w:val="none"/>
        </w:rPr>
        <w:t>项目编号：</w:t>
      </w:r>
    </w:p>
    <w:p>
      <w:pPr>
        <w:jc w:val="center"/>
        <w:rPr>
          <w:rFonts w:ascii="宋体" w:hAnsi="宋体"/>
          <w:color w:val="auto"/>
          <w:sz w:val="44"/>
          <w:szCs w:val="44"/>
          <w:highlight w:val="none"/>
        </w:rPr>
      </w:pPr>
    </w:p>
    <w:p>
      <w:pPr>
        <w:jc w:val="center"/>
        <w:rPr>
          <w:rFonts w:ascii="宋体" w:hAnsi="宋体"/>
          <w:color w:val="auto"/>
          <w:sz w:val="44"/>
          <w:szCs w:val="44"/>
          <w:highlight w:val="none"/>
        </w:rPr>
      </w:pPr>
    </w:p>
    <w:p>
      <w:pPr>
        <w:spacing w:line="360" w:lineRule="auto"/>
        <w:jc w:val="center"/>
        <w:rPr>
          <w:rFonts w:ascii="宋体" w:hAnsi="宋体"/>
          <w:b/>
          <w:color w:val="auto"/>
          <w:sz w:val="30"/>
          <w:szCs w:val="30"/>
          <w:highlight w:val="none"/>
        </w:rPr>
      </w:pPr>
      <w:r>
        <w:rPr>
          <w:rFonts w:hint="eastAsia" w:ascii="宋体" w:hAnsi="宋体"/>
          <w:b/>
          <w:color w:val="auto"/>
          <w:sz w:val="30"/>
          <w:szCs w:val="30"/>
          <w:highlight w:val="none"/>
        </w:rPr>
        <w:t>供应商名称：</w:t>
      </w:r>
      <w:r>
        <w:rPr>
          <w:rFonts w:hint="eastAsia" w:ascii="宋体" w:hAnsi="宋体"/>
          <w:b/>
          <w:color w:val="auto"/>
          <w:sz w:val="30"/>
          <w:szCs w:val="30"/>
          <w:highlight w:val="none"/>
          <w:u w:val="single"/>
        </w:rPr>
        <w:t xml:space="preserve">                   </w:t>
      </w:r>
      <w:r>
        <w:rPr>
          <w:rFonts w:hint="eastAsia" w:ascii="宋体" w:hAnsi="宋体"/>
          <w:b/>
          <w:color w:val="auto"/>
          <w:sz w:val="30"/>
          <w:szCs w:val="30"/>
          <w:highlight w:val="none"/>
        </w:rPr>
        <w:t>（公章）</w:t>
      </w:r>
    </w:p>
    <w:p>
      <w:pPr>
        <w:spacing w:before="156" w:beforeLines="50" w:line="360" w:lineRule="auto"/>
        <w:ind w:firstLine="1205" w:firstLineChars="400"/>
        <w:rPr>
          <w:rFonts w:ascii="宋体" w:hAnsi="宋体"/>
          <w:b/>
          <w:color w:val="auto"/>
          <w:sz w:val="30"/>
          <w:szCs w:val="30"/>
          <w:highlight w:val="none"/>
        </w:rPr>
      </w:pPr>
      <w:r>
        <w:rPr>
          <w:rFonts w:hint="eastAsia" w:ascii="宋体" w:hAnsi="宋体"/>
          <w:b/>
          <w:color w:val="auto"/>
          <w:sz w:val="30"/>
          <w:szCs w:val="30"/>
          <w:highlight w:val="none"/>
        </w:rPr>
        <w:t>日      期：</w:t>
      </w:r>
      <w:r>
        <w:rPr>
          <w:rFonts w:hint="eastAsia" w:ascii="宋体" w:hAnsi="宋体"/>
          <w:b/>
          <w:color w:val="auto"/>
          <w:sz w:val="30"/>
          <w:szCs w:val="30"/>
          <w:highlight w:val="none"/>
          <w:u w:val="single"/>
        </w:rPr>
        <w:t xml:space="preserve">        </w:t>
      </w:r>
      <w:r>
        <w:rPr>
          <w:rFonts w:hint="eastAsia" w:ascii="宋体" w:hAnsi="宋体"/>
          <w:b/>
          <w:color w:val="auto"/>
          <w:sz w:val="30"/>
          <w:szCs w:val="30"/>
          <w:highlight w:val="none"/>
        </w:rPr>
        <w:t>年</w:t>
      </w:r>
      <w:r>
        <w:rPr>
          <w:rFonts w:hint="eastAsia" w:ascii="宋体" w:hAnsi="宋体"/>
          <w:b/>
          <w:color w:val="auto"/>
          <w:sz w:val="30"/>
          <w:szCs w:val="30"/>
          <w:highlight w:val="none"/>
          <w:u w:val="single"/>
        </w:rPr>
        <w:t xml:space="preserve">      </w:t>
      </w:r>
      <w:r>
        <w:rPr>
          <w:rFonts w:hint="eastAsia" w:ascii="宋体" w:hAnsi="宋体"/>
          <w:b/>
          <w:color w:val="auto"/>
          <w:sz w:val="30"/>
          <w:szCs w:val="30"/>
          <w:highlight w:val="none"/>
        </w:rPr>
        <w:t>月</w:t>
      </w:r>
      <w:r>
        <w:rPr>
          <w:rFonts w:hint="eastAsia" w:ascii="宋体" w:hAnsi="宋体"/>
          <w:b/>
          <w:color w:val="auto"/>
          <w:sz w:val="30"/>
          <w:szCs w:val="30"/>
          <w:highlight w:val="none"/>
          <w:u w:val="single"/>
        </w:rPr>
        <w:t xml:space="preserve">      </w:t>
      </w:r>
      <w:r>
        <w:rPr>
          <w:rFonts w:hint="eastAsia" w:ascii="宋体" w:hAnsi="宋体"/>
          <w:b/>
          <w:color w:val="auto"/>
          <w:sz w:val="30"/>
          <w:szCs w:val="30"/>
          <w:highlight w:val="none"/>
        </w:rPr>
        <w:t>日</w:t>
      </w:r>
    </w:p>
    <w:p>
      <w:pPr>
        <w:spacing w:line="500" w:lineRule="exact"/>
        <w:jc w:val="center"/>
        <w:rPr>
          <w:rFonts w:ascii="宋体" w:hAnsi="宋体"/>
          <w:b/>
          <w:bCs/>
          <w:color w:val="auto"/>
          <w:spacing w:val="4"/>
          <w:sz w:val="30"/>
          <w:szCs w:val="30"/>
          <w:highlight w:val="none"/>
        </w:rPr>
      </w:pPr>
    </w:p>
    <w:p>
      <w:pPr>
        <w:spacing w:line="500" w:lineRule="exact"/>
        <w:jc w:val="center"/>
        <w:rPr>
          <w:rFonts w:ascii="宋体" w:hAnsi="宋体"/>
          <w:b/>
          <w:bCs/>
          <w:color w:val="auto"/>
          <w:spacing w:val="4"/>
          <w:sz w:val="36"/>
          <w:szCs w:val="36"/>
          <w:highlight w:val="none"/>
        </w:rPr>
      </w:pPr>
    </w:p>
    <w:p>
      <w:pPr>
        <w:spacing w:before="312" w:beforeLines="100" w:after="312" w:afterLines="100" w:line="360" w:lineRule="auto"/>
        <w:jc w:val="center"/>
        <w:rPr>
          <w:rFonts w:ascii="宋体" w:hAnsi="宋体"/>
          <w:b/>
          <w:bCs/>
          <w:color w:val="auto"/>
          <w:spacing w:val="4"/>
          <w:sz w:val="36"/>
          <w:szCs w:val="36"/>
          <w:highlight w:val="none"/>
        </w:rPr>
      </w:pPr>
      <w:r>
        <w:rPr>
          <w:rFonts w:ascii="宋体" w:hAnsi="宋体"/>
          <w:b/>
          <w:color w:val="auto"/>
          <w:sz w:val="36"/>
          <w:szCs w:val="36"/>
          <w:highlight w:val="none"/>
        </w:rPr>
        <w:br w:type="page"/>
      </w:r>
      <w:r>
        <w:rPr>
          <w:rFonts w:hint="eastAsia" w:ascii="宋体" w:hAnsi="宋体"/>
          <w:b/>
          <w:bCs/>
          <w:color w:val="auto"/>
          <w:spacing w:val="4"/>
          <w:sz w:val="36"/>
          <w:szCs w:val="36"/>
          <w:highlight w:val="none"/>
        </w:rPr>
        <w:t>目 录</w:t>
      </w:r>
    </w:p>
    <w:p>
      <w:pPr>
        <w:spacing w:before="240" w:line="360" w:lineRule="auto"/>
        <w:ind w:firstLine="992" w:firstLineChars="400"/>
        <w:rPr>
          <w:rFonts w:ascii="宋体" w:hAnsi="宋体"/>
          <w:color w:val="auto"/>
          <w:spacing w:val="4"/>
          <w:sz w:val="24"/>
          <w:szCs w:val="24"/>
          <w:highlight w:val="none"/>
        </w:rPr>
      </w:pPr>
      <w:r>
        <w:rPr>
          <w:rFonts w:hint="eastAsia" w:ascii="宋体" w:hAnsi="宋体"/>
          <w:color w:val="auto"/>
          <w:spacing w:val="4"/>
          <w:sz w:val="24"/>
          <w:szCs w:val="24"/>
          <w:highlight w:val="none"/>
        </w:rPr>
        <w:t>（一）谈判响应书</w:t>
      </w:r>
    </w:p>
    <w:p>
      <w:pPr>
        <w:spacing w:before="240" w:line="360" w:lineRule="auto"/>
        <w:ind w:firstLine="992" w:firstLineChars="400"/>
        <w:rPr>
          <w:rFonts w:ascii="宋体" w:hAnsi="宋体"/>
          <w:color w:val="auto"/>
          <w:spacing w:val="4"/>
          <w:sz w:val="24"/>
          <w:szCs w:val="24"/>
          <w:highlight w:val="none"/>
        </w:rPr>
      </w:pPr>
      <w:r>
        <w:rPr>
          <w:rFonts w:hint="eastAsia" w:ascii="宋体" w:hAnsi="宋体"/>
          <w:color w:val="auto"/>
          <w:spacing w:val="4"/>
          <w:sz w:val="24"/>
          <w:szCs w:val="24"/>
          <w:highlight w:val="none"/>
        </w:rPr>
        <w:t>（二）谈判报价表</w:t>
      </w:r>
    </w:p>
    <w:p>
      <w:pPr>
        <w:spacing w:before="240" w:line="360" w:lineRule="auto"/>
        <w:ind w:firstLine="992" w:firstLineChars="400"/>
        <w:rPr>
          <w:rFonts w:ascii="宋体" w:hAnsi="宋体"/>
          <w:color w:val="auto"/>
          <w:spacing w:val="4"/>
          <w:sz w:val="24"/>
          <w:szCs w:val="24"/>
          <w:highlight w:val="none"/>
        </w:rPr>
      </w:pPr>
      <w:r>
        <w:rPr>
          <w:rFonts w:hint="eastAsia" w:ascii="宋体" w:hAnsi="宋体"/>
          <w:color w:val="auto"/>
          <w:spacing w:val="4"/>
          <w:sz w:val="24"/>
          <w:szCs w:val="24"/>
          <w:highlight w:val="none"/>
        </w:rPr>
        <w:t>（三）谈判报价方案说明书</w:t>
      </w:r>
    </w:p>
    <w:p>
      <w:pPr>
        <w:pStyle w:val="3"/>
        <w:spacing w:before="312" w:beforeLines="100" w:after="312" w:afterLines="100" w:line="360" w:lineRule="auto"/>
        <w:rPr>
          <w:rFonts w:ascii="宋体" w:hAnsi="宋体"/>
          <w:color w:val="auto"/>
          <w:spacing w:val="4"/>
          <w:sz w:val="32"/>
          <w:szCs w:val="32"/>
          <w:highlight w:val="none"/>
        </w:rPr>
      </w:pPr>
      <w:r>
        <w:rPr>
          <w:rFonts w:ascii="宋体" w:hAnsi="宋体"/>
          <w:color w:val="auto"/>
          <w:highlight w:val="none"/>
        </w:rPr>
        <w:br w:type="page"/>
      </w:r>
      <w:bookmarkStart w:id="36" w:name="_Toc79002901"/>
      <w:r>
        <w:rPr>
          <w:rFonts w:hint="eastAsia" w:ascii="宋体" w:hAnsi="宋体" w:cs="宋体"/>
          <w:b/>
          <w:color w:val="auto"/>
          <w:spacing w:val="4"/>
          <w:sz w:val="36"/>
          <w:szCs w:val="36"/>
          <w:highlight w:val="none"/>
        </w:rPr>
        <w:t>一、谈判响应书</w:t>
      </w:r>
      <w:bookmarkEnd w:id="36"/>
    </w:p>
    <w:p>
      <w:pPr>
        <w:spacing w:line="360" w:lineRule="auto"/>
        <w:rPr>
          <w:rFonts w:ascii="宋体" w:hAnsi="宋体"/>
          <w:color w:val="auto"/>
          <w:spacing w:val="4"/>
          <w:szCs w:val="21"/>
          <w:highlight w:val="none"/>
        </w:rPr>
      </w:pPr>
      <w:r>
        <w:rPr>
          <w:rFonts w:hint="eastAsia" w:ascii="宋体" w:hAnsi="宋体"/>
          <w:color w:val="auto"/>
          <w:spacing w:val="4"/>
          <w:szCs w:val="21"/>
          <w:highlight w:val="none"/>
        </w:rPr>
        <w:t>致：西北（陕西）国际招标有限公司</w:t>
      </w:r>
    </w:p>
    <w:p>
      <w:pPr>
        <w:spacing w:line="360" w:lineRule="auto"/>
        <w:ind w:firstLine="436" w:firstLineChars="200"/>
        <w:rPr>
          <w:rFonts w:ascii="宋体" w:hAnsi="宋体"/>
          <w:color w:val="auto"/>
          <w:spacing w:val="4"/>
          <w:szCs w:val="21"/>
          <w:highlight w:val="none"/>
        </w:rPr>
      </w:pPr>
      <w:r>
        <w:rPr>
          <w:rFonts w:hint="eastAsia" w:ascii="宋体" w:hAnsi="宋体"/>
          <w:color w:val="auto"/>
          <w:spacing w:val="4"/>
          <w:szCs w:val="21"/>
          <w:highlight w:val="none"/>
        </w:rPr>
        <w:t>根据贵方为</w:t>
      </w:r>
      <w:r>
        <w:rPr>
          <w:rFonts w:hint="eastAsia" w:ascii="宋体" w:hAnsi="宋体"/>
          <w:color w:val="auto"/>
          <w:spacing w:val="4"/>
          <w:szCs w:val="21"/>
          <w:highlight w:val="none"/>
          <w:u w:val="single"/>
        </w:rPr>
        <w:t>（ 项目名称 ）</w:t>
      </w:r>
      <w:r>
        <w:rPr>
          <w:rFonts w:hint="eastAsia" w:ascii="宋体" w:hAnsi="宋体"/>
          <w:color w:val="auto"/>
          <w:spacing w:val="4"/>
          <w:szCs w:val="21"/>
          <w:highlight w:val="none"/>
        </w:rPr>
        <w:t>项目货物及服务采购的竞争性谈判邀请</w:t>
      </w:r>
      <w:r>
        <w:rPr>
          <w:rFonts w:hint="eastAsia" w:ascii="宋体" w:hAnsi="宋体"/>
          <w:color w:val="auto"/>
          <w:spacing w:val="4"/>
          <w:szCs w:val="21"/>
          <w:highlight w:val="none"/>
          <w:u w:val="single"/>
        </w:rPr>
        <w:t>( 项目编号 )</w:t>
      </w:r>
      <w:r>
        <w:rPr>
          <w:rFonts w:hint="eastAsia" w:ascii="宋体" w:hAnsi="宋体"/>
          <w:color w:val="auto"/>
          <w:spacing w:val="4"/>
          <w:szCs w:val="21"/>
          <w:highlight w:val="none"/>
        </w:rPr>
        <w:t>，签字代表</w:t>
      </w:r>
      <w:r>
        <w:rPr>
          <w:rFonts w:hint="eastAsia" w:ascii="宋体" w:hAnsi="宋体"/>
          <w:color w:val="auto"/>
          <w:spacing w:val="4"/>
          <w:szCs w:val="21"/>
          <w:highlight w:val="none"/>
          <w:u w:val="single"/>
        </w:rPr>
        <w:t>（ 姓名、职务 ）</w:t>
      </w:r>
      <w:r>
        <w:rPr>
          <w:rFonts w:hint="eastAsia" w:ascii="宋体" w:hAnsi="宋体"/>
          <w:color w:val="auto"/>
          <w:spacing w:val="4"/>
          <w:szCs w:val="21"/>
          <w:highlight w:val="none"/>
        </w:rPr>
        <w:t>经正式授权并代表供应商</w:t>
      </w:r>
      <w:r>
        <w:rPr>
          <w:rFonts w:hint="eastAsia" w:ascii="宋体" w:hAnsi="宋体"/>
          <w:color w:val="auto"/>
          <w:spacing w:val="4"/>
          <w:szCs w:val="21"/>
          <w:highlight w:val="none"/>
          <w:u w:val="single"/>
        </w:rPr>
        <w:t>( 供应商名称、地址 )</w:t>
      </w:r>
      <w:r>
        <w:rPr>
          <w:rFonts w:hint="eastAsia" w:ascii="宋体" w:hAnsi="宋体"/>
          <w:color w:val="auto"/>
          <w:spacing w:val="4"/>
          <w:szCs w:val="21"/>
          <w:highlight w:val="none"/>
        </w:rPr>
        <w:t>提交下述响应文件正本一份及副本二份，电子版一份。</w:t>
      </w:r>
    </w:p>
    <w:p>
      <w:pPr>
        <w:spacing w:line="360" w:lineRule="auto"/>
        <w:ind w:left="20" w:hanging="19" w:hangingChars="9"/>
        <w:rPr>
          <w:rFonts w:ascii="宋体" w:hAnsi="宋体"/>
          <w:color w:val="auto"/>
          <w:spacing w:val="4"/>
          <w:szCs w:val="21"/>
          <w:highlight w:val="none"/>
        </w:rPr>
      </w:pPr>
      <w:r>
        <w:rPr>
          <w:rFonts w:hint="eastAsia" w:ascii="宋体" w:hAnsi="宋体"/>
          <w:color w:val="auto"/>
          <w:spacing w:val="4"/>
          <w:szCs w:val="21"/>
          <w:highlight w:val="none"/>
        </w:rPr>
        <w:t>我方承诺如下：</w:t>
      </w:r>
    </w:p>
    <w:p>
      <w:pPr>
        <w:numPr>
          <w:ilvl w:val="0"/>
          <w:numId w:val="5"/>
        </w:numPr>
        <w:tabs>
          <w:tab w:val="left" w:pos="2160"/>
        </w:tabs>
        <w:spacing w:line="360" w:lineRule="auto"/>
        <w:ind w:left="0" w:firstLine="0"/>
        <w:rPr>
          <w:rFonts w:ascii="宋体" w:hAnsi="宋体"/>
          <w:color w:val="auto"/>
          <w:spacing w:val="4"/>
          <w:szCs w:val="21"/>
          <w:highlight w:val="none"/>
        </w:rPr>
      </w:pPr>
      <w:r>
        <w:rPr>
          <w:rFonts w:hint="eastAsia" w:ascii="宋体" w:hAnsi="宋体"/>
          <w:color w:val="auto"/>
          <w:spacing w:val="4"/>
          <w:szCs w:val="21"/>
          <w:highlight w:val="none"/>
        </w:rPr>
        <w:t>谈判报价</w:t>
      </w:r>
      <w:r>
        <w:rPr>
          <w:rFonts w:hint="eastAsia" w:ascii="宋体" w:hAnsi="宋体"/>
          <w:color w:val="auto"/>
          <w:spacing w:val="4"/>
          <w:szCs w:val="21"/>
          <w:highlight w:val="none"/>
          <w:lang w:eastAsia="zh-CN"/>
        </w:rPr>
        <w:t>，</w:t>
      </w:r>
      <w:r>
        <w:rPr>
          <w:rFonts w:hint="eastAsia" w:ascii="宋体" w:hAnsi="宋体"/>
          <w:color w:val="auto"/>
          <w:spacing w:val="4"/>
          <w:szCs w:val="21"/>
          <w:highlight w:val="none"/>
        </w:rPr>
        <w:t>详见谈判报价一览表</w:t>
      </w:r>
      <w:r>
        <w:rPr>
          <w:rFonts w:hint="eastAsia" w:ascii="宋体" w:hAnsi="宋体"/>
          <w:color w:val="auto"/>
          <w:spacing w:val="4"/>
          <w:szCs w:val="21"/>
          <w:highlight w:val="none"/>
          <w:lang w:val="en-US" w:eastAsia="zh-CN"/>
        </w:rPr>
        <w:t>及最终报价表</w:t>
      </w:r>
      <w:r>
        <w:rPr>
          <w:rFonts w:hint="eastAsia" w:ascii="宋体" w:hAnsi="宋体"/>
          <w:color w:val="auto"/>
          <w:spacing w:val="4"/>
          <w:szCs w:val="21"/>
          <w:highlight w:val="none"/>
        </w:rPr>
        <w:t>。</w:t>
      </w:r>
    </w:p>
    <w:p>
      <w:pPr>
        <w:numPr>
          <w:ilvl w:val="0"/>
          <w:numId w:val="5"/>
        </w:numPr>
        <w:tabs>
          <w:tab w:val="left" w:pos="2160"/>
        </w:tabs>
        <w:spacing w:line="360" w:lineRule="auto"/>
        <w:ind w:left="0" w:firstLine="0"/>
        <w:rPr>
          <w:rFonts w:ascii="宋体" w:hAnsi="宋体"/>
          <w:color w:val="auto"/>
          <w:spacing w:val="4"/>
          <w:szCs w:val="21"/>
          <w:highlight w:val="none"/>
        </w:rPr>
      </w:pPr>
      <w:r>
        <w:rPr>
          <w:rFonts w:hint="eastAsia" w:ascii="宋体" w:hAnsi="宋体"/>
          <w:color w:val="auto"/>
          <w:spacing w:val="4"/>
          <w:szCs w:val="21"/>
          <w:highlight w:val="none"/>
        </w:rPr>
        <w:t>如果成交，我们根据谈判文件的规定，履行合同的责任和义务。</w:t>
      </w:r>
    </w:p>
    <w:p>
      <w:pPr>
        <w:numPr>
          <w:ilvl w:val="0"/>
          <w:numId w:val="5"/>
        </w:numPr>
        <w:tabs>
          <w:tab w:val="left" w:pos="2160"/>
        </w:tabs>
        <w:spacing w:line="360" w:lineRule="auto"/>
        <w:ind w:left="0" w:firstLine="0"/>
        <w:rPr>
          <w:rFonts w:ascii="宋体" w:hAnsi="宋体"/>
          <w:color w:val="auto"/>
          <w:spacing w:val="4"/>
          <w:szCs w:val="21"/>
          <w:highlight w:val="none"/>
        </w:rPr>
      </w:pPr>
      <w:r>
        <w:rPr>
          <w:rFonts w:hint="eastAsia" w:ascii="宋体" w:hAnsi="宋体"/>
          <w:color w:val="auto"/>
          <w:spacing w:val="4"/>
          <w:szCs w:val="21"/>
          <w:highlight w:val="none"/>
        </w:rPr>
        <w:t>我们已详细阅读和审核全部谈判文件（含修改部分，如有的话），及有关附件，我们知道必须放弃提出含糊不清或误解的问题的权利。</w:t>
      </w:r>
    </w:p>
    <w:p>
      <w:pPr>
        <w:numPr>
          <w:ilvl w:val="0"/>
          <w:numId w:val="5"/>
        </w:numPr>
        <w:tabs>
          <w:tab w:val="left" w:pos="2160"/>
        </w:tabs>
        <w:spacing w:line="360" w:lineRule="auto"/>
        <w:ind w:left="0" w:firstLine="0"/>
        <w:rPr>
          <w:rFonts w:ascii="宋体" w:hAnsi="宋体"/>
          <w:color w:val="auto"/>
          <w:spacing w:val="4"/>
          <w:szCs w:val="21"/>
          <w:highlight w:val="none"/>
        </w:rPr>
      </w:pPr>
      <w:r>
        <w:rPr>
          <w:rFonts w:hint="eastAsia" w:ascii="宋体" w:hAnsi="宋体"/>
          <w:color w:val="auto"/>
          <w:spacing w:val="4"/>
          <w:szCs w:val="21"/>
          <w:highlight w:val="none"/>
        </w:rPr>
        <w:t>我们同意在谈判报价有效期内（自谈判之日起</w:t>
      </w:r>
      <w:r>
        <w:rPr>
          <w:rFonts w:hint="eastAsia" w:ascii="宋体" w:hAnsi="宋体"/>
          <w:color w:val="auto"/>
          <w:spacing w:val="4"/>
          <w:szCs w:val="21"/>
          <w:highlight w:val="none"/>
          <w:u w:val="single"/>
        </w:rPr>
        <w:t>90</w:t>
      </w:r>
      <w:r>
        <w:rPr>
          <w:rFonts w:hint="eastAsia" w:ascii="宋体" w:hAnsi="宋体"/>
          <w:color w:val="auto"/>
          <w:spacing w:val="4"/>
          <w:szCs w:val="21"/>
          <w:highlight w:val="none"/>
        </w:rPr>
        <w:t>天内），本谈判响应书对我方具有约束力。</w:t>
      </w:r>
    </w:p>
    <w:p>
      <w:pPr>
        <w:numPr>
          <w:ilvl w:val="0"/>
          <w:numId w:val="5"/>
        </w:numPr>
        <w:tabs>
          <w:tab w:val="left" w:pos="2160"/>
        </w:tabs>
        <w:spacing w:line="360" w:lineRule="auto"/>
        <w:ind w:left="0" w:firstLine="0"/>
        <w:rPr>
          <w:rFonts w:ascii="宋体" w:hAnsi="宋体"/>
          <w:color w:val="auto"/>
          <w:spacing w:val="4"/>
          <w:szCs w:val="21"/>
          <w:highlight w:val="none"/>
        </w:rPr>
      </w:pPr>
      <w:r>
        <w:rPr>
          <w:rFonts w:hint="eastAsia" w:ascii="宋体" w:hAnsi="宋体"/>
          <w:color w:val="auto"/>
          <w:spacing w:val="4"/>
          <w:szCs w:val="21"/>
          <w:highlight w:val="none"/>
        </w:rPr>
        <w:t xml:space="preserve">同意提供贵方可能另外要求的与本谈判报价有关的任何证据和资料。 </w:t>
      </w:r>
    </w:p>
    <w:p>
      <w:pPr>
        <w:numPr>
          <w:ilvl w:val="0"/>
          <w:numId w:val="5"/>
        </w:numPr>
        <w:tabs>
          <w:tab w:val="left" w:pos="2160"/>
        </w:tabs>
        <w:spacing w:line="360" w:lineRule="auto"/>
        <w:ind w:left="0" w:firstLine="0"/>
        <w:rPr>
          <w:rFonts w:ascii="宋体" w:hAnsi="宋体"/>
          <w:color w:val="auto"/>
          <w:spacing w:val="4"/>
          <w:szCs w:val="21"/>
          <w:highlight w:val="none"/>
        </w:rPr>
      </w:pPr>
      <w:r>
        <w:rPr>
          <w:rFonts w:hint="eastAsia" w:ascii="宋体" w:hAnsi="宋体"/>
          <w:color w:val="auto"/>
          <w:spacing w:val="4"/>
          <w:szCs w:val="21"/>
          <w:highlight w:val="none"/>
        </w:rPr>
        <w:t>我们同意，如果成交，向西北（陕西）国际招标有限公司交纳采购代理服务费。</w:t>
      </w:r>
    </w:p>
    <w:p>
      <w:pPr>
        <w:numPr>
          <w:ilvl w:val="0"/>
          <w:numId w:val="5"/>
        </w:numPr>
        <w:tabs>
          <w:tab w:val="left" w:pos="2160"/>
        </w:tabs>
        <w:spacing w:line="360" w:lineRule="auto"/>
        <w:ind w:left="0" w:firstLine="0"/>
        <w:rPr>
          <w:rFonts w:ascii="宋体" w:hAnsi="宋体"/>
          <w:color w:val="auto"/>
          <w:spacing w:val="4"/>
          <w:szCs w:val="21"/>
          <w:highlight w:val="none"/>
        </w:rPr>
      </w:pPr>
      <w:r>
        <w:rPr>
          <w:rFonts w:hint="eastAsia" w:ascii="宋体" w:hAnsi="宋体"/>
          <w:color w:val="auto"/>
          <w:spacing w:val="4"/>
          <w:szCs w:val="21"/>
          <w:highlight w:val="none"/>
        </w:rPr>
        <w:t>与本谈判响应有关的一切正式信函请寄：</w:t>
      </w:r>
    </w:p>
    <w:p>
      <w:pPr>
        <w:spacing w:line="360" w:lineRule="auto"/>
        <w:ind w:firstLine="436" w:firstLineChars="200"/>
        <w:rPr>
          <w:rFonts w:ascii="宋体" w:hAnsi="宋体"/>
          <w:color w:val="auto"/>
          <w:spacing w:val="4"/>
          <w:szCs w:val="21"/>
          <w:highlight w:val="none"/>
        </w:rPr>
      </w:pPr>
      <w:r>
        <w:rPr>
          <w:rFonts w:hint="eastAsia" w:ascii="宋体" w:hAnsi="宋体"/>
          <w:color w:val="auto"/>
          <w:spacing w:val="4"/>
          <w:szCs w:val="21"/>
          <w:highlight w:val="none"/>
        </w:rPr>
        <w:t>地址：                          邮政编码：</w:t>
      </w:r>
    </w:p>
    <w:p>
      <w:pPr>
        <w:spacing w:line="360" w:lineRule="auto"/>
        <w:ind w:firstLine="436" w:firstLineChars="200"/>
        <w:rPr>
          <w:rFonts w:ascii="宋体" w:hAnsi="宋体"/>
          <w:color w:val="auto"/>
          <w:spacing w:val="4"/>
          <w:szCs w:val="21"/>
          <w:highlight w:val="none"/>
        </w:rPr>
      </w:pPr>
      <w:r>
        <w:rPr>
          <w:rFonts w:hint="eastAsia" w:ascii="宋体" w:hAnsi="宋体"/>
          <w:color w:val="auto"/>
          <w:spacing w:val="4"/>
          <w:szCs w:val="21"/>
          <w:highlight w:val="none"/>
        </w:rPr>
        <w:t>电话/传真：                     电子邮件：</w:t>
      </w:r>
    </w:p>
    <w:p>
      <w:pPr>
        <w:spacing w:line="360" w:lineRule="auto"/>
        <w:rPr>
          <w:rFonts w:ascii="宋体" w:hAnsi="宋体"/>
          <w:color w:val="auto"/>
          <w:spacing w:val="4"/>
          <w:szCs w:val="21"/>
          <w:highlight w:val="none"/>
        </w:rPr>
      </w:pPr>
    </w:p>
    <w:p>
      <w:pPr>
        <w:spacing w:line="360" w:lineRule="auto"/>
        <w:rPr>
          <w:rFonts w:ascii="宋体" w:hAnsi="宋体"/>
          <w:color w:val="auto"/>
          <w:spacing w:val="4"/>
          <w:szCs w:val="21"/>
          <w:highlight w:val="none"/>
        </w:rPr>
      </w:pPr>
    </w:p>
    <w:p>
      <w:pPr>
        <w:spacing w:before="312" w:beforeLines="100" w:after="312" w:afterLines="100" w:line="360" w:lineRule="auto"/>
        <w:rPr>
          <w:rFonts w:ascii="宋体" w:hAnsi="宋体" w:cs="宋体"/>
          <w:color w:val="auto"/>
          <w:spacing w:val="4"/>
          <w:szCs w:val="21"/>
          <w:highlight w:val="none"/>
        </w:rPr>
      </w:pPr>
      <w:r>
        <w:rPr>
          <w:rFonts w:hint="eastAsia" w:ascii="宋体" w:hAnsi="宋体" w:cs="宋体"/>
          <w:color w:val="auto"/>
          <w:spacing w:val="4"/>
          <w:szCs w:val="21"/>
          <w:highlight w:val="none"/>
        </w:rPr>
        <w:t>供应商名称：</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（加盖公章）</w:t>
      </w:r>
    </w:p>
    <w:p>
      <w:pPr>
        <w:spacing w:before="312" w:beforeLines="100" w:after="312" w:afterLines="100" w:line="360" w:lineRule="auto"/>
        <w:rPr>
          <w:rFonts w:ascii="宋体" w:hAnsi="宋体" w:cs="宋体"/>
          <w:color w:val="auto"/>
          <w:spacing w:val="4"/>
          <w:szCs w:val="21"/>
          <w:highlight w:val="none"/>
        </w:rPr>
      </w:pPr>
      <w:r>
        <w:rPr>
          <w:rFonts w:hint="eastAsia" w:ascii="宋体" w:hAnsi="宋体" w:cs="宋体"/>
          <w:color w:val="auto"/>
          <w:spacing w:val="4"/>
          <w:szCs w:val="21"/>
          <w:highlight w:val="none"/>
        </w:rPr>
        <w:t>法定代表人或授权代表（签字或盖章）：</w:t>
      </w:r>
      <w:r>
        <w:rPr>
          <w:rFonts w:hint="eastAsia" w:ascii="宋体" w:hAnsi="宋体" w:cs="宋体"/>
          <w:color w:val="auto"/>
          <w:spacing w:val="4"/>
          <w:szCs w:val="21"/>
          <w:highlight w:val="none"/>
          <w:u w:val="single"/>
        </w:rPr>
        <w:t xml:space="preserve">                      </w:t>
      </w:r>
    </w:p>
    <w:p>
      <w:pPr>
        <w:spacing w:before="312" w:beforeLines="100" w:after="312" w:afterLines="100" w:line="360" w:lineRule="auto"/>
        <w:rPr>
          <w:rFonts w:ascii="宋体" w:hAnsi="宋体" w:cs="宋体"/>
          <w:color w:val="auto"/>
          <w:spacing w:val="4"/>
          <w:szCs w:val="21"/>
          <w:highlight w:val="none"/>
        </w:rPr>
      </w:pPr>
      <w:r>
        <w:rPr>
          <w:rFonts w:hint="eastAsia" w:ascii="宋体" w:hAnsi="宋体" w:cs="宋体"/>
          <w:color w:val="auto"/>
          <w:spacing w:val="4"/>
          <w:szCs w:val="21"/>
          <w:highlight w:val="none"/>
        </w:rPr>
        <w:t>日期：</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年</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月</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日</w:t>
      </w:r>
    </w:p>
    <w:p>
      <w:pPr>
        <w:spacing w:before="156" w:beforeLines="50" w:after="156" w:afterLines="50" w:line="360" w:lineRule="auto"/>
        <w:rPr>
          <w:rFonts w:ascii="宋体" w:hAnsi="宋体" w:cs="宋体"/>
          <w:color w:val="auto"/>
          <w:szCs w:val="21"/>
          <w:highlight w:val="none"/>
          <w:u w:val="single"/>
        </w:rPr>
      </w:pPr>
    </w:p>
    <w:p>
      <w:pPr>
        <w:pStyle w:val="3"/>
        <w:rPr>
          <w:rFonts w:ascii="宋体" w:hAnsi="宋体"/>
          <w:b/>
          <w:color w:val="auto"/>
          <w:sz w:val="32"/>
          <w:szCs w:val="32"/>
          <w:highlight w:val="none"/>
        </w:rPr>
      </w:pPr>
      <w:r>
        <w:rPr>
          <w:rFonts w:hint="eastAsia" w:ascii="宋体" w:hAnsi="宋体"/>
          <w:b/>
          <w:color w:val="auto"/>
          <w:highlight w:val="none"/>
        </w:rPr>
        <w:br w:type="page"/>
      </w:r>
      <w:bookmarkStart w:id="37" w:name="_Toc79002902"/>
      <w:r>
        <w:rPr>
          <w:rFonts w:hint="eastAsia" w:ascii="宋体" w:hAnsi="宋体"/>
          <w:b/>
          <w:color w:val="auto"/>
          <w:sz w:val="32"/>
          <w:szCs w:val="32"/>
          <w:highlight w:val="none"/>
        </w:rPr>
        <w:t>二、谈判报价表</w:t>
      </w:r>
      <w:bookmarkEnd w:id="37"/>
    </w:p>
    <w:p>
      <w:pPr>
        <w:spacing w:before="312" w:beforeLines="100" w:after="312" w:afterLines="100" w:line="360" w:lineRule="auto"/>
        <w:jc w:val="center"/>
        <w:rPr>
          <w:rFonts w:ascii="宋体" w:hAnsi="宋体"/>
          <w:b/>
          <w:color w:val="auto"/>
          <w:sz w:val="32"/>
          <w:szCs w:val="32"/>
          <w:highlight w:val="none"/>
        </w:rPr>
      </w:pPr>
      <w:r>
        <w:rPr>
          <w:rFonts w:hint="eastAsia" w:ascii="宋体" w:hAnsi="宋体"/>
          <w:b/>
          <w:color w:val="auto"/>
          <w:sz w:val="32"/>
          <w:szCs w:val="32"/>
          <w:highlight w:val="none"/>
        </w:rPr>
        <w:t>2.1谈判报价一览表（第一次）</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1595"/>
        <w:gridCol w:w="3415"/>
        <w:gridCol w:w="1967"/>
        <w:gridCol w:w="13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33" w:hRule="atLeast"/>
          <w:jc w:val="center"/>
        </w:trPr>
        <w:tc>
          <w:tcPr>
            <w:tcW w:w="1595" w:type="dxa"/>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项目名称</w:t>
            </w:r>
          </w:p>
        </w:tc>
        <w:tc>
          <w:tcPr>
            <w:tcW w:w="3415" w:type="dxa"/>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谈判单价（元）</w:t>
            </w:r>
          </w:p>
        </w:tc>
        <w:tc>
          <w:tcPr>
            <w:tcW w:w="1967" w:type="dxa"/>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谈判报价</w:t>
            </w:r>
          </w:p>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zh-CN"/>
              </w:rPr>
              <w:t>各分项单价总和</w:t>
            </w:r>
            <w:r>
              <w:rPr>
                <w:rFonts w:hint="eastAsia" w:ascii="宋体" w:hAnsi="宋体" w:cs="宋体"/>
                <w:b/>
                <w:bCs/>
                <w:color w:val="auto"/>
                <w:szCs w:val="21"/>
                <w:highlight w:val="none"/>
              </w:rPr>
              <w:t>）(元)</w:t>
            </w:r>
          </w:p>
        </w:tc>
        <w:tc>
          <w:tcPr>
            <w:tcW w:w="1383" w:type="dxa"/>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交货期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29" w:hRule="atLeast"/>
          <w:jc w:val="center"/>
        </w:trPr>
        <w:tc>
          <w:tcPr>
            <w:tcW w:w="1595" w:type="dxa"/>
            <w:vMerge w:val="restart"/>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西安市公安局交通</w:t>
            </w:r>
            <w:r>
              <w:rPr>
                <w:rFonts w:hint="eastAsia" w:ascii="宋体" w:hAnsi="宋体" w:cs="宋体"/>
                <w:bCs/>
                <w:color w:val="auto"/>
                <w:kern w:val="0"/>
                <w:szCs w:val="21"/>
                <w:highlight w:val="none"/>
              </w:rPr>
              <w:t>警察支队安全防护警用装备采购项目</w:t>
            </w:r>
          </w:p>
        </w:tc>
        <w:tc>
          <w:tcPr>
            <w:tcW w:w="3415" w:type="dxa"/>
            <w:vAlign w:val="center"/>
          </w:tcPr>
          <w:p>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发光</w:t>
            </w:r>
            <w:r>
              <w:rPr>
                <w:rFonts w:hint="eastAsia" w:ascii="宋体" w:hAnsi="宋体" w:cs="宋体"/>
                <w:color w:val="auto"/>
                <w:szCs w:val="21"/>
                <w:highlight w:val="none"/>
                <w:lang w:val="en-US" w:eastAsia="zh-CN"/>
              </w:rPr>
              <w:t>警示</w:t>
            </w:r>
            <w:r>
              <w:rPr>
                <w:rFonts w:hint="eastAsia" w:ascii="宋体" w:hAnsi="宋体" w:cs="宋体"/>
                <w:color w:val="auto"/>
                <w:szCs w:val="21"/>
                <w:highlight w:val="none"/>
              </w:rPr>
              <w:t>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元/个</w:t>
            </w:r>
          </w:p>
        </w:tc>
        <w:tc>
          <w:tcPr>
            <w:tcW w:w="1967" w:type="dxa"/>
            <w:vMerge w:val="restart"/>
            <w:vAlign w:val="center"/>
          </w:tcPr>
          <w:p>
            <w:pPr>
              <w:spacing w:line="360" w:lineRule="auto"/>
              <w:jc w:val="center"/>
              <w:rPr>
                <w:rFonts w:ascii="宋体" w:hAnsi="宋体" w:cs="宋体"/>
                <w:color w:val="auto"/>
                <w:szCs w:val="21"/>
                <w:highlight w:val="none"/>
              </w:rPr>
            </w:pPr>
          </w:p>
        </w:tc>
        <w:tc>
          <w:tcPr>
            <w:tcW w:w="1383" w:type="dxa"/>
            <w:vMerge w:val="restart"/>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按需配送，每次接到采购人订单之日起 10 个工作日内交付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76" w:hRule="atLeast"/>
          <w:jc w:val="center"/>
        </w:trPr>
        <w:tc>
          <w:tcPr>
            <w:tcW w:w="1595" w:type="dxa"/>
            <w:vMerge w:val="continue"/>
            <w:vAlign w:val="center"/>
          </w:tcPr>
          <w:p>
            <w:pPr>
              <w:spacing w:line="360" w:lineRule="auto"/>
              <w:jc w:val="center"/>
              <w:rPr>
                <w:rFonts w:ascii="宋体" w:hAnsi="宋体" w:cs="宋体"/>
                <w:color w:val="auto"/>
                <w:szCs w:val="21"/>
                <w:highlight w:val="none"/>
              </w:rPr>
            </w:pPr>
          </w:p>
        </w:tc>
        <w:tc>
          <w:tcPr>
            <w:tcW w:w="3415" w:type="dxa"/>
            <w:vAlign w:val="center"/>
          </w:tcPr>
          <w:p>
            <w:pPr>
              <w:widowControl/>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车辆闯入报警设备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元/套</w:t>
            </w:r>
          </w:p>
        </w:tc>
        <w:tc>
          <w:tcPr>
            <w:tcW w:w="1967" w:type="dxa"/>
            <w:vMerge w:val="continue"/>
            <w:vAlign w:val="center"/>
          </w:tcPr>
          <w:p>
            <w:pPr>
              <w:spacing w:line="360" w:lineRule="auto"/>
              <w:jc w:val="center"/>
              <w:rPr>
                <w:rFonts w:ascii="宋体" w:hAnsi="宋体" w:cs="宋体"/>
                <w:color w:val="auto"/>
                <w:szCs w:val="21"/>
                <w:highlight w:val="none"/>
              </w:rPr>
            </w:pPr>
          </w:p>
        </w:tc>
        <w:tc>
          <w:tcPr>
            <w:tcW w:w="1383" w:type="dxa"/>
            <w:vMerge w:val="continue"/>
            <w:vAlign w:val="center"/>
          </w:tcPr>
          <w:p>
            <w:pPr>
              <w:spacing w:line="360" w:lineRule="auto"/>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1595" w:type="dxa"/>
            <w:vMerge w:val="continue"/>
            <w:vAlign w:val="center"/>
          </w:tcPr>
          <w:p>
            <w:pPr>
              <w:spacing w:line="360" w:lineRule="auto"/>
              <w:jc w:val="center"/>
              <w:rPr>
                <w:rFonts w:ascii="宋体" w:hAnsi="宋体" w:cs="宋体"/>
                <w:color w:val="auto"/>
                <w:szCs w:val="21"/>
                <w:highlight w:val="none"/>
              </w:rPr>
            </w:pPr>
          </w:p>
        </w:tc>
        <w:tc>
          <w:tcPr>
            <w:tcW w:w="3415" w:type="dxa"/>
            <w:vAlign w:val="center"/>
          </w:tcPr>
          <w:p>
            <w:pPr>
              <w:widowControl/>
              <w:spacing w:line="360" w:lineRule="auto"/>
              <w:ind w:left="1260" w:hanging="1260" w:hangingChars="600"/>
              <w:rPr>
                <w:rFonts w:ascii="宋体" w:hAnsi="宋体" w:cs="宋体"/>
                <w:color w:val="auto"/>
                <w:szCs w:val="21"/>
                <w:highlight w:val="none"/>
              </w:rPr>
            </w:pPr>
            <w:r>
              <w:rPr>
                <w:rFonts w:hint="eastAsia" w:ascii="宋体" w:hAnsi="宋体" w:cs="宋体"/>
                <w:color w:val="auto"/>
                <w:szCs w:val="21"/>
                <w:highlight w:val="none"/>
                <w:lang w:val="en-US" w:eastAsia="zh-CN"/>
              </w:rPr>
              <w:t>交通锥</w:t>
            </w:r>
            <w:r>
              <w:rPr>
                <w:rFonts w:hint="eastAsia" w:ascii="宋体" w:hAnsi="宋体" w:cs="宋体"/>
                <w:color w:val="auto"/>
                <w:szCs w:val="21"/>
                <w:highlight w:val="none"/>
                <w:u w:val="single"/>
              </w:rPr>
              <w:t xml:space="preserve">   元</w:t>
            </w:r>
            <w:r>
              <w:rPr>
                <w:rFonts w:hint="eastAsia" w:ascii="宋体" w:hAnsi="宋体" w:cs="宋体"/>
                <w:color w:val="auto"/>
                <w:szCs w:val="21"/>
                <w:highlight w:val="none"/>
              </w:rPr>
              <w:t>/个</w:t>
            </w:r>
          </w:p>
        </w:tc>
        <w:tc>
          <w:tcPr>
            <w:tcW w:w="1967" w:type="dxa"/>
            <w:vMerge w:val="continue"/>
            <w:vAlign w:val="center"/>
          </w:tcPr>
          <w:p>
            <w:pPr>
              <w:spacing w:line="360" w:lineRule="auto"/>
              <w:jc w:val="center"/>
              <w:rPr>
                <w:rFonts w:ascii="宋体" w:hAnsi="宋体" w:cs="宋体"/>
                <w:color w:val="auto"/>
                <w:szCs w:val="21"/>
                <w:highlight w:val="none"/>
              </w:rPr>
            </w:pPr>
          </w:p>
        </w:tc>
        <w:tc>
          <w:tcPr>
            <w:tcW w:w="1383" w:type="dxa"/>
            <w:vMerge w:val="continue"/>
            <w:vAlign w:val="center"/>
          </w:tcPr>
          <w:p>
            <w:pPr>
              <w:spacing w:line="360" w:lineRule="auto"/>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73" w:hRule="atLeast"/>
          <w:jc w:val="center"/>
        </w:trPr>
        <w:tc>
          <w:tcPr>
            <w:tcW w:w="1595" w:type="dxa"/>
            <w:vMerge w:val="continue"/>
            <w:vAlign w:val="center"/>
          </w:tcPr>
          <w:p>
            <w:pPr>
              <w:spacing w:line="360" w:lineRule="auto"/>
              <w:jc w:val="center"/>
              <w:rPr>
                <w:rFonts w:ascii="宋体" w:hAnsi="宋体" w:cs="宋体"/>
                <w:color w:val="auto"/>
                <w:szCs w:val="21"/>
                <w:highlight w:val="none"/>
              </w:rPr>
            </w:pPr>
          </w:p>
        </w:tc>
        <w:tc>
          <w:tcPr>
            <w:tcW w:w="3415" w:type="dxa"/>
            <w:vAlign w:val="center"/>
          </w:tcPr>
          <w:p>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便携式LED警示灯</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元/套</w:t>
            </w:r>
          </w:p>
        </w:tc>
        <w:tc>
          <w:tcPr>
            <w:tcW w:w="1967" w:type="dxa"/>
            <w:vMerge w:val="continue"/>
            <w:vAlign w:val="center"/>
          </w:tcPr>
          <w:p>
            <w:pPr>
              <w:spacing w:line="360" w:lineRule="auto"/>
              <w:jc w:val="center"/>
              <w:rPr>
                <w:rFonts w:ascii="宋体" w:hAnsi="宋体" w:cs="宋体"/>
                <w:color w:val="auto"/>
                <w:szCs w:val="21"/>
                <w:highlight w:val="none"/>
              </w:rPr>
            </w:pPr>
          </w:p>
        </w:tc>
        <w:tc>
          <w:tcPr>
            <w:tcW w:w="1383" w:type="dxa"/>
            <w:vMerge w:val="continue"/>
            <w:vAlign w:val="center"/>
          </w:tcPr>
          <w:p>
            <w:pPr>
              <w:spacing w:line="360" w:lineRule="auto"/>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4" w:hRule="atLeast"/>
          <w:jc w:val="center"/>
        </w:trPr>
        <w:tc>
          <w:tcPr>
            <w:tcW w:w="1595" w:type="dxa"/>
            <w:vMerge w:val="continue"/>
            <w:vAlign w:val="center"/>
          </w:tcPr>
          <w:p>
            <w:pPr>
              <w:spacing w:line="360" w:lineRule="auto"/>
              <w:jc w:val="center"/>
              <w:rPr>
                <w:rFonts w:ascii="宋体" w:hAnsi="宋体" w:cs="宋体"/>
                <w:color w:val="auto"/>
                <w:szCs w:val="21"/>
                <w:highlight w:val="none"/>
              </w:rPr>
            </w:pPr>
          </w:p>
        </w:tc>
        <w:tc>
          <w:tcPr>
            <w:tcW w:w="3415" w:type="dxa"/>
            <w:vAlign w:val="center"/>
          </w:tcPr>
          <w:p>
            <w:pPr>
              <w:widowControl/>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挂肩警示灯</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元/个</w:t>
            </w:r>
          </w:p>
        </w:tc>
        <w:tc>
          <w:tcPr>
            <w:tcW w:w="1967" w:type="dxa"/>
            <w:vMerge w:val="continue"/>
            <w:vAlign w:val="center"/>
          </w:tcPr>
          <w:p>
            <w:pPr>
              <w:spacing w:line="360" w:lineRule="auto"/>
              <w:jc w:val="center"/>
              <w:rPr>
                <w:rFonts w:ascii="宋体" w:hAnsi="宋体" w:cs="宋体"/>
                <w:color w:val="auto"/>
                <w:szCs w:val="21"/>
                <w:highlight w:val="none"/>
              </w:rPr>
            </w:pPr>
          </w:p>
        </w:tc>
        <w:tc>
          <w:tcPr>
            <w:tcW w:w="1383" w:type="dxa"/>
            <w:vMerge w:val="continue"/>
            <w:vAlign w:val="center"/>
          </w:tcPr>
          <w:p>
            <w:pPr>
              <w:spacing w:line="360" w:lineRule="auto"/>
              <w:jc w:val="center"/>
              <w:rPr>
                <w:rFonts w:ascii="宋体" w:hAnsi="宋体" w:cs="宋体"/>
                <w:color w:val="auto"/>
                <w:szCs w:val="21"/>
                <w:highlight w:val="none"/>
              </w:rPr>
            </w:pPr>
          </w:p>
        </w:tc>
      </w:tr>
    </w:tbl>
    <w:p>
      <w:pPr>
        <w:spacing w:line="360" w:lineRule="auto"/>
        <w:ind w:left="105" w:leftChars="50"/>
        <w:jc w:val="left"/>
        <w:rPr>
          <w:rFonts w:ascii="宋体" w:hAnsi="宋体" w:cs="宋体"/>
          <w:b/>
          <w:bCs/>
          <w:color w:val="auto"/>
          <w:szCs w:val="21"/>
          <w:highlight w:val="none"/>
        </w:rPr>
      </w:pPr>
      <w:r>
        <w:rPr>
          <w:rFonts w:hint="eastAsia" w:ascii="宋体" w:hAnsi="宋体" w:cs="宋体"/>
          <w:b/>
          <w:bCs/>
          <w:color w:val="auto"/>
          <w:kern w:val="0"/>
          <w:szCs w:val="21"/>
          <w:highlight w:val="none"/>
        </w:rPr>
        <w:t>注：1）报价应包含但不限于采购产品的设计打板、材料、包装、储运、装卸、质保、税费等等完成本项目并达到采购人可正常使用的一切费用；</w:t>
      </w:r>
    </w:p>
    <w:p>
      <w:pPr>
        <w:spacing w:line="360" w:lineRule="auto"/>
        <w:ind w:left="105" w:leftChars="50"/>
        <w:jc w:val="left"/>
        <w:rPr>
          <w:rFonts w:ascii="宋体" w:hAnsi="宋体" w:cs="宋体"/>
          <w:b/>
          <w:bCs/>
          <w:color w:val="auto"/>
          <w:highlight w:val="none"/>
        </w:rPr>
      </w:pPr>
      <w:r>
        <w:rPr>
          <w:rFonts w:hint="eastAsia" w:ascii="宋体" w:hAnsi="宋体" w:cs="宋体"/>
          <w:b/>
          <w:bCs/>
          <w:color w:val="auto"/>
          <w:kern w:val="0"/>
          <w:szCs w:val="21"/>
          <w:highlight w:val="none"/>
        </w:rPr>
        <w:t>2）</w:t>
      </w:r>
      <w:r>
        <w:rPr>
          <w:rFonts w:hint="eastAsia" w:ascii="宋体" w:hAnsi="宋体" w:cs="宋体"/>
          <w:b/>
          <w:bCs/>
          <w:color w:val="auto"/>
          <w:highlight w:val="none"/>
        </w:rPr>
        <w:t>单价报价不得超过“</w:t>
      </w:r>
      <w:r>
        <w:rPr>
          <w:rFonts w:hint="eastAsia" w:ascii="宋体" w:hAnsi="宋体" w:cs="宋体"/>
          <w:b/>
          <w:bCs/>
          <w:color w:val="auto"/>
          <w:szCs w:val="21"/>
          <w:highlight w:val="none"/>
        </w:rPr>
        <w:t>第四章 采购内容及技术要求</w:t>
      </w:r>
      <w:r>
        <w:rPr>
          <w:rFonts w:hint="eastAsia" w:ascii="宋体" w:hAnsi="宋体" w:cs="宋体"/>
          <w:b/>
          <w:bCs/>
          <w:color w:val="auto"/>
          <w:highlight w:val="none"/>
        </w:rPr>
        <w:t>”中各单项的最高限价，否则</w:t>
      </w:r>
      <w:r>
        <w:rPr>
          <w:rFonts w:hint="eastAsia" w:ascii="宋体" w:hAnsi="宋体" w:cs="宋体"/>
          <w:b/>
          <w:bCs/>
          <w:color w:val="auto"/>
          <w:szCs w:val="21"/>
          <w:highlight w:val="none"/>
        </w:rPr>
        <w:t>按否决响应处理；</w:t>
      </w:r>
    </w:p>
    <w:p>
      <w:pPr>
        <w:spacing w:line="360" w:lineRule="auto"/>
        <w:rPr>
          <w:rFonts w:ascii="宋体" w:hAnsi="宋体" w:cs="宋体"/>
          <w:b/>
          <w:bCs/>
          <w:color w:val="auto"/>
          <w:szCs w:val="21"/>
          <w:highlight w:val="none"/>
        </w:rPr>
      </w:pPr>
    </w:p>
    <w:p>
      <w:pPr>
        <w:rPr>
          <w:rFonts w:ascii="宋体" w:hAnsi="宋体"/>
          <w:color w:val="auto"/>
          <w:sz w:val="24"/>
          <w:szCs w:val="24"/>
          <w:highlight w:val="none"/>
        </w:rPr>
      </w:pPr>
    </w:p>
    <w:p>
      <w:pPr>
        <w:pStyle w:val="14"/>
        <w:rPr>
          <w:rFonts w:ascii="宋体" w:hAnsi="宋体"/>
          <w:color w:val="auto"/>
          <w:highlight w:val="none"/>
        </w:rPr>
      </w:pPr>
    </w:p>
    <w:p>
      <w:pPr>
        <w:spacing w:before="312" w:beforeLines="100" w:after="312" w:afterLines="100" w:line="360" w:lineRule="auto"/>
        <w:rPr>
          <w:rFonts w:ascii="宋体" w:hAnsi="宋体" w:cs="宋体"/>
          <w:color w:val="auto"/>
          <w:spacing w:val="4"/>
          <w:szCs w:val="21"/>
          <w:highlight w:val="none"/>
        </w:rPr>
      </w:pPr>
      <w:r>
        <w:rPr>
          <w:rFonts w:hint="eastAsia" w:ascii="宋体" w:hAnsi="宋体" w:cs="宋体"/>
          <w:color w:val="auto"/>
          <w:spacing w:val="4"/>
          <w:szCs w:val="21"/>
          <w:highlight w:val="none"/>
        </w:rPr>
        <w:t>供应商名称：</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（加盖公章）</w:t>
      </w:r>
    </w:p>
    <w:p>
      <w:pPr>
        <w:spacing w:before="312" w:beforeLines="100" w:after="312" w:afterLines="100" w:line="360" w:lineRule="auto"/>
        <w:rPr>
          <w:rFonts w:ascii="宋体" w:hAnsi="宋体" w:cs="宋体"/>
          <w:color w:val="auto"/>
          <w:spacing w:val="4"/>
          <w:szCs w:val="21"/>
          <w:highlight w:val="none"/>
          <w:u w:val="single"/>
        </w:rPr>
      </w:pPr>
      <w:r>
        <w:rPr>
          <w:rFonts w:hint="eastAsia" w:ascii="宋体" w:hAnsi="宋体" w:cs="宋体"/>
          <w:color w:val="auto"/>
          <w:spacing w:val="4"/>
          <w:szCs w:val="21"/>
          <w:highlight w:val="none"/>
        </w:rPr>
        <w:t>法定代表人或授权代表（签字或盖章）：</w:t>
      </w:r>
      <w:r>
        <w:rPr>
          <w:rFonts w:hint="eastAsia" w:ascii="宋体" w:hAnsi="宋体" w:cs="宋体"/>
          <w:color w:val="auto"/>
          <w:spacing w:val="4"/>
          <w:szCs w:val="21"/>
          <w:highlight w:val="none"/>
          <w:u w:val="single"/>
        </w:rPr>
        <w:t xml:space="preserve">                      </w:t>
      </w:r>
    </w:p>
    <w:p>
      <w:pPr>
        <w:spacing w:before="624" w:beforeLines="200" w:after="312" w:afterLines="100" w:line="360" w:lineRule="auto"/>
        <w:jc w:val="center"/>
        <w:rPr>
          <w:rFonts w:ascii="宋体" w:hAnsi="宋体"/>
          <w:b/>
          <w:color w:val="auto"/>
          <w:sz w:val="32"/>
          <w:szCs w:val="32"/>
          <w:highlight w:val="none"/>
        </w:rPr>
      </w:pPr>
      <w:r>
        <w:rPr>
          <w:rFonts w:hint="eastAsia" w:ascii="宋体" w:hAnsi="宋体" w:cs="宋体"/>
          <w:color w:val="auto"/>
          <w:spacing w:val="4"/>
          <w:szCs w:val="21"/>
          <w:highlight w:val="none"/>
          <w:u w:val="single"/>
        </w:rPr>
        <w:br w:type="page"/>
      </w:r>
      <w:bookmarkStart w:id="38" w:name="_Toc79002903"/>
      <w:r>
        <w:rPr>
          <w:rFonts w:hint="eastAsia" w:ascii="宋体" w:hAnsi="宋体"/>
          <w:b/>
          <w:color w:val="auto"/>
          <w:sz w:val="32"/>
          <w:szCs w:val="32"/>
          <w:highlight w:val="none"/>
        </w:rPr>
        <w:t>2.1谈判分项表（第一次）</w:t>
      </w:r>
    </w:p>
    <w:tbl>
      <w:tblPr>
        <w:tblStyle w:val="19"/>
        <w:tblW w:w="4998" w:type="pct"/>
        <w:tblInd w:w="0" w:type="dxa"/>
        <w:tblLayout w:type="autofit"/>
        <w:tblCellMar>
          <w:top w:w="0" w:type="dxa"/>
          <w:left w:w="108" w:type="dxa"/>
          <w:bottom w:w="0" w:type="dxa"/>
          <w:right w:w="108" w:type="dxa"/>
        </w:tblCellMar>
      </w:tblPr>
      <w:tblGrid>
        <w:gridCol w:w="906"/>
        <w:gridCol w:w="3869"/>
        <w:gridCol w:w="1201"/>
        <w:gridCol w:w="980"/>
        <w:gridCol w:w="1563"/>
      </w:tblGrid>
      <w:tr>
        <w:tblPrEx>
          <w:tblCellMar>
            <w:top w:w="0" w:type="dxa"/>
            <w:left w:w="108" w:type="dxa"/>
            <w:bottom w:w="0" w:type="dxa"/>
            <w:right w:w="108" w:type="dxa"/>
          </w:tblCellMar>
        </w:tblPrEx>
        <w:trPr>
          <w:trHeight w:val="552" w:hRule="atLeast"/>
        </w:trPr>
        <w:tc>
          <w:tcPr>
            <w:tcW w:w="53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270" w:type="pct"/>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品类</w:t>
            </w:r>
          </w:p>
        </w:tc>
        <w:tc>
          <w:tcPr>
            <w:tcW w:w="705" w:type="pct"/>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573" w:type="pct"/>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917" w:type="pct"/>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单价报价（元）</w:t>
            </w:r>
          </w:p>
        </w:tc>
      </w:tr>
      <w:tr>
        <w:tblPrEx>
          <w:tblCellMar>
            <w:top w:w="0" w:type="dxa"/>
            <w:left w:w="108" w:type="dxa"/>
            <w:bottom w:w="0" w:type="dxa"/>
            <w:right w:w="108" w:type="dxa"/>
          </w:tblCellMar>
        </w:tblPrEx>
        <w:trPr>
          <w:trHeight w:val="552" w:hRule="atLeast"/>
        </w:trPr>
        <w:tc>
          <w:tcPr>
            <w:tcW w:w="532"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869"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发光</w:t>
            </w:r>
            <w:r>
              <w:rPr>
                <w:rFonts w:hint="eastAsia" w:ascii="宋体" w:hAnsi="宋体" w:cs="宋体"/>
                <w:color w:val="auto"/>
                <w:szCs w:val="21"/>
                <w:highlight w:val="none"/>
                <w:lang w:val="en-US" w:eastAsia="zh-CN"/>
              </w:rPr>
              <w:t>警示</w:t>
            </w:r>
            <w:r>
              <w:rPr>
                <w:rFonts w:hint="eastAsia" w:ascii="宋体" w:hAnsi="宋体" w:cs="宋体"/>
                <w:color w:val="auto"/>
                <w:szCs w:val="21"/>
                <w:highlight w:val="none"/>
              </w:rPr>
              <w:t>牌</w:t>
            </w:r>
          </w:p>
        </w:tc>
        <w:tc>
          <w:tcPr>
            <w:tcW w:w="705" w:type="pct"/>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个</w:t>
            </w:r>
          </w:p>
        </w:tc>
        <w:tc>
          <w:tcPr>
            <w:tcW w:w="573" w:type="pct"/>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17" w:type="pct"/>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52" w:hRule="atLeast"/>
        </w:trPr>
        <w:tc>
          <w:tcPr>
            <w:tcW w:w="532"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3869"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车辆闯入报警设备</w:t>
            </w:r>
          </w:p>
        </w:tc>
        <w:tc>
          <w:tcPr>
            <w:tcW w:w="705" w:type="pct"/>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套</w:t>
            </w:r>
          </w:p>
        </w:tc>
        <w:tc>
          <w:tcPr>
            <w:tcW w:w="573" w:type="pct"/>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17" w:type="pct"/>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52" w:hRule="atLeast"/>
        </w:trPr>
        <w:tc>
          <w:tcPr>
            <w:tcW w:w="532"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3869" w:type="dxa"/>
            <w:tcBorders>
              <w:top w:val="nil"/>
              <w:left w:val="nil"/>
              <w:bottom w:val="single" w:color="auto" w:sz="4" w:space="0"/>
              <w:right w:val="single" w:color="auto" w:sz="4" w:space="0"/>
            </w:tcBorders>
            <w:vAlign w:val="center"/>
          </w:tcPr>
          <w:p>
            <w:pPr>
              <w:widowControl/>
              <w:spacing w:line="360" w:lineRule="auto"/>
              <w:ind w:left="1260" w:leftChars="0" w:hanging="1260" w:hangingChars="600"/>
              <w:rPr>
                <w:rFonts w:ascii="宋体" w:hAnsi="宋体" w:cs="宋体"/>
                <w:color w:val="auto"/>
                <w:szCs w:val="21"/>
                <w:highlight w:val="none"/>
              </w:rPr>
            </w:pPr>
            <w:r>
              <w:rPr>
                <w:rFonts w:hint="eastAsia" w:ascii="宋体" w:hAnsi="宋体" w:cs="宋体"/>
                <w:color w:val="auto"/>
                <w:szCs w:val="21"/>
                <w:highlight w:val="none"/>
                <w:lang w:val="en-US" w:eastAsia="zh-CN"/>
              </w:rPr>
              <w:t>交通锥</w:t>
            </w:r>
          </w:p>
        </w:tc>
        <w:tc>
          <w:tcPr>
            <w:tcW w:w="705" w:type="pct"/>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个</w:t>
            </w:r>
          </w:p>
        </w:tc>
        <w:tc>
          <w:tcPr>
            <w:tcW w:w="573" w:type="pct"/>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17" w:type="pct"/>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52" w:hRule="atLeast"/>
        </w:trPr>
        <w:tc>
          <w:tcPr>
            <w:tcW w:w="532"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3869"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便携式LED警示灯</w:t>
            </w:r>
          </w:p>
        </w:tc>
        <w:tc>
          <w:tcPr>
            <w:tcW w:w="705" w:type="pct"/>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套</w:t>
            </w:r>
          </w:p>
        </w:tc>
        <w:tc>
          <w:tcPr>
            <w:tcW w:w="573" w:type="pct"/>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17" w:type="pct"/>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52" w:hRule="atLeast"/>
        </w:trPr>
        <w:tc>
          <w:tcPr>
            <w:tcW w:w="532"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3869"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挂肩警示灯</w:t>
            </w:r>
          </w:p>
        </w:tc>
        <w:tc>
          <w:tcPr>
            <w:tcW w:w="705" w:type="pct"/>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个</w:t>
            </w:r>
          </w:p>
        </w:tc>
        <w:tc>
          <w:tcPr>
            <w:tcW w:w="573" w:type="pct"/>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17" w:type="pct"/>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52" w:hRule="atLeast"/>
        </w:trPr>
        <w:tc>
          <w:tcPr>
            <w:tcW w:w="4082" w:type="pct"/>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ascii="宋体" w:hAnsi="宋体" w:cs="宋体"/>
                <w:color w:val="auto"/>
                <w:szCs w:val="21"/>
                <w:highlight w:val="none"/>
              </w:rPr>
              <w:t>合计</w:t>
            </w:r>
            <w:r>
              <w:rPr>
                <w:rFonts w:hint="eastAsia" w:ascii="宋体" w:hAnsi="宋体" w:cs="宋体"/>
                <w:color w:val="auto"/>
                <w:szCs w:val="21"/>
                <w:highlight w:val="none"/>
              </w:rPr>
              <w:t>（元）</w:t>
            </w:r>
          </w:p>
        </w:tc>
        <w:tc>
          <w:tcPr>
            <w:tcW w:w="91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p>
        </w:tc>
      </w:tr>
    </w:tbl>
    <w:p>
      <w:pPr>
        <w:spacing w:line="360" w:lineRule="auto"/>
        <w:jc w:val="left"/>
        <w:rPr>
          <w:rFonts w:ascii="宋体" w:hAnsi="宋体" w:cs="宋体"/>
          <w:b/>
          <w:color w:val="auto"/>
          <w:highlight w:val="none"/>
        </w:rPr>
      </w:pPr>
      <w:r>
        <w:rPr>
          <w:rFonts w:hint="eastAsia" w:ascii="宋体" w:hAnsi="宋体" w:cs="宋体"/>
          <w:b/>
          <w:color w:val="auto"/>
          <w:highlight w:val="none"/>
        </w:rPr>
        <w:t>注：</w:t>
      </w:r>
      <w:r>
        <w:rPr>
          <w:rFonts w:hint="eastAsia" w:ascii="宋体" w:hAnsi="宋体" w:cs="宋体"/>
          <w:b/>
          <w:bCs/>
          <w:color w:val="auto"/>
          <w:spacing w:val="9"/>
          <w:szCs w:val="21"/>
          <w:highlight w:val="none"/>
        </w:rPr>
        <w:t>供应商应根据“第四章采购内容及要求”中采购内容清单逐项报价，合计等于报价一览表中的谈判报价</w:t>
      </w:r>
      <w:r>
        <w:rPr>
          <w:rFonts w:hint="eastAsia" w:ascii="宋体" w:hAnsi="宋体" w:cs="宋体"/>
          <w:b/>
          <w:color w:val="auto"/>
          <w:highlight w:val="none"/>
        </w:rPr>
        <w:t>。</w:t>
      </w:r>
    </w:p>
    <w:p>
      <w:pPr>
        <w:spacing w:line="360" w:lineRule="auto"/>
        <w:jc w:val="left"/>
        <w:rPr>
          <w:rFonts w:ascii="宋体" w:hAnsi="宋体" w:cs="宋体"/>
          <w:b/>
          <w:color w:val="auto"/>
          <w:highlight w:val="none"/>
        </w:rPr>
      </w:pPr>
    </w:p>
    <w:p>
      <w:pPr>
        <w:spacing w:line="360" w:lineRule="auto"/>
        <w:jc w:val="left"/>
        <w:rPr>
          <w:rFonts w:ascii="宋体" w:hAnsi="宋体" w:cs="宋体"/>
          <w:b/>
          <w:color w:val="auto"/>
          <w:highlight w:val="none"/>
        </w:rPr>
      </w:pPr>
    </w:p>
    <w:p>
      <w:pPr>
        <w:spacing w:before="312" w:beforeLines="100" w:after="312" w:afterLines="100" w:line="360" w:lineRule="auto"/>
        <w:rPr>
          <w:rFonts w:ascii="宋体" w:hAnsi="宋体" w:cs="宋体"/>
          <w:color w:val="auto"/>
          <w:spacing w:val="4"/>
          <w:szCs w:val="21"/>
          <w:highlight w:val="none"/>
        </w:rPr>
      </w:pPr>
      <w:r>
        <w:rPr>
          <w:rFonts w:hint="eastAsia" w:ascii="宋体" w:hAnsi="宋体" w:cs="宋体"/>
          <w:color w:val="auto"/>
          <w:spacing w:val="4"/>
          <w:szCs w:val="21"/>
          <w:highlight w:val="none"/>
        </w:rPr>
        <w:t>供应商名称：</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（加盖公章）</w:t>
      </w:r>
    </w:p>
    <w:p>
      <w:pPr>
        <w:spacing w:before="312" w:beforeLines="100" w:after="312" w:afterLines="100" w:line="360" w:lineRule="auto"/>
        <w:rPr>
          <w:rFonts w:ascii="宋体" w:hAnsi="宋体" w:cs="宋体"/>
          <w:color w:val="auto"/>
          <w:spacing w:val="4"/>
          <w:szCs w:val="21"/>
          <w:highlight w:val="none"/>
          <w:u w:val="single"/>
        </w:rPr>
      </w:pPr>
      <w:r>
        <w:rPr>
          <w:rFonts w:hint="eastAsia" w:ascii="宋体" w:hAnsi="宋体" w:cs="宋体"/>
          <w:color w:val="auto"/>
          <w:spacing w:val="4"/>
          <w:szCs w:val="21"/>
          <w:highlight w:val="none"/>
        </w:rPr>
        <w:t>法定代表人或授权代表（签字或盖章）：</w:t>
      </w:r>
      <w:r>
        <w:rPr>
          <w:rFonts w:hint="eastAsia" w:ascii="宋体" w:hAnsi="宋体" w:cs="宋体"/>
          <w:color w:val="auto"/>
          <w:spacing w:val="4"/>
          <w:szCs w:val="21"/>
          <w:highlight w:val="none"/>
          <w:u w:val="single"/>
        </w:rPr>
        <w:t xml:space="preserve">                      </w:t>
      </w:r>
    </w:p>
    <w:p>
      <w:pPr>
        <w:spacing w:before="624" w:beforeLines="200" w:after="312" w:afterLines="100" w:line="360" w:lineRule="auto"/>
        <w:jc w:val="center"/>
        <w:rPr>
          <w:rFonts w:ascii="宋体" w:hAnsi="宋体"/>
          <w:b/>
          <w:color w:val="auto"/>
          <w:sz w:val="32"/>
          <w:szCs w:val="32"/>
          <w:highlight w:val="none"/>
        </w:rPr>
      </w:pPr>
      <w:r>
        <w:rPr>
          <w:rFonts w:hint="eastAsia" w:ascii="宋体" w:hAnsi="宋体"/>
          <w:b/>
          <w:color w:val="auto"/>
          <w:sz w:val="32"/>
          <w:szCs w:val="32"/>
          <w:highlight w:val="none"/>
        </w:rPr>
        <w:br w:type="page"/>
      </w:r>
      <w:r>
        <w:rPr>
          <w:rFonts w:hint="eastAsia" w:ascii="宋体" w:hAnsi="宋体"/>
          <w:b/>
          <w:color w:val="auto"/>
          <w:sz w:val="32"/>
          <w:szCs w:val="32"/>
          <w:highlight w:val="none"/>
        </w:rPr>
        <w:t>三、</w:t>
      </w:r>
      <w:bookmarkStart w:id="41" w:name="_GoBack"/>
      <w:r>
        <w:rPr>
          <w:rFonts w:hint="eastAsia" w:ascii="宋体" w:hAnsi="宋体"/>
          <w:b/>
          <w:color w:val="auto"/>
          <w:sz w:val="32"/>
          <w:szCs w:val="32"/>
          <w:highlight w:val="none"/>
        </w:rPr>
        <w:t>谈判报价方案说明书</w:t>
      </w:r>
      <w:bookmarkEnd w:id="41"/>
      <w:bookmarkEnd w:id="38"/>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按照谈判文件的要求编制报价方案说明书，内容应包括但不限于所供货物和服务的详细说明、技术规格响应表、供货一览表、检验报告、提供本项目要求的相关证明材料、产品合格证明，质量保证和售后服务承诺等，交货期、付款条件和付款方式、配送地点及运输方式、验收依据证明文件等。至少应包括如下：</w:t>
      </w:r>
    </w:p>
    <w:p>
      <w:pPr>
        <w:spacing w:line="360" w:lineRule="auto"/>
        <w:ind w:left="840" w:leftChars="200" w:hanging="420" w:hangingChars="200"/>
        <w:rPr>
          <w:rFonts w:ascii="宋体" w:hAnsi="宋体"/>
          <w:color w:val="auto"/>
          <w:szCs w:val="21"/>
          <w:highlight w:val="none"/>
        </w:rPr>
      </w:pPr>
      <w:r>
        <w:rPr>
          <w:rFonts w:hint="eastAsia" w:ascii="宋体" w:hAnsi="宋体"/>
          <w:color w:val="auto"/>
          <w:szCs w:val="21"/>
          <w:highlight w:val="none"/>
        </w:rPr>
        <w:t>1）所供货物有效的证明文件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w:t>
      </w:r>
      <w:r>
        <w:rPr>
          <w:rFonts w:hint="eastAsia" w:ascii="宋体" w:hAnsi="宋体" w:cs="宋体"/>
          <w:color w:val="auto"/>
          <w:szCs w:val="21"/>
          <w:highlight w:val="none"/>
        </w:rPr>
        <w:t>如果是代理商投标，提供响应产品合法来源渠道的证明文件（</w:t>
      </w:r>
      <w:r>
        <w:rPr>
          <w:rFonts w:hint="eastAsia" w:ascii="宋体" w:hAnsi="宋体"/>
          <w:color w:val="auto"/>
          <w:highlight w:val="none"/>
          <w:lang w:val="en-US" w:eastAsia="zh-CN"/>
        </w:rPr>
        <w:t>包括但不限于原厂</w:t>
      </w:r>
      <w:r>
        <w:rPr>
          <w:rFonts w:hint="eastAsia" w:ascii="宋体" w:hAnsi="宋体"/>
          <w:color w:val="auto"/>
          <w:highlight w:val="none"/>
        </w:rPr>
        <w:t>授权</w:t>
      </w:r>
      <w:r>
        <w:rPr>
          <w:rFonts w:hint="eastAsia" w:ascii="宋体" w:hAnsi="宋体"/>
          <w:color w:val="auto"/>
          <w:highlight w:val="none"/>
          <w:lang w:eastAsia="zh-CN"/>
        </w:rPr>
        <w:t>、</w:t>
      </w:r>
      <w:r>
        <w:rPr>
          <w:rFonts w:hint="eastAsia" w:ascii="宋体" w:hAnsi="宋体"/>
          <w:color w:val="auto"/>
          <w:highlight w:val="none"/>
          <w:lang w:val="en-US" w:eastAsia="zh-CN"/>
        </w:rPr>
        <w:t>代理协议、经销协议等证明材料</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olor w:val="auto"/>
          <w:szCs w:val="21"/>
          <w:highlight w:val="none"/>
        </w:rPr>
        <w:t>提供本项目要求的相关证明材料（</w:t>
      </w:r>
      <w:r>
        <w:rPr>
          <w:rFonts w:hint="eastAsia" w:ascii="宋体" w:hAnsi="宋体"/>
          <w:color w:val="auto"/>
          <w:highlight w:val="none"/>
          <w:lang w:val="en-US" w:eastAsia="zh-CN"/>
        </w:rPr>
        <w:t>包括但不限于</w:t>
      </w:r>
      <w:r>
        <w:rPr>
          <w:rFonts w:hint="eastAsia" w:ascii="宋体" w:hAnsi="宋体" w:cs="Times New Roman"/>
          <w:bCs w:val="0"/>
          <w:i w:val="0"/>
          <w:color w:val="auto"/>
          <w:sz w:val="21"/>
          <w:szCs w:val="20"/>
          <w:highlight w:val="none"/>
        </w:rPr>
        <w:t>产品宣传彩页、</w:t>
      </w:r>
      <w:r>
        <w:rPr>
          <w:rFonts w:hint="eastAsia" w:ascii="宋体" w:hAnsi="宋体" w:cs="Times New Roman"/>
          <w:bCs w:val="0"/>
          <w:i w:val="0"/>
          <w:color w:val="auto"/>
          <w:sz w:val="21"/>
          <w:szCs w:val="20"/>
          <w:highlight w:val="none"/>
          <w:lang w:val="en-US" w:eastAsia="zh-CN"/>
        </w:rPr>
        <w:t>产品</w:t>
      </w:r>
      <w:r>
        <w:rPr>
          <w:rFonts w:hint="eastAsia" w:ascii="宋体" w:hAnsi="宋体" w:cs="Times New Roman"/>
          <w:bCs w:val="0"/>
          <w:i w:val="0"/>
          <w:color w:val="auto"/>
          <w:sz w:val="21"/>
          <w:szCs w:val="20"/>
          <w:highlight w:val="none"/>
        </w:rPr>
        <w:t>说明书</w:t>
      </w:r>
      <w:r>
        <w:rPr>
          <w:rFonts w:hint="eastAsia" w:ascii="宋体" w:hAnsi="宋体" w:cs="Times New Roman"/>
          <w:bCs w:val="0"/>
          <w:i w:val="0"/>
          <w:color w:val="auto"/>
          <w:sz w:val="21"/>
          <w:szCs w:val="20"/>
          <w:highlight w:val="none"/>
          <w:lang w:val="en-US" w:eastAsia="zh-CN"/>
        </w:rPr>
        <w:t>彩页、</w:t>
      </w:r>
      <w:r>
        <w:rPr>
          <w:rFonts w:hint="eastAsia" w:ascii="宋体" w:hAnsi="宋体" w:cs="Times New Roman"/>
          <w:bCs w:val="0"/>
          <w:i w:val="0"/>
          <w:color w:val="auto"/>
          <w:sz w:val="21"/>
          <w:szCs w:val="20"/>
          <w:highlight w:val="none"/>
        </w:rPr>
        <w:t>制造商官方网站发布的产品信息</w:t>
      </w:r>
      <w:r>
        <w:rPr>
          <w:rFonts w:hint="eastAsia" w:ascii="宋体" w:hAnsi="宋体" w:cs="Times New Roman"/>
          <w:bCs w:val="0"/>
          <w:i w:val="0"/>
          <w:color w:val="auto"/>
          <w:sz w:val="21"/>
          <w:szCs w:val="20"/>
          <w:highlight w:val="none"/>
          <w:lang w:val="en-US" w:eastAsia="zh-CN"/>
        </w:rPr>
        <w:t>网页截图</w:t>
      </w:r>
      <w:r>
        <w:rPr>
          <w:rFonts w:hint="eastAsia" w:ascii="宋体" w:hAnsi="宋体" w:cs="Times New Roman"/>
          <w:bCs w:val="0"/>
          <w:i w:val="0"/>
          <w:color w:val="auto"/>
          <w:sz w:val="21"/>
          <w:szCs w:val="20"/>
          <w:highlight w:val="none"/>
        </w:rPr>
        <w:t>或</w:t>
      </w:r>
      <w:r>
        <w:rPr>
          <w:rFonts w:hint="eastAsia" w:ascii="宋体" w:hAnsi="宋体"/>
          <w:color w:val="auto"/>
          <w:highlight w:val="none"/>
          <w:lang w:val="en-US" w:eastAsia="zh-CN"/>
        </w:rPr>
        <w:t>公安部认可的检测报告等</w:t>
      </w:r>
      <w:r>
        <w:rPr>
          <w:rFonts w:hint="eastAsia" w:ascii="宋体" w:hAnsi="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2）技术说明书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2.1所投货物的技术参数、商标、品牌、规格、货物制造商及产地。</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2.2填写技术规格偏离表（见附件：格式）并提供支持文件。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2.3说明技术规格优于或偏离谈判要求的指标（如果有的话）。</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2.4货物的质量标准、检测标准、是否符合国家规范及相关认证等。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3）填写供货一览表（见附件：格式）并详细说明报价所包含的全部供货内容和服务内容。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4）质量保证措施、</w:t>
      </w:r>
      <w:r>
        <w:rPr>
          <w:rFonts w:hint="eastAsia" w:ascii="宋体" w:hAnsi="宋体" w:cs="宋体"/>
          <w:color w:val="auto"/>
          <w:highlight w:val="none"/>
        </w:rPr>
        <w:t>厂家售后服务承诺及内容</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5）交货期、启运和配送地点及运输方式。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6）培训内容及方案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7）付款条件和付款方式。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8）验收依据。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9）业绩证明文件（合同复印件等）。</w:t>
      </w:r>
    </w:p>
    <w:p>
      <w:pPr>
        <w:spacing w:after="120"/>
        <w:rPr>
          <w:rFonts w:ascii="宋体" w:hAnsi="宋体"/>
          <w:color w:val="auto"/>
          <w:sz w:val="24"/>
          <w:szCs w:val="24"/>
          <w:highlight w:val="none"/>
        </w:rPr>
      </w:pPr>
      <w:r>
        <w:rPr>
          <w:rFonts w:hint="eastAsia" w:ascii="宋体" w:hAnsi="宋体"/>
          <w:b/>
          <w:color w:val="auto"/>
          <w:sz w:val="36"/>
          <w:highlight w:val="none"/>
        </w:rPr>
        <w:br w:type="page"/>
      </w:r>
      <w:r>
        <w:rPr>
          <w:rFonts w:hint="eastAsia" w:ascii="宋体" w:hAnsi="宋体" w:cs="宋体"/>
          <w:b/>
          <w:color w:val="auto"/>
          <w:sz w:val="24"/>
          <w:szCs w:val="24"/>
          <w:highlight w:val="none"/>
        </w:rPr>
        <w:t>附件：格式</w:t>
      </w:r>
    </w:p>
    <w:p>
      <w:pPr>
        <w:spacing w:before="312" w:beforeLines="100" w:after="312" w:afterLines="100" w:line="360" w:lineRule="auto"/>
        <w:jc w:val="center"/>
        <w:rPr>
          <w:rFonts w:ascii="宋体" w:hAnsi="宋体"/>
          <w:b/>
          <w:color w:val="auto"/>
          <w:sz w:val="32"/>
          <w:szCs w:val="32"/>
          <w:highlight w:val="none"/>
        </w:rPr>
      </w:pPr>
      <w:r>
        <w:rPr>
          <w:rFonts w:hint="eastAsia" w:ascii="宋体" w:hAnsi="宋体"/>
          <w:b/>
          <w:color w:val="auto"/>
          <w:sz w:val="32"/>
          <w:szCs w:val="32"/>
          <w:highlight w:val="none"/>
        </w:rPr>
        <w:t>商务响应偏离表</w:t>
      </w:r>
    </w:p>
    <w:p>
      <w:pPr>
        <w:spacing w:line="360" w:lineRule="auto"/>
        <w:rPr>
          <w:rFonts w:ascii="宋体" w:hAnsi="宋体"/>
          <w:b/>
          <w:bCs/>
          <w:color w:val="auto"/>
          <w:szCs w:val="21"/>
          <w:highlight w:val="none"/>
        </w:rPr>
      </w:pPr>
      <w:r>
        <w:rPr>
          <w:rFonts w:hint="eastAsia" w:ascii="宋体" w:hAnsi="宋体"/>
          <w:b/>
          <w:bCs/>
          <w:color w:val="auto"/>
          <w:szCs w:val="21"/>
          <w:highlight w:val="none"/>
        </w:rPr>
        <w:t>供应商名称：</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 xml:space="preserve">       项目编号：</w:t>
      </w:r>
      <w:r>
        <w:rPr>
          <w:rFonts w:hint="eastAsia" w:ascii="宋体" w:hAnsi="宋体"/>
          <w:b/>
          <w:bCs/>
          <w:color w:val="auto"/>
          <w:szCs w:val="21"/>
          <w:highlight w:val="none"/>
          <w:u w:val="single"/>
        </w:rPr>
        <w:t xml:space="preserve">                       </w:t>
      </w:r>
    </w:p>
    <w:tbl>
      <w:tblPr>
        <w:tblStyle w:val="19"/>
        <w:tblW w:w="8307" w:type="dxa"/>
        <w:tblInd w:w="5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979"/>
        <w:gridCol w:w="1963"/>
        <w:gridCol w:w="1963"/>
        <w:gridCol w:w="2447"/>
        <w:gridCol w:w="9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979" w:type="dxa"/>
            <w:vAlign w:val="center"/>
          </w:tcPr>
          <w:p>
            <w:pPr>
              <w:spacing w:line="0" w:lineRule="atLeast"/>
              <w:jc w:val="center"/>
              <w:rPr>
                <w:rFonts w:ascii="宋体" w:hAnsi="宋体"/>
                <w:b/>
                <w:bCs/>
                <w:color w:val="auto"/>
                <w:szCs w:val="21"/>
                <w:highlight w:val="none"/>
              </w:rPr>
            </w:pPr>
            <w:r>
              <w:rPr>
                <w:rFonts w:hint="eastAsia" w:ascii="宋体" w:hAnsi="宋体"/>
                <w:b/>
                <w:bCs/>
                <w:color w:val="auto"/>
                <w:szCs w:val="21"/>
                <w:highlight w:val="none"/>
              </w:rPr>
              <w:t>条款号</w:t>
            </w:r>
          </w:p>
        </w:tc>
        <w:tc>
          <w:tcPr>
            <w:tcW w:w="1963" w:type="dxa"/>
            <w:vAlign w:val="center"/>
          </w:tcPr>
          <w:p>
            <w:pPr>
              <w:spacing w:line="0" w:lineRule="atLeast"/>
              <w:jc w:val="center"/>
              <w:rPr>
                <w:rFonts w:ascii="宋体" w:hAnsi="宋体"/>
                <w:b/>
                <w:bCs/>
                <w:color w:val="auto"/>
                <w:szCs w:val="21"/>
                <w:highlight w:val="none"/>
              </w:rPr>
            </w:pPr>
            <w:r>
              <w:rPr>
                <w:rFonts w:hint="eastAsia" w:ascii="宋体" w:hAnsi="宋体"/>
                <w:b/>
                <w:bCs/>
                <w:color w:val="auto"/>
                <w:szCs w:val="21"/>
                <w:highlight w:val="none"/>
              </w:rPr>
              <w:t xml:space="preserve">商务要求 </w:t>
            </w:r>
          </w:p>
        </w:tc>
        <w:tc>
          <w:tcPr>
            <w:tcW w:w="1963" w:type="dxa"/>
            <w:vAlign w:val="center"/>
          </w:tcPr>
          <w:p>
            <w:pPr>
              <w:spacing w:line="0" w:lineRule="atLeast"/>
              <w:jc w:val="center"/>
              <w:rPr>
                <w:rFonts w:ascii="宋体" w:hAnsi="宋体"/>
                <w:b/>
                <w:bCs/>
                <w:color w:val="auto"/>
                <w:szCs w:val="21"/>
                <w:highlight w:val="none"/>
              </w:rPr>
            </w:pPr>
            <w:r>
              <w:rPr>
                <w:rFonts w:hint="eastAsia" w:ascii="宋体" w:hAnsi="宋体"/>
                <w:b/>
                <w:bCs/>
                <w:color w:val="auto"/>
                <w:szCs w:val="21"/>
                <w:highlight w:val="none"/>
              </w:rPr>
              <w:t xml:space="preserve">商务响应 </w:t>
            </w:r>
          </w:p>
        </w:tc>
        <w:tc>
          <w:tcPr>
            <w:tcW w:w="2447" w:type="dxa"/>
            <w:vAlign w:val="center"/>
          </w:tcPr>
          <w:p>
            <w:pPr>
              <w:spacing w:line="0" w:lineRule="atLeast"/>
              <w:jc w:val="center"/>
              <w:rPr>
                <w:rFonts w:ascii="宋体" w:hAnsi="宋体"/>
                <w:b/>
                <w:bCs/>
                <w:color w:val="auto"/>
                <w:szCs w:val="21"/>
                <w:highlight w:val="none"/>
              </w:rPr>
            </w:pPr>
            <w:r>
              <w:rPr>
                <w:rFonts w:hint="eastAsia" w:ascii="宋体" w:hAnsi="宋体"/>
                <w:b/>
                <w:bCs/>
                <w:color w:val="auto"/>
                <w:szCs w:val="21"/>
                <w:highlight w:val="none"/>
              </w:rPr>
              <w:t>响应/偏离（正或负）</w:t>
            </w:r>
          </w:p>
        </w:tc>
        <w:tc>
          <w:tcPr>
            <w:tcW w:w="955" w:type="dxa"/>
            <w:vAlign w:val="center"/>
          </w:tcPr>
          <w:p>
            <w:pPr>
              <w:spacing w:line="0" w:lineRule="atLeast"/>
              <w:jc w:val="center"/>
              <w:rPr>
                <w:rFonts w:ascii="宋体" w:hAnsi="宋体"/>
                <w:b/>
                <w:bCs/>
                <w:color w:val="auto"/>
                <w:szCs w:val="21"/>
                <w:highlight w:val="none"/>
              </w:rPr>
            </w:pPr>
            <w:r>
              <w:rPr>
                <w:rFonts w:hint="eastAsia" w:ascii="宋体" w:hAnsi="宋体"/>
                <w:b/>
                <w:bCs/>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701" w:hRule="atLeast"/>
        </w:trPr>
        <w:tc>
          <w:tcPr>
            <w:tcW w:w="979" w:type="dxa"/>
            <w:vAlign w:val="center"/>
          </w:tcPr>
          <w:p>
            <w:pPr>
              <w:jc w:val="center"/>
              <w:rPr>
                <w:rFonts w:ascii="宋体" w:hAnsi="宋体"/>
                <w:color w:val="auto"/>
                <w:szCs w:val="21"/>
                <w:highlight w:val="none"/>
              </w:rPr>
            </w:pPr>
          </w:p>
        </w:tc>
        <w:tc>
          <w:tcPr>
            <w:tcW w:w="1963" w:type="dxa"/>
            <w:vAlign w:val="center"/>
          </w:tcPr>
          <w:p>
            <w:pPr>
              <w:jc w:val="center"/>
              <w:rPr>
                <w:rFonts w:ascii="宋体" w:hAnsi="宋体"/>
                <w:color w:val="auto"/>
                <w:szCs w:val="21"/>
                <w:highlight w:val="none"/>
              </w:rPr>
            </w:pPr>
          </w:p>
        </w:tc>
        <w:tc>
          <w:tcPr>
            <w:tcW w:w="1963" w:type="dxa"/>
            <w:vAlign w:val="center"/>
          </w:tcPr>
          <w:p>
            <w:pPr>
              <w:jc w:val="center"/>
              <w:rPr>
                <w:rFonts w:ascii="宋体" w:hAnsi="宋体"/>
                <w:color w:val="auto"/>
                <w:szCs w:val="21"/>
                <w:highlight w:val="none"/>
              </w:rPr>
            </w:pPr>
          </w:p>
        </w:tc>
        <w:tc>
          <w:tcPr>
            <w:tcW w:w="2447" w:type="dxa"/>
            <w:vAlign w:val="center"/>
          </w:tcPr>
          <w:p>
            <w:pPr>
              <w:jc w:val="center"/>
              <w:rPr>
                <w:rFonts w:ascii="宋体" w:hAnsi="宋体"/>
                <w:color w:val="auto"/>
                <w:szCs w:val="21"/>
                <w:highlight w:val="none"/>
              </w:rPr>
            </w:pPr>
          </w:p>
        </w:tc>
        <w:tc>
          <w:tcPr>
            <w:tcW w:w="955"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701" w:hRule="atLeast"/>
        </w:trPr>
        <w:tc>
          <w:tcPr>
            <w:tcW w:w="979" w:type="dxa"/>
            <w:vAlign w:val="center"/>
          </w:tcPr>
          <w:p>
            <w:pPr>
              <w:jc w:val="center"/>
              <w:rPr>
                <w:rFonts w:ascii="宋体" w:hAnsi="宋体"/>
                <w:color w:val="auto"/>
                <w:szCs w:val="21"/>
                <w:highlight w:val="none"/>
              </w:rPr>
            </w:pPr>
          </w:p>
        </w:tc>
        <w:tc>
          <w:tcPr>
            <w:tcW w:w="1963" w:type="dxa"/>
            <w:vAlign w:val="center"/>
          </w:tcPr>
          <w:p>
            <w:pPr>
              <w:jc w:val="center"/>
              <w:rPr>
                <w:rFonts w:ascii="宋体" w:hAnsi="宋体"/>
                <w:color w:val="auto"/>
                <w:szCs w:val="21"/>
                <w:highlight w:val="none"/>
              </w:rPr>
            </w:pPr>
          </w:p>
        </w:tc>
        <w:tc>
          <w:tcPr>
            <w:tcW w:w="1963" w:type="dxa"/>
            <w:vAlign w:val="center"/>
          </w:tcPr>
          <w:p>
            <w:pPr>
              <w:jc w:val="center"/>
              <w:rPr>
                <w:rFonts w:ascii="宋体" w:hAnsi="宋体"/>
                <w:color w:val="auto"/>
                <w:szCs w:val="21"/>
                <w:highlight w:val="none"/>
              </w:rPr>
            </w:pPr>
          </w:p>
        </w:tc>
        <w:tc>
          <w:tcPr>
            <w:tcW w:w="2447" w:type="dxa"/>
            <w:vAlign w:val="center"/>
          </w:tcPr>
          <w:p>
            <w:pPr>
              <w:jc w:val="center"/>
              <w:rPr>
                <w:rFonts w:ascii="宋体" w:hAnsi="宋体"/>
                <w:color w:val="auto"/>
                <w:szCs w:val="21"/>
                <w:highlight w:val="none"/>
              </w:rPr>
            </w:pPr>
          </w:p>
        </w:tc>
        <w:tc>
          <w:tcPr>
            <w:tcW w:w="955"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701" w:hRule="atLeast"/>
        </w:trPr>
        <w:tc>
          <w:tcPr>
            <w:tcW w:w="979"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963" w:type="dxa"/>
            <w:vAlign w:val="center"/>
          </w:tcPr>
          <w:p>
            <w:pPr>
              <w:jc w:val="center"/>
              <w:rPr>
                <w:rFonts w:ascii="宋体" w:hAnsi="宋体"/>
                <w:color w:val="auto"/>
                <w:szCs w:val="21"/>
                <w:highlight w:val="none"/>
              </w:rPr>
            </w:pPr>
          </w:p>
        </w:tc>
        <w:tc>
          <w:tcPr>
            <w:tcW w:w="1963" w:type="dxa"/>
            <w:vAlign w:val="center"/>
          </w:tcPr>
          <w:p>
            <w:pPr>
              <w:jc w:val="center"/>
              <w:rPr>
                <w:rFonts w:ascii="宋体" w:hAnsi="宋体"/>
                <w:color w:val="auto"/>
                <w:szCs w:val="21"/>
                <w:highlight w:val="none"/>
              </w:rPr>
            </w:pPr>
          </w:p>
        </w:tc>
        <w:tc>
          <w:tcPr>
            <w:tcW w:w="2447" w:type="dxa"/>
            <w:vAlign w:val="center"/>
          </w:tcPr>
          <w:p>
            <w:pPr>
              <w:jc w:val="center"/>
              <w:rPr>
                <w:rFonts w:ascii="宋体" w:hAnsi="宋体"/>
                <w:color w:val="auto"/>
                <w:szCs w:val="21"/>
                <w:highlight w:val="none"/>
              </w:rPr>
            </w:pPr>
          </w:p>
        </w:tc>
        <w:tc>
          <w:tcPr>
            <w:tcW w:w="955" w:type="dxa"/>
            <w:vAlign w:val="center"/>
          </w:tcPr>
          <w:p>
            <w:pPr>
              <w:jc w:val="center"/>
              <w:rPr>
                <w:rFonts w:ascii="宋体" w:hAnsi="宋体"/>
                <w:color w:val="auto"/>
                <w:szCs w:val="21"/>
                <w:highlight w:val="none"/>
              </w:rPr>
            </w:pPr>
          </w:p>
        </w:tc>
      </w:tr>
    </w:tbl>
    <w:p>
      <w:pPr>
        <w:spacing w:line="360" w:lineRule="auto"/>
        <w:rPr>
          <w:rFonts w:ascii="宋体" w:hAnsi="宋体" w:cs="宋体"/>
          <w:b/>
          <w:color w:val="auto"/>
          <w:szCs w:val="21"/>
          <w:highlight w:val="none"/>
        </w:rPr>
      </w:pPr>
      <w:r>
        <w:rPr>
          <w:rFonts w:hint="eastAsia" w:ascii="宋体" w:hAnsi="宋体" w:cs="宋体"/>
          <w:b/>
          <w:color w:val="auto"/>
          <w:szCs w:val="21"/>
          <w:highlight w:val="none"/>
        </w:rPr>
        <w:t>注：</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1</w:t>
      </w:r>
      <w:r>
        <w:rPr>
          <w:rFonts w:ascii="宋体" w:hAnsi="宋体" w:cs="宋体"/>
          <w:b/>
          <w:color w:val="auto"/>
          <w:szCs w:val="21"/>
          <w:highlight w:val="none"/>
        </w:rPr>
        <w:t>.</w:t>
      </w:r>
      <w:r>
        <w:rPr>
          <w:rFonts w:hint="eastAsia" w:ascii="宋体" w:hAnsi="宋体" w:cs="宋体"/>
          <w:b/>
          <w:color w:val="auto"/>
          <w:szCs w:val="21"/>
          <w:highlight w:val="none"/>
        </w:rPr>
        <w:t>商务</w:t>
      </w:r>
      <w:r>
        <w:rPr>
          <w:rFonts w:ascii="宋体" w:hAnsi="宋体" w:cs="宋体"/>
          <w:b/>
          <w:color w:val="auto"/>
          <w:szCs w:val="21"/>
          <w:highlight w:val="none"/>
        </w:rPr>
        <w:t>要求</w:t>
      </w:r>
      <w:r>
        <w:rPr>
          <w:rFonts w:hint="eastAsia" w:ascii="宋体" w:hAnsi="宋体" w:cs="宋体"/>
          <w:b/>
          <w:color w:val="auto"/>
          <w:szCs w:val="21"/>
          <w:highlight w:val="none"/>
        </w:rPr>
        <w:t>指谈判文件中的商务条款，</w:t>
      </w:r>
      <w:r>
        <w:rPr>
          <w:rFonts w:ascii="宋体" w:hAnsi="宋体" w:cs="宋体"/>
          <w:b/>
          <w:color w:val="auto"/>
          <w:szCs w:val="21"/>
          <w:highlight w:val="none"/>
        </w:rPr>
        <w:t>主要有：付款、</w:t>
      </w:r>
      <w:r>
        <w:rPr>
          <w:rFonts w:hint="eastAsia" w:ascii="宋体" w:hAnsi="宋体" w:cs="宋体"/>
          <w:b/>
          <w:color w:val="auto"/>
          <w:szCs w:val="21"/>
          <w:highlight w:val="none"/>
        </w:rPr>
        <w:t>交货期、质保</w:t>
      </w:r>
      <w:r>
        <w:rPr>
          <w:rFonts w:ascii="宋体" w:hAnsi="宋体" w:cs="宋体"/>
          <w:b/>
          <w:color w:val="auto"/>
          <w:szCs w:val="21"/>
          <w:highlight w:val="none"/>
        </w:rPr>
        <w:t>期等内容</w:t>
      </w:r>
      <w:r>
        <w:rPr>
          <w:rFonts w:hint="eastAsia" w:ascii="宋体" w:hAnsi="宋体" w:cs="宋体"/>
          <w:b/>
          <w:color w:val="auto"/>
          <w:szCs w:val="21"/>
          <w:highlight w:val="none"/>
        </w:rPr>
        <w:t>；</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2.商务响应为供应商响应文件中针对商务条款的响应内容；</w:t>
      </w:r>
    </w:p>
    <w:p>
      <w:pPr>
        <w:spacing w:line="360" w:lineRule="auto"/>
        <w:rPr>
          <w:rFonts w:ascii="宋体" w:hAnsi="宋体" w:cs="宋体"/>
          <w:b/>
          <w:color w:val="auto"/>
          <w:highlight w:val="none"/>
        </w:rPr>
      </w:pPr>
      <w:r>
        <w:rPr>
          <w:rFonts w:hint="eastAsia" w:ascii="宋体" w:hAnsi="宋体" w:cs="宋体"/>
          <w:b/>
          <w:color w:val="auto"/>
          <w:szCs w:val="21"/>
          <w:highlight w:val="none"/>
        </w:rPr>
        <w:t>3.</w:t>
      </w:r>
      <w:r>
        <w:rPr>
          <w:rFonts w:hint="eastAsia" w:ascii="宋体" w:hAnsi="宋体"/>
          <w:b/>
          <w:color w:val="auto"/>
          <w:szCs w:val="21"/>
          <w:highlight w:val="none"/>
        </w:rPr>
        <w:t>除此表列出的偏离外，供应商响应谈判文件中商务要求的全部内容</w:t>
      </w: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如供应商针对谈判要求无任何偏离，则提供空表并签字盖章</w:t>
      </w:r>
      <w:r>
        <w:rPr>
          <w:rFonts w:hint="eastAsia" w:ascii="宋体" w:hAnsi="宋体"/>
          <w:b/>
          <w:color w:val="auto"/>
          <w:szCs w:val="21"/>
          <w:highlight w:val="none"/>
        </w:rPr>
        <w:t>。</w:t>
      </w:r>
    </w:p>
    <w:p>
      <w:pPr>
        <w:rPr>
          <w:rFonts w:ascii="宋体" w:hAnsi="宋体"/>
          <w:color w:val="auto"/>
          <w:szCs w:val="21"/>
          <w:highlight w:val="none"/>
        </w:rPr>
      </w:pPr>
    </w:p>
    <w:p>
      <w:pPr>
        <w:pStyle w:val="14"/>
        <w:rPr>
          <w:rFonts w:ascii="宋体" w:hAnsi="宋体"/>
          <w:color w:val="auto"/>
          <w:highlight w:val="none"/>
        </w:rPr>
      </w:pPr>
    </w:p>
    <w:p>
      <w:pPr>
        <w:rPr>
          <w:rFonts w:ascii="宋体" w:hAnsi="宋体"/>
          <w:color w:val="auto"/>
          <w:highlight w:val="none"/>
        </w:rPr>
      </w:pPr>
    </w:p>
    <w:p>
      <w:pPr>
        <w:spacing w:before="312" w:beforeLines="100" w:after="312" w:afterLines="100" w:line="360" w:lineRule="auto"/>
        <w:rPr>
          <w:rFonts w:ascii="宋体" w:hAnsi="宋体" w:cs="宋体"/>
          <w:color w:val="auto"/>
          <w:spacing w:val="4"/>
          <w:szCs w:val="21"/>
          <w:highlight w:val="none"/>
        </w:rPr>
      </w:pPr>
      <w:r>
        <w:rPr>
          <w:rFonts w:hint="eastAsia" w:ascii="宋体" w:hAnsi="宋体" w:cs="宋体"/>
          <w:color w:val="auto"/>
          <w:spacing w:val="4"/>
          <w:szCs w:val="21"/>
          <w:highlight w:val="none"/>
        </w:rPr>
        <w:t>供应商名称：</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（加盖公章）</w:t>
      </w:r>
    </w:p>
    <w:p>
      <w:pPr>
        <w:spacing w:before="312" w:beforeLines="100" w:after="312" w:afterLines="100" w:line="360" w:lineRule="auto"/>
        <w:rPr>
          <w:rFonts w:ascii="宋体" w:hAnsi="宋体" w:cs="宋体"/>
          <w:color w:val="auto"/>
          <w:spacing w:val="4"/>
          <w:szCs w:val="21"/>
          <w:highlight w:val="none"/>
        </w:rPr>
      </w:pPr>
      <w:r>
        <w:rPr>
          <w:rFonts w:hint="eastAsia" w:ascii="宋体" w:hAnsi="宋体" w:cs="宋体"/>
          <w:color w:val="auto"/>
          <w:spacing w:val="4"/>
          <w:szCs w:val="21"/>
          <w:highlight w:val="none"/>
        </w:rPr>
        <w:t>法定代表人或授权代表（签字或盖章）：</w:t>
      </w:r>
      <w:r>
        <w:rPr>
          <w:rFonts w:hint="eastAsia" w:ascii="宋体" w:hAnsi="宋体" w:cs="宋体"/>
          <w:color w:val="auto"/>
          <w:spacing w:val="4"/>
          <w:szCs w:val="21"/>
          <w:highlight w:val="none"/>
          <w:u w:val="single"/>
        </w:rPr>
        <w:t xml:space="preserve">                      </w:t>
      </w:r>
    </w:p>
    <w:p>
      <w:pPr>
        <w:spacing w:after="120"/>
        <w:rPr>
          <w:rFonts w:ascii="宋体" w:hAnsi="宋体"/>
          <w:color w:val="auto"/>
          <w:sz w:val="24"/>
          <w:szCs w:val="24"/>
          <w:highlight w:val="none"/>
        </w:rPr>
      </w:pPr>
      <w:r>
        <w:rPr>
          <w:rFonts w:hint="eastAsia" w:ascii="宋体" w:hAnsi="宋体" w:cs="宋体"/>
          <w:b/>
          <w:color w:val="auto"/>
          <w:sz w:val="24"/>
          <w:szCs w:val="24"/>
          <w:highlight w:val="none"/>
        </w:rPr>
        <w:br w:type="page"/>
      </w:r>
      <w:r>
        <w:rPr>
          <w:rFonts w:hint="eastAsia" w:ascii="宋体" w:hAnsi="宋体" w:cs="宋体"/>
          <w:b/>
          <w:color w:val="auto"/>
          <w:sz w:val="24"/>
          <w:szCs w:val="24"/>
          <w:highlight w:val="none"/>
        </w:rPr>
        <w:t>附件：格式</w:t>
      </w:r>
    </w:p>
    <w:p>
      <w:pPr>
        <w:spacing w:before="312" w:beforeLines="100" w:after="312" w:afterLines="100" w:line="360" w:lineRule="auto"/>
        <w:jc w:val="center"/>
        <w:rPr>
          <w:rFonts w:ascii="宋体" w:hAnsi="宋体"/>
          <w:b/>
          <w:color w:val="auto"/>
          <w:sz w:val="32"/>
          <w:szCs w:val="32"/>
          <w:highlight w:val="none"/>
        </w:rPr>
      </w:pPr>
      <w:r>
        <w:rPr>
          <w:rFonts w:hint="eastAsia" w:ascii="宋体" w:hAnsi="宋体"/>
          <w:b/>
          <w:color w:val="auto"/>
          <w:sz w:val="32"/>
          <w:szCs w:val="32"/>
          <w:highlight w:val="none"/>
        </w:rPr>
        <w:t>技术规格偏离表</w:t>
      </w:r>
    </w:p>
    <w:p>
      <w:pPr>
        <w:spacing w:line="360" w:lineRule="auto"/>
        <w:rPr>
          <w:rFonts w:ascii="宋体" w:hAnsi="宋体"/>
          <w:b/>
          <w:color w:val="auto"/>
          <w:szCs w:val="21"/>
          <w:highlight w:val="none"/>
        </w:rPr>
      </w:pPr>
      <w:r>
        <w:rPr>
          <w:rFonts w:hint="eastAsia" w:ascii="宋体" w:hAnsi="宋体"/>
          <w:b/>
          <w:bCs/>
          <w:color w:val="auto"/>
          <w:szCs w:val="21"/>
          <w:highlight w:val="none"/>
        </w:rPr>
        <w:t>供应商名称：</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 xml:space="preserve">       项目编号：</w:t>
      </w:r>
      <w:r>
        <w:rPr>
          <w:rFonts w:hint="eastAsia" w:ascii="宋体" w:hAnsi="宋体"/>
          <w:b/>
          <w:bCs/>
          <w:color w:val="auto"/>
          <w:szCs w:val="21"/>
          <w:highlight w:val="none"/>
          <w:u w:val="single"/>
        </w:rPr>
        <w:t xml:space="preserve">                       </w:t>
      </w:r>
    </w:p>
    <w:tbl>
      <w:tblPr>
        <w:tblStyle w:val="19"/>
        <w:tblW w:w="8307" w:type="dxa"/>
        <w:tblInd w:w="5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979"/>
        <w:gridCol w:w="1963"/>
        <w:gridCol w:w="1963"/>
        <w:gridCol w:w="2447"/>
        <w:gridCol w:w="9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979" w:type="dxa"/>
            <w:vAlign w:val="center"/>
          </w:tcPr>
          <w:p>
            <w:pPr>
              <w:spacing w:line="0" w:lineRule="atLeast"/>
              <w:jc w:val="center"/>
              <w:rPr>
                <w:rFonts w:ascii="宋体" w:hAnsi="宋体"/>
                <w:b/>
                <w:bCs/>
                <w:color w:val="auto"/>
                <w:szCs w:val="21"/>
                <w:highlight w:val="none"/>
              </w:rPr>
            </w:pPr>
            <w:r>
              <w:rPr>
                <w:rFonts w:hint="eastAsia" w:ascii="宋体" w:hAnsi="宋体"/>
                <w:b/>
                <w:bCs/>
                <w:color w:val="auto"/>
                <w:szCs w:val="21"/>
                <w:highlight w:val="none"/>
              </w:rPr>
              <w:t>条款号</w:t>
            </w:r>
          </w:p>
        </w:tc>
        <w:tc>
          <w:tcPr>
            <w:tcW w:w="1963" w:type="dxa"/>
            <w:vAlign w:val="center"/>
          </w:tcPr>
          <w:p>
            <w:pPr>
              <w:spacing w:line="0" w:lineRule="atLeast"/>
              <w:jc w:val="center"/>
              <w:rPr>
                <w:rFonts w:ascii="宋体" w:hAnsi="宋体"/>
                <w:b/>
                <w:bCs/>
                <w:color w:val="auto"/>
                <w:szCs w:val="21"/>
                <w:highlight w:val="none"/>
              </w:rPr>
            </w:pPr>
            <w:r>
              <w:rPr>
                <w:rFonts w:hint="eastAsia" w:ascii="宋体" w:hAnsi="宋体"/>
                <w:b/>
                <w:bCs/>
                <w:color w:val="auto"/>
                <w:szCs w:val="21"/>
                <w:highlight w:val="none"/>
              </w:rPr>
              <w:t xml:space="preserve">谈判要求 </w:t>
            </w:r>
          </w:p>
        </w:tc>
        <w:tc>
          <w:tcPr>
            <w:tcW w:w="1963" w:type="dxa"/>
            <w:vAlign w:val="center"/>
          </w:tcPr>
          <w:p>
            <w:pPr>
              <w:spacing w:line="0" w:lineRule="atLeast"/>
              <w:jc w:val="center"/>
              <w:rPr>
                <w:rFonts w:ascii="宋体" w:hAnsi="宋体"/>
                <w:b/>
                <w:bCs/>
                <w:color w:val="auto"/>
                <w:szCs w:val="21"/>
                <w:highlight w:val="none"/>
              </w:rPr>
            </w:pPr>
            <w:r>
              <w:rPr>
                <w:rFonts w:hint="eastAsia" w:ascii="宋体" w:hAnsi="宋体"/>
                <w:b/>
                <w:bCs/>
                <w:color w:val="auto"/>
                <w:szCs w:val="21"/>
                <w:highlight w:val="none"/>
              </w:rPr>
              <w:t xml:space="preserve">谈判响应 </w:t>
            </w:r>
          </w:p>
        </w:tc>
        <w:tc>
          <w:tcPr>
            <w:tcW w:w="2447" w:type="dxa"/>
            <w:vAlign w:val="center"/>
          </w:tcPr>
          <w:p>
            <w:pPr>
              <w:spacing w:line="0" w:lineRule="atLeast"/>
              <w:jc w:val="center"/>
              <w:rPr>
                <w:rFonts w:ascii="宋体" w:hAnsi="宋体"/>
                <w:b/>
                <w:bCs/>
                <w:color w:val="auto"/>
                <w:szCs w:val="21"/>
                <w:highlight w:val="none"/>
              </w:rPr>
            </w:pPr>
            <w:r>
              <w:rPr>
                <w:rFonts w:hint="eastAsia" w:ascii="宋体" w:hAnsi="宋体"/>
                <w:b/>
                <w:bCs/>
                <w:color w:val="auto"/>
                <w:szCs w:val="21"/>
                <w:highlight w:val="none"/>
              </w:rPr>
              <w:t>响应/偏离（正或负）</w:t>
            </w:r>
          </w:p>
        </w:tc>
        <w:tc>
          <w:tcPr>
            <w:tcW w:w="955" w:type="dxa"/>
            <w:vAlign w:val="center"/>
          </w:tcPr>
          <w:p>
            <w:pPr>
              <w:spacing w:line="0" w:lineRule="atLeast"/>
              <w:jc w:val="center"/>
              <w:rPr>
                <w:rFonts w:ascii="宋体" w:hAnsi="宋体"/>
                <w:b/>
                <w:bCs/>
                <w:color w:val="auto"/>
                <w:szCs w:val="21"/>
                <w:highlight w:val="none"/>
              </w:rPr>
            </w:pPr>
            <w:r>
              <w:rPr>
                <w:rFonts w:hint="eastAsia" w:ascii="宋体" w:hAnsi="宋体"/>
                <w:b/>
                <w:bCs/>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701" w:hRule="atLeast"/>
        </w:trPr>
        <w:tc>
          <w:tcPr>
            <w:tcW w:w="979" w:type="dxa"/>
            <w:vAlign w:val="center"/>
          </w:tcPr>
          <w:p>
            <w:pPr>
              <w:jc w:val="center"/>
              <w:rPr>
                <w:rFonts w:ascii="宋体" w:hAnsi="宋体"/>
                <w:color w:val="auto"/>
                <w:szCs w:val="21"/>
                <w:highlight w:val="none"/>
              </w:rPr>
            </w:pPr>
          </w:p>
        </w:tc>
        <w:tc>
          <w:tcPr>
            <w:tcW w:w="1963" w:type="dxa"/>
            <w:vAlign w:val="center"/>
          </w:tcPr>
          <w:p>
            <w:pPr>
              <w:jc w:val="center"/>
              <w:rPr>
                <w:rFonts w:ascii="宋体" w:hAnsi="宋体"/>
                <w:color w:val="auto"/>
                <w:szCs w:val="21"/>
                <w:highlight w:val="none"/>
              </w:rPr>
            </w:pPr>
          </w:p>
        </w:tc>
        <w:tc>
          <w:tcPr>
            <w:tcW w:w="1963" w:type="dxa"/>
            <w:vAlign w:val="center"/>
          </w:tcPr>
          <w:p>
            <w:pPr>
              <w:jc w:val="center"/>
              <w:rPr>
                <w:rFonts w:ascii="宋体" w:hAnsi="宋体"/>
                <w:color w:val="auto"/>
                <w:szCs w:val="21"/>
                <w:highlight w:val="none"/>
              </w:rPr>
            </w:pPr>
          </w:p>
        </w:tc>
        <w:tc>
          <w:tcPr>
            <w:tcW w:w="2447" w:type="dxa"/>
            <w:vAlign w:val="center"/>
          </w:tcPr>
          <w:p>
            <w:pPr>
              <w:jc w:val="center"/>
              <w:rPr>
                <w:rFonts w:ascii="宋体" w:hAnsi="宋体"/>
                <w:color w:val="auto"/>
                <w:szCs w:val="21"/>
                <w:highlight w:val="none"/>
              </w:rPr>
            </w:pPr>
          </w:p>
        </w:tc>
        <w:tc>
          <w:tcPr>
            <w:tcW w:w="955"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701" w:hRule="atLeast"/>
        </w:trPr>
        <w:tc>
          <w:tcPr>
            <w:tcW w:w="979" w:type="dxa"/>
            <w:vAlign w:val="center"/>
          </w:tcPr>
          <w:p>
            <w:pPr>
              <w:jc w:val="center"/>
              <w:rPr>
                <w:rFonts w:ascii="宋体" w:hAnsi="宋体"/>
                <w:color w:val="auto"/>
                <w:szCs w:val="21"/>
                <w:highlight w:val="none"/>
              </w:rPr>
            </w:pPr>
          </w:p>
        </w:tc>
        <w:tc>
          <w:tcPr>
            <w:tcW w:w="1963" w:type="dxa"/>
            <w:vAlign w:val="center"/>
          </w:tcPr>
          <w:p>
            <w:pPr>
              <w:jc w:val="center"/>
              <w:rPr>
                <w:rFonts w:ascii="宋体" w:hAnsi="宋体"/>
                <w:color w:val="auto"/>
                <w:szCs w:val="21"/>
                <w:highlight w:val="none"/>
              </w:rPr>
            </w:pPr>
          </w:p>
        </w:tc>
        <w:tc>
          <w:tcPr>
            <w:tcW w:w="1963" w:type="dxa"/>
            <w:vAlign w:val="center"/>
          </w:tcPr>
          <w:p>
            <w:pPr>
              <w:jc w:val="center"/>
              <w:rPr>
                <w:rFonts w:ascii="宋体" w:hAnsi="宋体"/>
                <w:color w:val="auto"/>
                <w:szCs w:val="21"/>
                <w:highlight w:val="none"/>
              </w:rPr>
            </w:pPr>
          </w:p>
        </w:tc>
        <w:tc>
          <w:tcPr>
            <w:tcW w:w="2447" w:type="dxa"/>
            <w:vAlign w:val="center"/>
          </w:tcPr>
          <w:p>
            <w:pPr>
              <w:jc w:val="center"/>
              <w:rPr>
                <w:rFonts w:ascii="宋体" w:hAnsi="宋体"/>
                <w:color w:val="auto"/>
                <w:szCs w:val="21"/>
                <w:highlight w:val="none"/>
              </w:rPr>
            </w:pPr>
          </w:p>
        </w:tc>
        <w:tc>
          <w:tcPr>
            <w:tcW w:w="955"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701" w:hRule="atLeast"/>
        </w:trPr>
        <w:tc>
          <w:tcPr>
            <w:tcW w:w="979"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963" w:type="dxa"/>
            <w:vAlign w:val="center"/>
          </w:tcPr>
          <w:p>
            <w:pPr>
              <w:jc w:val="center"/>
              <w:rPr>
                <w:rFonts w:ascii="宋体" w:hAnsi="宋体"/>
                <w:color w:val="auto"/>
                <w:szCs w:val="21"/>
                <w:highlight w:val="none"/>
              </w:rPr>
            </w:pPr>
          </w:p>
        </w:tc>
        <w:tc>
          <w:tcPr>
            <w:tcW w:w="1963" w:type="dxa"/>
            <w:vAlign w:val="center"/>
          </w:tcPr>
          <w:p>
            <w:pPr>
              <w:jc w:val="center"/>
              <w:rPr>
                <w:rFonts w:ascii="宋体" w:hAnsi="宋体"/>
                <w:color w:val="auto"/>
                <w:szCs w:val="21"/>
                <w:highlight w:val="none"/>
              </w:rPr>
            </w:pPr>
          </w:p>
        </w:tc>
        <w:tc>
          <w:tcPr>
            <w:tcW w:w="2447" w:type="dxa"/>
            <w:vAlign w:val="center"/>
          </w:tcPr>
          <w:p>
            <w:pPr>
              <w:jc w:val="center"/>
              <w:rPr>
                <w:rFonts w:ascii="宋体" w:hAnsi="宋体"/>
                <w:color w:val="auto"/>
                <w:szCs w:val="21"/>
                <w:highlight w:val="none"/>
              </w:rPr>
            </w:pPr>
          </w:p>
        </w:tc>
        <w:tc>
          <w:tcPr>
            <w:tcW w:w="955" w:type="dxa"/>
            <w:vAlign w:val="center"/>
          </w:tcPr>
          <w:p>
            <w:pPr>
              <w:jc w:val="center"/>
              <w:rPr>
                <w:rFonts w:ascii="宋体" w:hAnsi="宋体"/>
                <w:color w:val="auto"/>
                <w:szCs w:val="21"/>
                <w:highlight w:val="none"/>
              </w:rPr>
            </w:pPr>
          </w:p>
        </w:tc>
      </w:tr>
    </w:tbl>
    <w:p>
      <w:pPr>
        <w:spacing w:line="360" w:lineRule="auto"/>
        <w:rPr>
          <w:rFonts w:ascii="宋体" w:hAnsi="宋体" w:cs="宋体"/>
          <w:b/>
          <w:color w:val="auto"/>
          <w:szCs w:val="21"/>
          <w:highlight w:val="none"/>
        </w:rPr>
      </w:pPr>
      <w:r>
        <w:rPr>
          <w:rFonts w:hint="eastAsia" w:ascii="宋体" w:hAnsi="宋体" w:cs="宋体"/>
          <w:b/>
          <w:color w:val="auto"/>
          <w:szCs w:val="21"/>
          <w:highlight w:val="none"/>
        </w:rPr>
        <w:t>注：1.谈判文件“第四章 采购内容及技术要求”中的技术要求,供应商必须按照谈判文件中的内容在上表“</w:t>
      </w:r>
      <w:r>
        <w:rPr>
          <w:rFonts w:hint="eastAsia" w:ascii="宋体" w:hAnsi="宋体"/>
          <w:b/>
          <w:bCs/>
          <w:color w:val="auto"/>
          <w:szCs w:val="21"/>
          <w:highlight w:val="none"/>
        </w:rPr>
        <w:t xml:space="preserve">谈判要求 </w:t>
      </w:r>
      <w:r>
        <w:rPr>
          <w:rFonts w:hint="eastAsia" w:ascii="宋体" w:hAnsi="宋体" w:cs="宋体"/>
          <w:b/>
          <w:color w:val="auto"/>
          <w:szCs w:val="21"/>
          <w:highlight w:val="none"/>
        </w:rPr>
        <w:t>”中逐条抄写。</w:t>
      </w:r>
    </w:p>
    <w:p>
      <w:pPr>
        <w:spacing w:line="360" w:lineRule="auto"/>
        <w:rPr>
          <w:rFonts w:ascii="宋体" w:hAnsi="宋体" w:cs="宋体"/>
          <w:color w:val="auto"/>
          <w:highlight w:val="none"/>
        </w:rPr>
      </w:pPr>
      <w:r>
        <w:rPr>
          <w:rFonts w:hint="eastAsia" w:ascii="宋体" w:hAnsi="宋体" w:cs="宋体"/>
          <w:b/>
          <w:color w:val="auto"/>
          <w:szCs w:val="21"/>
          <w:highlight w:val="none"/>
        </w:rPr>
        <w:t>2.供应商拟提供的响应产品的技术要求,应在上表“谈判响应”中逐条如实填写并明确响应情况，谈判文件“第四章 采购内容及技术要求”中要求提供相关证明材料的条款，供应商必须提供相关证明材料（未提供证明材料按否决响应处理</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本项目供应商所响应产品技术参数必须满足竞争性谈判文件所要求的最低指标要求，否则按未</w:t>
      </w:r>
      <w:r>
        <w:rPr>
          <w:rFonts w:hint="eastAsia" w:ascii="宋体" w:hAnsi="宋体" w:cs="宋体"/>
          <w:b/>
          <w:color w:val="auto"/>
          <w:szCs w:val="21"/>
          <w:highlight w:val="none"/>
        </w:rPr>
        <w:t>实质性响应谈判文件要求</w:t>
      </w:r>
      <w:r>
        <w:rPr>
          <w:rFonts w:hint="eastAsia" w:ascii="宋体" w:hAnsi="宋体" w:cs="宋体"/>
          <w:b/>
          <w:color w:val="auto"/>
          <w:szCs w:val="21"/>
          <w:highlight w:val="none"/>
          <w:lang w:val="en-US" w:eastAsia="zh-CN"/>
        </w:rPr>
        <w:t>处理</w:t>
      </w:r>
      <w:r>
        <w:rPr>
          <w:rFonts w:hint="eastAsia" w:ascii="宋体" w:hAnsi="宋体" w:cs="宋体"/>
          <w:b/>
          <w:color w:val="auto"/>
          <w:szCs w:val="21"/>
          <w:highlight w:val="none"/>
        </w:rPr>
        <w:t>），并在上表的备注栏成交明所提供相关证明材料的位置页码。</w:t>
      </w:r>
    </w:p>
    <w:p>
      <w:pPr>
        <w:spacing w:line="360" w:lineRule="auto"/>
        <w:rPr>
          <w:rFonts w:ascii="宋体" w:hAnsi="宋体"/>
          <w:color w:val="auto"/>
          <w:szCs w:val="21"/>
          <w:highlight w:val="none"/>
        </w:rPr>
      </w:pPr>
    </w:p>
    <w:p>
      <w:pPr>
        <w:pStyle w:val="14"/>
        <w:rPr>
          <w:rFonts w:ascii="宋体" w:hAnsi="宋体"/>
          <w:color w:val="auto"/>
          <w:highlight w:val="none"/>
        </w:rPr>
      </w:pPr>
    </w:p>
    <w:p>
      <w:pPr>
        <w:spacing w:before="312" w:beforeLines="100" w:after="312" w:afterLines="100" w:line="360" w:lineRule="auto"/>
        <w:rPr>
          <w:rFonts w:ascii="宋体" w:hAnsi="宋体" w:cs="宋体"/>
          <w:color w:val="auto"/>
          <w:spacing w:val="4"/>
          <w:szCs w:val="21"/>
          <w:highlight w:val="none"/>
        </w:rPr>
      </w:pPr>
      <w:r>
        <w:rPr>
          <w:rFonts w:hint="eastAsia" w:ascii="宋体" w:hAnsi="宋体" w:cs="宋体"/>
          <w:color w:val="auto"/>
          <w:spacing w:val="4"/>
          <w:szCs w:val="21"/>
          <w:highlight w:val="none"/>
        </w:rPr>
        <w:t>供应商名称：</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（加盖公章）</w:t>
      </w:r>
    </w:p>
    <w:p>
      <w:pPr>
        <w:spacing w:before="312" w:beforeLines="100" w:after="312" w:afterLines="100" w:line="360" w:lineRule="auto"/>
        <w:rPr>
          <w:rFonts w:ascii="宋体" w:hAnsi="宋体" w:cs="宋体"/>
          <w:color w:val="auto"/>
          <w:spacing w:val="4"/>
          <w:szCs w:val="21"/>
          <w:highlight w:val="none"/>
        </w:rPr>
      </w:pPr>
      <w:r>
        <w:rPr>
          <w:rFonts w:hint="eastAsia" w:ascii="宋体" w:hAnsi="宋体" w:cs="宋体"/>
          <w:color w:val="auto"/>
          <w:spacing w:val="4"/>
          <w:szCs w:val="21"/>
          <w:highlight w:val="none"/>
        </w:rPr>
        <w:t>法定代表人或授权代表（签字或盖章）：</w:t>
      </w:r>
      <w:r>
        <w:rPr>
          <w:rFonts w:hint="eastAsia" w:ascii="宋体" w:hAnsi="宋体" w:cs="宋体"/>
          <w:color w:val="auto"/>
          <w:spacing w:val="4"/>
          <w:szCs w:val="21"/>
          <w:highlight w:val="none"/>
          <w:u w:val="single"/>
        </w:rPr>
        <w:t xml:space="preserve">                      </w:t>
      </w:r>
    </w:p>
    <w:p>
      <w:pPr>
        <w:spacing w:after="120"/>
        <w:rPr>
          <w:rFonts w:ascii="宋体" w:hAnsi="宋体"/>
          <w:color w:val="auto"/>
          <w:sz w:val="24"/>
          <w:szCs w:val="24"/>
          <w:highlight w:val="none"/>
        </w:rPr>
      </w:pPr>
      <w:r>
        <w:rPr>
          <w:rFonts w:ascii="宋体" w:hAnsi="宋体" w:cs="宋体"/>
          <w:b/>
          <w:color w:val="auto"/>
          <w:sz w:val="24"/>
          <w:szCs w:val="24"/>
          <w:highlight w:val="none"/>
        </w:rPr>
        <w:br w:type="page"/>
      </w:r>
      <w:r>
        <w:rPr>
          <w:rFonts w:hint="eastAsia" w:ascii="宋体" w:hAnsi="宋体" w:cs="宋体"/>
          <w:b/>
          <w:color w:val="auto"/>
          <w:sz w:val="24"/>
          <w:szCs w:val="24"/>
          <w:highlight w:val="none"/>
        </w:rPr>
        <w:t>附件：格式</w:t>
      </w:r>
    </w:p>
    <w:p>
      <w:pPr>
        <w:spacing w:before="312" w:beforeLines="100" w:after="312" w:afterLines="100" w:line="360" w:lineRule="auto"/>
        <w:jc w:val="center"/>
        <w:rPr>
          <w:rFonts w:ascii="宋体" w:hAnsi="宋体"/>
          <w:b/>
          <w:color w:val="auto"/>
          <w:sz w:val="32"/>
          <w:szCs w:val="32"/>
          <w:highlight w:val="none"/>
        </w:rPr>
      </w:pPr>
      <w:r>
        <w:rPr>
          <w:rFonts w:hint="eastAsia" w:ascii="宋体" w:hAnsi="宋体"/>
          <w:b/>
          <w:color w:val="auto"/>
          <w:sz w:val="32"/>
          <w:szCs w:val="32"/>
          <w:highlight w:val="none"/>
        </w:rPr>
        <w:t>供货一览表</w:t>
      </w:r>
    </w:p>
    <w:p>
      <w:pPr>
        <w:spacing w:line="360" w:lineRule="auto"/>
        <w:rPr>
          <w:rFonts w:ascii="宋体" w:hAnsi="宋体"/>
          <w:b/>
          <w:bCs/>
          <w:color w:val="auto"/>
          <w:szCs w:val="21"/>
          <w:highlight w:val="none"/>
        </w:rPr>
      </w:pPr>
      <w:r>
        <w:rPr>
          <w:rFonts w:hint="eastAsia" w:ascii="宋体" w:hAnsi="宋体"/>
          <w:b/>
          <w:bCs/>
          <w:color w:val="auto"/>
          <w:szCs w:val="21"/>
          <w:highlight w:val="none"/>
        </w:rPr>
        <w:t>供应商名称：</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 xml:space="preserve">       项目编号：</w:t>
      </w:r>
      <w:r>
        <w:rPr>
          <w:rFonts w:hint="eastAsia" w:ascii="宋体" w:hAnsi="宋体"/>
          <w:b/>
          <w:bCs/>
          <w:color w:val="auto"/>
          <w:szCs w:val="21"/>
          <w:highlight w:val="none"/>
          <w:u w:val="single"/>
        </w:rPr>
        <w:t xml:space="preserve">                        </w:t>
      </w:r>
    </w:p>
    <w:tbl>
      <w:tblPr>
        <w:tblStyle w:val="19"/>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701"/>
        <w:gridCol w:w="1020"/>
        <w:gridCol w:w="1149"/>
        <w:gridCol w:w="1271"/>
        <w:gridCol w:w="2329"/>
        <w:gridCol w:w="969"/>
        <w:gridCol w:w="9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419" w:type="pct"/>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610" w:type="pct"/>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名称</w:t>
            </w:r>
          </w:p>
        </w:tc>
        <w:tc>
          <w:tcPr>
            <w:tcW w:w="687" w:type="pct"/>
            <w:vAlign w:val="center"/>
          </w:tcPr>
          <w:p>
            <w:pPr>
              <w:jc w:val="center"/>
              <w:rPr>
                <w:rFonts w:ascii="宋体" w:hAnsi="宋体" w:cs="宋体"/>
                <w:b/>
                <w:bCs/>
                <w:color w:val="auto"/>
                <w:szCs w:val="21"/>
                <w:highlight w:val="none"/>
              </w:rPr>
            </w:pPr>
            <w:r>
              <w:rPr>
                <w:rFonts w:hint="eastAsia" w:ascii="宋体" w:hAnsi="宋体"/>
                <w:b/>
                <w:color w:val="auto"/>
                <w:szCs w:val="21"/>
                <w:highlight w:val="none"/>
              </w:rPr>
              <w:t>品牌</w:t>
            </w:r>
          </w:p>
        </w:tc>
        <w:tc>
          <w:tcPr>
            <w:tcW w:w="760" w:type="pct"/>
            <w:vAlign w:val="center"/>
          </w:tcPr>
          <w:p>
            <w:pPr>
              <w:jc w:val="center"/>
              <w:rPr>
                <w:rFonts w:ascii="宋体" w:hAnsi="宋体" w:cs="宋体"/>
                <w:b/>
                <w:bCs/>
                <w:color w:val="auto"/>
                <w:szCs w:val="21"/>
                <w:highlight w:val="none"/>
              </w:rPr>
            </w:pPr>
            <w:r>
              <w:rPr>
                <w:rFonts w:hint="eastAsia" w:ascii="宋体" w:hAnsi="宋体"/>
                <w:b/>
                <w:color w:val="auto"/>
                <w:szCs w:val="21"/>
                <w:highlight w:val="none"/>
              </w:rPr>
              <w:t>规格型号</w:t>
            </w:r>
          </w:p>
        </w:tc>
        <w:tc>
          <w:tcPr>
            <w:tcW w:w="1392" w:type="pct"/>
            <w:vAlign w:val="center"/>
          </w:tcPr>
          <w:p>
            <w:pPr>
              <w:jc w:val="center"/>
              <w:rPr>
                <w:rFonts w:ascii="宋体" w:hAnsi="宋体" w:cs="宋体"/>
                <w:b/>
                <w:bCs/>
                <w:color w:val="auto"/>
                <w:szCs w:val="21"/>
                <w:highlight w:val="none"/>
              </w:rPr>
            </w:pPr>
            <w:r>
              <w:rPr>
                <w:rFonts w:hint="eastAsia" w:ascii="宋体" w:hAnsi="宋体"/>
                <w:b/>
                <w:color w:val="auto"/>
                <w:szCs w:val="21"/>
                <w:highlight w:val="none"/>
              </w:rPr>
              <w:t>产地/制造商</w:t>
            </w:r>
          </w:p>
        </w:tc>
        <w:tc>
          <w:tcPr>
            <w:tcW w:w="579" w:type="pct"/>
            <w:vAlign w:val="center"/>
          </w:tcPr>
          <w:p>
            <w:pPr>
              <w:jc w:val="center"/>
              <w:rPr>
                <w:rFonts w:ascii="宋体" w:hAnsi="宋体"/>
                <w:b/>
                <w:color w:val="auto"/>
                <w:szCs w:val="21"/>
                <w:highlight w:val="none"/>
              </w:rPr>
            </w:pPr>
            <w:r>
              <w:rPr>
                <w:rFonts w:hint="eastAsia" w:ascii="宋体" w:hAnsi="宋体"/>
                <w:b/>
                <w:color w:val="auto"/>
                <w:szCs w:val="21"/>
                <w:highlight w:val="none"/>
              </w:rPr>
              <w:t>数量</w:t>
            </w:r>
          </w:p>
        </w:tc>
        <w:tc>
          <w:tcPr>
            <w:tcW w:w="549" w:type="pct"/>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37" w:hRule="atLeast"/>
        </w:trPr>
        <w:tc>
          <w:tcPr>
            <w:tcW w:w="419" w:type="pct"/>
            <w:vAlign w:val="center"/>
          </w:tcPr>
          <w:p>
            <w:pPr>
              <w:jc w:val="center"/>
              <w:rPr>
                <w:rFonts w:ascii="宋体" w:hAnsi="宋体" w:cs="宋体"/>
                <w:color w:val="auto"/>
                <w:szCs w:val="21"/>
                <w:highlight w:val="none"/>
              </w:rPr>
            </w:pPr>
          </w:p>
        </w:tc>
        <w:tc>
          <w:tcPr>
            <w:tcW w:w="610" w:type="pct"/>
            <w:vAlign w:val="center"/>
          </w:tcPr>
          <w:p>
            <w:pPr>
              <w:jc w:val="center"/>
              <w:rPr>
                <w:rFonts w:ascii="宋体" w:hAnsi="宋体" w:cs="宋体"/>
                <w:color w:val="auto"/>
                <w:szCs w:val="21"/>
                <w:highlight w:val="none"/>
              </w:rPr>
            </w:pPr>
          </w:p>
        </w:tc>
        <w:tc>
          <w:tcPr>
            <w:tcW w:w="687" w:type="pct"/>
            <w:vAlign w:val="center"/>
          </w:tcPr>
          <w:p>
            <w:pPr>
              <w:jc w:val="center"/>
              <w:rPr>
                <w:rFonts w:ascii="宋体" w:hAnsi="宋体" w:cs="宋体"/>
                <w:color w:val="auto"/>
                <w:szCs w:val="21"/>
                <w:highlight w:val="none"/>
              </w:rPr>
            </w:pPr>
          </w:p>
        </w:tc>
        <w:tc>
          <w:tcPr>
            <w:tcW w:w="760" w:type="pct"/>
            <w:vAlign w:val="center"/>
          </w:tcPr>
          <w:p>
            <w:pPr>
              <w:jc w:val="center"/>
              <w:rPr>
                <w:rFonts w:ascii="宋体" w:hAnsi="宋体" w:cs="宋体"/>
                <w:color w:val="auto"/>
                <w:szCs w:val="21"/>
                <w:highlight w:val="none"/>
              </w:rPr>
            </w:pPr>
          </w:p>
        </w:tc>
        <w:tc>
          <w:tcPr>
            <w:tcW w:w="1392" w:type="pct"/>
            <w:vAlign w:val="center"/>
          </w:tcPr>
          <w:p>
            <w:pPr>
              <w:jc w:val="center"/>
              <w:rPr>
                <w:rFonts w:ascii="宋体" w:hAnsi="宋体" w:cs="宋体"/>
                <w:color w:val="auto"/>
                <w:szCs w:val="21"/>
                <w:highlight w:val="none"/>
              </w:rPr>
            </w:pPr>
          </w:p>
        </w:tc>
        <w:tc>
          <w:tcPr>
            <w:tcW w:w="579" w:type="pct"/>
            <w:vAlign w:val="center"/>
          </w:tcPr>
          <w:p>
            <w:pPr>
              <w:jc w:val="center"/>
              <w:rPr>
                <w:rFonts w:ascii="宋体" w:hAnsi="宋体" w:cs="宋体"/>
                <w:color w:val="auto"/>
                <w:szCs w:val="21"/>
                <w:highlight w:val="none"/>
              </w:rPr>
            </w:pPr>
          </w:p>
        </w:tc>
        <w:tc>
          <w:tcPr>
            <w:tcW w:w="549" w:type="pct"/>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37" w:hRule="atLeast"/>
        </w:trPr>
        <w:tc>
          <w:tcPr>
            <w:tcW w:w="419" w:type="pct"/>
            <w:vAlign w:val="center"/>
          </w:tcPr>
          <w:p>
            <w:pPr>
              <w:jc w:val="center"/>
              <w:rPr>
                <w:rFonts w:ascii="宋体" w:hAnsi="宋体" w:cs="宋体"/>
                <w:color w:val="auto"/>
                <w:szCs w:val="21"/>
                <w:highlight w:val="none"/>
              </w:rPr>
            </w:pPr>
          </w:p>
        </w:tc>
        <w:tc>
          <w:tcPr>
            <w:tcW w:w="610" w:type="pct"/>
            <w:vAlign w:val="center"/>
          </w:tcPr>
          <w:p>
            <w:pPr>
              <w:jc w:val="center"/>
              <w:rPr>
                <w:rFonts w:ascii="宋体" w:hAnsi="宋体" w:cs="宋体"/>
                <w:color w:val="auto"/>
                <w:szCs w:val="21"/>
                <w:highlight w:val="none"/>
              </w:rPr>
            </w:pPr>
          </w:p>
        </w:tc>
        <w:tc>
          <w:tcPr>
            <w:tcW w:w="687" w:type="pct"/>
            <w:vAlign w:val="center"/>
          </w:tcPr>
          <w:p>
            <w:pPr>
              <w:jc w:val="center"/>
              <w:rPr>
                <w:rFonts w:ascii="宋体" w:hAnsi="宋体" w:cs="宋体"/>
                <w:color w:val="auto"/>
                <w:szCs w:val="21"/>
                <w:highlight w:val="none"/>
              </w:rPr>
            </w:pPr>
          </w:p>
        </w:tc>
        <w:tc>
          <w:tcPr>
            <w:tcW w:w="760" w:type="pct"/>
            <w:vAlign w:val="center"/>
          </w:tcPr>
          <w:p>
            <w:pPr>
              <w:jc w:val="center"/>
              <w:rPr>
                <w:rFonts w:ascii="宋体" w:hAnsi="宋体" w:cs="宋体"/>
                <w:color w:val="auto"/>
                <w:szCs w:val="21"/>
                <w:highlight w:val="none"/>
              </w:rPr>
            </w:pPr>
          </w:p>
        </w:tc>
        <w:tc>
          <w:tcPr>
            <w:tcW w:w="1392" w:type="pct"/>
            <w:vAlign w:val="center"/>
          </w:tcPr>
          <w:p>
            <w:pPr>
              <w:jc w:val="center"/>
              <w:rPr>
                <w:rFonts w:ascii="宋体" w:hAnsi="宋体" w:cs="宋体"/>
                <w:color w:val="auto"/>
                <w:szCs w:val="21"/>
                <w:highlight w:val="none"/>
              </w:rPr>
            </w:pPr>
          </w:p>
        </w:tc>
        <w:tc>
          <w:tcPr>
            <w:tcW w:w="579" w:type="pct"/>
            <w:vAlign w:val="center"/>
          </w:tcPr>
          <w:p>
            <w:pPr>
              <w:jc w:val="center"/>
              <w:rPr>
                <w:rFonts w:ascii="宋体" w:hAnsi="宋体" w:cs="宋体"/>
                <w:color w:val="auto"/>
                <w:szCs w:val="21"/>
                <w:highlight w:val="none"/>
              </w:rPr>
            </w:pPr>
          </w:p>
        </w:tc>
        <w:tc>
          <w:tcPr>
            <w:tcW w:w="549" w:type="pct"/>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37" w:hRule="atLeast"/>
        </w:trPr>
        <w:tc>
          <w:tcPr>
            <w:tcW w:w="419" w:type="pct"/>
            <w:vAlign w:val="center"/>
          </w:tcPr>
          <w:p>
            <w:pPr>
              <w:jc w:val="center"/>
              <w:rPr>
                <w:rFonts w:ascii="宋体" w:hAnsi="宋体" w:cs="宋体"/>
                <w:color w:val="auto"/>
                <w:szCs w:val="21"/>
                <w:highlight w:val="none"/>
              </w:rPr>
            </w:pPr>
          </w:p>
        </w:tc>
        <w:tc>
          <w:tcPr>
            <w:tcW w:w="610" w:type="pct"/>
            <w:vAlign w:val="center"/>
          </w:tcPr>
          <w:p>
            <w:pPr>
              <w:jc w:val="center"/>
              <w:rPr>
                <w:rFonts w:ascii="宋体" w:hAnsi="宋体" w:cs="宋体"/>
                <w:color w:val="auto"/>
                <w:szCs w:val="21"/>
                <w:highlight w:val="none"/>
              </w:rPr>
            </w:pPr>
          </w:p>
        </w:tc>
        <w:tc>
          <w:tcPr>
            <w:tcW w:w="687" w:type="pct"/>
            <w:vAlign w:val="center"/>
          </w:tcPr>
          <w:p>
            <w:pPr>
              <w:jc w:val="center"/>
              <w:rPr>
                <w:rFonts w:ascii="宋体" w:hAnsi="宋体" w:cs="宋体"/>
                <w:color w:val="auto"/>
                <w:szCs w:val="21"/>
                <w:highlight w:val="none"/>
              </w:rPr>
            </w:pPr>
          </w:p>
        </w:tc>
        <w:tc>
          <w:tcPr>
            <w:tcW w:w="760" w:type="pct"/>
            <w:vAlign w:val="center"/>
          </w:tcPr>
          <w:p>
            <w:pPr>
              <w:jc w:val="center"/>
              <w:rPr>
                <w:rFonts w:ascii="宋体" w:hAnsi="宋体" w:cs="宋体"/>
                <w:color w:val="auto"/>
                <w:szCs w:val="21"/>
                <w:highlight w:val="none"/>
              </w:rPr>
            </w:pPr>
          </w:p>
        </w:tc>
        <w:tc>
          <w:tcPr>
            <w:tcW w:w="1392" w:type="pct"/>
            <w:vAlign w:val="center"/>
          </w:tcPr>
          <w:p>
            <w:pPr>
              <w:jc w:val="center"/>
              <w:rPr>
                <w:rFonts w:ascii="宋体" w:hAnsi="宋体" w:cs="宋体"/>
                <w:color w:val="auto"/>
                <w:szCs w:val="21"/>
                <w:highlight w:val="none"/>
              </w:rPr>
            </w:pPr>
          </w:p>
        </w:tc>
        <w:tc>
          <w:tcPr>
            <w:tcW w:w="579" w:type="pct"/>
            <w:vAlign w:val="center"/>
          </w:tcPr>
          <w:p>
            <w:pPr>
              <w:jc w:val="center"/>
              <w:rPr>
                <w:rFonts w:ascii="宋体" w:hAnsi="宋体" w:cs="宋体"/>
                <w:color w:val="auto"/>
                <w:szCs w:val="21"/>
                <w:highlight w:val="none"/>
              </w:rPr>
            </w:pPr>
          </w:p>
        </w:tc>
        <w:tc>
          <w:tcPr>
            <w:tcW w:w="549" w:type="pct"/>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37" w:hRule="atLeast"/>
        </w:trPr>
        <w:tc>
          <w:tcPr>
            <w:tcW w:w="419" w:type="pct"/>
            <w:vAlign w:val="center"/>
          </w:tcPr>
          <w:p>
            <w:pPr>
              <w:jc w:val="center"/>
              <w:rPr>
                <w:rFonts w:ascii="宋体" w:hAnsi="宋体" w:cs="宋体"/>
                <w:color w:val="auto"/>
                <w:szCs w:val="21"/>
                <w:highlight w:val="none"/>
              </w:rPr>
            </w:pPr>
          </w:p>
        </w:tc>
        <w:tc>
          <w:tcPr>
            <w:tcW w:w="610" w:type="pct"/>
            <w:vAlign w:val="center"/>
          </w:tcPr>
          <w:p>
            <w:pPr>
              <w:jc w:val="center"/>
              <w:rPr>
                <w:rFonts w:ascii="宋体" w:hAnsi="宋体" w:cs="宋体"/>
                <w:color w:val="auto"/>
                <w:szCs w:val="21"/>
                <w:highlight w:val="none"/>
              </w:rPr>
            </w:pPr>
          </w:p>
        </w:tc>
        <w:tc>
          <w:tcPr>
            <w:tcW w:w="687" w:type="pct"/>
            <w:vAlign w:val="center"/>
          </w:tcPr>
          <w:p>
            <w:pPr>
              <w:jc w:val="center"/>
              <w:rPr>
                <w:rFonts w:ascii="宋体" w:hAnsi="宋体" w:cs="宋体"/>
                <w:color w:val="auto"/>
                <w:szCs w:val="21"/>
                <w:highlight w:val="none"/>
              </w:rPr>
            </w:pPr>
          </w:p>
        </w:tc>
        <w:tc>
          <w:tcPr>
            <w:tcW w:w="760" w:type="pct"/>
            <w:vAlign w:val="center"/>
          </w:tcPr>
          <w:p>
            <w:pPr>
              <w:jc w:val="center"/>
              <w:rPr>
                <w:rFonts w:ascii="宋体" w:hAnsi="宋体" w:cs="宋体"/>
                <w:color w:val="auto"/>
                <w:szCs w:val="21"/>
                <w:highlight w:val="none"/>
              </w:rPr>
            </w:pPr>
          </w:p>
        </w:tc>
        <w:tc>
          <w:tcPr>
            <w:tcW w:w="1392" w:type="pct"/>
            <w:vAlign w:val="center"/>
          </w:tcPr>
          <w:p>
            <w:pPr>
              <w:jc w:val="center"/>
              <w:rPr>
                <w:rFonts w:ascii="宋体" w:hAnsi="宋体" w:cs="宋体"/>
                <w:color w:val="auto"/>
                <w:szCs w:val="21"/>
                <w:highlight w:val="none"/>
              </w:rPr>
            </w:pPr>
          </w:p>
        </w:tc>
        <w:tc>
          <w:tcPr>
            <w:tcW w:w="579" w:type="pct"/>
            <w:vAlign w:val="center"/>
          </w:tcPr>
          <w:p>
            <w:pPr>
              <w:jc w:val="center"/>
              <w:rPr>
                <w:rFonts w:ascii="宋体" w:hAnsi="宋体" w:cs="宋体"/>
                <w:color w:val="auto"/>
                <w:szCs w:val="21"/>
                <w:highlight w:val="none"/>
              </w:rPr>
            </w:pPr>
          </w:p>
        </w:tc>
        <w:tc>
          <w:tcPr>
            <w:tcW w:w="549" w:type="pct"/>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37" w:hRule="atLeast"/>
        </w:trPr>
        <w:tc>
          <w:tcPr>
            <w:tcW w:w="419" w:type="pct"/>
            <w:vAlign w:val="center"/>
          </w:tcPr>
          <w:p>
            <w:pPr>
              <w:jc w:val="center"/>
              <w:rPr>
                <w:rFonts w:ascii="宋体" w:hAnsi="宋体" w:cs="宋体"/>
                <w:color w:val="auto"/>
                <w:szCs w:val="21"/>
                <w:highlight w:val="none"/>
              </w:rPr>
            </w:pPr>
          </w:p>
        </w:tc>
        <w:tc>
          <w:tcPr>
            <w:tcW w:w="610" w:type="pct"/>
            <w:vAlign w:val="center"/>
          </w:tcPr>
          <w:p>
            <w:pPr>
              <w:jc w:val="center"/>
              <w:rPr>
                <w:rFonts w:ascii="宋体" w:hAnsi="宋体" w:cs="宋体"/>
                <w:color w:val="auto"/>
                <w:szCs w:val="21"/>
                <w:highlight w:val="none"/>
              </w:rPr>
            </w:pPr>
          </w:p>
        </w:tc>
        <w:tc>
          <w:tcPr>
            <w:tcW w:w="687" w:type="pct"/>
            <w:vAlign w:val="center"/>
          </w:tcPr>
          <w:p>
            <w:pPr>
              <w:jc w:val="center"/>
              <w:rPr>
                <w:rFonts w:ascii="宋体" w:hAnsi="宋体" w:cs="宋体"/>
                <w:color w:val="auto"/>
                <w:szCs w:val="21"/>
                <w:highlight w:val="none"/>
              </w:rPr>
            </w:pPr>
          </w:p>
        </w:tc>
        <w:tc>
          <w:tcPr>
            <w:tcW w:w="760" w:type="pct"/>
            <w:vAlign w:val="center"/>
          </w:tcPr>
          <w:p>
            <w:pPr>
              <w:jc w:val="center"/>
              <w:rPr>
                <w:rFonts w:ascii="宋体" w:hAnsi="宋体" w:cs="宋体"/>
                <w:color w:val="auto"/>
                <w:szCs w:val="21"/>
                <w:highlight w:val="none"/>
              </w:rPr>
            </w:pPr>
          </w:p>
        </w:tc>
        <w:tc>
          <w:tcPr>
            <w:tcW w:w="1392" w:type="pct"/>
            <w:vAlign w:val="center"/>
          </w:tcPr>
          <w:p>
            <w:pPr>
              <w:jc w:val="center"/>
              <w:rPr>
                <w:rFonts w:ascii="宋体" w:hAnsi="宋体" w:cs="宋体"/>
                <w:color w:val="auto"/>
                <w:szCs w:val="21"/>
                <w:highlight w:val="none"/>
              </w:rPr>
            </w:pPr>
          </w:p>
        </w:tc>
        <w:tc>
          <w:tcPr>
            <w:tcW w:w="579" w:type="pct"/>
            <w:vAlign w:val="center"/>
          </w:tcPr>
          <w:p>
            <w:pPr>
              <w:jc w:val="center"/>
              <w:rPr>
                <w:rFonts w:ascii="宋体" w:hAnsi="宋体" w:cs="宋体"/>
                <w:color w:val="auto"/>
                <w:szCs w:val="21"/>
                <w:highlight w:val="none"/>
              </w:rPr>
            </w:pPr>
          </w:p>
        </w:tc>
        <w:tc>
          <w:tcPr>
            <w:tcW w:w="549" w:type="pct"/>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37" w:hRule="atLeast"/>
        </w:trPr>
        <w:tc>
          <w:tcPr>
            <w:tcW w:w="419" w:type="pct"/>
            <w:vAlign w:val="center"/>
          </w:tcPr>
          <w:p>
            <w:pPr>
              <w:jc w:val="center"/>
              <w:rPr>
                <w:rFonts w:ascii="宋体" w:hAnsi="宋体" w:cs="宋体"/>
                <w:color w:val="auto"/>
                <w:szCs w:val="21"/>
                <w:highlight w:val="none"/>
              </w:rPr>
            </w:pPr>
          </w:p>
        </w:tc>
        <w:tc>
          <w:tcPr>
            <w:tcW w:w="610" w:type="pct"/>
            <w:vAlign w:val="center"/>
          </w:tcPr>
          <w:p>
            <w:pPr>
              <w:jc w:val="center"/>
              <w:rPr>
                <w:rFonts w:ascii="宋体" w:hAnsi="宋体" w:cs="宋体"/>
                <w:color w:val="auto"/>
                <w:szCs w:val="21"/>
                <w:highlight w:val="none"/>
              </w:rPr>
            </w:pPr>
          </w:p>
        </w:tc>
        <w:tc>
          <w:tcPr>
            <w:tcW w:w="687" w:type="pct"/>
            <w:vAlign w:val="center"/>
          </w:tcPr>
          <w:p>
            <w:pPr>
              <w:jc w:val="center"/>
              <w:rPr>
                <w:rFonts w:ascii="宋体" w:hAnsi="宋体" w:cs="宋体"/>
                <w:color w:val="auto"/>
                <w:szCs w:val="21"/>
                <w:highlight w:val="none"/>
              </w:rPr>
            </w:pPr>
          </w:p>
        </w:tc>
        <w:tc>
          <w:tcPr>
            <w:tcW w:w="760" w:type="pct"/>
            <w:vAlign w:val="center"/>
          </w:tcPr>
          <w:p>
            <w:pPr>
              <w:jc w:val="center"/>
              <w:rPr>
                <w:rFonts w:ascii="宋体" w:hAnsi="宋体" w:cs="宋体"/>
                <w:color w:val="auto"/>
                <w:szCs w:val="21"/>
                <w:highlight w:val="none"/>
              </w:rPr>
            </w:pPr>
          </w:p>
        </w:tc>
        <w:tc>
          <w:tcPr>
            <w:tcW w:w="1392" w:type="pct"/>
            <w:vAlign w:val="center"/>
          </w:tcPr>
          <w:p>
            <w:pPr>
              <w:jc w:val="center"/>
              <w:rPr>
                <w:rFonts w:ascii="宋体" w:hAnsi="宋体" w:cs="宋体"/>
                <w:color w:val="auto"/>
                <w:szCs w:val="21"/>
                <w:highlight w:val="none"/>
              </w:rPr>
            </w:pPr>
          </w:p>
        </w:tc>
        <w:tc>
          <w:tcPr>
            <w:tcW w:w="579" w:type="pct"/>
            <w:vAlign w:val="center"/>
          </w:tcPr>
          <w:p>
            <w:pPr>
              <w:jc w:val="center"/>
              <w:rPr>
                <w:rFonts w:ascii="宋体" w:hAnsi="宋体" w:cs="宋体"/>
                <w:color w:val="auto"/>
                <w:szCs w:val="21"/>
                <w:highlight w:val="none"/>
              </w:rPr>
            </w:pPr>
          </w:p>
        </w:tc>
        <w:tc>
          <w:tcPr>
            <w:tcW w:w="549" w:type="pct"/>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37" w:hRule="atLeast"/>
        </w:trPr>
        <w:tc>
          <w:tcPr>
            <w:tcW w:w="419" w:type="pct"/>
            <w:vAlign w:val="center"/>
          </w:tcPr>
          <w:p>
            <w:pPr>
              <w:jc w:val="center"/>
              <w:rPr>
                <w:rFonts w:ascii="宋体" w:hAnsi="宋体" w:cs="宋体"/>
                <w:color w:val="auto"/>
                <w:szCs w:val="21"/>
                <w:highlight w:val="none"/>
              </w:rPr>
            </w:pPr>
          </w:p>
        </w:tc>
        <w:tc>
          <w:tcPr>
            <w:tcW w:w="610" w:type="pct"/>
            <w:vAlign w:val="center"/>
          </w:tcPr>
          <w:p>
            <w:pPr>
              <w:jc w:val="center"/>
              <w:rPr>
                <w:rFonts w:ascii="宋体" w:hAnsi="宋体" w:cs="宋体"/>
                <w:color w:val="auto"/>
                <w:szCs w:val="21"/>
                <w:highlight w:val="none"/>
              </w:rPr>
            </w:pPr>
          </w:p>
        </w:tc>
        <w:tc>
          <w:tcPr>
            <w:tcW w:w="687" w:type="pct"/>
            <w:vAlign w:val="center"/>
          </w:tcPr>
          <w:p>
            <w:pPr>
              <w:jc w:val="center"/>
              <w:rPr>
                <w:rFonts w:ascii="宋体" w:hAnsi="宋体" w:cs="宋体"/>
                <w:color w:val="auto"/>
                <w:szCs w:val="21"/>
                <w:highlight w:val="none"/>
              </w:rPr>
            </w:pPr>
          </w:p>
        </w:tc>
        <w:tc>
          <w:tcPr>
            <w:tcW w:w="760" w:type="pct"/>
            <w:vAlign w:val="center"/>
          </w:tcPr>
          <w:p>
            <w:pPr>
              <w:jc w:val="center"/>
              <w:rPr>
                <w:rFonts w:ascii="宋体" w:hAnsi="宋体" w:cs="宋体"/>
                <w:color w:val="auto"/>
                <w:szCs w:val="21"/>
                <w:highlight w:val="none"/>
              </w:rPr>
            </w:pPr>
          </w:p>
        </w:tc>
        <w:tc>
          <w:tcPr>
            <w:tcW w:w="1392" w:type="pct"/>
            <w:vAlign w:val="center"/>
          </w:tcPr>
          <w:p>
            <w:pPr>
              <w:jc w:val="center"/>
              <w:rPr>
                <w:rFonts w:ascii="宋体" w:hAnsi="宋体" w:cs="宋体"/>
                <w:color w:val="auto"/>
                <w:szCs w:val="21"/>
                <w:highlight w:val="none"/>
              </w:rPr>
            </w:pPr>
          </w:p>
        </w:tc>
        <w:tc>
          <w:tcPr>
            <w:tcW w:w="579" w:type="pct"/>
            <w:vAlign w:val="center"/>
          </w:tcPr>
          <w:p>
            <w:pPr>
              <w:jc w:val="center"/>
              <w:rPr>
                <w:rFonts w:ascii="宋体" w:hAnsi="宋体" w:cs="宋体"/>
                <w:color w:val="auto"/>
                <w:szCs w:val="21"/>
                <w:highlight w:val="none"/>
              </w:rPr>
            </w:pPr>
          </w:p>
        </w:tc>
        <w:tc>
          <w:tcPr>
            <w:tcW w:w="549" w:type="pct"/>
            <w:vAlign w:val="center"/>
          </w:tcPr>
          <w:p>
            <w:pPr>
              <w:jc w:val="center"/>
              <w:rPr>
                <w:rFonts w:ascii="宋体" w:hAnsi="宋体" w:cs="宋体"/>
                <w:color w:val="auto"/>
                <w:szCs w:val="21"/>
                <w:highlight w:val="none"/>
              </w:rPr>
            </w:pPr>
          </w:p>
        </w:tc>
      </w:tr>
    </w:tbl>
    <w:p>
      <w:pPr>
        <w:spacing w:line="360" w:lineRule="auto"/>
        <w:rPr>
          <w:rFonts w:ascii="宋体" w:hAnsi="宋体"/>
          <w:b/>
          <w:color w:val="auto"/>
          <w:szCs w:val="21"/>
          <w:highlight w:val="none"/>
        </w:rPr>
      </w:pPr>
      <w:r>
        <w:rPr>
          <w:rFonts w:hint="eastAsia" w:ascii="宋体" w:hAnsi="宋体" w:cs="宋体"/>
          <w:b/>
          <w:bCs/>
          <w:color w:val="auto"/>
          <w:szCs w:val="21"/>
          <w:highlight w:val="none"/>
        </w:rPr>
        <w:t>注：供应商根据谈判文件“第四章 谈判内容及技术规范”填写上表，同时必须将所投产品具体的品牌、规格型号、</w:t>
      </w:r>
      <w:r>
        <w:rPr>
          <w:rFonts w:hint="eastAsia" w:ascii="宋体" w:hAnsi="宋体"/>
          <w:b/>
          <w:color w:val="auto"/>
          <w:szCs w:val="21"/>
          <w:highlight w:val="none"/>
        </w:rPr>
        <w:t>产地/制造商等信息完整填写。</w:t>
      </w:r>
    </w:p>
    <w:p>
      <w:pPr>
        <w:rPr>
          <w:rFonts w:ascii="宋体" w:hAnsi="宋体"/>
          <w:b/>
          <w:color w:val="auto"/>
          <w:szCs w:val="21"/>
          <w:highlight w:val="none"/>
        </w:rPr>
      </w:pPr>
      <w:r>
        <w:rPr>
          <w:rFonts w:hint="eastAsia" w:ascii="宋体" w:hAnsi="宋体"/>
          <w:b/>
          <w:color w:val="auto"/>
          <w:szCs w:val="21"/>
          <w:highlight w:val="none"/>
        </w:rPr>
        <w:br w:type="page"/>
      </w:r>
    </w:p>
    <w:p>
      <w:pPr>
        <w:spacing w:line="360" w:lineRule="auto"/>
        <w:jc w:val="left"/>
        <w:rPr>
          <w:rFonts w:ascii="宋体" w:hAnsi="宋体" w:cs="宋体"/>
          <w:b/>
          <w:color w:val="auto"/>
          <w:sz w:val="24"/>
          <w:szCs w:val="24"/>
          <w:highlight w:val="none"/>
        </w:rPr>
      </w:pPr>
      <w:r>
        <w:rPr>
          <w:rFonts w:hint="eastAsia" w:ascii="宋体" w:hAnsi="宋体" w:cs="宋体"/>
          <w:b/>
          <w:color w:val="auto"/>
          <w:sz w:val="24"/>
          <w:szCs w:val="24"/>
          <w:highlight w:val="none"/>
        </w:rPr>
        <w:t>附件：格式</w:t>
      </w:r>
    </w:p>
    <w:p>
      <w:pPr>
        <w:spacing w:before="312" w:beforeLines="100" w:after="312" w:afterLines="100" w:line="360" w:lineRule="auto"/>
        <w:jc w:val="center"/>
        <w:rPr>
          <w:rFonts w:ascii="宋体" w:hAnsi="宋体"/>
          <w:b/>
          <w:color w:val="auto"/>
          <w:sz w:val="32"/>
          <w:szCs w:val="32"/>
          <w:highlight w:val="none"/>
        </w:rPr>
      </w:pPr>
      <w:r>
        <w:rPr>
          <w:rFonts w:hint="eastAsia" w:ascii="宋体" w:hAnsi="宋体"/>
          <w:b/>
          <w:color w:val="auto"/>
          <w:sz w:val="32"/>
          <w:szCs w:val="32"/>
          <w:highlight w:val="none"/>
        </w:rPr>
        <w:t>中小企业声明函（货物）</w:t>
      </w:r>
    </w:p>
    <w:p>
      <w:pPr>
        <w:spacing w:line="360" w:lineRule="auto"/>
        <w:ind w:firstLine="436" w:firstLineChars="200"/>
        <w:jc w:val="left"/>
        <w:rPr>
          <w:rFonts w:ascii="宋体" w:hAnsi="宋体"/>
          <w:color w:val="auto"/>
          <w:spacing w:val="4"/>
          <w:szCs w:val="21"/>
          <w:highlight w:val="none"/>
        </w:rPr>
      </w:pPr>
      <w:r>
        <w:rPr>
          <w:rFonts w:hint="eastAsia" w:ascii="宋体" w:hAnsi="宋体"/>
          <w:color w:val="auto"/>
          <w:spacing w:val="4"/>
          <w:szCs w:val="21"/>
          <w:highlight w:val="none"/>
        </w:rPr>
        <w:t>本公司（联合体）郑重声明，根据《政府采购促进中小企业发展管理办法》（财库﹝2020﹞46号）的规定，本公司（联合体）参加</w:t>
      </w:r>
      <w:r>
        <w:rPr>
          <w:rFonts w:hint="eastAsia" w:ascii="宋体" w:hAnsi="宋体"/>
          <w:i/>
          <w:color w:val="auto"/>
          <w:spacing w:val="4"/>
          <w:szCs w:val="21"/>
          <w:highlight w:val="none"/>
          <w:u w:val="single"/>
        </w:rPr>
        <w:t>（单位名称）</w:t>
      </w:r>
      <w:r>
        <w:rPr>
          <w:rFonts w:hint="eastAsia" w:ascii="宋体" w:hAnsi="宋体"/>
          <w:color w:val="auto"/>
          <w:spacing w:val="4"/>
          <w:szCs w:val="21"/>
          <w:highlight w:val="none"/>
        </w:rPr>
        <w:t>的</w:t>
      </w:r>
      <w:r>
        <w:rPr>
          <w:rFonts w:hint="eastAsia" w:ascii="宋体" w:hAnsi="宋体"/>
          <w:i/>
          <w:color w:val="auto"/>
          <w:spacing w:val="4"/>
          <w:szCs w:val="21"/>
          <w:highlight w:val="none"/>
          <w:u w:val="single"/>
        </w:rPr>
        <w:t>（项目名称）</w:t>
      </w:r>
      <w:r>
        <w:rPr>
          <w:rFonts w:hint="eastAsia" w:ascii="宋体" w:hAnsi="宋体"/>
          <w:color w:val="auto"/>
          <w:spacing w:val="4"/>
          <w:szCs w:val="21"/>
          <w:highlight w:val="none"/>
        </w:rPr>
        <w:t xml:space="preserve">采购活动，提供的货物全部由符合政策要求的中小企业制造。相关企业（含联合体中的中小企业、签订分包意向协议的中小企业）的具体情况如下： </w:t>
      </w:r>
    </w:p>
    <w:p>
      <w:pPr>
        <w:spacing w:line="360" w:lineRule="auto"/>
        <w:ind w:firstLine="436" w:firstLineChars="200"/>
        <w:jc w:val="left"/>
        <w:rPr>
          <w:rFonts w:ascii="宋体" w:hAnsi="宋体"/>
          <w:color w:val="auto"/>
          <w:spacing w:val="4"/>
          <w:szCs w:val="21"/>
          <w:highlight w:val="none"/>
        </w:rPr>
      </w:pPr>
      <w:r>
        <w:rPr>
          <w:rFonts w:hint="eastAsia" w:ascii="宋体" w:hAnsi="宋体"/>
          <w:color w:val="auto"/>
          <w:spacing w:val="4"/>
          <w:szCs w:val="21"/>
          <w:highlight w:val="none"/>
        </w:rPr>
        <w:t>1.</w:t>
      </w:r>
      <w:r>
        <w:rPr>
          <w:rFonts w:hint="eastAsia" w:ascii="宋体" w:hAnsi="宋体"/>
          <w:i/>
          <w:color w:val="auto"/>
          <w:spacing w:val="4"/>
          <w:szCs w:val="21"/>
          <w:highlight w:val="none"/>
          <w:u w:val="single"/>
        </w:rPr>
        <w:t>（</w:t>
      </w:r>
      <w:r>
        <w:rPr>
          <w:rFonts w:hint="eastAsia" w:ascii="宋体" w:hAnsi="宋体" w:cs="宋体"/>
          <w:color w:val="auto"/>
          <w:szCs w:val="21"/>
          <w:highlight w:val="none"/>
        </w:rPr>
        <w:t>发光警示牌</w:t>
      </w:r>
      <w:r>
        <w:rPr>
          <w:rFonts w:hint="eastAsia" w:ascii="宋体" w:hAnsi="宋体"/>
          <w:i/>
          <w:color w:val="auto"/>
          <w:spacing w:val="4"/>
          <w:szCs w:val="21"/>
          <w:highlight w:val="none"/>
          <w:u w:val="single"/>
        </w:rPr>
        <w:t>）</w:t>
      </w:r>
      <w:r>
        <w:rPr>
          <w:rFonts w:hint="eastAsia" w:ascii="宋体" w:hAnsi="宋体"/>
          <w:color w:val="auto"/>
          <w:spacing w:val="4"/>
          <w:szCs w:val="21"/>
          <w:highlight w:val="none"/>
        </w:rPr>
        <w:t>，属于</w:t>
      </w:r>
      <w:r>
        <w:rPr>
          <w:rFonts w:hint="eastAsia" w:ascii="宋体" w:hAnsi="宋体"/>
          <w:i/>
          <w:color w:val="auto"/>
          <w:spacing w:val="4"/>
          <w:szCs w:val="21"/>
          <w:highlight w:val="none"/>
          <w:u w:val="single"/>
        </w:rPr>
        <w:t>（</w:t>
      </w:r>
      <w:r>
        <w:rPr>
          <w:rFonts w:hint="eastAsia" w:ascii="宋体" w:hAnsi="宋体"/>
          <w:i/>
          <w:color w:val="auto"/>
          <w:spacing w:val="4"/>
          <w:szCs w:val="21"/>
          <w:highlight w:val="none"/>
          <w:u w:val="single"/>
          <w:lang w:val="en-US" w:eastAsia="zh-CN"/>
        </w:rPr>
        <w:t>工业</w:t>
      </w:r>
      <w:r>
        <w:rPr>
          <w:rFonts w:hint="eastAsia" w:ascii="宋体" w:hAnsi="宋体"/>
          <w:i/>
          <w:color w:val="auto"/>
          <w:spacing w:val="4"/>
          <w:szCs w:val="21"/>
          <w:highlight w:val="none"/>
          <w:u w:val="single"/>
        </w:rPr>
        <w:t>）</w:t>
      </w:r>
      <w:r>
        <w:rPr>
          <w:rFonts w:hint="eastAsia" w:ascii="宋体" w:hAnsi="宋体"/>
          <w:color w:val="auto"/>
          <w:spacing w:val="4"/>
          <w:szCs w:val="21"/>
          <w:highlight w:val="none"/>
        </w:rPr>
        <w:t>；制造商为</w:t>
      </w:r>
      <w:r>
        <w:rPr>
          <w:rFonts w:hint="eastAsia" w:ascii="宋体" w:hAnsi="宋体"/>
          <w:i/>
          <w:color w:val="auto"/>
          <w:spacing w:val="4"/>
          <w:szCs w:val="21"/>
          <w:highlight w:val="none"/>
          <w:u w:val="single"/>
        </w:rPr>
        <w:t>（企业名称）</w:t>
      </w:r>
      <w:r>
        <w:rPr>
          <w:rFonts w:hint="eastAsia" w:ascii="宋体" w:hAnsi="宋体"/>
          <w:color w:val="auto"/>
          <w:spacing w:val="4"/>
          <w:szCs w:val="21"/>
          <w:highlight w:val="none"/>
        </w:rPr>
        <w:t>，从业人员</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人，营业收入为</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万元，资产总额为</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万元，属于</w:t>
      </w:r>
      <w:r>
        <w:rPr>
          <w:rFonts w:hint="eastAsia" w:ascii="宋体" w:hAnsi="宋体"/>
          <w:i/>
          <w:color w:val="auto"/>
          <w:spacing w:val="4"/>
          <w:szCs w:val="21"/>
          <w:highlight w:val="none"/>
          <w:u w:val="single"/>
        </w:rPr>
        <w:t>（中型企业、小型企业、微型企业）</w:t>
      </w:r>
      <w:r>
        <w:rPr>
          <w:rFonts w:hint="eastAsia" w:ascii="宋体" w:hAnsi="宋体"/>
          <w:color w:val="auto"/>
          <w:spacing w:val="4"/>
          <w:szCs w:val="21"/>
          <w:highlight w:val="none"/>
        </w:rPr>
        <w:t>；</w:t>
      </w:r>
    </w:p>
    <w:p>
      <w:pPr>
        <w:spacing w:line="360" w:lineRule="auto"/>
        <w:ind w:firstLine="436" w:firstLineChars="200"/>
        <w:jc w:val="left"/>
        <w:rPr>
          <w:rFonts w:ascii="宋体" w:hAnsi="宋体"/>
          <w:color w:val="auto"/>
          <w:spacing w:val="4"/>
          <w:szCs w:val="21"/>
          <w:highlight w:val="none"/>
        </w:rPr>
      </w:pPr>
      <w:r>
        <w:rPr>
          <w:rFonts w:hint="eastAsia" w:ascii="宋体" w:hAnsi="宋体"/>
          <w:color w:val="auto"/>
          <w:spacing w:val="4"/>
          <w:szCs w:val="21"/>
          <w:highlight w:val="none"/>
        </w:rPr>
        <w:t>2.</w:t>
      </w:r>
      <w:r>
        <w:rPr>
          <w:rFonts w:hint="eastAsia" w:ascii="宋体" w:hAnsi="宋体"/>
          <w:i/>
          <w:color w:val="auto"/>
          <w:spacing w:val="4"/>
          <w:szCs w:val="21"/>
          <w:highlight w:val="none"/>
          <w:u w:val="single"/>
        </w:rPr>
        <w:t>（</w:t>
      </w:r>
      <w:r>
        <w:rPr>
          <w:rFonts w:hint="eastAsia" w:ascii="宋体" w:hAnsi="宋体" w:cs="宋体"/>
          <w:color w:val="auto"/>
          <w:szCs w:val="21"/>
          <w:highlight w:val="none"/>
        </w:rPr>
        <w:t>车辆闯入报警设备</w:t>
      </w:r>
      <w:r>
        <w:rPr>
          <w:rFonts w:hint="eastAsia" w:ascii="宋体" w:hAnsi="宋体"/>
          <w:i/>
          <w:color w:val="auto"/>
          <w:spacing w:val="4"/>
          <w:szCs w:val="21"/>
          <w:highlight w:val="none"/>
          <w:u w:val="single"/>
        </w:rPr>
        <w:t>）</w:t>
      </w:r>
      <w:r>
        <w:rPr>
          <w:rFonts w:hint="eastAsia" w:ascii="宋体" w:hAnsi="宋体"/>
          <w:color w:val="auto"/>
          <w:spacing w:val="4"/>
          <w:szCs w:val="21"/>
          <w:highlight w:val="none"/>
        </w:rPr>
        <w:t>，属于（</w:t>
      </w:r>
      <w:r>
        <w:rPr>
          <w:rFonts w:hint="eastAsia" w:ascii="宋体" w:hAnsi="宋体"/>
          <w:i/>
          <w:color w:val="auto"/>
          <w:spacing w:val="4"/>
          <w:szCs w:val="21"/>
          <w:highlight w:val="none"/>
          <w:u w:val="single"/>
          <w:lang w:val="en-US" w:eastAsia="zh-CN"/>
        </w:rPr>
        <w:t>工业</w:t>
      </w:r>
      <w:r>
        <w:rPr>
          <w:rFonts w:hint="eastAsia" w:ascii="宋体" w:hAnsi="宋体"/>
          <w:color w:val="auto"/>
          <w:spacing w:val="4"/>
          <w:szCs w:val="21"/>
          <w:highlight w:val="none"/>
        </w:rPr>
        <w:t>）；制造商为</w:t>
      </w:r>
      <w:r>
        <w:rPr>
          <w:rFonts w:hint="eastAsia" w:ascii="宋体" w:hAnsi="宋体"/>
          <w:i/>
          <w:color w:val="auto"/>
          <w:spacing w:val="4"/>
          <w:szCs w:val="21"/>
          <w:highlight w:val="none"/>
          <w:u w:val="single"/>
        </w:rPr>
        <w:t>（企业名称）</w:t>
      </w:r>
      <w:r>
        <w:rPr>
          <w:rFonts w:hint="eastAsia" w:ascii="宋体" w:hAnsi="宋体"/>
          <w:color w:val="auto"/>
          <w:spacing w:val="4"/>
          <w:szCs w:val="21"/>
          <w:highlight w:val="none"/>
        </w:rPr>
        <w:t>，从业人员</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人，营业收入为</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万元，资产总额为</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万元，属于</w:t>
      </w:r>
      <w:r>
        <w:rPr>
          <w:rFonts w:hint="eastAsia" w:ascii="宋体" w:hAnsi="宋体"/>
          <w:i/>
          <w:color w:val="auto"/>
          <w:spacing w:val="4"/>
          <w:szCs w:val="21"/>
          <w:highlight w:val="none"/>
          <w:u w:val="single"/>
        </w:rPr>
        <w:t>（中型企业、小型企业、微型企业）</w:t>
      </w:r>
      <w:r>
        <w:rPr>
          <w:rFonts w:hint="eastAsia" w:ascii="宋体" w:hAnsi="宋体"/>
          <w:color w:val="auto"/>
          <w:spacing w:val="4"/>
          <w:szCs w:val="21"/>
          <w:highlight w:val="none"/>
        </w:rPr>
        <w:t>；</w:t>
      </w:r>
    </w:p>
    <w:p>
      <w:pPr>
        <w:spacing w:line="360" w:lineRule="auto"/>
        <w:ind w:firstLine="436" w:firstLineChars="200"/>
        <w:jc w:val="left"/>
        <w:rPr>
          <w:rFonts w:hint="eastAsia" w:ascii="宋体" w:hAnsi="宋体"/>
          <w:color w:val="auto"/>
          <w:spacing w:val="4"/>
          <w:szCs w:val="21"/>
          <w:highlight w:val="none"/>
        </w:rPr>
      </w:pPr>
      <w:r>
        <w:rPr>
          <w:rFonts w:hint="eastAsia" w:ascii="宋体" w:hAnsi="宋体"/>
          <w:color w:val="auto"/>
          <w:spacing w:val="4"/>
          <w:szCs w:val="21"/>
          <w:highlight w:val="none"/>
          <w:lang w:val="en-US" w:eastAsia="zh-CN"/>
        </w:rPr>
        <w:t>3</w:t>
      </w:r>
      <w:r>
        <w:rPr>
          <w:rFonts w:hint="eastAsia" w:ascii="宋体" w:hAnsi="宋体"/>
          <w:color w:val="auto"/>
          <w:spacing w:val="4"/>
          <w:szCs w:val="21"/>
          <w:highlight w:val="none"/>
        </w:rPr>
        <w:t>.</w:t>
      </w:r>
      <w:r>
        <w:rPr>
          <w:rFonts w:hint="eastAsia" w:ascii="宋体" w:hAnsi="宋体"/>
          <w:i/>
          <w:color w:val="auto"/>
          <w:spacing w:val="4"/>
          <w:szCs w:val="21"/>
          <w:highlight w:val="none"/>
          <w:u w:val="single"/>
        </w:rPr>
        <w:t>（</w:t>
      </w:r>
      <w:r>
        <w:rPr>
          <w:rFonts w:hint="eastAsia" w:ascii="宋体" w:hAnsi="宋体" w:cs="宋体"/>
          <w:color w:val="auto"/>
          <w:szCs w:val="21"/>
          <w:highlight w:val="none"/>
        </w:rPr>
        <w:t>交通锥</w:t>
      </w:r>
      <w:r>
        <w:rPr>
          <w:rFonts w:hint="eastAsia" w:ascii="宋体" w:hAnsi="宋体"/>
          <w:i/>
          <w:color w:val="auto"/>
          <w:spacing w:val="4"/>
          <w:szCs w:val="21"/>
          <w:highlight w:val="none"/>
          <w:u w:val="single"/>
        </w:rPr>
        <w:t>）</w:t>
      </w:r>
      <w:r>
        <w:rPr>
          <w:rFonts w:hint="eastAsia" w:ascii="宋体" w:hAnsi="宋体"/>
          <w:color w:val="auto"/>
          <w:spacing w:val="4"/>
          <w:szCs w:val="21"/>
          <w:highlight w:val="none"/>
        </w:rPr>
        <w:t>，属于（</w:t>
      </w:r>
      <w:r>
        <w:rPr>
          <w:rFonts w:hint="eastAsia" w:ascii="宋体" w:hAnsi="宋体"/>
          <w:i/>
          <w:color w:val="auto"/>
          <w:spacing w:val="4"/>
          <w:szCs w:val="21"/>
          <w:highlight w:val="none"/>
          <w:u w:val="single"/>
          <w:lang w:val="en-US" w:eastAsia="zh-CN"/>
        </w:rPr>
        <w:t>工业</w:t>
      </w:r>
      <w:r>
        <w:rPr>
          <w:rFonts w:hint="eastAsia" w:ascii="宋体" w:hAnsi="宋体"/>
          <w:color w:val="auto"/>
          <w:spacing w:val="4"/>
          <w:szCs w:val="21"/>
          <w:highlight w:val="none"/>
        </w:rPr>
        <w:t>）；制造商为</w:t>
      </w:r>
      <w:r>
        <w:rPr>
          <w:rFonts w:hint="eastAsia" w:ascii="宋体" w:hAnsi="宋体"/>
          <w:i/>
          <w:color w:val="auto"/>
          <w:spacing w:val="4"/>
          <w:szCs w:val="21"/>
          <w:highlight w:val="none"/>
          <w:u w:val="single"/>
        </w:rPr>
        <w:t>（企业名称）</w:t>
      </w:r>
      <w:r>
        <w:rPr>
          <w:rFonts w:hint="eastAsia" w:ascii="宋体" w:hAnsi="宋体"/>
          <w:color w:val="auto"/>
          <w:spacing w:val="4"/>
          <w:szCs w:val="21"/>
          <w:highlight w:val="none"/>
        </w:rPr>
        <w:t>，从业人员</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人，营业收入为</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万元，资产总额为</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万元，属于</w:t>
      </w:r>
      <w:r>
        <w:rPr>
          <w:rFonts w:hint="eastAsia" w:ascii="宋体" w:hAnsi="宋体"/>
          <w:i/>
          <w:color w:val="auto"/>
          <w:spacing w:val="4"/>
          <w:szCs w:val="21"/>
          <w:highlight w:val="none"/>
          <w:u w:val="single"/>
        </w:rPr>
        <w:t>（中型企业、小型企业、微型企业）</w:t>
      </w:r>
      <w:r>
        <w:rPr>
          <w:rFonts w:hint="eastAsia" w:ascii="宋体" w:hAnsi="宋体"/>
          <w:color w:val="auto"/>
          <w:spacing w:val="4"/>
          <w:szCs w:val="21"/>
          <w:highlight w:val="none"/>
        </w:rPr>
        <w:t>；</w:t>
      </w:r>
    </w:p>
    <w:p>
      <w:pPr>
        <w:spacing w:line="360" w:lineRule="auto"/>
        <w:ind w:firstLine="436" w:firstLineChars="200"/>
        <w:jc w:val="left"/>
        <w:rPr>
          <w:rFonts w:hint="eastAsia" w:ascii="宋体" w:hAnsi="宋体"/>
          <w:color w:val="auto"/>
          <w:spacing w:val="4"/>
          <w:szCs w:val="21"/>
          <w:highlight w:val="none"/>
        </w:rPr>
      </w:pPr>
      <w:r>
        <w:rPr>
          <w:rFonts w:hint="eastAsia" w:ascii="宋体" w:hAnsi="宋体"/>
          <w:color w:val="auto"/>
          <w:spacing w:val="4"/>
          <w:szCs w:val="21"/>
          <w:highlight w:val="none"/>
          <w:lang w:val="en-US" w:eastAsia="zh-CN"/>
        </w:rPr>
        <w:t>4</w:t>
      </w:r>
      <w:r>
        <w:rPr>
          <w:rFonts w:hint="eastAsia" w:ascii="宋体" w:hAnsi="宋体"/>
          <w:color w:val="auto"/>
          <w:spacing w:val="4"/>
          <w:szCs w:val="21"/>
          <w:highlight w:val="none"/>
        </w:rPr>
        <w:t>.</w:t>
      </w:r>
      <w:r>
        <w:rPr>
          <w:rFonts w:hint="eastAsia" w:ascii="宋体" w:hAnsi="宋体"/>
          <w:i/>
          <w:color w:val="auto"/>
          <w:spacing w:val="4"/>
          <w:szCs w:val="21"/>
          <w:highlight w:val="none"/>
          <w:u w:val="single"/>
        </w:rPr>
        <w:t>（</w:t>
      </w:r>
      <w:r>
        <w:rPr>
          <w:rFonts w:hint="eastAsia" w:ascii="宋体" w:hAnsi="宋体" w:cs="宋体"/>
          <w:color w:val="auto"/>
          <w:szCs w:val="21"/>
          <w:highlight w:val="none"/>
        </w:rPr>
        <w:t>便携式</w:t>
      </w:r>
      <w:r>
        <w:rPr>
          <w:rFonts w:ascii="宋体" w:hAnsi="宋体" w:cs="宋体"/>
          <w:color w:val="auto"/>
          <w:szCs w:val="21"/>
          <w:highlight w:val="none"/>
        </w:rPr>
        <w:t>LED</w:t>
      </w:r>
      <w:r>
        <w:rPr>
          <w:rFonts w:hint="eastAsia" w:ascii="宋体" w:hAnsi="宋体" w:cs="宋体"/>
          <w:color w:val="auto"/>
          <w:szCs w:val="21"/>
          <w:highlight w:val="none"/>
        </w:rPr>
        <w:t>警示灯</w:t>
      </w:r>
      <w:r>
        <w:rPr>
          <w:rFonts w:hint="eastAsia" w:ascii="宋体" w:hAnsi="宋体"/>
          <w:i/>
          <w:color w:val="auto"/>
          <w:spacing w:val="4"/>
          <w:szCs w:val="21"/>
          <w:highlight w:val="none"/>
          <w:u w:val="single"/>
        </w:rPr>
        <w:t>）</w:t>
      </w:r>
      <w:r>
        <w:rPr>
          <w:rFonts w:hint="eastAsia" w:ascii="宋体" w:hAnsi="宋体"/>
          <w:color w:val="auto"/>
          <w:spacing w:val="4"/>
          <w:szCs w:val="21"/>
          <w:highlight w:val="none"/>
        </w:rPr>
        <w:t>，属于（</w:t>
      </w:r>
      <w:r>
        <w:rPr>
          <w:rFonts w:hint="eastAsia" w:ascii="宋体" w:hAnsi="宋体"/>
          <w:i/>
          <w:color w:val="auto"/>
          <w:spacing w:val="4"/>
          <w:szCs w:val="21"/>
          <w:highlight w:val="none"/>
          <w:u w:val="single"/>
          <w:lang w:val="en-US" w:eastAsia="zh-CN"/>
        </w:rPr>
        <w:t>工业</w:t>
      </w:r>
      <w:r>
        <w:rPr>
          <w:rFonts w:hint="eastAsia" w:ascii="宋体" w:hAnsi="宋体"/>
          <w:color w:val="auto"/>
          <w:spacing w:val="4"/>
          <w:szCs w:val="21"/>
          <w:highlight w:val="none"/>
        </w:rPr>
        <w:t>）；制造商为</w:t>
      </w:r>
      <w:r>
        <w:rPr>
          <w:rFonts w:hint="eastAsia" w:ascii="宋体" w:hAnsi="宋体"/>
          <w:i/>
          <w:color w:val="auto"/>
          <w:spacing w:val="4"/>
          <w:szCs w:val="21"/>
          <w:highlight w:val="none"/>
          <w:u w:val="single"/>
        </w:rPr>
        <w:t>（企业名称）</w:t>
      </w:r>
      <w:r>
        <w:rPr>
          <w:rFonts w:hint="eastAsia" w:ascii="宋体" w:hAnsi="宋体"/>
          <w:color w:val="auto"/>
          <w:spacing w:val="4"/>
          <w:szCs w:val="21"/>
          <w:highlight w:val="none"/>
        </w:rPr>
        <w:t>，从业人员</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人，营业收入为</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万元，资产总额为</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万元，属于</w:t>
      </w:r>
      <w:r>
        <w:rPr>
          <w:rFonts w:hint="eastAsia" w:ascii="宋体" w:hAnsi="宋体"/>
          <w:i/>
          <w:color w:val="auto"/>
          <w:spacing w:val="4"/>
          <w:szCs w:val="21"/>
          <w:highlight w:val="none"/>
          <w:u w:val="single"/>
        </w:rPr>
        <w:t>（中型企业、小型企业、微型企业）</w:t>
      </w:r>
      <w:r>
        <w:rPr>
          <w:rFonts w:hint="eastAsia" w:ascii="宋体" w:hAnsi="宋体"/>
          <w:color w:val="auto"/>
          <w:spacing w:val="4"/>
          <w:szCs w:val="21"/>
          <w:highlight w:val="none"/>
        </w:rPr>
        <w:t>；</w:t>
      </w:r>
    </w:p>
    <w:p>
      <w:pPr>
        <w:spacing w:line="360" w:lineRule="auto"/>
        <w:ind w:firstLine="436" w:firstLineChars="200"/>
        <w:jc w:val="left"/>
        <w:rPr>
          <w:rFonts w:ascii="宋体" w:hAnsi="宋体"/>
          <w:color w:val="auto"/>
          <w:spacing w:val="4"/>
          <w:szCs w:val="21"/>
          <w:highlight w:val="none"/>
        </w:rPr>
      </w:pPr>
      <w:r>
        <w:rPr>
          <w:rFonts w:hint="eastAsia" w:ascii="宋体" w:hAnsi="宋体"/>
          <w:color w:val="auto"/>
          <w:spacing w:val="4"/>
          <w:szCs w:val="21"/>
          <w:highlight w:val="none"/>
          <w:lang w:val="en-US" w:eastAsia="zh-CN"/>
        </w:rPr>
        <w:t>5</w:t>
      </w:r>
      <w:r>
        <w:rPr>
          <w:rFonts w:hint="eastAsia" w:ascii="宋体" w:hAnsi="宋体"/>
          <w:color w:val="auto"/>
          <w:spacing w:val="4"/>
          <w:szCs w:val="21"/>
          <w:highlight w:val="none"/>
        </w:rPr>
        <w:t>.</w:t>
      </w:r>
      <w:r>
        <w:rPr>
          <w:rFonts w:hint="eastAsia" w:ascii="宋体" w:hAnsi="宋体"/>
          <w:i/>
          <w:color w:val="auto"/>
          <w:spacing w:val="4"/>
          <w:szCs w:val="21"/>
          <w:highlight w:val="none"/>
          <w:u w:val="single"/>
        </w:rPr>
        <w:t>（</w:t>
      </w:r>
      <w:r>
        <w:rPr>
          <w:rFonts w:hint="eastAsia" w:ascii="宋体" w:hAnsi="宋体" w:cs="宋体"/>
          <w:color w:val="auto"/>
          <w:szCs w:val="21"/>
          <w:highlight w:val="none"/>
        </w:rPr>
        <w:t>挂肩警示灯</w:t>
      </w:r>
      <w:r>
        <w:rPr>
          <w:rFonts w:hint="eastAsia" w:ascii="宋体" w:hAnsi="宋体"/>
          <w:i/>
          <w:color w:val="auto"/>
          <w:spacing w:val="4"/>
          <w:szCs w:val="21"/>
          <w:highlight w:val="none"/>
          <w:u w:val="single"/>
        </w:rPr>
        <w:t>）</w:t>
      </w:r>
      <w:r>
        <w:rPr>
          <w:rFonts w:hint="eastAsia" w:ascii="宋体" w:hAnsi="宋体"/>
          <w:color w:val="auto"/>
          <w:spacing w:val="4"/>
          <w:szCs w:val="21"/>
          <w:highlight w:val="none"/>
        </w:rPr>
        <w:t>，属于（</w:t>
      </w:r>
      <w:r>
        <w:rPr>
          <w:rFonts w:hint="eastAsia" w:ascii="宋体" w:hAnsi="宋体"/>
          <w:i/>
          <w:color w:val="auto"/>
          <w:spacing w:val="4"/>
          <w:szCs w:val="21"/>
          <w:highlight w:val="none"/>
          <w:u w:val="single"/>
          <w:lang w:val="en-US" w:eastAsia="zh-CN"/>
        </w:rPr>
        <w:t>工业</w:t>
      </w:r>
      <w:r>
        <w:rPr>
          <w:rFonts w:hint="eastAsia" w:ascii="宋体" w:hAnsi="宋体"/>
          <w:color w:val="auto"/>
          <w:spacing w:val="4"/>
          <w:szCs w:val="21"/>
          <w:highlight w:val="none"/>
        </w:rPr>
        <w:t>）；制造商为</w:t>
      </w:r>
      <w:r>
        <w:rPr>
          <w:rFonts w:hint="eastAsia" w:ascii="宋体" w:hAnsi="宋体"/>
          <w:i/>
          <w:color w:val="auto"/>
          <w:spacing w:val="4"/>
          <w:szCs w:val="21"/>
          <w:highlight w:val="none"/>
          <w:u w:val="single"/>
        </w:rPr>
        <w:t>（企业名称）</w:t>
      </w:r>
      <w:r>
        <w:rPr>
          <w:rFonts w:hint="eastAsia" w:ascii="宋体" w:hAnsi="宋体"/>
          <w:color w:val="auto"/>
          <w:spacing w:val="4"/>
          <w:szCs w:val="21"/>
          <w:highlight w:val="none"/>
        </w:rPr>
        <w:t>，从业人员</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人，营业收入为</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万元，资产总额为</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万元，属于</w:t>
      </w:r>
      <w:r>
        <w:rPr>
          <w:rFonts w:hint="eastAsia" w:ascii="宋体" w:hAnsi="宋体"/>
          <w:i/>
          <w:color w:val="auto"/>
          <w:spacing w:val="4"/>
          <w:szCs w:val="21"/>
          <w:highlight w:val="none"/>
          <w:u w:val="single"/>
        </w:rPr>
        <w:t>（中型企业、小型企业、微型企业）</w:t>
      </w:r>
      <w:r>
        <w:rPr>
          <w:rFonts w:hint="eastAsia" w:ascii="宋体" w:hAnsi="宋体"/>
          <w:color w:val="auto"/>
          <w:spacing w:val="4"/>
          <w:szCs w:val="21"/>
          <w:highlight w:val="none"/>
        </w:rPr>
        <w:t>；</w:t>
      </w:r>
    </w:p>
    <w:p>
      <w:pPr>
        <w:spacing w:line="360" w:lineRule="auto"/>
        <w:ind w:firstLine="436" w:firstLineChars="200"/>
        <w:jc w:val="left"/>
        <w:rPr>
          <w:rFonts w:ascii="宋体" w:hAnsi="宋体"/>
          <w:color w:val="auto"/>
          <w:spacing w:val="4"/>
          <w:szCs w:val="21"/>
          <w:highlight w:val="none"/>
        </w:rPr>
      </w:pPr>
      <w:r>
        <w:rPr>
          <w:rFonts w:hint="eastAsia" w:ascii="宋体" w:hAnsi="宋体"/>
          <w:color w:val="auto"/>
          <w:spacing w:val="4"/>
          <w:szCs w:val="21"/>
          <w:highlight w:val="none"/>
        </w:rPr>
        <w:t>以上企业，不属于大企业的分支机构，不存在控股股东为大企业的情形，也不存在与大企业的负责人为同一人的情形。</w:t>
      </w:r>
    </w:p>
    <w:p>
      <w:pPr>
        <w:spacing w:line="360" w:lineRule="auto"/>
        <w:ind w:firstLine="436" w:firstLineChars="200"/>
        <w:jc w:val="left"/>
        <w:rPr>
          <w:rFonts w:ascii="宋体" w:hAnsi="宋体"/>
          <w:color w:val="auto"/>
          <w:spacing w:val="4"/>
          <w:szCs w:val="21"/>
          <w:highlight w:val="none"/>
        </w:rPr>
      </w:pPr>
      <w:r>
        <w:rPr>
          <w:rFonts w:hint="eastAsia" w:ascii="宋体" w:hAnsi="宋体"/>
          <w:color w:val="auto"/>
          <w:spacing w:val="4"/>
          <w:szCs w:val="21"/>
          <w:highlight w:val="none"/>
        </w:rPr>
        <w:t>本企业对上述声明内容的真实性负责。如有虚假，将依法承担相应责任。</w:t>
      </w:r>
    </w:p>
    <w:p>
      <w:pPr>
        <w:spacing w:line="360" w:lineRule="auto"/>
        <w:ind w:firstLine="3815" w:firstLineChars="1750"/>
        <w:jc w:val="left"/>
        <w:rPr>
          <w:rFonts w:ascii="宋体" w:hAnsi="宋体"/>
          <w:color w:val="auto"/>
          <w:spacing w:val="4"/>
          <w:szCs w:val="21"/>
          <w:highlight w:val="none"/>
        </w:rPr>
      </w:pPr>
    </w:p>
    <w:p>
      <w:pPr>
        <w:spacing w:before="156" w:beforeLines="50" w:after="156" w:afterLines="50" w:line="360" w:lineRule="auto"/>
        <w:ind w:firstLine="3110" w:firstLineChars="1427"/>
        <w:jc w:val="left"/>
        <w:rPr>
          <w:rFonts w:ascii="宋体" w:hAnsi="宋体" w:cs="宋体"/>
          <w:color w:val="auto"/>
          <w:spacing w:val="14"/>
          <w:kern w:val="0"/>
          <w:szCs w:val="21"/>
          <w:highlight w:val="none"/>
        </w:rPr>
      </w:pPr>
      <w:r>
        <w:rPr>
          <w:rFonts w:hint="eastAsia" w:ascii="宋体" w:hAnsi="宋体" w:cs="宋体"/>
          <w:color w:val="auto"/>
          <w:spacing w:val="4"/>
          <w:szCs w:val="21"/>
          <w:highlight w:val="none"/>
        </w:rPr>
        <w:t>供应商名称（盖章）：</w:t>
      </w:r>
      <w:r>
        <w:rPr>
          <w:rFonts w:hint="eastAsia" w:ascii="宋体" w:hAnsi="宋体" w:cs="宋体"/>
          <w:color w:val="auto"/>
          <w:spacing w:val="4"/>
          <w:szCs w:val="21"/>
          <w:highlight w:val="none"/>
          <w:u w:val="single"/>
        </w:rPr>
        <w:t xml:space="preserve">               </w:t>
      </w:r>
      <w:r>
        <w:rPr>
          <w:rFonts w:hint="eastAsia" w:ascii="宋体" w:hAnsi="宋体" w:cs="宋体"/>
          <w:color w:val="auto"/>
          <w:spacing w:val="14"/>
          <w:kern w:val="0"/>
          <w:szCs w:val="21"/>
          <w:highlight w:val="none"/>
          <w:u w:val="single"/>
        </w:rPr>
        <w:t>（单位全称）</w:t>
      </w:r>
    </w:p>
    <w:p>
      <w:pPr>
        <w:spacing w:line="360" w:lineRule="auto"/>
        <w:ind w:left="1"/>
        <w:jc w:val="center"/>
        <w:rPr>
          <w:rFonts w:ascii="宋体" w:hAnsi="宋体" w:cs="宋体"/>
          <w:color w:val="auto"/>
          <w:spacing w:val="4"/>
          <w:sz w:val="24"/>
          <w:szCs w:val="24"/>
          <w:highlight w:val="none"/>
        </w:rPr>
      </w:pPr>
      <w:r>
        <w:rPr>
          <w:rFonts w:hint="eastAsia" w:ascii="宋体" w:hAnsi="宋体" w:cs="宋体"/>
          <w:color w:val="auto"/>
          <w:spacing w:val="4"/>
          <w:szCs w:val="21"/>
          <w:highlight w:val="none"/>
        </w:rPr>
        <w:t xml:space="preserve">                                              日   期：</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年</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月</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日</w:t>
      </w:r>
    </w:p>
    <w:p>
      <w:pPr>
        <w:spacing w:before="156" w:beforeLines="50" w:after="156" w:afterLines="50" w:line="360" w:lineRule="auto"/>
        <w:jc w:val="left"/>
        <w:rPr>
          <w:rFonts w:ascii="宋体" w:hAnsi="宋体" w:cs="宋体"/>
          <w:b/>
          <w:bCs/>
          <w:color w:val="auto"/>
          <w:spacing w:val="4"/>
          <w:sz w:val="24"/>
          <w:szCs w:val="24"/>
          <w:highlight w:val="none"/>
        </w:rPr>
      </w:pPr>
      <w:bookmarkStart w:id="39" w:name="OLE_LINK14"/>
      <w:bookmarkStart w:id="40" w:name="OLE_LINK13"/>
    </w:p>
    <w:p>
      <w:pPr>
        <w:spacing w:before="156" w:beforeLines="50" w:after="156" w:afterLines="50" w:line="360" w:lineRule="auto"/>
        <w:jc w:val="left"/>
        <w:rPr>
          <w:rFonts w:ascii="宋体" w:hAnsi="宋体" w:cs="宋体"/>
          <w:b/>
          <w:bCs/>
          <w:color w:val="auto"/>
          <w:spacing w:val="4"/>
          <w:sz w:val="24"/>
          <w:szCs w:val="24"/>
          <w:highlight w:val="none"/>
        </w:rPr>
      </w:pPr>
      <w:r>
        <w:rPr>
          <w:rFonts w:hint="eastAsia" w:ascii="宋体" w:hAnsi="宋体" w:cs="宋体"/>
          <w:b/>
          <w:bCs/>
          <w:color w:val="auto"/>
          <w:spacing w:val="4"/>
          <w:sz w:val="24"/>
          <w:szCs w:val="24"/>
          <w:highlight w:val="none"/>
        </w:rPr>
        <w:t>注：本项目采购标的对应的中小企业划分标准所属行业为工业，非中小企业，无须附此表，否则由此产生的一切不利后果由供应商自行承担。</w:t>
      </w:r>
    </w:p>
    <w:p>
      <w:pPr>
        <w:spacing w:before="156" w:beforeLines="50" w:after="156" w:afterLines="50" w:line="360" w:lineRule="auto"/>
        <w:jc w:val="left"/>
        <w:rPr>
          <w:rFonts w:ascii="宋体" w:hAnsi="宋体" w:cs="宋体"/>
          <w:b/>
          <w:bCs/>
          <w:color w:val="auto"/>
          <w:spacing w:val="4"/>
          <w:sz w:val="24"/>
          <w:szCs w:val="24"/>
          <w:highlight w:val="none"/>
        </w:rPr>
      </w:pPr>
      <w:r>
        <w:rPr>
          <w:rFonts w:hint="eastAsia" w:ascii="宋体" w:hAnsi="宋体"/>
          <w:color w:val="auto"/>
          <w:sz w:val="18"/>
          <w:szCs w:val="18"/>
          <w:highlight w:val="none"/>
        </w:rPr>
        <w:t>从业人员、营业收入、资产总额填报上一年度数据，无上一年度数据的新成立企业可不填报。</w:t>
      </w:r>
    </w:p>
    <w:p>
      <w:pPr>
        <w:spacing w:line="360" w:lineRule="auto"/>
        <w:jc w:val="left"/>
        <w:rPr>
          <w:rFonts w:ascii="宋体" w:hAnsi="宋体"/>
          <w:b/>
          <w:color w:val="auto"/>
          <w:sz w:val="24"/>
          <w:szCs w:val="24"/>
          <w:highlight w:val="none"/>
        </w:rPr>
      </w:pPr>
      <w:r>
        <w:rPr>
          <w:rFonts w:hint="eastAsia" w:ascii="宋体" w:hAnsi="宋体" w:cs="宋体"/>
          <w:b/>
          <w:color w:val="auto"/>
          <w:sz w:val="24"/>
          <w:szCs w:val="24"/>
          <w:highlight w:val="none"/>
        </w:rPr>
        <w:br w:type="page"/>
      </w:r>
      <w:r>
        <w:rPr>
          <w:rFonts w:hint="eastAsia" w:ascii="宋体" w:hAnsi="宋体" w:cs="宋体"/>
          <w:b/>
          <w:color w:val="auto"/>
          <w:sz w:val="24"/>
          <w:szCs w:val="24"/>
          <w:highlight w:val="none"/>
        </w:rPr>
        <w:t>附件：格式</w:t>
      </w:r>
    </w:p>
    <w:bookmarkEnd w:id="39"/>
    <w:bookmarkEnd w:id="40"/>
    <w:p>
      <w:pPr>
        <w:spacing w:before="312" w:beforeLines="100" w:after="312" w:afterLines="100"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残疾人福利性单位声明函</w:t>
      </w:r>
    </w:p>
    <w:p>
      <w:pPr>
        <w:spacing w:line="360" w:lineRule="auto"/>
        <w:ind w:firstLine="436" w:firstLineChars="200"/>
        <w:jc w:val="left"/>
        <w:rPr>
          <w:rFonts w:ascii="宋体" w:hAnsi="宋体"/>
          <w:color w:val="auto"/>
          <w:spacing w:val="4"/>
          <w:szCs w:val="21"/>
          <w:highlight w:val="none"/>
        </w:rPr>
      </w:pPr>
      <w:r>
        <w:rPr>
          <w:rFonts w:hint="eastAsia" w:ascii="宋体" w:hAnsi="宋体"/>
          <w:color w:val="auto"/>
          <w:spacing w:val="4"/>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单位的</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项目采购活动提供服务。</w:t>
      </w:r>
    </w:p>
    <w:p>
      <w:pPr>
        <w:spacing w:line="360" w:lineRule="auto"/>
        <w:ind w:firstLine="436" w:firstLineChars="200"/>
        <w:jc w:val="left"/>
        <w:rPr>
          <w:rFonts w:ascii="宋体" w:hAnsi="宋体"/>
          <w:color w:val="auto"/>
          <w:spacing w:val="4"/>
          <w:szCs w:val="21"/>
          <w:highlight w:val="none"/>
        </w:rPr>
      </w:pPr>
      <w:r>
        <w:rPr>
          <w:rFonts w:hint="eastAsia" w:ascii="宋体" w:hAnsi="宋体"/>
          <w:color w:val="auto"/>
          <w:spacing w:val="4"/>
          <w:szCs w:val="21"/>
          <w:highlight w:val="none"/>
        </w:rPr>
        <w:t>本单位对上述声明的真实性负责。如有虚假，将依法承担相应责任。</w:t>
      </w:r>
    </w:p>
    <w:p>
      <w:pPr>
        <w:spacing w:line="360" w:lineRule="auto"/>
        <w:jc w:val="left"/>
        <w:rPr>
          <w:rFonts w:ascii="宋体" w:hAnsi="宋体"/>
          <w:color w:val="auto"/>
          <w:spacing w:val="4"/>
          <w:sz w:val="24"/>
          <w:szCs w:val="24"/>
          <w:highlight w:val="none"/>
        </w:rPr>
      </w:pPr>
    </w:p>
    <w:p>
      <w:pPr>
        <w:spacing w:line="360" w:lineRule="auto"/>
        <w:rPr>
          <w:rFonts w:ascii="宋体" w:hAnsi="宋体"/>
          <w:color w:val="auto"/>
          <w:spacing w:val="4"/>
          <w:szCs w:val="21"/>
          <w:highlight w:val="none"/>
        </w:rPr>
      </w:pPr>
    </w:p>
    <w:p>
      <w:pPr>
        <w:spacing w:line="360" w:lineRule="auto"/>
        <w:ind w:left="1"/>
        <w:rPr>
          <w:rFonts w:ascii="宋体" w:hAnsi="宋体" w:cs="宋体"/>
          <w:color w:val="auto"/>
          <w:szCs w:val="21"/>
          <w:highlight w:val="none"/>
        </w:rPr>
      </w:pPr>
    </w:p>
    <w:p>
      <w:pPr>
        <w:spacing w:before="156" w:beforeLines="50" w:after="156" w:afterLines="50" w:line="360" w:lineRule="auto"/>
        <w:ind w:firstLine="3110" w:firstLineChars="1427"/>
        <w:jc w:val="left"/>
        <w:rPr>
          <w:rFonts w:ascii="宋体" w:hAnsi="宋体" w:cs="宋体"/>
          <w:color w:val="auto"/>
          <w:spacing w:val="14"/>
          <w:kern w:val="0"/>
          <w:szCs w:val="21"/>
          <w:highlight w:val="none"/>
        </w:rPr>
      </w:pPr>
      <w:r>
        <w:rPr>
          <w:rFonts w:hint="eastAsia" w:ascii="宋体" w:hAnsi="宋体" w:cs="宋体"/>
          <w:color w:val="auto"/>
          <w:spacing w:val="4"/>
          <w:szCs w:val="21"/>
          <w:highlight w:val="none"/>
        </w:rPr>
        <w:t>供应商名称（盖章）：</w:t>
      </w:r>
      <w:r>
        <w:rPr>
          <w:rFonts w:hint="eastAsia" w:ascii="宋体" w:hAnsi="宋体" w:cs="宋体"/>
          <w:color w:val="auto"/>
          <w:spacing w:val="4"/>
          <w:szCs w:val="21"/>
          <w:highlight w:val="none"/>
          <w:u w:val="single"/>
        </w:rPr>
        <w:t xml:space="preserve">               </w:t>
      </w:r>
      <w:r>
        <w:rPr>
          <w:rFonts w:hint="eastAsia" w:ascii="宋体" w:hAnsi="宋体" w:cs="宋体"/>
          <w:color w:val="auto"/>
          <w:spacing w:val="14"/>
          <w:kern w:val="0"/>
          <w:szCs w:val="21"/>
          <w:highlight w:val="none"/>
          <w:u w:val="single"/>
        </w:rPr>
        <w:t>（单位全称）</w:t>
      </w:r>
    </w:p>
    <w:p>
      <w:pPr>
        <w:spacing w:before="156" w:beforeLines="50" w:after="156" w:afterLines="50" w:line="360" w:lineRule="auto"/>
        <w:jc w:val="center"/>
        <w:rPr>
          <w:rFonts w:ascii="宋体" w:hAnsi="宋体" w:cs="宋体"/>
          <w:color w:val="auto"/>
          <w:spacing w:val="4"/>
          <w:szCs w:val="21"/>
          <w:highlight w:val="none"/>
        </w:rPr>
      </w:pPr>
      <w:r>
        <w:rPr>
          <w:rFonts w:hint="eastAsia" w:ascii="宋体" w:hAnsi="宋体" w:cs="宋体"/>
          <w:color w:val="auto"/>
          <w:spacing w:val="4"/>
          <w:szCs w:val="21"/>
          <w:highlight w:val="none"/>
        </w:rPr>
        <w:t xml:space="preserve">                                            日  期：</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年</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月</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日</w:t>
      </w:r>
    </w:p>
    <w:p>
      <w:pPr>
        <w:spacing w:before="156" w:beforeLines="50" w:after="156" w:afterLines="50" w:line="360" w:lineRule="auto"/>
        <w:jc w:val="left"/>
        <w:rPr>
          <w:rFonts w:ascii="宋体" w:hAnsi="宋体" w:cs="宋体"/>
          <w:b/>
          <w:bCs/>
          <w:color w:val="auto"/>
          <w:spacing w:val="4"/>
          <w:sz w:val="24"/>
          <w:szCs w:val="24"/>
          <w:highlight w:val="none"/>
        </w:rPr>
      </w:pPr>
    </w:p>
    <w:p>
      <w:pPr>
        <w:spacing w:before="156" w:beforeLines="50" w:after="156" w:afterLines="50" w:line="360" w:lineRule="auto"/>
        <w:jc w:val="left"/>
        <w:rPr>
          <w:rFonts w:ascii="宋体" w:hAnsi="宋体" w:cs="宋体"/>
          <w:b/>
          <w:bCs/>
          <w:color w:val="auto"/>
          <w:spacing w:val="4"/>
          <w:sz w:val="24"/>
          <w:szCs w:val="24"/>
          <w:highlight w:val="none"/>
        </w:rPr>
      </w:pPr>
    </w:p>
    <w:p>
      <w:pPr>
        <w:spacing w:before="156" w:beforeLines="50" w:after="156" w:afterLines="50" w:line="360" w:lineRule="auto"/>
        <w:jc w:val="left"/>
        <w:rPr>
          <w:rFonts w:ascii="宋体" w:hAnsi="宋体" w:cs="宋体"/>
          <w:b/>
          <w:bCs/>
          <w:color w:val="auto"/>
          <w:spacing w:val="4"/>
          <w:sz w:val="24"/>
          <w:szCs w:val="24"/>
          <w:highlight w:val="none"/>
        </w:rPr>
      </w:pPr>
    </w:p>
    <w:p>
      <w:pPr>
        <w:spacing w:before="156" w:beforeLines="50" w:after="156" w:afterLines="50" w:line="360" w:lineRule="auto"/>
        <w:jc w:val="left"/>
        <w:rPr>
          <w:rFonts w:ascii="宋体" w:hAnsi="宋体" w:cs="宋体"/>
          <w:b/>
          <w:bCs/>
          <w:color w:val="auto"/>
          <w:spacing w:val="4"/>
          <w:sz w:val="24"/>
          <w:szCs w:val="24"/>
          <w:highlight w:val="none"/>
        </w:rPr>
      </w:pPr>
    </w:p>
    <w:p>
      <w:pPr>
        <w:spacing w:before="156" w:beforeLines="50" w:after="156" w:afterLines="50" w:line="360" w:lineRule="auto"/>
        <w:jc w:val="left"/>
        <w:rPr>
          <w:rFonts w:ascii="宋体" w:hAnsi="宋体" w:cs="宋体"/>
          <w:b/>
          <w:bCs/>
          <w:color w:val="auto"/>
          <w:spacing w:val="4"/>
          <w:sz w:val="24"/>
          <w:szCs w:val="24"/>
          <w:highlight w:val="none"/>
        </w:rPr>
      </w:pPr>
    </w:p>
    <w:p>
      <w:pPr>
        <w:spacing w:before="156" w:beforeLines="50" w:after="156" w:afterLines="50" w:line="360" w:lineRule="auto"/>
        <w:jc w:val="left"/>
        <w:rPr>
          <w:rFonts w:ascii="宋体" w:hAnsi="宋体" w:cs="宋体"/>
          <w:b/>
          <w:bCs/>
          <w:color w:val="auto"/>
          <w:spacing w:val="4"/>
          <w:sz w:val="24"/>
          <w:szCs w:val="24"/>
          <w:highlight w:val="none"/>
        </w:rPr>
      </w:pPr>
    </w:p>
    <w:p>
      <w:pPr>
        <w:spacing w:before="156" w:beforeLines="50" w:after="156" w:afterLines="50" w:line="360" w:lineRule="auto"/>
        <w:jc w:val="left"/>
        <w:rPr>
          <w:rFonts w:ascii="宋体" w:hAnsi="宋体" w:cs="宋体"/>
          <w:b/>
          <w:bCs/>
          <w:color w:val="auto"/>
          <w:spacing w:val="4"/>
          <w:sz w:val="24"/>
          <w:szCs w:val="24"/>
          <w:highlight w:val="none"/>
        </w:rPr>
      </w:pPr>
    </w:p>
    <w:p>
      <w:pPr>
        <w:spacing w:before="156" w:beforeLines="50" w:after="156" w:afterLines="50" w:line="360" w:lineRule="auto"/>
        <w:jc w:val="left"/>
        <w:rPr>
          <w:rFonts w:ascii="宋体" w:hAnsi="宋体" w:cs="宋体"/>
          <w:b/>
          <w:bCs/>
          <w:color w:val="auto"/>
          <w:spacing w:val="4"/>
          <w:sz w:val="24"/>
          <w:szCs w:val="24"/>
          <w:highlight w:val="none"/>
        </w:rPr>
      </w:pPr>
    </w:p>
    <w:p>
      <w:pPr>
        <w:spacing w:before="156" w:beforeLines="50" w:after="156" w:afterLines="50" w:line="360" w:lineRule="auto"/>
        <w:jc w:val="left"/>
        <w:rPr>
          <w:rFonts w:ascii="宋体" w:hAnsi="宋体" w:cs="宋体"/>
          <w:b/>
          <w:bCs/>
          <w:color w:val="auto"/>
          <w:spacing w:val="4"/>
          <w:sz w:val="24"/>
          <w:szCs w:val="24"/>
          <w:highlight w:val="none"/>
        </w:rPr>
      </w:pPr>
    </w:p>
    <w:p>
      <w:pPr>
        <w:spacing w:before="156" w:beforeLines="50" w:after="156" w:afterLines="50" w:line="360" w:lineRule="auto"/>
        <w:jc w:val="left"/>
        <w:rPr>
          <w:rFonts w:ascii="宋体" w:hAnsi="宋体" w:cs="宋体"/>
          <w:b/>
          <w:bCs/>
          <w:color w:val="auto"/>
          <w:spacing w:val="4"/>
          <w:sz w:val="24"/>
          <w:szCs w:val="24"/>
          <w:highlight w:val="none"/>
        </w:rPr>
      </w:pPr>
      <w:r>
        <w:rPr>
          <w:rFonts w:hint="eastAsia" w:ascii="宋体" w:hAnsi="宋体" w:cs="宋体"/>
          <w:b/>
          <w:bCs/>
          <w:color w:val="auto"/>
          <w:spacing w:val="4"/>
          <w:sz w:val="24"/>
          <w:szCs w:val="24"/>
          <w:highlight w:val="none"/>
        </w:rPr>
        <w:t>注：非残疾人福利性单位，无须附此表，否则由此产生的一切不利后果由供应商自行承担。</w:t>
      </w:r>
    </w:p>
    <w:p>
      <w:pPr>
        <w:pStyle w:val="2"/>
        <w:rPr>
          <w:color w:val="auto"/>
          <w:highlight w:val="none"/>
        </w:rPr>
      </w:pPr>
    </w:p>
    <w:sectPr>
      <w:footerReference r:id="rId6" w:type="first"/>
      <w:footerReference r:id="rId5"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361" w:wrap="around" w:vAnchor="text" w:hAnchor="page" w:x="5761" w:y="-5"/>
      <w:rPr>
        <w:rStyle w:val="23"/>
      </w:rP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361" w:wrap="around" w:vAnchor="text" w:hAnchor="page" w:x="5761" w:y="-5"/>
      <w:rPr>
        <w:rStyle w:val="23"/>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524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114935" cy="152400"/>
                      </a:xfrm>
                      <a:prstGeom prst="rect">
                        <a:avLst/>
                      </a:prstGeom>
                      <a:noFill/>
                      <a:ln>
                        <a:noFill/>
                      </a:ln>
                    </wps:spPr>
                    <wps:txbx>
                      <w:txbxContent>
                        <w:p>
                          <w:pPr>
                            <w:pStyle w:val="12"/>
                            <w:rPr>
                              <w:rStyle w:val="23"/>
                            </w:rPr>
                          </w:pPr>
                          <w:r>
                            <w:fldChar w:fldCharType="begin"/>
                          </w:r>
                          <w:r>
                            <w:rPr>
                              <w:rStyle w:val="23"/>
                            </w:rPr>
                            <w:instrText xml:space="preserve">PAGE  </w:instrText>
                          </w:r>
                          <w:r>
                            <w:fldChar w:fldCharType="separate"/>
                          </w:r>
                          <w:r>
                            <w:rPr>
                              <w:rStyle w:val="23"/>
                            </w:rPr>
                            <w:t>62</w:t>
                          </w:r>
                          <w:r>
                            <w:fldChar w:fldCharType="end"/>
                          </w:r>
                        </w:p>
                      </w:txbxContent>
                    </wps:txbx>
                    <wps:bodyPr wrap="none" lIns="0" tIns="0" rIns="0" bIns="0">
                      <a:spAutoFit/>
                    </wps:bodyPr>
                  </wps:wsp>
                </a:graphicData>
              </a:graphic>
            </wp:anchor>
          </w:drawing>
        </mc:Choice>
        <mc:Fallback>
          <w:pict>
            <v:shape id="文本框 1029" o:spid="_x0000_s1026" o:spt="202" type="#_x0000_t202" style="position:absolute;left:0pt;margin-top:0pt;height:12pt;width:9.05pt;mso-position-horizontal:center;mso-position-horizontal-relative:margin;mso-wrap-style:none;z-index:251659264;mso-width-relative:page;mso-height-relative:page;" filled="f" stroked="f" coordsize="21600,21600" o:gfxdata="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YWtTdAAAAADAQAADwAAAAAAAAABACAAAAAiAAAAZHJzL2Rvd25yZXYu&#10;eG1sUEsBAhQAFAAAAAgAh07iQI+hY1nKAQAAjgMAAA4AAAAAAAAAAQAgAAAAHwEAAGRycy9lMm9E&#10;b2MueG1sUEsFBgAAAAAGAAYAWQEAAFsFAAAAAA==&#10;">
              <v:fill on="f" focussize="0,0"/>
              <v:stroke on="f"/>
              <v:imagedata o:title=""/>
              <o:lock v:ext="edit" aspectratio="f"/>
              <v:textbox inset="0mm,0mm,0mm,0mm" style="mso-fit-shape-to-text:t;">
                <w:txbxContent>
                  <w:p>
                    <w:pPr>
                      <w:pStyle w:val="12"/>
                      <w:rPr>
                        <w:rStyle w:val="23"/>
                      </w:rPr>
                    </w:pPr>
                    <w:r>
                      <w:fldChar w:fldCharType="begin"/>
                    </w:r>
                    <w:r>
                      <w:rPr>
                        <w:rStyle w:val="23"/>
                      </w:rPr>
                      <w:instrText xml:space="preserve">PAGE  </w:instrText>
                    </w:r>
                    <w:r>
                      <w:fldChar w:fldCharType="separate"/>
                    </w:r>
                    <w:r>
                      <w:rPr>
                        <w:rStyle w:val="23"/>
                      </w:rPr>
                      <w:t>62</w:t>
                    </w:r>
                    <w:r>
                      <w:fldChar w:fldCharType="end"/>
                    </w:r>
                  </w:p>
                </w:txbxContent>
              </v:textbox>
            </v:shape>
          </w:pict>
        </mc:Fallback>
      </mc:AlternateContent>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52400"/>
              <wp:effectExtent l="0" t="0" r="0" b="0"/>
              <wp:wrapNone/>
              <wp:docPr id="5" name="文本框 1030"/>
              <wp:cNvGraphicFramePr/>
              <a:graphic xmlns:a="http://schemas.openxmlformats.org/drawingml/2006/main">
                <a:graphicData uri="http://schemas.microsoft.com/office/word/2010/wordprocessingShape">
                  <wps:wsp>
                    <wps:cNvSpPr txBox="1"/>
                    <wps:spPr>
                      <a:xfrm>
                        <a:off x="0" y="0"/>
                        <a:ext cx="114935" cy="152400"/>
                      </a:xfrm>
                      <a:prstGeom prst="rect">
                        <a:avLst/>
                      </a:prstGeom>
                      <a:noFill/>
                      <a:ln>
                        <a:noFill/>
                      </a:ln>
                    </wps:spPr>
                    <wps:txbx>
                      <w:txbxContent>
                        <w:p>
                          <w:pPr>
                            <w:pStyle w:val="12"/>
                          </w:pPr>
                          <w:r>
                            <w:fldChar w:fldCharType="begin"/>
                          </w:r>
                          <w:r>
                            <w:instrText xml:space="preserve"> PAGE  \* MERGEFORMAT </w:instrText>
                          </w:r>
                          <w:r>
                            <w:fldChar w:fldCharType="separate"/>
                          </w:r>
                          <w:r>
                            <w:t>30</w:t>
                          </w:r>
                          <w:r>
                            <w:fldChar w:fldCharType="end"/>
                          </w:r>
                        </w:p>
                      </w:txbxContent>
                    </wps:txbx>
                    <wps:bodyPr wrap="none" lIns="0" tIns="0" rIns="0" bIns="0">
                      <a:spAutoFit/>
                    </wps:bodyPr>
                  </wps:wsp>
                </a:graphicData>
              </a:graphic>
            </wp:anchor>
          </w:drawing>
        </mc:Choice>
        <mc:Fallback>
          <w:pict>
            <v:shape id="文本框 1030" o:spid="_x0000_s1026" o:spt="202" type="#_x0000_t202" style="position:absolute;left:0pt;margin-top:0pt;height:12pt;width:9.05pt;mso-position-horizontal:center;mso-position-horizontal-relative:margin;mso-wrap-style:none;z-index:251660288;mso-width-relative:page;mso-height-relative:page;" filled="f" stroked="f" coordsize="21600,21600" o:gfxdata="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GFrU3QAAAAAwEAAA8AAAAAAAAAAQAgAAAAIgAAAGRycy9kb3ducmV2Lnht&#10;bFBLAQIUABQAAAAIAIdO4kBZF3Z3yAEAAI4DAAAOAAAAAAAAAAEAIAAAAB8BAABkcnMvZTJvRG9j&#10;LnhtbFBLBQYAAAAABgAGAFkBAABZ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30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w:t>西安市公安局交通警察支队安全防护警用装备采购项目</w:t>
    </w:r>
    <w:r>
      <w:rPr>
        <w:rFonts w:hint="eastAsia" w:cs="Times New Roman"/>
        <w:b w:val="0"/>
        <w:bCs w:val="0"/>
        <w:sz w:val="18"/>
        <w:szCs w:val="18"/>
        <w:lang w:eastAsia="zh-CN"/>
      </w:rPr>
      <w:t>（</w:t>
    </w:r>
    <w:r>
      <w:rPr>
        <w:rFonts w:hint="eastAsia" w:cs="Times New Roman"/>
        <w:b w:val="0"/>
        <w:bCs w:val="0"/>
        <w:sz w:val="18"/>
        <w:szCs w:val="18"/>
        <w:lang w:val="en-US" w:eastAsia="zh-CN"/>
      </w:rPr>
      <w:t>三次）</w:t>
    </w:r>
    <w:r>
      <w:rPr>
        <w:rFonts w:hint="eastAsia"/>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578930"/>
    <w:multiLevelType w:val="singleLevel"/>
    <w:tmpl w:val="D3578930"/>
    <w:lvl w:ilvl="0" w:tentative="0">
      <w:start w:val="2"/>
      <w:numFmt w:val="decimal"/>
      <w:suff w:val="nothing"/>
      <w:lvlText w:val="（%1）"/>
      <w:lvlJc w:val="left"/>
    </w:lvl>
  </w:abstractNum>
  <w:abstractNum w:abstractNumId="1">
    <w:nsid w:val="07015DAE"/>
    <w:multiLevelType w:val="multilevel"/>
    <w:tmpl w:val="07015DAE"/>
    <w:lvl w:ilvl="0" w:tentative="0">
      <w:start w:val="1"/>
      <w:numFmt w:val="japaneseCounting"/>
      <w:lvlText w:val="（%1）"/>
      <w:lvlJc w:val="left"/>
      <w:pPr>
        <w:ind w:left="765" w:hanging="76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0364269"/>
    <w:multiLevelType w:val="singleLevel"/>
    <w:tmpl w:val="10364269"/>
    <w:lvl w:ilvl="0" w:tentative="0">
      <w:start w:val="5"/>
      <w:numFmt w:val="chineseCounting"/>
      <w:suff w:val="nothing"/>
      <w:lvlText w:val="%1、"/>
      <w:lvlJc w:val="left"/>
      <w:rPr>
        <w:rFonts w:hint="eastAsia"/>
      </w:rPr>
    </w:lvl>
  </w:abstractNum>
  <w:abstractNum w:abstractNumId="3">
    <w:nsid w:val="16D63F16"/>
    <w:multiLevelType w:val="multilevel"/>
    <w:tmpl w:val="16D63F16"/>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53EC41AD"/>
    <w:multiLevelType w:val="singleLevel"/>
    <w:tmpl w:val="53EC41AD"/>
    <w:lvl w:ilvl="0" w:tentative="0">
      <w:start w:val="1"/>
      <w:numFmt w:val="decimal"/>
      <w:lvlText w:val="（%1）"/>
      <w:lvlJc w:val="left"/>
      <w:pPr>
        <w:tabs>
          <w:tab w:val="left" w:pos="720"/>
        </w:tabs>
        <w:ind w:left="720" w:hanging="720"/>
      </w:pPr>
      <w:rPr>
        <w:rFonts w:hint="eastAsia"/>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iMTBhMjMwMjg0ZDJkMjdhNTA2ZGIyZTAwZWIxODQifQ=="/>
  </w:docVars>
  <w:rsids>
    <w:rsidRoot w:val="00FB25EC"/>
    <w:rsid w:val="0000130B"/>
    <w:rsid w:val="00001C26"/>
    <w:rsid w:val="00004B36"/>
    <w:rsid w:val="00007DA5"/>
    <w:rsid w:val="000113B6"/>
    <w:rsid w:val="000118DF"/>
    <w:rsid w:val="000129C3"/>
    <w:rsid w:val="000141E9"/>
    <w:rsid w:val="00016074"/>
    <w:rsid w:val="00021BF1"/>
    <w:rsid w:val="00023C67"/>
    <w:rsid w:val="0002628F"/>
    <w:rsid w:val="00026ADF"/>
    <w:rsid w:val="00027DC9"/>
    <w:rsid w:val="000324BF"/>
    <w:rsid w:val="000328C7"/>
    <w:rsid w:val="00036017"/>
    <w:rsid w:val="000418CD"/>
    <w:rsid w:val="000423AB"/>
    <w:rsid w:val="000424AB"/>
    <w:rsid w:val="00042AB8"/>
    <w:rsid w:val="00043C34"/>
    <w:rsid w:val="00045020"/>
    <w:rsid w:val="000451EB"/>
    <w:rsid w:val="000468C6"/>
    <w:rsid w:val="00051C61"/>
    <w:rsid w:val="0005263A"/>
    <w:rsid w:val="00053018"/>
    <w:rsid w:val="00053C7B"/>
    <w:rsid w:val="00054D22"/>
    <w:rsid w:val="0005565B"/>
    <w:rsid w:val="00055FA3"/>
    <w:rsid w:val="00056B70"/>
    <w:rsid w:val="000604FC"/>
    <w:rsid w:val="00061FF2"/>
    <w:rsid w:val="0006212D"/>
    <w:rsid w:val="0006226C"/>
    <w:rsid w:val="0006395D"/>
    <w:rsid w:val="00064578"/>
    <w:rsid w:val="00064A58"/>
    <w:rsid w:val="00065528"/>
    <w:rsid w:val="0006557E"/>
    <w:rsid w:val="00065781"/>
    <w:rsid w:val="00067849"/>
    <w:rsid w:val="0006795F"/>
    <w:rsid w:val="00067B23"/>
    <w:rsid w:val="0007059C"/>
    <w:rsid w:val="00071489"/>
    <w:rsid w:val="0007245B"/>
    <w:rsid w:val="00073B10"/>
    <w:rsid w:val="0007404B"/>
    <w:rsid w:val="00075228"/>
    <w:rsid w:val="00077F55"/>
    <w:rsid w:val="00080978"/>
    <w:rsid w:val="00080DFE"/>
    <w:rsid w:val="000825BC"/>
    <w:rsid w:val="0008287A"/>
    <w:rsid w:val="00082DC7"/>
    <w:rsid w:val="00083E90"/>
    <w:rsid w:val="00084563"/>
    <w:rsid w:val="00085356"/>
    <w:rsid w:val="000853B3"/>
    <w:rsid w:val="00085C2E"/>
    <w:rsid w:val="00086F3B"/>
    <w:rsid w:val="00087321"/>
    <w:rsid w:val="00087BEB"/>
    <w:rsid w:val="0009039C"/>
    <w:rsid w:val="00093DD3"/>
    <w:rsid w:val="000941D2"/>
    <w:rsid w:val="00095F8D"/>
    <w:rsid w:val="00097A8A"/>
    <w:rsid w:val="000A0152"/>
    <w:rsid w:val="000A030B"/>
    <w:rsid w:val="000A0A17"/>
    <w:rsid w:val="000A44CD"/>
    <w:rsid w:val="000A6CDF"/>
    <w:rsid w:val="000A73D3"/>
    <w:rsid w:val="000A7FBE"/>
    <w:rsid w:val="000B00AD"/>
    <w:rsid w:val="000B0971"/>
    <w:rsid w:val="000B0AEF"/>
    <w:rsid w:val="000B1E4C"/>
    <w:rsid w:val="000B2A42"/>
    <w:rsid w:val="000B2B57"/>
    <w:rsid w:val="000B6281"/>
    <w:rsid w:val="000B7C48"/>
    <w:rsid w:val="000C05FC"/>
    <w:rsid w:val="000C19DD"/>
    <w:rsid w:val="000C1C60"/>
    <w:rsid w:val="000C1D92"/>
    <w:rsid w:val="000C1E45"/>
    <w:rsid w:val="000C29FE"/>
    <w:rsid w:val="000C6191"/>
    <w:rsid w:val="000C7321"/>
    <w:rsid w:val="000D188D"/>
    <w:rsid w:val="000D1D7C"/>
    <w:rsid w:val="000D3AFB"/>
    <w:rsid w:val="000D43CF"/>
    <w:rsid w:val="000D66EC"/>
    <w:rsid w:val="000E0A8A"/>
    <w:rsid w:val="000E31DA"/>
    <w:rsid w:val="000E4204"/>
    <w:rsid w:val="000E4596"/>
    <w:rsid w:val="000E4C06"/>
    <w:rsid w:val="000E6973"/>
    <w:rsid w:val="000F0DDA"/>
    <w:rsid w:val="000F6BC1"/>
    <w:rsid w:val="000F6C7B"/>
    <w:rsid w:val="000F7B51"/>
    <w:rsid w:val="000F7CEB"/>
    <w:rsid w:val="0010103F"/>
    <w:rsid w:val="00101FE1"/>
    <w:rsid w:val="00102111"/>
    <w:rsid w:val="00102F3A"/>
    <w:rsid w:val="00103152"/>
    <w:rsid w:val="0010344C"/>
    <w:rsid w:val="00103897"/>
    <w:rsid w:val="00103F3E"/>
    <w:rsid w:val="00104D67"/>
    <w:rsid w:val="00104DBB"/>
    <w:rsid w:val="00105FDB"/>
    <w:rsid w:val="001076DF"/>
    <w:rsid w:val="0011348C"/>
    <w:rsid w:val="00114C16"/>
    <w:rsid w:val="00115AFB"/>
    <w:rsid w:val="00116AC6"/>
    <w:rsid w:val="00117742"/>
    <w:rsid w:val="00117CD3"/>
    <w:rsid w:val="0012257E"/>
    <w:rsid w:val="00122D87"/>
    <w:rsid w:val="001234B3"/>
    <w:rsid w:val="00124583"/>
    <w:rsid w:val="001245E1"/>
    <w:rsid w:val="00125219"/>
    <w:rsid w:val="001268B0"/>
    <w:rsid w:val="00126930"/>
    <w:rsid w:val="00126C2E"/>
    <w:rsid w:val="00126F63"/>
    <w:rsid w:val="0012740B"/>
    <w:rsid w:val="00130B03"/>
    <w:rsid w:val="0013291C"/>
    <w:rsid w:val="00134264"/>
    <w:rsid w:val="00134C00"/>
    <w:rsid w:val="001352CC"/>
    <w:rsid w:val="00135568"/>
    <w:rsid w:val="00137DA5"/>
    <w:rsid w:val="00140E9F"/>
    <w:rsid w:val="00141A1E"/>
    <w:rsid w:val="00141BE6"/>
    <w:rsid w:val="00142B2F"/>
    <w:rsid w:val="0014368E"/>
    <w:rsid w:val="001456B5"/>
    <w:rsid w:val="001461FB"/>
    <w:rsid w:val="001468C0"/>
    <w:rsid w:val="00147BA8"/>
    <w:rsid w:val="00150B16"/>
    <w:rsid w:val="001524E3"/>
    <w:rsid w:val="00152C6E"/>
    <w:rsid w:val="0015319F"/>
    <w:rsid w:val="00154ACF"/>
    <w:rsid w:val="0015560D"/>
    <w:rsid w:val="0015704F"/>
    <w:rsid w:val="00161C56"/>
    <w:rsid w:val="00162180"/>
    <w:rsid w:val="00162848"/>
    <w:rsid w:val="001630FA"/>
    <w:rsid w:val="00164E48"/>
    <w:rsid w:val="001657E0"/>
    <w:rsid w:val="00166347"/>
    <w:rsid w:val="00166A16"/>
    <w:rsid w:val="00167754"/>
    <w:rsid w:val="00170865"/>
    <w:rsid w:val="00171642"/>
    <w:rsid w:val="001717BF"/>
    <w:rsid w:val="001743C3"/>
    <w:rsid w:val="00175610"/>
    <w:rsid w:val="0017730F"/>
    <w:rsid w:val="00182323"/>
    <w:rsid w:val="00182733"/>
    <w:rsid w:val="0018306B"/>
    <w:rsid w:val="00184062"/>
    <w:rsid w:val="00187C90"/>
    <w:rsid w:val="001907E0"/>
    <w:rsid w:val="00191AC8"/>
    <w:rsid w:val="001940D6"/>
    <w:rsid w:val="00195F33"/>
    <w:rsid w:val="00197213"/>
    <w:rsid w:val="0019741D"/>
    <w:rsid w:val="001976C1"/>
    <w:rsid w:val="001A03B9"/>
    <w:rsid w:val="001A0E3F"/>
    <w:rsid w:val="001A14B5"/>
    <w:rsid w:val="001A3311"/>
    <w:rsid w:val="001A6419"/>
    <w:rsid w:val="001A7B80"/>
    <w:rsid w:val="001B104B"/>
    <w:rsid w:val="001B14C4"/>
    <w:rsid w:val="001B4756"/>
    <w:rsid w:val="001B4A6D"/>
    <w:rsid w:val="001B51EA"/>
    <w:rsid w:val="001B5FA5"/>
    <w:rsid w:val="001C05B0"/>
    <w:rsid w:val="001C2243"/>
    <w:rsid w:val="001C389D"/>
    <w:rsid w:val="001C42B1"/>
    <w:rsid w:val="001C4A3A"/>
    <w:rsid w:val="001C780C"/>
    <w:rsid w:val="001D2CE5"/>
    <w:rsid w:val="001D3ED5"/>
    <w:rsid w:val="001D5128"/>
    <w:rsid w:val="001D541D"/>
    <w:rsid w:val="001D5EB4"/>
    <w:rsid w:val="001E0350"/>
    <w:rsid w:val="001E3F93"/>
    <w:rsid w:val="001E62CD"/>
    <w:rsid w:val="001E72C8"/>
    <w:rsid w:val="001E74B1"/>
    <w:rsid w:val="001F0533"/>
    <w:rsid w:val="001F17AE"/>
    <w:rsid w:val="001F30AE"/>
    <w:rsid w:val="001F3A62"/>
    <w:rsid w:val="001F679C"/>
    <w:rsid w:val="001F6B7D"/>
    <w:rsid w:val="00200D3C"/>
    <w:rsid w:val="00200E74"/>
    <w:rsid w:val="002019D2"/>
    <w:rsid w:val="00202385"/>
    <w:rsid w:val="00203472"/>
    <w:rsid w:val="002045A7"/>
    <w:rsid w:val="002062D5"/>
    <w:rsid w:val="00211BC0"/>
    <w:rsid w:val="00213665"/>
    <w:rsid w:val="0021467C"/>
    <w:rsid w:val="00215310"/>
    <w:rsid w:val="00217B64"/>
    <w:rsid w:val="00221DDD"/>
    <w:rsid w:val="002229C2"/>
    <w:rsid w:val="00222D57"/>
    <w:rsid w:val="00222EA5"/>
    <w:rsid w:val="00223C32"/>
    <w:rsid w:val="0022439F"/>
    <w:rsid w:val="002243C5"/>
    <w:rsid w:val="00225C11"/>
    <w:rsid w:val="00227C64"/>
    <w:rsid w:val="00227D08"/>
    <w:rsid w:val="00227E45"/>
    <w:rsid w:val="002343BA"/>
    <w:rsid w:val="00235CE5"/>
    <w:rsid w:val="00237AF3"/>
    <w:rsid w:val="00237E34"/>
    <w:rsid w:val="00240187"/>
    <w:rsid w:val="00240CE6"/>
    <w:rsid w:val="00241385"/>
    <w:rsid w:val="00241CC1"/>
    <w:rsid w:val="00242999"/>
    <w:rsid w:val="00244497"/>
    <w:rsid w:val="00246261"/>
    <w:rsid w:val="002477D5"/>
    <w:rsid w:val="0025042E"/>
    <w:rsid w:val="002511E2"/>
    <w:rsid w:val="00251559"/>
    <w:rsid w:val="002526D3"/>
    <w:rsid w:val="00253808"/>
    <w:rsid w:val="002546A1"/>
    <w:rsid w:val="00254886"/>
    <w:rsid w:val="002558B8"/>
    <w:rsid w:val="00255B4E"/>
    <w:rsid w:val="00255BBF"/>
    <w:rsid w:val="00260708"/>
    <w:rsid w:val="002627B2"/>
    <w:rsid w:val="00263EDA"/>
    <w:rsid w:val="00267F19"/>
    <w:rsid w:val="00267FB3"/>
    <w:rsid w:val="00271838"/>
    <w:rsid w:val="002747E1"/>
    <w:rsid w:val="00280454"/>
    <w:rsid w:val="0028204F"/>
    <w:rsid w:val="00286DD3"/>
    <w:rsid w:val="00286FA1"/>
    <w:rsid w:val="0029190E"/>
    <w:rsid w:val="00292BAB"/>
    <w:rsid w:val="002932B6"/>
    <w:rsid w:val="00293E21"/>
    <w:rsid w:val="00295234"/>
    <w:rsid w:val="00297303"/>
    <w:rsid w:val="0029735D"/>
    <w:rsid w:val="00297B50"/>
    <w:rsid w:val="002A0D8E"/>
    <w:rsid w:val="002A2EDD"/>
    <w:rsid w:val="002A3131"/>
    <w:rsid w:val="002A3513"/>
    <w:rsid w:val="002A4ECE"/>
    <w:rsid w:val="002A6174"/>
    <w:rsid w:val="002A71DC"/>
    <w:rsid w:val="002A72E1"/>
    <w:rsid w:val="002B1ADF"/>
    <w:rsid w:val="002B4156"/>
    <w:rsid w:val="002B5FE9"/>
    <w:rsid w:val="002B70A5"/>
    <w:rsid w:val="002B768F"/>
    <w:rsid w:val="002C116B"/>
    <w:rsid w:val="002C16DB"/>
    <w:rsid w:val="002C23B2"/>
    <w:rsid w:val="002C4F2E"/>
    <w:rsid w:val="002C5A01"/>
    <w:rsid w:val="002C5CDC"/>
    <w:rsid w:val="002C6DCB"/>
    <w:rsid w:val="002C7119"/>
    <w:rsid w:val="002C7FE5"/>
    <w:rsid w:val="002D3A69"/>
    <w:rsid w:val="002D4398"/>
    <w:rsid w:val="002D4565"/>
    <w:rsid w:val="002D7B33"/>
    <w:rsid w:val="002E0B26"/>
    <w:rsid w:val="002E1179"/>
    <w:rsid w:val="002E38B8"/>
    <w:rsid w:val="002E7075"/>
    <w:rsid w:val="002E7BC6"/>
    <w:rsid w:val="002F021F"/>
    <w:rsid w:val="002F200F"/>
    <w:rsid w:val="002F2144"/>
    <w:rsid w:val="002F2303"/>
    <w:rsid w:val="002F28A8"/>
    <w:rsid w:val="002F2BC1"/>
    <w:rsid w:val="002F493D"/>
    <w:rsid w:val="002F69F3"/>
    <w:rsid w:val="00300825"/>
    <w:rsid w:val="00300BFD"/>
    <w:rsid w:val="003030B1"/>
    <w:rsid w:val="00307D28"/>
    <w:rsid w:val="003114B2"/>
    <w:rsid w:val="003124BB"/>
    <w:rsid w:val="00315464"/>
    <w:rsid w:val="00315F1A"/>
    <w:rsid w:val="00316A26"/>
    <w:rsid w:val="00321CC2"/>
    <w:rsid w:val="00322ABE"/>
    <w:rsid w:val="00323914"/>
    <w:rsid w:val="003241B8"/>
    <w:rsid w:val="003254FE"/>
    <w:rsid w:val="003272CE"/>
    <w:rsid w:val="00331A47"/>
    <w:rsid w:val="00332DF3"/>
    <w:rsid w:val="003339C9"/>
    <w:rsid w:val="00333B56"/>
    <w:rsid w:val="00334905"/>
    <w:rsid w:val="00337B3B"/>
    <w:rsid w:val="00341419"/>
    <w:rsid w:val="003435F5"/>
    <w:rsid w:val="003438C0"/>
    <w:rsid w:val="003439AA"/>
    <w:rsid w:val="00344FE8"/>
    <w:rsid w:val="00347BDB"/>
    <w:rsid w:val="003506AB"/>
    <w:rsid w:val="00351C0F"/>
    <w:rsid w:val="00352773"/>
    <w:rsid w:val="00352C87"/>
    <w:rsid w:val="00355BF6"/>
    <w:rsid w:val="00356BAC"/>
    <w:rsid w:val="00360318"/>
    <w:rsid w:val="00360885"/>
    <w:rsid w:val="00361BCF"/>
    <w:rsid w:val="003634CF"/>
    <w:rsid w:val="003650B8"/>
    <w:rsid w:val="00366647"/>
    <w:rsid w:val="00367B77"/>
    <w:rsid w:val="00371159"/>
    <w:rsid w:val="00372320"/>
    <w:rsid w:val="00372EEB"/>
    <w:rsid w:val="00373867"/>
    <w:rsid w:val="003758F0"/>
    <w:rsid w:val="003809EA"/>
    <w:rsid w:val="00385665"/>
    <w:rsid w:val="00385B9B"/>
    <w:rsid w:val="00386A1C"/>
    <w:rsid w:val="0039031A"/>
    <w:rsid w:val="0039100B"/>
    <w:rsid w:val="003911A4"/>
    <w:rsid w:val="00393610"/>
    <w:rsid w:val="00393ACE"/>
    <w:rsid w:val="00395EA5"/>
    <w:rsid w:val="0039666E"/>
    <w:rsid w:val="003966DD"/>
    <w:rsid w:val="00397254"/>
    <w:rsid w:val="00397F0A"/>
    <w:rsid w:val="003A0886"/>
    <w:rsid w:val="003A1A49"/>
    <w:rsid w:val="003A1E8D"/>
    <w:rsid w:val="003A58E0"/>
    <w:rsid w:val="003A5F00"/>
    <w:rsid w:val="003A6847"/>
    <w:rsid w:val="003A72C0"/>
    <w:rsid w:val="003B0D07"/>
    <w:rsid w:val="003B11EB"/>
    <w:rsid w:val="003B31B2"/>
    <w:rsid w:val="003B4BBF"/>
    <w:rsid w:val="003B51B0"/>
    <w:rsid w:val="003B55B9"/>
    <w:rsid w:val="003B5682"/>
    <w:rsid w:val="003B7454"/>
    <w:rsid w:val="003B790C"/>
    <w:rsid w:val="003C07D8"/>
    <w:rsid w:val="003C0972"/>
    <w:rsid w:val="003C19F7"/>
    <w:rsid w:val="003C2D9B"/>
    <w:rsid w:val="003C3F2D"/>
    <w:rsid w:val="003C417B"/>
    <w:rsid w:val="003C4D63"/>
    <w:rsid w:val="003C5B32"/>
    <w:rsid w:val="003C5D19"/>
    <w:rsid w:val="003D09E5"/>
    <w:rsid w:val="003D19E5"/>
    <w:rsid w:val="003D1F0E"/>
    <w:rsid w:val="003D21B2"/>
    <w:rsid w:val="003D319F"/>
    <w:rsid w:val="003D7745"/>
    <w:rsid w:val="003D78DA"/>
    <w:rsid w:val="003E0961"/>
    <w:rsid w:val="003E124A"/>
    <w:rsid w:val="003E1BF3"/>
    <w:rsid w:val="003E5816"/>
    <w:rsid w:val="003E6217"/>
    <w:rsid w:val="003F147C"/>
    <w:rsid w:val="003F426D"/>
    <w:rsid w:val="003F66E6"/>
    <w:rsid w:val="003F7F1D"/>
    <w:rsid w:val="00400512"/>
    <w:rsid w:val="0040115A"/>
    <w:rsid w:val="00401A87"/>
    <w:rsid w:val="00401B72"/>
    <w:rsid w:val="00401BC9"/>
    <w:rsid w:val="00403E19"/>
    <w:rsid w:val="00405DDE"/>
    <w:rsid w:val="00411A3F"/>
    <w:rsid w:val="004127CC"/>
    <w:rsid w:val="0041502E"/>
    <w:rsid w:val="00415115"/>
    <w:rsid w:val="00420296"/>
    <w:rsid w:val="00420945"/>
    <w:rsid w:val="00421DF5"/>
    <w:rsid w:val="00421EE6"/>
    <w:rsid w:val="00422207"/>
    <w:rsid w:val="004224E8"/>
    <w:rsid w:val="00422EAE"/>
    <w:rsid w:val="0042320F"/>
    <w:rsid w:val="004242E0"/>
    <w:rsid w:val="00424E78"/>
    <w:rsid w:val="004277C9"/>
    <w:rsid w:val="004278BE"/>
    <w:rsid w:val="00433259"/>
    <w:rsid w:val="00435C36"/>
    <w:rsid w:val="004374DF"/>
    <w:rsid w:val="00442CE2"/>
    <w:rsid w:val="00447A75"/>
    <w:rsid w:val="00447AF6"/>
    <w:rsid w:val="004536ED"/>
    <w:rsid w:val="004547CE"/>
    <w:rsid w:val="00454E10"/>
    <w:rsid w:val="00455AE2"/>
    <w:rsid w:val="00460DBB"/>
    <w:rsid w:val="0046187C"/>
    <w:rsid w:val="0046204A"/>
    <w:rsid w:val="004622FB"/>
    <w:rsid w:val="00462EC8"/>
    <w:rsid w:val="0046301D"/>
    <w:rsid w:val="00465843"/>
    <w:rsid w:val="00465D6B"/>
    <w:rsid w:val="0047382C"/>
    <w:rsid w:val="00474146"/>
    <w:rsid w:val="0047482C"/>
    <w:rsid w:val="00474C18"/>
    <w:rsid w:val="00474E08"/>
    <w:rsid w:val="00475982"/>
    <w:rsid w:val="00476600"/>
    <w:rsid w:val="00484058"/>
    <w:rsid w:val="00484341"/>
    <w:rsid w:val="00484F8F"/>
    <w:rsid w:val="00485D66"/>
    <w:rsid w:val="00486469"/>
    <w:rsid w:val="004909ED"/>
    <w:rsid w:val="00490F8B"/>
    <w:rsid w:val="00491F7D"/>
    <w:rsid w:val="004931C2"/>
    <w:rsid w:val="004957CC"/>
    <w:rsid w:val="00495ED2"/>
    <w:rsid w:val="00497681"/>
    <w:rsid w:val="004A1A14"/>
    <w:rsid w:val="004A1B2C"/>
    <w:rsid w:val="004A1C21"/>
    <w:rsid w:val="004A41BC"/>
    <w:rsid w:val="004A48A9"/>
    <w:rsid w:val="004A51C4"/>
    <w:rsid w:val="004A5435"/>
    <w:rsid w:val="004A5440"/>
    <w:rsid w:val="004A5AC1"/>
    <w:rsid w:val="004A6C2B"/>
    <w:rsid w:val="004A7E63"/>
    <w:rsid w:val="004A7F38"/>
    <w:rsid w:val="004B01AA"/>
    <w:rsid w:val="004B14B1"/>
    <w:rsid w:val="004B26EA"/>
    <w:rsid w:val="004B2AC1"/>
    <w:rsid w:val="004B34B6"/>
    <w:rsid w:val="004B3DDE"/>
    <w:rsid w:val="004B43B0"/>
    <w:rsid w:val="004B62BA"/>
    <w:rsid w:val="004B69CF"/>
    <w:rsid w:val="004C06CB"/>
    <w:rsid w:val="004C0C5F"/>
    <w:rsid w:val="004C3325"/>
    <w:rsid w:val="004C5348"/>
    <w:rsid w:val="004C6D7C"/>
    <w:rsid w:val="004D084B"/>
    <w:rsid w:val="004D211A"/>
    <w:rsid w:val="004D5E9F"/>
    <w:rsid w:val="004E1E47"/>
    <w:rsid w:val="004E3813"/>
    <w:rsid w:val="004E4CF8"/>
    <w:rsid w:val="004E5220"/>
    <w:rsid w:val="004E5B81"/>
    <w:rsid w:val="004F072A"/>
    <w:rsid w:val="004F0C9D"/>
    <w:rsid w:val="004F165F"/>
    <w:rsid w:val="004F1E4C"/>
    <w:rsid w:val="004F1EB8"/>
    <w:rsid w:val="004F3B90"/>
    <w:rsid w:val="004F6F42"/>
    <w:rsid w:val="004F73E2"/>
    <w:rsid w:val="00501AF5"/>
    <w:rsid w:val="00501C39"/>
    <w:rsid w:val="00501CF2"/>
    <w:rsid w:val="0050285E"/>
    <w:rsid w:val="005055D7"/>
    <w:rsid w:val="005058AE"/>
    <w:rsid w:val="00507BFA"/>
    <w:rsid w:val="00510040"/>
    <w:rsid w:val="00512B00"/>
    <w:rsid w:val="005130C1"/>
    <w:rsid w:val="00513E21"/>
    <w:rsid w:val="00514355"/>
    <w:rsid w:val="0051471C"/>
    <w:rsid w:val="00515E02"/>
    <w:rsid w:val="00516709"/>
    <w:rsid w:val="00520812"/>
    <w:rsid w:val="00522F92"/>
    <w:rsid w:val="00523E02"/>
    <w:rsid w:val="0052582A"/>
    <w:rsid w:val="0053005D"/>
    <w:rsid w:val="005301BD"/>
    <w:rsid w:val="00530D2E"/>
    <w:rsid w:val="00531E2C"/>
    <w:rsid w:val="0053246B"/>
    <w:rsid w:val="005327FE"/>
    <w:rsid w:val="00533631"/>
    <w:rsid w:val="00533676"/>
    <w:rsid w:val="00534945"/>
    <w:rsid w:val="005349CA"/>
    <w:rsid w:val="00535A64"/>
    <w:rsid w:val="00535D1C"/>
    <w:rsid w:val="00535D5B"/>
    <w:rsid w:val="005371B9"/>
    <w:rsid w:val="00540BA0"/>
    <w:rsid w:val="00540CC4"/>
    <w:rsid w:val="0054550D"/>
    <w:rsid w:val="005460A6"/>
    <w:rsid w:val="00546179"/>
    <w:rsid w:val="00550CA9"/>
    <w:rsid w:val="00550CF8"/>
    <w:rsid w:val="005524CF"/>
    <w:rsid w:val="00553B92"/>
    <w:rsid w:val="00554D5E"/>
    <w:rsid w:val="00555248"/>
    <w:rsid w:val="00555BA6"/>
    <w:rsid w:val="00555C28"/>
    <w:rsid w:val="00562BFF"/>
    <w:rsid w:val="005643C6"/>
    <w:rsid w:val="00565411"/>
    <w:rsid w:val="00565B06"/>
    <w:rsid w:val="005660DC"/>
    <w:rsid w:val="00566DFB"/>
    <w:rsid w:val="00567FC0"/>
    <w:rsid w:val="0057077D"/>
    <w:rsid w:val="00571C94"/>
    <w:rsid w:val="00574BD9"/>
    <w:rsid w:val="00575F22"/>
    <w:rsid w:val="00576CB3"/>
    <w:rsid w:val="00581087"/>
    <w:rsid w:val="00581C22"/>
    <w:rsid w:val="005822C6"/>
    <w:rsid w:val="005827C8"/>
    <w:rsid w:val="00582A5F"/>
    <w:rsid w:val="00584A0B"/>
    <w:rsid w:val="00584F5E"/>
    <w:rsid w:val="00585CF3"/>
    <w:rsid w:val="005864D0"/>
    <w:rsid w:val="0058755B"/>
    <w:rsid w:val="0058780F"/>
    <w:rsid w:val="00592A8B"/>
    <w:rsid w:val="00593243"/>
    <w:rsid w:val="00593485"/>
    <w:rsid w:val="00595C7A"/>
    <w:rsid w:val="00595E41"/>
    <w:rsid w:val="005A0397"/>
    <w:rsid w:val="005A1C52"/>
    <w:rsid w:val="005A2D5C"/>
    <w:rsid w:val="005A3505"/>
    <w:rsid w:val="005A463B"/>
    <w:rsid w:val="005A7435"/>
    <w:rsid w:val="005A78FA"/>
    <w:rsid w:val="005A7B03"/>
    <w:rsid w:val="005B31F9"/>
    <w:rsid w:val="005B3349"/>
    <w:rsid w:val="005B48B1"/>
    <w:rsid w:val="005B5CF2"/>
    <w:rsid w:val="005B61BC"/>
    <w:rsid w:val="005B6C6B"/>
    <w:rsid w:val="005B7563"/>
    <w:rsid w:val="005C090B"/>
    <w:rsid w:val="005C0DDC"/>
    <w:rsid w:val="005C24C4"/>
    <w:rsid w:val="005C3265"/>
    <w:rsid w:val="005C3393"/>
    <w:rsid w:val="005C5213"/>
    <w:rsid w:val="005C566B"/>
    <w:rsid w:val="005C5DD2"/>
    <w:rsid w:val="005D00A4"/>
    <w:rsid w:val="005D0520"/>
    <w:rsid w:val="005D0C8C"/>
    <w:rsid w:val="005D2032"/>
    <w:rsid w:val="005D2E5B"/>
    <w:rsid w:val="005D32A6"/>
    <w:rsid w:val="005D4CCA"/>
    <w:rsid w:val="005D4D3E"/>
    <w:rsid w:val="005D74A3"/>
    <w:rsid w:val="005D7F96"/>
    <w:rsid w:val="005E054B"/>
    <w:rsid w:val="005E0B73"/>
    <w:rsid w:val="005E2B54"/>
    <w:rsid w:val="005E2B56"/>
    <w:rsid w:val="005E4458"/>
    <w:rsid w:val="005E4EE7"/>
    <w:rsid w:val="005E73B9"/>
    <w:rsid w:val="005E7641"/>
    <w:rsid w:val="005F16DC"/>
    <w:rsid w:val="005F2D8B"/>
    <w:rsid w:val="005F4D0F"/>
    <w:rsid w:val="005F6CD7"/>
    <w:rsid w:val="00601770"/>
    <w:rsid w:val="00602516"/>
    <w:rsid w:val="00602947"/>
    <w:rsid w:val="00603251"/>
    <w:rsid w:val="00604A58"/>
    <w:rsid w:val="00604A9C"/>
    <w:rsid w:val="00607A6B"/>
    <w:rsid w:val="00610BFF"/>
    <w:rsid w:val="00613526"/>
    <w:rsid w:val="0061367C"/>
    <w:rsid w:val="00614200"/>
    <w:rsid w:val="00615D26"/>
    <w:rsid w:val="0061724D"/>
    <w:rsid w:val="00617CDA"/>
    <w:rsid w:val="00617F05"/>
    <w:rsid w:val="00617F5C"/>
    <w:rsid w:val="00620700"/>
    <w:rsid w:val="00623EB5"/>
    <w:rsid w:val="00624C30"/>
    <w:rsid w:val="00624C67"/>
    <w:rsid w:val="006308F2"/>
    <w:rsid w:val="0063341C"/>
    <w:rsid w:val="0063409E"/>
    <w:rsid w:val="00635728"/>
    <w:rsid w:val="00635B53"/>
    <w:rsid w:val="00635C75"/>
    <w:rsid w:val="00636F07"/>
    <w:rsid w:val="00637FAD"/>
    <w:rsid w:val="0064102E"/>
    <w:rsid w:val="00645807"/>
    <w:rsid w:val="0064687E"/>
    <w:rsid w:val="00647894"/>
    <w:rsid w:val="00647F6E"/>
    <w:rsid w:val="006503B2"/>
    <w:rsid w:val="006503F0"/>
    <w:rsid w:val="00651B47"/>
    <w:rsid w:val="006537CD"/>
    <w:rsid w:val="00654ACA"/>
    <w:rsid w:val="0065554D"/>
    <w:rsid w:val="00655BA1"/>
    <w:rsid w:val="00657A9F"/>
    <w:rsid w:val="00657E51"/>
    <w:rsid w:val="00661139"/>
    <w:rsid w:val="0066279E"/>
    <w:rsid w:val="00664CE7"/>
    <w:rsid w:val="0066772E"/>
    <w:rsid w:val="00670417"/>
    <w:rsid w:val="0067060C"/>
    <w:rsid w:val="00671018"/>
    <w:rsid w:val="006729E7"/>
    <w:rsid w:val="00673CE4"/>
    <w:rsid w:val="00674D93"/>
    <w:rsid w:val="006768F3"/>
    <w:rsid w:val="0067722F"/>
    <w:rsid w:val="00680BFF"/>
    <w:rsid w:val="0068192A"/>
    <w:rsid w:val="006822C0"/>
    <w:rsid w:val="006836D3"/>
    <w:rsid w:val="0068413F"/>
    <w:rsid w:val="0068704F"/>
    <w:rsid w:val="006870FF"/>
    <w:rsid w:val="00687459"/>
    <w:rsid w:val="0069054F"/>
    <w:rsid w:val="00690627"/>
    <w:rsid w:val="0069066F"/>
    <w:rsid w:val="00690A17"/>
    <w:rsid w:val="00691BFB"/>
    <w:rsid w:val="00691DE0"/>
    <w:rsid w:val="00692970"/>
    <w:rsid w:val="006933EA"/>
    <w:rsid w:val="00693634"/>
    <w:rsid w:val="006953D1"/>
    <w:rsid w:val="0069630B"/>
    <w:rsid w:val="006A0DC3"/>
    <w:rsid w:val="006A3205"/>
    <w:rsid w:val="006A456C"/>
    <w:rsid w:val="006A6B5E"/>
    <w:rsid w:val="006A77B2"/>
    <w:rsid w:val="006A798F"/>
    <w:rsid w:val="006B17B5"/>
    <w:rsid w:val="006B1955"/>
    <w:rsid w:val="006B21C4"/>
    <w:rsid w:val="006B2C59"/>
    <w:rsid w:val="006B353E"/>
    <w:rsid w:val="006B55DE"/>
    <w:rsid w:val="006B5E2E"/>
    <w:rsid w:val="006B6443"/>
    <w:rsid w:val="006B761C"/>
    <w:rsid w:val="006B7756"/>
    <w:rsid w:val="006C0CDD"/>
    <w:rsid w:val="006C58EA"/>
    <w:rsid w:val="006C7F07"/>
    <w:rsid w:val="006D0D03"/>
    <w:rsid w:val="006D0DA6"/>
    <w:rsid w:val="006D144D"/>
    <w:rsid w:val="006D4739"/>
    <w:rsid w:val="006D4B5A"/>
    <w:rsid w:val="006D6C9F"/>
    <w:rsid w:val="006D7213"/>
    <w:rsid w:val="006E1231"/>
    <w:rsid w:val="006E1666"/>
    <w:rsid w:val="006E24E4"/>
    <w:rsid w:val="006E537E"/>
    <w:rsid w:val="006E6A9B"/>
    <w:rsid w:val="006F0BB7"/>
    <w:rsid w:val="006F1E0B"/>
    <w:rsid w:val="006F453C"/>
    <w:rsid w:val="006F53F7"/>
    <w:rsid w:val="006F592A"/>
    <w:rsid w:val="006F6419"/>
    <w:rsid w:val="007008A6"/>
    <w:rsid w:val="00700EEE"/>
    <w:rsid w:val="00700F7B"/>
    <w:rsid w:val="007018CB"/>
    <w:rsid w:val="00702A4C"/>
    <w:rsid w:val="0070374E"/>
    <w:rsid w:val="00705232"/>
    <w:rsid w:val="007115C8"/>
    <w:rsid w:val="00714D15"/>
    <w:rsid w:val="00716014"/>
    <w:rsid w:val="0071648A"/>
    <w:rsid w:val="00717047"/>
    <w:rsid w:val="00722094"/>
    <w:rsid w:val="00722A60"/>
    <w:rsid w:val="007236A4"/>
    <w:rsid w:val="00723AF1"/>
    <w:rsid w:val="007247EC"/>
    <w:rsid w:val="00725EC2"/>
    <w:rsid w:val="007268DF"/>
    <w:rsid w:val="00726C21"/>
    <w:rsid w:val="00730351"/>
    <w:rsid w:val="00731133"/>
    <w:rsid w:val="00731454"/>
    <w:rsid w:val="007346F2"/>
    <w:rsid w:val="0073600F"/>
    <w:rsid w:val="00736852"/>
    <w:rsid w:val="0073791A"/>
    <w:rsid w:val="00737985"/>
    <w:rsid w:val="007404B3"/>
    <w:rsid w:val="00741E0A"/>
    <w:rsid w:val="00741EAE"/>
    <w:rsid w:val="007424E9"/>
    <w:rsid w:val="0074299B"/>
    <w:rsid w:val="007443CD"/>
    <w:rsid w:val="00745BCA"/>
    <w:rsid w:val="007511B2"/>
    <w:rsid w:val="00751612"/>
    <w:rsid w:val="00754960"/>
    <w:rsid w:val="007551C4"/>
    <w:rsid w:val="00755897"/>
    <w:rsid w:val="00760172"/>
    <w:rsid w:val="00761EFE"/>
    <w:rsid w:val="0076256F"/>
    <w:rsid w:val="007644C4"/>
    <w:rsid w:val="00764BA2"/>
    <w:rsid w:val="00766C2E"/>
    <w:rsid w:val="00766DF1"/>
    <w:rsid w:val="00771AA9"/>
    <w:rsid w:val="00772580"/>
    <w:rsid w:val="00774E35"/>
    <w:rsid w:val="007766F4"/>
    <w:rsid w:val="007820D0"/>
    <w:rsid w:val="007825C3"/>
    <w:rsid w:val="00782AF8"/>
    <w:rsid w:val="00784310"/>
    <w:rsid w:val="00785A81"/>
    <w:rsid w:val="00787523"/>
    <w:rsid w:val="0078752F"/>
    <w:rsid w:val="00787550"/>
    <w:rsid w:val="00787A94"/>
    <w:rsid w:val="00790633"/>
    <w:rsid w:val="00793E2D"/>
    <w:rsid w:val="00793EAF"/>
    <w:rsid w:val="00794B4B"/>
    <w:rsid w:val="007965C3"/>
    <w:rsid w:val="00796EEB"/>
    <w:rsid w:val="0079728D"/>
    <w:rsid w:val="007977E4"/>
    <w:rsid w:val="007A0835"/>
    <w:rsid w:val="007A0AFE"/>
    <w:rsid w:val="007A1477"/>
    <w:rsid w:val="007A1489"/>
    <w:rsid w:val="007A15FD"/>
    <w:rsid w:val="007A2F40"/>
    <w:rsid w:val="007A3BB8"/>
    <w:rsid w:val="007A4017"/>
    <w:rsid w:val="007A7575"/>
    <w:rsid w:val="007B4820"/>
    <w:rsid w:val="007B4DA6"/>
    <w:rsid w:val="007B5894"/>
    <w:rsid w:val="007B5AA2"/>
    <w:rsid w:val="007B679D"/>
    <w:rsid w:val="007B7230"/>
    <w:rsid w:val="007C0098"/>
    <w:rsid w:val="007C0B3C"/>
    <w:rsid w:val="007C494A"/>
    <w:rsid w:val="007D13A4"/>
    <w:rsid w:val="007D2F8C"/>
    <w:rsid w:val="007D4006"/>
    <w:rsid w:val="007D686C"/>
    <w:rsid w:val="007D7B63"/>
    <w:rsid w:val="007E0637"/>
    <w:rsid w:val="007E121C"/>
    <w:rsid w:val="007E1FEB"/>
    <w:rsid w:val="007E2C7D"/>
    <w:rsid w:val="007E5AAC"/>
    <w:rsid w:val="007E5B87"/>
    <w:rsid w:val="007E6105"/>
    <w:rsid w:val="007E7D8E"/>
    <w:rsid w:val="007F00BB"/>
    <w:rsid w:val="007F0119"/>
    <w:rsid w:val="007F2222"/>
    <w:rsid w:val="007F2E7D"/>
    <w:rsid w:val="007F48C5"/>
    <w:rsid w:val="007F694A"/>
    <w:rsid w:val="007F6BE7"/>
    <w:rsid w:val="007F72BB"/>
    <w:rsid w:val="008015ED"/>
    <w:rsid w:val="00805192"/>
    <w:rsid w:val="00805550"/>
    <w:rsid w:val="008104EB"/>
    <w:rsid w:val="00812EE8"/>
    <w:rsid w:val="00813A7F"/>
    <w:rsid w:val="00813E97"/>
    <w:rsid w:val="008149DB"/>
    <w:rsid w:val="00817B9A"/>
    <w:rsid w:val="00817EF8"/>
    <w:rsid w:val="00820BBD"/>
    <w:rsid w:val="008210B1"/>
    <w:rsid w:val="00822299"/>
    <w:rsid w:val="008231FC"/>
    <w:rsid w:val="00825073"/>
    <w:rsid w:val="00825895"/>
    <w:rsid w:val="008259F7"/>
    <w:rsid w:val="00826C1C"/>
    <w:rsid w:val="0082728D"/>
    <w:rsid w:val="00827498"/>
    <w:rsid w:val="0082764E"/>
    <w:rsid w:val="00830108"/>
    <w:rsid w:val="00832257"/>
    <w:rsid w:val="008328CA"/>
    <w:rsid w:val="00834D03"/>
    <w:rsid w:val="00835824"/>
    <w:rsid w:val="00840656"/>
    <w:rsid w:val="00841763"/>
    <w:rsid w:val="00842D38"/>
    <w:rsid w:val="00843F36"/>
    <w:rsid w:val="00844452"/>
    <w:rsid w:val="00844CC2"/>
    <w:rsid w:val="0084610F"/>
    <w:rsid w:val="00851844"/>
    <w:rsid w:val="00851C90"/>
    <w:rsid w:val="00853246"/>
    <w:rsid w:val="00853800"/>
    <w:rsid w:val="00857B21"/>
    <w:rsid w:val="008608BA"/>
    <w:rsid w:val="00862890"/>
    <w:rsid w:val="00864A80"/>
    <w:rsid w:val="00865396"/>
    <w:rsid w:val="00865890"/>
    <w:rsid w:val="00865D08"/>
    <w:rsid w:val="00870765"/>
    <w:rsid w:val="0087100A"/>
    <w:rsid w:val="00874371"/>
    <w:rsid w:val="00874C27"/>
    <w:rsid w:val="00876303"/>
    <w:rsid w:val="008763C4"/>
    <w:rsid w:val="00877559"/>
    <w:rsid w:val="008809B7"/>
    <w:rsid w:val="0088264E"/>
    <w:rsid w:val="0088390E"/>
    <w:rsid w:val="0088657D"/>
    <w:rsid w:val="008865FA"/>
    <w:rsid w:val="0088788C"/>
    <w:rsid w:val="00887AB9"/>
    <w:rsid w:val="00890737"/>
    <w:rsid w:val="00891F18"/>
    <w:rsid w:val="00895216"/>
    <w:rsid w:val="00895CCE"/>
    <w:rsid w:val="00895E9D"/>
    <w:rsid w:val="008970D2"/>
    <w:rsid w:val="008A0B7B"/>
    <w:rsid w:val="008A2913"/>
    <w:rsid w:val="008A2F76"/>
    <w:rsid w:val="008A34BA"/>
    <w:rsid w:val="008A35A6"/>
    <w:rsid w:val="008A4BF2"/>
    <w:rsid w:val="008A61AB"/>
    <w:rsid w:val="008B01B9"/>
    <w:rsid w:val="008B029D"/>
    <w:rsid w:val="008B158D"/>
    <w:rsid w:val="008B1B3C"/>
    <w:rsid w:val="008B24BB"/>
    <w:rsid w:val="008B2838"/>
    <w:rsid w:val="008B32D4"/>
    <w:rsid w:val="008B3331"/>
    <w:rsid w:val="008B3702"/>
    <w:rsid w:val="008B6036"/>
    <w:rsid w:val="008B6C14"/>
    <w:rsid w:val="008B73C2"/>
    <w:rsid w:val="008B7920"/>
    <w:rsid w:val="008C10A9"/>
    <w:rsid w:val="008C1B4B"/>
    <w:rsid w:val="008C248B"/>
    <w:rsid w:val="008C336E"/>
    <w:rsid w:val="008C38B5"/>
    <w:rsid w:val="008C4383"/>
    <w:rsid w:val="008C4F8E"/>
    <w:rsid w:val="008C5A3C"/>
    <w:rsid w:val="008C70F8"/>
    <w:rsid w:val="008C717C"/>
    <w:rsid w:val="008C7B4E"/>
    <w:rsid w:val="008D119B"/>
    <w:rsid w:val="008D4A0B"/>
    <w:rsid w:val="008D4A86"/>
    <w:rsid w:val="008D6AFA"/>
    <w:rsid w:val="008D7AC5"/>
    <w:rsid w:val="008E0E85"/>
    <w:rsid w:val="008E1965"/>
    <w:rsid w:val="008E1D83"/>
    <w:rsid w:val="008E1F78"/>
    <w:rsid w:val="008E232A"/>
    <w:rsid w:val="008E5DD5"/>
    <w:rsid w:val="008E6398"/>
    <w:rsid w:val="008E6F81"/>
    <w:rsid w:val="008E74F6"/>
    <w:rsid w:val="008E7A12"/>
    <w:rsid w:val="008E7B54"/>
    <w:rsid w:val="008F0251"/>
    <w:rsid w:val="008F0CA1"/>
    <w:rsid w:val="008F3688"/>
    <w:rsid w:val="008F48BF"/>
    <w:rsid w:val="008F4E77"/>
    <w:rsid w:val="008F506C"/>
    <w:rsid w:val="008F6BD9"/>
    <w:rsid w:val="008F7384"/>
    <w:rsid w:val="008F781D"/>
    <w:rsid w:val="00901915"/>
    <w:rsid w:val="009025F2"/>
    <w:rsid w:val="0090280E"/>
    <w:rsid w:val="00902F8E"/>
    <w:rsid w:val="0090314C"/>
    <w:rsid w:val="00907A20"/>
    <w:rsid w:val="00907C00"/>
    <w:rsid w:val="00907D64"/>
    <w:rsid w:val="00911BE1"/>
    <w:rsid w:val="009122DF"/>
    <w:rsid w:val="00914A79"/>
    <w:rsid w:val="00916C76"/>
    <w:rsid w:val="00920EB4"/>
    <w:rsid w:val="00922D1D"/>
    <w:rsid w:val="00923C62"/>
    <w:rsid w:val="009240F4"/>
    <w:rsid w:val="00924499"/>
    <w:rsid w:val="00924869"/>
    <w:rsid w:val="0092499F"/>
    <w:rsid w:val="00924CD5"/>
    <w:rsid w:val="00926EBB"/>
    <w:rsid w:val="00930E6B"/>
    <w:rsid w:val="00931735"/>
    <w:rsid w:val="00931751"/>
    <w:rsid w:val="0093377F"/>
    <w:rsid w:val="009356F5"/>
    <w:rsid w:val="00940A68"/>
    <w:rsid w:val="00941EC7"/>
    <w:rsid w:val="009429D2"/>
    <w:rsid w:val="009439B6"/>
    <w:rsid w:val="009444A0"/>
    <w:rsid w:val="00946A77"/>
    <w:rsid w:val="00950005"/>
    <w:rsid w:val="00950F59"/>
    <w:rsid w:val="00951A86"/>
    <w:rsid w:val="00952768"/>
    <w:rsid w:val="0095423E"/>
    <w:rsid w:val="00954419"/>
    <w:rsid w:val="00954CA7"/>
    <w:rsid w:val="00955DDA"/>
    <w:rsid w:val="0096201F"/>
    <w:rsid w:val="00962ADC"/>
    <w:rsid w:val="00965FC8"/>
    <w:rsid w:val="00966BA5"/>
    <w:rsid w:val="009708F8"/>
    <w:rsid w:val="009715BA"/>
    <w:rsid w:val="009715E8"/>
    <w:rsid w:val="009715F0"/>
    <w:rsid w:val="009730C2"/>
    <w:rsid w:val="009751C2"/>
    <w:rsid w:val="00977B14"/>
    <w:rsid w:val="00980030"/>
    <w:rsid w:val="00980A65"/>
    <w:rsid w:val="00980CAF"/>
    <w:rsid w:val="00984AA0"/>
    <w:rsid w:val="00990DDC"/>
    <w:rsid w:val="00992414"/>
    <w:rsid w:val="00993731"/>
    <w:rsid w:val="00993F99"/>
    <w:rsid w:val="009949BB"/>
    <w:rsid w:val="00995B5B"/>
    <w:rsid w:val="00997AB6"/>
    <w:rsid w:val="009A06EC"/>
    <w:rsid w:val="009A16DA"/>
    <w:rsid w:val="009A2AFE"/>
    <w:rsid w:val="009A39CE"/>
    <w:rsid w:val="009A438B"/>
    <w:rsid w:val="009A5293"/>
    <w:rsid w:val="009A6B2F"/>
    <w:rsid w:val="009A7006"/>
    <w:rsid w:val="009A73BD"/>
    <w:rsid w:val="009B149F"/>
    <w:rsid w:val="009B2A2E"/>
    <w:rsid w:val="009B321D"/>
    <w:rsid w:val="009B34DB"/>
    <w:rsid w:val="009B41D1"/>
    <w:rsid w:val="009B5B5E"/>
    <w:rsid w:val="009B6739"/>
    <w:rsid w:val="009C2BD5"/>
    <w:rsid w:val="009C2EF4"/>
    <w:rsid w:val="009C30C0"/>
    <w:rsid w:val="009C3A20"/>
    <w:rsid w:val="009C4C23"/>
    <w:rsid w:val="009C4CE0"/>
    <w:rsid w:val="009C579D"/>
    <w:rsid w:val="009C5914"/>
    <w:rsid w:val="009C5B0F"/>
    <w:rsid w:val="009C6AD5"/>
    <w:rsid w:val="009D2DE2"/>
    <w:rsid w:val="009D34EA"/>
    <w:rsid w:val="009D3B60"/>
    <w:rsid w:val="009D5B13"/>
    <w:rsid w:val="009D66F7"/>
    <w:rsid w:val="009D73A4"/>
    <w:rsid w:val="009D7940"/>
    <w:rsid w:val="009E0461"/>
    <w:rsid w:val="009E0989"/>
    <w:rsid w:val="009E2972"/>
    <w:rsid w:val="009E2E76"/>
    <w:rsid w:val="009E30F3"/>
    <w:rsid w:val="009E3C88"/>
    <w:rsid w:val="009E3F25"/>
    <w:rsid w:val="009E6255"/>
    <w:rsid w:val="009F15EB"/>
    <w:rsid w:val="009F1BED"/>
    <w:rsid w:val="009F306D"/>
    <w:rsid w:val="009F3618"/>
    <w:rsid w:val="009F4C1B"/>
    <w:rsid w:val="009F7213"/>
    <w:rsid w:val="009F7EC4"/>
    <w:rsid w:val="00A01A7C"/>
    <w:rsid w:val="00A0234D"/>
    <w:rsid w:val="00A02C75"/>
    <w:rsid w:val="00A0320B"/>
    <w:rsid w:val="00A03455"/>
    <w:rsid w:val="00A041C9"/>
    <w:rsid w:val="00A04AF3"/>
    <w:rsid w:val="00A05478"/>
    <w:rsid w:val="00A06FDE"/>
    <w:rsid w:val="00A07C98"/>
    <w:rsid w:val="00A1132A"/>
    <w:rsid w:val="00A11DB5"/>
    <w:rsid w:val="00A11E23"/>
    <w:rsid w:val="00A14F6C"/>
    <w:rsid w:val="00A15AA1"/>
    <w:rsid w:val="00A20507"/>
    <w:rsid w:val="00A20906"/>
    <w:rsid w:val="00A20CDE"/>
    <w:rsid w:val="00A23325"/>
    <w:rsid w:val="00A23695"/>
    <w:rsid w:val="00A246D2"/>
    <w:rsid w:val="00A25CFC"/>
    <w:rsid w:val="00A26E15"/>
    <w:rsid w:val="00A306B9"/>
    <w:rsid w:val="00A33422"/>
    <w:rsid w:val="00A3428E"/>
    <w:rsid w:val="00A3522C"/>
    <w:rsid w:val="00A442C2"/>
    <w:rsid w:val="00A444DE"/>
    <w:rsid w:val="00A445D3"/>
    <w:rsid w:val="00A449B9"/>
    <w:rsid w:val="00A45472"/>
    <w:rsid w:val="00A46710"/>
    <w:rsid w:val="00A50095"/>
    <w:rsid w:val="00A51B08"/>
    <w:rsid w:val="00A52FEE"/>
    <w:rsid w:val="00A5463C"/>
    <w:rsid w:val="00A54FA7"/>
    <w:rsid w:val="00A55DDE"/>
    <w:rsid w:val="00A55DE3"/>
    <w:rsid w:val="00A574D0"/>
    <w:rsid w:val="00A577D3"/>
    <w:rsid w:val="00A57921"/>
    <w:rsid w:val="00A6024F"/>
    <w:rsid w:val="00A62860"/>
    <w:rsid w:val="00A66305"/>
    <w:rsid w:val="00A6681B"/>
    <w:rsid w:val="00A66DE6"/>
    <w:rsid w:val="00A671B8"/>
    <w:rsid w:val="00A70C0B"/>
    <w:rsid w:val="00A733CF"/>
    <w:rsid w:val="00A77A24"/>
    <w:rsid w:val="00A8193E"/>
    <w:rsid w:val="00A81D22"/>
    <w:rsid w:val="00A83002"/>
    <w:rsid w:val="00A83C18"/>
    <w:rsid w:val="00A84173"/>
    <w:rsid w:val="00A84807"/>
    <w:rsid w:val="00A84C5B"/>
    <w:rsid w:val="00A85C14"/>
    <w:rsid w:val="00A86164"/>
    <w:rsid w:val="00A87B56"/>
    <w:rsid w:val="00A905A4"/>
    <w:rsid w:val="00A90797"/>
    <w:rsid w:val="00A93D11"/>
    <w:rsid w:val="00A947FE"/>
    <w:rsid w:val="00A95A9A"/>
    <w:rsid w:val="00A9665F"/>
    <w:rsid w:val="00A96ADF"/>
    <w:rsid w:val="00AA0251"/>
    <w:rsid w:val="00AA06B3"/>
    <w:rsid w:val="00AA0A68"/>
    <w:rsid w:val="00AA1840"/>
    <w:rsid w:val="00AA1AE7"/>
    <w:rsid w:val="00AA3B03"/>
    <w:rsid w:val="00AA5B53"/>
    <w:rsid w:val="00AA62F4"/>
    <w:rsid w:val="00AA79CD"/>
    <w:rsid w:val="00AB3E33"/>
    <w:rsid w:val="00AB5529"/>
    <w:rsid w:val="00AB5E8E"/>
    <w:rsid w:val="00AB5FF5"/>
    <w:rsid w:val="00AB7282"/>
    <w:rsid w:val="00AC0DE8"/>
    <w:rsid w:val="00AC26A1"/>
    <w:rsid w:val="00AC2CD5"/>
    <w:rsid w:val="00AC2F65"/>
    <w:rsid w:val="00AC367A"/>
    <w:rsid w:val="00AC53B4"/>
    <w:rsid w:val="00AC79AE"/>
    <w:rsid w:val="00AC7AAA"/>
    <w:rsid w:val="00AD031E"/>
    <w:rsid w:val="00AD039C"/>
    <w:rsid w:val="00AD0483"/>
    <w:rsid w:val="00AD08D3"/>
    <w:rsid w:val="00AD19A2"/>
    <w:rsid w:val="00AD1A10"/>
    <w:rsid w:val="00AD3626"/>
    <w:rsid w:val="00AD4474"/>
    <w:rsid w:val="00AD59F0"/>
    <w:rsid w:val="00AE2918"/>
    <w:rsid w:val="00AE33F3"/>
    <w:rsid w:val="00AE5DC4"/>
    <w:rsid w:val="00AE5E54"/>
    <w:rsid w:val="00AE6376"/>
    <w:rsid w:val="00AF031C"/>
    <w:rsid w:val="00AF09EB"/>
    <w:rsid w:val="00AF42D0"/>
    <w:rsid w:val="00AF7A03"/>
    <w:rsid w:val="00B00020"/>
    <w:rsid w:val="00B01BE9"/>
    <w:rsid w:val="00B041EC"/>
    <w:rsid w:val="00B04E19"/>
    <w:rsid w:val="00B055F0"/>
    <w:rsid w:val="00B059FA"/>
    <w:rsid w:val="00B06BF9"/>
    <w:rsid w:val="00B079E0"/>
    <w:rsid w:val="00B1001F"/>
    <w:rsid w:val="00B10925"/>
    <w:rsid w:val="00B11275"/>
    <w:rsid w:val="00B11692"/>
    <w:rsid w:val="00B11CC9"/>
    <w:rsid w:val="00B120FE"/>
    <w:rsid w:val="00B12BDE"/>
    <w:rsid w:val="00B13D23"/>
    <w:rsid w:val="00B1433E"/>
    <w:rsid w:val="00B14C49"/>
    <w:rsid w:val="00B2035A"/>
    <w:rsid w:val="00B232A7"/>
    <w:rsid w:val="00B23E82"/>
    <w:rsid w:val="00B2411E"/>
    <w:rsid w:val="00B269ED"/>
    <w:rsid w:val="00B27186"/>
    <w:rsid w:val="00B27AFF"/>
    <w:rsid w:val="00B314E9"/>
    <w:rsid w:val="00B31A20"/>
    <w:rsid w:val="00B365CF"/>
    <w:rsid w:val="00B36F11"/>
    <w:rsid w:val="00B379C3"/>
    <w:rsid w:val="00B42FE8"/>
    <w:rsid w:val="00B433F8"/>
    <w:rsid w:val="00B43C0F"/>
    <w:rsid w:val="00B45447"/>
    <w:rsid w:val="00B518EB"/>
    <w:rsid w:val="00B5224A"/>
    <w:rsid w:val="00B537B8"/>
    <w:rsid w:val="00B5494D"/>
    <w:rsid w:val="00B54DEF"/>
    <w:rsid w:val="00B57F86"/>
    <w:rsid w:val="00B61829"/>
    <w:rsid w:val="00B621FA"/>
    <w:rsid w:val="00B6223F"/>
    <w:rsid w:val="00B6288C"/>
    <w:rsid w:val="00B63221"/>
    <w:rsid w:val="00B635CB"/>
    <w:rsid w:val="00B66888"/>
    <w:rsid w:val="00B67416"/>
    <w:rsid w:val="00B676BF"/>
    <w:rsid w:val="00B701B7"/>
    <w:rsid w:val="00B71D68"/>
    <w:rsid w:val="00B72E89"/>
    <w:rsid w:val="00B741CA"/>
    <w:rsid w:val="00B75361"/>
    <w:rsid w:val="00B756DE"/>
    <w:rsid w:val="00B7602A"/>
    <w:rsid w:val="00B767A1"/>
    <w:rsid w:val="00B769D2"/>
    <w:rsid w:val="00B80047"/>
    <w:rsid w:val="00B802F3"/>
    <w:rsid w:val="00B803D8"/>
    <w:rsid w:val="00B823B2"/>
    <w:rsid w:val="00B85624"/>
    <w:rsid w:val="00B85B1B"/>
    <w:rsid w:val="00B85E3E"/>
    <w:rsid w:val="00B861AE"/>
    <w:rsid w:val="00B865FB"/>
    <w:rsid w:val="00B86AA3"/>
    <w:rsid w:val="00B86D92"/>
    <w:rsid w:val="00B87103"/>
    <w:rsid w:val="00B92D58"/>
    <w:rsid w:val="00B93BB7"/>
    <w:rsid w:val="00B94AFA"/>
    <w:rsid w:val="00B95056"/>
    <w:rsid w:val="00B95DB0"/>
    <w:rsid w:val="00B96841"/>
    <w:rsid w:val="00BA03C4"/>
    <w:rsid w:val="00BA08E0"/>
    <w:rsid w:val="00BA1D55"/>
    <w:rsid w:val="00BA475D"/>
    <w:rsid w:val="00BA47A0"/>
    <w:rsid w:val="00BA5F43"/>
    <w:rsid w:val="00BA6EDB"/>
    <w:rsid w:val="00BB00C9"/>
    <w:rsid w:val="00BB1752"/>
    <w:rsid w:val="00BB1ACF"/>
    <w:rsid w:val="00BB35B4"/>
    <w:rsid w:val="00BB77CE"/>
    <w:rsid w:val="00BB7A45"/>
    <w:rsid w:val="00BB7E20"/>
    <w:rsid w:val="00BC1FCE"/>
    <w:rsid w:val="00BC5398"/>
    <w:rsid w:val="00BC58C1"/>
    <w:rsid w:val="00BC5E17"/>
    <w:rsid w:val="00BC6F70"/>
    <w:rsid w:val="00BC7B0A"/>
    <w:rsid w:val="00BD0439"/>
    <w:rsid w:val="00BD0AF6"/>
    <w:rsid w:val="00BD1CB6"/>
    <w:rsid w:val="00BD2CFE"/>
    <w:rsid w:val="00BD4349"/>
    <w:rsid w:val="00BD594C"/>
    <w:rsid w:val="00BD5A91"/>
    <w:rsid w:val="00BD62FA"/>
    <w:rsid w:val="00BD6495"/>
    <w:rsid w:val="00BD65F7"/>
    <w:rsid w:val="00BD66B0"/>
    <w:rsid w:val="00BE2B7C"/>
    <w:rsid w:val="00BE3ACB"/>
    <w:rsid w:val="00BE3B4F"/>
    <w:rsid w:val="00BE5625"/>
    <w:rsid w:val="00BE6A03"/>
    <w:rsid w:val="00BE7184"/>
    <w:rsid w:val="00BE727E"/>
    <w:rsid w:val="00BE769A"/>
    <w:rsid w:val="00BE7BD4"/>
    <w:rsid w:val="00BF0261"/>
    <w:rsid w:val="00C01D47"/>
    <w:rsid w:val="00C01E52"/>
    <w:rsid w:val="00C02DB9"/>
    <w:rsid w:val="00C05DC6"/>
    <w:rsid w:val="00C10B75"/>
    <w:rsid w:val="00C1292F"/>
    <w:rsid w:val="00C155A5"/>
    <w:rsid w:val="00C16066"/>
    <w:rsid w:val="00C20A25"/>
    <w:rsid w:val="00C21240"/>
    <w:rsid w:val="00C223C7"/>
    <w:rsid w:val="00C23236"/>
    <w:rsid w:val="00C24315"/>
    <w:rsid w:val="00C24F67"/>
    <w:rsid w:val="00C2577E"/>
    <w:rsid w:val="00C30A20"/>
    <w:rsid w:val="00C324BB"/>
    <w:rsid w:val="00C329F9"/>
    <w:rsid w:val="00C33724"/>
    <w:rsid w:val="00C34032"/>
    <w:rsid w:val="00C35757"/>
    <w:rsid w:val="00C3683F"/>
    <w:rsid w:val="00C36D33"/>
    <w:rsid w:val="00C42B19"/>
    <w:rsid w:val="00C43B70"/>
    <w:rsid w:val="00C44023"/>
    <w:rsid w:val="00C45E3F"/>
    <w:rsid w:val="00C471E2"/>
    <w:rsid w:val="00C4749D"/>
    <w:rsid w:val="00C478D7"/>
    <w:rsid w:val="00C52393"/>
    <w:rsid w:val="00C52812"/>
    <w:rsid w:val="00C528D4"/>
    <w:rsid w:val="00C563B8"/>
    <w:rsid w:val="00C568A1"/>
    <w:rsid w:val="00C62A8C"/>
    <w:rsid w:val="00C6451C"/>
    <w:rsid w:val="00C65475"/>
    <w:rsid w:val="00C67476"/>
    <w:rsid w:val="00C67B5E"/>
    <w:rsid w:val="00C70D30"/>
    <w:rsid w:val="00C71891"/>
    <w:rsid w:val="00C71BBA"/>
    <w:rsid w:val="00C7236A"/>
    <w:rsid w:val="00C7398E"/>
    <w:rsid w:val="00C747F8"/>
    <w:rsid w:val="00C75D00"/>
    <w:rsid w:val="00C7669D"/>
    <w:rsid w:val="00C77282"/>
    <w:rsid w:val="00C77682"/>
    <w:rsid w:val="00C77E5A"/>
    <w:rsid w:val="00C81284"/>
    <w:rsid w:val="00C81646"/>
    <w:rsid w:val="00C82740"/>
    <w:rsid w:val="00C85979"/>
    <w:rsid w:val="00C875AF"/>
    <w:rsid w:val="00C91B0E"/>
    <w:rsid w:val="00C94611"/>
    <w:rsid w:val="00C95368"/>
    <w:rsid w:val="00C967CD"/>
    <w:rsid w:val="00C97A6A"/>
    <w:rsid w:val="00CA0490"/>
    <w:rsid w:val="00CA127F"/>
    <w:rsid w:val="00CA2196"/>
    <w:rsid w:val="00CA4E14"/>
    <w:rsid w:val="00CA5ACD"/>
    <w:rsid w:val="00CA61B5"/>
    <w:rsid w:val="00CB003D"/>
    <w:rsid w:val="00CB194D"/>
    <w:rsid w:val="00CB449A"/>
    <w:rsid w:val="00CB5525"/>
    <w:rsid w:val="00CB78E8"/>
    <w:rsid w:val="00CC0414"/>
    <w:rsid w:val="00CC0B8A"/>
    <w:rsid w:val="00CC0E56"/>
    <w:rsid w:val="00CC6B51"/>
    <w:rsid w:val="00CD05A4"/>
    <w:rsid w:val="00CD07E8"/>
    <w:rsid w:val="00CD1E2A"/>
    <w:rsid w:val="00CD3B05"/>
    <w:rsid w:val="00CD453F"/>
    <w:rsid w:val="00CD5C49"/>
    <w:rsid w:val="00CD5D2D"/>
    <w:rsid w:val="00CD629B"/>
    <w:rsid w:val="00CD7A97"/>
    <w:rsid w:val="00CE02E9"/>
    <w:rsid w:val="00CE253F"/>
    <w:rsid w:val="00CE2A89"/>
    <w:rsid w:val="00CE2D82"/>
    <w:rsid w:val="00CE3141"/>
    <w:rsid w:val="00CE3A95"/>
    <w:rsid w:val="00CE4B1D"/>
    <w:rsid w:val="00CF0087"/>
    <w:rsid w:val="00CF05E8"/>
    <w:rsid w:val="00CF279F"/>
    <w:rsid w:val="00CF2CC2"/>
    <w:rsid w:val="00CF506B"/>
    <w:rsid w:val="00CF5857"/>
    <w:rsid w:val="00CF59D5"/>
    <w:rsid w:val="00CF5B7A"/>
    <w:rsid w:val="00CF69CF"/>
    <w:rsid w:val="00D00EDC"/>
    <w:rsid w:val="00D0146A"/>
    <w:rsid w:val="00D0334D"/>
    <w:rsid w:val="00D05A15"/>
    <w:rsid w:val="00D05FD1"/>
    <w:rsid w:val="00D0690B"/>
    <w:rsid w:val="00D10E5B"/>
    <w:rsid w:val="00D12D54"/>
    <w:rsid w:val="00D13637"/>
    <w:rsid w:val="00D13DE6"/>
    <w:rsid w:val="00D15261"/>
    <w:rsid w:val="00D1583D"/>
    <w:rsid w:val="00D17052"/>
    <w:rsid w:val="00D20EC8"/>
    <w:rsid w:val="00D21996"/>
    <w:rsid w:val="00D21FB4"/>
    <w:rsid w:val="00D2257C"/>
    <w:rsid w:val="00D22D92"/>
    <w:rsid w:val="00D2319F"/>
    <w:rsid w:val="00D2437C"/>
    <w:rsid w:val="00D25B3D"/>
    <w:rsid w:val="00D26C3E"/>
    <w:rsid w:val="00D26C7A"/>
    <w:rsid w:val="00D27CE2"/>
    <w:rsid w:val="00D27DCB"/>
    <w:rsid w:val="00D30AD4"/>
    <w:rsid w:val="00D31ABD"/>
    <w:rsid w:val="00D32657"/>
    <w:rsid w:val="00D3409A"/>
    <w:rsid w:val="00D34180"/>
    <w:rsid w:val="00D3544D"/>
    <w:rsid w:val="00D37FB8"/>
    <w:rsid w:val="00D420BC"/>
    <w:rsid w:val="00D42B36"/>
    <w:rsid w:val="00D43509"/>
    <w:rsid w:val="00D43E68"/>
    <w:rsid w:val="00D4623E"/>
    <w:rsid w:val="00D5063D"/>
    <w:rsid w:val="00D50ED4"/>
    <w:rsid w:val="00D521CA"/>
    <w:rsid w:val="00D546E5"/>
    <w:rsid w:val="00D56822"/>
    <w:rsid w:val="00D61FAD"/>
    <w:rsid w:val="00D62618"/>
    <w:rsid w:val="00D6457F"/>
    <w:rsid w:val="00D65625"/>
    <w:rsid w:val="00D6562B"/>
    <w:rsid w:val="00D669C5"/>
    <w:rsid w:val="00D67370"/>
    <w:rsid w:val="00D71851"/>
    <w:rsid w:val="00D72E02"/>
    <w:rsid w:val="00D730BD"/>
    <w:rsid w:val="00D730EE"/>
    <w:rsid w:val="00D74D2A"/>
    <w:rsid w:val="00D753E0"/>
    <w:rsid w:val="00D75DB3"/>
    <w:rsid w:val="00D77A88"/>
    <w:rsid w:val="00D8219D"/>
    <w:rsid w:val="00D82F05"/>
    <w:rsid w:val="00D846C5"/>
    <w:rsid w:val="00D850C2"/>
    <w:rsid w:val="00D866DE"/>
    <w:rsid w:val="00D91C7E"/>
    <w:rsid w:val="00D93405"/>
    <w:rsid w:val="00D96FF4"/>
    <w:rsid w:val="00D97D81"/>
    <w:rsid w:val="00DA1589"/>
    <w:rsid w:val="00DA440E"/>
    <w:rsid w:val="00DA511C"/>
    <w:rsid w:val="00DA7917"/>
    <w:rsid w:val="00DB20F7"/>
    <w:rsid w:val="00DB4493"/>
    <w:rsid w:val="00DB5925"/>
    <w:rsid w:val="00DB6935"/>
    <w:rsid w:val="00DB7F16"/>
    <w:rsid w:val="00DC0309"/>
    <w:rsid w:val="00DC089D"/>
    <w:rsid w:val="00DC21B3"/>
    <w:rsid w:val="00DC4E12"/>
    <w:rsid w:val="00DE1D84"/>
    <w:rsid w:val="00DE23B6"/>
    <w:rsid w:val="00DE2838"/>
    <w:rsid w:val="00DE3D07"/>
    <w:rsid w:val="00DE4730"/>
    <w:rsid w:val="00DE5434"/>
    <w:rsid w:val="00DE557D"/>
    <w:rsid w:val="00DE6858"/>
    <w:rsid w:val="00DE7886"/>
    <w:rsid w:val="00DF1499"/>
    <w:rsid w:val="00DF2F31"/>
    <w:rsid w:val="00DF5299"/>
    <w:rsid w:val="00DF72D3"/>
    <w:rsid w:val="00E000A8"/>
    <w:rsid w:val="00E00A33"/>
    <w:rsid w:val="00E041B0"/>
    <w:rsid w:val="00E04CA8"/>
    <w:rsid w:val="00E05A71"/>
    <w:rsid w:val="00E068B3"/>
    <w:rsid w:val="00E10DF9"/>
    <w:rsid w:val="00E11C5E"/>
    <w:rsid w:val="00E1233A"/>
    <w:rsid w:val="00E139CD"/>
    <w:rsid w:val="00E14EA4"/>
    <w:rsid w:val="00E17D76"/>
    <w:rsid w:val="00E20804"/>
    <w:rsid w:val="00E20BFE"/>
    <w:rsid w:val="00E20C46"/>
    <w:rsid w:val="00E20E43"/>
    <w:rsid w:val="00E2334A"/>
    <w:rsid w:val="00E2487E"/>
    <w:rsid w:val="00E258DC"/>
    <w:rsid w:val="00E259F8"/>
    <w:rsid w:val="00E3156E"/>
    <w:rsid w:val="00E3191B"/>
    <w:rsid w:val="00E31BBE"/>
    <w:rsid w:val="00E3257C"/>
    <w:rsid w:val="00E32D57"/>
    <w:rsid w:val="00E333D5"/>
    <w:rsid w:val="00E345C0"/>
    <w:rsid w:val="00E35D3D"/>
    <w:rsid w:val="00E36A1D"/>
    <w:rsid w:val="00E37DC1"/>
    <w:rsid w:val="00E403EF"/>
    <w:rsid w:val="00E4062C"/>
    <w:rsid w:val="00E43D61"/>
    <w:rsid w:val="00E44725"/>
    <w:rsid w:val="00E44F19"/>
    <w:rsid w:val="00E452FD"/>
    <w:rsid w:val="00E45E0C"/>
    <w:rsid w:val="00E46C7F"/>
    <w:rsid w:val="00E46F8A"/>
    <w:rsid w:val="00E477C2"/>
    <w:rsid w:val="00E50A42"/>
    <w:rsid w:val="00E50AD3"/>
    <w:rsid w:val="00E5104C"/>
    <w:rsid w:val="00E54902"/>
    <w:rsid w:val="00E55D5B"/>
    <w:rsid w:val="00E56273"/>
    <w:rsid w:val="00E56F86"/>
    <w:rsid w:val="00E57682"/>
    <w:rsid w:val="00E60A9C"/>
    <w:rsid w:val="00E6175D"/>
    <w:rsid w:val="00E61993"/>
    <w:rsid w:val="00E61B41"/>
    <w:rsid w:val="00E62E9D"/>
    <w:rsid w:val="00E63054"/>
    <w:rsid w:val="00E64320"/>
    <w:rsid w:val="00E65B6E"/>
    <w:rsid w:val="00E6647B"/>
    <w:rsid w:val="00E70C4C"/>
    <w:rsid w:val="00E71106"/>
    <w:rsid w:val="00E712E9"/>
    <w:rsid w:val="00E71E1D"/>
    <w:rsid w:val="00E74992"/>
    <w:rsid w:val="00E74D9A"/>
    <w:rsid w:val="00E74FEA"/>
    <w:rsid w:val="00E75881"/>
    <w:rsid w:val="00E769FC"/>
    <w:rsid w:val="00E76E29"/>
    <w:rsid w:val="00E85F0A"/>
    <w:rsid w:val="00E87954"/>
    <w:rsid w:val="00E908CE"/>
    <w:rsid w:val="00E90C10"/>
    <w:rsid w:val="00E9289A"/>
    <w:rsid w:val="00E9342A"/>
    <w:rsid w:val="00E9476B"/>
    <w:rsid w:val="00E953FF"/>
    <w:rsid w:val="00E95525"/>
    <w:rsid w:val="00E95D7F"/>
    <w:rsid w:val="00E96CB8"/>
    <w:rsid w:val="00EA00B8"/>
    <w:rsid w:val="00EA13B1"/>
    <w:rsid w:val="00EA25B1"/>
    <w:rsid w:val="00EA2CF9"/>
    <w:rsid w:val="00EA3C4C"/>
    <w:rsid w:val="00EA45A2"/>
    <w:rsid w:val="00EA6480"/>
    <w:rsid w:val="00EA7B96"/>
    <w:rsid w:val="00EB02E2"/>
    <w:rsid w:val="00EB2C8E"/>
    <w:rsid w:val="00EB54F9"/>
    <w:rsid w:val="00EB61CD"/>
    <w:rsid w:val="00EB714D"/>
    <w:rsid w:val="00EC0778"/>
    <w:rsid w:val="00EC13CB"/>
    <w:rsid w:val="00EC1791"/>
    <w:rsid w:val="00EC1DB1"/>
    <w:rsid w:val="00EC304B"/>
    <w:rsid w:val="00EC4074"/>
    <w:rsid w:val="00EC4498"/>
    <w:rsid w:val="00EC51BE"/>
    <w:rsid w:val="00ED01DD"/>
    <w:rsid w:val="00ED2D6B"/>
    <w:rsid w:val="00ED4CEA"/>
    <w:rsid w:val="00ED5BFA"/>
    <w:rsid w:val="00EE12AD"/>
    <w:rsid w:val="00EE2807"/>
    <w:rsid w:val="00EE2A27"/>
    <w:rsid w:val="00EE34C3"/>
    <w:rsid w:val="00EE4981"/>
    <w:rsid w:val="00EE52EC"/>
    <w:rsid w:val="00EF0214"/>
    <w:rsid w:val="00EF2DC8"/>
    <w:rsid w:val="00EF2ED4"/>
    <w:rsid w:val="00EF4A16"/>
    <w:rsid w:val="00EF4EC0"/>
    <w:rsid w:val="00EF5A79"/>
    <w:rsid w:val="00EF6C9E"/>
    <w:rsid w:val="00F01FD7"/>
    <w:rsid w:val="00F035E4"/>
    <w:rsid w:val="00F04DCA"/>
    <w:rsid w:val="00F05001"/>
    <w:rsid w:val="00F05305"/>
    <w:rsid w:val="00F06DC0"/>
    <w:rsid w:val="00F06DF8"/>
    <w:rsid w:val="00F1015C"/>
    <w:rsid w:val="00F12642"/>
    <w:rsid w:val="00F12A23"/>
    <w:rsid w:val="00F150FA"/>
    <w:rsid w:val="00F15CE8"/>
    <w:rsid w:val="00F17BBC"/>
    <w:rsid w:val="00F17DEF"/>
    <w:rsid w:val="00F2390C"/>
    <w:rsid w:val="00F25C1C"/>
    <w:rsid w:val="00F26AAA"/>
    <w:rsid w:val="00F3090F"/>
    <w:rsid w:val="00F30D32"/>
    <w:rsid w:val="00F310FC"/>
    <w:rsid w:val="00F3726B"/>
    <w:rsid w:val="00F401B2"/>
    <w:rsid w:val="00F40976"/>
    <w:rsid w:val="00F410E7"/>
    <w:rsid w:val="00F413A1"/>
    <w:rsid w:val="00F4183B"/>
    <w:rsid w:val="00F420C0"/>
    <w:rsid w:val="00F42583"/>
    <w:rsid w:val="00F43008"/>
    <w:rsid w:val="00F4494D"/>
    <w:rsid w:val="00F44E90"/>
    <w:rsid w:val="00F46D15"/>
    <w:rsid w:val="00F47630"/>
    <w:rsid w:val="00F53EB4"/>
    <w:rsid w:val="00F54CF0"/>
    <w:rsid w:val="00F55404"/>
    <w:rsid w:val="00F55C19"/>
    <w:rsid w:val="00F609EF"/>
    <w:rsid w:val="00F62F01"/>
    <w:rsid w:val="00F63956"/>
    <w:rsid w:val="00F63D75"/>
    <w:rsid w:val="00F65B28"/>
    <w:rsid w:val="00F66096"/>
    <w:rsid w:val="00F6684F"/>
    <w:rsid w:val="00F718F8"/>
    <w:rsid w:val="00F72CA9"/>
    <w:rsid w:val="00F7313D"/>
    <w:rsid w:val="00F8044D"/>
    <w:rsid w:val="00F80526"/>
    <w:rsid w:val="00F81042"/>
    <w:rsid w:val="00F81F53"/>
    <w:rsid w:val="00F84432"/>
    <w:rsid w:val="00F84F51"/>
    <w:rsid w:val="00F85621"/>
    <w:rsid w:val="00F858F5"/>
    <w:rsid w:val="00F863A5"/>
    <w:rsid w:val="00F86580"/>
    <w:rsid w:val="00F908C1"/>
    <w:rsid w:val="00F910C0"/>
    <w:rsid w:val="00F92E56"/>
    <w:rsid w:val="00F93508"/>
    <w:rsid w:val="00F95EEE"/>
    <w:rsid w:val="00F96024"/>
    <w:rsid w:val="00F96858"/>
    <w:rsid w:val="00F97C3D"/>
    <w:rsid w:val="00FA0871"/>
    <w:rsid w:val="00FA1622"/>
    <w:rsid w:val="00FA171A"/>
    <w:rsid w:val="00FA182A"/>
    <w:rsid w:val="00FA47A8"/>
    <w:rsid w:val="00FA4A16"/>
    <w:rsid w:val="00FA584D"/>
    <w:rsid w:val="00FA6DF9"/>
    <w:rsid w:val="00FA7500"/>
    <w:rsid w:val="00FB25EC"/>
    <w:rsid w:val="00FB4898"/>
    <w:rsid w:val="00FB5DBC"/>
    <w:rsid w:val="00FB79F7"/>
    <w:rsid w:val="00FC03D2"/>
    <w:rsid w:val="00FC4253"/>
    <w:rsid w:val="00FC7A12"/>
    <w:rsid w:val="00FD14D9"/>
    <w:rsid w:val="00FD1B3F"/>
    <w:rsid w:val="00FD25BA"/>
    <w:rsid w:val="00FD2A2E"/>
    <w:rsid w:val="00FD40FC"/>
    <w:rsid w:val="00FD41C7"/>
    <w:rsid w:val="00FD5A27"/>
    <w:rsid w:val="00FD7E26"/>
    <w:rsid w:val="00FE029C"/>
    <w:rsid w:val="00FE1527"/>
    <w:rsid w:val="00FE383A"/>
    <w:rsid w:val="00FE3ED7"/>
    <w:rsid w:val="00FE451F"/>
    <w:rsid w:val="00FE58E7"/>
    <w:rsid w:val="00FE6187"/>
    <w:rsid w:val="00FF050F"/>
    <w:rsid w:val="00FF2847"/>
    <w:rsid w:val="00FF2B1D"/>
    <w:rsid w:val="00FF5CD1"/>
    <w:rsid w:val="010B405F"/>
    <w:rsid w:val="010E70F1"/>
    <w:rsid w:val="01141165"/>
    <w:rsid w:val="011D2710"/>
    <w:rsid w:val="011E0236"/>
    <w:rsid w:val="01215802"/>
    <w:rsid w:val="012D11A7"/>
    <w:rsid w:val="013B4944"/>
    <w:rsid w:val="013C246A"/>
    <w:rsid w:val="013E61E2"/>
    <w:rsid w:val="0140352B"/>
    <w:rsid w:val="01483505"/>
    <w:rsid w:val="014F03EF"/>
    <w:rsid w:val="0159126E"/>
    <w:rsid w:val="015E0632"/>
    <w:rsid w:val="01785B98"/>
    <w:rsid w:val="017B0047"/>
    <w:rsid w:val="018F1575"/>
    <w:rsid w:val="01974845"/>
    <w:rsid w:val="01CC3DA2"/>
    <w:rsid w:val="01E41926"/>
    <w:rsid w:val="01E7687A"/>
    <w:rsid w:val="01E90844"/>
    <w:rsid w:val="01F36FCC"/>
    <w:rsid w:val="01FF0067"/>
    <w:rsid w:val="02005B8D"/>
    <w:rsid w:val="0200793B"/>
    <w:rsid w:val="020C4532"/>
    <w:rsid w:val="0213141D"/>
    <w:rsid w:val="02181129"/>
    <w:rsid w:val="02341C02"/>
    <w:rsid w:val="023C3B1F"/>
    <w:rsid w:val="02405F8A"/>
    <w:rsid w:val="02445A7A"/>
    <w:rsid w:val="026B74AB"/>
    <w:rsid w:val="0271182C"/>
    <w:rsid w:val="027F2F56"/>
    <w:rsid w:val="02843A23"/>
    <w:rsid w:val="028440C8"/>
    <w:rsid w:val="028E760A"/>
    <w:rsid w:val="0295406C"/>
    <w:rsid w:val="029A5F34"/>
    <w:rsid w:val="029D0D48"/>
    <w:rsid w:val="02B03DD0"/>
    <w:rsid w:val="02BB73F0"/>
    <w:rsid w:val="02BC1AB4"/>
    <w:rsid w:val="02BF04D5"/>
    <w:rsid w:val="02D908B8"/>
    <w:rsid w:val="02E1151B"/>
    <w:rsid w:val="02E81B31"/>
    <w:rsid w:val="03101E00"/>
    <w:rsid w:val="03192A63"/>
    <w:rsid w:val="03247659"/>
    <w:rsid w:val="03394EB3"/>
    <w:rsid w:val="033B43B8"/>
    <w:rsid w:val="034D470C"/>
    <w:rsid w:val="03577A2F"/>
    <w:rsid w:val="0365214C"/>
    <w:rsid w:val="036D2DAF"/>
    <w:rsid w:val="036F4D79"/>
    <w:rsid w:val="03722EB2"/>
    <w:rsid w:val="037C672A"/>
    <w:rsid w:val="039C3694"/>
    <w:rsid w:val="03A04F32"/>
    <w:rsid w:val="03AA4003"/>
    <w:rsid w:val="03AF1619"/>
    <w:rsid w:val="03BC7892"/>
    <w:rsid w:val="03CF75C5"/>
    <w:rsid w:val="03D472D2"/>
    <w:rsid w:val="03F45A84"/>
    <w:rsid w:val="03FB03BA"/>
    <w:rsid w:val="04041965"/>
    <w:rsid w:val="04206073"/>
    <w:rsid w:val="043164D2"/>
    <w:rsid w:val="04447FB3"/>
    <w:rsid w:val="04462CD8"/>
    <w:rsid w:val="04497378"/>
    <w:rsid w:val="045301F6"/>
    <w:rsid w:val="04554894"/>
    <w:rsid w:val="0458719A"/>
    <w:rsid w:val="045E36B4"/>
    <w:rsid w:val="04602913"/>
    <w:rsid w:val="04640655"/>
    <w:rsid w:val="047D34C5"/>
    <w:rsid w:val="048B3E34"/>
    <w:rsid w:val="049D76C3"/>
    <w:rsid w:val="04A24CDA"/>
    <w:rsid w:val="04AB0032"/>
    <w:rsid w:val="04B27AEC"/>
    <w:rsid w:val="04C335CE"/>
    <w:rsid w:val="04C917E4"/>
    <w:rsid w:val="04CE5ACF"/>
    <w:rsid w:val="04D31337"/>
    <w:rsid w:val="04D94B9F"/>
    <w:rsid w:val="04DC643E"/>
    <w:rsid w:val="04DD390E"/>
    <w:rsid w:val="04E83035"/>
    <w:rsid w:val="04E86B91"/>
    <w:rsid w:val="04F32AE8"/>
    <w:rsid w:val="04F512AE"/>
    <w:rsid w:val="050717C9"/>
    <w:rsid w:val="05094D59"/>
    <w:rsid w:val="052F01ED"/>
    <w:rsid w:val="05340028"/>
    <w:rsid w:val="05483AD3"/>
    <w:rsid w:val="05485881"/>
    <w:rsid w:val="054A15F9"/>
    <w:rsid w:val="055204AE"/>
    <w:rsid w:val="057B5F07"/>
    <w:rsid w:val="057E73DF"/>
    <w:rsid w:val="058A05D1"/>
    <w:rsid w:val="05B178CA"/>
    <w:rsid w:val="05B4479C"/>
    <w:rsid w:val="05C702EC"/>
    <w:rsid w:val="05CA44E8"/>
    <w:rsid w:val="05D53030"/>
    <w:rsid w:val="05E03D0C"/>
    <w:rsid w:val="05E82BC0"/>
    <w:rsid w:val="05EA2DDC"/>
    <w:rsid w:val="05EC0902"/>
    <w:rsid w:val="05EE467B"/>
    <w:rsid w:val="05FA674D"/>
    <w:rsid w:val="06030E9A"/>
    <w:rsid w:val="060D278F"/>
    <w:rsid w:val="06175254"/>
    <w:rsid w:val="06253E14"/>
    <w:rsid w:val="0626662F"/>
    <w:rsid w:val="0635149D"/>
    <w:rsid w:val="0636392C"/>
    <w:rsid w:val="065B3392"/>
    <w:rsid w:val="0660735B"/>
    <w:rsid w:val="06640499"/>
    <w:rsid w:val="0664493D"/>
    <w:rsid w:val="066C559F"/>
    <w:rsid w:val="066E30C6"/>
    <w:rsid w:val="06710E08"/>
    <w:rsid w:val="067A5F0E"/>
    <w:rsid w:val="06856661"/>
    <w:rsid w:val="06930D7E"/>
    <w:rsid w:val="069B7C33"/>
    <w:rsid w:val="069F5975"/>
    <w:rsid w:val="06A27213"/>
    <w:rsid w:val="06AB431A"/>
    <w:rsid w:val="06B238FA"/>
    <w:rsid w:val="06B50CF4"/>
    <w:rsid w:val="06B70F10"/>
    <w:rsid w:val="06B84C89"/>
    <w:rsid w:val="06C9407E"/>
    <w:rsid w:val="06EE06AA"/>
    <w:rsid w:val="06F23CF7"/>
    <w:rsid w:val="06FD1421"/>
    <w:rsid w:val="07043A2A"/>
    <w:rsid w:val="07100621"/>
    <w:rsid w:val="0714287C"/>
    <w:rsid w:val="07155C37"/>
    <w:rsid w:val="07167BB0"/>
    <w:rsid w:val="071B5655"/>
    <w:rsid w:val="071C6FC5"/>
    <w:rsid w:val="071D53FA"/>
    <w:rsid w:val="072365A6"/>
    <w:rsid w:val="07286983"/>
    <w:rsid w:val="072D3DFF"/>
    <w:rsid w:val="073267E9"/>
    <w:rsid w:val="07372051"/>
    <w:rsid w:val="07464042"/>
    <w:rsid w:val="075256F3"/>
    <w:rsid w:val="07585EEB"/>
    <w:rsid w:val="07750484"/>
    <w:rsid w:val="078801B7"/>
    <w:rsid w:val="078F07B7"/>
    <w:rsid w:val="0797489E"/>
    <w:rsid w:val="079B529A"/>
    <w:rsid w:val="07A05EE1"/>
    <w:rsid w:val="07A579C2"/>
    <w:rsid w:val="07AD5E6F"/>
    <w:rsid w:val="07AF37E1"/>
    <w:rsid w:val="07BF0A14"/>
    <w:rsid w:val="07C17B6D"/>
    <w:rsid w:val="07D23B28"/>
    <w:rsid w:val="07DB1496"/>
    <w:rsid w:val="07E31891"/>
    <w:rsid w:val="07F568E8"/>
    <w:rsid w:val="07F7358F"/>
    <w:rsid w:val="08041CCB"/>
    <w:rsid w:val="080D2DB2"/>
    <w:rsid w:val="081C4DA3"/>
    <w:rsid w:val="083D668B"/>
    <w:rsid w:val="08566507"/>
    <w:rsid w:val="085D6AC9"/>
    <w:rsid w:val="0869448C"/>
    <w:rsid w:val="08744BDF"/>
    <w:rsid w:val="087921F6"/>
    <w:rsid w:val="08856DEC"/>
    <w:rsid w:val="088E6AA9"/>
    <w:rsid w:val="08A07601"/>
    <w:rsid w:val="08C33071"/>
    <w:rsid w:val="08C6368D"/>
    <w:rsid w:val="08C90A87"/>
    <w:rsid w:val="08CA35FF"/>
    <w:rsid w:val="08D15B8E"/>
    <w:rsid w:val="08D37B58"/>
    <w:rsid w:val="08EE6740"/>
    <w:rsid w:val="09037750"/>
    <w:rsid w:val="090661BB"/>
    <w:rsid w:val="091F4B4B"/>
    <w:rsid w:val="092204D5"/>
    <w:rsid w:val="092403B3"/>
    <w:rsid w:val="09267C87"/>
    <w:rsid w:val="09273A00"/>
    <w:rsid w:val="092B3D17"/>
    <w:rsid w:val="092D370C"/>
    <w:rsid w:val="092E2FE0"/>
    <w:rsid w:val="09436A8B"/>
    <w:rsid w:val="0945629F"/>
    <w:rsid w:val="094B1DE4"/>
    <w:rsid w:val="09554A11"/>
    <w:rsid w:val="09557421"/>
    <w:rsid w:val="095962AF"/>
    <w:rsid w:val="095C18FB"/>
    <w:rsid w:val="095C5D9F"/>
    <w:rsid w:val="095F3199"/>
    <w:rsid w:val="095F763D"/>
    <w:rsid w:val="09621596"/>
    <w:rsid w:val="09724296"/>
    <w:rsid w:val="098A5D86"/>
    <w:rsid w:val="098E28DD"/>
    <w:rsid w:val="09A233BC"/>
    <w:rsid w:val="09A454D4"/>
    <w:rsid w:val="09B90AFC"/>
    <w:rsid w:val="09C121FC"/>
    <w:rsid w:val="09C15C02"/>
    <w:rsid w:val="09D516AE"/>
    <w:rsid w:val="09D92F4C"/>
    <w:rsid w:val="09E408B0"/>
    <w:rsid w:val="09E638BB"/>
    <w:rsid w:val="09E65669"/>
    <w:rsid w:val="09E813E1"/>
    <w:rsid w:val="09EA5159"/>
    <w:rsid w:val="09EF451D"/>
    <w:rsid w:val="09F4422A"/>
    <w:rsid w:val="09F77876"/>
    <w:rsid w:val="09FE29B2"/>
    <w:rsid w:val="0A0030AC"/>
    <w:rsid w:val="0A116B8A"/>
    <w:rsid w:val="0A1D552E"/>
    <w:rsid w:val="0A20501F"/>
    <w:rsid w:val="0A230FB6"/>
    <w:rsid w:val="0A2543E3"/>
    <w:rsid w:val="0A284947"/>
    <w:rsid w:val="0A3463D4"/>
    <w:rsid w:val="0A3A11AB"/>
    <w:rsid w:val="0A4725AB"/>
    <w:rsid w:val="0A4876F8"/>
    <w:rsid w:val="0A487D49"/>
    <w:rsid w:val="0A5C592B"/>
    <w:rsid w:val="0A656ED5"/>
    <w:rsid w:val="0A7315F2"/>
    <w:rsid w:val="0A786C09"/>
    <w:rsid w:val="0A7D5FCD"/>
    <w:rsid w:val="0A7F59C4"/>
    <w:rsid w:val="0A816019"/>
    <w:rsid w:val="0A851326"/>
    <w:rsid w:val="0A8B6D96"/>
    <w:rsid w:val="0A913826"/>
    <w:rsid w:val="0AA96DC2"/>
    <w:rsid w:val="0AAC0FAB"/>
    <w:rsid w:val="0AB822A5"/>
    <w:rsid w:val="0AF67B2D"/>
    <w:rsid w:val="0AFA13CC"/>
    <w:rsid w:val="0B183F48"/>
    <w:rsid w:val="0B185CF6"/>
    <w:rsid w:val="0B2428ED"/>
    <w:rsid w:val="0B3F3BB3"/>
    <w:rsid w:val="0B4A13AC"/>
    <w:rsid w:val="0B4E1717"/>
    <w:rsid w:val="0B5331D2"/>
    <w:rsid w:val="0B574A70"/>
    <w:rsid w:val="0B606DEF"/>
    <w:rsid w:val="0B626F71"/>
    <w:rsid w:val="0B653E80"/>
    <w:rsid w:val="0B7A42BB"/>
    <w:rsid w:val="0B9A2A4B"/>
    <w:rsid w:val="0BA15CEB"/>
    <w:rsid w:val="0BB91287"/>
    <w:rsid w:val="0BBA4F57"/>
    <w:rsid w:val="0BC814CA"/>
    <w:rsid w:val="0BDB0289"/>
    <w:rsid w:val="0BE33CF4"/>
    <w:rsid w:val="0BFB189F"/>
    <w:rsid w:val="0BFC5617"/>
    <w:rsid w:val="0C0378B8"/>
    <w:rsid w:val="0C087B18"/>
    <w:rsid w:val="0C1477C0"/>
    <w:rsid w:val="0C186C21"/>
    <w:rsid w:val="0C28392B"/>
    <w:rsid w:val="0C3C3C66"/>
    <w:rsid w:val="0C3F2CC8"/>
    <w:rsid w:val="0C400E72"/>
    <w:rsid w:val="0C42652A"/>
    <w:rsid w:val="0C427AB6"/>
    <w:rsid w:val="0C4F5695"/>
    <w:rsid w:val="0C5C7E64"/>
    <w:rsid w:val="0C656D19"/>
    <w:rsid w:val="0C6D3E1F"/>
    <w:rsid w:val="0C7C4062"/>
    <w:rsid w:val="0C8C24F7"/>
    <w:rsid w:val="0C8E44C1"/>
    <w:rsid w:val="0CA05FA3"/>
    <w:rsid w:val="0CA13E02"/>
    <w:rsid w:val="0CA23AC9"/>
    <w:rsid w:val="0CAD246E"/>
    <w:rsid w:val="0CB8153E"/>
    <w:rsid w:val="0CB949C2"/>
    <w:rsid w:val="0CC2416B"/>
    <w:rsid w:val="0CD242DF"/>
    <w:rsid w:val="0CE00A95"/>
    <w:rsid w:val="0CE51EE5"/>
    <w:rsid w:val="0CEE31B2"/>
    <w:rsid w:val="0CFB142B"/>
    <w:rsid w:val="0D006A41"/>
    <w:rsid w:val="0D076022"/>
    <w:rsid w:val="0D097FEC"/>
    <w:rsid w:val="0D0C21DD"/>
    <w:rsid w:val="0D10137A"/>
    <w:rsid w:val="0D1A6B5F"/>
    <w:rsid w:val="0D1D3A97"/>
    <w:rsid w:val="0D232783"/>
    <w:rsid w:val="0D29243C"/>
    <w:rsid w:val="0D2E70C4"/>
    <w:rsid w:val="0D307327"/>
    <w:rsid w:val="0D366907"/>
    <w:rsid w:val="0D38442D"/>
    <w:rsid w:val="0D447276"/>
    <w:rsid w:val="0D4B23B2"/>
    <w:rsid w:val="0D5556DA"/>
    <w:rsid w:val="0D576818"/>
    <w:rsid w:val="0D6A2919"/>
    <w:rsid w:val="0D71793F"/>
    <w:rsid w:val="0D735465"/>
    <w:rsid w:val="0D755681"/>
    <w:rsid w:val="0D7D4536"/>
    <w:rsid w:val="0D95362E"/>
    <w:rsid w:val="0D975F08"/>
    <w:rsid w:val="0D9773A6"/>
    <w:rsid w:val="0D984ECC"/>
    <w:rsid w:val="0D9E6986"/>
    <w:rsid w:val="0DBC0BBA"/>
    <w:rsid w:val="0DC83A03"/>
    <w:rsid w:val="0DD0598D"/>
    <w:rsid w:val="0DD2157C"/>
    <w:rsid w:val="0DD24882"/>
    <w:rsid w:val="0DD52EAB"/>
    <w:rsid w:val="0DD73C46"/>
    <w:rsid w:val="0DE40111"/>
    <w:rsid w:val="0DEF71E2"/>
    <w:rsid w:val="0DF04D08"/>
    <w:rsid w:val="0DF748F5"/>
    <w:rsid w:val="0DF85A09"/>
    <w:rsid w:val="0E044BB9"/>
    <w:rsid w:val="0E236E8B"/>
    <w:rsid w:val="0E3C7F4D"/>
    <w:rsid w:val="0E3D63EB"/>
    <w:rsid w:val="0E415563"/>
    <w:rsid w:val="0E4312DC"/>
    <w:rsid w:val="0E455182"/>
    <w:rsid w:val="0E4D3F08"/>
    <w:rsid w:val="0E6279A1"/>
    <w:rsid w:val="0E6A6868"/>
    <w:rsid w:val="0E7476E7"/>
    <w:rsid w:val="0E7B4839"/>
    <w:rsid w:val="0E7C0F8E"/>
    <w:rsid w:val="0E947D89"/>
    <w:rsid w:val="0E9658AF"/>
    <w:rsid w:val="0E9B2EC6"/>
    <w:rsid w:val="0E9D4E90"/>
    <w:rsid w:val="0EA33B28"/>
    <w:rsid w:val="0EAC50D3"/>
    <w:rsid w:val="0EAC6E81"/>
    <w:rsid w:val="0EB851B9"/>
    <w:rsid w:val="0EBE0962"/>
    <w:rsid w:val="0EC84ED8"/>
    <w:rsid w:val="0ED91C40"/>
    <w:rsid w:val="0ED96FBA"/>
    <w:rsid w:val="0EDF1DE0"/>
    <w:rsid w:val="0EE04512"/>
    <w:rsid w:val="0EE31547"/>
    <w:rsid w:val="0EE859DF"/>
    <w:rsid w:val="0EED1247"/>
    <w:rsid w:val="0F087E2F"/>
    <w:rsid w:val="0F140BB9"/>
    <w:rsid w:val="0F16660B"/>
    <w:rsid w:val="0F1B5DB5"/>
    <w:rsid w:val="0F2811FF"/>
    <w:rsid w:val="0F3841E2"/>
    <w:rsid w:val="0F4D66CC"/>
    <w:rsid w:val="0F7F3B8E"/>
    <w:rsid w:val="0F882D9D"/>
    <w:rsid w:val="0F892B2F"/>
    <w:rsid w:val="0F8C280E"/>
    <w:rsid w:val="0FB73D2F"/>
    <w:rsid w:val="0FC1695C"/>
    <w:rsid w:val="0FC30926"/>
    <w:rsid w:val="0FC328F7"/>
    <w:rsid w:val="0FC93A62"/>
    <w:rsid w:val="0FDA6F04"/>
    <w:rsid w:val="0FDE2C74"/>
    <w:rsid w:val="100D394F"/>
    <w:rsid w:val="101A606C"/>
    <w:rsid w:val="103535BB"/>
    <w:rsid w:val="10376C1E"/>
    <w:rsid w:val="103B764C"/>
    <w:rsid w:val="10463305"/>
    <w:rsid w:val="10563548"/>
    <w:rsid w:val="107514F4"/>
    <w:rsid w:val="10863702"/>
    <w:rsid w:val="10A337BD"/>
    <w:rsid w:val="10A65B52"/>
    <w:rsid w:val="10AA5642"/>
    <w:rsid w:val="10AB43EA"/>
    <w:rsid w:val="10C0097A"/>
    <w:rsid w:val="10D4446D"/>
    <w:rsid w:val="10D5125A"/>
    <w:rsid w:val="10DD4DDE"/>
    <w:rsid w:val="10DE353E"/>
    <w:rsid w:val="10E16B8A"/>
    <w:rsid w:val="10E321F8"/>
    <w:rsid w:val="10E54E8C"/>
    <w:rsid w:val="10E63EEB"/>
    <w:rsid w:val="10E92776"/>
    <w:rsid w:val="10FD7E68"/>
    <w:rsid w:val="1111746F"/>
    <w:rsid w:val="11124F95"/>
    <w:rsid w:val="11196324"/>
    <w:rsid w:val="111E393A"/>
    <w:rsid w:val="112278CE"/>
    <w:rsid w:val="112A22DF"/>
    <w:rsid w:val="11401B02"/>
    <w:rsid w:val="11447845"/>
    <w:rsid w:val="11515ABE"/>
    <w:rsid w:val="115B06EA"/>
    <w:rsid w:val="115B693C"/>
    <w:rsid w:val="11665A0D"/>
    <w:rsid w:val="11673533"/>
    <w:rsid w:val="117F6ACF"/>
    <w:rsid w:val="118063A3"/>
    <w:rsid w:val="11AB78C4"/>
    <w:rsid w:val="11B5429E"/>
    <w:rsid w:val="11B76268"/>
    <w:rsid w:val="11D0732A"/>
    <w:rsid w:val="11D230A2"/>
    <w:rsid w:val="11DF30C9"/>
    <w:rsid w:val="11E626AA"/>
    <w:rsid w:val="11ED5DC6"/>
    <w:rsid w:val="11F76665"/>
    <w:rsid w:val="122E5DFF"/>
    <w:rsid w:val="1235718D"/>
    <w:rsid w:val="12415B32"/>
    <w:rsid w:val="12486EC1"/>
    <w:rsid w:val="124D44D7"/>
    <w:rsid w:val="124E2382"/>
    <w:rsid w:val="12577104"/>
    <w:rsid w:val="125A6BF4"/>
    <w:rsid w:val="12623182"/>
    <w:rsid w:val="12706417"/>
    <w:rsid w:val="12781473"/>
    <w:rsid w:val="128B30B3"/>
    <w:rsid w:val="12955E7E"/>
    <w:rsid w:val="12981456"/>
    <w:rsid w:val="129B16E6"/>
    <w:rsid w:val="12A04F4F"/>
    <w:rsid w:val="12E9340A"/>
    <w:rsid w:val="12EA61CA"/>
    <w:rsid w:val="12EC3B56"/>
    <w:rsid w:val="12ED112A"/>
    <w:rsid w:val="12ED5CBA"/>
    <w:rsid w:val="12EF1A32"/>
    <w:rsid w:val="12F6691D"/>
    <w:rsid w:val="13076D7C"/>
    <w:rsid w:val="13086650"/>
    <w:rsid w:val="130D3C66"/>
    <w:rsid w:val="13113756"/>
    <w:rsid w:val="13127AA8"/>
    <w:rsid w:val="13143247"/>
    <w:rsid w:val="13325962"/>
    <w:rsid w:val="13416360"/>
    <w:rsid w:val="134A4EBA"/>
    <w:rsid w:val="135E44C2"/>
    <w:rsid w:val="136441CE"/>
    <w:rsid w:val="137B1518"/>
    <w:rsid w:val="13893C35"/>
    <w:rsid w:val="138A175B"/>
    <w:rsid w:val="138E124B"/>
    <w:rsid w:val="1399374C"/>
    <w:rsid w:val="13A445CA"/>
    <w:rsid w:val="13A90A50"/>
    <w:rsid w:val="13AF4D1D"/>
    <w:rsid w:val="13E4610A"/>
    <w:rsid w:val="13EE5846"/>
    <w:rsid w:val="13FB7F63"/>
    <w:rsid w:val="14072DAB"/>
    <w:rsid w:val="140B5CBD"/>
    <w:rsid w:val="14101C60"/>
    <w:rsid w:val="14107EB2"/>
    <w:rsid w:val="14157276"/>
    <w:rsid w:val="141D612B"/>
    <w:rsid w:val="14292D22"/>
    <w:rsid w:val="14295324"/>
    <w:rsid w:val="142C4DA5"/>
    <w:rsid w:val="142E0338"/>
    <w:rsid w:val="143A4F2F"/>
    <w:rsid w:val="14495172"/>
    <w:rsid w:val="14504BF9"/>
    <w:rsid w:val="14636234"/>
    <w:rsid w:val="14641A94"/>
    <w:rsid w:val="14691370"/>
    <w:rsid w:val="146E6986"/>
    <w:rsid w:val="14740441"/>
    <w:rsid w:val="14757D15"/>
    <w:rsid w:val="147C5547"/>
    <w:rsid w:val="14816F1E"/>
    <w:rsid w:val="148B2244"/>
    <w:rsid w:val="148F7029"/>
    <w:rsid w:val="14900FF3"/>
    <w:rsid w:val="149E726C"/>
    <w:rsid w:val="149F59C3"/>
    <w:rsid w:val="14A405FA"/>
    <w:rsid w:val="14B720DC"/>
    <w:rsid w:val="14B776EE"/>
    <w:rsid w:val="14BE790E"/>
    <w:rsid w:val="14C173FE"/>
    <w:rsid w:val="14CF1B1B"/>
    <w:rsid w:val="14D07641"/>
    <w:rsid w:val="14D964F6"/>
    <w:rsid w:val="14E44492"/>
    <w:rsid w:val="14F43330"/>
    <w:rsid w:val="14F450DE"/>
    <w:rsid w:val="14FA3B77"/>
    <w:rsid w:val="15000BA8"/>
    <w:rsid w:val="150443FD"/>
    <w:rsid w:val="152139F9"/>
    <w:rsid w:val="1537146E"/>
    <w:rsid w:val="153D4CD7"/>
    <w:rsid w:val="154047C7"/>
    <w:rsid w:val="15477903"/>
    <w:rsid w:val="154A11A2"/>
    <w:rsid w:val="154F67B8"/>
    <w:rsid w:val="155362A8"/>
    <w:rsid w:val="155D11DB"/>
    <w:rsid w:val="1562473D"/>
    <w:rsid w:val="157029B4"/>
    <w:rsid w:val="157306F8"/>
    <w:rsid w:val="15740CD1"/>
    <w:rsid w:val="157955E3"/>
    <w:rsid w:val="158F12AA"/>
    <w:rsid w:val="15931BC1"/>
    <w:rsid w:val="15A24B3A"/>
    <w:rsid w:val="15A765F4"/>
    <w:rsid w:val="15B12FCF"/>
    <w:rsid w:val="15B15C74"/>
    <w:rsid w:val="15BB209F"/>
    <w:rsid w:val="15C72EC3"/>
    <w:rsid w:val="15CC1BB7"/>
    <w:rsid w:val="15DA2525"/>
    <w:rsid w:val="15DB004C"/>
    <w:rsid w:val="15EF3AF7"/>
    <w:rsid w:val="15F829AC"/>
    <w:rsid w:val="15FC6940"/>
    <w:rsid w:val="160E0421"/>
    <w:rsid w:val="16105F47"/>
    <w:rsid w:val="16461969"/>
    <w:rsid w:val="164C2CF7"/>
    <w:rsid w:val="165C0979"/>
    <w:rsid w:val="166503DF"/>
    <w:rsid w:val="16686385"/>
    <w:rsid w:val="16704C38"/>
    <w:rsid w:val="16866209"/>
    <w:rsid w:val="1686720D"/>
    <w:rsid w:val="16907088"/>
    <w:rsid w:val="16A36DBB"/>
    <w:rsid w:val="16A62408"/>
    <w:rsid w:val="16A86180"/>
    <w:rsid w:val="16AB2114"/>
    <w:rsid w:val="16C13456"/>
    <w:rsid w:val="16C57E2F"/>
    <w:rsid w:val="16C60404"/>
    <w:rsid w:val="16CA706D"/>
    <w:rsid w:val="16CF5B22"/>
    <w:rsid w:val="16D108B7"/>
    <w:rsid w:val="16D90A2F"/>
    <w:rsid w:val="16DB47A7"/>
    <w:rsid w:val="16E55626"/>
    <w:rsid w:val="16F2564D"/>
    <w:rsid w:val="16FF3FC3"/>
    <w:rsid w:val="170278E1"/>
    <w:rsid w:val="1723614E"/>
    <w:rsid w:val="17290C50"/>
    <w:rsid w:val="172A4DE7"/>
    <w:rsid w:val="1732013F"/>
    <w:rsid w:val="17326391"/>
    <w:rsid w:val="1740285C"/>
    <w:rsid w:val="174C4085"/>
    <w:rsid w:val="175A7EC9"/>
    <w:rsid w:val="17620A24"/>
    <w:rsid w:val="17710C68"/>
    <w:rsid w:val="1776627E"/>
    <w:rsid w:val="178A4443"/>
    <w:rsid w:val="178C784F"/>
    <w:rsid w:val="17C10B2C"/>
    <w:rsid w:val="17C22183"/>
    <w:rsid w:val="17C463A4"/>
    <w:rsid w:val="17C849A7"/>
    <w:rsid w:val="17C92852"/>
    <w:rsid w:val="17CA481C"/>
    <w:rsid w:val="17DF1C59"/>
    <w:rsid w:val="17E06C0C"/>
    <w:rsid w:val="17E20193"/>
    <w:rsid w:val="17EB30D3"/>
    <w:rsid w:val="17F90C5D"/>
    <w:rsid w:val="18133ACD"/>
    <w:rsid w:val="18185587"/>
    <w:rsid w:val="181F06C4"/>
    <w:rsid w:val="181F6915"/>
    <w:rsid w:val="18226406"/>
    <w:rsid w:val="182E6B2B"/>
    <w:rsid w:val="183C5FE0"/>
    <w:rsid w:val="183C74C7"/>
    <w:rsid w:val="18550589"/>
    <w:rsid w:val="185A16FC"/>
    <w:rsid w:val="185C1918"/>
    <w:rsid w:val="185C36C6"/>
    <w:rsid w:val="185F31B6"/>
    <w:rsid w:val="186374B4"/>
    <w:rsid w:val="187327BD"/>
    <w:rsid w:val="18876269"/>
    <w:rsid w:val="188E3A9B"/>
    <w:rsid w:val="18A4506D"/>
    <w:rsid w:val="18A64941"/>
    <w:rsid w:val="18BF1EA7"/>
    <w:rsid w:val="18D4670B"/>
    <w:rsid w:val="18DE232D"/>
    <w:rsid w:val="18E83BE4"/>
    <w:rsid w:val="18F06FEA"/>
    <w:rsid w:val="18F356AC"/>
    <w:rsid w:val="18F90F15"/>
    <w:rsid w:val="19173A91"/>
    <w:rsid w:val="19371A3D"/>
    <w:rsid w:val="194303E2"/>
    <w:rsid w:val="194A36D4"/>
    <w:rsid w:val="19540841"/>
    <w:rsid w:val="195720DF"/>
    <w:rsid w:val="195C5D5A"/>
    <w:rsid w:val="19614D0C"/>
    <w:rsid w:val="196640D0"/>
    <w:rsid w:val="1968609A"/>
    <w:rsid w:val="196A16ED"/>
    <w:rsid w:val="19726F19"/>
    <w:rsid w:val="197B401F"/>
    <w:rsid w:val="19842584"/>
    <w:rsid w:val="19923117"/>
    <w:rsid w:val="19B20F3B"/>
    <w:rsid w:val="19C37774"/>
    <w:rsid w:val="19E35721"/>
    <w:rsid w:val="19E971DB"/>
    <w:rsid w:val="19EC0A79"/>
    <w:rsid w:val="19F00B29"/>
    <w:rsid w:val="19F90C1E"/>
    <w:rsid w:val="1A002777"/>
    <w:rsid w:val="1A0062D3"/>
    <w:rsid w:val="1A067798"/>
    <w:rsid w:val="1A0F3844"/>
    <w:rsid w:val="1A136006"/>
    <w:rsid w:val="1A2C356C"/>
    <w:rsid w:val="1A7016AA"/>
    <w:rsid w:val="1A76076E"/>
    <w:rsid w:val="1A7647E7"/>
    <w:rsid w:val="1A8B2040"/>
    <w:rsid w:val="1A8E38DF"/>
    <w:rsid w:val="1A920A2B"/>
    <w:rsid w:val="1A952F0A"/>
    <w:rsid w:val="1ABC044C"/>
    <w:rsid w:val="1AC217DA"/>
    <w:rsid w:val="1AC45552"/>
    <w:rsid w:val="1AC77A8C"/>
    <w:rsid w:val="1AD0039B"/>
    <w:rsid w:val="1AD25EC1"/>
    <w:rsid w:val="1AE708E8"/>
    <w:rsid w:val="1AED393F"/>
    <w:rsid w:val="1B3F59E9"/>
    <w:rsid w:val="1B583B08"/>
    <w:rsid w:val="1B632586"/>
    <w:rsid w:val="1B66485B"/>
    <w:rsid w:val="1B701236"/>
    <w:rsid w:val="1B776A68"/>
    <w:rsid w:val="1B79633D"/>
    <w:rsid w:val="1B7E1BA5"/>
    <w:rsid w:val="1B972C67"/>
    <w:rsid w:val="1BA333BA"/>
    <w:rsid w:val="1BB67591"/>
    <w:rsid w:val="1BBF631B"/>
    <w:rsid w:val="1BE026C6"/>
    <w:rsid w:val="1BE063BC"/>
    <w:rsid w:val="1BE87038"/>
    <w:rsid w:val="1C00080C"/>
    <w:rsid w:val="1C055CAE"/>
    <w:rsid w:val="1C2C24E0"/>
    <w:rsid w:val="1C347B1E"/>
    <w:rsid w:val="1C412D52"/>
    <w:rsid w:val="1C4228C4"/>
    <w:rsid w:val="1C5B7BB5"/>
    <w:rsid w:val="1C5F7921"/>
    <w:rsid w:val="1C662D65"/>
    <w:rsid w:val="1C705992"/>
    <w:rsid w:val="1C752FA8"/>
    <w:rsid w:val="1C8431EB"/>
    <w:rsid w:val="1C88053B"/>
    <w:rsid w:val="1C896A53"/>
    <w:rsid w:val="1C93666A"/>
    <w:rsid w:val="1C9A47BD"/>
    <w:rsid w:val="1CAC6071"/>
    <w:rsid w:val="1CB25FAA"/>
    <w:rsid w:val="1CB6536F"/>
    <w:rsid w:val="1CC655B2"/>
    <w:rsid w:val="1CCF458A"/>
    <w:rsid w:val="1CE35C57"/>
    <w:rsid w:val="1CF00880"/>
    <w:rsid w:val="1CFF6AA9"/>
    <w:rsid w:val="1D167BBB"/>
    <w:rsid w:val="1D1F2F14"/>
    <w:rsid w:val="1D282582"/>
    <w:rsid w:val="1D2B3667"/>
    <w:rsid w:val="1D344C11"/>
    <w:rsid w:val="1D5437C1"/>
    <w:rsid w:val="1D554B87"/>
    <w:rsid w:val="1D5D5765"/>
    <w:rsid w:val="1D85546D"/>
    <w:rsid w:val="1D8634BD"/>
    <w:rsid w:val="1D922714"/>
    <w:rsid w:val="1D926C21"/>
    <w:rsid w:val="1D9372CA"/>
    <w:rsid w:val="1D964830"/>
    <w:rsid w:val="1DA17DCD"/>
    <w:rsid w:val="1DA82F09"/>
    <w:rsid w:val="1DB45D52"/>
    <w:rsid w:val="1DE54E91"/>
    <w:rsid w:val="1DFB74DD"/>
    <w:rsid w:val="1E153D0F"/>
    <w:rsid w:val="1E2E44E7"/>
    <w:rsid w:val="1E30357D"/>
    <w:rsid w:val="1E635082"/>
    <w:rsid w:val="1E641526"/>
    <w:rsid w:val="1E731769"/>
    <w:rsid w:val="1E764DB5"/>
    <w:rsid w:val="1E82375A"/>
    <w:rsid w:val="1E8F7C25"/>
    <w:rsid w:val="1E933BB9"/>
    <w:rsid w:val="1EA2204E"/>
    <w:rsid w:val="1EAE0073"/>
    <w:rsid w:val="1EB4768C"/>
    <w:rsid w:val="1EC2702E"/>
    <w:rsid w:val="1EC75611"/>
    <w:rsid w:val="1EC93DFC"/>
    <w:rsid w:val="1ED1023E"/>
    <w:rsid w:val="1EDB2E6A"/>
    <w:rsid w:val="1EF53F2C"/>
    <w:rsid w:val="1EFA3C38"/>
    <w:rsid w:val="1F220A99"/>
    <w:rsid w:val="1F240CB5"/>
    <w:rsid w:val="1F332CA6"/>
    <w:rsid w:val="1F334A54"/>
    <w:rsid w:val="1F354A4D"/>
    <w:rsid w:val="1F42113B"/>
    <w:rsid w:val="1F49071C"/>
    <w:rsid w:val="1F490B77"/>
    <w:rsid w:val="1F525822"/>
    <w:rsid w:val="1F5E734A"/>
    <w:rsid w:val="1F66307C"/>
    <w:rsid w:val="1F672950"/>
    <w:rsid w:val="1F6D61B8"/>
    <w:rsid w:val="1F770DE5"/>
    <w:rsid w:val="1F784CA6"/>
    <w:rsid w:val="1F925912"/>
    <w:rsid w:val="1FAE057F"/>
    <w:rsid w:val="1FB262C1"/>
    <w:rsid w:val="1FB360B5"/>
    <w:rsid w:val="1FB42039"/>
    <w:rsid w:val="1FBF554D"/>
    <w:rsid w:val="1FCE5F32"/>
    <w:rsid w:val="1FD46237"/>
    <w:rsid w:val="1FE15C8B"/>
    <w:rsid w:val="1FEB532F"/>
    <w:rsid w:val="1FFA2038"/>
    <w:rsid w:val="1FFE1506"/>
    <w:rsid w:val="20014B53"/>
    <w:rsid w:val="20062169"/>
    <w:rsid w:val="20234AC9"/>
    <w:rsid w:val="202645B9"/>
    <w:rsid w:val="20297CE0"/>
    <w:rsid w:val="20315438"/>
    <w:rsid w:val="203B0065"/>
    <w:rsid w:val="204213F3"/>
    <w:rsid w:val="204333BD"/>
    <w:rsid w:val="20452C91"/>
    <w:rsid w:val="20541126"/>
    <w:rsid w:val="206664F2"/>
    <w:rsid w:val="206945FD"/>
    <w:rsid w:val="206A6B9C"/>
    <w:rsid w:val="208903E6"/>
    <w:rsid w:val="208D63E6"/>
    <w:rsid w:val="209239FD"/>
    <w:rsid w:val="209C2C89"/>
    <w:rsid w:val="20A91472"/>
    <w:rsid w:val="20BB11A5"/>
    <w:rsid w:val="20D83B05"/>
    <w:rsid w:val="20E73D48"/>
    <w:rsid w:val="20E93F65"/>
    <w:rsid w:val="20EE157B"/>
    <w:rsid w:val="20F6042F"/>
    <w:rsid w:val="20F8668E"/>
    <w:rsid w:val="21026F3C"/>
    <w:rsid w:val="210B5C89"/>
    <w:rsid w:val="211D776A"/>
    <w:rsid w:val="212C5BFF"/>
    <w:rsid w:val="21336F8E"/>
    <w:rsid w:val="21451DC3"/>
    <w:rsid w:val="21472A39"/>
    <w:rsid w:val="21494352"/>
    <w:rsid w:val="215C61B6"/>
    <w:rsid w:val="216F462D"/>
    <w:rsid w:val="21717AB6"/>
    <w:rsid w:val="217820D2"/>
    <w:rsid w:val="217952E8"/>
    <w:rsid w:val="21920F22"/>
    <w:rsid w:val="219263AA"/>
    <w:rsid w:val="21A0563D"/>
    <w:rsid w:val="21AE1433"/>
    <w:rsid w:val="21B477BC"/>
    <w:rsid w:val="21B856E5"/>
    <w:rsid w:val="21CD73E2"/>
    <w:rsid w:val="21DA62E3"/>
    <w:rsid w:val="21DF552D"/>
    <w:rsid w:val="22001566"/>
    <w:rsid w:val="22010E3A"/>
    <w:rsid w:val="22053FF4"/>
    <w:rsid w:val="221A2A00"/>
    <w:rsid w:val="222B4109"/>
    <w:rsid w:val="222D1B96"/>
    <w:rsid w:val="223631D9"/>
    <w:rsid w:val="223905D4"/>
    <w:rsid w:val="22596EC8"/>
    <w:rsid w:val="2259745D"/>
    <w:rsid w:val="22623FCE"/>
    <w:rsid w:val="22835CF3"/>
    <w:rsid w:val="22851A6B"/>
    <w:rsid w:val="22876B74"/>
    <w:rsid w:val="22995516"/>
    <w:rsid w:val="22B934C3"/>
    <w:rsid w:val="22C13E17"/>
    <w:rsid w:val="22C24A6D"/>
    <w:rsid w:val="22C75BE0"/>
    <w:rsid w:val="22D12F02"/>
    <w:rsid w:val="22E70030"/>
    <w:rsid w:val="22EB66BE"/>
    <w:rsid w:val="2309444A"/>
    <w:rsid w:val="23103A2A"/>
    <w:rsid w:val="231D7EF5"/>
    <w:rsid w:val="2322375E"/>
    <w:rsid w:val="23294AEC"/>
    <w:rsid w:val="232E5C5F"/>
    <w:rsid w:val="232F0744"/>
    <w:rsid w:val="233B157D"/>
    <w:rsid w:val="235F22BC"/>
    <w:rsid w:val="23644909"/>
    <w:rsid w:val="23A777BF"/>
    <w:rsid w:val="23AA169B"/>
    <w:rsid w:val="23AD0E18"/>
    <w:rsid w:val="23C16AD3"/>
    <w:rsid w:val="23CD191B"/>
    <w:rsid w:val="23D06D16"/>
    <w:rsid w:val="23D96090"/>
    <w:rsid w:val="23E7405F"/>
    <w:rsid w:val="24003A9F"/>
    <w:rsid w:val="240253F8"/>
    <w:rsid w:val="24044C11"/>
    <w:rsid w:val="24110D59"/>
    <w:rsid w:val="241E5CD3"/>
    <w:rsid w:val="2423153B"/>
    <w:rsid w:val="243279D1"/>
    <w:rsid w:val="2435301D"/>
    <w:rsid w:val="24376D95"/>
    <w:rsid w:val="246006EE"/>
    <w:rsid w:val="246F4781"/>
    <w:rsid w:val="247B31CB"/>
    <w:rsid w:val="247D50F0"/>
    <w:rsid w:val="2483022C"/>
    <w:rsid w:val="24A94174"/>
    <w:rsid w:val="24AF1021"/>
    <w:rsid w:val="24AF7273"/>
    <w:rsid w:val="24B43FF7"/>
    <w:rsid w:val="24BD373E"/>
    <w:rsid w:val="24C50E97"/>
    <w:rsid w:val="24C73E65"/>
    <w:rsid w:val="24CA5E5B"/>
    <w:rsid w:val="24CE594B"/>
    <w:rsid w:val="24D2799E"/>
    <w:rsid w:val="24EC4023"/>
    <w:rsid w:val="24F904EE"/>
    <w:rsid w:val="24FA6740"/>
    <w:rsid w:val="24FB7DC2"/>
    <w:rsid w:val="2500187D"/>
    <w:rsid w:val="25036881"/>
    <w:rsid w:val="2504136D"/>
    <w:rsid w:val="250C1FD0"/>
    <w:rsid w:val="2513335E"/>
    <w:rsid w:val="251361B6"/>
    <w:rsid w:val="2533755C"/>
    <w:rsid w:val="25455E14"/>
    <w:rsid w:val="25473008"/>
    <w:rsid w:val="2561056D"/>
    <w:rsid w:val="25652B73"/>
    <w:rsid w:val="25695674"/>
    <w:rsid w:val="2573204F"/>
    <w:rsid w:val="257F6C45"/>
    <w:rsid w:val="25901034"/>
    <w:rsid w:val="2593449F"/>
    <w:rsid w:val="25A246E2"/>
    <w:rsid w:val="25B54415"/>
    <w:rsid w:val="25B8698C"/>
    <w:rsid w:val="25BA1A2C"/>
    <w:rsid w:val="25BA5ED0"/>
    <w:rsid w:val="25C6663A"/>
    <w:rsid w:val="25D533FC"/>
    <w:rsid w:val="25D5565D"/>
    <w:rsid w:val="25DA3E7C"/>
    <w:rsid w:val="25DF1492"/>
    <w:rsid w:val="26062EC3"/>
    <w:rsid w:val="260D5FFF"/>
    <w:rsid w:val="26190E48"/>
    <w:rsid w:val="262A4E03"/>
    <w:rsid w:val="26301CEE"/>
    <w:rsid w:val="26377520"/>
    <w:rsid w:val="263E265D"/>
    <w:rsid w:val="26467763"/>
    <w:rsid w:val="26630315"/>
    <w:rsid w:val="2695133D"/>
    <w:rsid w:val="269E759F"/>
    <w:rsid w:val="26A12BEB"/>
    <w:rsid w:val="26A22D14"/>
    <w:rsid w:val="26B172D2"/>
    <w:rsid w:val="26B42C9F"/>
    <w:rsid w:val="26BF7189"/>
    <w:rsid w:val="26C32B62"/>
    <w:rsid w:val="26C6538E"/>
    <w:rsid w:val="26CD1C32"/>
    <w:rsid w:val="26D60AE7"/>
    <w:rsid w:val="26DC1B93"/>
    <w:rsid w:val="26E66850"/>
    <w:rsid w:val="27005B64"/>
    <w:rsid w:val="2702368A"/>
    <w:rsid w:val="272C0707"/>
    <w:rsid w:val="272F1FA5"/>
    <w:rsid w:val="274E68CF"/>
    <w:rsid w:val="27612F92"/>
    <w:rsid w:val="276A4018"/>
    <w:rsid w:val="277A3B68"/>
    <w:rsid w:val="277D71B5"/>
    <w:rsid w:val="278247CB"/>
    <w:rsid w:val="27846795"/>
    <w:rsid w:val="278E13C2"/>
    <w:rsid w:val="27930786"/>
    <w:rsid w:val="27A24E6D"/>
    <w:rsid w:val="27A504B9"/>
    <w:rsid w:val="27AD72E0"/>
    <w:rsid w:val="27B16E5E"/>
    <w:rsid w:val="27B21058"/>
    <w:rsid w:val="27BF77CD"/>
    <w:rsid w:val="27C43035"/>
    <w:rsid w:val="27C941A8"/>
    <w:rsid w:val="27C96123"/>
    <w:rsid w:val="27CA5516"/>
    <w:rsid w:val="27D50D9F"/>
    <w:rsid w:val="27E168FA"/>
    <w:rsid w:val="27E72880"/>
    <w:rsid w:val="27F318FF"/>
    <w:rsid w:val="280D171A"/>
    <w:rsid w:val="281E2746"/>
    <w:rsid w:val="281F201A"/>
    <w:rsid w:val="28237D5C"/>
    <w:rsid w:val="284101E2"/>
    <w:rsid w:val="28492EFE"/>
    <w:rsid w:val="2852419D"/>
    <w:rsid w:val="28956780"/>
    <w:rsid w:val="289A335B"/>
    <w:rsid w:val="28B35C4A"/>
    <w:rsid w:val="28BC5ABB"/>
    <w:rsid w:val="28CC03F4"/>
    <w:rsid w:val="28CE7275"/>
    <w:rsid w:val="28F416F8"/>
    <w:rsid w:val="290B259E"/>
    <w:rsid w:val="2919115F"/>
    <w:rsid w:val="2927562A"/>
    <w:rsid w:val="292F2731"/>
    <w:rsid w:val="29340351"/>
    <w:rsid w:val="2936586D"/>
    <w:rsid w:val="29500971"/>
    <w:rsid w:val="295B1778"/>
    <w:rsid w:val="295D54F0"/>
    <w:rsid w:val="295E3016"/>
    <w:rsid w:val="29AC1FD3"/>
    <w:rsid w:val="29B37831"/>
    <w:rsid w:val="29BD1AEA"/>
    <w:rsid w:val="29CC22E3"/>
    <w:rsid w:val="29D5671A"/>
    <w:rsid w:val="29EB2AFB"/>
    <w:rsid w:val="29EC0622"/>
    <w:rsid w:val="29EC23D0"/>
    <w:rsid w:val="29F714A0"/>
    <w:rsid w:val="29FD282F"/>
    <w:rsid w:val="2A07545B"/>
    <w:rsid w:val="2A110088"/>
    <w:rsid w:val="2A211099"/>
    <w:rsid w:val="2A23246E"/>
    <w:rsid w:val="2A233845"/>
    <w:rsid w:val="2A2C6C70"/>
    <w:rsid w:val="2A3C6EB3"/>
    <w:rsid w:val="2A581813"/>
    <w:rsid w:val="2A5C57A7"/>
    <w:rsid w:val="2A660CEE"/>
    <w:rsid w:val="2A6920B1"/>
    <w:rsid w:val="2A74238E"/>
    <w:rsid w:val="2A7523C5"/>
    <w:rsid w:val="2A7725E1"/>
    <w:rsid w:val="2A790107"/>
    <w:rsid w:val="2A8761C3"/>
    <w:rsid w:val="2A895E70"/>
    <w:rsid w:val="2A952240"/>
    <w:rsid w:val="2A9F3AF9"/>
    <w:rsid w:val="2AAE22F1"/>
    <w:rsid w:val="2AC770C5"/>
    <w:rsid w:val="2AC944BF"/>
    <w:rsid w:val="2AEA4B61"/>
    <w:rsid w:val="2B0626A5"/>
    <w:rsid w:val="2B163BA8"/>
    <w:rsid w:val="2B2D0EF2"/>
    <w:rsid w:val="2B3D7387"/>
    <w:rsid w:val="2B430715"/>
    <w:rsid w:val="2B4801CD"/>
    <w:rsid w:val="2B4C0426"/>
    <w:rsid w:val="2B4D6CA4"/>
    <w:rsid w:val="2B4E0E32"/>
    <w:rsid w:val="2B536BAA"/>
    <w:rsid w:val="2B5E10AB"/>
    <w:rsid w:val="2B6C5576"/>
    <w:rsid w:val="2B77216D"/>
    <w:rsid w:val="2B8A3B5C"/>
    <w:rsid w:val="2B8F74B6"/>
    <w:rsid w:val="2B9351F9"/>
    <w:rsid w:val="2B9B5E5B"/>
    <w:rsid w:val="2B9D6077"/>
    <w:rsid w:val="2BA3136F"/>
    <w:rsid w:val="2BAC1939"/>
    <w:rsid w:val="2BAD5B8F"/>
    <w:rsid w:val="2BB25AAA"/>
    <w:rsid w:val="2BBB02AC"/>
    <w:rsid w:val="2BD47A8D"/>
    <w:rsid w:val="2BDD6474"/>
    <w:rsid w:val="2BDD6F04"/>
    <w:rsid w:val="2BF832AE"/>
    <w:rsid w:val="2BFF463C"/>
    <w:rsid w:val="2C0B1233"/>
    <w:rsid w:val="2C0C0B07"/>
    <w:rsid w:val="2C0F23A5"/>
    <w:rsid w:val="2C13777F"/>
    <w:rsid w:val="2C155C0E"/>
    <w:rsid w:val="2C2C2F57"/>
    <w:rsid w:val="2C2C73FB"/>
    <w:rsid w:val="2C3D70B3"/>
    <w:rsid w:val="2C6941AB"/>
    <w:rsid w:val="2C7A0836"/>
    <w:rsid w:val="2C8D7E9A"/>
    <w:rsid w:val="2C92725E"/>
    <w:rsid w:val="2C972AC7"/>
    <w:rsid w:val="2C974875"/>
    <w:rsid w:val="2CA24AC2"/>
    <w:rsid w:val="2CA86A82"/>
    <w:rsid w:val="2CB05936"/>
    <w:rsid w:val="2CDC672B"/>
    <w:rsid w:val="2CE33F5E"/>
    <w:rsid w:val="2CFC6DCE"/>
    <w:rsid w:val="2D277DFD"/>
    <w:rsid w:val="2D2D51D9"/>
    <w:rsid w:val="2D40631F"/>
    <w:rsid w:val="2D53381B"/>
    <w:rsid w:val="2D5409B8"/>
    <w:rsid w:val="2D6E2EC0"/>
    <w:rsid w:val="2D7B2846"/>
    <w:rsid w:val="2D855015"/>
    <w:rsid w:val="2D88611B"/>
    <w:rsid w:val="2D960FD0"/>
    <w:rsid w:val="2D9A22B6"/>
    <w:rsid w:val="2DB33930"/>
    <w:rsid w:val="2DB41456"/>
    <w:rsid w:val="2DB97173"/>
    <w:rsid w:val="2DBE4083"/>
    <w:rsid w:val="2DE0224B"/>
    <w:rsid w:val="2DE24215"/>
    <w:rsid w:val="2DE25857"/>
    <w:rsid w:val="2DE47F8D"/>
    <w:rsid w:val="2DE7182C"/>
    <w:rsid w:val="2DFB52D7"/>
    <w:rsid w:val="2E0D1075"/>
    <w:rsid w:val="2E182EB0"/>
    <w:rsid w:val="2E2812C9"/>
    <w:rsid w:val="2E341DD7"/>
    <w:rsid w:val="2E341F8D"/>
    <w:rsid w:val="2E344345"/>
    <w:rsid w:val="2E391E69"/>
    <w:rsid w:val="2E3A6F8A"/>
    <w:rsid w:val="2E3F3416"/>
    <w:rsid w:val="2E4B1DBB"/>
    <w:rsid w:val="2E6609A2"/>
    <w:rsid w:val="2E6764C9"/>
    <w:rsid w:val="2E725599"/>
    <w:rsid w:val="2E821554"/>
    <w:rsid w:val="2E8928E3"/>
    <w:rsid w:val="2E8C12C4"/>
    <w:rsid w:val="2E980D78"/>
    <w:rsid w:val="2EAE4CE8"/>
    <w:rsid w:val="2EC22C78"/>
    <w:rsid w:val="2EC464F9"/>
    <w:rsid w:val="2ED578D6"/>
    <w:rsid w:val="2EE23F7A"/>
    <w:rsid w:val="2EED6EAD"/>
    <w:rsid w:val="2EF44200"/>
    <w:rsid w:val="2EFE6E2D"/>
    <w:rsid w:val="2F05595E"/>
    <w:rsid w:val="2F0E4B96"/>
    <w:rsid w:val="2F146650"/>
    <w:rsid w:val="2F1A353B"/>
    <w:rsid w:val="2F1E74CF"/>
    <w:rsid w:val="2F212B1B"/>
    <w:rsid w:val="2F27125B"/>
    <w:rsid w:val="2F2B1648"/>
    <w:rsid w:val="2F327F45"/>
    <w:rsid w:val="2F391E70"/>
    <w:rsid w:val="2F397E65"/>
    <w:rsid w:val="2F3B658B"/>
    <w:rsid w:val="2F452CAE"/>
    <w:rsid w:val="2F4607D4"/>
    <w:rsid w:val="2F715851"/>
    <w:rsid w:val="2F7B222C"/>
    <w:rsid w:val="2F88167B"/>
    <w:rsid w:val="2F8D01B1"/>
    <w:rsid w:val="2F8D1F5F"/>
    <w:rsid w:val="2F967693"/>
    <w:rsid w:val="2FA6459C"/>
    <w:rsid w:val="2FB7522E"/>
    <w:rsid w:val="2FB92D54"/>
    <w:rsid w:val="2FB971F8"/>
    <w:rsid w:val="2FBD5CCF"/>
    <w:rsid w:val="2FBE2EC9"/>
    <w:rsid w:val="2FC01FE3"/>
    <w:rsid w:val="2FC33BD3"/>
    <w:rsid w:val="2FC516F9"/>
    <w:rsid w:val="2FCA6D0F"/>
    <w:rsid w:val="2FD23E16"/>
    <w:rsid w:val="2FD8767E"/>
    <w:rsid w:val="2FE75B13"/>
    <w:rsid w:val="2FEB7AEE"/>
    <w:rsid w:val="2FEC4ED7"/>
    <w:rsid w:val="2FEF2C1A"/>
    <w:rsid w:val="2FF81ACE"/>
    <w:rsid w:val="2FFE4C0B"/>
    <w:rsid w:val="300761B5"/>
    <w:rsid w:val="301E705B"/>
    <w:rsid w:val="30202D05"/>
    <w:rsid w:val="30204B81"/>
    <w:rsid w:val="302169BE"/>
    <w:rsid w:val="30240B15"/>
    <w:rsid w:val="3034062C"/>
    <w:rsid w:val="304107FE"/>
    <w:rsid w:val="3041203C"/>
    <w:rsid w:val="306A22A0"/>
    <w:rsid w:val="30731155"/>
    <w:rsid w:val="30890978"/>
    <w:rsid w:val="30913CD1"/>
    <w:rsid w:val="30A77050"/>
    <w:rsid w:val="30AB12C0"/>
    <w:rsid w:val="30B336F9"/>
    <w:rsid w:val="30BC30A1"/>
    <w:rsid w:val="30CF4A35"/>
    <w:rsid w:val="30DC13F0"/>
    <w:rsid w:val="30E86A33"/>
    <w:rsid w:val="30F71D86"/>
    <w:rsid w:val="30FF0C3A"/>
    <w:rsid w:val="30FF6E8C"/>
    <w:rsid w:val="31091AB9"/>
    <w:rsid w:val="310B5665"/>
    <w:rsid w:val="31103CC9"/>
    <w:rsid w:val="3115220C"/>
    <w:rsid w:val="31175F84"/>
    <w:rsid w:val="311D7312"/>
    <w:rsid w:val="312D1C4B"/>
    <w:rsid w:val="31322DBE"/>
    <w:rsid w:val="31342FDA"/>
    <w:rsid w:val="3134337A"/>
    <w:rsid w:val="31375793"/>
    <w:rsid w:val="3152277A"/>
    <w:rsid w:val="31552F50"/>
    <w:rsid w:val="315947EF"/>
    <w:rsid w:val="316136FB"/>
    <w:rsid w:val="31961ECA"/>
    <w:rsid w:val="319E4AB9"/>
    <w:rsid w:val="319F3C0F"/>
    <w:rsid w:val="31AA6DF8"/>
    <w:rsid w:val="31AF08B2"/>
    <w:rsid w:val="31BB1005"/>
    <w:rsid w:val="31BD4F85"/>
    <w:rsid w:val="31CC4FC0"/>
    <w:rsid w:val="31D03048"/>
    <w:rsid w:val="31D53034"/>
    <w:rsid w:val="31EF5153"/>
    <w:rsid w:val="31F56A79"/>
    <w:rsid w:val="320504D2"/>
    <w:rsid w:val="32193F7E"/>
    <w:rsid w:val="321E1631"/>
    <w:rsid w:val="32382656"/>
    <w:rsid w:val="32392510"/>
    <w:rsid w:val="323A4620"/>
    <w:rsid w:val="323C53BB"/>
    <w:rsid w:val="32430F0F"/>
    <w:rsid w:val="32456B21"/>
    <w:rsid w:val="32566604"/>
    <w:rsid w:val="32584AA6"/>
    <w:rsid w:val="32625925"/>
    <w:rsid w:val="32786EF6"/>
    <w:rsid w:val="328A6C2A"/>
    <w:rsid w:val="32A718D4"/>
    <w:rsid w:val="32B06690"/>
    <w:rsid w:val="32C30B4D"/>
    <w:rsid w:val="32C610E5"/>
    <w:rsid w:val="32CC0FF0"/>
    <w:rsid w:val="32D85BE7"/>
    <w:rsid w:val="32DA195F"/>
    <w:rsid w:val="32E53E60"/>
    <w:rsid w:val="32EB1476"/>
    <w:rsid w:val="32F147D1"/>
    <w:rsid w:val="32F6606D"/>
    <w:rsid w:val="32F80037"/>
    <w:rsid w:val="3301513E"/>
    <w:rsid w:val="33062754"/>
    <w:rsid w:val="330662B0"/>
    <w:rsid w:val="33114C55"/>
    <w:rsid w:val="333429AC"/>
    <w:rsid w:val="33370E30"/>
    <w:rsid w:val="333D3C9C"/>
    <w:rsid w:val="333D5A4A"/>
    <w:rsid w:val="33460DA3"/>
    <w:rsid w:val="334B6DAC"/>
    <w:rsid w:val="334D058A"/>
    <w:rsid w:val="33653C53"/>
    <w:rsid w:val="33795E99"/>
    <w:rsid w:val="338D32F1"/>
    <w:rsid w:val="338D4C23"/>
    <w:rsid w:val="339733AC"/>
    <w:rsid w:val="33983FE4"/>
    <w:rsid w:val="33A87AFE"/>
    <w:rsid w:val="33BB327D"/>
    <w:rsid w:val="33C543BD"/>
    <w:rsid w:val="33CD2A30"/>
    <w:rsid w:val="33E505BB"/>
    <w:rsid w:val="33EB36F8"/>
    <w:rsid w:val="33F20F2A"/>
    <w:rsid w:val="33F7209D"/>
    <w:rsid w:val="34015F0C"/>
    <w:rsid w:val="34094307"/>
    <w:rsid w:val="341144E5"/>
    <w:rsid w:val="34115E45"/>
    <w:rsid w:val="34120ADA"/>
    <w:rsid w:val="34120C85"/>
    <w:rsid w:val="341449FD"/>
    <w:rsid w:val="341644D4"/>
    <w:rsid w:val="341B3FDD"/>
    <w:rsid w:val="342B1D46"/>
    <w:rsid w:val="34313801"/>
    <w:rsid w:val="343A695E"/>
    <w:rsid w:val="343B2752"/>
    <w:rsid w:val="343C3F54"/>
    <w:rsid w:val="34496D9C"/>
    <w:rsid w:val="345D3D07"/>
    <w:rsid w:val="346516FC"/>
    <w:rsid w:val="34675474"/>
    <w:rsid w:val="34684D49"/>
    <w:rsid w:val="34735BC7"/>
    <w:rsid w:val="34844A33"/>
    <w:rsid w:val="34847DD4"/>
    <w:rsid w:val="348576A9"/>
    <w:rsid w:val="34983880"/>
    <w:rsid w:val="349A6472"/>
    <w:rsid w:val="349E71F6"/>
    <w:rsid w:val="34A35D81"/>
    <w:rsid w:val="34AB35B3"/>
    <w:rsid w:val="34B306BA"/>
    <w:rsid w:val="34B41D3C"/>
    <w:rsid w:val="34BA052A"/>
    <w:rsid w:val="34C208FD"/>
    <w:rsid w:val="34D67F04"/>
    <w:rsid w:val="34D83C7C"/>
    <w:rsid w:val="34EE524E"/>
    <w:rsid w:val="34F14D3E"/>
    <w:rsid w:val="34F315EC"/>
    <w:rsid w:val="34F81833"/>
    <w:rsid w:val="35021552"/>
    <w:rsid w:val="350E3B42"/>
    <w:rsid w:val="351153E0"/>
    <w:rsid w:val="352C5D76"/>
    <w:rsid w:val="353A4937"/>
    <w:rsid w:val="354E2190"/>
    <w:rsid w:val="35513825"/>
    <w:rsid w:val="3553431C"/>
    <w:rsid w:val="355F614C"/>
    <w:rsid w:val="356419B4"/>
    <w:rsid w:val="356A2A1B"/>
    <w:rsid w:val="356E45E1"/>
    <w:rsid w:val="357E0CC8"/>
    <w:rsid w:val="35831E3A"/>
    <w:rsid w:val="35B42AAA"/>
    <w:rsid w:val="35B50461"/>
    <w:rsid w:val="35C10BB4"/>
    <w:rsid w:val="35CC60FD"/>
    <w:rsid w:val="35D94150"/>
    <w:rsid w:val="35E0728C"/>
    <w:rsid w:val="35E14DB3"/>
    <w:rsid w:val="35E31D54"/>
    <w:rsid w:val="35E4665F"/>
    <w:rsid w:val="35F26FC0"/>
    <w:rsid w:val="35F50D12"/>
    <w:rsid w:val="36107446"/>
    <w:rsid w:val="36252EF1"/>
    <w:rsid w:val="362A675A"/>
    <w:rsid w:val="365612FD"/>
    <w:rsid w:val="365732C7"/>
    <w:rsid w:val="367479D5"/>
    <w:rsid w:val="36873BAC"/>
    <w:rsid w:val="36AA1648"/>
    <w:rsid w:val="36B349A1"/>
    <w:rsid w:val="36BB3856"/>
    <w:rsid w:val="36BE50F4"/>
    <w:rsid w:val="36CA3A99"/>
    <w:rsid w:val="36D466C5"/>
    <w:rsid w:val="36E56B24"/>
    <w:rsid w:val="36F80606"/>
    <w:rsid w:val="36FD5C1C"/>
    <w:rsid w:val="371116C7"/>
    <w:rsid w:val="37113475"/>
    <w:rsid w:val="371371EE"/>
    <w:rsid w:val="371F2036"/>
    <w:rsid w:val="37292890"/>
    <w:rsid w:val="372C2550"/>
    <w:rsid w:val="372E2279"/>
    <w:rsid w:val="37362EDC"/>
    <w:rsid w:val="374214F9"/>
    <w:rsid w:val="37421881"/>
    <w:rsid w:val="375810A4"/>
    <w:rsid w:val="37674F0D"/>
    <w:rsid w:val="37692490"/>
    <w:rsid w:val="377203B8"/>
    <w:rsid w:val="37842A9C"/>
    <w:rsid w:val="379320DC"/>
    <w:rsid w:val="37A8202C"/>
    <w:rsid w:val="37CB7412"/>
    <w:rsid w:val="37D05EA8"/>
    <w:rsid w:val="37D83F93"/>
    <w:rsid w:val="37EE37B7"/>
    <w:rsid w:val="380A05F1"/>
    <w:rsid w:val="38172D0E"/>
    <w:rsid w:val="3818133B"/>
    <w:rsid w:val="38392C84"/>
    <w:rsid w:val="38397335"/>
    <w:rsid w:val="38402264"/>
    <w:rsid w:val="384F06F9"/>
    <w:rsid w:val="38543F62"/>
    <w:rsid w:val="385B5C92"/>
    <w:rsid w:val="386358A1"/>
    <w:rsid w:val="3870241E"/>
    <w:rsid w:val="388163D9"/>
    <w:rsid w:val="38912AC0"/>
    <w:rsid w:val="389D76B7"/>
    <w:rsid w:val="38A96297"/>
    <w:rsid w:val="38BB18EB"/>
    <w:rsid w:val="38C033A5"/>
    <w:rsid w:val="38D26C34"/>
    <w:rsid w:val="38E504F3"/>
    <w:rsid w:val="38EA6FAF"/>
    <w:rsid w:val="3905043C"/>
    <w:rsid w:val="390F7E89"/>
    <w:rsid w:val="39162FC5"/>
    <w:rsid w:val="391F518B"/>
    <w:rsid w:val="392801BA"/>
    <w:rsid w:val="39292CF8"/>
    <w:rsid w:val="39295939"/>
    <w:rsid w:val="39413407"/>
    <w:rsid w:val="394144E6"/>
    <w:rsid w:val="39477622"/>
    <w:rsid w:val="39691347"/>
    <w:rsid w:val="396C1489"/>
    <w:rsid w:val="397B3A87"/>
    <w:rsid w:val="397F0B6A"/>
    <w:rsid w:val="398B285D"/>
    <w:rsid w:val="39B06ADE"/>
    <w:rsid w:val="39B74A0D"/>
    <w:rsid w:val="39BF18AF"/>
    <w:rsid w:val="39C11183"/>
    <w:rsid w:val="39C26CA9"/>
    <w:rsid w:val="39F814E3"/>
    <w:rsid w:val="3A100437"/>
    <w:rsid w:val="3A1F40FB"/>
    <w:rsid w:val="3A211C22"/>
    <w:rsid w:val="3A2D4A6A"/>
    <w:rsid w:val="3A306308"/>
    <w:rsid w:val="3A323E2F"/>
    <w:rsid w:val="3A345DF9"/>
    <w:rsid w:val="3A376784"/>
    <w:rsid w:val="3A40479E"/>
    <w:rsid w:val="3A4B3142"/>
    <w:rsid w:val="3A4B4EF0"/>
    <w:rsid w:val="3A5868E2"/>
    <w:rsid w:val="3A6366DE"/>
    <w:rsid w:val="3A654204"/>
    <w:rsid w:val="3A72247D"/>
    <w:rsid w:val="3A952E28"/>
    <w:rsid w:val="3AA61A54"/>
    <w:rsid w:val="3AAA009C"/>
    <w:rsid w:val="3AB23FD7"/>
    <w:rsid w:val="3AB72586"/>
    <w:rsid w:val="3AC051FE"/>
    <w:rsid w:val="3AC141F5"/>
    <w:rsid w:val="3AC21656"/>
    <w:rsid w:val="3AC56A51"/>
    <w:rsid w:val="3AC577F8"/>
    <w:rsid w:val="3ACF5B21"/>
    <w:rsid w:val="3ACF6601"/>
    <w:rsid w:val="3AD3186F"/>
    <w:rsid w:val="3AE0388B"/>
    <w:rsid w:val="3AE056A7"/>
    <w:rsid w:val="3AE071C4"/>
    <w:rsid w:val="3AE70F6C"/>
    <w:rsid w:val="3AEF0F5F"/>
    <w:rsid w:val="3AFE01B5"/>
    <w:rsid w:val="3AFE5DD5"/>
    <w:rsid w:val="3B0C6A64"/>
    <w:rsid w:val="3B0F1B0E"/>
    <w:rsid w:val="3B314C1A"/>
    <w:rsid w:val="3B3616FD"/>
    <w:rsid w:val="3B392F9B"/>
    <w:rsid w:val="3B5A363D"/>
    <w:rsid w:val="3B7346FF"/>
    <w:rsid w:val="3B742225"/>
    <w:rsid w:val="3B765F9D"/>
    <w:rsid w:val="3B8B7C9A"/>
    <w:rsid w:val="3BA42B0A"/>
    <w:rsid w:val="3BA66882"/>
    <w:rsid w:val="3BA7084C"/>
    <w:rsid w:val="3BA725FA"/>
    <w:rsid w:val="3BAB3E99"/>
    <w:rsid w:val="3BAF0FED"/>
    <w:rsid w:val="3BB0325D"/>
    <w:rsid w:val="3BBD597A"/>
    <w:rsid w:val="3BCB16C7"/>
    <w:rsid w:val="3BD553B9"/>
    <w:rsid w:val="3BE13D5E"/>
    <w:rsid w:val="3BEB1CFE"/>
    <w:rsid w:val="3C0267B9"/>
    <w:rsid w:val="3C19358A"/>
    <w:rsid w:val="3C204EA1"/>
    <w:rsid w:val="3C2974B3"/>
    <w:rsid w:val="3C2B322B"/>
    <w:rsid w:val="3C3F1E1E"/>
    <w:rsid w:val="3C4936B2"/>
    <w:rsid w:val="3C591B47"/>
    <w:rsid w:val="3C5C4027"/>
    <w:rsid w:val="3C5E54CA"/>
    <w:rsid w:val="3C6329C5"/>
    <w:rsid w:val="3C683B38"/>
    <w:rsid w:val="3C795D45"/>
    <w:rsid w:val="3C7E6E67"/>
    <w:rsid w:val="3C8148A4"/>
    <w:rsid w:val="3C845063"/>
    <w:rsid w:val="3C9012E0"/>
    <w:rsid w:val="3C9C7C85"/>
    <w:rsid w:val="3C9F1CFE"/>
    <w:rsid w:val="3CA1529C"/>
    <w:rsid w:val="3CC83746"/>
    <w:rsid w:val="3CD25455"/>
    <w:rsid w:val="3CD92C87"/>
    <w:rsid w:val="3CED228F"/>
    <w:rsid w:val="3CFD6976"/>
    <w:rsid w:val="3D0719EB"/>
    <w:rsid w:val="3D136774"/>
    <w:rsid w:val="3D143CBF"/>
    <w:rsid w:val="3D1F6EAC"/>
    <w:rsid w:val="3D3D4FC4"/>
    <w:rsid w:val="3D477BF1"/>
    <w:rsid w:val="3D510A70"/>
    <w:rsid w:val="3D567E34"/>
    <w:rsid w:val="3D622C7D"/>
    <w:rsid w:val="3D7604D6"/>
    <w:rsid w:val="3D766728"/>
    <w:rsid w:val="3D7F382F"/>
    <w:rsid w:val="3D891FB8"/>
    <w:rsid w:val="3D9D3CB5"/>
    <w:rsid w:val="3DAC3EF8"/>
    <w:rsid w:val="3DBF00CF"/>
    <w:rsid w:val="3DCE09C7"/>
    <w:rsid w:val="3DD43653"/>
    <w:rsid w:val="3DDF581E"/>
    <w:rsid w:val="3DF00289"/>
    <w:rsid w:val="3DF24001"/>
    <w:rsid w:val="3DF5764D"/>
    <w:rsid w:val="3DFA1107"/>
    <w:rsid w:val="3DFD29A6"/>
    <w:rsid w:val="3E012496"/>
    <w:rsid w:val="3E0930F8"/>
    <w:rsid w:val="3E122F51"/>
    <w:rsid w:val="3E15450A"/>
    <w:rsid w:val="3E1A6A53"/>
    <w:rsid w:val="3E265A58"/>
    <w:rsid w:val="3E3143FD"/>
    <w:rsid w:val="3E444130"/>
    <w:rsid w:val="3E484052"/>
    <w:rsid w:val="3E500D27"/>
    <w:rsid w:val="3E522CF1"/>
    <w:rsid w:val="3E5F5DEC"/>
    <w:rsid w:val="3E600021"/>
    <w:rsid w:val="3E611186"/>
    <w:rsid w:val="3E632679"/>
    <w:rsid w:val="3E733E0D"/>
    <w:rsid w:val="3E8B64A7"/>
    <w:rsid w:val="3EA177D5"/>
    <w:rsid w:val="3EB56857"/>
    <w:rsid w:val="3EE80F60"/>
    <w:rsid w:val="3EE86339"/>
    <w:rsid w:val="3EF20030"/>
    <w:rsid w:val="3F052589"/>
    <w:rsid w:val="3F0C4A9F"/>
    <w:rsid w:val="3F1334EB"/>
    <w:rsid w:val="3F23471B"/>
    <w:rsid w:val="3F2548AA"/>
    <w:rsid w:val="3F2A77CA"/>
    <w:rsid w:val="3F2C3542"/>
    <w:rsid w:val="3F397A0D"/>
    <w:rsid w:val="3F4A1C1A"/>
    <w:rsid w:val="3F536D21"/>
    <w:rsid w:val="3F593C0C"/>
    <w:rsid w:val="3F5E1222"/>
    <w:rsid w:val="3F5F7F07"/>
    <w:rsid w:val="3F6532BD"/>
    <w:rsid w:val="3F7D5B4C"/>
    <w:rsid w:val="3F8F3AD1"/>
    <w:rsid w:val="3F94388D"/>
    <w:rsid w:val="3F9904AC"/>
    <w:rsid w:val="3FA56E51"/>
    <w:rsid w:val="3FA7706D"/>
    <w:rsid w:val="3FBD5892"/>
    <w:rsid w:val="3FC26FB4"/>
    <w:rsid w:val="3FC96FE3"/>
    <w:rsid w:val="3FCE45FA"/>
    <w:rsid w:val="3FE61DE6"/>
    <w:rsid w:val="3FF83E54"/>
    <w:rsid w:val="3FFD0A3B"/>
    <w:rsid w:val="4001677D"/>
    <w:rsid w:val="4004626D"/>
    <w:rsid w:val="4006623B"/>
    <w:rsid w:val="4013200C"/>
    <w:rsid w:val="401C5365"/>
    <w:rsid w:val="401D2E8B"/>
    <w:rsid w:val="40213C9B"/>
    <w:rsid w:val="4044721B"/>
    <w:rsid w:val="404B5C4A"/>
    <w:rsid w:val="404E573A"/>
    <w:rsid w:val="405745EF"/>
    <w:rsid w:val="405A7C3B"/>
    <w:rsid w:val="406A3401"/>
    <w:rsid w:val="40774C91"/>
    <w:rsid w:val="40860A30"/>
    <w:rsid w:val="408829FA"/>
    <w:rsid w:val="40A9471F"/>
    <w:rsid w:val="40B03CFF"/>
    <w:rsid w:val="40C652D1"/>
    <w:rsid w:val="40D566D8"/>
    <w:rsid w:val="40DE086C"/>
    <w:rsid w:val="40E1035D"/>
    <w:rsid w:val="40E364C1"/>
    <w:rsid w:val="40F40CF4"/>
    <w:rsid w:val="40F736DC"/>
    <w:rsid w:val="41055DF9"/>
    <w:rsid w:val="41075D6C"/>
    <w:rsid w:val="411029F0"/>
    <w:rsid w:val="41183DAA"/>
    <w:rsid w:val="411C1395"/>
    <w:rsid w:val="41265D6F"/>
    <w:rsid w:val="412F71F2"/>
    <w:rsid w:val="41432DC5"/>
    <w:rsid w:val="415105F6"/>
    <w:rsid w:val="41546D80"/>
    <w:rsid w:val="41614BE2"/>
    <w:rsid w:val="4165522A"/>
    <w:rsid w:val="416D1BF0"/>
    <w:rsid w:val="4173037A"/>
    <w:rsid w:val="417303C7"/>
    <w:rsid w:val="417E3DFD"/>
    <w:rsid w:val="418408ED"/>
    <w:rsid w:val="418B34DB"/>
    <w:rsid w:val="418D4040"/>
    <w:rsid w:val="41931657"/>
    <w:rsid w:val="419378A9"/>
    <w:rsid w:val="41962EF5"/>
    <w:rsid w:val="41990C37"/>
    <w:rsid w:val="419B49AF"/>
    <w:rsid w:val="419D0727"/>
    <w:rsid w:val="41B11ADD"/>
    <w:rsid w:val="41D91034"/>
    <w:rsid w:val="41E43F53"/>
    <w:rsid w:val="41F63994"/>
    <w:rsid w:val="42072045"/>
    <w:rsid w:val="42114C71"/>
    <w:rsid w:val="421F4DB2"/>
    <w:rsid w:val="4229072A"/>
    <w:rsid w:val="423D10E9"/>
    <w:rsid w:val="423F3319"/>
    <w:rsid w:val="425354D8"/>
    <w:rsid w:val="42586730"/>
    <w:rsid w:val="42660B19"/>
    <w:rsid w:val="426C3C56"/>
    <w:rsid w:val="42770F78"/>
    <w:rsid w:val="427A2817"/>
    <w:rsid w:val="427B20EB"/>
    <w:rsid w:val="429531AD"/>
    <w:rsid w:val="42965C0D"/>
    <w:rsid w:val="429D6505"/>
    <w:rsid w:val="42B550E2"/>
    <w:rsid w:val="42BE6BA7"/>
    <w:rsid w:val="42CD4F6C"/>
    <w:rsid w:val="42D53EF1"/>
    <w:rsid w:val="42D71A17"/>
    <w:rsid w:val="42D82BF1"/>
    <w:rsid w:val="42DB7339"/>
    <w:rsid w:val="42E61C5A"/>
    <w:rsid w:val="42EB32CE"/>
    <w:rsid w:val="42FE6FA4"/>
    <w:rsid w:val="43000F6E"/>
    <w:rsid w:val="43003FAD"/>
    <w:rsid w:val="430A74A2"/>
    <w:rsid w:val="430E5437"/>
    <w:rsid w:val="431047BA"/>
    <w:rsid w:val="432602A9"/>
    <w:rsid w:val="434123BC"/>
    <w:rsid w:val="43454BD3"/>
    <w:rsid w:val="435117C9"/>
    <w:rsid w:val="435D6C41"/>
    <w:rsid w:val="435E1836"/>
    <w:rsid w:val="436112E1"/>
    <w:rsid w:val="436239D7"/>
    <w:rsid w:val="436250ED"/>
    <w:rsid w:val="4364501E"/>
    <w:rsid w:val="4366607B"/>
    <w:rsid w:val="438C22CB"/>
    <w:rsid w:val="439E7344"/>
    <w:rsid w:val="43A04219"/>
    <w:rsid w:val="43AA0EDA"/>
    <w:rsid w:val="43C31F9B"/>
    <w:rsid w:val="43C33D49"/>
    <w:rsid w:val="43C53F65"/>
    <w:rsid w:val="43D85A47"/>
    <w:rsid w:val="43D9531B"/>
    <w:rsid w:val="43F33DE5"/>
    <w:rsid w:val="44004F9E"/>
    <w:rsid w:val="44110F59"/>
    <w:rsid w:val="441260A8"/>
    <w:rsid w:val="44143D07"/>
    <w:rsid w:val="44213273"/>
    <w:rsid w:val="44232EBC"/>
    <w:rsid w:val="44305883"/>
    <w:rsid w:val="443773EC"/>
    <w:rsid w:val="44444E8A"/>
    <w:rsid w:val="444B446B"/>
    <w:rsid w:val="444F0AF8"/>
    <w:rsid w:val="44564BBE"/>
    <w:rsid w:val="445A46AE"/>
    <w:rsid w:val="44654E01"/>
    <w:rsid w:val="447001CE"/>
    <w:rsid w:val="44723EF7"/>
    <w:rsid w:val="4473751E"/>
    <w:rsid w:val="447F4114"/>
    <w:rsid w:val="448D1B40"/>
    <w:rsid w:val="44946000"/>
    <w:rsid w:val="44AA0DDA"/>
    <w:rsid w:val="44C45FCB"/>
    <w:rsid w:val="44CD30D2"/>
    <w:rsid w:val="44DA6E18"/>
    <w:rsid w:val="44DE708D"/>
    <w:rsid w:val="44DF2E05"/>
    <w:rsid w:val="44EE4601"/>
    <w:rsid w:val="44F078A8"/>
    <w:rsid w:val="44F543D6"/>
    <w:rsid w:val="44F71EFD"/>
    <w:rsid w:val="44F85C75"/>
    <w:rsid w:val="44FE14DD"/>
    <w:rsid w:val="450A60D4"/>
    <w:rsid w:val="450D1720"/>
    <w:rsid w:val="450E5498"/>
    <w:rsid w:val="45350C77"/>
    <w:rsid w:val="453A5F93"/>
    <w:rsid w:val="453C10D9"/>
    <w:rsid w:val="455E01CE"/>
    <w:rsid w:val="457D77D9"/>
    <w:rsid w:val="458614D2"/>
    <w:rsid w:val="458C099B"/>
    <w:rsid w:val="458D460F"/>
    <w:rsid w:val="45941E41"/>
    <w:rsid w:val="45943BEF"/>
    <w:rsid w:val="459E05CA"/>
    <w:rsid w:val="45A007E6"/>
    <w:rsid w:val="45A9041B"/>
    <w:rsid w:val="45AC3973"/>
    <w:rsid w:val="45B1015F"/>
    <w:rsid w:val="45B1409B"/>
    <w:rsid w:val="45B77FA3"/>
    <w:rsid w:val="45B852A4"/>
    <w:rsid w:val="45BE2A1A"/>
    <w:rsid w:val="45CE5353"/>
    <w:rsid w:val="45D3296A"/>
    <w:rsid w:val="45E22BAD"/>
    <w:rsid w:val="460A2711"/>
    <w:rsid w:val="460F14C8"/>
    <w:rsid w:val="460F3276"/>
    <w:rsid w:val="46130DD2"/>
    <w:rsid w:val="46252A2C"/>
    <w:rsid w:val="462B5253"/>
    <w:rsid w:val="46317690"/>
    <w:rsid w:val="46364E41"/>
    <w:rsid w:val="46366A55"/>
    <w:rsid w:val="463F38A6"/>
    <w:rsid w:val="464C44CA"/>
    <w:rsid w:val="46560D9B"/>
    <w:rsid w:val="46592743"/>
    <w:rsid w:val="465F5FAB"/>
    <w:rsid w:val="466435C2"/>
    <w:rsid w:val="466922BA"/>
    <w:rsid w:val="466C452E"/>
    <w:rsid w:val="4678364C"/>
    <w:rsid w:val="46805690"/>
    <w:rsid w:val="468574AC"/>
    <w:rsid w:val="46AB7443"/>
    <w:rsid w:val="46B04463"/>
    <w:rsid w:val="46B67B95"/>
    <w:rsid w:val="46BE39E8"/>
    <w:rsid w:val="46C04255"/>
    <w:rsid w:val="46C16C66"/>
    <w:rsid w:val="46C2478C"/>
    <w:rsid w:val="46C73B51"/>
    <w:rsid w:val="46C95B1B"/>
    <w:rsid w:val="46CB53EF"/>
    <w:rsid w:val="46D52711"/>
    <w:rsid w:val="46D5626E"/>
    <w:rsid w:val="471F1BDF"/>
    <w:rsid w:val="4729480B"/>
    <w:rsid w:val="47312FE8"/>
    <w:rsid w:val="47391ED3"/>
    <w:rsid w:val="475839BC"/>
    <w:rsid w:val="47590C4D"/>
    <w:rsid w:val="47680534"/>
    <w:rsid w:val="476D64A6"/>
    <w:rsid w:val="47743CD8"/>
    <w:rsid w:val="47833F1C"/>
    <w:rsid w:val="479B02F4"/>
    <w:rsid w:val="47A3011A"/>
    <w:rsid w:val="47BC567F"/>
    <w:rsid w:val="47CA56A6"/>
    <w:rsid w:val="47D76015"/>
    <w:rsid w:val="47D77DC3"/>
    <w:rsid w:val="47F101D0"/>
    <w:rsid w:val="47F144D1"/>
    <w:rsid w:val="47F15329"/>
    <w:rsid w:val="480706A9"/>
    <w:rsid w:val="480C5CBF"/>
    <w:rsid w:val="480E54FB"/>
    <w:rsid w:val="48137E62"/>
    <w:rsid w:val="48213BE5"/>
    <w:rsid w:val="482F7BFF"/>
    <w:rsid w:val="48343468"/>
    <w:rsid w:val="483A3B0D"/>
    <w:rsid w:val="48465345"/>
    <w:rsid w:val="486A0C38"/>
    <w:rsid w:val="48815BF2"/>
    <w:rsid w:val="48861F15"/>
    <w:rsid w:val="488B76D0"/>
    <w:rsid w:val="4894216A"/>
    <w:rsid w:val="489A776F"/>
    <w:rsid w:val="48AC74A2"/>
    <w:rsid w:val="48B325DE"/>
    <w:rsid w:val="48B63E7D"/>
    <w:rsid w:val="48BF5427"/>
    <w:rsid w:val="48CC18F2"/>
    <w:rsid w:val="48CE566A"/>
    <w:rsid w:val="48D645E6"/>
    <w:rsid w:val="48DF33D4"/>
    <w:rsid w:val="4900334A"/>
    <w:rsid w:val="491E2FB8"/>
    <w:rsid w:val="491F48ED"/>
    <w:rsid w:val="49227764"/>
    <w:rsid w:val="492C413F"/>
    <w:rsid w:val="49373210"/>
    <w:rsid w:val="49675177"/>
    <w:rsid w:val="497D1516"/>
    <w:rsid w:val="49935F6C"/>
    <w:rsid w:val="49AF724A"/>
    <w:rsid w:val="49BE56DF"/>
    <w:rsid w:val="49C16F7D"/>
    <w:rsid w:val="49CA1B5B"/>
    <w:rsid w:val="49CC38CD"/>
    <w:rsid w:val="49D46CB0"/>
    <w:rsid w:val="49E1317B"/>
    <w:rsid w:val="49ED1B20"/>
    <w:rsid w:val="49ED38CE"/>
    <w:rsid w:val="49F17862"/>
    <w:rsid w:val="4A1672C9"/>
    <w:rsid w:val="4A1D0657"/>
    <w:rsid w:val="4A25750C"/>
    <w:rsid w:val="4A2F18BE"/>
    <w:rsid w:val="4A320980"/>
    <w:rsid w:val="4A3459A1"/>
    <w:rsid w:val="4A3E412A"/>
    <w:rsid w:val="4A407EA2"/>
    <w:rsid w:val="4A4200BE"/>
    <w:rsid w:val="4A563B69"/>
    <w:rsid w:val="4A6A7635"/>
    <w:rsid w:val="4A791606"/>
    <w:rsid w:val="4A82495E"/>
    <w:rsid w:val="4A981A8C"/>
    <w:rsid w:val="4AB34B18"/>
    <w:rsid w:val="4ABA5EA6"/>
    <w:rsid w:val="4ACF76FA"/>
    <w:rsid w:val="4ADB7BCB"/>
    <w:rsid w:val="4ADD7DE7"/>
    <w:rsid w:val="4ADE2C3B"/>
    <w:rsid w:val="4ADE466E"/>
    <w:rsid w:val="4AE253FD"/>
    <w:rsid w:val="4AE25454"/>
    <w:rsid w:val="4AE42F23"/>
    <w:rsid w:val="4AFB026D"/>
    <w:rsid w:val="4B005883"/>
    <w:rsid w:val="4B052E99"/>
    <w:rsid w:val="4B0940A8"/>
    <w:rsid w:val="4B11183E"/>
    <w:rsid w:val="4B1278E9"/>
    <w:rsid w:val="4B1732F9"/>
    <w:rsid w:val="4B3043BA"/>
    <w:rsid w:val="4B306168"/>
    <w:rsid w:val="4B315BD2"/>
    <w:rsid w:val="4B3774F7"/>
    <w:rsid w:val="4B427C4A"/>
    <w:rsid w:val="4B5C6F5D"/>
    <w:rsid w:val="4B5F1EE4"/>
    <w:rsid w:val="4B6127C6"/>
    <w:rsid w:val="4B780FCB"/>
    <w:rsid w:val="4B7A5635"/>
    <w:rsid w:val="4B7F0E9E"/>
    <w:rsid w:val="4B9A1834"/>
    <w:rsid w:val="4BA17066"/>
    <w:rsid w:val="4BA206E8"/>
    <w:rsid w:val="4BC170AA"/>
    <w:rsid w:val="4BC863A1"/>
    <w:rsid w:val="4BD905AE"/>
    <w:rsid w:val="4BED4059"/>
    <w:rsid w:val="4BF05264"/>
    <w:rsid w:val="4BF278C2"/>
    <w:rsid w:val="4BF54CBC"/>
    <w:rsid w:val="4C03387D"/>
    <w:rsid w:val="4C0575F5"/>
    <w:rsid w:val="4C0754FE"/>
    <w:rsid w:val="4C196BFC"/>
    <w:rsid w:val="4C312198"/>
    <w:rsid w:val="4C3778F3"/>
    <w:rsid w:val="4C51283A"/>
    <w:rsid w:val="4C5B0FC3"/>
    <w:rsid w:val="4C6065D9"/>
    <w:rsid w:val="4C6B1E5E"/>
    <w:rsid w:val="4C716A38"/>
    <w:rsid w:val="4C865E3F"/>
    <w:rsid w:val="4C8A5D4C"/>
    <w:rsid w:val="4CA7245A"/>
    <w:rsid w:val="4CAF57B3"/>
    <w:rsid w:val="4CB37051"/>
    <w:rsid w:val="4CB66B41"/>
    <w:rsid w:val="4CBD7ED0"/>
    <w:rsid w:val="4CC254E6"/>
    <w:rsid w:val="4CC50B32"/>
    <w:rsid w:val="4CCF550D"/>
    <w:rsid w:val="4CE92A73"/>
    <w:rsid w:val="4CE96D3B"/>
    <w:rsid w:val="4D0C6761"/>
    <w:rsid w:val="4D1212CE"/>
    <w:rsid w:val="4D135D42"/>
    <w:rsid w:val="4D1A15C2"/>
    <w:rsid w:val="4D265A75"/>
    <w:rsid w:val="4D2717ED"/>
    <w:rsid w:val="4D3F08E5"/>
    <w:rsid w:val="4D430005"/>
    <w:rsid w:val="4D463C5A"/>
    <w:rsid w:val="4D4D3BF7"/>
    <w:rsid w:val="4D5679DC"/>
    <w:rsid w:val="4D5C6F93"/>
    <w:rsid w:val="4D6B792C"/>
    <w:rsid w:val="4D9F646F"/>
    <w:rsid w:val="4DA22E62"/>
    <w:rsid w:val="4DB62479"/>
    <w:rsid w:val="4DC40316"/>
    <w:rsid w:val="4DE17BEE"/>
    <w:rsid w:val="4DEE3611"/>
    <w:rsid w:val="4DF55447"/>
    <w:rsid w:val="4DFE3B8B"/>
    <w:rsid w:val="4E012BDE"/>
    <w:rsid w:val="4E031912"/>
    <w:rsid w:val="4E151645"/>
    <w:rsid w:val="4E1753BE"/>
    <w:rsid w:val="4E21448E"/>
    <w:rsid w:val="4E473EF5"/>
    <w:rsid w:val="4E4C150B"/>
    <w:rsid w:val="4E572F74"/>
    <w:rsid w:val="4E636855"/>
    <w:rsid w:val="4E6B74B7"/>
    <w:rsid w:val="4E6F0D56"/>
    <w:rsid w:val="4E7E368F"/>
    <w:rsid w:val="4E86699F"/>
    <w:rsid w:val="4E915170"/>
    <w:rsid w:val="4E93713A"/>
    <w:rsid w:val="4E937A07"/>
    <w:rsid w:val="4EAD187E"/>
    <w:rsid w:val="4EAF55F6"/>
    <w:rsid w:val="4EB2395E"/>
    <w:rsid w:val="4EB726FD"/>
    <w:rsid w:val="4EBE1CDD"/>
    <w:rsid w:val="4EC015B1"/>
    <w:rsid w:val="4ED17C62"/>
    <w:rsid w:val="4ED908C5"/>
    <w:rsid w:val="4EF23735"/>
    <w:rsid w:val="4F02503B"/>
    <w:rsid w:val="4F18319B"/>
    <w:rsid w:val="4F195165"/>
    <w:rsid w:val="4F1D6195"/>
    <w:rsid w:val="4F440434"/>
    <w:rsid w:val="4F477F24"/>
    <w:rsid w:val="4F4A0644"/>
    <w:rsid w:val="4F781E8C"/>
    <w:rsid w:val="4F8C0ECC"/>
    <w:rsid w:val="4F8E5B53"/>
    <w:rsid w:val="4F912F4E"/>
    <w:rsid w:val="4FAB04B3"/>
    <w:rsid w:val="4FBC0BE9"/>
    <w:rsid w:val="4FBD18F7"/>
    <w:rsid w:val="4FBF5D0D"/>
    <w:rsid w:val="4FC357FD"/>
    <w:rsid w:val="4FC82414"/>
    <w:rsid w:val="4FE319FB"/>
    <w:rsid w:val="4FE6214F"/>
    <w:rsid w:val="4FE66AA9"/>
    <w:rsid w:val="4FEB6B02"/>
    <w:rsid w:val="4FF37764"/>
    <w:rsid w:val="4FF82FCD"/>
    <w:rsid w:val="4FFC2ABD"/>
    <w:rsid w:val="500F306B"/>
    <w:rsid w:val="501F49FD"/>
    <w:rsid w:val="501F5C8A"/>
    <w:rsid w:val="50220157"/>
    <w:rsid w:val="50265D8C"/>
    <w:rsid w:val="50285660"/>
    <w:rsid w:val="502D2C76"/>
    <w:rsid w:val="503C735D"/>
    <w:rsid w:val="503E6C32"/>
    <w:rsid w:val="504F52E3"/>
    <w:rsid w:val="5055041F"/>
    <w:rsid w:val="506B7C43"/>
    <w:rsid w:val="506E3080"/>
    <w:rsid w:val="506F22DF"/>
    <w:rsid w:val="507B60D8"/>
    <w:rsid w:val="5098208D"/>
    <w:rsid w:val="50A078EC"/>
    <w:rsid w:val="50D61560"/>
    <w:rsid w:val="50D77086"/>
    <w:rsid w:val="50EF2622"/>
    <w:rsid w:val="50F814D6"/>
    <w:rsid w:val="50FE4613"/>
    <w:rsid w:val="51037E7B"/>
    <w:rsid w:val="51071719"/>
    <w:rsid w:val="51254295"/>
    <w:rsid w:val="512C350F"/>
    <w:rsid w:val="51387B0A"/>
    <w:rsid w:val="513D338D"/>
    <w:rsid w:val="51407D5F"/>
    <w:rsid w:val="515661FD"/>
    <w:rsid w:val="515F3DDC"/>
    <w:rsid w:val="516052CE"/>
    <w:rsid w:val="51776B62"/>
    <w:rsid w:val="519D3E2C"/>
    <w:rsid w:val="51A056CA"/>
    <w:rsid w:val="51A11B6E"/>
    <w:rsid w:val="51C4585C"/>
    <w:rsid w:val="51C63383"/>
    <w:rsid w:val="51CD1DAC"/>
    <w:rsid w:val="51E113E5"/>
    <w:rsid w:val="51EA2FF1"/>
    <w:rsid w:val="51F15F26"/>
    <w:rsid w:val="5208399B"/>
    <w:rsid w:val="521C2FA3"/>
    <w:rsid w:val="52224331"/>
    <w:rsid w:val="522257E7"/>
    <w:rsid w:val="522E2CD6"/>
    <w:rsid w:val="52416EAD"/>
    <w:rsid w:val="525A3647"/>
    <w:rsid w:val="525E35BB"/>
    <w:rsid w:val="527D54CF"/>
    <w:rsid w:val="5281355C"/>
    <w:rsid w:val="5281374D"/>
    <w:rsid w:val="52862B12"/>
    <w:rsid w:val="529C40E3"/>
    <w:rsid w:val="529D5DC6"/>
    <w:rsid w:val="52A1058A"/>
    <w:rsid w:val="52A82A88"/>
    <w:rsid w:val="52A90E2E"/>
    <w:rsid w:val="52BC4786"/>
    <w:rsid w:val="52CD0741"/>
    <w:rsid w:val="52E141EC"/>
    <w:rsid w:val="52E2243E"/>
    <w:rsid w:val="52E612D0"/>
    <w:rsid w:val="52EE753A"/>
    <w:rsid w:val="530C3BA1"/>
    <w:rsid w:val="532145E9"/>
    <w:rsid w:val="53281E1B"/>
    <w:rsid w:val="532D11DF"/>
    <w:rsid w:val="53312A7E"/>
    <w:rsid w:val="5338205E"/>
    <w:rsid w:val="53394028"/>
    <w:rsid w:val="533D7674"/>
    <w:rsid w:val="53567949"/>
    <w:rsid w:val="53591BBF"/>
    <w:rsid w:val="53733096"/>
    <w:rsid w:val="53740BBC"/>
    <w:rsid w:val="53766749"/>
    <w:rsid w:val="539179C0"/>
    <w:rsid w:val="53A92D2D"/>
    <w:rsid w:val="53AB0485"/>
    <w:rsid w:val="53AC65A8"/>
    <w:rsid w:val="53AE2320"/>
    <w:rsid w:val="53B611D5"/>
    <w:rsid w:val="53B76925"/>
    <w:rsid w:val="53C25DCC"/>
    <w:rsid w:val="53CB204F"/>
    <w:rsid w:val="53EE096F"/>
    <w:rsid w:val="53F22CA0"/>
    <w:rsid w:val="541303D5"/>
    <w:rsid w:val="54330A77"/>
    <w:rsid w:val="5438608E"/>
    <w:rsid w:val="544E765F"/>
    <w:rsid w:val="545804DE"/>
    <w:rsid w:val="546724CF"/>
    <w:rsid w:val="547215A0"/>
    <w:rsid w:val="548E5CAE"/>
    <w:rsid w:val="54A51975"/>
    <w:rsid w:val="54A9169D"/>
    <w:rsid w:val="54AD2BE3"/>
    <w:rsid w:val="54AD4386"/>
    <w:rsid w:val="54B14868"/>
    <w:rsid w:val="54BB2F47"/>
    <w:rsid w:val="54C142D5"/>
    <w:rsid w:val="54D15DC5"/>
    <w:rsid w:val="54D538DD"/>
    <w:rsid w:val="54D67D81"/>
    <w:rsid w:val="54DA7145"/>
    <w:rsid w:val="54EB1352"/>
    <w:rsid w:val="54EC24E5"/>
    <w:rsid w:val="55081F04"/>
    <w:rsid w:val="550B7774"/>
    <w:rsid w:val="551255ED"/>
    <w:rsid w:val="5527238A"/>
    <w:rsid w:val="552B51BC"/>
    <w:rsid w:val="553C395C"/>
    <w:rsid w:val="553D7E00"/>
    <w:rsid w:val="55467A74"/>
    <w:rsid w:val="556E620B"/>
    <w:rsid w:val="5570781F"/>
    <w:rsid w:val="5575017C"/>
    <w:rsid w:val="5579070C"/>
    <w:rsid w:val="55833339"/>
    <w:rsid w:val="559B68D4"/>
    <w:rsid w:val="55B160F8"/>
    <w:rsid w:val="55B347DF"/>
    <w:rsid w:val="55BB2AD2"/>
    <w:rsid w:val="55C51BA3"/>
    <w:rsid w:val="55CB540B"/>
    <w:rsid w:val="55EE6990"/>
    <w:rsid w:val="55EF09CE"/>
    <w:rsid w:val="55F12998"/>
    <w:rsid w:val="561075C7"/>
    <w:rsid w:val="561A66D7"/>
    <w:rsid w:val="562468CA"/>
    <w:rsid w:val="563034C0"/>
    <w:rsid w:val="5632548A"/>
    <w:rsid w:val="56332FB1"/>
    <w:rsid w:val="563665FD"/>
    <w:rsid w:val="56372AA1"/>
    <w:rsid w:val="563F54B2"/>
    <w:rsid w:val="56424FA2"/>
    <w:rsid w:val="564C14C1"/>
    <w:rsid w:val="56521518"/>
    <w:rsid w:val="565920B7"/>
    <w:rsid w:val="566B62A7"/>
    <w:rsid w:val="56740EA5"/>
    <w:rsid w:val="56777341"/>
    <w:rsid w:val="56811F6E"/>
    <w:rsid w:val="56A96283"/>
    <w:rsid w:val="56AB52C9"/>
    <w:rsid w:val="56B33555"/>
    <w:rsid w:val="56BE5928"/>
    <w:rsid w:val="56BF22B0"/>
    <w:rsid w:val="56C8194B"/>
    <w:rsid w:val="56C81A05"/>
    <w:rsid w:val="56D949DE"/>
    <w:rsid w:val="56E16269"/>
    <w:rsid w:val="56E9366F"/>
    <w:rsid w:val="56F0424B"/>
    <w:rsid w:val="570B7A8A"/>
    <w:rsid w:val="572A43B4"/>
    <w:rsid w:val="573B211D"/>
    <w:rsid w:val="57437223"/>
    <w:rsid w:val="575431DF"/>
    <w:rsid w:val="57552062"/>
    <w:rsid w:val="575651A9"/>
    <w:rsid w:val="575656AD"/>
    <w:rsid w:val="576553EC"/>
    <w:rsid w:val="576C0528"/>
    <w:rsid w:val="576C0842"/>
    <w:rsid w:val="576E11F3"/>
    <w:rsid w:val="57701169"/>
    <w:rsid w:val="577949F3"/>
    <w:rsid w:val="577B4C0F"/>
    <w:rsid w:val="578A7669"/>
    <w:rsid w:val="578C4726"/>
    <w:rsid w:val="57961A49"/>
    <w:rsid w:val="579E445A"/>
    <w:rsid w:val="57AA1051"/>
    <w:rsid w:val="57BE68AA"/>
    <w:rsid w:val="57BF2D4E"/>
    <w:rsid w:val="57C739B1"/>
    <w:rsid w:val="57CA6432"/>
    <w:rsid w:val="57CA69DC"/>
    <w:rsid w:val="57CE0445"/>
    <w:rsid w:val="57F1729F"/>
    <w:rsid w:val="57F549C2"/>
    <w:rsid w:val="57FA3D86"/>
    <w:rsid w:val="57FB365A"/>
    <w:rsid w:val="5806097D"/>
    <w:rsid w:val="580B6F57"/>
    <w:rsid w:val="580E6CD5"/>
    <w:rsid w:val="5814738E"/>
    <w:rsid w:val="582B2FC0"/>
    <w:rsid w:val="58366D88"/>
    <w:rsid w:val="583A0626"/>
    <w:rsid w:val="583D1EC5"/>
    <w:rsid w:val="584E40D2"/>
    <w:rsid w:val="585B059D"/>
    <w:rsid w:val="585F2631"/>
    <w:rsid w:val="586E6522"/>
    <w:rsid w:val="58702420"/>
    <w:rsid w:val="587C40A9"/>
    <w:rsid w:val="587F072F"/>
    <w:rsid w:val="58AE4C61"/>
    <w:rsid w:val="58B55EFF"/>
    <w:rsid w:val="58BC54DF"/>
    <w:rsid w:val="58C85C32"/>
    <w:rsid w:val="58D77C23"/>
    <w:rsid w:val="58D83900"/>
    <w:rsid w:val="58FF67F0"/>
    <w:rsid w:val="59091DA7"/>
    <w:rsid w:val="5919648E"/>
    <w:rsid w:val="593432C8"/>
    <w:rsid w:val="594B5509"/>
    <w:rsid w:val="594C55F4"/>
    <w:rsid w:val="595B4CF8"/>
    <w:rsid w:val="595E0345"/>
    <w:rsid w:val="59622AE1"/>
    <w:rsid w:val="596B480F"/>
    <w:rsid w:val="59747B68"/>
    <w:rsid w:val="599B3347"/>
    <w:rsid w:val="59AC5554"/>
    <w:rsid w:val="59B368E2"/>
    <w:rsid w:val="59B71030"/>
    <w:rsid w:val="59B95E39"/>
    <w:rsid w:val="59C50A72"/>
    <w:rsid w:val="59C81C62"/>
    <w:rsid w:val="59C95329"/>
    <w:rsid w:val="59D14FBA"/>
    <w:rsid w:val="59D625D1"/>
    <w:rsid w:val="59DB3743"/>
    <w:rsid w:val="59DD74BB"/>
    <w:rsid w:val="59F972BF"/>
    <w:rsid w:val="5A040EEC"/>
    <w:rsid w:val="5A073463"/>
    <w:rsid w:val="5A0E538E"/>
    <w:rsid w:val="5A1F7AD4"/>
    <w:rsid w:val="5A2C21F1"/>
    <w:rsid w:val="5A42505A"/>
    <w:rsid w:val="5A455061"/>
    <w:rsid w:val="5A494B51"/>
    <w:rsid w:val="5A4B6B1B"/>
    <w:rsid w:val="5A5B2C81"/>
    <w:rsid w:val="5A70518C"/>
    <w:rsid w:val="5A715E56"/>
    <w:rsid w:val="5A73162C"/>
    <w:rsid w:val="5A783688"/>
    <w:rsid w:val="5A992607"/>
    <w:rsid w:val="5AB20948"/>
    <w:rsid w:val="5ABA77FD"/>
    <w:rsid w:val="5AC02939"/>
    <w:rsid w:val="5AC16DDD"/>
    <w:rsid w:val="5ADF3707"/>
    <w:rsid w:val="5AF26F96"/>
    <w:rsid w:val="5AF32D0E"/>
    <w:rsid w:val="5AF56A87"/>
    <w:rsid w:val="5AFE6CA3"/>
    <w:rsid w:val="5B0D5B7E"/>
    <w:rsid w:val="5B1F3B03"/>
    <w:rsid w:val="5B242EC8"/>
    <w:rsid w:val="5B3B7C2A"/>
    <w:rsid w:val="5B3C4B26"/>
    <w:rsid w:val="5B4A5024"/>
    <w:rsid w:val="5B4E6197"/>
    <w:rsid w:val="5B4F263B"/>
    <w:rsid w:val="5B5437AD"/>
    <w:rsid w:val="5B5E2E25"/>
    <w:rsid w:val="5B686E2D"/>
    <w:rsid w:val="5B6A1223"/>
    <w:rsid w:val="5B8D4F11"/>
    <w:rsid w:val="5B8F0C89"/>
    <w:rsid w:val="5BAF4E87"/>
    <w:rsid w:val="5BC56459"/>
    <w:rsid w:val="5BC63296"/>
    <w:rsid w:val="5BCB77E7"/>
    <w:rsid w:val="5BD23E86"/>
    <w:rsid w:val="5BDB5C7C"/>
    <w:rsid w:val="5C036F81"/>
    <w:rsid w:val="5C0F3B78"/>
    <w:rsid w:val="5C205D85"/>
    <w:rsid w:val="5C236268"/>
    <w:rsid w:val="5C273E95"/>
    <w:rsid w:val="5C2769EA"/>
    <w:rsid w:val="5C4279C3"/>
    <w:rsid w:val="5C515A35"/>
    <w:rsid w:val="5C546920"/>
    <w:rsid w:val="5C643EC4"/>
    <w:rsid w:val="5C646A0B"/>
    <w:rsid w:val="5C716FAA"/>
    <w:rsid w:val="5C86208C"/>
    <w:rsid w:val="5C89392A"/>
    <w:rsid w:val="5C9127DF"/>
    <w:rsid w:val="5CAA0F94"/>
    <w:rsid w:val="5CAE3391"/>
    <w:rsid w:val="5CF23B04"/>
    <w:rsid w:val="5CF54410"/>
    <w:rsid w:val="5CF56286"/>
    <w:rsid w:val="5CF709BF"/>
    <w:rsid w:val="5CFC40FC"/>
    <w:rsid w:val="5CFD5258"/>
    <w:rsid w:val="5CFF1E3E"/>
    <w:rsid w:val="5D031354"/>
    <w:rsid w:val="5D047455"/>
    <w:rsid w:val="5D0F47E5"/>
    <w:rsid w:val="5D2D2508"/>
    <w:rsid w:val="5D3970FE"/>
    <w:rsid w:val="5D4872A3"/>
    <w:rsid w:val="5D573A29"/>
    <w:rsid w:val="5D622736"/>
    <w:rsid w:val="5D6972B8"/>
    <w:rsid w:val="5D775E79"/>
    <w:rsid w:val="5D7C6FEB"/>
    <w:rsid w:val="5D7F6ADB"/>
    <w:rsid w:val="5D891708"/>
    <w:rsid w:val="5D916F3A"/>
    <w:rsid w:val="5D9E6F62"/>
    <w:rsid w:val="5DA36C6E"/>
    <w:rsid w:val="5DAB78D0"/>
    <w:rsid w:val="5DAD189A"/>
    <w:rsid w:val="5DB76275"/>
    <w:rsid w:val="5DC32E6C"/>
    <w:rsid w:val="5DC5057E"/>
    <w:rsid w:val="5DD706C5"/>
    <w:rsid w:val="5DDE1A54"/>
    <w:rsid w:val="5DEF1EB3"/>
    <w:rsid w:val="5DF125B0"/>
    <w:rsid w:val="5DF64FF0"/>
    <w:rsid w:val="5DF72B16"/>
    <w:rsid w:val="5E034AB5"/>
    <w:rsid w:val="5E056E54"/>
    <w:rsid w:val="5E0D5A04"/>
    <w:rsid w:val="5E0F07F7"/>
    <w:rsid w:val="5E1436C8"/>
    <w:rsid w:val="5E181C12"/>
    <w:rsid w:val="5E211941"/>
    <w:rsid w:val="5E2C6C63"/>
    <w:rsid w:val="5E3A69C8"/>
    <w:rsid w:val="5E420235"/>
    <w:rsid w:val="5E4775F9"/>
    <w:rsid w:val="5E543AC4"/>
    <w:rsid w:val="5E56783C"/>
    <w:rsid w:val="5E604B5F"/>
    <w:rsid w:val="5E6B1E9B"/>
    <w:rsid w:val="5E6C3504"/>
    <w:rsid w:val="5E736640"/>
    <w:rsid w:val="5E783C56"/>
    <w:rsid w:val="5E850121"/>
    <w:rsid w:val="5EB427B5"/>
    <w:rsid w:val="5EBE461E"/>
    <w:rsid w:val="5EDE5AC9"/>
    <w:rsid w:val="5EE25574"/>
    <w:rsid w:val="5EE65064"/>
    <w:rsid w:val="5EEB4428"/>
    <w:rsid w:val="5EF534F9"/>
    <w:rsid w:val="5EFF7ED4"/>
    <w:rsid w:val="5F125E59"/>
    <w:rsid w:val="5F13572D"/>
    <w:rsid w:val="5F2636B2"/>
    <w:rsid w:val="5F304487"/>
    <w:rsid w:val="5F394133"/>
    <w:rsid w:val="5F3F061A"/>
    <w:rsid w:val="5F546472"/>
    <w:rsid w:val="5F610B8F"/>
    <w:rsid w:val="5F6146EB"/>
    <w:rsid w:val="5F702C60"/>
    <w:rsid w:val="5F705A8F"/>
    <w:rsid w:val="5F7408C2"/>
    <w:rsid w:val="5F7E34EF"/>
    <w:rsid w:val="5F8613F6"/>
    <w:rsid w:val="5F8E3006"/>
    <w:rsid w:val="5F906D7E"/>
    <w:rsid w:val="5FA12D39"/>
    <w:rsid w:val="5FAA71CA"/>
    <w:rsid w:val="5FAC70AD"/>
    <w:rsid w:val="5FAD16DE"/>
    <w:rsid w:val="5FB24510"/>
    <w:rsid w:val="5FB46F10"/>
    <w:rsid w:val="5FC1162D"/>
    <w:rsid w:val="5FC8476A"/>
    <w:rsid w:val="5FD41360"/>
    <w:rsid w:val="5FE80968"/>
    <w:rsid w:val="5FEA1BD0"/>
    <w:rsid w:val="60076EC3"/>
    <w:rsid w:val="600D4872"/>
    <w:rsid w:val="601156CE"/>
    <w:rsid w:val="60155E36"/>
    <w:rsid w:val="601E790B"/>
    <w:rsid w:val="60290878"/>
    <w:rsid w:val="602D281F"/>
    <w:rsid w:val="60430294"/>
    <w:rsid w:val="60432042"/>
    <w:rsid w:val="60457EDB"/>
    <w:rsid w:val="604A1623"/>
    <w:rsid w:val="604C0EF7"/>
    <w:rsid w:val="605C4EFD"/>
    <w:rsid w:val="60634492"/>
    <w:rsid w:val="60662B62"/>
    <w:rsid w:val="60766B4D"/>
    <w:rsid w:val="60784E61"/>
    <w:rsid w:val="60793CB6"/>
    <w:rsid w:val="60841471"/>
    <w:rsid w:val="608C1C3B"/>
    <w:rsid w:val="608C5797"/>
    <w:rsid w:val="608F315D"/>
    <w:rsid w:val="60BD3BA3"/>
    <w:rsid w:val="60C05441"/>
    <w:rsid w:val="60E43825"/>
    <w:rsid w:val="60E455D3"/>
    <w:rsid w:val="60E5474F"/>
    <w:rsid w:val="60E91231"/>
    <w:rsid w:val="60FD0443"/>
    <w:rsid w:val="60FE43B8"/>
    <w:rsid w:val="61181C3B"/>
    <w:rsid w:val="61363955"/>
    <w:rsid w:val="61371BA7"/>
    <w:rsid w:val="613A3445"/>
    <w:rsid w:val="613C71BD"/>
    <w:rsid w:val="614442C4"/>
    <w:rsid w:val="615564D1"/>
    <w:rsid w:val="615C785F"/>
    <w:rsid w:val="61644587"/>
    <w:rsid w:val="61657B33"/>
    <w:rsid w:val="6166248C"/>
    <w:rsid w:val="616D381B"/>
    <w:rsid w:val="616D55C9"/>
    <w:rsid w:val="617B25EA"/>
    <w:rsid w:val="618172C6"/>
    <w:rsid w:val="6189617B"/>
    <w:rsid w:val="619568CD"/>
    <w:rsid w:val="619C4100"/>
    <w:rsid w:val="61A365AD"/>
    <w:rsid w:val="61A66D2D"/>
    <w:rsid w:val="61A86601"/>
    <w:rsid w:val="61A92379"/>
    <w:rsid w:val="61AB4343"/>
    <w:rsid w:val="61B74A96"/>
    <w:rsid w:val="61B96A60"/>
    <w:rsid w:val="61BC4013"/>
    <w:rsid w:val="61D94A0C"/>
    <w:rsid w:val="61E6537B"/>
    <w:rsid w:val="61EA1B28"/>
    <w:rsid w:val="61F730E4"/>
    <w:rsid w:val="62013F63"/>
    <w:rsid w:val="62035F2D"/>
    <w:rsid w:val="620677CB"/>
    <w:rsid w:val="620920D3"/>
    <w:rsid w:val="620D0B5A"/>
    <w:rsid w:val="62195750"/>
    <w:rsid w:val="621A5025"/>
    <w:rsid w:val="621B4377"/>
    <w:rsid w:val="622D4D58"/>
    <w:rsid w:val="62361E5F"/>
    <w:rsid w:val="623C143F"/>
    <w:rsid w:val="623C4F9B"/>
    <w:rsid w:val="623F45BB"/>
    <w:rsid w:val="624F2F20"/>
    <w:rsid w:val="624F4CCE"/>
    <w:rsid w:val="62673EB3"/>
    <w:rsid w:val="62683FE2"/>
    <w:rsid w:val="626C3AD2"/>
    <w:rsid w:val="626C5880"/>
    <w:rsid w:val="62764951"/>
    <w:rsid w:val="627961EF"/>
    <w:rsid w:val="6280132C"/>
    <w:rsid w:val="628C1696"/>
    <w:rsid w:val="628D2D44"/>
    <w:rsid w:val="62952DCD"/>
    <w:rsid w:val="62984D49"/>
    <w:rsid w:val="629A7DB0"/>
    <w:rsid w:val="62A0552A"/>
    <w:rsid w:val="62B80AC5"/>
    <w:rsid w:val="62C456BC"/>
    <w:rsid w:val="62CA25A7"/>
    <w:rsid w:val="62E95063"/>
    <w:rsid w:val="62F35FA1"/>
    <w:rsid w:val="63071466"/>
    <w:rsid w:val="630C0E11"/>
    <w:rsid w:val="630E06E5"/>
    <w:rsid w:val="63100A84"/>
    <w:rsid w:val="632C670F"/>
    <w:rsid w:val="632F55B6"/>
    <w:rsid w:val="632F728E"/>
    <w:rsid w:val="63304B00"/>
    <w:rsid w:val="63350368"/>
    <w:rsid w:val="63422A85"/>
    <w:rsid w:val="6356208C"/>
    <w:rsid w:val="635A1B7D"/>
    <w:rsid w:val="63607AA5"/>
    <w:rsid w:val="637D1433"/>
    <w:rsid w:val="637D1D0F"/>
    <w:rsid w:val="637F7835"/>
    <w:rsid w:val="63892462"/>
    <w:rsid w:val="63952BB5"/>
    <w:rsid w:val="63A23524"/>
    <w:rsid w:val="63A728E8"/>
    <w:rsid w:val="63A948B2"/>
    <w:rsid w:val="63AB2E11"/>
    <w:rsid w:val="63AD6150"/>
    <w:rsid w:val="63BC2837"/>
    <w:rsid w:val="63CE5596"/>
    <w:rsid w:val="63D913EB"/>
    <w:rsid w:val="63E53F33"/>
    <w:rsid w:val="63FC0D1A"/>
    <w:rsid w:val="640449D5"/>
    <w:rsid w:val="640D4E41"/>
    <w:rsid w:val="642378F2"/>
    <w:rsid w:val="64350A64"/>
    <w:rsid w:val="644639B4"/>
    <w:rsid w:val="644D3008"/>
    <w:rsid w:val="644D7933"/>
    <w:rsid w:val="645C7B76"/>
    <w:rsid w:val="645E38EF"/>
    <w:rsid w:val="646D768E"/>
    <w:rsid w:val="64803865"/>
    <w:rsid w:val="64815CF8"/>
    <w:rsid w:val="648A6492"/>
    <w:rsid w:val="64A53594"/>
    <w:rsid w:val="64A70DF2"/>
    <w:rsid w:val="64A82DBC"/>
    <w:rsid w:val="64B67287"/>
    <w:rsid w:val="64DB0A9B"/>
    <w:rsid w:val="64DC3505"/>
    <w:rsid w:val="64F41B5D"/>
    <w:rsid w:val="64F8789F"/>
    <w:rsid w:val="650869C2"/>
    <w:rsid w:val="651D5558"/>
    <w:rsid w:val="651E6BDA"/>
    <w:rsid w:val="651F307E"/>
    <w:rsid w:val="652341F0"/>
    <w:rsid w:val="652573CA"/>
    <w:rsid w:val="652E506F"/>
    <w:rsid w:val="652E7C57"/>
    <w:rsid w:val="65474383"/>
    <w:rsid w:val="654E74BF"/>
    <w:rsid w:val="655820EC"/>
    <w:rsid w:val="655A40B6"/>
    <w:rsid w:val="65603B38"/>
    <w:rsid w:val="656B0071"/>
    <w:rsid w:val="656D37B1"/>
    <w:rsid w:val="65764C68"/>
    <w:rsid w:val="658A426F"/>
    <w:rsid w:val="658C6239"/>
    <w:rsid w:val="65956E9C"/>
    <w:rsid w:val="65984BDE"/>
    <w:rsid w:val="659C46CE"/>
    <w:rsid w:val="65A45331"/>
    <w:rsid w:val="65A610A9"/>
    <w:rsid w:val="65B03CD6"/>
    <w:rsid w:val="65B23EF2"/>
    <w:rsid w:val="65C634F9"/>
    <w:rsid w:val="65CD2ADA"/>
    <w:rsid w:val="65DC10D4"/>
    <w:rsid w:val="65DE4CE7"/>
    <w:rsid w:val="65E47E23"/>
    <w:rsid w:val="65F8742B"/>
    <w:rsid w:val="65FF4C5D"/>
    <w:rsid w:val="660B715E"/>
    <w:rsid w:val="66100A7F"/>
    <w:rsid w:val="66157FDD"/>
    <w:rsid w:val="66171FA7"/>
    <w:rsid w:val="661C75BD"/>
    <w:rsid w:val="66293A88"/>
    <w:rsid w:val="664F1741"/>
    <w:rsid w:val="665705F5"/>
    <w:rsid w:val="666B22F3"/>
    <w:rsid w:val="666E3A0F"/>
    <w:rsid w:val="66882D4A"/>
    <w:rsid w:val="66967370"/>
    <w:rsid w:val="66A55805"/>
    <w:rsid w:val="66C8504F"/>
    <w:rsid w:val="66D27F64"/>
    <w:rsid w:val="66E04A8F"/>
    <w:rsid w:val="66EB246C"/>
    <w:rsid w:val="66EC3C72"/>
    <w:rsid w:val="66F9345B"/>
    <w:rsid w:val="67031F57"/>
    <w:rsid w:val="670C5884"/>
    <w:rsid w:val="6716225F"/>
    <w:rsid w:val="6718102F"/>
    <w:rsid w:val="672220CF"/>
    <w:rsid w:val="6727446C"/>
    <w:rsid w:val="672A3F5C"/>
    <w:rsid w:val="672F50CE"/>
    <w:rsid w:val="673F7A07"/>
    <w:rsid w:val="67431154"/>
    <w:rsid w:val="674974BA"/>
    <w:rsid w:val="6751044C"/>
    <w:rsid w:val="675F423E"/>
    <w:rsid w:val="67762CFD"/>
    <w:rsid w:val="677B47B7"/>
    <w:rsid w:val="677E1BB2"/>
    <w:rsid w:val="677F7D92"/>
    <w:rsid w:val="67892A30"/>
    <w:rsid w:val="678C0773"/>
    <w:rsid w:val="67D363A2"/>
    <w:rsid w:val="67E501F3"/>
    <w:rsid w:val="67F0485E"/>
    <w:rsid w:val="67FF7197"/>
    <w:rsid w:val="68023FCA"/>
    <w:rsid w:val="68103152"/>
    <w:rsid w:val="6812579F"/>
    <w:rsid w:val="681744E0"/>
    <w:rsid w:val="682C160E"/>
    <w:rsid w:val="684150B9"/>
    <w:rsid w:val="68476448"/>
    <w:rsid w:val="68506708"/>
    <w:rsid w:val="685C20C0"/>
    <w:rsid w:val="68694610"/>
    <w:rsid w:val="686D5EAE"/>
    <w:rsid w:val="686F7322"/>
    <w:rsid w:val="68733125"/>
    <w:rsid w:val="687F3E33"/>
    <w:rsid w:val="688D3066"/>
    <w:rsid w:val="68A37B22"/>
    <w:rsid w:val="68A65864"/>
    <w:rsid w:val="68AC69FE"/>
    <w:rsid w:val="68BB30BE"/>
    <w:rsid w:val="68C77CB4"/>
    <w:rsid w:val="68D0643D"/>
    <w:rsid w:val="68D221B5"/>
    <w:rsid w:val="68D53C50"/>
    <w:rsid w:val="68E25885"/>
    <w:rsid w:val="68E65C61"/>
    <w:rsid w:val="68F77E6E"/>
    <w:rsid w:val="6905044E"/>
    <w:rsid w:val="690D0478"/>
    <w:rsid w:val="690F2B51"/>
    <w:rsid w:val="691C5AF0"/>
    <w:rsid w:val="692C5C4D"/>
    <w:rsid w:val="692E7D33"/>
    <w:rsid w:val="693966D8"/>
    <w:rsid w:val="69415AFF"/>
    <w:rsid w:val="694766FF"/>
    <w:rsid w:val="694806C9"/>
    <w:rsid w:val="694C74CE"/>
    <w:rsid w:val="694E2184"/>
    <w:rsid w:val="69612D22"/>
    <w:rsid w:val="69670B4F"/>
    <w:rsid w:val="697732D6"/>
    <w:rsid w:val="69A27DD9"/>
    <w:rsid w:val="69AB33AB"/>
    <w:rsid w:val="69EA69C2"/>
    <w:rsid w:val="69FA5E67"/>
    <w:rsid w:val="6A0445F0"/>
    <w:rsid w:val="6A072332"/>
    <w:rsid w:val="6A2F294D"/>
    <w:rsid w:val="6A3C131E"/>
    <w:rsid w:val="6A4D6A17"/>
    <w:rsid w:val="6A6C75A6"/>
    <w:rsid w:val="6A6D57E5"/>
    <w:rsid w:val="6A6D6639"/>
    <w:rsid w:val="6A740745"/>
    <w:rsid w:val="6A8B4D12"/>
    <w:rsid w:val="6AA54025"/>
    <w:rsid w:val="6AA656A7"/>
    <w:rsid w:val="6ABC62BC"/>
    <w:rsid w:val="6ABE50E7"/>
    <w:rsid w:val="6ACB7804"/>
    <w:rsid w:val="6AD0694C"/>
    <w:rsid w:val="6AD246EE"/>
    <w:rsid w:val="6AD6620C"/>
    <w:rsid w:val="6AE61F48"/>
    <w:rsid w:val="6AED777A"/>
    <w:rsid w:val="6AF15F5D"/>
    <w:rsid w:val="6AF91C7B"/>
    <w:rsid w:val="6B0770B2"/>
    <w:rsid w:val="6B0845B4"/>
    <w:rsid w:val="6B0A35C6"/>
    <w:rsid w:val="6B1A5516"/>
    <w:rsid w:val="6B20545A"/>
    <w:rsid w:val="6B232928"/>
    <w:rsid w:val="6B340F05"/>
    <w:rsid w:val="6B4A2802"/>
    <w:rsid w:val="6B4A697B"/>
    <w:rsid w:val="6B513865"/>
    <w:rsid w:val="6B543355"/>
    <w:rsid w:val="6B5477F9"/>
    <w:rsid w:val="6B553874"/>
    <w:rsid w:val="6B5A3D3B"/>
    <w:rsid w:val="6B5B0B88"/>
    <w:rsid w:val="6B5C7C84"/>
    <w:rsid w:val="6B65630B"/>
    <w:rsid w:val="6B6C2AB8"/>
    <w:rsid w:val="6B8471F4"/>
    <w:rsid w:val="6B8754D9"/>
    <w:rsid w:val="6B8E2D0B"/>
    <w:rsid w:val="6B945E48"/>
    <w:rsid w:val="6B95409A"/>
    <w:rsid w:val="6B99520C"/>
    <w:rsid w:val="6BA378E4"/>
    <w:rsid w:val="6BAE1FFF"/>
    <w:rsid w:val="6BB40298"/>
    <w:rsid w:val="6BC4672D"/>
    <w:rsid w:val="6BCE4EB6"/>
    <w:rsid w:val="6BD050D2"/>
    <w:rsid w:val="6BE41585"/>
    <w:rsid w:val="6BEA79E3"/>
    <w:rsid w:val="6BEC358E"/>
    <w:rsid w:val="6BF1329A"/>
    <w:rsid w:val="6BF529CA"/>
    <w:rsid w:val="6C09284A"/>
    <w:rsid w:val="6C17765E"/>
    <w:rsid w:val="6C1C4E12"/>
    <w:rsid w:val="6C1F5711"/>
    <w:rsid w:val="6C2947E2"/>
    <w:rsid w:val="6C3A254B"/>
    <w:rsid w:val="6C3F5DB4"/>
    <w:rsid w:val="6C411B2C"/>
    <w:rsid w:val="6C6475C8"/>
    <w:rsid w:val="6C6E48EB"/>
    <w:rsid w:val="6C6E4B8D"/>
    <w:rsid w:val="6C76062B"/>
    <w:rsid w:val="6C887556"/>
    <w:rsid w:val="6C967EEC"/>
    <w:rsid w:val="6CA707C1"/>
    <w:rsid w:val="6CA72B6B"/>
    <w:rsid w:val="6CAE2F39"/>
    <w:rsid w:val="6CAE6A95"/>
    <w:rsid w:val="6CBE13CE"/>
    <w:rsid w:val="6CC0597D"/>
    <w:rsid w:val="6CCB7647"/>
    <w:rsid w:val="6CE32F4E"/>
    <w:rsid w:val="6CEB5F3B"/>
    <w:rsid w:val="6CEC7E19"/>
    <w:rsid w:val="6CF0156B"/>
    <w:rsid w:val="6CF22E26"/>
    <w:rsid w:val="6D06067F"/>
    <w:rsid w:val="6D063D0A"/>
    <w:rsid w:val="6D082649"/>
    <w:rsid w:val="6D090170"/>
    <w:rsid w:val="6D0A63C2"/>
    <w:rsid w:val="6D0F1C2A"/>
    <w:rsid w:val="6D136580"/>
    <w:rsid w:val="6D170ADE"/>
    <w:rsid w:val="6D2D0302"/>
    <w:rsid w:val="6D30394E"/>
    <w:rsid w:val="6D3B2F45"/>
    <w:rsid w:val="6D400035"/>
    <w:rsid w:val="6D4A60A6"/>
    <w:rsid w:val="6D536D7B"/>
    <w:rsid w:val="6D602485"/>
    <w:rsid w:val="6D6C0E2A"/>
    <w:rsid w:val="6D8F4B19"/>
    <w:rsid w:val="6D9975EF"/>
    <w:rsid w:val="6DB4632D"/>
    <w:rsid w:val="6DB63E53"/>
    <w:rsid w:val="6DC54681"/>
    <w:rsid w:val="6DCA3DA3"/>
    <w:rsid w:val="6DD50263"/>
    <w:rsid w:val="6DD93FE6"/>
    <w:rsid w:val="6DE96BCE"/>
    <w:rsid w:val="6DEC5AC7"/>
    <w:rsid w:val="6DFD668E"/>
    <w:rsid w:val="6E0206C7"/>
    <w:rsid w:val="6E02353D"/>
    <w:rsid w:val="6E1D3E88"/>
    <w:rsid w:val="6E257CC2"/>
    <w:rsid w:val="6E33426E"/>
    <w:rsid w:val="6E380D0C"/>
    <w:rsid w:val="6E3A0F28"/>
    <w:rsid w:val="6E3D27C7"/>
    <w:rsid w:val="6E3F46CC"/>
    <w:rsid w:val="6E4476B1"/>
    <w:rsid w:val="6E453429"/>
    <w:rsid w:val="6E492F1A"/>
    <w:rsid w:val="6E4B6C92"/>
    <w:rsid w:val="6E5024FA"/>
    <w:rsid w:val="6E512A37"/>
    <w:rsid w:val="6E5B49FB"/>
    <w:rsid w:val="6E600263"/>
    <w:rsid w:val="6E62230E"/>
    <w:rsid w:val="6E66012B"/>
    <w:rsid w:val="6E6B10E2"/>
    <w:rsid w:val="6E6C6C08"/>
    <w:rsid w:val="6E8D72AA"/>
    <w:rsid w:val="6E900B48"/>
    <w:rsid w:val="6EA2087C"/>
    <w:rsid w:val="6EA31324"/>
    <w:rsid w:val="6EA42846"/>
    <w:rsid w:val="6EB26D11"/>
    <w:rsid w:val="6EBF31DC"/>
    <w:rsid w:val="6EBF4F8A"/>
    <w:rsid w:val="6ECB392F"/>
    <w:rsid w:val="6ED206E8"/>
    <w:rsid w:val="6ED50C51"/>
    <w:rsid w:val="6EE47A30"/>
    <w:rsid w:val="6EF31D90"/>
    <w:rsid w:val="6EF74724"/>
    <w:rsid w:val="6F03131A"/>
    <w:rsid w:val="6F113E47"/>
    <w:rsid w:val="6F196D90"/>
    <w:rsid w:val="6F1A48B6"/>
    <w:rsid w:val="6F1F3C7A"/>
    <w:rsid w:val="6F235278"/>
    <w:rsid w:val="6F321C00"/>
    <w:rsid w:val="6F3C1C40"/>
    <w:rsid w:val="6F3D717F"/>
    <w:rsid w:val="6F4A519B"/>
    <w:rsid w:val="6F5002D8"/>
    <w:rsid w:val="6F5A4CB2"/>
    <w:rsid w:val="6F6A0B6A"/>
    <w:rsid w:val="6F800F2B"/>
    <w:rsid w:val="6F83245B"/>
    <w:rsid w:val="6F85477F"/>
    <w:rsid w:val="6F975E29"/>
    <w:rsid w:val="6FA0300D"/>
    <w:rsid w:val="6FA10B33"/>
    <w:rsid w:val="6FB16FC8"/>
    <w:rsid w:val="6FB441A8"/>
    <w:rsid w:val="6FB6638D"/>
    <w:rsid w:val="6FB95E7D"/>
    <w:rsid w:val="6FBA6E21"/>
    <w:rsid w:val="6FD04699"/>
    <w:rsid w:val="6FD13163"/>
    <w:rsid w:val="6FD651C7"/>
    <w:rsid w:val="6FE27182"/>
    <w:rsid w:val="6FE74798"/>
    <w:rsid w:val="6FF11ABB"/>
    <w:rsid w:val="6FF52A43"/>
    <w:rsid w:val="6FFF2C86"/>
    <w:rsid w:val="700411E8"/>
    <w:rsid w:val="702E5F1E"/>
    <w:rsid w:val="703A6FBE"/>
    <w:rsid w:val="70426DA6"/>
    <w:rsid w:val="70587444"/>
    <w:rsid w:val="705E3AE9"/>
    <w:rsid w:val="705E6EF5"/>
    <w:rsid w:val="706B361B"/>
    <w:rsid w:val="70AB7EBB"/>
    <w:rsid w:val="70B2124A"/>
    <w:rsid w:val="70C225BF"/>
    <w:rsid w:val="70C40F7D"/>
    <w:rsid w:val="70C90342"/>
    <w:rsid w:val="70CE7706"/>
    <w:rsid w:val="70DE5437"/>
    <w:rsid w:val="71017ADB"/>
    <w:rsid w:val="71035C4A"/>
    <w:rsid w:val="71153587"/>
    <w:rsid w:val="711C66C3"/>
    <w:rsid w:val="711E68DF"/>
    <w:rsid w:val="71235CA4"/>
    <w:rsid w:val="71297032"/>
    <w:rsid w:val="71353C29"/>
    <w:rsid w:val="713C4FB8"/>
    <w:rsid w:val="71494BA2"/>
    <w:rsid w:val="714A1482"/>
    <w:rsid w:val="714A38B9"/>
    <w:rsid w:val="715C7408"/>
    <w:rsid w:val="71704C61"/>
    <w:rsid w:val="71770316"/>
    <w:rsid w:val="717FA8E9"/>
    <w:rsid w:val="71893A5D"/>
    <w:rsid w:val="71946BA2"/>
    <w:rsid w:val="719646C8"/>
    <w:rsid w:val="71A1306D"/>
    <w:rsid w:val="71AE3BE8"/>
    <w:rsid w:val="71D15700"/>
    <w:rsid w:val="71F617B9"/>
    <w:rsid w:val="71F65166"/>
    <w:rsid w:val="71F80EDE"/>
    <w:rsid w:val="71FC1AD5"/>
    <w:rsid w:val="72021D5D"/>
    <w:rsid w:val="720F6228"/>
    <w:rsid w:val="72127AC6"/>
    <w:rsid w:val="722E2B52"/>
    <w:rsid w:val="723465A5"/>
    <w:rsid w:val="723932A5"/>
    <w:rsid w:val="723D4B43"/>
    <w:rsid w:val="7249173A"/>
    <w:rsid w:val="72496980"/>
    <w:rsid w:val="724B1C27"/>
    <w:rsid w:val="72601FB5"/>
    <w:rsid w:val="726E11A1"/>
    <w:rsid w:val="726E4989"/>
    <w:rsid w:val="72730565"/>
    <w:rsid w:val="727D3192"/>
    <w:rsid w:val="727F515C"/>
    <w:rsid w:val="72964253"/>
    <w:rsid w:val="729C5939"/>
    <w:rsid w:val="72A44BC2"/>
    <w:rsid w:val="72AA7CFF"/>
    <w:rsid w:val="72AB7080"/>
    <w:rsid w:val="72C45265"/>
    <w:rsid w:val="72CC5EC7"/>
    <w:rsid w:val="72DB435C"/>
    <w:rsid w:val="72F97729"/>
    <w:rsid w:val="72FE3943"/>
    <w:rsid w:val="73025D8D"/>
    <w:rsid w:val="730B2E93"/>
    <w:rsid w:val="7318735E"/>
    <w:rsid w:val="731D7F9D"/>
    <w:rsid w:val="733221CE"/>
    <w:rsid w:val="733A72D5"/>
    <w:rsid w:val="734463A5"/>
    <w:rsid w:val="735008A6"/>
    <w:rsid w:val="73522870"/>
    <w:rsid w:val="736A5E0C"/>
    <w:rsid w:val="73702427"/>
    <w:rsid w:val="73841D2D"/>
    <w:rsid w:val="73853183"/>
    <w:rsid w:val="739015EB"/>
    <w:rsid w:val="73927111"/>
    <w:rsid w:val="739C1D3D"/>
    <w:rsid w:val="73A155A6"/>
    <w:rsid w:val="73A822B2"/>
    <w:rsid w:val="73D72D76"/>
    <w:rsid w:val="73E67832"/>
    <w:rsid w:val="73EA0CFB"/>
    <w:rsid w:val="73F2195D"/>
    <w:rsid w:val="7407365B"/>
    <w:rsid w:val="740C17EA"/>
    <w:rsid w:val="740F42BD"/>
    <w:rsid w:val="74185868"/>
    <w:rsid w:val="742D6E39"/>
    <w:rsid w:val="742F4960"/>
    <w:rsid w:val="74393A30"/>
    <w:rsid w:val="74411504"/>
    <w:rsid w:val="74566390"/>
    <w:rsid w:val="746A2E2D"/>
    <w:rsid w:val="746F1200"/>
    <w:rsid w:val="74AE3AD6"/>
    <w:rsid w:val="74CB0B2C"/>
    <w:rsid w:val="74D177C5"/>
    <w:rsid w:val="74D3353D"/>
    <w:rsid w:val="74F002A4"/>
    <w:rsid w:val="74F17E67"/>
    <w:rsid w:val="74F82FA3"/>
    <w:rsid w:val="750000AA"/>
    <w:rsid w:val="75047B9A"/>
    <w:rsid w:val="750A2372"/>
    <w:rsid w:val="7513602F"/>
    <w:rsid w:val="75195BFE"/>
    <w:rsid w:val="75271ADB"/>
    <w:rsid w:val="752D5343"/>
    <w:rsid w:val="7533222E"/>
    <w:rsid w:val="753331DA"/>
    <w:rsid w:val="753B0BFF"/>
    <w:rsid w:val="753C1F17"/>
    <w:rsid w:val="754E64BE"/>
    <w:rsid w:val="757E5B9F"/>
    <w:rsid w:val="758D193E"/>
    <w:rsid w:val="758F6393"/>
    <w:rsid w:val="75B53113"/>
    <w:rsid w:val="75BD1B0C"/>
    <w:rsid w:val="75C8506C"/>
    <w:rsid w:val="75CA0DE4"/>
    <w:rsid w:val="75D05CCE"/>
    <w:rsid w:val="75D56D6B"/>
    <w:rsid w:val="75D73501"/>
    <w:rsid w:val="75DC0B17"/>
    <w:rsid w:val="75F714AD"/>
    <w:rsid w:val="76123CE0"/>
    <w:rsid w:val="761A71E6"/>
    <w:rsid w:val="76277FE4"/>
    <w:rsid w:val="765468FF"/>
    <w:rsid w:val="76683FE7"/>
    <w:rsid w:val="766F0A02"/>
    <w:rsid w:val="7677377C"/>
    <w:rsid w:val="76791682"/>
    <w:rsid w:val="7679318F"/>
    <w:rsid w:val="767C7663"/>
    <w:rsid w:val="768C42EB"/>
    <w:rsid w:val="76933762"/>
    <w:rsid w:val="76975AF2"/>
    <w:rsid w:val="769767EC"/>
    <w:rsid w:val="76A5715B"/>
    <w:rsid w:val="76A90A00"/>
    <w:rsid w:val="76AA29C3"/>
    <w:rsid w:val="76B178AE"/>
    <w:rsid w:val="76BF646F"/>
    <w:rsid w:val="76D161A2"/>
    <w:rsid w:val="76DE441B"/>
    <w:rsid w:val="76FC2A0E"/>
    <w:rsid w:val="7711659E"/>
    <w:rsid w:val="771542E1"/>
    <w:rsid w:val="771925C6"/>
    <w:rsid w:val="771B11CB"/>
    <w:rsid w:val="775C3CBE"/>
    <w:rsid w:val="7763329E"/>
    <w:rsid w:val="77644920"/>
    <w:rsid w:val="77674DAE"/>
    <w:rsid w:val="776963DA"/>
    <w:rsid w:val="77770AF7"/>
    <w:rsid w:val="777B581F"/>
    <w:rsid w:val="778447D2"/>
    <w:rsid w:val="778B6351"/>
    <w:rsid w:val="77964A4F"/>
    <w:rsid w:val="77CB2BF1"/>
    <w:rsid w:val="77D5581E"/>
    <w:rsid w:val="77D901A5"/>
    <w:rsid w:val="77EB2D21"/>
    <w:rsid w:val="77FA7AAA"/>
    <w:rsid w:val="77FE6B23"/>
    <w:rsid w:val="780B56E4"/>
    <w:rsid w:val="782642CC"/>
    <w:rsid w:val="782B18E2"/>
    <w:rsid w:val="78370287"/>
    <w:rsid w:val="784B467A"/>
    <w:rsid w:val="78511348"/>
    <w:rsid w:val="785726D7"/>
    <w:rsid w:val="7859644F"/>
    <w:rsid w:val="78615304"/>
    <w:rsid w:val="786848E1"/>
    <w:rsid w:val="786B10E6"/>
    <w:rsid w:val="787B0173"/>
    <w:rsid w:val="78A42BAC"/>
    <w:rsid w:val="78A53442"/>
    <w:rsid w:val="78BE58BA"/>
    <w:rsid w:val="78C35DF4"/>
    <w:rsid w:val="78C7160B"/>
    <w:rsid w:val="78C97D75"/>
    <w:rsid w:val="78CA2EA9"/>
    <w:rsid w:val="78CB34EF"/>
    <w:rsid w:val="78E24696"/>
    <w:rsid w:val="78E71CAD"/>
    <w:rsid w:val="78EA498A"/>
    <w:rsid w:val="78EE1B95"/>
    <w:rsid w:val="790A599B"/>
    <w:rsid w:val="791A3991"/>
    <w:rsid w:val="79226841"/>
    <w:rsid w:val="793D18CD"/>
    <w:rsid w:val="794744F9"/>
    <w:rsid w:val="794964C4"/>
    <w:rsid w:val="795B0214"/>
    <w:rsid w:val="79701CA2"/>
    <w:rsid w:val="797572B9"/>
    <w:rsid w:val="79772648"/>
    <w:rsid w:val="797B41A3"/>
    <w:rsid w:val="79832203"/>
    <w:rsid w:val="79907C4E"/>
    <w:rsid w:val="799C3386"/>
    <w:rsid w:val="799F7E92"/>
    <w:rsid w:val="79A8143C"/>
    <w:rsid w:val="79AB4A88"/>
    <w:rsid w:val="79B06543"/>
    <w:rsid w:val="79B416E2"/>
    <w:rsid w:val="79C31BBA"/>
    <w:rsid w:val="79D833A4"/>
    <w:rsid w:val="79F53F55"/>
    <w:rsid w:val="79FA5A10"/>
    <w:rsid w:val="7A093DF8"/>
    <w:rsid w:val="7A195E96"/>
    <w:rsid w:val="7A232871"/>
    <w:rsid w:val="7A2D7B93"/>
    <w:rsid w:val="7A356A48"/>
    <w:rsid w:val="7A37543D"/>
    <w:rsid w:val="7A4B626B"/>
    <w:rsid w:val="7A6A04A0"/>
    <w:rsid w:val="7A6F5AB6"/>
    <w:rsid w:val="7A70182E"/>
    <w:rsid w:val="7A7C4677"/>
    <w:rsid w:val="7A7E7D69"/>
    <w:rsid w:val="7A802C6E"/>
    <w:rsid w:val="7A92356E"/>
    <w:rsid w:val="7A97325F"/>
    <w:rsid w:val="7AAC0AB8"/>
    <w:rsid w:val="7AAF67FA"/>
    <w:rsid w:val="7AB703CC"/>
    <w:rsid w:val="7AB83901"/>
    <w:rsid w:val="7ACD63C2"/>
    <w:rsid w:val="7AE83ABA"/>
    <w:rsid w:val="7AEE41F0"/>
    <w:rsid w:val="7AF2017A"/>
    <w:rsid w:val="7B097E6B"/>
    <w:rsid w:val="7B0A57DF"/>
    <w:rsid w:val="7B0D52CF"/>
    <w:rsid w:val="7B2F3497"/>
    <w:rsid w:val="7B3D1499"/>
    <w:rsid w:val="7B474C85"/>
    <w:rsid w:val="7B564EC8"/>
    <w:rsid w:val="7B8B2DC3"/>
    <w:rsid w:val="7B9D4040"/>
    <w:rsid w:val="7BAE0860"/>
    <w:rsid w:val="7BAE260E"/>
    <w:rsid w:val="7BB432CC"/>
    <w:rsid w:val="7BD34086"/>
    <w:rsid w:val="7BD61B65"/>
    <w:rsid w:val="7BDA602C"/>
    <w:rsid w:val="7BDF03C3"/>
    <w:rsid w:val="7BE22514"/>
    <w:rsid w:val="7BEB4BD1"/>
    <w:rsid w:val="7BF070CA"/>
    <w:rsid w:val="7BF68656"/>
    <w:rsid w:val="7BF81ADB"/>
    <w:rsid w:val="7C29438A"/>
    <w:rsid w:val="7C3074C7"/>
    <w:rsid w:val="7C315037"/>
    <w:rsid w:val="7C330D65"/>
    <w:rsid w:val="7C34748E"/>
    <w:rsid w:val="7C38055A"/>
    <w:rsid w:val="7C686C61"/>
    <w:rsid w:val="7C79393B"/>
    <w:rsid w:val="7C7970C0"/>
    <w:rsid w:val="7C833A9B"/>
    <w:rsid w:val="7C8A32C0"/>
    <w:rsid w:val="7C8B6DF3"/>
    <w:rsid w:val="7C8D4118"/>
    <w:rsid w:val="7C9D5DA0"/>
    <w:rsid w:val="7CA35EEB"/>
    <w:rsid w:val="7CA4336C"/>
    <w:rsid w:val="7CA77B92"/>
    <w:rsid w:val="7CC320E9"/>
    <w:rsid w:val="7CCE1200"/>
    <w:rsid w:val="7CD75B94"/>
    <w:rsid w:val="7CE04A49"/>
    <w:rsid w:val="7CE24C65"/>
    <w:rsid w:val="7CF44998"/>
    <w:rsid w:val="7D080444"/>
    <w:rsid w:val="7D172435"/>
    <w:rsid w:val="7D1C56D0"/>
    <w:rsid w:val="7D1E3B38"/>
    <w:rsid w:val="7D2D3A06"/>
    <w:rsid w:val="7D3D1E9B"/>
    <w:rsid w:val="7D567401"/>
    <w:rsid w:val="7D5F62B6"/>
    <w:rsid w:val="7D853842"/>
    <w:rsid w:val="7D93598A"/>
    <w:rsid w:val="7DAB19A5"/>
    <w:rsid w:val="7DB12889"/>
    <w:rsid w:val="7DDF2F52"/>
    <w:rsid w:val="7DDF73F6"/>
    <w:rsid w:val="7DE70059"/>
    <w:rsid w:val="7DE95B7F"/>
    <w:rsid w:val="7DF84014"/>
    <w:rsid w:val="7DFC1D56"/>
    <w:rsid w:val="7DFD162B"/>
    <w:rsid w:val="7E0B1F99"/>
    <w:rsid w:val="7E1328B2"/>
    <w:rsid w:val="7E154BC6"/>
    <w:rsid w:val="7E1A3DF8"/>
    <w:rsid w:val="7E2272E3"/>
    <w:rsid w:val="7E372D8F"/>
    <w:rsid w:val="7E3846C8"/>
    <w:rsid w:val="7E3A462D"/>
    <w:rsid w:val="7E3D5ECB"/>
    <w:rsid w:val="7E3F6682"/>
    <w:rsid w:val="7E4841A4"/>
    <w:rsid w:val="7E4C610E"/>
    <w:rsid w:val="7E5751DF"/>
    <w:rsid w:val="7E63541B"/>
    <w:rsid w:val="7E6D1F4F"/>
    <w:rsid w:val="7E7035D2"/>
    <w:rsid w:val="7E7A2F3D"/>
    <w:rsid w:val="7E7F4735"/>
    <w:rsid w:val="7E8514A7"/>
    <w:rsid w:val="7E906943"/>
    <w:rsid w:val="7EBA462A"/>
    <w:rsid w:val="7EC64112"/>
    <w:rsid w:val="7ECF746B"/>
    <w:rsid w:val="7EDA4DF2"/>
    <w:rsid w:val="7EE747B5"/>
    <w:rsid w:val="7EEB5CFB"/>
    <w:rsid w:val="7EF34C93"/>
    <w:rsid w:val="7EF649F8"/>
    <w:rsid w:val="7EF667A6"/>
    <w:rsid w:val="7EF70770"/>
    <w:rsid w:val="7EFA07CD"/>
    <w:rsid w:val="7F007624"/>
    <w:rsid w:val="7F0B7D77"/>
    <w:rsid w:val="7F144E7E"/>
    <w:rsid w:val="7F1F3F5C"/>
    <w:rsid w:val="7F2C0419"/>
    <w:rsid w:val="7F3472CE"/>
    <w:rsid w:val="7F390D88"/>
    <w:rsid w:val="7F453289"/>
    <w:rsid w:val="7F474E50"/>
    <w:rsid w:val="7F4C5311"/>
    <w:rsid w:val="7F5434CC"/>
    <w:rsid w:val="7F575F5E"/>
    <w:rsid w:val="7F637BB3"/>
    <w:rsid w:val="7F6A0F42"/>
    <w:rsid w:val="7F6A10D1"/>
    <w:rsid w:val="7F6C4CBA"/>
    <w:rsid w:val="7F74591C"/>
    <w:rsid w:val="7F8202AE"/>
    <w:rsid w:val="7F8F2013"/>
    <w:rsid w:val="7F961D37"/>
    <w:rsid w:val="7F963AE5"/>
    <w:rsid w:val="7F9F508F"/>
    <w:rsid w:val="7FA90DBF"/>
    <w:rsid w:val="7FBB354B"/>
    <w:rsid w:val="7FC95C68"/>
    <w:rsid w:val="7FD850AE"/>
    <w:rsid w:val="7FE44850"/>
    <w:rsid w:val="7FE955BD"/>
    <w:rsid w:val="FEE7F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6"/>
    <w:qFormat/>
    <w:uiPriority w:val="0"/>
    <w:pPr>
      <w:keepNext/>
      <w:jc w:val="center"/>
      <w:outlineLvl w:val="0"/>
    </w:pPr>
    <w:rPr>
      <w:sz w:val="2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paragraph" w:styleId="6">
    <w:name w:val="heading 6"/>
    <w:basedOn w:val="1"/>
    <w:next w:val="1"/>
    <w:qFormat/>
    <w:uiPriority w:val="9"/>
    <w:pPr>
      <w:keepNext/>
      <w:keepLines/>
      <w:spacing w:line="317" w:lineRule="auto"/>
      <w:outlineLvl w:val="5"/>
    </w:pPr>
    <w:rPr>
      <w:rFonts w:ascii="Arial" w:hAnsi="Arial" w:eastAsia="黑体"/>
      <w:b/>
      <w:sz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line="324" w:lineRule="auto"/>
    </w:pPr>
    <w:rPr>
      <w:color w:val="993300"/>
      <w:sz w:val="24"/>
    </w:rPr>
  </w:style>
  <w:style w:type="paragraph" w:styleId="7">
    <w:name w:val="Body Text Indent"/>
    <w:basedOn w:val="1"/>
    <w:next w:val="8"/>
    <w:qFormat/>
    <w:uiPriority w:val="0"/>
    <w:pPr>
      <w:ind w:firstLine="552"/>
    </w:pPr>
    <w:rPr>
      <w:rFonts w:ascii="宋体"/>
      <w:sz w:val="28"/>
    </w:rPr>
  </w:style>
  <w:style w:type="paragraph" w:styleId="8">
    <w:name w:val="Body Text First Indent 2"/>
    <w:basedOn w:val="7"/>
    <w:qFormat/>
    <w:uiPriority w:val="0"/>
    <w:pPr>
      <w:ind w:firstLine="420" w:firstLineChars="200"/>
    </w:pPr>
  </w:style>
  <w:style w:type="paragraph" w:styleId="9">
    <w:name w:val="Plain Text"/>
    <w:basedOn w:val="1"/>
    <w:qFormat/>
    <w:uiPriority w:val="0"/>
    <w:rPr>
      <w:rFonts w:ascii="宋体" w:hAnsi="Courier New"/>
    </w:rPr>
  </w:style>
  <w:style w:type="paragraph" w:styleId="10">
    <w:name w:val="Date"/>
    <w:basedOn w:val="1"/>
    <w:next w:val="1"/>
    <w:qFormat/>
    <w:uiPriority w:val="0"/>
    <w:rPr>
      <w:rFonts w:ascii="宋体"/>
      <w:sz w:val="24"/>
    </w:rPr>
  </w:style>
  <w:style w:type="paragraph" w:styleId="11">
    <w:name w:val="Balloon Text"/>
    <w:basedOn w:val="1"/>
    <w:link w:val="38"/>
    <w:qFormat/>
    <w:uiPriority w:val="0"/>
    <w:rPr>
      <w:sz w:val="18"/>
      <w:szCs w:val="18"/>
    </w:rPr>
  </w:style>
  <w:style w:type="paragraph" w:styleId="12">
    <w:name w:val="footer"/>
    <w:basedOn w:val="1"/>
    <w:qFormat/>
    <w:uiPriority w:val="0"/>
    <w:pPr>
      <w:tabs>
        <w:tab w:val="center" w:pos="4153"/>
        <w:tab w:val="right" w:pos="8306"/>
      </w:tabs>
      <w:adjustRightInd w:val="0"/>
      <w:spacing w:line="240" w:lineRule="atLeast"/>
      <w:jc w:val="left"/>
      <w:textAlignment w:val="baseline"/>
    </w:pPr>
    <w:rPr>
      <w:kern w:val="0"/>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jc w:val="left"/>
    </w:pPr>
    <w:rPr>
      <w:b/>
      <w:bCs/>
      <w:caps/>
      <w:sz w:val="20"/>
    </w:rPr>
  </w:style>
  <w:style w:type="paragraph" w:styleId="15">
    <w:name w:val="toc 2"/>
    <w:basedOn w:val="1"/>
    <w:next w:val="1"/>
    <w:qFormat/>
    <w:uiPriority w:val="39"/>
    <w:pPr>
      <w:ind w:left="420" w:leftChars="200"/>
    </w:pPr>
  </w:style>
  <w:style w:type="paragraph" w:styleId="16">
    <w:name w:val="Body Text 2"/>
    <w:basedOn w:val="1"/>
    <w:qFormat/>
    <w:uiPriority w:val="0"/>
    <w:rPr>
      <w:sz w:val="28"/>
    </w:rPr>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18">
    <w:name w:val="Normal (Web)"/>
    <w:basedOn w:val="1"/>
    <w:qFormat/>
    <w:uiPriority w:val="99"/>
    <w:pPr>
      <w:widowControl/>
      <w:spacing w:before="100" w:beforeAutospacing="1" w:after="100" w:afterAutospacing="1"/>
      <w:jc w:val="left"/>
    </w:pPr>
    <w:rPr>
      <w:rFonts w:ascii="宋体" w:hAnsi="宋体"/>
      <w:kern w:val="0"/>
      <w:sz w:val="24"/>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22"/>
    <w:rPr>
      <w:b/>
      <w:sz w:val="21"/>
    </w:rPr>
  </w:style>
  <w:style w:type="character" w:styleId="23">
    <w:name w:val="page number"/>
    <w:qFormat/>
    <w:uiPriority w:val="0"/>
  </w:style>
  <w:style w:type="character" w:styleId="24">
    <w:name w:val="Hyperlink"/>
    <w:unhideWhenUsed/>
    <w:qFormat/>
    <w:uiPriority w:val="99"/>
    <w:rPr>
      <w:color w:val="0000FF"/>
      <w:u w:val="single"/>
    </w:rPr>
  </w:style>
  <w:style w:type="paragraph" w:customStyle="1" w:styleId="25">
    <w:name w:val="BodyText"/>
    <w:basedOn w:val="1"/>
    <w:next w:val="1"/>
    <w:qFormat/>
    <w:uiPriority w:val="0"/>
    <w:rPr>
      <w:rFonts w:ascii="宋体" w:hAnsi="宋体"/>
      <w:sz w:val="28"/>
      <w:szCs w:val="28"/>
      <w:lang w:val="zh-CN" w:bidi="zh-CN"/>
    </w:rPr>
  </w:style>
  <w:style w:type="character" w:customStyle="1" w:styleId="26">
    <w:name w:val="标题 1 Char"/>
    <w:link w:val="3"/>
    <w:qFormat/>
    <w:locked/>
    <w:uiPriority w:val="0"/>
    <w:rPr>
      <w:sz w:val="28"/>
    </w:rPr>
  </w:style>
  <w:style w:type="character" w:customStyle="1" w:styleId="27">
    <w:name w:val="NormalCharacter"/>
    <w:semiHidden/>
    <w:qFormat/>
    <w:uiPriority w:val="0"/>
    <w:rPr>
      <w:sz w:val="24"/>
      <w:szCs w:val="24"/>
    </w:rPr>
  </w:style>
  <w:style w:type="paragraph" w:customStyle="1" w:styleId="28">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9">
    <w:name w:val="Char1"/>
    <w:basedOn w:val="1"/>
    <w:qFormat/>
    <w:uiPriority w:val="0"/>
    <w:pPr>
      <w:spacing w:line="360" w:lineRule="auto"/>
    </w:pPr>
  </w:style>
  <w:style w:type="paragraph" w:customStyle="1" w:styleId="30">
    <w:name w:val="Char2"/>
    <w:basedOn w:val="1"/>
    <w:qFormat/>
    <w:uiPriority w:val="0"/>
    <w:rPr>
      <w:rFonts w:ascii="Tahoma" w:hAnsi="Tahoma"/>
      <w:sz w:val="24"/>
    </w:rPr>
  </w:style>
  <w:style w:type="paragraph" w:styleId="31">
    <w:name w:val="List Paragraph"/>
    <w:basedOn w:val="1"/>
    <w:qFormat/>
    <w:uiPriority w:val="34"/>
    <w:pPr>
      <w:ind w:firstLine="420" w:firstLineChars="200"/>
    </w:pPr>
  </w:style>
  <w:style w:type="paragraph" w:customStyle="1" w:styleId="32">
    <w:name w:val="列表段落1"/>
    <w:basedOn w:val="1"/>
    <w:qFormat/>
    <w:uiPriority w:val="0"/>
    <w:pPr>
      <w:ind w:firstLine="420" w:firstLineChars="200"/>
    </w:pPr>
  </w:style>
  <w:style w:type="paragraph" w:customStyle="1" w:styleId="33">
    <w:name w:val="Heading #4|1"/>
    <w:basedOn w:val="1"/>
    <w:qFormat/>
    <w:uiPriority w:val="0"/>
    <w:pPr>
      <w:spacing w:after="140" w:line="396" w:lineRule="exact"/>
      <w:ind w:firstLine="480"/>
      <w:outlineLvl w:val="3"/>
    </w:pPr>
    <w:rPr>
      <w:rFonts w:ascii="宋体" w:hAnsi="宋体" w:cs="宋体"/>
      <w:b/>
      <w:bCs/>
      <w:szCs w:val="22"/>
      <w:lang w:val="zh-TW" w:eastAsia="zh-TW" w:bidi="zh-TW"/>
    </w:rPr>
  </w:style>
  <w:style w:type="paragraph" w:customStyle="1" w:styleId="34">
    <w:name w:val="Heading2"/>
    <w:basedOn w:val="1"/>
    <w:next w:val="1"/>
    <w:qFormat/>
    <w:uiPriority w:val="0"/>
    <w:pPr>
      <w:keepNext/>
      <w:keepLines/>
      <w:spacing w:line="360" w:lineRule="auto"/>
      <w:jc w:val="center"/>
    </w:pPr>
    <w:rPr>
      <w:rFonts w:ascii="Arial" w:hAnsi="Arial"/>
      <w:b/>
      <w:bCs/>
      <w:sz w:val="32"/>
      <w:szCs w:val="32"/>
    </w:rPr>
  </w:style>
  <w:style w:type="paragraph" w:customStyle="1" w:styleId="35">
    <w:name w:val="列出段落1"/>
    <w:basedOn w:val="1"/>
    <w:qFormat/>
    <w:uiPriority w:val="0"/>
    <w:pPr>
      <w:ind w:firstLine="200" w:firstLineChars="200"/>
    </w:pPr>
  </w:style>
  <w:style w:type="paragraph" w:customStyle="1" w:styleId="36">
    <w:name w:val="样式 10 磅"/>
    <w:qFormat/>
    <w:uiPriority w:val="0"/>
    <w:pPr>
      <w:widowControl w:val="0"/>
      <w:jc w:val="both"/>
    </w:pPr>
    <w:rPr>
      <w:rFonts w:ascii="宋体" w:hAnsi="宋体" w:eastAsia="Times New Roman" w:cs="Times New Roman"/>
      <w:kern w:val="2"/>
      <w:sz w:val="21"/>
      <w:szCs w:val="24"/>
      <w:lang w:val="en-US" w:eastAsia="zh-CN" w:bidi="ar-SA"/>
    </w:rPr>
  </w:style>
  <w:style w:type="paragraph" w:customStyle="1" w:styleId="37">
    <w:name w:val="正文1"/>
    <w:qFormat/>
    <w:uiPriority w:val="0"/>
    <w:pPr>
      <w:jc w:val="both"/>
    </w:pPr>
    <w:rPr>
      <w:rFonts w:ascii="宋体" w:hAnsi="宋体" w:eastAsia="宋体" w:cs="宋体"/>
      <w:kern w:val="2"/>
      <w:sz w:val="21"/>
      <w:szCs w:val="21"/>
      <w:lang w:val="en-US" w:eastAsia="zh-CN" w:bidi="ar-SA"/>
    </w:rPr>
  </w:style>
  <w:style w:type="character" w:customStyle="1" w:styleId="38">
    <w:name w:val="批注框文本 Char"/>
    <w:basedOn w:val="21"/>
    <w:link w:val="11"/>
    <w:qFormat/>
    <w:uiPriority w:val="0"/>
    <w:rPr>
      <w:kern w:val="2"/>
      <w:sz w:val="18"/>
      <w:szCs w:val="18"/>
    </w:rPr>
  </w:style>
  <w:style w:type="paragraph" w:customStyle="1" w:styleId="39">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64</Pages>
  <Words>5090</Words>
  <Characters>29019</Characters>
  <Lines>241</Lines>
  <Paragraphs>68</Paragraphs>
  <TotalTime>0</TotalTime>
  <ScaleCrop>false</ScaleCrop>
  <LinksUpToDate>false</LinksUpToDate>
  <CharactersWithSpaces>34041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2023-10-12T08:08:00Z</dcterms:created>
  <dc:creator>User</dc:creator>
  <cp:lastModifiedBy>Administrator</cp:lastModifiedBy>
  <cp:lastPrinted>2023-10-13T01:33:00Z</cp:lastPrinted>
  <dcterms:modified xsi:type="dcterms:W3CDTF">2023-12-05T03:00:57Z</dcterms:modified>
  <dc:title>政府采购货物和服务项目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A9F141047D4B95B4A5AC55645C657263_43</vt:lpwstr>
  </property>
</Properties>
</file>