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2024年消防维保(二次)</w:t>
      </w:r>
    </w:p>
    <w:p>
      <w:pPr>
        <w:pStyle w:val="null3"/>
        <w:jc w:val="center"/>
        <w:outlineLvl w:val="2"/>
      </w:pPr>
      <w:r>
        <w:rPr>
          <w:b/>
          <w:sz w:val="28"/>
        </w:rPr>
        <w:t>采购项目编号：</w:t>
      </w:r>
      <w:r>
        <w:rPr>
          <w:b/>
          <w:sz w:val="28"/>
        </w:rPr>
        <w:t>HCZB2023-024.1B1</w:t>
      </w:r>
      <w:r>
        <w:br/>
      </w:r>
      <w:r>
        <w:br/>
      </w:r>
      <w:r>
        <w:br/>
      </w:r>
    </w:p>
    <w:p>
      <w:pPr>
        <w:pStyle w:val="null3"/>
        <w:jc w:val="center"/>
        <w:outlineLvl w:val="2"/>
      </w:pPr>
      <w:r>
        <w:rPr>
          <w:b/>
          <w:sz w:val="28"/>
        </w:rPr>
        <w:t>西安市公共卫生中心（西安市应急医疗中心）</w:t>
      </w:r>
    </w:p>
    <w:p>
      <w:pPr>
        <w:pStyle w:val="null3"/>
        <w:jc w:val="center"/>
        <w:outlineLvl w:val="2"/>
      </w:pPr>
      <w:r>
        <w:rPr>
          <w:b/>
          <w:sz w:val="28"/>
        </w:rPr>
        <w:t>红城国际工程项目管理有限公司</w:t>
      </w:r>
      <w:r>
        <w:rPr>
          <w:b/>
          <w:sz w:val="28"/>
        </w:rPr>
        <w:t>共同编制</w:t>
      </w:r>
    </w:p>
    <w:p>
      <w:pPr>
        <w:pStyle w:val="null3"/>
        <w:jc w:val="center"/>
        <w:outlineLvl w:val="2"/>
      </w:pPr>
      <w:r>
        <w:rPr>
          <w:b/>
          <w:sz w:val="28"/>
        </w:rPr>
        <w:t>2023年12月01日</w:t>
      </w:r>
    </w:p>
    <w:p>
      <w:pPr>
        <w:pStyle w:val="null3"/>
      </w:pPr>
      <w:r>
        <w:rPr/>
        <w:t xml:space="preserve"> </w:t>
      </w:r>
    </w:p>
    <w:p>
      <w:pPr>
        <w:pStyle w:val="null3"/>
        <w:jc w:val="center"/>
        <w:outlineLvl w:val="1"/>
      </w:pPr>
      <w:r>
        <w:rPr>
          <w:b/>
          <w:sz w:val="36"/>
        </w:rPr>
        <w:t>第一章 竞争性磋商邀请</w:t>
      </w:r>
    </w:p>
    <w:p>
      <w:pPr>
        <w:pStyle w:val="null3"/>
        <w:ind w:firstLine="480"/>
      </w:pPr>
      <w:r>
        <w:rPr/>
        <w:t>红城国际工程项目管理有限公司</w:t>
      </w:r>
      <w:r>
        <w:rPr/>
        <w:t>（以下简称“代理机构”）受</w:t>
      </w:r>
      <w:r>
        <w:rPr/>
        <w:t>西安市公共卫生中心（西安市应急医疗中心）</w:t>
      </w:r>
      <w:r>
        <w:rPr/>
        <w:t>委托，拟对</w:t>
      </w:r>
      <w:r>
        <w:rPr/>
        <w:t>2024年消防维保(二次)</w:t>
      </w:r>
      <w:r>
        <w:rPr/>
        <w:t>采用竞争性磋商采购方式进行采购，兹邀请供应商参加本项目的竞争性磋商。</w:t>
      </w:r>
    </w:p>
    <w:p>
      <w:pPr>
        <w:pStyle w:val="null3"/>
        <w:outlineLvl w:val="2"/>
      </w:pPr>
      <w:r>
        <w:rPr>
          <w:b/>
          <w:sz w:val="28"/>
        </w:rPr>
        <w:t>一、项目编号：</w:t>
      </w:r>
      <w:r>
        <w:rPr>
          <w:b/>
          <w:sz w:val="28"/>
        </w:rPr>
        <w:t>HCZB2023-024.1B1</w:t>
      </w:r>
    </w:p>
    <w:p>
      <w:pPr>
        <w:pStyle w:val="null3"/>
        <w:outlineLvl w:val="2"/>
      </w:pPr>
      <w:r>
        <w:rPr>
          <w:b/>
          <w:sz w:val="28"/>
        </w:rPr>
        <w:t>二、项目名称：</w:t>
      </w:r>
      <w:r>
        <w:rPr>
          <w:b/>
          <w:sz w:val="28"/>
        </w:rPr>
        <w:t>2024年消防维保(二次)</w:t>
      </w:r>
    </w:p>
    <w:p>
      <w:pPr>
        <w:pStyle w:val="null3"/>
        <w:outlineLvl w:val="2"/>
      </w:pPr>
      <w:r>
        <w:rPr>
          <w:b/>
          <w:sz w:val="28"/>
        </w:rPr>
        <w:t>三、磋商项目简介</w:t>
      </w:r>
    </w:p>
    <w:p>
      <w:pPr>
        <w:pStyle w:val="null3"/>
        <w:ind w:firstLine="480"/>
      </w:pPr>
      <w:r>
        <w:rPr/>
        <w:t>2024年消防维保项目</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采购包1（2024年消防维保）：属于专门面向中小企业采购。</w:t>
      </w:r>
    </w:p>
    <w:p>
      <w:pPr>
        <w:pStyle w:val="null3"/>
        <w:ind w:firstLine="480"/>
      </w:pPr>
      <w:r>
        <w:rPr/>
        <w:t>（三）本项目的特定资格要求：</w:t>
      </w:r>
    </w:p>
    <w:p>
      <w:pPr>
        <w:pStyle w:val="null3"/>
      </w:pPr>
      <w:r>
        <w:rPr/>
        <w:t>采购包1：</w:t>
      </w:r>
    </w:p>
    <w:p>
      <w:pPr>
        <w:pStyle w:val="null3"/>
      </w:pPr>
      <w:r>
        <w:rPr/>
        <w:t>1、资格要求：供应商须为合法注册的法人、其他组织或者自然人，并具有独立承担民事责任的能力，提供统一社会信用代码的营业执照（或事业法人证、自然人身份证）等合法证明文件；</w:t>
      </w:r>
    </w:p>
    <w:p>
      <w:pPr>
        <w:pStyle w:val="null3"/>
      </w:pPr>
      <w:r>
        <w:rPr/>
        <w:t>2、资格要求：须提供法定代表人授权书（附法定代表人（主要负责人）、被授权人身份证复印件）及被授权人身份证，法定代表人（主要负责人）直接参加投标，须提供本人身份证（附法人（主要负责人）身份证复印件）；</w:t>
      </w:r>
    </w:p>
    <w:p>
      <w:pPr>
        <w:pStyle w:val="null3"/>
      </w:pPr>
      <w:r>
        <w:rPr/>
        <w:t>3、资格要求：供应商在社会消防技术服务信息系统(https://shhxf.119.gov.cn/templet/index 7.jsp) 可查询，提供查询截图；</w:t>
      </w:r>
    </w:p>
    <w:p>
      <w:pPr>
        <w:pStyle w:val="null3"/>
      </w:pPr>
      <w:r>
        <w:rPr/>
        <w:t>4、资格要求：供应商须具备消防设施工程专业承包二级及以上资质；</w:t>
      </w:r>
    </w:p>
    <w:p>
      <w:pPr>
        <w:pStyle w:val="null3"/>
      </w:pPr>
      <w:r>
        <w:rPr/>
        <w:t>5、资格要求：项目负责人应当具备注册消防工程师资格；</w:t>
      </w:r>
    </w:p>
    <w:p>
      <w:pPr>
        <w:pStyle w:val="null3"/>
      </w:pPr>
      <w:r>
        <w:rPr/>
        <w:t>6、资格要求：税收缴纳证明：提供2023年度至今已缴纳的任意六个月的纳税证明或完税证明，依法免税的单位应提供相关证明材料（加盖供应商公章）；</w:t>
      </w:r>
    </w:p>
    <w:p>
      <w:pPr>
        <w:pStyle w:val="null3"/>
      </w:pPr>
      <w:r>
        <w:rPr/>
        <w:t>7、资格要求：财务状况报告：提供2022年的财务审计报告（至少包括资产负债表、利润表、现金流量表等），成立时间至提交响应文件截止时间不足一年的可提供其基本存款账户开户银行出具的资信证明及基本存款账户开户许可证；</w:t>
      </w:r>
    </w:p>
    <w:p>
      <w:pPr>
        <w:pStyle w:val="null3"/>
      </w:pPr>
      <w:r>
        <w:rPr/>
        <w:t>8、资格要求：社会保障资金缴纳证明：提供2023年度至今已缴存的任意六个月的社会保障资金缴存单据或社保机构开具的社会保险参保缴费情况证明，依法不需要缴纳社会保障资金的单位应提供相关证明材料（加盖供应商公章）；</w:t>
      </w:r>
    </w:p>
    <w:p>
      <w:pPr>
        <w:pStyle w:val="null3"/>
      </w:pPr>
      <w:r>
        <w:rPr/>
        <w:t>9、资格要求：供应商不得为“信用中国”网站（www.creditchina.gov.cn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w:t>
      </w:r>
    </w:p>
    <w:p>
      <w:pPr>
        <w:pStyle w:val="null3"/>
      </w:pPr>
      <w:r>
        <w:rPr/>
        <w:t>10、资格要求：供应商应出具参加政府采购活动前3年内在经营活动中没有重大违法记录的书面声明；</w:t>
      </w:r>
    </w:p>
    <w:p>
      <w:pPr>
        <w:pStyle w:val="null3"/>
      </w:pPr>
      <w:r>
        <w:rPr/>
        <w:t>11、资格要求：提供具有履行本项目合同所必需的设备和专业能力的承诺书</w:t>
      </w:r>
    </w:p>
    <w:p>
      <w:pPr>
        <w:pStyle w:val="null3"/>
      </w:pPr>
      <w:r>
        <w:rPr/>
        <w:t>12、资格要求：本项目不接受联合体磋商。</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西安市公共卫生中心（西安市应急医疗中心）</w:t>
      </w:r>
    </w:p>
    <w:p>
      <w:pPr>
        <w:pStyle w:val="null3"/>
      </w:pPr>
      <w:r>
        <w:rPr/>
        <w:t xml:space="preserve"> 地址： </w:t>
      </w:r>
      <w:r>
        <w:rPr/>
        <w:t>西安市高陵区310和210国道交汇处</w:t>
      </w:r>
    </w:p>
    <w:p>
      <w:pPr>
        <w:pStyle w:val="null3"/>
      </w:pPr>
      <w:r>
        <w:rPr/>
        <w:t xml:space="preserve"> 邮编： </w:t>
      </w:r>
      <w:r>
        <w:rPr/>
        <w:t>710200</w:t>
      </w:r>
    </w:p>
    <w:p>
      <w:pPr>
        <w:pStyle w:val="null3"/>
      </w:pPr>
      <w:r>
        <w:rPr/>
        <w:t xml:space="preserve"> 联系人： </w:t>
      </w:r>
      <w:r>
        <w:rPr/>
        <w:t>郭工</w:t>
      </w:r>
    </w:p>
    <w:p>
      <w:pPr>
        <w:pStyle w:val="null3"/>
      </w:pPr>
      <w:r>
        <w:rPr/>
        <w:t xml:space="preserve"> 联系电话： </w:t>
      </w:r>
      <w:r>
        <w:rPr/>
        <w:t>86088979</w:t>
      </w:r>
    </w:p>
    <w:p>
      <w:pPr>
        <w:pStyle w:val="null3"/>
        <w:outlineLvl w:val="3"/>
      </w:pPr>
      <w:r>
        <w:rPr>
          <w:b/>
          <w:sz w:val="24"/>
        </w:rPr>
        <w:t>代理机构：</w:t>
      </w:r>
      <w:r>
        <w:rPr>
          <w:b/>
          <w:sz w:val="24"/>
        </w:rPr>
        <w:t>红城国际工程项目管理有限公司</w:t>
      </w:r>
    </w:p>
    <w:p>
      <w:pPr>
        <w:pStyle w:val="null3"/>
      </w:pPr>
      <w:r>
        <w:rPr/>
        <w:t xml:space="preserve"> 地址： </w:t>
      </w:r>
      <w:r>
        <w:rPr/>
        <w:t>陕西省西安市高新区高新六路21号CROSS万象汇6幢1单元7层</w:t>
      </w:r>
    </w:p>
    <w:p>
      <w:pPr>
        <w:pStyle w:val="null3"/>
      </w:pPr>
      <w:r>
        <w:rPr/>
        <w:t xml:space="preserve"> 邮编： </w:t>
      </w:r>
      <w:r>
        <w:rPr/>
        <w:t>710065</w:t>
      </w:r>
    </w:p>
    <w:p>
      <w:pPr>
        <w:pStyle w:val="null3"/>
      </w:pPr>
      <w:r>
        <w:rPr/>
        <w:t xml:space="preserve"> 联系人： </w:t>
      </w:r>
      <w:r>
        <w:rPr/>
        <w:t>刘工、马工</w:t>
      </w:r>
    </w:p>
    <w:p>
      <w:pPr>
        <w:pStyle w:val="null3"/>
      </w:pPr>
      <w:r>
        <w:rPr/>
        <w:t xml:space="preserve"> 联系电话： </w:t>
      </w:r>
      <w:r>
        <w:rPr/>
        <w:t>15389181023、18629579371</w:t>
      </w:r>
    </w:p>
    <w:p>
      <w:pPr>
        <w:pStyle w:val="null3"/>
        <w:outlineLvl w:val="3"/>
      </w:pPr>
      <w:r>
        <w:rPr>
          <w:b/>
          <w:sz w:val="24"/>
        </w:rPr>
        <w:t>采购监督机构：</w:t>
      </w:r>
      <w:r>
        <w:rPr>
          <w:b/>
          <w:sz w:val="24"/>
        </w:rPr>
        <w:t>西安市财政局政府采购管理处</w:t>
      </w:r>
    </w:p>
    <w:p>
      <w:pPr>
        <w:pStyle w:val="null3"/>
        <w:ind w:firstLine="480"/>
      </w:pPr>
      <w:r>
        <w:rPr/>
        <w:t>联系人：</w:t>
      </w:r>
      <w:r>
        <w:rPr/>
        <w:t>王老师</w:t>
      </w:r>
    </w:p>
    <w:p>
      <w:pPr>
        <w:pStyle w:val="null3"/>
        <w:ind w:firstLine="480"/>
      </w:pPr>
      <w:r>
        <w:rPr/>
        <w:t>联系电话：</w:t>
      </w:r>
      <w:r>
        <w:rPr/>
        <w:t>029-89821848</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采购包1：420,000.00元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代理服务费收费标准：1）本次采购代理服务费按陕西省财政厅以陕财办采 〔2018〕 28号《 陕西省政府采购代理机构管理实施办法》的通知文件的规定和《本委托协议书》约定，受托人 向中标人足额收取招标代理服务费。 2）根据招标代理委托协议约定，中标人按国家发展改革 委[2011]534号《关于降低部分建设项目收费标准规范收费行为等有关问题的通知》文件收费 标准计取，领取成交通知书时向代理人支付代理服务费。 开户银行:招商银行股份有限公司西安科技路支行 帐号：129911459210601</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西安市公共卫生中心（西安市应急医疗中心）</w:t>
      </w:r>
      <w:r>
        <w:rPr/>
        <w:t>和</w:t>
      </w:r>
      <w:r>
        <w:rPr/>
        <w:t>红城国际工程项目管理有限公司</w:t>
      </w:r>
      <w:r>
        <w:rPr/>
        <w:t>享有。对磋商文件中供应商参加本次政府采购活动应当具备的条件，磋商项目技术、服务、商务及其他要求，评审细则及标准由</w:t>
      </w:r>
      <w:r>
        <w:rPr/>
        <w:t>西安市公共卫生中心（西安市应急医疗中心）</w:t>
      </w:r>
      <w:r>
        <w:rPr/>
        <w:t>负责解释。除上述磋商文件内容，其他内容由</w:t>
      </w:r>
      <w:r>
        <w:rPr/>
        <w:t>红城国际工程项目管理有限公司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西安市公共卫生中心（西安市应急医疗中心）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红城国际工程项目管理有限公司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质量验收标准或规范 1、乙方应根据维保服务方案规范进行维保服务工作，甲方在服务过程中起到配合、监督及管理的作用。 2、在维保服务期内，如果发现服务内容、服务质量等存在与合同中任何一项不符，甲方应在最短时间内，以书面形式向乙方提出索赔。 3.每次维修完成后，由甲乙双方共同验收，并填写书面验收单。</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红城国际工程项目管理有限公司</w:t>
      </w:r>
      <w:r>
        <w:rPr/>
        <w:t xml:space="preserve"> 负责答复；供应商对除采购需求外的采购文件的询问、质疑由</w:t>
      </w:r>
      <w:r>
        <w:rPr/>
        <w:t>红城国际工程项目管理有限公司</w:t>
      </w:r>
      <w:r>
        <w:rPr/>
        <w:t xml:space="preserve"> 负责答复；供应商对采购过程、采购结果的询问、质疑由 </w:t>
      </w:r>
      <w:r>
        <w:rPr/>
        <w:t>红城国际工程项目管理有限公司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联系人：刘工</w:t>
      </w:r>
    </w:p>
    <w:p>
      <w:pPr>
        <w:pStyle w:val="null3"/>
      </w:pPr>
      <w:r>
        <w:rPr/>
        <w:t>联系电话：15389181023</w:t>
      </w:r>
    </w:p>
    <w:p>
      <w:pPr>
        <w:pStyle w:val="null3"/>
      </w:pPr>
      <w:r>
        <w:rPr/>
        <w:t>地址：陕西省西安市高新区高新六路21号CROSS万象汇6幢1单元7层</w:t>
      </w:r>
    </w:p>
    <w:p>
      <w:pPr>
        <w:pStyle w:val="null3"/>
      </w:pPr>
      <w:r>
        <w:rPr/>
        <w:t>邮编：710065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为保证院区消防安全，需对消防设备进行维护，每月预算35000元，拟采购一年，服务期限以合同签订日期为准，总预算420000元。</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420,000.00</w:t>
      </w:r>
    </w:p>
    <w:p>
      <w:pPr>
        <w:pStyle w:val="null3"/>
      </w:pPr>
      <w:r>
        <w:rPr/>
        <w:t>采购包最高限价（元）: 420,000.00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消防维保</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pPr>
            <w:r>
              <w:rPr/>
              <w:t>年</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标的名称：消防维保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numPr>
                <w:ilvl w:val="0"/>
                <w:numId w:val="1"/>
              </w:numPr>
              <w:jc w:val="both"/>
            </w:pPr>
            <w:r>
              <w:rPr>
                <w:rFonts w:ascii="宋体" w:hAnsi="宋体" w:cs="宋体" w:eastAsia="宋体"/>
                <w:b/>
                <w:sz w:val="21"/>
              </w:rPr>
              <w:t>一、服务内容</w:t>
            </w:r>
          </w:p>
          <w:p>
            <w:pPr>
              <w:pStyle w:val="null3"/>
              <w:ind w:firstLine="420"/>
              <w:jc w:val="left"/>
            </w:pPr>
            <w:r>
              <w:rPr>
                <w:rFonts w:ascii="宋体" w:hAnsi="宋体" w:cs="宋体" w:eastAsia="宋体"/>
                <w:sz w:val="21"/>
              </w:rPr>
              <w:t>1、乙方为甲方提供本合同第一条所列全部设备合同期内的消防设备维保。对设备硬件故障进行诊断，解决日常工作中存在的问题，小故障自接到甲方通知后【1】小时内处理、排除故障并恢复设备正常运行；若故障较大，需返厂处理，则必须在 7 日完成并恢复设备正常运行，由此产生的全部费用由乙方承担。若故障很大，无法返厂修复的，需甲方进行设备采购。若乙方未能在前述时间内排除故障的，甲方有权委托第三方处理，由此产生的风险及费用由乙方承担。</w:t>
            </w:r>
          </w:p>
          <w:p>
            <w:pPr>
              <w:pStyle w:val="null3"/>
              <w:ind w:firstLine="210"/>
              <w:jc w:val="left"/>
            </w:pPr>
            <w:r>
              <w:rPr>
                <w:rFonts w:ascii="宋体" w:hAnsi="宋体" w:cs="宋体" w:eastAsia="宋体"/>
                <w:sz w:val="21"/>
              </w:rPr>
              <w:t>2、负责西安市公共卫生中心消防设备运行、维保等；</w:t>
            </w:r>
          </w:p>
          <w:p>
            <w:pPr>
              <w:pStyle w:val="null3"/>
              <w:ind w:firstLine="210"/>
              <w:jc w:val="left"/>
            </w:pPr>
            <w:r>
              <w:rPr>
                <w:rFonts w:ascii="宋体" w:hAnsi="宋体" w:cs="宋体" w:eastAsia="宋体"/>
                <w:sz w:val="21"/>
              </w:rPr>
              <w:t xml:space="preserve">3、乙方负责西安市公共卫生中心消防设备维保的全部工作内容。               </w:t>
            </w:r>
          </w:p>
          <w:p>
            <w:pPr>
              <w:pStyle w:val="null3"/>
              <w:ind w:firstLine="210"/>
              <w:jc w:val="left"/>
            </w:pPr>
            <w:r>
              <w:rPr>
                <w:rFonts w:ascii="宋体" w:hAnsi="宋体" w:cs="宋体" w:eastAsia="宋体"/>
                <w:sz w:val="21"/>
              </w:rPr>
              <w:t>4、按照相应系统规范要求，制定科学合理的巡查和工作制度。</w:t>
            </w:r>
          </w:p>
          <w:p>
            <w:pPr>
              <w:pStyle w:val="null3"/>
              <w:ind w:firstLine="210"/>
              <w:jc w:val="left"/>
            </w:pPr>
            <w:r>
              <w:rPr>
                <w:rFonts w:ascii="宋体" w:hAnsi="宋体" w:cs="宋体" w:eastAsia="宋体"/>
                <w:sz w:val="21"/>
              </w:rPr>
              <w:t>5、对消防设备的巡查、运行、保养、维修过程建立完备的记录档案，并按月向甲方主管科室提交月度维护资料、记录等，资料完整，封装完好。</w:t>
            </w:r>
          </w:p>
          <w:p>
            <w:pPr>
              <w:pStyle w:val="null3"/>
              <w:ind w:firstLine="210"/>
              <w:jc w:val="left"/>
            </w:pPr>
            <w:r>
              <w:rPr>
                <w:rFonts w:ascii="宋体" w:hAnsi="宋体" w:cs="宋体" w:eastAsia="宋体"/>
                <w:sz w:val="21"/>
              </w:rPr>
              <w:t xml:space="preserve">6、维保单位必须具有相应工作制度、巡检制度和各项应急预案，并向院方主管科室报备。  </w:t>
            </w:r>
          </w:p>
          <w:p>
            <w:pPr>
              <w:pStyle w:val="null3"/>
              <w:ind w:firstLine="210"/>
              <w:jc w:val="left"/>
            </w:pPr>
            <w:r>
              <w:rPr>
                <w:rFonts w:ascii="宋体" w:hAnsi="宋体" w:cs="宋体" w:eastAsia="宋体"/>
                <w:sz w:val="21"/>
              </w:rPr>
              <w:t>7、维保期结束前，对所管辖设备进行全面维护保养，并且出具年度维保考核评估报告。</w:t>
            </w:r>
          </w:p>
          <w:p>
            <w:pPr>
              <w:pStyle w:val="null3"/>
              <w:ind w:firstLine="210"/>
              <w:jc w:val="left"/>
            </w:pPr>
            <w:r>
              <w:rPr>
                <w:rFonts w:ascii="宋体" w:hAnsi="宋体" w:cs="宋体" w:eastAsia="宋体"/>
                <w:sz w:val="21"/>
              </w:rPr>
              <w:t>8、接到西安市公共卫生中心消防设备维保报修电话后，维保公司应在1小时内到达现场及时分析、排除消防设备故障，并做到工完场清，做好维修记录。</w:t>
            </w:r>
          </w:p>
          <w:p>
            <w:pPr>
              <w:pStyle w:val="null3"/>
              <w:ind w:firstLine="210"/>
              <w:jc w:val="left"/>
            </w:pPr>
            <w:r>
              <w:rPr>
                <w:rFonts w:ascii="宋体" w:hAnsi="宋体" w:cs="宋体" w:eastAsia="宋体"/>
                <w:sz w:val="21"/>
              </w:rPr>
              <w:t>9、成立应急消防队伍，遇重大安全风险，维保公司必须启动应急处理，若不能及时排除故障，当天不能恢复设备的正常运转的，应启动、更换备用机，保证重点部门的正常运转，并将处理情况及时反馈给主管部门负责人，做好记录，禁止隐瞒行为。</w:t>
            </w:r>
          </w:p>
          <w:p>
            <w:pPr>
              <w:pStyle w:val="null3"/>
              <w:ind w:firstLine="210"/>
              <w:jc w:val="left"/>
            </w:pPr>
            <w:r>
              <w:rPr>
                <w:rFonts w:ascii="宋体" w:hAnsi="宋体" w:cs="宋体" w:eastAsia="宋体"/>
                <w:sz w:val="21"/>
              </w:rPr>
              <w:t>10、如遇消防设备的更新、更换、拆移等，维保公司可根据实际情况提出整改方案，并以书面形式递交西安市公共卫生中心，经西安市公共卫生中心同意方案、施工后，方可实施，所产生的费用另行核算。</w:t>
            </w:r>
          </w:p>
          <w:p>
            <w:pPr>
              <w:pStyle w:val="null3"/>
              <w:ind w:firstLine="210"/>
              <w:jc w:val="left"/>
            </w:pPr>
            <w:r>
              <w:rPr>
                <w:rFonts w:ascii="宋体" w:hAnsi="宋体" w:cs="宋体" w:eastAsia="宋体"/>
                <w:sz w:val="21"/>
              </w:rPr>
              <w:t>11、派2名驻场工程师现场服务，且24小时在院区待命，全面保障设备正常运行。</w:t>
            </w:r>
          </w:p>
          <w:p>
            <w:pPr>
              <w:pStyle w:val="null3"/>
              <w:ind w:firstLine="210"/>
              <w:jc w:val="left"/>
            </w:pPr>
            <w:r>
              <w:rPr>
                <w:rFonts w:ascii="宋体" w:hAnsi="宋体" w:cs="宋体" w:eastAsia="宋体"/>
                <w:sz w:val="21"/>
              </w:rPr>
              <w:t>12、设备保养、巡检、维修按照维保手册严格执行。</w:t>
            </w:r>
          </w:p>
          <w:p>
            <w:pPr>
              <w:pStyle w:val="null3"/>
              <w:ind w:firstLine="210"/>
              <w:jc w:val="left"/>
            </w:pPr>
            <w:r>
              <w:rPr>
                <w:rFonts w:ascii="宋体" w:hAnsi="宋体" w:cs="宋体" w:eastAsia="宋体"/>
                <w:sz w:val="21"/>
              </w:rPr>
              <w:t>13、乙方在医院内储备常用备件，保证设备维修及时性。维修、维保所使用的备件费用已包含于合同价款中，本合同履行过程中甲方无需另行支付其他费用。</w:t>
            </w:r>
          </w:p>
          <w:p>
            <w:pPr>
              <w:pStyle w:val="null3"/>
              <w:ind w:firstLine="210"/>
              <w:jc w:val="left"/>
            </w:pPr>
            <w:r>
              <w:rPr>
                <w:rFonts w:ascii="宋体" w:hAnsi="宋体" w:cs="宋体" w:eastAsia="宋体"/>
                <w:sz w:val="21"/>
              </w:rPr>
              <w:t>14、乙方每月对故障情况进行汇总编目，提交甲方进行审核，并提出改进意见。</w:t>
            </w:r>
          </w:p>
          <w:p>
            <w:pPr>
              <w:pStyle w:val="null3"/>
              <w:jc w:val="both"/>
            </w:pPr>
            <w:r>
              <w:rPr>
                <w:rFonts w:ascii="宋体" w:hAnsi="宋体" w:cs="宋体" w:eastAsia="宋体"/>
                <w:b/>
                <w:sz w:val="21"/>
              </w:rPr>
              <w:t>二、技术要求</w:t>
            </w:r>
          </w:p>
          <w:p>
            <w:pPr>
              <w:pStyle w:val="null3"/>
              <w:ind w:firstLine="210"/>
              <w:jc w:val="left"/>
            </w:pPr>
            <w:r>
              <w:rPr>
                <w:rFonts w:ascii="宋体" w:hAnsi="宋体" w:cs="宋体" w:eastAsia="宋体"/>
                <w:sz w:val="21"/>
              </w:rPr>
              <w:t>1、每日对消防设备系统进行巡查，对发现的问题及时记录并汇报给保卫科及维护人员进行处理。发现故障后，报修并及时修复；</w:t>
            </w:r>
          </w:p>
          <w:p>
            <w:pPr>
              <w:pStyle w:val="null3"/>
              <w:ind w:firstLine="210"/>
              <w:jc w:val="left"/>
            </w:pPr>
            <w:r>
              <w:rPr>
                <w:rFonts w:ascii="宋体" w:hAnsi="宋体" w:cs="宋体" w:eastAsia="宋体"/>
                <w:sz w:val="21"/>
              </w:rPr>
              <w:t>2、每日统计当天故障处理情况，注明故障原因、维修内容、修复时间及更换的备品备件情况等记录汇总,并报相关部门；</w:t>
            </w:r>
          </w:p>
          <w:p>
            <w:pPr>
              <w:pStyle w:val="null3"/>
              <w:ind w:firstLine="210"/>
              <w:jc w:val="left"/>
            </w:pPr>
            <w:r>
              <w:rPr>
                <w:rFonts w:ascii="宋体" w:hAnsi="宋体" w:cs="宋体" w:eastAsia="宋体"/>
                <w:sz w:val="21"/>
              </w:rPr>
              <w:t>3、按时上报月报维护、巡检工作情况并及时与主管人员汇报对接；</w:t>
            </w:r>
          </w:p>
          <w:p>
            <w:pPr>
              <w:pStyle w:val="null3"/>
              <w:ind w:firstLine="210"/>
              <w:jc w:val="left"/>
            </w:pPr>
            <w:r>
              <w:rPr>
                <w:rFonts w:ascii="宋体" w:hAnsi="宋体" w:cs="宋体" w:eastAsia="宋体"/>
                <w:sz w:val="21"/>
              </w:rPr>
              <w:t>4、完成相关的消防设备日常的维护，使设备性能达到最佳状态；</w:t>
            </w:r>
          </w:p>
          <w:p>
            <w:pPr>
              <w:pStyle w:val="null3"/>
              <w:ind w:firstLine="210"/>
              <w:jc w:val="left"/>
            </w:pPr>
            <w:r>
              <w:rPr>
                <w:rFonts w:ascii="宋体" w:hAnsi="宋体" w:cs="宋体" w:eastAsia="宋体"/>
                <w:sz w:val="21"/>
              </w:rPr>
              <w:t>5、配合保卫科完成突发情况处置工作以及应急保障任务；</w:t>
            </w:r>
          </w:p>
          <w:p>
            <w:pPr>
              <w:pStyle w:val="null3"/>
              <w:ind w:firstLine="210"/>
              <w:jc w:val="left"/>
            </w:pPr>
            <w:r>
              <w:rPr>
                <w:rFonts w:ascii="宋体" w:hAnsi="宋体" w:cs="宋体" w:eastAsia="宋体"/>
                <w:sz w:val="21"/>
              </w:rPr>
              <w:t>6、配合保卫科完成其他工作，如应急抢修的保障工作等；</w:t>
            </w:r>
          </w:p>
          <w:p>
            <w:pPr>
              <w:pStyle w:val="null3"/>
              <w:ind w:firstLine="210"/>
              <w:jc w:val="left"/>
            </w:pPr>
            <w:r>
              <w:rPr>
                <w:rFonts w:ascii="宋体" w:hAnsi="宋体" w:cs="宋体" w:eastAsia="宋体"/>
                <w:sz w:val="21"/>
              </w:rPr>
              <w:t>7、巡检中发现有可能会危害消防设备的行为，如施工等，应及时制止。</w:t>
            </w:r>
          </w:p>
          <w:p>
            <w:pPr>
              <w:pStyle w:val="null3"/>
              <w:ind w:firstLine="210"/>
              <w:jc w:val="left"/>
            </w:pPr>
            <w:r>
              <w:rPr>
                <w:rFonts w:ascii="宋体" w:hAnsi="宋体" w:cs="宋体" w:eastAsia="宋体"/>
                <w:sz w:val="21"/>
              </w:rPr>
              <w:t>8、配合甲方制定消防应急预案及开展消防演练，定期对院区人员进行消防安全知识培训；</w:t>
            </w:r>
          </w:p>
          <w:p>
            <w:pPr>
              <w:pStyle w:val="null3"/>
              <w:ind w:firstLine="210"/>
              <w:jc w:val="left"/>
            </w:pPr>
            <w:r>
              <w:rPr>
                <w:rFonts w:ascii="宋体" w:hAnsi="宋体" w:cs="宋体" w:eastAsia="宋体"/>
                <w:sz w:val="21"/>
              </w:rPr>
              <w:t>9、定期派专业人员对院区进行消防安全风险排查，出具整改报告，提出整改方案。</w:t>
            </w:r>
          </w:p>
        </w:tc>
      </w:tr>
      <w:tr>
        <w:tc>
          <w:tcPr>
            <w:tcW w:type="dxa" w:w="2769"/>
          </w:tcPr>
          <w:p/>
        </w:tc>
        <w:tc>
          <w:tcPr>
            <w:tcW w:type="dxa" w:w="2769"/>
          </w:tcPr>
          <w:p>
            <w:pPr>
              <w:pStyle w:val="null3"/>
            </w:pPr>
            <w:r>
              <w:rPr/>
              <w:t>2</w:t>
            </w:r>
          </w:p>
        </w:tc>
        <w:tc>
          <w:tcPr>
            <w:tcW w:type="dxa" w:w="2769"/>
          </w:tcPr>
          <w:p>
            <w:pPr>
              <w:pStyle w:val="null3"/>
              <w:ind w:firstLine="211"/>
              <w:jc w:val="left"/>
            </w:pPr>
            <w:r>
              <w:rPr>
                <w:rFonts w:ascii="宋体" w:hAnsi="宋体" w:cs="宋体" w:eastAsia="宋体"/>
                <w:b/>
                <w:sz w:val="21"/>
              </w:rPr>
              <w:t>三、</w:t>
            </w:r>
            <w:r>
              <w:rPr>
                <w:rFonts w:ascii="宋体" w:hAnsi="宋体" w:cs="宋体" w:eastAsia="宋体"/>
                <w:b/>
                <w:sz w:val="21"/>
              </w:rPr>
              <w:t>服务要求</w:t>
            </w:r>
          </w:p>
          <w:p>
            <w:pPr>
              <w:pStyle w:val="null3"/>
              <w:ind w:firstLine="210"/>
              <w:jc w:val="left"/>
            </w:pPr>
            <w:r>
              <w:rPr>
                <w:rFonts w:ascii="宋体" w:hAnsi="宋体" w:cs="宋体" w:eastAsia="宋体"/>
                <w:sz w:val="21"/>
              </w:rPr>
              <w:t>院区常驻</w:t>
            </w:r>
            <w:r>
              <w:rPr>
                <w:rFonts w:ascii="宋体" w:hAnsi="宋体" w:cs="宋体" w:eastAsia="宋体"/>
                <w:sz w:val="21"/>
              </w:rPr>
              <w:t>维</w:t>
            </w:r>
            <w:r>
              <w:rPr>
                <w:rFonts w:ascii="宋体" w:hAnsi="宋体" w:cs="宋体" w:eastAsia="宋体"/>
                <w:sz w:val="21"/>
              </w:rPr>
              <w:t>保</w:t>
            </w:r>
            <w:r>
              <w:rPr>
                <w:rFonts w:ascii="宋体" w:hAnsi="宋体" w:cs="宋体" w:eastAsia="宋体"/>
                <w:sz w:val="21"/>
              </w:rPr>
              <w:t>人员不少于</w:t>
            </w:r>
            <w:r>
              <w:rPr>
                <w:rFonts w:ascii="宋体" w:hAnsi="宋体" w:cs="宋体" w:eastAsia="宋体"/>
                <w:sz w:val="21"/>
              </w:rPr>
              <w:t>2</w:t>
            </w:r>
            <w:r>
              <w:rPr>
                <w:rFonts w:ascii="宋体" w:hAnsi="宋体" w:cs="宋体" w:eastAsia="宋体"/>
                <w:sz w:val="21"/>
              </w:rPr>
              <w:t>人。根据现场工作的需要，按需增加驻场人员，以保证突发应急状况的处理，保证设备正常工作。</w:t>
            </w:r>
          </w:p>
          <w:tbl>
            <w:tblPr>
              <w:tblInd w:type="dxa" w:w="135"/>
              <w:tblBorders>
                <w:top w:val="none" w:color="000000" w:sz="4"/>
                <w:left w:val="none" w:color="000000" w:sz="4"/>
                <w:bottom w:val="none" w:color="000000" w:sz="4"/>
                <w:right w:val="none" w:color="000000" w:sz="4"/>
                <w:insideH w:val="none"/>
                <w:insideV w:val="none"/>
              </w:tblBorders>
            </w:tblPr>
            <w:tblGrid>
              <w:gridCol w:w="578"/>
              <w:gridCol w:w="717"/>
              <w:gridCol w:w="822"/>
              <w:gridCol w:w="430"/>
            </w:tblGrid>
            <w:tr>
              <w:tc>
                <w:tcPr>
                  <w:tcW w:type="dxa" w:w="5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宋体" w:hAnsi="宋体" w:cs="宋体" w:eastAsia="宋体"/>
                      <w:sz w:val="21"/>
                    </w:rPr>
                    <w:t>设备名称</w:t>
                  </w:r>
                </w:p>
              </w:tc>
              <w:tc>
                <w:tcPr>
                  <w:tcW w:type="dxa" w:w="7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left"/>
                  </w:pPr>
                  <w:r>
                    <w:rPr>
                      <w:rFonts w:ascii="宋体" w:hAnsi="宋体" w:cs="宋体" w:eastAsia="宋体"/>
                      <w:sz w:val="21"/>
                    </w:rPr>
                    <w:t>名称</w:t>
                  </w:r>
                </w:p>
              </w:tc>
              <w:tc>
                <w:tcPr>
                  <w:tcW w:type="dxa" w:w="8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60"/>
                    <w:jc w:val="left"/>
                  </w:pPr>
                  <w:r>
                    <w:rPr>
                      <w:rFonts w:ascii="宋体" w:hAnsi="宋体" w:cs="宋体" w:eastAsia="宋体"/>
                      <w:sz w:val="21"/>
                    </w:rPr>
                    <w:t>型号</w:t>
                  </w:r>
                </w:p>
              </w:tc>
              <w:tc>
                <w:tcPr>
                  <w:tcW w:type="dxa" w:w="4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数量（台</w:t>
                  </w:r>
                  <w:r>
                    <w:rPr>
                      <w:rFonts w:ascii="宋体" w:hAnsi="宋体" w:cs="宋体" w:eastAsia="宋体"/>
                      <w:sz w:val="21"/>
                    </w:rPr>
                    <w:t>/张）</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both"/>
                  </w:pPr>
                  <w:r>
                    <w:rPr>
                      <w:rFonts w:ascii="宋体" w:hAnsi="宋体" w:cs="宋体" w:eastAsia="宋体"/>
                      <w:sz w:val="21"/>
                    </w:rPr>
                    <w:t>灭火器</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手提式干粉灭火器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MFZ/ABC3/4型</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466</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both"/>
                  </w:pPr>
                  <w:r>
                    <w:rPr>
                      <w:rFonts w:ascii="宋体" w:hAnsi="宋体" w:cs="宋体" w:eastAsia="宋体"/>
                      <w:sz w:val="21"/>
                    </w:rPr>
                    <w:t>灭火器</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手提式二氧化碳灭火器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HX-MT7 7KG红瓶</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both"/>
                  </w:pPr>
                  <w:r>
                    <w:rPr>
                      <w:rFonts w:ascii="宋体" w:hAnsi="宋体" w:cs="宋体" w:eastAsia="宋体"/>
                      <w:sz w:val="21"/>
                    </w:rPr>
                    <w:t>灭火器</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 xml:space="preserve"> </w:t>
                  </w:r>
                  <w:r>
                    <w:rPr>
                      <w:rFonts w:ascii="宋体" w:hAnsi="宋体" w:cs="宋体" w:eastAsia="宋体"/>
                      <w:sz w:val="21"/>
                    </w:rPr>
                    <w:t>手提式</w:t>
                  </w:r>
                  <w:r>
                    <w:rPr>
                      <w:rFonts w:ascii="宋体" w:hAnsi="宋体" w:cs="宋体" w:eastAsia="宋体"/>
                      <w:sz w:val="21"/>
                    </w:rPr>
                    <w:t>6L灭火器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quot;times new roman&quot;" w:hAnsi="&quot;times new roman&quot;" w:cs="&quot;times new roman&quot;" w:eastAsia="&quot;times new roman&quot;"/>
                      <w:sz w:val="21"/>
                    </w:rPr>
                    <w:t xml:space="preserve"> </w:t>
                  </w:r>
                  <w:r>
                    <w:rPr>
                      <w:rFonts w:ascii="宋体" w:hAnsi="宋体" w:cs="宋体" w:eastAsia="宋体"/>
                      <w:sz w:val="21"/>
                    </w:rPr>
                    <w:t>HX-6L-DW 绿瓶碳钢水基型低温款</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20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both"/>
                  </w:pPr>
                  <w:r>
                    <w:rPr>
                      <w:rFonts w:ascii="宋体" w:hAnsi="宋体" w:cs="宋体" w:eastAsia="宋体"/>
                      <w:sz w:val="21"/>
                    </w:rPr>
                    <w:t>消火栓</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消火栓</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SG18E65Z-J 型 (1800x700x180mm)</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120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both"/>
                  </w:pPr>
                  <w:r>
                    <w:rPr>
                      <w:rFonts w:ascii="宋体" w:hAnsi="宋体" w:cs="宋体" w:eastAsia="宋体"/>
                      <w:sz w:val="21"/>
                    </w:rPr>
                    <w:t>灭火器</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推车式干粉灭火器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MFZT/ABC35</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5</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left"/>
                  </w:pPr>
                  <w:r>
                    <w:rPr>
                      <w:rFonts w:ascii="宋体" w:hAnsi="宋体" w:cs="宋体" w:eastAsia="宋体"/>
                      <w:sz w:val="21"/>
                    </w:rPr>
                    <w:t>灭火器</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推车式</w:t>
                  </w:r>
                  <w:r>
                    <w:rPr>
                      <w:rFonts w:ascii="宋体" w:hAnsi="宋体" w:cs="宋体" w:eastAsia="宋体"/>
                      <w:sz w:val="21"/>
                    </w:rPr>
                    <w:t>25L灭火器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MSTZ/25 绿瓶碳钢水基型</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宋体" w:hAnsi="宋体" w:cs="宋体" w:eastAsia="宋体"/>
                      <w:sz w:val="21"/>
                    </w:rPr>
                    <w:t>防毒面具</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防毒面具</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TZL30型 火灾防烟防毒面具 红色/黄色</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300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探测器及按钮广播</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烟感探测器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JTY-GD-G3</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990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探测器及按钮广播</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火灾声光报警器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HX-100B</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80</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探测器及按钮广播</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手动报警按钮</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J-SAM-GST9122A</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58</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探测器及按钮广播</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消防广播</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YXJ3-4A</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81</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探测器及按钮广播</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温感探测器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JTY-ZCD-G3N</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12</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消防应急指示灯及灯牌</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消防应急指示牌</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356</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消防应急指示灯及灯牌</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消防应急灯</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502</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left"/>
                  </w:pPr>
                  <w:r>
                    <w:rPr>
                      <w:rFonts w:ascii="宋体" w:hAnsi="宋体" w:cs="宋体" w:eastAsia="宋体"/>
                      <w:sz w:val="21"/>
                    </w:rPr>
                    <w:t>排烟风机</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消防高温排烟风机</w:t>
                  </w:r>
                </w:p>
              </w:tc>
              <w:tc>
                <w:tcPr>
                  <w:tcW w:type="dxa" w:w="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HTF（A)-1-7</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57</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left"/>
                  </w:pPr>
                  <w:r>
                    <w:rPr>
                      <w:rFonts w:ascii="宋体" w:hAnsi="宋体" w:cs="宋体" w:eastAsia="宋体"/>
                      <w:sz w:val="21"/>
                    </w:rPr>
                    <w:t>排烟风机</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电动防火调节阀</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SFVD</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232</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30"/>
                    <w:jc w:val="left"/>
                  </w:pPr>
                  <w:r>
                    <w:rPr>
                      <w:rFonts w:ascii="宋体" w:hAnsi="宋体" w:cs="宋体" w:eastAsia="宋体"/>
                      <w:sz w:val="21"/>
                    </w:rPr>
                    <w:t>排烟风机</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消防高温排烟风机</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HTF（A)-1-6.5</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5</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消防电话分机</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TS-GSTN601</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五管网灭火装置</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宋体" w:hAnsi="宋体" w:cs="宋体" w:eastAsia="宋体"/>
                      <w:sz w:val="21"/>
                    </w:rPr>
                    <w:t>90L 药剂88.5KG</w:t>
                  </w:r>
                  <w:r>
                    <w:br/>
                  </w:r>
                  <w:r>
                    <w:rPr>
                      <w:rFonts w:ascii="宋体" w:hAnsi="宋体" w:cs="宋体" w:eastAsia="宋体"/>
                      <w:sz w:val="21"/>
                    </w:rPr>
                    <w:t xml:space="preserve">2.5MPA增压  </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4</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消防电话分机</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TS-GSTN601</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可燃气体报警控制器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JF991</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2</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天然气探测器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JQB-HX2132B</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12</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可燃气体报警控制器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JF991</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1</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天然气探测器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宋体" w:hAnsi="宋体" w:cs="宋体" w:eastAsia="宋体"/>
                      <w:sz w:val="21"/>
                    </w:rPr>
                    <w:t>JQB-HX2132B</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rFonts w:ascii="宋体" w:hAnsi="宋体" w:cs="宋体" w:eastAsia="宋体"/>
                      <w:sz w:val="21"/>
                    </w:rPr>
                    <w:t>8</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消防专用水泵接合器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11</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微型消防站</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4</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1"/>
                    </w:rPr>
                    <w:t>消防专用水泵接合器</w:t>
                  </w:r>
                </w:p>
              </w:tc>
              <w:tc>
                <w:tcPr>
                  <w:tcW w:type="dxa" w:w="8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9</w:t>
                  </w:r>
                </w:p>
              </w:tc>
            </w:tr>
          </w:tbl>
          <w:p/>
        </w:tc>
      </w:tr>
    </w:tbl>
    <w:p>
      <w:pPr>
        <w:pStyle w:val="null3"/>
        <w:outlineLvl w:val="2"/>
      </w:pPr>
      <w:r>
        <w:rPr>
          <w:b/>
          <w:sz w:val="28"/>
        </w:rPr>
        <w:t>3.2.3人员配置要求</w:t>
      </w:r>
    </w:p>
    <w:p>
      <w:pPr>
        <w:pStyle w:val="null3"/>
      </w:pPr>
      <w:r>
        <w:rPr/>
        <w:t>采购包1：</w:t>
      </w:r>
    </w:p>
    <w:p>
      <w:pPr>
        <w:pStyle w:val="null3"/>
      </w:pPr>
      <w:r>
        <w:rPr/>
        <w:t>见磋商文件要求</w:t>
      </w:r>
    </w:p>
    <w:p>
      <w:pPr>
        <w:pStyle w:val="null3"/>
        <w:outlineLvl w:val="2"/>
      </w:pPr>
      <w:r>
        <w:rPr>
          <w:b/>
          <w:sz w:val="28"/>
        </w:rPr>
        <w:t>3.2.4设施设备要求</w:t>
      </w:r>
    </w:p>
    <w:p>
      <w:pPr>
        <w:pStyle w:val="null3"/>
      </w:pPr>
      <w:r>
        <w:rPr/>
        <w:t>采购包1：</w:t>
      </w:r>
    </w:p>
    <w:p>
      <w:pPr>
        <w:pStyle w:val="null3"/>
      </w:pPr>
      <w:r>
        <w:rPr/>
        <w:t>见磋商文件要求</w:t>
      </w:r>
    </w:p>
    <w:p>
      <w:pPr>
        <w:pStyle w:val="null3"/>
        <w:outlineLvl w:val="2"/>
      </w:pPr>
      <w:r>
        <w:rPr>
          <w:b/>
          <w:sz w:val="28"/>
        </w:rPr>
        <w:t>3.2.5其他要求</w:t>
      </w:r>
    </w:p>
    <w:p>
      <w:pPr>
        <w:pStyle w:val="null3"/>
      </w:pPr>
      <w:r>
        <w:rPr/>
        <w:t>采购包1：</w:t>
      </w:r>
    </w:p>
    <w:p>
      <w:pPr>
        <w:pStyle w:val="null3"/>
      </w:pPr>
      <w:r>
        <w:rPr/>
        <w:t>见磋商文件要求</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服务期限一年，以合同签订日期为准</w:t>
      </w:r>
    </w:p>
    <w:p>
      <w:pPr>
        <w:pStyle w:val="null3"/>
        <w:outlineLvl w:val="3"/>
      </w:pPr>
      <w:r>
        <w:rPr>
          <w:b/>
          <w:sz w:val="24"/>
        </w:rPr>
        <w:t>3.3.2服务地点</w:t>
      </w:r>
    </w:p>
    <w:p>
      <w:pPr>
        <w:pStyle w:val="null3"/>
      </w:pPr>
      <w:r>
        <w:rPr/>
        <w:t>采购包1：</w:t>
      </w:r>
    </w:p>
    <w:p>
      <w:pPr>
        <w:pStyle w:val="null3"/>
      </w:pPr>
      <w:r>
        <w:rPr/>
        <w:t>甲方指定地点</w:t>
      </w:r>
    </w:p>
    <w:p>
      <w:pPr>
        <w:pStyle w:val="null3"/>
        <w:outlineLvl w:val="3"/>
      </w:pPr>
      <w:r>
        <w:rPr>
          <w:b/>
          <w:sz w:val="24"/>
        </w:rPr>
        <w:t>3.3.3考核（验收）标准和方法</w:t>
      </w:r>
    </w:p>
    <w:p>
      <w:pPr>
        <w:pStyle w:val="null3"/>
      </w:pPr>
      <w:r>
        <w:rPr/>
        <w:t>采购包1：</w:t>
      </w:r>
    </w:p>
    <w:p>
      <w:pPr>
        <w:pStyle w:val="null3"/>
      </w:pPr>
      <w:r>
        <w:rPr/>
        <w:t>（一）质量验收标准或规范 1、乙方应根据维保服务方案规范进行维保服务工作，甲方在服务过程中起到配合、监督及管理的作用。 2、在维保服务期内，如果发现服务内容、服务质量等存在与合同中任何一项不符，甲方应在最短时间内，以书面形式向乙方提出索赔。 3.每次维修完成后，由甲乙双方共同验收，并填写书面验收单。</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按月据实结算服务费，乙方应在甲方付款前【十】日向甲方提供等额合规发票，否则甲方付款期限顺延，且不承担任何责任。</w:t>
      </w:r>
      <w:r>
        <w:rPr/>
        <w:t xml:space="preserve"> ，达到付款条件起 </w:t>
      </w:r>
      <w:r>
        <w:rPr/>
        <w:t>10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违约责任 1、甲、乙双方任何一方违反本协议制定，应承担违约责任，双方约定违约金为本合同金额的5%。 2、若乙方未按本合同约定履行任意合同义务的，乙方应无条件在甲方要求的期限内整改，若整改后履行仍不符合合同约定或甲方要求的，甲方有权单方解除本协议，乙方应按合同总价的【5】%向甲方支付违约金，违约金不足以赔偿甲方损失的，由乙方另行承担。 3、因乙方原因导致甲方设备给甲方或任何第三人造成的人身、财产损失由乙方承担，给甲方造成的损失甲方有权向乙方追偿。</w:t>
      </w:r>
    </w:p>
    <w:p>
      <w:pPr>
        <w:pStyle w:val="null3"/>
        <w:outlineLvl w:val="2"/>
      </w:pPr>
      <w:r>
        <w:rPr>
          <w:b/>
          <w:sz w:val="28"/>
        </w:rPr>
        <w:t>3.4其他要求</w:t>
      </w:r>
    </w:p>
    <w:p>
      <w:pPr>
        <w:pStyle w:val="null3"/>
      </w:pPr>
      <w:r>
        <w:rPr/>
        <w:t>见磋商文件要求</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资格要求</w:t>
            </w:r>
          </w:p>
        </w:tc>
        <w:tc>
          <w:tcPr>
            <w:tcW w:type="dxa" w:w="3322"/>
          </w:tcPr>
          <w:p>
            <w:pPr>
              <w:pStyle w:val="null3"/>
            </w:pPr>
            <w:r>
              <w:rPr/>
              <w:t>供应商须为合法注册的法人、其他组织或者自然人，并具有独立承担民事责任的能力，提供统一社会信用代码的营业执照（或事业法人证、自然人身份证）等合法证明文件；</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资格要求</w:t>
            </w:r>
          </w:p>
        </w:tc>
        <w:tc>
          <w:tcPr>
            <w:tcW w:type="dxa" w:w="3322"/>
          </w:tcPr>
          <w:p>
            <w:pPr>
              <w:pStyle w:val="null3"/>
            </w:pPr>
            <w:r>
              <w:rPr/>
              <w:t>须提供法定代表人授权书（附法定代表人（主要负责人）、被授权人身份证复印件）及被授权人身份证，法定代表人（主要负责人）直接参加投标，须提供本人身份证（附法人（主要负责人）身份证复印件）；</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资格要求</w:t>
            </w:r>
          </w:p>
        </w:tc>
        <w:tc>
          <w:tcPr>
            <w:tcW w:type="dxa" w:w="3322"/>
          </w:tcPr>
          <w:p>
            <w:pPr>
              <w:pStyle w:val="null3"/>
            </w:pPr>
            <w:r>
              <w:rPr/>
              <w:t>供应商在社会消防技术服务信息系统(https://shhxf.119.gov.cn/templet/index 7.jsp) 可查询，提供查询截图；</w:t>
            </w:r>
          </w:p>
        </w:tc>
        <w:tc>
          <w:tcPr>
            <w:tcW w:type="dxa" w:w="1661"/>
          </w:tcPr>
          <w:p>
            <w:pPr>
              <w:pStyle w:val="null3"/>
            </w:pPr>
            <w:r>
              <w:rPr/>
              <w:t>资格证明材料 响应函</w:t>
            </w:r>
          </w:p>
        </w:tc>
      </w:tr>
      <w:tr>
        <w:tc>
          <w:tcPr>
            <w:tcW w:type="dxa" w:w="831"/>
          </w:tcPr>
          <w:p>
            <w:pPr>
              <w:pStyle w:val="null3"/>
            </w:pPr>
            <w:r>
              <w:rPr/>
              <w:t>4</w:t>
            </w:r>
          </w:p>
        </w:tc>
        <w:tc>
          <w:tcPr>
            <w:tcW w:type="dxa" w:w="2492"/>
          </w:tcPr>
          <w:p>
            <w:pPr>
              <w:pStyle w:val="null3"/>
            </w:pPr>
            <w:r>
              <w:rPr/>
              <w:t>资格要求</w:t>
            </w:r>
          </w:p>
        </w:tc>
        <w:tc>
          <w:tcPr>
            <w:tcW w:type="dxa" w:w="3322"/>
          </w:tcPr>
          <w:p>
            <w:pPr>
              <w:pStyle w:val="null3"/>
            </w:pPr>
            <w:r>
              <w:rPr/>
              <w:t>供应商须具备消防设施工程专业承包二级及以上资质；</w:t>
            </w:r>
          </w:p>
        </w:tc>
        <w:tc>
          <w:tcPr>
            <w:tcW w:type="dxa" w:w="1661"/>
          </w:tcPr>
          <w:p>
            <w:pPr>
              <w:pStyle w:val="null3"/>
            </w:pPr>
            <w:r>
              <w:rPr/>
              <w:t>资格证明材料 响应函</w:t>
            </w:r>
          </w:p>
        </w:tc>
      </w:tr>
      <w:tr>
        <w:tc>
          <w:tcPr>
            <w:tcW w:type="dxa" w:w="831"/>
          </w:tcPr>
          <w:p>
            <w:pPr>
              <w:pStyle w:val="null3"/>
            </w:pPr>
            <w:r>
              <w:rPr/>
              <w:t>5</w:t>
            </w:r>
          </w:p>
        </w:tc>
        <w:tc>
          <w:tcPr>
            <w:tcW w:type="dxa" w:w="2492"/>
          </w:tcPr>
          <w:p>
            <w:pPr>
              <w:pStyle w:val="null3"/>
            </w:pPr>
            <w:r>
              <w:rPr/>
              <w:t>资格要求</w:t>
            </w:r>
          </w:p>
        </w:tc>
        <w:tc>
          <w:tcPr>
            <w:tcW w:type="dxa" w:w="3322"/>
          </w:tcPr>
          <w:p>
            <w:pPr>
              <w:pStyle w:val="null3"/>
            </w:pPr>
            <w:r>
              <w:rPr/>
              <w:t>项目负责人应当具备注册消防工程师资格；</w:t>
            </w:r>
          </w:p>
        </w:tc>
        <w:tc>
          <w:tcPr>
            <w:tcW w:type="dxa" w:w="1661"/>
          </w:tcPr>
          <w:p>
            <w:pPr>
              <w:pStyle w:val="null3"/>
            </w:pPr>
            <w:r>
              <w:rPr/>
              <w:t>资格证明材料 响应函</w:t>
            </w:r>
          </w:p>
        </w:tc>
      </w:tr>
      <w:tr>
        <w:tc>
          <w:tcPr>
            <w:tcW w:type="dxa" w:w="831"/>
          </w:tcPr>
          <w:p>
            <w:pPr>
              <w:pStyle w:val="null3"/>
            </w:pPr>
            <w:r>
              <w:rPr/>
              <w:t>6</w:t>
            </w:r>
          </w:p>
        </w:tc>
        <w:tc>
          <w:tcPr>
            <w:tcW w:type="dxa" w:w="2492"/>
          </w:tcPr>
          <w:p>
            <w:pPr>
              <w:pStyle w:val="null3"/>
            </w:pPr>
            <w:r>
              <w:rPr/>
              <w:t>资格要求</w:t>
            </w:r>
          </w:p>
        </w:tc>
        <w:tc>
          <w:tcPr>
            <w:tcW w:type="dxa" w:w="3322"/>
          </w:tcPr>
          <w:p>
            <w:pPr>
              <w:pStyle w:val="null3"/>
            </w:pPr>
            <w:r>
              <w:rPr/>
              <w:t>税收缴纳证明：提供2023年度至今已缴纳的任意六个月的纳税证明或完税证明，依法免税的单位应提供相关证明材料（加盖供应商公章）；</w:t>
            </w:r>
          </w:p>
        </w:tc>
        <w:tc>
          <w:tcPr>
            <w:tcW w:type="dxa" w:w="1661"/>
          </w:tcPr>
          <w:p>
            <w:pPr>
              <w:pStyle w:val="null3"/>
            </w:pPr>
            <w:r>
              <w:rPr/>
              <w:t>资格证明材料 响应函</w:t>
            </w:r>
          </w:p>
        </w:tc>
      </w:tr>
      <w:tr>
        <w:tc>
          <w:tcPr>
            <w:tcW w:type="dxa" w:w="831"/>
          </w:tcPr>
          <w:p>
            <w:pPr>
              <w:pStyle w:val="null3"/>
            </w:pPr>
            <w:r>
              <w:rPr/>
              <w:t>7</w:t>
            </w:r>
          </w:p>
        </w:tc>
        <w:tc>
          <w:tcPr>
            <w:tcW w:type="dxa" w:w="2492"/>
          </w:tcPr>
          <w:p>
            <w:pPr>
              <w:pStyle w:val="null3"/>
            </w:pPr>
            <w:r>
              <w:rPr/>
              <w:t>资格要求</w:t>
            </w:r>
          </w:p>
        </w:tc>
        <w:tc>
          <w:tcPr>
            <w:tcW w:type="dxa" w:w="3322"/>
          </w:tcPr>
          <w:p>
            <w:pPr>
              <w:pStyle w:val="null3"/>
            </w:pPr>
            <w:r>
              <w:rPr/>
              <w:t>财务状况报告：提供2022年的财务审计报告（至少包括资产负债表、利润表、现金流量表等），成立时间至提交响应文件截止时间不足一年的可提供其基本存款账户开户银行出具的资信证明及基本存款账户开户许可证；</w:t>
            </w:r>
          </w:p>
        </w:tc>
        <w:tc>
          <w:tcPr>
            <w:tcW w:type="dxa" w:w="1661"/>
          </w:tcPr>
          <w:p>
            <w:pPr>
              <w:pStyle w:val="null3"/>
            </w:pPr>
            <w:r>
              <w:rPr/>
              <w:t>资格证明材料 响应函</w:t>
            </w:r>
          </w:p>
        </w:tc>
      </w:tr>
      <w:tr>
        <w:tc>
          <w:tcPr>
            <w:tcW w:type="dxa" w:w="831"/>
          </w:tcPr>
          <w:p>
            <w:pPr>
              <w:pStyle w:val="null3"/>
            </w:pPr>
            <w:r>
              <w:rPr/>
              <w:t>8</w:t>
            </w:r>
          </w:p>
        </w:tc>
        <w:tc>
          <w:tcPr>
            <w:tcW w:type="dxa" w:w="2492"/>
          </w:tcPr>
          <w:p>
            <w:pPr>
              <w:pStyle w:val="null3"/>
            </w:pPr>
            <w:r>
              <w:rPr/>
              <w:t>资格要求</w:t>
            </w:r>
          </w:p>
        </w:tc>
        <w:tc>
          <w:tcPr>
            <w:tcW w:type="dxa" w:w="3322"/>
          </w:tcPr>
          <w:p>
            <w:pPr>
              <w:pStyle w:val="null3"/>
            </w:pPr>
            <w:r>
              <w:rPr/>
              <w:t>社会保障资金缴纳证明：提供2023年度至今已缴存的任意六个月的社会保障资金缴存单据或社保机构开具的社会保险参保缴费情况证明，依法不需要缴纳社会保障资金的单位应提供相关证明材料（加盖供应商公章）；</w:t>
            </w:r>
          </w:p>
        </w:tc>
        <w:tc>
          <w:tcPr>
            <w:tcW w:type="dxa" w:w="1661"/>
          </w:tcPr>
          <w:p>
            <w:pPr>
              <w:pStyle w:val="null3"/>
            </w:pPr>
            <w:r>
              <w:rPr/>
              <w:t>资格证明材料 响应函</w:t>
            </w:r>
          </w:p>
        </w:tc>
      </w:tr>
      <w:tr>
        <w:tc>
          <w:tcPr>
            <w:tcW w:type="dxa" w:w="831"/>
          </w:tcPr>
          <w:p>
            <w:pPr>
              <w:pStyle w:val="null3"/>
            </w:pPr>
            <w:r>
              <w:rPr/>
              <w:t>9</w:t>
            </w:r>
          </w:p>
        </w:tc>
        <w:tc>
          <w:tcPr>
            <w:tcW w:type="dxa" w:w="2492"/>
          </w:tcPr>
          <w:p>
            <w:pPr>
              <w:pStyle w:val="null3"/>
            </w:pPr>
            <w:r>
              <w:rPr/>
              <w:t>资格要求</w:t>
            </w:r>
          </w:p>
        </w:tc>
        <w:tc>
          <w:tcPr>
            <w:tcW w:type="dxa" w:w="3322"/>
          </w:tcPr>
          <w:p>
            <w:pPr>
              <w:pStyle w:val="null3"/>
            </w:pPr>
            <w:r>
              <w:rPr/>
              <w:t>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t>资格证明材料 响应函</w:t>
            </w:r>
          </w:p>
        </w:tc>
      </w:tr>
      <w:tr>
        <w:tc>
          <w:tcPr>
            <w:tcW w:type="dxa" w:w="831"/>
          </w:tcPr>
          <w:p>
            <w:pPr>
              <w:pStyle w:val="null3"/>
            </w:pPr>
            <w:r>
              <w:rPr/>
              <w:t>10</w:t>
            </w:r>
          </w:p>
        </w:tc>
        <w:tc>
          <w:tcPr>
            <w:tcW w:type="dxa" w:w="2492"/>
          </w:tcPr>
          <w:p>
            <w:pPr>
              <w:pStyle w:val="null3"/>
            </w:pPr>
            <w:r>
              <w:rPr/>
              <w:t>资格要求</w:t>
            </w:r>
          </w:p>
        </w:tc>
        <w:tc>
          <w:tcPr>
            <w:tcW w:type="dxa" w:w="3322"/>
          </w:tcPr>
          <w:p>
            <w:pPr>
              <w:pStyle w:val="null3"/>
            </w:pPr>
            <w:r>
              <w:rPr/>
              <w:t>供应商应出具参加政府采购活动前3年内在经营活动中没有重大违法记录的书面声明；</w:t>
            </w:r>
          </w:p>
        </w:tc>
        <w:tc>
          <w:tcPr>
            <w:tcW w:type="dxa" w:w="1661"/>
          </w:tcPr>
          <w:p>
            <w:pPr>
              <w:pStyle w:val="null3"/>
            </w:pPr>
            <w:r>
              <w:rPr/>
              <w:t>资格证明材料 响应函</w:t>
            </w:r>
          </w:p>
        </w:tc>
      </w:tr>
      <w:tr>
        <w:tc>
          <w:tcPr>
            <w:tcW w:type="dxa" w:w="831"/>
          </w:tcPr>
          <w:p>
            <w:pPr>
              <w:pStyle w:val="null3"/>
            </w:pPr>
            <w:r>
              <w:rPr/>
              <w:t>11</w:t>
            </w:r>
          </w:p>
        </w:tc>
        <w:tc>
          <w:tcPr>
            <w:tcW w:type="dxa" w:w="2492"/>
          </w:tcPr>
          <w:p>
            <w:pPr>
              <w:pStyle w:val="null3"/>
            </w:pPr>
            <w:r>
              <w:rPr/>
              <w:t>资格要求</w:t>
            </w:r>
          </w:p>
        </w:tc>
        <w:tc>
          <w:tcPr>
            <w:tcW w:type="dxa" w:w="3322"/>
          </w:tcPr>
          <w:p>
            <w:pPr>
              <w:pStyle w:val="null3"/>
            </w:pPr>
            <w:r>
              <w:rPr/>
              <w:t>提供具有履行本项目合同所必需的设备和专业能力的承诺书</w:t>
            </w:r>
          </w:p>
        </w:tc>
        <w:tc>
          <w:tcPr>
            <w:tcW w:type="dxa" w:w="1661"/>
          </w:tcPr>
          <w:p>
            <w:pPr>
              <w:pStyle w:val="null3"/>
            </w:pPr>
            <w:r>
              <w:rPr/>
              <w:t>资格证明材料 响应函</w:t>
            </w:r>
          </w:p>
        </w:tc>
      </w:tr>
      <w:tr>
        <w:tc>
          <w:tcPr>
            <w:tcW w:type="dxa" w:w="831"/>
          </w:tcPr>
          <w:p>
            <w:pPr>
              <w:pStyle w:val="null3"/>
            </w:pPr>
            <w:r>
              <w:rPr/>
              <w:t>12</w:t>
            </w:r>
          </w:p>
        </w:tc>
        <w:tc>
          <w:tcPr>
            <w:tcW w:type="dxa" w:w="2492"/>
          </w:tcPr>
          <w:p>
            <w:pPr>
              <w:pStyle w:val="null3"/>
            </w:pPr>
            <w:r>
              <w:rPr/>
              <w:t>资格要求</w:t>
            </w:r>
          </w:p>
        </w:tc>
        <w:tc>
          <w:tcPr>
            <w:tcW w:type="dxa" w:w="3322"/>
          </w:tcPr>
          <w:p>
            <w:pPr>
              <w:pStyle w:val="null3"/>
            </w:pPr>
            <w:r>
              <w:rPr/>
              <w:t>本项目不接受联合体磋商。</w:t>
            </w:r>
          </w:p>
        </w:tc>
        <w:tc>
          <w:tcPr>
            <w:tcW w:type="dxa" w:w="1661"/>
          </w:tcPr>
          <w:p>
            <w:pPr>
              <w:pStyle w:val="null3"/>
            </w:pPr>
            <w:r>
              <w:rPr/>
              <w:t>资格证明材料 响应函</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磋商一览表</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磋商响应文件内容齐全、无遗漏且符合采购文件要求</w:t>
            </w:r>
          </w:p>
        </w:tc>
        <w:tc>
          <w:tcPr>
            <w:tcW w:type="dxa" w:w="1661"/>
          </w:tcPr>
          <w:p>
            <w:pPr>
              <w:pStyle w:val="null3"/>
            </w:pPr>
            <w:r>
              <w:rPr/>
              <w:t>服务内容及服务邀请应答表 中小企业声明函 商务应答表 资格证明材料 报价表 磋商一览表 响应文件封面 残疾人福利性单位声明函 服务方案 标的清单 供应商承诺书 响应函 监狱企业的证明文件</w:t>
            </w:r>
          </w:p>
        </w:tc>
      </w:tr>
      <w:tr>
        <w:tc>
          <w:tcPr>
            <w:tcW w:type="dxa" w:w="831"/>
          </w:tcPr>
          <w:p>
            <w:pPr>
              <w:pStyle w:val="null3"/>
            </w:pPr>
            <w:r>
              <w:rPr/>
              <w:t>3</w:t>
            </w:r>
          </w:p>
        </w:tc>
        <w:tc>
          <w:tcPr>
            <w:tcW w:type="dxa" w:w="2492"/>
          </w:tcPr>
          <w:p>
            <w:pPr>
              <w:pStyle w:val="null3"/>
            </w:pPr>
            <w:r>
              <w:rPr/>
              <w:t>响应文件签章</w:t>
            </w:r>
          </w:p>
        </w:tc>
        <w:tc>
          <w:tcPr>
            <w:tcW w:type="dxa" w:w="3322"/>
          </w:tcPr>
          <w:p>
            <w:pPr>
              <w:pStyle w:val="null3"/>
            </w:pPr>
            <w:r>
              <w:rPr/>
              <w:t>签章均符合采购文件要求，且无遗漏。</w:t>
            </w:r>
          </w:p>
        </w:tc>
        <w:tc>
          <w:tcPr>
            <w:tcW w:type="dxa" w:w="1661"/>
          </w:tcPr>
          <w:p>
            <w:pPr>
              <w:pStyle w:val="null3"/>
            </w:pPr>
            <w:r>
              <w:rPr/>
              <w:t>服务内容及服务邀请应答表 中小企业声明函 商务应答表 资格证明材料 报价表 磋商一览表 响应文件封面 残疾人福利性单位声明函 服务方案 标的清单 供应商承诺书 响应函 监狱企业的证明文件</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符合磋商文件的要求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磋商报价</w:t>
            </w:r>
          </w:p>
        </w:tc>
        <w:tc>
          <w:tcPr>
            <w:tcW w:type="dxa" w:w="3322"/>
          </w:tcPr>
          <w:p>
            <w:pPr>
              <w:pStyle w:val="null3"/>
            </w:pPr>
            <w:r>
              <w:rPr/>
              <w:t>同时满足以下条款： （1）货币单位符合采购文件要求 （2）报价符合唯一性要求 （3）未超出采购预算或最高限价</w:t>
            </w:r>
          </w:p>
        </w:tc>
        <w:tc>
          <w:tcPr>
            <w:tcW w:type="dxa" w:w="1661"/>
          </w:tcPr>
          <w:p>
            <w:pPr>
              <w:pStyle w:val="null3"/>
            </w:pPr>
            <w:r>
              <w:rPr/>
              <w:t>响应文件封面 商务应答表 标的清单 报价表 磋商一览表</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符合磋商文件的要求</w:t>
            </w:r>
          </w:p>
        </w:tc>
        <w:tc>
          <w:tcPr>
            <w:tcW w:type="dxa" w:w="1661"/>
          </w:tcPr>
          <w:p>
            <w:pPr>
              <w:pStyle w:val="null3"/>
            </w:pPr>
            <w:r>
              <w:rPr/>
              <w:t>响应文件封面 商务应答表 服务方案 标的清单 报价表 响应函 磋商一览表</w:t>
            </w:r>
          </w:p>
        </w:tc>
      </w:tr>
      <w:tr>
        <w:tc>
          <w:tcPr>
            <w:tcW w:type="dxa" w:w="831"/>
          </w:tcPr>
          <w:p>
            <w:pPr>
              <w:pStyle w:val="null3"/>
            </w:pPr>
            <w:r>
              <w:rPr/>
              <w:t>7</w:t>
            </w:r>
          </w:p>
        </w:tc>
        <w:tc>
          <w:tcPr>
            <w:tcW w:type="dxa" w:w="2492"/>
          </w:tcPr>
          <w:p>
            <w:pPr>
              <w:pStyle w:val="null3"/>
            </w:pPr>
            <w:r>
              <w:rPr/>
              <w:t>服务标准</w:t>
            </w:r>
          </w:p>
        </w:tc>
        <w:tc>
          <w:tcPr>
            <w:tcW w:type="dxa" w:w="3322"/>
          </w:tcPr>
          <w:p>
            <w:pPr>
              <w:pStyle w:val="null3"/>
            </w:pPr>
            <w:r>
              <w:rPr/>
              <w:t>符合磋商文件的要求</w:t>
            </w:r>
          </w:p>
        </w:tc>
        <w:tc>
          <w:tcPr>
            <w:tcW w:type="dxa" w:w="1661"/>
          </w:tcPr>
          <w:p>
            <w:pPr>
              <w:pStyle w:val="null3"/>
            </w:pPr>
            <w:r>
              <w:rPr/>
              <w:t>响应文件封面 服务方案 标的清单 报价表 磋商一览表</w:t>
            </w:r>
          </w:p>
        </w:tc>
      </w:tr>
      <w:tr>
        <w:tc>
          <w:tcPr>
            <w:tcW w:type="dxa" w:w="831"/>
          </w:tcPr>
          <w:p>
            <w:pPr>
              <w:pStyle w:val="null3"/>
            </w:pPr>
            <w:r>
              <w:rPr/>
              <w:t>8</w:t>
            </w:r>
          </w:p>
        </w:tc>
        <w:tc>
          <w:tcPr>
            <w:tcW w:type="dxa" w:w="2492"/>
          </w:tcPr>
          <w:p>
            <w:pPr>
              <w:pStyle w:val="null3"/>
            </w:pPr>
            <w:r>
              <w:rPr/>
              <w:t>合同条款响应</w:t>
            </w:r>
          </w:p>
        </w:tc>
        <w:tc>
          <w:tcPr>
            <w:tcW w:type="dxa" w:w="3322"/>
          </w:tcPr>
          <w:p>
            <w:pPr>
              <w:pStyle w:val="null3"/>
            </w:pPr>
            <w:r>
              <w:rPr/>
              <w:t>符合磋商文件的要求</w:t>
            </w:r>
          </w:p>
        </w:tc>
        <w:tc>
          <w:tcPr>
            <w:tcW w:type="dxa" w:w="1661"/>
          </w:tcPr>
          <w:p>
            <w:pPr>
              <w:pStyle w:val="null3"/>
            </w:pPr>
            <w:r>
              <w:rPr/>
              <w:t>响应文件封面 服务内容及服务邀请应答表 商务应答表 服务方案 标的清单 报价表 磋商一览表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根据本项目列出具体的维保服务方案，维保服务方案合理、可行，根据响应情况，按差别计分。 维保服务方案合理、可行，得10-15分； 维保服务方案基本合理、可行，得5-10分之间进行赋分； 维保服务方案较差，得0-5分。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派驻本项目的人员配备</w:t>
            </w:r>
          </w:p>
        </w:tc>
        <w:tc>
          <w:tcPr>
            <w:tcW w:type="dxa" w:w="2492"/>
          </w:tcPr>
          <w:p>
            <w:pPr>
              <w:pStyle w:val="null3"/>
            </w:pPr>
            <w:r>
              <w:rPr/>
              <w:t>针对本项目配备专职人员（项目负责人≥1名、安全负责人≥1名、控制室值班人员≥2名、维修保养人员≥2名）专业的维保人员、维保设备，根据响应情况，按差别赋分。 人员配备齐全并且专业，得10-15分； 人员备配备较齐全并且专业，得5-10分之间进行赋分； 人员配备较差，得0-5分。 注： 1、项目负责人1名：持有一级注册消防工程师证；2、安全负责人1名：持有消防设施操作员中级及以上证书；3、控制室值班人员2名：持有中级及以上消防设施操作员证，24小时倒班，在消防控制室值班，遵从医院管理； 4、维修保养人员2名：持有中级及以上消防设施操作员证，具有消防设施维修保养能力，每月对消防设施进行常规测试，接到紧急故障报修时1小时内到场处置。</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管理制度</w:t>
            </w:r>
          </w:p>
        </w:tc>
        <w:tc>
          <w:tcPr>
            <w:tcW w:type="dxa" w:w="2492"/>
          </w:tcPr>
          <w:p>
            <w:pPr>
              <w:pStyle w:val="null3"/>
            </w:pPr>
            <w:r>
              <w:rPr/>
              <w:t>确保消防设施正常工作的质量保证措施。根据响应情况，按差别赋分。 质量保证措施合理、可行，得10～15分； 质量保证措施基本合理、可行，得5～10分； 质量保证措施较差，得0～5分。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维修设备配置</w:t>
            </w:r>
          </w:p>
        </w:tc>
        <w:tc>
          <w:tcPr>
            <w:tcW w:type="dxa" w:w="2492"/>
          </w:tcPr>
          <w:p>
            <w:pPr>
              <w:pStyle w:val="null3"/>
            </w:pPr>
            <w:r>
              <w:rPr/>
              <w:t>针对本项目配备的维保设备，根据响应情况，按差别赋分。 维保设备配备齐全、可行性高，得3-5分； 维保设备配备较齐全，具有一定的可行性，得2-3分之间进行赋分； 维保设备配备较差，得0-2分。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零配件供应</w:t>
            </w:r>
          </w:p>
        </w:tc>
        <w:tc>
          <w:tcPr>
            <w:tcW w:type="dxa" w:w="2492"/>
          </w:tcPr>
          <w:p>
            <w:pPr>
              <w:pStyle w:val="null3"/>
            </w:pPr>
            <w:r>
              <w:rPr/>
              <w:t>确保消防设施的正常使用，保证消防设施备品配件的正常供应，根据响应情况，按差别赋分。 零配件库供应充足，得3-5分； 零配件库供应较充足，得2-3分； 零配件库供应较差，得0-2分。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应急措施</w:t>
            </w:r>
          </w:p>
        </w:tc>
        <w:tc>
          <w:tcPr>
            <w:tcW w:type="dxa" w:w="2492"/>
          </w:tcPr>
          <w:p>
            <w:pPr>
              <w:pStyle w:val="null3"/>
            </w:pPr>
            <w:r>
              <w:rPr/>
              <w:t>发生故障或事故时具有应急能力，应急方案合理、可行。根据响应情况，按差别计分。 应急预案合理、可行，得7-10分； 应急预案基本合理、可行，得3-7分之间进行赋分； 应急预案较差，得0-3分。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培训方案</w:t>
            </w:r>
          </w:p>
        </w:tc>
        <w:tc>
          <w:tcPr>
            <w:tcW w:type="dxa" w:w="2492"/>
          </w:tcPr>
          <w:p>
            <w:pPr>
              <w:pStyle w:val="null3"/>
            </w:pPr>
            <w:r>
              <w:rPr/>
              <w:t>对上岗工作人员进行控感培训的承诺：对上岗工作人员进行控感培训的承诺及项目实施过程中对工作人员控感培训的计划及承诺，根据响应情况，按差别计分。有承诺，计划合理、可行，得 3-5 分；有承诺，计划基本合理、可行，得 2-3 分；有承诺，计划较差，得 0-2 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供应商针对本项目有具体的服务承诺(包括但不限于服务质量承诺、服务时间、人员到位情况、安全保障等),根据响应程度计0-5 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增值服务</w:t>
            </w:r>
          </w:p>
        </w:tc>
        <w:tc>
          <w:tcPr>
            <w:tcW w:type="dxa" w:w="2492"/>
          </w:tcPr>
          <w:p>
            <w:pPr>
              <w:pStyle w:val="null3"/>
            </w:pPr>
            <w:r>
              <w:rPr/>
              <w:t>供应商根据自身实力针对本项目提供免费增值服务，列出有利于本项目消防安全保障的相关服务，根据服务程度计0-5 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供应商提供2020年11月至今类似项目业绩，业绩证明材料以竞争性磋商响应文件中提供的合同复印件为准。每提供1份得2分，满分10分。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即满足磋商文件要求且最终报价最低的价格为磋商基准价，其价格分为满分。其他投标人的价格分统一按照下列公式计算： 磋商报价得分=（磋商基准价/最终磋商报价）×价格权值×100 超出预算的磋商报价在评审过程中按无效投标处理。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详见附件：磋商一览表</w:t>
      </w:r>
    </w:p>
    <w:p>
      <w:pPr>
        <w:pStyle w:val="null3"/>
        <w:ind w:firstLine="960"/>
      </w:pPr>
      <w:r>
        <w:rPr/>
        <w:t>详见附件：资格证明材料</w:t>
      </w:r>
    </w:p>
    <w:p>
      <w:pPr>
        <w:pStyle w:val="null3"/>
        <w:ind w:firstLine="960"/>
      </w:pPr>
      <w:r>
        <w:rPr/>
        <w:t>详见附件：供应商承诺书</w:t>
      </w:r>
    </w:p>
    <w:p>
      <w:pPr>
        <w:pStyle w:val="null3"/>
      </w:pPr>
      <w:r>
        <w:rPr/>
        <w:t xml:space="preserve"> </w:t>
      </w:r>
    </w:p>
    <w:p>
      <w:pPr>
        <w:pStyle w:val="null3"/>
        <w:jc w:val="center"/>
        <w:outlineLvl w:val="1"/>
      </w:pPr>
      <w:r>
        <w:rPr>
          <w:b/>
          <w:sz w:val="36"/>
        </w:rPr>
        <w:t>第八章 拟签订采购合同文本</w:t>
      </w:r>
    </w:p>
    <w:p>
      <w:pPr>
        <w:pStyle w:val="null3"/>
      </w:pPr>
      <w:r>
        <w:rPr/>
        <w:t>详见附件：第五章 政府采购合同格式.docx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