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采购项目编号：SCZB2023-JT-1595-001</w:t>
      </w: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pPr>
        <w:tabs>
          <w:tab w:val="left" w:pos="5670"/>
        </w:tabs>
        <w:autoSpaceDE w:val="0"/>
        <w:autoSpaceDN w:val="0"/>
        <w:adjustRightInd w:val="0"/>
        <w:snapToGrid w:val="0"/>
        <w:spacing w:line="360" w:lineRule="auto"/>
        <w:jc w:val="both"/>
        <w:rPr>
          <w:rFonts w:hint="eastAsia" w:ascii="仿宋" w:hAnsi="仿宋" w:eastAsia="仿宋" w:cs="仿宋"/>
          <w:color w:val="auto"/>
          <w:sz w:val="32"/>
          <w:szCs w:val="32"/>
          <w:highlight w:val="none"/>
        </w:rPr>
      </w:pPr>
    </w:p>
    <w:p>
      <w:pPr>
        <w:autoSpaceDE w:val="0"/>
        <w:autoSpaceDN w:val="0"/>
        <w:adjustRightInd w:val="0"/>
        <w:snapToGrid w:val="0"/>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西安体育局器材采购项目</w:t>
      </w: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竞争性谈判文件</w:t>
      </w: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lang w:val="zh-CN"/>
        </w:rPr>
      </w:pPr>
    </w:p>
    <w:p>
      <w:pPr>
        <w:pStyle w:val="295"/>
        <w:ind w:left="0" w:leftChars="0" w:firstLine="1807" w:firstLineChars="600"/>
        <w:jc w:val="both"/>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   购   人：</w:t>
      </w:r>
      <w:r>
        <w:rPr>
          <w:rFonts w:hint="eastAsia" w:ascii="仿宋" w:hAnsi="仿宋" w:eastAsia="仿宋" w:cs="仿宋"/>
          <w:b/>
          <w:bCs/>
          <w:color w:val="auto"/>
          <w:sz w:val="30"/>
          <w:szCs w:val="30"/>
          <w:highlight w:val="none"/>
          <w:lang w:eastAsia="zh-CN"/>
        </w:rPr>
        <w:t>西安市体育局</w:t>
      </w:r>
    </w:p>
    <w:p>
      <w:pPr>
        <w:pStyle w:val="295"/>
        <w:ind w:firstLine="1807" w:firstLineChars="600"/>
        <w:jc w:val="left"/>
        <w:rPr>
          <w:rFonts w:hint="eastAsia" w:ascii="仿宋" w:hAnsi="仿宋" w:eastAsia="仿宋" w:cs="仿宋"/>
          <w:b/>
          <w:bCs/>
          <w:color w:val="auto"/>
          <w:sz w:val="30"/>
          <w:szCs w:val="30"/>
          <w:highlight w:val="none"/>
        </w:rPr>
      </w:pPr>
      <w:bookmarkStart w:id="519" w:name="_GoBack"/>
      <w:bookmarkEnd w:id="519"/>
    </w:p>
    <w:p>
      <w:pPr>
        <w:pStyle w:val="295"/>
        <w:ind w:firstLine="602"/>
        <w:rPr>
          <w:rFonts w:hint="eastAsia" w:ascii="仿宋" w:hAnsi="仿宋" w:eastAsia="仿宋" w:cs="仿宋"/>
          <w:b/>
          <w:bCs/>
          <w:color w:val="auto"/>
          <w:sz w:val="30"/>
          <w:szCs w:val="30"/>
          <w:highlight w:val="none"/>
        </w:rPr>
      </w:pPr>
    </w:p>
    <w:p>
      <w:pPr>
        <w:tabs>
          <w:tab w:val="left" w:pos="5670"/>
        </w:tabs>
        <w:autoSpaceDE w:val="0"/>
        <w:autoSpaceDN w:val="0"/>
        <w:adjustRightInd w:val="0"/>
        <w:snapToGrid w:val="0"/>
        <w:spacing w:line="360" w:lineRule="auto"/>
        <w:ind w:firstLine="1807" w:firstLineChars="600"/>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采购代理机构：陕西省采购招标有限责任公司</w:t>
      </w:r>
      <w:r>
        <w:rPr>
          <w:rFonts w:hint="eastAsia" w:ascii="仿宋" w:hAnsi="仿宋" w:eastAsia="仿宋" w:cs="仿宋"/>
          <w:b/>
          <w:bCs/>
          <w:color w:val="auto"/>
          <w:sz w:val="30"/>
          <w:szCs w:val="30"/>
          <w:highlight w:val="none"/>
        </w:rPr>
        <w:t xml:space="preserve"> </w:t>
      </w: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二〇二三年</w:t>
      </w:r>
      <w:r>
        <w:rPr>
          <w:rFonts w:hint="eastAsia" w:ascii="仿宋" w:hAnsi="仿宋" w:eastAsia="仿宋" w:cs="仿宋"/>
          <w:b/>
          <w:bCs/>
          <w:color w:val="auto"/>
          <w:sz w:val="30"/>
          <w:szCs w:val="30"/>
          <w:highlight w:val="none"/>
          <w:lang w:val="en-US" w:eastAsia="zh-CN"/>
        </w:rPr>
        <w:t>八</w:t>
      </w:r>
      <w:r>
        <w:rPr>
          <w:rFonts w:hint="eastAsia" w:ascii="仿宋" w:hAnsi="仿宋" w:eastAsia="仿宋" w:cs="仿宋"/>
          <w:b/>
          <w:bCs/>
          <w:color w:val="auto"/>
          <w:sz w:val="30"/>
          <w:szCs w:val="30"/>
          <w:highlight w:val="none"/>
          <w:lang w:val="zh-CN"/>
        </w:rPr>
        <w:t>月</w:t>
      </w:r>
    </w:p>
    <w:p>
      <w:pPr>
        <w:tabs>
          <w:tab w:val="left" w:pos="3739"/>
        </w:tabs>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b/>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pStyle w:val="22"/>
        <w:rPr>
          <w:rFonts w:hint="eastAsia" w:ascii="仿宋" w:hAnsi="仿宋" w:eastAsia="仿宋" w:cs="仿宋"/>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5"/>
        <w:ind w:firstLine="0" w:firstLineChars="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pPr>
        <w:pStyle w:val="35"/>
        <w:tabs>
          <w:tab w:val="left" w:pos="1120"/>
          <w:tab w:val="right" w:leader="dot" w:pos="8300"/>
          <w:tab w:val="clear" w:pos="9344"/>
        </w:tabs>
        <w:rPr>
          <w:rFonts w:hint="eastAsia" w:ascii="仿宋" w:hAnsi="仿宋" w:eastAsia="仿宋" w:cs="仿宋"/>
          <w:b w:val="0"/>
          <w:bCs w:val="0"/>
          <w:caps w:val="0"/>
          <w:color w:val="auto"/>
          <w:szCs w:val="24"/>
          <w:highlight w:val="none"/>
        </w:rPr>
      </w:pPr>
      <w:r>
        <w:rPr>
          <w:rFonts w:hint="eastAsia" w:ascii="仿宋" w:hAnsi="仿宋" w:eastAsia="仿宋" w:cs="仿宋"/>
          <w:color w:val="auto"/>
          <w:sz w:val="20"/>
          <w:highlight w:val="none"/>
        </w:rPr>
        <w:fldChar w:fldCharType="begin"/>
      </w:r>
      <w:r>
        <w:rPr>
          <w:rFonts w:hint="eastAsia" w:ascii="仿宋" w:hAnsi="仿宋" w:eastAsia="仿宋" w:cs="仿宋"/>
          <w:color w:val="auto"/>
          <w:sz w:val="20"/>
          <w:highlight w:val="none"/>
        </w:rPr>
        <w:instrText xml:space="preserve"> TOC \o "1-2" \h \z \u </w:instrText>
      </w:r>
      <w:r>
        <w:rPr>
          <w:rFonts w:hint="eastAsia" w:ascii="仿宋" w:hAnsi="仿宋" w:eastAsia="仿宋" w:cs="仿宋"/>
          <w:color w:val="auto"/>
          <w:sz w:val="2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"_Toc58504659"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第一章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谈判公告</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_Toc58504659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1</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pPr>
        <w:pStyle w:val="35"/>
        <w:tabs>
          <w:tab w:val="left" w:pos="1120"/>
          <w:tab w:val="right" w:leader="dot" w:pos="8300"/>
          <w:tab w:val="clear" w:pos="9344"/>
        </w:tabs>
        <w:rPr>
          <w:rFonts w:hint="eastAsia" w:ascii="仿宋" w:hAnsi="仿宋" w:eastAsia="仿宋" w:cs="仿宋"/>
          <w:b w:val="0"/>
          <w:bCs w:val="0"/>
          <w:caps w:val="0"/>
          <w:color w:val="auto"/>
          <w:szCs w:val="24"/>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"_Toc58504660"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第二章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供应商须知</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lang w:val="en-US" w:eastAsia="zh-CN"/>
        </w:rPr>
        <w:t>6</w:t>
      </w:r>
    </w:p>
    <w:p>
      <w:pPr>
        <w:pStyle w:val="35"/>
        <w:tabs>
          <w:tab w:val="left" w:pos="1120"/>
          <w:tab w:val="right" w:leader="dot" w:pos="8300"/>
          <w:tab w:val="clear" w:pos="9344"/>
        </w:tabs>
        <w:rPr>
          <w:rFonts w:hint="eastAsia" w:ascii="仿宋" w:hAnsi="仿宋" w:eastAsia="仿宋" w:cs="仿宋"/>
          <w:b w:val="0"/>
          <w:bCs w:val="0"/>
          <w:caps w:val="0"/>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"_Toc58504668"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第三章</w:t>
      </w:r>
      <w:r>
        <w:rPr>
          <w:rFonts w:hint="eastAsia" w:ascii="仿宋" w:hAnsi="仿宋" w:eastAsia="仿宋" w:cs="仿宋"/>
          <w:b w:val="0"/>
          <w:bCs w:val="0"/>
          <w:caps w:val="0"/>
          <w:color w:val="auto"/>
          <w:szCs w:val="24"/>
          <w:highlight w:val="none"/>
        </w:rPr>
        <w:tab/>
      </w:r>
      <w:r>
        <w:rPr>
          <w:rFonts w:hint="eastAsia" w:ascii="仿宋" w:hAnsi="仿宋" w:eastAsia="仿宋" w:cs="仿宋"/>
          <w:b w:val="0"/>
          <w:bCs w:val="0"/>
          <w:caps w:val="0"/>
          <w:color w:val="auto"/>
          <w:szCs w:val="24"/>
          <w:highlight w:val="none"/>
        </w:rPr>
        <w:t>拟签订的合同文本</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_Toc58504668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25</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pPr>
        <w:pStyle w:val="35"/>
        <w:tabs>
          <w:tab w:val="left" w:pos="1120"/>
          <w:tab w:val="right" w:leader="dot" w:pos="8300"/>
          <w:tab w:val="clear" w:pos="9344"/>
        </w:tabs>
        <w:rPr>
          <w:rFonts w:hint="eastAsia" w:ascii="仿宋" w:hAnsi="仿宋" w:eastAsia="仿宋" w:cs="仿宋"/>
          <w:b w:val="0"/>
          <w:bCs w:val="0"/>
          <w:caps w:val="0"/>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"_Toc58504669"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第四章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采购内容及要求</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_Toc58504669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29</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pPr>
        <w:pStyle w:val="35"/>
        <w:tabs>
          <w:tab w:val="left" w:pos="1120"/>
          <w:tab w:val="right" w:leader="dot" w:pos="8300"/>
          <w:tab w:val="clear" w:pos="9344"/>
        </w:tabs>
        <w:rPr>
          <w:rFonts w:hint="eastAsia" w:ascii="仿宋" w:hAnsi="仿宋" w:eastAsia="仿宋" w:cs="仿宋"/>
          <w:color w:val="auto"/>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"_Toc58504670" </w:instrText>
      </w:r>
      <w:r>
        <w:rPr>
          <w:rFonts w:hint="eastAsia" w:ascii="仿宋" w:hAnsi="仿宋" w:eastAsia="仿宋" w:cs="仿宋"/>
          <w:color w:val="auto"/>
          <w:highlight w:val="none"/>
        </w:rPr>
        <w:fldChar w:fldCharType="separate"/>
      </w:r>
      <w:r>
        <w:rPr>
          <w:rStyle w:val="59"/>
          <w:rFonts w:hint="eastAsia" w:ascii="仿宋" w:hAnsi="仿宋" w:eastAsia="仿宋" w:cs="仿宋"/>
          <w:b w:val="0"/>
          <w:bCs w:val="0"/>
          <w:color w:val="auto"/>
          <w:kern w:val="0"/>
          <w:sz w:val="24"/>
          <w:szCs w:val="24"/>
          <w:highlight w:val="none"/>
        </w:rPr>
        <w:t>第五章</w:t>
      </w:r>
      <w:r>
        <w:rPr>
          <w:rFonts w:hint="eastAsia" w:ascii="仿宋" w:hAnsi="仿宋" w:eastAsia="仿宋" w:cs="仿宋"/>
          <w:b w:val="0"/>
          <w:bCs w:val="0"/>
          <w:caps w:val="0"/>
          <w:color w:val="auto"/>
          <w:szCs w:val="24"/>
          <w:highlight w:val="none"/>
        </w:rPr>
        <w:tab/>
      </w:r>
      <w:r>
        <w:rPr>
          <w:rStyle w:val="59"/>
          <w:rFonts w:hint="eastAsia" w:ascii="仿宋" w:hAnsi="仿宋" w:eastAsia="仿宋" w:cs="仿宋"/>
          <w:b w:val="0"/>
          <w:bCs w:val="0"/>
          <w:color w:val="auto"/>
          <w:kern w:val="0"/>
          <w:sz w:val="24"/>
          <w:szCs w:val="24"/>
          <w:highlight w:val="none"/>
        </w:rPr>
        <w:t>谈判响应文件格式</w:t>
      </w:r>
      <w:r>
        <w:rPr>
          <w:rFonts w:hint="eastAsia" w:ascii="仿宋" w:hAnsi="仿宋" w:eastAsia="仿宋" w:cs="仿宋"/>
          <w:b w:val="0"/>
          <w:bCs w:val="0"/>
          <w:color w:val="auto"/>
          <w:szCs w:val="24"/>
          <w:highlight w:val="none"/>
        </w:rPr>
        <w:tab/>
      </w:r>
      <w:r>
        <w:rPr>
          <w:rFonts w:hint="eastAsia" w:ascii="仿宋" w:hAnsi="仿宋" w:eastAsia="仿宋" w:cs="仿宋"/>
          <w:b w:val="0"/>
          <w:bCs w:val="0"/>
          <w:color w:val="auto"/>
          <w:szCs w:val="24"/>
          <w:highlight w:val="none"/>
        </w:rPr>
        <w:fldChar w:fldCharType="begin"/>
      </w:r>
      <w:r>
        <w:rPr>
          <w:rFonts w:hint="eastAsia" w:ascii="仿宋" w:hAnsi="仿宋" w:eastAsia="仿宋" w:cs="仿宋"/>
          <w:b w:val="0"/>
          <w:bCs w:val="0"/>
          <w:color w:val="auto"/>
          <w:szCs w:val="24"/>
          <w:highlight w:val="none"/>
        </w:rPr>
        <w:instrText xml:space="preserve"> PAGEREF _Toc58504670 \h </w:instrText>
      </w:r>
      <w:r>
        <w:rPr>
          <w:rFonts w:hint="eastAsia" w:ascii="仿宋" w:hAnsi="仿宋" w:eastAsia="仿宋" w:cs="仿宋"/>
          <w:b w:val="0"/>
          <w:bCs w:val="0"/>
          <w:color w:val="auto"/>
          <w:szCs w:val="24"/>
          <w:highlight w:val="none"/>
        </w:rPr>
        <w:fldChar w:fldCharType="separate"/>
      </w:r>
      <w:r>
        <w:rPr>
          <w:rFonts w:hint="eastAsia" w:ascii="仿宋" w:hAnsi="仿宋" w:eastAsia="仿宋" w:cs="仿宋"/>
          <w:b w:val="0"/>
          <w:bCs w:val="0"/>
          <w:color w:val="auto"/>
          <w:szCs w:val="24"/>
          <w:highlight w:val="none"/>
        </w:rPr>
        <w:t>31</w:t>
      </w:r>
      <w:r>
        <w:rPr>
          <w:rFonts w:hint="eastAsia" w:ascii="仿宋" w:hAnsi="仿宋" w:eastAsia="仿宋" w:cs="仿宋"/>
          <w:b w:val="0"/>
          <w:bCs w:val="0"/>
          <w:color w:val="auto"/>
          <w:szCs w:val="24"/>
          <w:highlight w:val="none"/>
        </w:rPr>
        <w:fldChar w:fldCharType="end"/>
      </w:r>
      <w:r>
        <w:rPr>
          <w:rFonts w:hint="eastAsia" w:ascii="仿宋" w:hAnsi="仿宋" w:eastAsia="仿宋" w:cs="仿宋"/>
          <w:b w:val="0"/>
          <w:bCs w:val="0"/>
          <w:color w:val="auto"/>
          <w:szCs w:val="24"/>
          <w:highlight w:val="none"/>
        </w:rPr>
        <w:fldChar w:fldCharType="end"/>
      </w:r>
    </w:p>
    <w:p>
      <w:pPr>
        <w:rPr>
          <w:rFonts w:hint="eastAsia" w:ascii="仿宋" w:hAnsi="仿宋" w:eastAsia="仿宋" w:cs="仿宋"/>
          <w:color w:val="auto"/>
          <w:sz w:val="24"/>
          <w:highlight w:val="none"/>
        </w:rPr>
      </w:pPr>
    </w:p>
    <w:p>
      <w:pPr>
        <w:pStyle w:val="22"/>
        <w:rPr>
          <w:rFonts w:hint="eastAsia" w:ascii="仿宋" w:hAnsi="仿宋" w:eastAsia="仿宋" w:cs="仿宋"/>
          <w:color w:val="auto"/>
          <w:sz w:val="24"/>
          <w:highlight w:val="none"/>
        </w:rPr>
      </w:pPr>
    </w:p>
    <w:p>
      <w:pPr>
        <w:pStyle w:val="22"/>
        <w:rPr>
          <w:rFonts w:hint="eastAsia" w:ascii="仿宋" w:hAnsi="仿宋" w:eastAsia="仿宋" w:cs="仿宋"/>
          <w:color w:val="auto"/>
          <w:highlight w:val="none"/>
        </w:rPr>
      </w:pPr>
    </w:p>
    <w:p>
      <w:pPr>
        <w:pStyle w:val="22"/>
        <w:rPr>
          <w:rFonts w:hint="eastAsia" w:ascii="仿宋" w:hAnsi="仿宋" w:eastAsia="仿宋" w:cs="仿宋"/>
          <w:color w:val="auto"/>
          <w:highlight w:val="none"/>
        </w:rPr>
      </w:pPr>
    </w:p>
    <w:p>
      <w:pPr>
        <w:pStyle w:val="22"/>
        <w:rPr>
          <w:rFonts w:hint="eastAsia" w:ascii="仿宋" w:hAnsi="仿宋" w:eastAsia="仿宋" w:cs="仿宋"/>
          <w:color w:val="auto"/>
          <w:highlight w:val="none"/>
        </w:rPr>
      </w:pPr>
    </w:p>
    <w:p>
      <w:pPr>
        <w:pStyle w:val="22"/>
        <w:rPr>
          <w:rFonts w:hint="eastAsia" w:ascii="仿宋" w:hAnsi="仿宋" w:eastAsia="仿宋" w:cs="仿宋"/>
          <w:color w:val="auto"/>
          <w:highlight w:val="none"/>
        </w:rPr>
      </w:pPr>
    </w:p>
    <w:p>
      <w:pPr>
        <w:pStyle w:val="22"/>
        <w:rPr>
          <w:rFonts w:hint="eastAsia" w:ascii="仿宋" w:hAnsi="仿宋" w:eastAsia="仿宋" w:cs="仿宋"/>
          <w:color w:val="auto"/>
          <w:highlight w:val="none"/>
        </w:rPr>
      </w:pPr>
    </w:p>
    <w:p>
      <w:pPr>
        <w:pStyle w:val="22"/>
        <w:rPr>
          <w:rFonts w:hint="eastAsia" w:ascii="仿宋" w:hAnsi="仿宋" w:eastAsia="仿宋" w:cs="仿宋"/>
          <w:color w:val="auto"/>
          <w:highlight w:val="none"/>
        </w:rPr>
      </w:pP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color w:val="auto"/>
          <w:szCs w:val="20"/>
          <w:highlight w:val="none"/>
        </w:rPr>
        <w:sectPr>
          <w:footerReference r:id="rId8" w:type="first"/>
          <w:headerReference r:id="rId6" w:type="default"/>
          <w:footerReference r:id="rId7" w:type="default"/>
          <w:pgSz w:w="11906" w:h="16838"/>
          <w:pgMar w:top="1440" w:right="1083" w:bottom="1440" w:left="1083" w:header="851" w:footer="992" w:gutter="0"/>
          <w:cols w:space="720" w:num="1"/>
          <w:docGrid w:type="lines" w:linePitch="312" w:charSpace="0"/>
        </w:sectPr>
      </w:pP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color w:val="auto"/>
          <w:szCs w:val="20"/>
          <w:highlight w:val="none"/>
        </w:rPr>
        <w:fldChar w:fldCharType="end"/>
      </w:r>
      <w:bookmarkStart w:id="0" w:name="_Toc58504659"/>
      <w:bookmarkStart w:id="1" w:name="_Toc21755"/>
      <w:bookmarkStart w:id="2" w:name="_Toc58504445"/>
      <w:bookmarkStart w:id="3" w:name="_Toc415499894"/>
      <w:bookmarkStart w:id="4" w:name="_Toc500746964"/>
      <w:bookmarkStart w:id="5" w:name="_Toc499711882"/>
      <w:bookmarkStart w:id="6" w:name="_Toc500747187"/>
      <w:bookmarkStart w:id="7" w:name="_Toc496324577"/>
      <w:bookmarkStart w:id="8" w:name="_Toc492955413"/>
      <w:bookmarkStart w:id="9" w:name="_Toc499711041"/>
      <w:bookmarkStart w:id="10" w:name="_Toc176882541"/>
      <w:bookmarkStart w:id="11" w:name="_Toc177995472"/>
      <w:bookmarkStart w:id="12" w:name="_Toc53722839"/>
      <w:bookmarkStart w:id="13" w:name="_Toc500747060"/>
      <w:bookmarkStart w:id="14" w:name="_Toc70687138"/>
      <w:bookmarkStart w:id="15" w:name="_Toc177817333"/>
      <w:bookmarkStart w:id="16" w:name="_Toc503063420"/>
      <w:bookmarkStart w:id="17" w:name="_Toc177189234"/>
      <w:bookmarkStart w:id="18" w:name="_Toc385992325"/>
      <w:bookmarkStart w:id="19" w:name="_Toc385992324"/>
      <w:r>
        <w:rPr>
          <w:rFonts w:hint="eastAsia" w:ascii="仿宋" w:hAnsi="仿宋" w:eastAsia="仿宋" w:cs="仿宋"/>
          <w:b/>
          <w:color w:val="auto"/>
          <w:kern w:val="0"/>
          <w:sz w:val="32"/>
          <w:szCs w:val="32"/>
          <w:highlight w:val="none"/>
        </w:rPr>
        <w:t>第一章  谈判公告</w:t>
      </w:r>
      <w:bookmarkEnd w:id="0"/>
      <w:bookmarkEnd w:id="1"/>
      <w:bookmarkEnd w:id="2"/>
      <w:bookmarkEnd w:id="3"/>
    </w:p>
    <w:p>
      <w:pP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eastAsia="zh-CN"/>
        </w:rPr>
        <w:t>西安体育局器材采购项目</w:t>
      </w:r>
      <w:r>
        <w:rPr>
          <w:rFonts w:hint="eastAsia" w:ascii="仿宋" w:hAnsi="仿宋" w:eastAsia="仿宋" w:cs="仿宋"/>
          <w:b/>
          <w:bCs/>
          <w:color w:val="auto"/>
          <w:sz w:val="28"/>
          <w:szCs w:val="36"/>
          <w:highlight w:val="none"/>
        </w:rPr>
        <w:t>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22"/>
        <w:tabs>
          <w:tab w:val="left" w:pos="567"/>
        </w:tabs>
        <w:rPr>
          <w:rFonts w:hint="eastAsia" w:ascii="仿宋" w:hAnsi="仿宋" w:eastAsia="仿宋" w:cs="仿宋"/>
          <w:color w:val="auto"/>
          <w:highlight w:val="none"/>
        </w:rPr>
      </w:pPr>
      <w:bookmarkStart w:id="20" w:name="_Toc184043011"/>
      <w:bookmarkStart w:id="21" w:name="_Toc249515277"/>
      <w:bookmarkStart w:id="22" w:name="_Toc21126"/>
      <w:bookmarkStart w:id="23" w:name="_Toc230583540"/>
      <w:bookmarkStart w:id="24" w:name="_Toc256342142"/>
      <w:bookmarkStart w:id="25" w:name="_Toc249525158"/>
      <w:bookmarkStart w:id="26" w:name="_Toc230099796"/>
      <w:bookmarkStart w:id="27" w:name="_Toc230013631"/>
      <w:bookmarkStart w:id="28" w:name="_Toc232176271"/>
      <w:bookmarkStart w:id="29" w:name="_Toc415499895"/>
      <w:bookmarkStart w:id="30" w:name="_Toc249515389"/>
      <w:bookmarkStart w:id="31" w:name="_Toc58504446"/>
      <w:bookmarkStart w:id="32" w:name="_Toc232395211"/>
      <w:bookmarkStart w:id="33" w:name="_Toc58504660"/>
      <w:bookmarkStart w:id="34" w:name="_Toc176882542"/>
      <w:bookmarkStart w:id="35" w:name="_Toc500747061"/>
      <w:bookmarkStart w:id="36" w:name="_Toc230099797"/>
      <w:bookmarkStart w:id="37" w:name="_Toc177995473"/>
      <w:bookmarkStart w:id="38" w:name="_Toc249525159"/>
      <w:bookmarkStart w:id="39" w:name="_Toc230013632"/>
      <w:bookmarkStart w:id="40" w:name="_Toc230583541"/>
      <w:bookmarkStart w:id="41" w:name="_Toc500746965"/>
      <w:bookmarkStart w:id="42" w:name="_Toc249515278"/>
      <w:bookmarkStart w:id="43" w:name="_Toc70687139"/>
      <w:bookmarkStart w:id="44" w:name="_Toc496324578"/>
      <w:bookmarkStart w:id="45" w:name="_Toc492955414"/>
      <w:bookmarkStart w:id="46" w:name="_Toc499711042"/>
      <w:bookmarkStart w:id="47" w:name="_Toc256342143"/>
      <w:bookmarkStart w:id="48" w:name="_Toc177189235"/>
      <w:bookmarkStart w:id="49" w:name="_Toc177817334"/>
      <w:bookmarkStart w:id="50" w:name="_Toc503063421"/>
      <w:bookmarkStart w:id="51" w:name="_Toc500747188"/>
      <w:bookmarkStart w:id="52" w:name="_Toc249515390"/>
      <w:bookmarkStart w:id="53" w:name="_Toc232176272"/>
      <w:bookmarkStart w:id="54" w:name="_Toc232395212"/>
      <w:bookmarkStart w:id="55" w:name="_Toc184043012"/>
      <w:bookmarkStart w:id="56" w:name="_Toc53722840"/>
      <w:bookmarkStart w:id="57" w:name="_Toc499711883"/>
    </w:p>
    <w:p>
      <w:pPr>
        <w:pStyle w:val="8"/>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hint="eastAsia" w:ascii="仿宋" w:hAnsi="仿宋" w:eastAsia="仿宋" w:cs="仿宋"/>
          <w:color w:val="auto"/>
          <w:szCs w:val="24"/>
          <w:highlight w:val="none"/>
        </w:rPr>
      </w:pPr>
      <w:r>
        <w:rPr>
          <w:rStyle w:val="53"/>
          <w:rFonts w:hint="eastAsia" w:ascii="仿宋" w:hAnsi="仿宋" w:eastAsia="仿宋" w:cs="仿宋"/>
          <w:color w:val="auto"/>
          <w:szCs w:val="24"/>
          <w:highlight w:val="none"/>
          <w:shd w:val="clear" w:color="auto" w:fill="FFFFFF"/>
        </w:rPr>
        <w:t>项目概况</w:t>
      </w:r>
    </w:p>
    <w:p>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lang w:eastAsia="zh-CN"/>
        </w:rPr>
        <w:t>西安体育局器材采购项目</w:t>
      </w:r>
      <w:r>
        <w:rPr>
          <w:rFonts w:hint="eastAsia" w:ascii="仿宋" w:hAnsi="仿宋" w:eastAsia="仿宋" w:cs="仿宋"/>
          <w:color w:val="auto"/>
          <w:highlight w:val="none"/>
          <w:shd w:val="clear" w:color="auto" w:fill="FFFFFF"/>
        </w:rPr>
        <w:t>的潜在供应商应在</w:t>
      </w:r>
      <w:r>
        <w:rPr>
          <w:rFonts w:hint="eastAsia" w:ascii="仿宋" w:hAnsi="仿宋" w:eastAsia="仿宋" w:cs="仿宋"/>
          <w:b/>
          <w:bCs/>
          <w:color w:val="auto"/>
          <w:kern w:val="0"/>
          <w:sz w:val="24"/>
          <w:highlight w:val="none"/>
          <w:lang w:eastAsia="zh-CN"/>
        </w:rPr>
        <w:t>“将单位介绍信及被介绍人的身份证扫描件（加盖单位公章）发至邮箱525633509@qq.com，需备注单位名称、项目编号、联系人及联系电话等信息”</w:t>
      </w:r>
      <w:r>
        <w:rPr>
          <w:rFonts w:hint="eastAsia" w:ascii="仿宋" w:hAnsi="仿宋" w:eastAsia="仿宋" w:cs="仿宋"/>
          <w:color w:val="auto"/>
          <w:highlight w:val="none"/>
          <w:shd w:val="clear" w:color="auto" w:fill="FFFFFF"/>
        </w:rPr>
        <w:t>获取采购文件，并于</w:t>
      </w:r>
      <w:r>
        <w:rPr>
          <w:rFonts w:hint="eastAsia" w:ascii="仿宋" w:hAnsi="仿宋" w:eastAsia="仿宋" w:cs="仿宋"/>
          <w:b/>
          <w:bCs/>
          <w:color w:val="auto"/>
          <w:highlight w:val="none"/>
          <w:shd w:val="clear" w:color="auto" w:fill="FFFFFF"/>
        </w:rPr>
        <w:t>2023年</w:t>
      </w:r>
      <w:r>
        <w:rPr>
          <w:rFonts w:hint="eastAsia" w:ascii="仿宋" w:hAnsi="仿宋" w:eastAsia="仿宋" w:cs="仿宋"/>
          <w:b/>
          <w:bCs/>
          <w:color w:val="auto"/>
          <w:highlight w:val="none"/>
          <w:shd w:val="clear" w:color="auto" w:fill="FFFFFF"/>
          <w:lang w:val="en-US" w:eastAsia="zh-CN"/>
        </w:rPr>
        <w:t>08</w:t>
      </w:r>
      <w:r>
        <w:rPr>
          <w:rFonts w:hint="eastAsia" w:ascii="仿宋" w:hAnsi="仿宋" w:eastAsia="仿宋" w:cs="仿宋"/>
          <w:b/>
          <w:bCs/>
          <w:color w:val="auto"/>
          <w:highlight w:val="none"/>
          <w:shd w:val="clear" w:color="auto" w:fill="FFFFFF"/>
          <w:lang w:eastAsia="zh-CN"/>
        </w:rPr>
        <w:t>月</w:t>
      </w:r>
      <w:r>
        <w:rPr>
          <w:rFonts w:hint="eastAsia" w:ascii="仿宋" w:hAnsi="仿宋" w:eastAsia="仿宋" w:cs="仿宋"/>
          <w:b/>
          <w:bCs/>
          <w:color w:val="auto"/>
          <w:highlight w:val="none"/>
          <w:shd w:val="clear" w:color="auto" w:fill="FFFFFF"/>
          <w:lang w:val="en-US" w:eastAsia="zh-CN"/>
        </w:rPr>
        <w:t>10</w:t>
      </w:r>
      <w:r>
        <w:rPr>
          <w:rFonts w:hint="eastAsia" w:ascii="仿宋" w:hAnsi="仿宋" w:eastAsia="仿宋" w:cs="仿宋"/>
          <w:b/>
          <w:bCs/>
          <w:color w:val="auto"/>
          <w:highlight w:val="none"/>
          <w:shd w:val="clear" w:color="auto" w:fill="FFFFFF"/>
          <w:lang w:eastAsia="zh-CN"/>
        </w:rPr>
        <w:t>日</w:t>
      </w:r>
      <w:r>
        <w:rPr>
          <w:rFonts w:hint="eastAsia" w:ascii="仿宋" w:hAnsi="仿宋" w:eastAsia="仿宋" w:cs="仿宋"/>
          <w:b/>
          <w:bCs/>
          <w:color w:val="auto"/>
          <w:highlight w:val="none"/>
          <w:shd w:val="clear" w:color="auto" w:fill="FFFFFF"/>
          <w:lang w:val="en-US" w:eastAsia="zh-CN"/>
        </w:rPr>
        <w:t>14</w:t>
      </w:r>
      <w:r>
        <w:rPr>
          <w:rFonts w:hint="eastAsia" w:ascii="仿宋" w:hAnsi="仿宋" w:eastAsia="仿宋" w:cs="仿宋"/>
          <w:b/>
          <w:bCs/>
          <w:color w:val="auto"/>
          <w:highlight w:val="none"/>
          <w:shd w:val="clear" w:color="auto" w:fill="FFFFFF"/>
        </w:rPr>
        <w:t>时</w:t>
      </w:r>
      <w:r>
        <w:rPr>
          <w:rFonts w:hint="eastAsia" w:ascii="仿宋" w:hAnsi="仿宋" w:eastAsia="仿宋" w:cs="仿宋"/>
          <w:b/>
          <w:bCs/>
          <w:color w:val="auto"/>
          <w:highlight w:val="none"/>
          <w:shd w:val="clear" w:color="auto" w:fill="FFFFFF"/>
          <w:lang w:val="en-US" w:eastAsia="zh-CN"/>
        </w:rPr>
        <w:t>30</w:t>
      </w:r>
      <w:r>
        <w:rPr>
          <w:rFonts w:hint="eastAsia" w:ascii="仿宋" w:hAnsi="仿宋" w:eastAsia="仿宋" w:cs="仿宋"/>
          <w:b/>
          <w:bCs/>
          <w:color w:val="auto"/>
          <w:highlight w:val="none"/>
          <w:shd w:val="clear" w:color="auto" w:fill="FFFFFF"/>
        </w:rPr>
        <w:t>分</w:t>
      </w:r>
      <w:r>
        <w:rPr>
          <w:rFonts w:hint="eastAsia" w:ascii="仿宋" w:hAnsi="仿宋" w:eastAsia="仿宋" w:cs="仿宋"/>
          <w:color w:val="auto"/>
          <w:highlight w:val="none"/>
          <w:shd w:val="clear" w:color="auto" w:fill="FFFFFF"/>
        </w:rPr>
        <w:t> （北京时间）前提交响应文件。</w:t>
      </w:r>
    </w:p>
    <w:p>
      <w:pPr>
        <w:spacing w:line="520" w:lineRule="exact"/>
        <w:outlineLvl w:val="1"/>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一、项目基本情况</w:t>
      </w:r>
    </w:p>
    <w:p>
      <w:pPr>
        <w:spacing w:line="520" w:lineRule="exact"/>
        <w:ind w:firstLine="480" w:firstLineChars="200"/>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p>
    <w:p>
      <w:pPr>
        <w:spacing w:line="520" w:lineRule="exact"/>
        <w:ind w:firstLine="480" w:firstLineChars="200"/>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p>
      <w:pPr>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采购方式：竞争性谈判</w:t>
      </w:r>
    </w:p>
    <w:p>
      <w:pPr>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660000.00</w:t>
      </w:r>
      <w:r>
        <w:rPr>
          <w:rFonts w:hint="eastAsia" w:ascii="仿宋" w:hAnsi="仿宋" w:eastAsia="仿宋" w:cs="仿宋"/>
          <w:color w:val="auto"/>
          <w:sz w:val="24"/>
          <w:highlight w:val="none"/>
        </w:rPr>
        <w:t>元</w:t>
      </w:r>
    </w:p>
    <w:p>
      <w:pPr>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520" w:lineRule="exact"/>
        <w:ind w:firstLine="960" w:firstLineChars="4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西安体育局器材采购项目</w:t>
      </w:r>
      <w:r>
        <w:rPr>
          <w:rFonts w:hint="eastAsia" w:ascii="仿宋" w:hAnsi="仿宋" w:eastAsia="仿宋" w:cs="仿宋"/>
          <w:color w:val="auto"/>
          <w:sz w:val="24"/>
          <w:highlight w:val="none"/>
        </w:rPr>
        <w:t xml:space="preserve">） </w:t>
      </w:r>
    </w:p>
    <w:p>
      <w:pPr>
        <w:spacing w:line="520" w:lineRule="exact"/>
        <w:ind w:firstLine="1200" w:firstLineChars="5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60000.00</w:t>
      </w:r>
      <w:r>
        <w:rPr>
          <w:rFonts w:hint="eastAsia" w:ascii="仿宋" w:hAnsi="仿宋" w:eastAsia="仿宋" w:cs="仿宋"/>
          <w:color w:val="auto"/>
          <w:sz w:val="24"/>
          <w:highlight w:val="none"/>
        </w:rPr>
        <w:t>元</w:t>
      </w:r>
    </w:p>
    <w:p>
      <w:pPr>
        <w:pStyle w:val="22"/>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60000.00</w:t>
      </w:r>
      <w:r>
        <w:rPr>
          <w:rFonts w:hint="eastAsia" w:ascii="仿宋" w:hAnsi="仿宋" w:eastAsia="仿宋" w:cs="仿宋"/>
          <w:color w:val="auto"/>
          <w:sz w:val="24"/>
          <w:highlight w:val="none"/>
        </w:rPr>
        <w:t>元</w:t>
      </w:r>
    </w:p>
    <w:tbl>
      <w:tblPr>
        <w:tblStyle w:val="50"/>
        <w:tblW w:w="5079" w:type="pc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219"/>
        <w:gridCol w:w="1302"/>
        <w:gridCol w:w="1180"/>
        <w:gridCol w:w="1879"/>
        <w:gridCol w:w="177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602"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eastAsia="zh-CN"/>
              </w:rPr>
              <w:t>品目名称</w:t>
            </w:r>
          </w:p>
        </w:tc>
        <w:tc>
          <w:tcPr>
            <w:tcW w:w="643"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583"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928"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876"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876"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87" w:type="pct"/>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602"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击剑设备</w:t>
            </w:r>
          </w:p>
        </w:tc>
        <w:tc>
          <w:tcPr>
            <w:tcW w:w="643"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击剑设备</w:t>
            </w:r>
          </w:p>
        </w:tc>
        <w:tc>
          <w:tcPr>
            <w:tcW w:w="583"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批</w:t>
            </w:r>
            <w:r>
              <w:rPr>
                <w:rFonts w:hint="eastAsia" w:ascii="仿宋" w:hAnsi="仿宋" w:eastAsia="仿宋" w:cs="仿宋"/>
                <w:color w:val="auto"/>
                <w:sz w:val="24"/>
                <w:highlight w:val="none"/>
                <w:lang w:eastAsia="zh-CN"/>
              </w:rPr>
              <w:t>)</w:t>
            </w:r>
          </w:p>
        </w:tc>
        <w:tc>
          <w:tcPr>
            <w:tcW w:w="928"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详见采购文件</w:t>
            </w:r>
          </w:p>
        </w:tc>
        <w:tc>
          <w:tcPr>
            <w:tcW w:w="876"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60000.00</w:t>
            </w:r>
          </w:p>
        </w:tc>
        <w:tc>
          <w:tcPr>
            <w:tcW w:w="876"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60000.00</w:t>
            </w:r>
          </w:p>
        </w:tc>
      </w:tr>
    </w:tbl>
    <w:p>
      <w:pPr>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pacing w:line="520" w:lineRule="exact"/>
        <w:ind w:firstLine="480" w:firstLineChars="200"/>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b/>
          <w:bCs/>
          <w:color w:val="auto"/>
          <w:sz w:val="24"/>
          <w:highlight w:val="none"/>
          <w:u w:val="single"/>
          <w:lang w:val="en-US" w:eastAsia="zh-CN"/>
        </w:rPr>
        <w:t>15</w:t>
      </w:r>
      <w:r>
        <w:rPr>
          <w:rFonts w:hint="eastAsia" w:ascii="仿宋" w:hAnsi="仿宋" w:eastAsia="仿宋" w:cs="仿宋"/>
          <w:color w:val="auto"/>
          <w:sz w:val="24"/>
          <w:highlight w:val="none"/>
          <w:lang w:eastAsia="zh-CN"/>
        </w:rPr>
        <w:t>日历天</w:t>
      </w:r>
    </w:p>
    <w:p>
      <w:pPr>
        <w:spacing w:line="520" w:lineRule="exact"/>
        <w:ind w:firstLine="960" w:firstLineChars="4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西安体育局器材采购项目</w:t>
      </w:r>
      <w:r>
        <w:rPr>
          <w:rFonts w:hint="eastAsia" w:ascii="仿宋" w:hAnsi="仿宋" w:eastAsia="仿宋" w:cs="仿宋"/>
          <w:color w:val="auto"/>
          <w:sz w:val="24"/>
          <w:highlight w:val="none"/>
        </w:rPr>
        <w:t xml:space="preserve">） </w:t>
      </w:r>
    </w:p>
    <w:p>
      <w:pPr>
        <w:spacing w:line="520" w:lineRule="exact"/>
        <w:ind w:firstLine="1200" w:firstLineChars="5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pPr>
        <w:pStyle w:val="22"/>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tbl>
      <w:tblPr>
        <w:tblStyle w:val="50"/>
        <w:tblW w:w="5079" w:type="pc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219"/>
        <w:gridCol w:w="1302"/>
        <w:gridCol w:w="1180"/>
        <w:gridCol w:w="1879"/>
        <w:gridCol w:w="177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品目号</w:t>
            </w:r>
          </w:p>
        </w:tc>
        <w:tc>
          <w:tcPr>
            <w:tcW w:w="602"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eastAsia="zh-CN"/>
              </w:rPr>
              <w:t>品目名称</w:t>
            </w:r>
          </w:p>
        </w:tc>
        <w:tc>
          <w:tcPr>
            <w:tcW w:w="643"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w:t>
            </w:r>
          </w:p>
        </w:tc>
        <w:tc>
          <w:tcPr>
            <w:tcW w:w="583"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928"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技术规格、参数及要求</w:t>
            </w:r>
          </w:p>
        </w:tc>
        <w:tc>
          <w:tcPr>
            <w:tcW w:w="876"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品目预算（元）</w:t>
            </w:r>
          </w:p>
        </w:tc>
        <w:tc>
          <w:tcPr>
            <w:tcW w:w="876"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87" w:type="pct"/>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602"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散打、武术设备</w:t>
            </w:r>
          </w:p>
        </w:tc>
        <w:tc>
          <w:tcPr>
            <w:tcW w:w="643"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散打、武术设备</w:t>
            </w:r>
          </w:p>
        </w:tc>
        <w:tc>
          <w:tcPr>
            <w:tcW w:w="583"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批</w:t>
            </w:r>
            <w:r>
              <w:rPr>
                <w:rFonts w:hint="eastAsia" w:ascii="仿宋" w:hAnsi="仿宋" w:eastAsia="仿宋" w:cs="仿宋"/>
                <w:color w:val="auto"/>
                <w:sz w:val="24"/>
                <w:highlight w:val="none"/>
                <w:lang w:eastAsia="zh-CN"/>
              </w:rPr>
              <w:t>)</w:t>
            </w:r>
          </w:p>
        </w:tc>
        <w:tc>
          <w:tcPr>
            <w:tcW w:w="928"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详见采购文件</w:t>
            </w:r>
          </w:p>
        </w:tc>
        <w:tc>
          <w:tcPr>
            <w:tcW w:w="876"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0000.00</w:t>
            </w:r>
          </w:p>
        </w:tc>
        <w:tc>
          <w:tcPr>
            <w:tcW w:w="876" w:type="pct"/>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0000.00</w:t>
            </w:r>
          </w:p>
        </w:tc>
      </w:tr>
    </w:tbl>
    <w:p>
      <w:pPr>
        <w:spacing w:line="52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pacing w:line="520" w:lineRule="exact"/>
        <w:ind w:firstLine="480" w:firstLineChars="200"/>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b/>
          <w:bCs/>
          <w:color w:val="auto"/>
          <w:sz w:val="24"/>
          <w:highlight w:val="none"/>
          <w:u w:val="single"/>
          <w:lang w:val="en-US" w:eastAsia="zh-CN"/>
        </w:rPr>
        <w:t>15</w:t>
      </w:r>
      <w:r>
        <w:rPr>
          <w:rFonts w:hint="eastAsia" w:ascii="仿宋" w:hAnsi="仿宋" w:eastAsia="仿宋" w:cs="仿宋"/>
          <w:color w:val="auto"/>
          <w:sz w:val="24"/>
          <w:highlight w:val="none"/>
          <w:lang w:eastAsia="zh-CN"/>
        </w:rPr>
        <w:t>日历天</w:t>
      </w:r>
    </w:p>
    <w:p>
      <w:pPr>
        <w:spacing w:line="52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2、落实政府采购政策需满足的资格要求： </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西安体育局器材采购项目</w:t>
      </w:r>
      <w:r>
        <w:rPr>
          <w:rFonts w:hint="eastAsia" w:ascii="仿宋" w:hAnsi="仿宋" w:eastAsia="仿宋" w:cs="仿宋"/>
          <w:color w:val="auto"/>
          <w:sz w:val="24"/>
          <w:highlight w:val="none"/>
        </w:rPr>
        <w:t>)落实政府采购政策需满足的资格要求如下:</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本项目为专门面向中小企业的项目，供应商应为中小微企业、监狱企业或残疾人福利性单位。</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西安体育局器材采购项目</w:t>
      </w:r>
      <w:r>
        <w:rPr>
          <w:rFonts w:hint="eastAsia" w:ascii="仿宋" w:hAnsi="仿宋" w:eastAsia="仿宋" w:cs="仿宋"/>
          <w:color w:val="auto"/>
          <w:sz w:val="24"/>
          <w:highlight w:val="none"/>
        </w:rPr>
        <w:t>)落实政府采购政策需满足的资格要求如下:</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本项目为专门面向中小企业的项目，供应商应为中小微企业、监狱企业或残疾人福利性单位。</w:t>
      </w:r>
    </w:p>
    <w:p>
      <w:pPr>
        <w:numPr>
          <w:ilvl w:val="0"/>
          <w:numId w:val="5"/>
        </w:num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西安体育局器材采购项目</w:t>
      </w:r>
      <w:r>
        <w:rPr>
          <w:rFonts w:hint="eastAsia" w:ascii="仿宋" w:hAnsi="仿宋" w:eastAsia="仿宋" w:cs="仿宋"/>
          <w:color w:val="auto"/>
          <w:sz w:val="24"/>
          <w:highlight w:val="none"/>
        </w:rPr>
        <w:t>)特定资格要求如下:</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供应商在递交谈判响应文件截止时间前被“信用中国”网站（www.creditchina.gov.cn）和中国政府采购网（www.ccgp.gov.cn）上被列入失信被执行人、重大税收违法失信主体、政府采购严重违法失信行为记录名单的，不得参加谈判；</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供应商应授权合法的人员参加谈判全过程，其中法定代表人直接参加谈判的，须出具法人身份证，并与营业执照上信息一致。授权代表参加谈判的，须出具法定代表人授权书及授权代表身份证、授权代表本单位证明（养老保险缴纳证明或劳动合同）；</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3.3供应商不得存在下列情形之一：</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（1）单位负责人为同一人或者存在直接控股、管理关系的不同供应商，不得参加本次采购活动；</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（2）为本项目提供整体设计、规范编制或者项目管理、监理、检测等服务的供应商，不得再参加该采购项目的其他采购活动。</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3.4需向采购代理机构获取采购文件，未向采购代理机构获取采购文件的供应商均无资格参加谈判。</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西安体育局器材采购项目</w:t>
      </w:r>
      <w:r>
        <w:rPr>
          <w:rFonts w:hint="eastAsia" w:ascii="仿宋" w:hAnsi="仿宋" w:eastAsia="仿宋" w:cs="仿宋"/>
          <w:color w:val="auto"/>
          <w:sz w:val="24"/>
          <w:highlight w:val="none"/>
        </w:rPr>
        <w:t>)特定资格要求如下:</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供应商在递交谈判响应文件截止时间前被“信用中国”网站（www.creditchina.gov.cn）和中国政府采购网（www.ccgp.gov.cn）上被列入失信被执行人、重大税收违法失信主体、政府采购严重违法失信行为记录名单的，不得参加谈判；</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供应商应授权合法的人员参加谈判全过程，其中法定代表人直接参加谈判的，须出具法人身份证，并与营业执照上信息一致。授权代表参加谈判的，须出具法定代表人授权书及授权代表身份证、授权代表本单位证明（养老保险缴纳证明或劳动合同）；</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3.3供应商不得存在下列情形之一：</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（1）单位负责人为同一人或者存在直接控股、管理关系的不同供应商，不得参加本次采购活动；</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（2）为本项目提供整体设计、规范编制或者项目管理、监理、检测等服务的供应商，不得再参加该采购项目的其他采购活动。</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3.4需向采购代理机构获取采购文件，未向采购代理机构获取采购文件的供应商均无资格参加谈判。</w:t>
      </w:r>
    </w:p>
    <w:p>
      <w:pPr>
        <w:spacing w:line="52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三、获取采购文件</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2023年</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 至 2023年</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日 ，每天上午 08:00:00 至 12:00:00 ，下午 12:00:00 至 17:00:00 （北京时间）</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途径：</w:t>
      </w:r>
      <w:r>
        <w:rPr>
          <w:rFonts w:hint="eastAsia" w:ascii="仿宋" w:hAnsi="仿宋" w:eastAsia="仿宋" w:cs="仿宋"/>
          <w:b/>
          <w:bCs/>
          <w:color w:val="auto"/>
          <w:sz w:val="24"/>
          <w:highlight w:val="none"/>
          <w:lang w:eastAsia="zh-CN"/>
        </w:rPr>
        <w:t>“将单位介绍信及被介绍人的身份证扫描件（加盖单位公章）发至邮箱525633509@qq.com，需备注单位名称、项目编号、联系人及联系电话等信息”</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售价：0元 </w:t>
      </w:r>
    </w:p>
    <w:p>
      <w:pPr>
        <w:spacing w:line="52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四、响应文件提交</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b/>
          <w:bCs/>
          <w:color w:val="auto"/>
          <w:sz w:val="24"/>
          <w:highlight w:val="none"/>
        </w:rPr>
        <w:t xml:space="preserve"> 2023年</w:t>
      </w:r>
      <w:r>
        <w:rPr>
          <w:rFonts w:hint="eastAsia" w:ascii="仿宋" w:hAnsi="仿宋" w:eastAsia="仿宋" w:cs="仿宋"/>
          <w:b/>
          <w:bCs/>
          <w:color w:val="auto"/>
          <w:sz w:val="24"/>
          <w:highlight w:val="none"/>
          <w:lang w:val="en-US" w:eastAsia="zh-CN"/>
        </w:rPr>
        <w:t>08</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bCs/>
          <w:color w:val="auto"/>
          <w:sz w:val="24"/>
          <w:highlight w:val="none"/>
        </w:rPr>
        <w:t>时</w:t>
      </w:r>
      <w:r>
        <w:rPr>
          <w:rFonts w:hint="eastAsia" w:ascii="仿宋" w:hAnsi="仿宋" w:eastAsia="仿宋" w:cs="仿宋"/>
          <w:b/>
          <w:bCs/>
          <w:color w:val="auto"/>
          <w:sz w:val="24"/>
          <w:highlight w:val="none"/>
          <w:lang w:val="en-US" w:eastAsia="zh-CN"/>
        </w:rPr>
        <w:t>30</w:t>
      </w:r>
      <w:r>
        <w:rPr>
          <w:rFonts w:hint="eastAsia" w:ascii="仿宋" w:hAnsi="仿宋" w:eastAsia="仿宋" w:cs="仿宋"/>
          <w:b/>
          <w:bCs/>
          <w:color w:val="auto"/>
          <w:sz w:val="24"/>
          <w:highlight w:val="none"/>
        </w:rPr>
        <w:t>分00秒</w:t>
      </w:r>
      <w:r>
        <w:rPr>
          <w:rFonts w:hint="eastAsia" w:ascii="仿宋" w:hAnsi="仿宋" w:eastAsia="仿宋" w:cs="仿宋"/>
          <w:color w:val="auto"/>
          <w:sz w:val="24"/>
          <w:highlight w:val="none"/>
        </w:rPr>
        <w:t> （北京时间）</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西安市高新二路2号山西证券大厦</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层第</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会议室</w:t>
      </w:r>
    </w:p>
    <w:p>
      <w:pPr>
        <w:spacing w:line="52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五、开启</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b/>
          <w:bCs/>
          <w:color w:val="auto"/>
          <w:sz w:val="24"/>
          <w:highlight w:val="none"/>
        </w:rPr>
        <w:t xml:space="preserve"> 2023年</w:t>
      </w:r>
      <w:r>
        <w:rPr>
          <w:rFonts w:hint="eastAsia" w:ascii="仿宋" w:hAnsi="仿宋" w:eastAsia="仿宋" w:cs="仿宋"/>
          <w:b/>
          <w:bCs/>
          <w:color w:val="auto"/>
          <w:sz w:val="24"/>
          <w:highlight w:val="none"/>
          <w:lang w:val="en-US" w:eastAsia="zh-CN"/>
        </w:rPr>
        <w:t>08</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bCs/>
          <w:color w:val="auto"/>
          <w:sz w:val="24"/>
          <w:highlight w:val="none"/>
        </w:rPr>
        <w:t>时</w:t>
      </w:r>
      <w:r>
        <w:rPr>
          <w:rFonts w:hint="eastAsia" w:ascii="仿宋" w:hAnsi="仿宋" w:eastAsia="仿宋" w:cs="仿宋"/>
          <w:b/>
          <w:bCs/>
          <w:color w:val="auto"/>
          <w:sz w:val="24"/>
          <w:highlight w:val="none"/>
          <w:lang w:val="en-US" w:eastAsia="zh-CN"/>
        </w:rPr>
        <w:t>30</w:t>
      </w:r>
      <w:r>
        <w:rPr>
          <w:rFonts w:hint="eastAsia" w:ascii="仿宋" w:hAnsi="仿宋" w:eastAsia="仿宋" w:cs="仿宋"/>
          <w:b/>
          <w:bCs/>
          <w:color w:val="auto"/>
          <w:sz w:val="24"/>
          <w:highlight w:val="none"/>
        </w:rPr>
        <w:t>分00秒 </w:t>
      </w:r>
      <w:r>
        <w:rPr>
          <w:rFonts w:hint="eastAsia" w:ascii="仿宋" w:hAnsi="仿宋" w:eastAsia="仿宋" w:cs="仿宋"/>
          <w:color w:val="auto"/>
          <w:sz w:val="24"/>
          <w:highlight w:val="none"/>
        </w:rPr>
        <w:t>（北京时间）</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西安市高新二路2号山西证券大厦</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层第</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会议室</w:t>
      </w:r>
    </w:p>
    <w:p>
      <w:pPr>
        <w:spacing w:line="52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六、公告期限</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自本公告发布之日起3个工作日。</w:t>
      </w:r>
    </w:p>
    <w:p>
      <w:pPr>
        <w:spacing w:line="52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七、其他补充事宜</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1、落实政府采购政策：</w:t>
      </w:r>
    </w:p>
    <w:p>
      <w:pPr>
        <w:spacing w:line="52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1.1《关于进一步加大政府采购支持中小企业力度的通知》（财库</w:t>
      </w:r>
      <w:r>
        <w:rPr>
          <w:rFonts w:hint="eastAsia" w:ascii="仿宋" w:hAnsi="仿宋" w:eastAsia="仿宋" w:cs="仿宋"/>
          <w:color w:val="auto"/>
          <w:highlight w:val="none"/>
        </w:rPr>
        <w:t>〔</w:t>
      </w:r>
      <w:r>
        <w:rPr>
          <w:rFonts w:hint="eastAsia" w:ascii="仿宋" w:hAnsi="仿宋" w:eastAsia="仿宋" w:cs="仿宋"/>
          <w:color w:val="auto"/>
          <w:sz w:val="24"/>
          <w:highlight w:val="none"/>
        </w:rPr>
        <w:t>2022</w:t>
      </w:r>
      <w:r>
        <w:rPr>
          <w:rFonts w:hint="eastAsia" w:ascii="仿宋" w:hAnsi="仿宋" w:eastAsia="仿宋" w:cs="仿宋"/>
          <w:color w:val="auto"/>
          <w:highlight w:val="none"/>
        </w:rPr>
        <w:t>〕</w:t>
      </w:r>
      <w:r>
        <w:rPr>
          <w:rFonts w:hint="eastAsia" w:ascii="仿宋" w:hAnsi="仿宋" w:eastAsia="仿宋" w:cs="仿宋"/>
          <w:color w:val="auto"/>
          <w:sz w:val="24"/>
          <w:highlight w:val="none"/>
        </w:rPr>
        <w:t>19号）、《政府采购促进中小企业发展管理办法》（财库〔2020〕46号）、《关于政府采购支持监狱企业发展有关问题的通知》（财库〔2014〕68号）、《关于促进残疾人就业政府采购政策的通知》（财库〔2017〕141号）。</w:t>
      </w:r>
    </w:p>
    <w:p>
      <w:pPr>
        <w:spacing w:line="52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spacing w:line="52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spacing w:line="520" w:lineRule="exact"/>
        <w:ind w:firstLine="480" w:firstLineChars="20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1.4《财政部 国家发展改革委 信息产业部 关于印发无线局域网产品政府采购实施意见的通知》（财库〔2005〕366号）、《国家互联网信息办公室 工业和信息化部 公安部 财政部 国家认证认可监督管理委员会关于调整网络安全专用产品安全管理有关事项的公告》（2023年第1号）</w:t>
      </w:r>
      <w:r>
        <w:rPr>
          <w:rFonts w:hint="eastAsia" w:ascii="仿宋" w:hAnsi="仿宋" w:eastAsia="仿宋" w:cs="仿宋"/>
          <w:color w:val="auto"/>
          <w:sz w:val="24"/>
          <w:highlight w:val="none"/>
          <w:lang w:eastAsia="zh-CN"/>
        </w:rPr>
        <w:t>。</w:t>
      </w:r>
    </w:p>
    <w:p>
      <w:pPr>
        <w:spacing w:line="52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1.5《陕西省财政厅关于加快推进我省中小企业政府采购信用融资工作的通知》（陕财办采〔2020〕15 号）、陕西省财政厅关于印发《陕西省中小企业政府采购信用融资办法》（陕财办采〔2018〕23 号）。</w:t>
      </w:r>
    </w:p>
    <w:p>
      <w:pPr>
        <w:spacing w:line="52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若享受以上政策优惠的企业，提供相应声明函或品目清单范围内产品的有效认证证书。</w:t>
      </w:r>
    </w:p>
    <w:p>
      <w:pPr>
        <w:spacing w:line="520" w:lineRule="exact"/>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2.在采</w:t>
      </w:r>
      <w:r>
        <w:rPr>
          <w:rFonts w:hint="eastAsia" w:ascii="仿宋" w:hAnsi="仿宋" w:eastAsia="仿宋" w:cs="仿宋"/>
          <w:color w:val="auto"/>
          <w:sz w:val="24"/>
          <w:highlight w:val="none"/>
        </w:rPr>
        <w:t>购文件获取时间内通过电子邮箱发送电子版资料的方式获取采购文件：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"mailto:请将单位介绍信、身份证复印件加盖公章发至157567909@qq.com邮箱，需备注单位名称、项目编号、联系人及联系电话等信息。" </w:instrText>
      </w:r>
      <w:r>
        <w:rPr>
          <w:rFonts w:hint="eastAsia" w:ascii="仿宋" w:hAnsi="仿宋" w:eastAsia="仿宋" w:cs="仿宋"/>
          <w:color w:val="auto"/>
          <w:highlight w:val="none"/>
        </w:rPr>
        <w:fldChar w:fldCharType="separate"/>
      </w:r>
      <w:r>
        <w:rPr>
          <w:rStyle w:val="59"/>
          <w:rFonts w:hint="eastAsia" w:ascii="仿宋" w:hAnsi="仿宋" w:eastAsia="仿宋" w:cs="仿宋"/>
          <w:color w:val="auto"/>
          <w:sz w:val="24"/>
          <w:highlight w:val="none"/>
          <w:u w:val="none"/>
        </w:rPr>
        <w:t>请将单位介绍信、身份证复印件加盖公章发至</w:t>
      </w:r>
      <w:r>
        <w:rPr>
          <w:rStyle w:val="59"/>
          <w:rFonts w:hint="eastAsia" w:ascii="仿宋" w:hAnsi="仿宋" w:eastAsia="仿宋" w:cs="仿宋"/>
          <w:color w:val="auto"/>
          <w:sz w:val="24"/>
          <w:highlight w:val="none"/>
          <w:u w:val="none"/>
          <w:lang w:eastAsia="zh-CN"/>
        </w:rPr>
        <w:t>525633509</w:t>
      </w:r>
      <w:r>
        <w:rPr>
          <w:rStyle w:val="59"/>
          <w:rFonts w:hint="eastAsia" w:ascii="仿宋" w:hAnsi="仿宋" w:eastAsia="仿宋" w:cs="仿宋"/>
          <w:color w:val="auto"/>
          <w:sz w:val="24"/>
          <w:highlight w:val="none"/>
          <w:u w:val="none"/>
        </w:rPr>
        <w:t>@qq.com邮箱，需备注单位名称、项目编号、联系人及联系电话等信息。</w:t>
      </w:r>
      <w:r>
        <w:rPr>
          <w:rStyle w:val="59"/>
          <w:rFonts w:hint="eastAsia" w:ascii="仿宋" w:hAnsi="仿宋" w:eastAsia="仿宋" w:cs="仿宋"/>
          <w:color w:val="auto"/>
          <w:sz w:val="24"/>
          <w:highlight w:val="none"/>
          <w:u w:val="none"/>
        </w:rPr>
        <w:fldChar w:fldCharType="end"/>
      </w:r>
    </w:p>
    <w:p>
      <w:pPr>
        <w:widowControl/>
        <w:shd w:val="clear" w:color="auto" w:fill="FFFFFF"/>
        <w:spacing w:line="500" w:lineRule="exact"/>
        <w:ind w:right="-195" w:firstLine="482"/>
        <w:jc w:val="both"/>
        <w:textAlignment w:val="baseline"/>
        <w:rPr>
          <w:rFonts w:hint="eastAsia" w:ascii="仿宋" w:hAnsi="仿宋" w:eastAsia="仿宋" w:cs="仿宋"/>
          <w:color w:val="auto"/>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各供应商获取竞争性谈判文件后，按照陕西省财政厅《关于政府采购供应商注册登记有关事项的通知》要求，通过陕西省政府采购网注册登记加入陕西省政府采购供应商库。</w:t>
      </w:r>
    </w:p>
    <w:p>
      <w:pPr>
        <w:spacing w:line="52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八、对本次</w:t>
      </w:r>
      <w:r>
        <w:rPr>
          <w:rFonts w:hint="eastAsia" w:ascii="仿宋" w:hAnsi="仿宋" w:eastAsia="仿宋" w:cs="仿宋"/>
          <w:b/>
          <w:bCs/>
          <w:color w:val="auto"/>
          <w:sz w:val="24"/>
          <w:highlight w:val="none"/>
          <w:lang w:eastAsia="zh-CN"/>
        </w:rPr>
        <w:t>招标</w:t>
      </w:r>
      <w:r>
        <w:rPr>
          <w:rFonts w:hint="eastAsia" w:ascii="仿宋" w:hAnsi="仿宋" w:eastAsia="仿宋" w:cs="仿宋"/>
          <w:b/>
          <w:bCs/>
          <w:color w:val="auto"/>
          <w:sz w:val="24"/>
          <w:highlight w:val="none"/>
        </w:rPr>
        <w:t>提出询问，请按以下方式联系。</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1、采购人信息 </w:t>
      </w:r>
    </w:p>
    <w:p>
      <w:pPr>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西安市体育局</w:t>
      </w:r>
    </w:p>
    <w:p>
      <w:pPr>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西安市未央区汉城街道凤城八路109号市行政中心2号楼</w:t>
      </w:r>
    </w:p>
    <w:p>
      <w:pPr>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联系方式：029-</w:t>
      </w:r>
      <w:r>
        <w:rPr>
          <w:rFonts w:hint="eastAsia" w:ascii="仿宋" w:hAnsi="仿宋" w:eastAsia="仿宋" w:cs="仿宋"/>
          <w:color w:val="auto"/>
          <w:sz w:val="24"/>
          <w:highlight w:val="none"/>
          <w:lang w:eastAsia="zh-CN"/>
        </w:rPr>
        <w:t>86787989</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名称：陕西省采购招标有限责任公司</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地址：西安市高新二路2号山西证券大厦8层招标二部</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联系方式：029-88481271</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spacing w:line="52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eastAsia="zh-CN"/>
        </w:rPr>
        <w:t>薛珊、刘艳</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话：029-88481271</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312"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58" w:name="_Toc58504661"/>
      <w:r>
        <w:rPr>
          <w:rFonts w:hint="eastAsia" w:ascii="仿宋" w:hAnsi="仿宋" w:eastAsia="仿宋" w:cs="仿宋"/>
          <w:b/>
          <w:color w:val="auto"/>
          <w:kern w:val="0"/>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本表是对供应商须知的具体补充和修改，如有矛盾，均以本表为准。</w:t>
      </w:r>
    </w:p>
    <w:p>
      <w:pPr>
        <w:ind w:left="720" w:hanging="720" w:hangingChars="343"/>
        <w:rPr>
          <w:rFonts w:hint="eastAsia" w:ascii="仿宋" w:hAnsi="仿宋" w:eastAsia="仿宋" w:cs="仿宋"/>
          <w:b/>
          <w:color w:val="auto"/>
          <w:sz w:val="20"/>
          <w:szCs w:val="20"/>
          <w:highlight w:val="none"/>
        </w:rPr>
      </w:pPr>
      <w:r>
        <w:rPr>
          <w:rFonts w:hint="eastAsia" w:ascii="仿宋" w:hAnsi="仿宋" w:eastAsia="仿宋" w:cs="仿宋"/>
          <w:color w:val="auto"/>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1080" w:type="dxa"/>
            <w:vAlign w:val="center"/>
          </w:tcPr>
          <w:p>
            <w:pPr>
              <w:pStyle w:val="28"/>
              <w:adjustRightInd w:val="0"/>
              <w:snapToGrid w:val="0"/>
              <w:spacing w:line="240" w:lineRule="auto"/>
              <w:jc w:val="center"/>
              <w:rPr>
                <w:rFonts w:hint="eastAsia" w:ascii="仿宋" w:hAnsi="仿宋" w:eastAsia="仿宋" w:cs="仿宋"/>
                <w:b/>
                <w:color w:val="auto"/>
                <w:sz w:val="24"/>
                <w:szCs w:val="24"/>
                <w:highlight w:val="none"/>
              </w:rPr>
            </w:pPr>
            <w:bookmarkStart w:id="59" w:name="_Hlt14560610"/>
            <w:bookmarkEnd w:id="59"/>
            <w:bookmarkStart w:id="60" w:name="_Toc500746967"/>
            <w:bookmarkStart w:id="61" w:name="_Toc389620165"/>
            <w:bookmarkStart w:id="62" w:name="_Toc492955416"/>
            <w:bookmarkStart w:id="63" w:name="_Toc503063423"/>
            <w:bookmarkStart w:id="64" w:name="_Toc499711885"/>
            <w:bookmarkStart w:id="65" w:name="_Toc500747190"/>
            <w:bookmarkStart w:id="66" w:name="_Toc385992326"/>
            <w:bookmarkStart w:id="67" w:name="_Toc496324580"/>
            <w:bookmarkStart w:id="68" w:name="_Toc500747063"/>
            <w:bookmarkStart w:id="69" w:name="_Toc499711044"/>
            <w:r>
              <w:rPr>
                <w:rFonts w:hint="eastAsia" w:ascii="仿宋" w:hAnsi="仿宋" w:eastAsia="仿宋" w:cs="仿宋"/>
                <w:b/>
                <w:color w:val="auto"/>
                <w:sz w:val="24"/>
                <w:szCs w:val="24"/>
                <w:highlight w:val="none"/>
              </w:rPr>
              <w:t>条款号</w:t>
            </w:r>
          </w:p>
        </w:tc>
        <w:tc>
          <w:tcPr>
            <w:tcW w:w="7650" w:type="dxa"/>
            <w:vAlign w:val="center"/>
          </w:tcPr>
          <w:p>
            <w:pPr>
              <w:pStyle w:val="28"/>
              <w:adjustRightInd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650" w:type="dxa"/>
            <w:vAlign w:val="center"/>
          </w:tcPr>
          <w:p>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西安体育局器材采购项目</w:t>
            </w:r>
          </w:p>
          <w:p>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SCZB2023-JT-1595-001</w:t>
            </w:r>
          </w:p>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资金来源：财政资金</w:t>
            </w:r>
          </w:p>
          <w:p>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eastAsia="zh-CN"/>
              </w:rPr>
              <w:t>660000.00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w:t>
            </w:r>
            <w:r>
              <w:rPr>
                <w:rFonts w:hint="eastAsia" w:ascii="仿宋" w:hAnsi="仿宋" w:eastAsia="仿宋" w:cs="仿宋"/>
                <w:color w:val="auto"/>
                <w:sz w:val="24"/>
                <w:szCs w:val="24"/>
                <w:highlight w:val="none"/>
                <w:lang w:eastAsia="zh-CN"/>
              </w:rPr>
              <w:t>合同包1预算金额：560000.00元，合同包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预算金额：</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0000.00元。</w:t>
            </w:r>
          </w:p>
          <w:p>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eastAsia="zh-CN"/>
              </w:rPr>
              <w:t>660000.00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w:t>
            </w:r>
            <w:r>
              <w:rPr>
                <w:rFonts w:hint="eastAsia" w:ascii="仿宋" w:hAnsi="仿宋" w:eastAsia="仿宋" w:cs="仿宋"/>
                <w:color w:val="auto"/>
                <w:sz w:val="24"/>
                <w:szCs w:val="24"/>
                <w:highlight w:val="none"/>
                <w:lang w:eastAsia="zh-CN"/>
              </w:rPr>
              <w:t>合同包1最高限价：560000.00元，合同包</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最高限价：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0000.00元</w:t>
            </w:r>
          </w:p>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采购内容：详见本谈判文件第四章</w:t>
            </w:r>
          </w:p>
          <w:p>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项目所属行业：</w:t>
            </w:r>
            <w:r>
              <w:rPr>
                <w:rFonts w:hint="eastAsia" w:ascii="仿宋" w:hAnsi="仿宋" w:eastAsia="仿宋" w:cs="仿宋"/>
                <w:color w:val="auto"/>
                <w:sz w:val="24"/>
                <w:szCs w:val="24"/>
                <w:highlight w:val="none"/>
                <w:lang w:eastAsia="zh-CN"/>
              </w:rPr>
              <w:t>工业（</w:t>
            </w:r>
            <w:r>
              <w:rPr>
                <w:rFonts w:hint="eastAsia" w:ascii="仿宋" w:hAnsi="仿宋" w:eastAsia="仿宋" w:cs="仿宋"/>
                <w:color w:val="auto"/>
                <w:sz w:val="24"/>
                <w:szCs w:val="24"/>
                <w:highlight w:val="none"/>
              </w:rPr>
              <w:t>制造业</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7650" w:type="dxa"/>
            <w:vAlign w:val="center"/>
          </w:tcPr>
          <w:p>
            <w:pPr>
              <w:pStyle w:val="28"/>
              <w:adjustRightInd w:val="0"/>
              <w:snapToGrid w:val="0"/>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西安市体育局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650" w:type="dxa"/>
            <w:vAlign w:val="center"/>
          </w:tcPr>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7650" w:type="dxa"/>
            <w:vAlign w:val="center"/>
          </w:tcPr>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邀请供应商的方式：</w:t>
            </w:r>
          </w:p>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（1）发布邀请公告</w:t>
            </w:r>
          </w:p>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（2）采购人和评审专家分别书面推荐的方式邀请不少于3 家</w:t>
            </w:r>
          </w:p>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符合相应资格条件的供应商</w:t>
            </w:r>
          </w:p>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7650" w:type="dxa"/>
            <w:vAlign w:val="center"/>
          </w:tcPr>
          <w:p>
            <w:pPr>
              <w:pStyle w:val="14"/>
              <w:spacing w:line="360" w:lineRule="auto"/>
              <w:rPr>
                <w:rFonts w:hint="eastAsia" w:ascii="仿宋" w:hAnsi="仿宋" w:eastAsia="仿宋" w:cs="仿宋"/>
                <w:color w:val="auto"/>
                <w:highlight w:val="none"/>
              </w:rPr>
            </w:pPr>
            <w:r>
              <w:rPr>
                <w:rFonts w:hint="eastAsia" w:ascii="仿宋" w:hAnsi="仿宋" w:eastAsia="仿宋" w:cs="仿宋"/>
                <w:color w:val="auto"/>
                <w:kern w:val="2"/>
                <w:highlight w:val="none"/>
              </w:rPr>
              <w:t>对供应商的资格要求：见谈判公告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7650" w:type="dxa"/>
            <w:vAlign w:val="center"/>
          </w:tcPr>
          <w:p>
            <w:pPr>
              <w:pStyle w:val="14"/>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7650" w:type="dxa"/>
            <w:vAlign w:val="center"/>
          </w:tcPr>
          <w:p>
            <w:pPr>
              <w:pStyle w:val="14"/>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是否允许联合体谈判：否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7650" w:type="dxa"/>
            <w:vAlign w:val="center"/>
          </w:tcPr>
          <w:p>
            <w:pPr>
              <w:pStyle w:val="14"/>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是否为专门面向</w:t>
            </w:r>
            <w:r>
              <w:rPr>
                <w:rFonts w:hint="eastAsia" w:ascii="仿宋" w:hAnsi="仿宋" w:eastAsia="仿宋" w:cs="仿宋"/>
                <w:b/>
                <w:bCs/>
                <w:color w:val="auto"/>
                <w:highlight w:val="none"/>
                <w:lang w:val="en-US" w:eastAsia="zh-CN"/>
              </w:rPr>
              <w:t>中小</w:t>
            </w:r>
            <w:r>
              <w:rPr>
                <w:rFonts w:hint="eastAsia" w:ascii="仿宋" w:hAnsi="仿宋" w:eastAsia="仿宋" w:cs="仿宋"/>
                <w:b/>
                <w:bCs/>
                <w:color w:val="auto"/>
                <w:highlight w:val="none"/>
              </w:rPr>
              <w:t>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7650" w:type="dxa"/>
            <w:vAlign w:val="center"/>
          </w:tcPr>
          <w:p>
            <w:pPr>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成交响应报价为完成本项目并达到谈判文件要求所需要的全部费用。包括产品供货、安装调试、验收、培训售后服务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、以及增值税等税费、运杂保险费等。 </w:t>
            </w:r>
          </w:p>
          <w:p>
            <w:pPr>
              <w:pStyle w:val="28"/>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（1）报价货币：人民币；</w:t>
            </w:r>
          </w:p>
          <w:p>
            <w:pPr>
              <w:pStyle w:val="28"/>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7650" w:type="dxa"/>
            <w:vAlign w:val="center"/>
          </w:tcPr>
          <w:p>
            <w:pPr>
              <w:pStyle w:val="28"/>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本项目无须缴纳谈判保证金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7650" w:type="dxa"/>
            <w:vAlign w:val="center"/>
          </w:tcPr>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谈判有效期：自响应文件递交之日起</w:t>
            </w:r>
            <w:r>
              <w:rPr>
                <w:rFonts w:hint="eastAsia" w:ascii="仿宋" w:hAnsi="仿宋" w:eastAsia="仿宋" w:cs="仿宋"/>
                <w:color w:val="auto"/>
                <w:sz w:val="24"/>
                <w:szCs w:val="24"/>
                <w:highlight w:val="none"/>
                <w:u w:val="single"/>
              </w:rPr>
              <w:t xml:space="preserve">  60  </w:t>
            </w:r>
            <w:r>
              <w:rPr>
                <w:rFonts w:hint="eastAsia" w:ascii="仿宋" w:hAnsi="仿宋" w:eastAsia="仿宋" w:cs="仿宋"/>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7650" w:type="dxa"/>
            <w:vAlign w:val="center"/>
          </w:tcPr>
          <w:p>
            <w:pPr>
              <w:pStyle w:val="28"/>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响应文件的份数：正本1份，副本2份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电子版</w:t>
            </w:r>
            <w:r>
              <w:rPr>
                <w:rFonts w:hint="eastAsia" w:ascii="仿宋" w:hAnsi="仿宋" w:eastAsia="仿宋" w:cs="仿宋"/>
                <w:color w:val="auto"/>
                <w:sz w:val="24"/>
                <w:szCs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p>
        </w:tc>
        <w:tc>
          <w:tcPr>
            <w:tcW w:w="7650" w:type="dxa"/>
            <w:vAlign w:val="center"/>
          </w:tcPr>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密封袋（箱）上须标注：</w:t>
            </w:r>
          </w:p>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（l）采购编号</w:t>
            </w:r>
          </w:p>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（2）项目名称</w:t>
            </w:r>
          </w:p>
          <w:p>
            <w:pPr>
              <w:pStyle w:val="28"/>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（3）供应商的名称、地址、联系人、电话和传真。</w:t>
            </w:r>
          </w:p>
          <w:p>
            <w:pPr>
              <w:pStyle w:val="28"/>
              <w:adjustRightInd w:val="0"/>
              <w:snapToGrid w:val="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（4）在 </w:t>
            </w:r>
            <w:r>
              <w:rPr>
                <w:rFonts w:hint="eastAsia" w:ascii="仿宋" w:hAnsi="仿宋" w:eastAsia="仿宋" w:cs="仿宋"/>
                <w:b/>
                <w:bCs/>
                <w:color w:val="auto"/>
                <w:sz w:val="24"/>
                <w:szCs w:val="24"/>
                <w:highlight w:val="none"/>
              </w:rPr>
              <w:t>2023年</w:t>
            </w:r>
            <w:r>
              <w:rPr>
                <w:rFonts w:hint="eastAsia" w:ascii="仿宋" w:hAnsi="仿宋" w:eastAsia="仿宋" w:cs="仿宋"/>
                <w:b/>
                <w:bCs/>
                <w:color w:val="auto"/>
                <w:sz w:val="24"/>
                <w:szCs w:val="24"/>
                <w:highlight w:val="none"/>
                <w:lang w:val="en-US" w:eastAsia="zh-CN"/>
              </w:rPr>
              <w:t>08</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:00</w:t>
            </w:r>
            <w:r>
              <w:rPr>
                <w:rFonts w:hint="eastAsia" w:ascii="仿宋" w:hAnsi="仿宋" w:eastAsia="仿宋" w:cs="仿宋"/>
                <w:color w:val="auto"/>
                <w:sz w:val="24"/>
                <w:szCs w:val="24"/>
                <w:highlight w:val="none"/>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p>
        </w:tc>
        <w:tc>
          <w:tcPr>
            <w:tcW w:w="7650" w:type="dxa"/>
            <w:vAlign w:val="center"/>
          </w:tcPr>
          <w:p>
            <w:pPr>
              <w:pStyle w:val="28"/>
              <w:adjustRightInd w:val="0"/>
              <w:snapToGrid w:val="0"/>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本项目不要求提交样品。</w:t>
            </w:r>
          </w:p>
          <w:p>
            <w:pPr>
              <w:pStyle w:val="28"/>
              <w:adjustRightInd w:val="0"/>
              <w:snapToGrid w:val="0"/>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□本项目要求提交样品。样品为响应文件的一部分，随响应文件同时递交。</w:t>
            </w:r>
          </w:p>
          <w:p>
            <w:pPr>
              <w:pStyle w:val="28"/>
              <w:adjustRightInd w:val="0"/>
              <w:snapToGrid w:val="0"/>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（1）样品需标明：项目名称、供应商名称、样品名称等内容。</w:t>
            </w:r>
          </w:p>
          <w:p>
            <w:pPr>
              <w:pStyle w:val="28"/>
              <w:adjustRightInd w:val="0"/>
              <w:snapToGrid w:val="0"/>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7650" w:type="dxa"/>
            <w:vAlign w:val="center"/>
          </w:tcPr>
          <w:p>
            <w:pPr>
              <w:tabs>
                <w:tab w:val="left" w:pos="588"/>
              </w:tabs>
              <w:spacing w:line="360" w:lineRule="auto"/>
              <w:rPr>
                <w:rFonts w:hint="eastAsia" w:ascii="仿宋" w:hAnsi="仿宋" w:eastAsia="仿宋" w:cs="仿宋"/>
                <w:b/>
                <w:bCs/>
                <w:color w:val="auto"/>
                <w:kern w:val="24"/>
                <w:sz w:val="24"/>
                <w:szCs w:val="21"/>
                <w:highlight w:val="none"/>
              </w:rPr>
            </w:pPr>
            <w:r>
              <w:rPr>
                <w:rFonts w:hint="eastAsia" w:ascii="仿宋" w:hAnsi="仿宋" w:eastAsia="仿宋" w:cs="仿宋"/>
                <w:b/>
                <w:bCs/>
                <w:color w:val="auto"/>
                <w:kern w:val="24"/>
                <w:sz w:val="24"/>
                <w:szCs w:val="21"/>
                <w:highlight w:val="none"/>
              </w:rPr>
              <w:t>响应文件递交截止时间：2023年</w:t>
            </w:r>
            <w:r>
              <w:rPr>
                <w:rFonts w:hint="eastAsia" w:ascii="仿宋" w:hAnsi="仿宋" w:eastAsia="仿宋" w:cs="仿宋"/>
                <w:b/>
                <w:bCs/>
                <w:color w:val="auto"/>
                <w:kern w:val="24"/>
                <w:sz w:val="24"/>
                <w:szCs w:val="21"/>
                <w:highlight w:val="none"/>
                <w:lang w:val="en-US" w:eastAsia="zh-CN"/>
              </w:rPr>
              <w:t>08</w:t>
            </w:r>
            <w:r>
              <w:rPr>
                <w:rFonts w:hint="eastAsia" w:ascii="仿宋" w:hAnsi="仿宋" w:eastAsia="仿宋" w:cs="仿宋"/>
                <w:b/>
                <w:bCs/>
                <w:color w:val="auto"/>
                <w:kern w:val="24"/>
                <w:sz w:val="24"/>
                <w:szCs w:val="21"/>
                <w:highlight w:val="none"/>
                <w:lang w:eastAsia="zh-CN"/>
              </w:rPr>
              <w:t>月</w:t>
            </w:r>
            <w:r>
              <w:rPr>
                <w:rFonts w:hint="eastAsia" w:ascii="仿宋" w:hAnsi="仿宋" w:eastAsia="仿宋" w:cs="仿宋"/>
                <w:b/>
                <w:bCs/>
                <w:color w:val="auto"/>
                <w:kern w:val="24"/>
                <w:sz w:val="24"/>
                <w:szCs w:val="21"/>
                <w:highlight w:val="none"/>
                <w:lang w:val="en-US" w:eastAsia="zh-CN"/>
              </w:rPr>
              <w:t>10</w:t>
            </w:r>
            <w:r>
              <w:rPr>
                <w:rFonts w:hint="eastAsia" w:ascii="仿宋" w:hAnsi="仿宋" w:eastAsia="仿宋" w:cs="仿宋"/>
                <w:b/>
                <w:bCs/>
                <w:color w:val="auto"/>
                <w:kern w:val="24"/>
                <w:sz w:val="24"/>
                <w:szCs w:val="21"/>
                <w:highlight w:val="none"/>
                <w:lang w:eastAsia="zh-CN"/>
              </w:rPr>
              <w:t>日</w:t>
            </w:r>
            <w:r>
              <w:rPr>
                <w:rFonts w:hint="eastAsia" w:ascii="仿宋" w:hAnsi="仿宋" w:eastAsia="仿宋" w:cs="仿宋"/>
                <w:b/>
                <w:bCs/>
                <w:color w:val="auto"/>
                <w:kern w:val="24"/>
                <w:sz w:val="24"/>
                <w:szCs w:val="21"/>
                <w:highlight w:val="none"/>
                <w:lang w:val="en-US" w:eastAsia="zh-CN"/>
              </w:rPr>
              <w:t>14</w:t>
            </w:r>
            <w:r>
              <w:rPr>
                <w:rFonts w:hint="eastAsia" w:ascii="仿宋" w:hAnsi="仿宋" w:eastAsia="仿宋" w:cs="仿宋"/>
                <w:b/>
                <w:bCs/>
                <w:color w:val="auto"/>
                <w:kern w:val="24"/>
                <w:sz w:val="24"/>
                <w:szCs w:val="21"/>
                <w:highlight w:val="none"/>
              </w:rPr>
              <w:t>:</w:t>
            </w:r>
            <w:r>
              <w:rPr>
                <w:rFonts w:hint="eastAsia" w:ascii="仿宋" w:hAnsi="仿宋" w:eastAsia="仿宋" w:cs="仿宋"/>
                <w:b/>
                <w:bCs/>
                <w:color w:val="auto"/>
                <w:kern w:val="24"/>
                <w:sz w:val="24"/>
                <w:szCs w:val="21"/>
                <w:highlight w:val="none"/>
                <w:lang w:val="en-US" w:eastAsia="zh-CN"/>
              </w:rPr>
              <w:t>30</w:t>
            </w:r>
            <w:r>
              <w:rPr>
                <w:rFonts w:hint="eastAsia" w:ascii="仿宋" w:hAnsi="仿宋" w:eastAsia="仿宋" w:cs="仿宋"/>
                <w:b/>
                <w:bCs/>
                <w:color w:val="auto"/>
                <w:kern w:val="24"/>
                <w:sz w:val="24"/>
                <w:szCs w:val="21"/>
                <w:highlight w:val="none"/>
              </w:rPr>
              <w:t>:00（北京时间）</w:t>
            </w:r>
          </w:p>
          <w:p>
            <w:pPr>
              <w:tabs>
                <w:tab w:val="left" w:pos="588"/>
              </w:tabs>
              <w:spacing w:line="360" w:lineRule="auto"/>
              <w:rPr>
                <w:rFonts w:hint="eastAsia" w:ascii="仿宋" w:hAnsi="仿宋" w:eastAsia="仿宋" w:cs="仿宋"/>
                <w:b/>
                <w:bCs/>
                <w:color w:val="auto"/>
                <w:kern w:val="24"/>
                <w:sz w:val="24"/>
                <w:szCs w:val="21"/>
                <w:highlight w:val="none"/>
              </w:rPr>
            </w:pPr>
            <w:r>
              <w:rPr>
                <w:rFonts w:hint="eastAsia" w:ascii="仿宋" w:hAnsi="仿宋" w:eastAsia="仿宋" w:cs="仿宋"/>
                <w:b/>
                <w:bCs/>
                <w:color w:val="auto"/>
                <w:kern w:val="24"/>
                <w:sz w:val="24"/>
                <w:szCs w:val="21"/>
                <w:highlight w:val="none"/>
              </w:rPr>
              <w:t>响应文件递交地点：</w:t>
            </w:r>
            <w:r>
              <w:rPr>
                <w:rFonts w:hint="eastAsia" w:ascii="仿宋" w:hAnsi="仿宋" w:eastAsia="仿宋" w:cs="仿宋"/>
                <w:b/>
                <w:bCs/>
                <w:color w:val="auto"/>
                <w:kern w:val="24"/>
                <w:sz w:val="24"/>
                <w:szCs w:val="21"/>
                <w:highlight w:val="none"/>
                <w:lang w:eastAsia="zh-CN"/>
              </w:rPr>
              <w:t>西安市高新二路2号山西证券大厦</w:t>
            </w:r>
            <w:r>
              <w:rPr>
                <w:rFonts w:hint="eastAsia" w:ascii="仿宋" w:hAnsi="仿宋" w:eastAsia="仿宋" w:cs="仿宋"/>
                <w:b/>
                <w:bCs/>
                <w:color w:val="auto"/>
                <w:kern w:val="24"/>
                <w:sz w:val="24"/>
                <w:szCs w:val="21"/>
                <w:highlight w:val="none"/>
                <w:lang w:val="en-US" w:eastAsia="zh-CN"/>
              </w:rPr>
              <w:t>8</w:t>
            </w:r>
            <w:r>
              <w:rPr>
                <w:rFonts w:hint="eastAsia" w:ascii="仿宋" w:hAnsi="仿宋" w:eastAsia="仿宋" w:cs="仿宋"/>
                <w:b/>
                <w:bCs/>
                <w:color w:val="auto"/>
                <w:kern w:val="24"/>
                <w:sz w:val="24"/>
                <w:szCs w:val="21"/>
                <w:highlight w:val="none"/>
                <w:lang w:eastAsia="zh-CN"/>
              </w:rPr>
              <w:t>层第</w:t>
            </w:r>
            <w:r>
              <w:rPr>
                <w:rFonts w:hint="eastAsia" w:ascii="仿宋" w:hAnsi="仿宋" w:eastAsia="仿宋" w:cs="仿宋"/>
                <w:b/>
                <w:bCs/>
                <w:color w:val="auto"/>
                <w:kern w:val="24"/>
                <w:sz w:val="24"/>
                <w:szCs w:val="21"/>
                <w:highlight w:val="none"/>
                <w:lang w:val="en-US" w:eastAsia="zh-CN"/>
              </w:rPr>
              <w:t>3</w:t>
            </w:r>
            <w:r>
              <w:rPr>
                <w:rFonts w:hint="eastAsia" w:ascii="仿宋" w:hAnsi="仿宋" w:eastAsia="仿宋" w:cs="仿宋"/>
                <w:b/>
                <w:bCs/>
                <w:color w:val="auto"/>
                <w:kern w:val="24"/>
                <w:sz w:val="24"/>
                <w:szCs w:val="21"/>
                <w:highlight w:val="none"/>
                <w:lang w:eastAsia="zh-CN"/>
              </w:rPr>
              <w:t>会议室</w:t>
            </w:r>
          </w:p>
          <w:p>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7650" w:type="dxa"/>
            <w:vAlign w:val="center"/>
          </w:tcPr>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谈判小组由</w:t>
            </w:r>
            <w:r>
              <w:rPr>
                <w:rFonts w:hint="eastAsia" w:ascii="仿宋" w:hAnsi="仿宋" w:eastAsia="仿宋" w:cs="仿宋"/>
                <w:color w:val="auto"/>
                <w:sz w:val="24"/>
                <w:highlight w:val="none"/>
                <w:u w:val="single"/>
              </w:rPr>
              <w:t xml:space="preserve">3 </w:t>
            </w:r>
            <w:r>
              <w:rPr>
                <w:rFonts w:hint="eastAsia" w:ascii="仿宋" w:hAnsi="仿宋" w:eastAsia="仿宋" w:cs="仿宋"/>
                <w:color w:val="auto"/>
                <w:sz w:val="24"/>
                <w:highlight w:val="none"/>
              </w:rPr>
              <w:t>人组成，其中评审专家</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人，采购人代表</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80" w:type="dxa"/>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w:t>
            </w:r>
          </w:p>
        </w:tc>
        <w:tc>
          <w:tcPr>
            <w:tcW w:w="7650" w:type="dxa"/>
            <w:vAlign w:val="center"/>
          </w:tcPr>
          <w:p>
            <w:pPr>
              <w:jc w:val="left"/>
              <w:rPr>
                <w:rFonts w:hint="eastAsia" w:ascii="仿宋" w:hAnsi="仿宋" w:eastAsia="仿宋" w:cs="仿宋"/>
                <w:color w:val="auto"/>
                <w:highlight w:val="none"/>
              </w:rPr>
            </w:pPr>
            <w:r>
              <w:rPr>
                <w:rFonts w:hint="eastAsia" w:ascii="仿宋" w:hAnsi="仿宋" w:eastAsia="仿宋" w:cs="仿宋"/>
                <w:color w:val="auto"/>
                <w:sz w:val="24"/>
                <w:highlight w:val="none"/>
              </w:rPr>
              <w:t>本项目不要求缴纳履约保证金。</w:t>
            </w:r>
          </w:p>
        </w:tc>
      </w:tr>
    </w:tbl>
    <w:p>
      <w:pPr>
        <w:adjustRightInd w:val="0"/>
        <w:spacing w:before="312" w:beforeLines="100" w:line="360" w:lineRule="auto"/>
        <w:ind w:right="-22"/>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70" w:name="_Toc249515279"/>
      <w:bookmarkStart w:id="71" w:name="_Toc184043013"/>
      <w:bookmarkStart w:id="72" w:name="_Toc230099798"/>
      <w:bookmarkStart w:id="73" w:name="_Toc256342144"/>
      <w:bookmarkStart w:id="74" w:name="_Toc70687140"/>
      <w:bookmarkStart w:id="75" w:name="_Toc230583542"/>
      <w:bookmarkStart w:id="76" w:name="_Toc176882543"/>
      <w:bookmarkStart w:id="77" w:name="_Toc232395213"/>
      <w:bookmarkStart w:id="78" w:name="_Toc249515391"/>
      <w:bookmarkStart w:id="79" w:name="_Toc230013633"/>
      <w:bookmarkStart w:id="80" w:name="_Toc177817335"/>
      <w:bookmarkStart w:id="81" w:name="_Toc53722841"/>
      <w:bookmarkStart w:id="82" w:name="_Toc177995474"/>
      <w:bookmarkStart w:id="83" w:name="_Toc177189236"/>
      <w:bookmarkStart w:id="84" w:name="_Toc232176273"/>
      <w:bookmarkStart w:id="85" w:name="_Toc249525160"/>
      <w:bookmarkStart w:id="86" w:name="_Toc58504662"/>
    </w:p>
    <w:p>
      <w:pPr>
        <w:adjustRightInd w:val="0"/>
        <w:spacing w:before="312"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（二）供应商须知</w:t>
      </w:r>
    </w:p>
    <w:p>
      <w:pPr>
        <w:adjustRightInd w:val="0"/>
        <w:spacing w:before="312"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4"/>
        <w:rPr>
          <w:rFonts w:hint="eastAsia" w:ascii="仿宋" w:hAnsi="仿宋" w:eastAsia="仿宋" w:cs="仿宋"/>
          <w:b/>
          <w:color w:val="auto"/>
          <w:sz w:val="24"/>
          <w:szCs w:val="21"/>
          <w:highlight w:val="none"/>
        </w:rPr>
      </w:pPr>
      <w:bookmarkStart w:id="87" w:name="_Hlt14560612"/>
      <w:bookmarkEnd w:id="87"/>
      <w:bookmarkStart w:id="88" w:name="_Toc249515392"/>
      <w:bookmarkStart w:id="89" w:name="_Toc249515280"/>
      <w:bookmarkStart w:id="90" w:name="_Toc184043014"/>
      <w:bookmarkStart w:id="91" w:name="_Toc249525161"/>
      <w:bookmarkStart w:id="92" w:name="_Toc25504"/>
      <w:r>
        <w:rPr>
          <w:rFonts w:hint="eastAsia" w:ascii="仿宋" w:hAnsi="仿宋" w:eastAsia="仿宋" w:cs="仿宋"/>
          <w:b/>
          <w:color w:val="auto"/>
          <w:sz w:val="24"/>
          <w:szCs w:val="21"/>
          <w:highlight w:val="none"/>
        </w:rPr>
        <w:t>1.     项目说明</w:t>
      </w:r>
      <w:bookmarkEnd w:id="88"/>
      <w:bookmarkEnd w:id="89"/>
      <w:bookmarkEnd w:id="90"/>
      <w:bookmarkEnd w:id="91"/>
      <w:bookmarkEnd w:id="92"/>
    </w:p>
    <w:p>
      <w:pPr>
        <w:pStyle w:val="63"/>
        <w:widowControl w:val="0"/>
        <w:numPr>
          <w:ilvl w:val="1"/>
          <w:numId w:val="6"/>
        </w:numPr>
        <w:tabs>
          <w:tab w:val="left" w:pos="588"/>
        </w:tabs>
        <w:spacing w:before="0" w:beforeAutospacing="0" w:after="0" w:afterAutospacing="0"/>
        <w:textAlignment w:val="auto"/>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 xml:space="preserve">    项目说明：</w:t>
      </w:r>
      <w:r>
        <w:rPr>
          <w:rFonts w:hint="eastAsia" w:ascii="仿宋" w:hAnsi="仿宋" w:eastAsia="仿宋" w:cs="仿宋"/>
          <w:b/>
          <w:color w:val="auto"/>
          <w:kern w:val="24"/>
          <w:szCs w:val="21"/>
          <w:highlight w:val="none"/>
        </w:rPr>
        <w:t>见供应商须知前附表</w:t>
      </w:r>
      <w:r>
        <w:rPr>
          <w:rFonts w:hint="eastAsia" w:ascii="仿宋" w:hAnsi="仿宋" w:eastAsia="仿宋" w:cs="仿宋"/>
          <w:color w:val="auto"/>
          <w:kern w:val="24"/>
          <w:szCs w:val="21"/>
          <w:highlight w:val="none"/>
        </w:rPr>
        <w:t>。</w:t>
      </w:r>
    </w:p>
    <w:p>
      <w:pPr>
        <w:pStyle w:val="4"/>
        <w:rPr>
          <w:rFonts w:hint="eastAsia" w:ascii="仿宋" w:hAnsi="仿宋" w:eastAsia="仿宋" w:cs="仿宋"/>
          <w:b/>
          <w:color w:val="auto"/>
          <w:sz w:val="24"/>
          <w:szCs w:val="21"/>
          <w:highlight w:val="none"/>
        </w:rPr>
      </w:pPr>
      <w:bookmarkStart w:id="93" w:name="_Toc31509"/>
      <w:bookmarkStart w:id="94" w:name="_Toc70687142"/>
      <w:bookmarkStart w:id="95" w:name="_Toc249515393"/>
      <w:bookmarkStart w:id="96" w:name="_Toc249515281"/>
      <w:bookmarkStart w:id="97" w:name="_Toc184043015"/>
      <w:bookmarkStart w:id="98" w:name="_Toc249525162"/>
      <w:r>
        <w:rPr>
          <w:rFonts w:hint="eastAsia" w:ascii="仿宋" w:hAnsi="仿宋" w:eastAsia="仿宋" w:cs="仿宋"/>
          <w:b/>
          <w:color w:val="auto"/>
          <w:sz w:val="24"/>
          <w:szCs w:val="21"/>
          <w:highlight w:val="none"/>
        </w:rPr>
        <w:t>2.     定义</w:t>
      </w:r>
      <w:bookmarkEnd w:id="93"/>
      <w:bookmarkEnd w:id="94"/>
      <w:bookmarkEnd w:id="95"/>
      <w:bookmarkEnd w:id="96"/>
      <w:bookmarkEnd w:id="97"/>
      <w:bookmarkEnd w:id="98"/>
    </w:p>
    <w:p>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w:t>
      </w:r>
      <w:r>
        <w:rPr>
          <w:rFonts w:hint="eastAsia" w:ascii="仿宋" w:hAnsi="仿宋" w:eastAsia="仿宋" w:cs="仿宋"/>
          <w:b/>
          <w:color w:val="auto"/>
          <w:sz w:val="24"/>
          <w:highlight w:val="none"/>
        </w:rPr>
        <w:t>见供应商须知前附表</w:t>
      </w:r>
      <w:r>
        <w:rPr>
          <w:rFonts w:hint="eastAsia" w:ascii="仿宋" w:hAnsi="仿宋" w:eastAsia="仿宋" w:cs="仿宋"/>
          <w:color w:val="auto"/>
          <w:sz w:val="24"/>
          <w:highlight w:val="none"/>
        </w:rPr>
        <w:t>。</w:t>
      </w:r>
    </w:p>
    <w:p>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2.2    采购代理机构：</w:t>
      </w:r>
      <w:r>
        <w:rPr>
          <w:rFonts w:hint="eastAsia" w:ascii="仿宋" w:hAnsi="仿宋" w:eastAsia="仿宋" w:cs="仿宋"/>
          <w:b/>
          <w:color w:val="auto"/>
          <w:kern w:val="24"/>
          <w:sz w:val="24"/>
          <w:szCs w:val="21"/>
          <w:highlight w:val="none"/>
        </w:rPr>
        <w:t>见供应商须知前附表</w:t>
      </w:r>
      <w:r>
        <w:rPr>
          <w:rFonts w:hint="eastAsia" w:ascii="仿宋" w:hAnsi="仿宋" w:eastAsia="仿宋" w:cs="仿宋"/>
          <w:color w:val="auto"/>
          <w:kern w:val="24"/>
          <w:sz w:val="24"/>
          <w:szCs w:val="21"/>
          <w:highlight w:val="none"/>
        </w:rPr>
        <w:t>。</w:t>
      </w:r>
    </w:p>
    <w:p>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2.3    供应商：指响应谈判文件要求、参加竞争性谈判采购的法人、其他组织或者自然人。本次政府采购项目邀请供应商方式</w:t>
      </w:r>
      <w:r>
        <w:rPr>
          <w:rFonts w:hint="eastAsia" w:ascii="仿宋" w:hAnsi="仿宋" w:eastAsia="仿宋" w:cs="仿宋"/>
          <w:b/>
          <w:bCs/>
          <w:color w:val="auto"/>
          <w:kern w:val="24"/>
          <w:sz w:val="24"/>
          <w:szCs w:val="21"/>
          <w:highlight w:val="none"/>
        </w:rPr>
        <w:t>见供应商须知前附表</w:t>
      </w:r>
      <w:r>
        <w:rPr>
          <w:rFonts w:hint="eastAsia" w:ascii="仿宋" w:hAnsi="仿宋" w:eastAsia="仿宋" w:cs="仿宋"/>
          <w:color w:val="auto"/>
          <w:kern w:val="24"/>
          <w:sz w:val="24"/>
          <w:szCs w:val="21"/>
          <w:highlight w:val="none"/>
        </w:rPr>
        <w:t>。</w:t>
      </w:r>
    </w:p>
    <w:p>
      <w:pPr>
        <w:pStyle w:val="22"/>
        <w:tabs>
          <w:tab w:val="left" w:pos="360"/>
        </w:tabs>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    谈判小组：指依据《中华人民共和国政府采购法》和财政部《政府采购非招标采购方式管理办法》有关规定组建，依法依规履行其职责和义务的机构。</w:t>
      </w:r>
    </w:p>
    <w:p>
      <w:pPr>
        <w:pStyle w:val="4"/>
        <w:rPr>
          <w:rFonts w:hint="eastAsia" w:ascii="仿宋" w:hAnsi="仿宋" w:eastAsia="仿宋" w:cs="仿宋"/>
          <w:b/>
          <w:color w:val="auto"/>
          <w:sz w:val="24"/>
          <w:szCs w:val="21"/>
          <w:highlight w:val="none"/>
        </w:rPr>
      </w:pPr>
      <w:bookmarkStart w:id="99" w:name="_Toc249515394"/>
      <w:bookmarkStart w:id="100" w:name="_Toc70687143"/>
      <w:bookmarkStart w:id="101" w:name="_Toc385992329"/>
      <w:bookmarkStart w:id="102" w:name="_Toc389620168"/>
      <w:bookmarkStart w:id="103" w:name="_Toc249515282"/>
      <w:bookmarkStart w:id="104" w:name="_Toc249525163"/>
      <w:bookmarkStart w:id="105" w:name="_Toc184043016"/>
      <w:bookmarkStart w:id="106" w:name="_Toc23705"/>
      <w:r>
        <w:rPr>
          <w:rFonts w:hint="eastAsia" w:ascii="仿宋" w:hAnsi="仿宋" w:eastAsia="仿宋" w:cs="仿宋"/>
          <w:b/>
          <w:color w:val="auto"/>
          <w:sz w:val="24"/>
          <w:szCs w:val="21"/>
          <w:highlight w:val="none"/>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3.1    供应商基本资质要求详见</w:t>
      </w:r>
      <w:r>
        <w:rPr>
          <w:rFonts w:hint="eastAsia" w:ascii="仿宋" w:hAnsi="仿宋" w:eastAsia="仿宋" w:cs="仿宋"/>
          <w:b/>
          <w:color w:val="auto"/>
          <w:kern w:val="24"/>
          <w:sz w:val="24"/>
          <w:szCs w:val="21"/>
          <w:highlight w:val="none"/>
        </w:rPr>
        <w:t>供应商须知前附表</w:t>
      </w:r>
      <w:r>
        <w:rPr>
          <w:rFonts w:hint="eastAsia" w:ascii="仿宋" w:hAnsi="仿宋" w:eastAsia="仿宋" w:cs="仿宋"/>
          <w:color w:val="auto"/>
          <w:kern w:val="24"/>
          <w:sz w:val="24"/>
          <w:szCs w:val="21"/>
          <w:highlight w:val="none"/>
        </w:rPr>
        <w:t>。</w:t>
      </w:r>
    </w:p>
    <w:p>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3.2.1  供应商应当未被列入失信被执行人、重大</w:t>
      </w:r>
      <w:r>
        <w:rPr>
          <w:rFonts w:hint="eastAsia" w:ascii="仿宋" w:hAnsi="仿宋" w:eastAsia="仿宋" w:cs="仿宋"/>
          <w:color w:val="auto"/>
          <w:sz w:val="24"/>
          <w:highlight w:val="none"/>
        </w:rPr>
        <w:t>税收违法失信主体</w:t>
      </w:r>
      <w:r>
        <w:rPr>
          <w:rFonts w:hint="eastAsia" w:ascii="仿宋" w:hAnsi="仿宋" w:eastAsia="仿宋" w:cs="仿宋"/>
          <w:color w:val="auto"/>
          <w:kern w:val="24"/>
          <w:sz w:val="24"/>
          <w:szCs w:val="21"/>
          <w:highlight w:val="none"/>
        </w:rPr>
        <w:t>、政府采购严重违法失信行为记录名单，否则不得参与政府采购活动。</w:t>
      </w:r>
    </w:p>
    <w:p>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 xml:space="preserve">3.2.2  信用信息查询的时间：自采购文件发售之日起至资格审查结束之前。 </w:t>
      </w:r>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3.2.3  查询渠道：“信用中国”网站（www.creditchina.gov.cn）和中国政府采购网（www.ccgp.gov.cn）。</w:t>
      </w:r>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3.3    供应商必须向采购人或采购代理机构获取谈判文件，未向采购人或采购代理机构获取谈判文件的潜在供应商均无资格参加本次采购。</w:t>
      </w:r>
    </w:p>
    <w:p>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3.4    供应商应遵守《中华人民共和国政府采购法》及其它有关的中国法律和法规。</w:t>
      </w:r>
    </w:p>
    <w:p>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3.5    若前附表中写明允许采购进口产品，供应商应保证所投产品可履行合法报通关手续进入中国关境内。</w:t>
      </w:r>
    </w:p>
    <w:p>
      <w:pPr>
        <w:pStyle w:val="22"/>
        <w:ind w:left="838" w:leftChars="399"/>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若前附表中不允许采购进口产品，如供应商所投产品为进口产品，其响应文件将被认定为无效。</w:t>
      </w:r>
    </w:p>
    <w:p>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    如须知前附表中允许联合体谈判，对联合体规定如下：</w:t>
      </w:r>
    </w:p>
    <w:p>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3.6.1  两个及以上供应商可以组成一个谈判联合体，以一个供应商的身份谈判。</w:t>
      </w:r>
    </w:p>
    <w:p>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3.6.2  联合体各方均应符合本须知规定。</w:t>
      </w:r>
    </w:p>
    <w:p>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3.6.3  采购人根据采购项目对供应商的特殊要求，联合体中至少应当有一方符合相关规定。</w:t>
      </w:r>
    </w:p>
    <w:p>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3.6.4  联合体各方应签订共同谈判响应协议，明确约定联合体各方承担的工作和相应的责任，并将共同响应协议作为响应文件的内容提交。</w:t>
      </w:r>
    </w:p>
    <w:p>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3.6.5  大中型企业、其他自然人、法人或者其他组织与小型、微型企业组成联合体共同参加谈判，共同响应协议中应写明小型、微型企业的协议合同金额占到共同响应协议报价总金额的比例。</w:t>
      </w:r>
    </w:p>
    <w:p>
      <w:pPr>
        <w:pStyle w:val="22"/>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3.6.6  以联合体形式参加政府采购活动的，联合体各方不得再单独参加或者与其他供应商另外组成联合体参加本项目同一合同项下的谈判，否则相关响应文件将被认定为无效。</w:t>
      </w:r>
    </w:p>
    <w:p>
      <w:pPr>
        <w:pStyle w:val="22"/>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3.6.7  对联合体谈判的其他资格要求见须知前附表。</w:t>
      </w:r>
    </w:p>
    <w:p>
      <w:pPr>
        <w:pStyle w:val="22"/>
        <w:ind w:left="840" w:hanging="840" w:hangingChars="350"/>
        <w:rPr>
          <w:rFonts w:hint="eastAsia" w:ascii="仿宋" w:hAnsi="仿宋" w:eastAsia="仿宋" w:cs="仿宋"/>
          <w:color w:val="auto"/>
          <w:highlight w:val="none"/>
        </w:rPr>
      </w:pPr>
      <w:r>
        <w:rPr>
          <w:rFonts w:hint="eastAsia" w:ascii="仿宋" w:hAnsi="仿宋" w:eastAsia="仿宋" w:cs="仿宋"/>
          <w:color w:val="auto"/>
          <w:kern w:val="24"/>
          <w:sz w:val="24"/>
          <w:szCs w:val="21"/>
          <w:highlight w:val="none"/>
        </w:rPr>
        <w:t xml:space="preserve">3.7    </w:t>
      </w:r>
      <w:r>
        <w:rPr>
          <w:rFonts w:hint="eastAsia" w:ascii="仿宋" w:hAnsi="仿宋" w:eastAsia="仿宋" w:cs="仿宋"/>
          <w:color w:val="auto"/>
          <w:sz w:val="24"/>
          <w:highlight w:val="none"/>
        </w:rPr>
        <w:t>若前附表中写明专门面向</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企业采购的，如所投产品的制造商为非</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企业或监狱企业或残疾人福利性单位，其响应文件将被认定为无效。</w:t>
      </w:r>
    </w:p>
    <w:p>
      <w:pPr>
        <w:pStyle w:val="4"/>
        <w:rPr>
          <w:rFonts w:hint="eastAsia" w:ascii="仿宋" w:hAnsi="仿宋" w:eastAsia="仿宋" w:cs="仿宋"/>
          <w:b/>
          <w:color w:val="auto"/>
          <w:sz w:val="24"/>
          <w:szCs w:val="21"/>
          <w:highlight w:val="none"/>
        </w:rPr>
      </w:pPr>
      <w:bookmarkStart w:id="107" w:name="_Toc70687144"/>
      <w:bookmarkStart w:id="108" w:name="_Toc26580"/>
      <w:bookmarkStart w:id="109" w:name="_Toc389620169"/>
      <w:bookmarkStart w:id="110" w:name="_Toc184043017"/>
      <w:bookmarkStart w:id="111" w:name="_Toc249525164"/>
      <w:bookmarkStart w:id="112" w:name="_Toc249515395"/>
      <w:bookmarkStart w:id="113" w:name="_Toc385992330"/>
      <w:bookmarkStart w:id="114" w:name="_Toc249515283"/>
      <w:r>
        <w:rPr>
          <w:rFonts w:hint="eastAsia" w:ascii="仿宋" w:hAnsi="仿宋" w:eastAsia="仿宋" w:cs="仿宋"/>
          <w:b/>
          <w:color w:val="auto"/>
          <w:sz w:val="24"/>
          <w:szCs w:val="21"/>
          <w:highlight w:val="none"/>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4.1    供应商应承担所有与编写和提交响应文件有关的费用，无论响应过程和结果如何，采购人在任何情况下均无义务和责任承担这些费用。</w:t>
      </w:r>
    </w:p>
    <w:p>
      <w:pPr>
        <w:adjustRightInd w:val="0"/>
        <w:spacing w:before="312"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115" w:name="_Toc256342145"/>
      <w:bookmarkStart w:id="116" w:name="_Toc496324581"/>
      <w:bookmarkStart w:id="117" w:name="_Toc232176274"/>
      <w:bookmarkStart w:id="118" w:name="_Toc492955417"/>
      <w:bookmarkStart w:id="119" w:name="_Toc499711045"/>
      <w:bookmarkStart w:id="120" w:name="_Toc230099799"/>
      <w:bookmarkStart w:id="121" w:name="_Toc232395214"/>
      <w:bookmarkStart w:id="122" w:name="_Toc230583543"/>
      <w:bookmarkStart w:id="123" w:name="_Toc249525165"/>
      <w:bookmarkStart w:id="124" w:name="_Toc177189237"/>
      <w:bookmarkStart w:id="125" w:name="_Toc176882544"/>
      <w:bookmarkStart w:id="126" w:name="_Toc230013634"/>
      <w:bookmarkStart w:id="127" w:name="_Toc249515284"/>
      <w:bookmarkStart w:id="128" w:name="_Toc500747064"/>
      <w:bookmarkStart w:id="129" w:name="_Toc70687145"/>
      <w:bookmarkStart w:id="130" w:name="_Toc503063424"/>
      <w:bookmarkStart w:id="131" w:name="_Toc249515396"/>
      <w:bookmarkStart w:id="132" w:name="_Toc184043018"/>
      <w:bookmarkStart w:id="133" w:name="_Toc385992331"/>
      <w:bookmarkStart w:id="134" w:name="_Toc53722842"/>
      <w:bookmarkStart w:id="135" w:name="_Toc177817336"/>
      <w:bookmarkStart w:id="136" w:name="_Toc499711886"/>
      <w:bookmarkStart w:id="137" w:name="_Toc389620170"/>
      <w:bookmarkStart w:id="138" w:name="_Toc500746968"/>
      <w:bookmarkStart w:id="139" w:name="_Toc500747191"/>
      <w:bookmarkStart w:id="140" w:name="_Toc177995475"/>
      <w:bookmarkStart w:id="141" w:name="_Toc58504663"/>
      <w:r>
        <w:rPr>
          <w:rFonts w:hint="eastAsia" w:ascii="仿宋" w:hAnsi="仿宋" w:eastAsia="仿宋" w:cs="仿宋"/>
          <w:b/>
          <w:color w:val="auto"/>
          <w:kern w:val="0"/>
          <w:sz w:val="28"/>
          <w:szCs w:val="28"/>
          <w:highlight w:val="none"/>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b/>
          <w:color w:val="auto"/>
          <w:kern w:val="0"/>
          <w:sz w:val="28"/>
          <w:szCs w:val="28"/>
          <w:highlight w:val="none"/>
        </w:rPr>
        <w:t>谈判文件说明</w:t>
      </w:r>
      <w:bookmarkEnd w:id="141"/>
    </w:p>
    <w:p>
      <w:pPr>
        <w:pStyle w:val="4"/>
        <w:rPr>
          <w:rFonts w:hint="eastAsia" w:ascii="仿宋" w:hAnsi="仿宋" w:eastAsia="仿宋" w:cs="仿宋"/>
          <w:b/>
          <w:color w:val="auto"/>
          <w:sz w:val="24"/>
          <w:szCs w:val="21"/>
          <w:highlight w:val="none"/>
        </w:rPr>
      </w:pPr>
      <w:bookmarkStart w:id="142" w:name="_Toc128"/>
      <w:bookmarkStart w:id="143" w:name="_Toc249515285"/>
      <w:bookmarkStart w:id="144" w:name="_Toc249525166"/>
      <w:bookmarkStart w:id="145" w:name="_Toc389620171"/>
      <w:bookmarkStart w:id="146" w:name="_Toc385992332"/>
      <w:bookmarkStart w:id="147" w:name="_Toc249515397"/>
      <w:bookmarkStart w:id="148" w:name="_Toc70687146"/>
      <w:bookmarkStart w:id="149" w:name="_Toc184043019"/>
      <w:r>
        <w:rPr>
          <w:rFonts w:hint="eastAsia" w:ascii="仿宋" w:hAnsi="仿宋" w:eastAsia="仿宋" w:cs="仿宋"/>
          <w:b/>
          <w:color w:val="auto"/>
          <w:sz w:val="24"/>
          <w:szCs w:val="21"/>
          <w:highlight w:val="none"/>
        </w:rPr>
        <w:t>5.     通知</w:t>
      </w:r>
      <w:bookmarkEnd w:id="142"/>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pPr>
        <w:pStyle w:val="4"/>
        <w:rPr>
          <w:rFonts w:hint="eastAsia" w:ascii="仿宋" w:hAnsi="仿宋" w:eastAsia="仿宋" w:cs="仿宋"/>
          <w:b/>
          <w:color w:val="auto"/>
          <w:sz w:val="24"/>
          <w:szCs w:val="21"/>
          <w:highlight w:val="none"/>
        </w:rPr>
      </w:pPr>
      <w:bookmarkStart w:id="150" w:name="_Toc27223"/>
      <w:r>
        <w:rPr>
          <w:rFonts w:hint="eastAsia" w:ascii="仿宋" w:hAnsi="仿宋" w:eastAsia="仿宋" w:cs="仿宋"/>
          <w:b/>
          <w:color w:val="auto"/>
          <w:sz w:val="24"/>
          <w:szCs w:val="21"/>
          <w:highlight w:val="none"/>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6.1    谈判文件用以阐明供应商所需提供的货物以及其它类似的义务、采购响应程序和合同条款。谈判文件包括如下五章内容：</w:t>
      </w:r>
    </w:p>
    <w:p>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谈判公告</w:t>
      </w:r>
    </w:p>
    <w:p>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供应商须知</w:t>
      </w:r>
    </w:p>
    <w:p>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拟签订的合同文本</w:t>
      </w:r>
    </w:p>
    <w:p>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采购内容及要求</w:t>
      </w:r>
    </w:p>
    <w:p>
      <w:pPr>
        <w:pStyle w:val="22"/>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谈判响应文件格式</w:t>
      </w:r>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4"/>
        <w:rPr>
          <w:rFonts w:hint="eastAsia" w:ascii="仿宋" w:hAnsi="仿宋" w:eastAsia="仿宋" w:cs="仿宋"/>
          <w:b/>
          <w:color w:val="auto"/>
          <w:sz w:val="24"/>
          <w:szCs w:val="21"/>
          <w:highlight w:val="none"/>
        </w:rPr>
      </w:pPr>
      <w:bookmarkStart w:id="151" w:name="_Toc249515398"/>
      <w:bookmarkStart w:id="152" w:name="_Toc184043020"/>
      <w:bookmarkStart w:id="153" w:name="_Toc70687147"/>
      <w:bookmarkStart w:id="154" w:name="_Toc249515286"/>
      <w:bookmarkStart w:id="155" w:name="_Toc385992333"/>
      <w:bookmarkStart w:id="156" w:name="_Toc389620172"/>
      <w:bookmarkStart w:id="157" w:name="_Toc249525167"/>
      <w:bookmarkStart w:id="158" w:name="_Toc10350"/>
      <w:r>
        <w:rPr>
          <w:rFonts w:hint="eastAsia" w:ascii="仿宋" w:hAnsi="仿宋" w:eastAsia="仿宋" w:cs="仿宋"/>
          <w:b/>
          <w:color w:val="auto"/>
          <w:sz w:val="24"/>
          <w:szCs w:val="21"/>
          <w:highlight w:val="none"/>
        </w:rPr>
        <w:t>7.     谈判文件的澄清</w:t>
      </w:r>
      <w:bookmarkEnd w:id="151"/>
      <w:bookmarkEnd w:id="152"/>
      <w:bookmarkEnd w:id="153"/>
      <w:bookmarkEnd w:id="154"/>
      <w:bookmarkEnd w:id="155"/>
      <w:bookmarkEnd w:id="156"/>
      <w:bookmarkEnd w:id="157"/>
      <w:r>
        <w:rPr>
          <w:rFonts w:hint="eastAsia" w:ascii="仿宋" w:hAnsi="仿宋" w:eastAsia="仿宋" w:cs="仿宋"/>
          <w:b/>
          <w:color w:val="auto"/>
          <w:sz w:val="24"/>
          <w:szCs w:val="21"/>
          <w:highlight w:val="none"/>
        </w:rPr>
        <w:t>和修改</w:t>
      </w:r>
      <w:bookmarkEnd w:id="158"/>
    </w:p>
    <w:p>
      <w:pPr>
        <w:tabs>
          <w:tab w:val="left" w:pos="588"/>
        </w:tabs>
        <w:spacing w:line="360" w:lineRule="auto"/>
        <w:ind w:left="840" w:hanging="840" w:hangingChars="350"/>
        <w:rPr>
          <w:rFonts w:hint="eastAsia" w:ascii="仿宋" w:hAnsi="仿宋" w:eastAsia="仿宋" w:cs="仿宋"/>
          <w:color w:val="auto"/>
          <w:sz w:val="24"/>
          <w:highlight w:val="none"/>
        </w:rPr>
      </w:pPr>
      <w:bookmarkStart w:id="159" w:name="_Toc385992334"/>
      <w:bookmarkStart w:id="160" w:name="_Toc389620173"/>
      <w:bookmarkStart w:id="161" w:name="_Toc70687148"/>
      <w:r>
        <w:rPr>
          <w:rFonts w:hint="eastAsia" w:ascii="仿宋" w:hAnsi="仿宋" w:eastAsia="仿宋" w:cs="仿宋"/>
          <w:color w:val="auto"/>
          <w:sz w:val="24"/>
          <w:highlight w:val="none"/>
        </w:rPr>
        <w:t xml:space="preserve">7.1   </w:t>
      </w:r>
      <w:bookmarkEnd w:id="159"/>
      <w:bookmarkEnd w:id="160"/>
      <w:bookmarkEnd w:id="161"/>
      <w:bookmarkStart w:id="162" w:name="_Hlt491765710"/>
      <w:bookmarkEnd w:id="162"/>
      <w:bookmarkStart w:id="163" w:name="_Hlt497729436"/>
      <w:bookmarkEnd w:id="163"/>
      <w:bookmarkStart w:id="164" w:name="_Toc499711887"/>
      <w:bookmarkStart w:id="165" w:name="_Toc503063425"/>
      <w:bookmarkStart w:id="166" w:name="_Toc500746969"/>
      <w:bookmarkStart w:id="167" w:name="_Toc385992335"/>
      <w:bookmarkStart w:id="168" w:name="_Toc389620174"/>
      <w:bookmarkStart w:id="169" w:name="_Toc53722843"/>
      <w:bookmarkStart w:id="170" w:name="_Toc500747065"/>
      <w:bookmarkStart w:id="171" w:name="_Toc492955418"/>
      <w:bookmarkStart w:id="172" w:name="_Toc70687149"/>
      <w:bookmarkStart w:id="173" w:name="_Toc496324582"/>
      <w:bookmarkStart w:id="174" w:name="_Toc499711046"/>
      <w:bookmarkStart w:id="175" w:name="_Toc500747192"/>
      <w:r>
        <w:rPr>
          <w:rFonts w:hint="eastAsia" w:ascii="仿宋" w:hAnsi="仿宋" w:eastAsia="仿宋" w:cs="仿宋"/>
          <w:color w:val="auto"/>
          <w:sz w:val="24"/>
          <w:highlight w:val="none"/>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7.2    谈判文件的修改将以书面形式通知所有获取谈判文件的供应商，并对其具有约束力。供应商在收到上述通知后，应立即向采购人回函确认。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color w:val="auto"/>
          <w:highlight w:val="none"/>
        </w:rPr>
      </w:pPr>
      <w:r>
        <w:rPr>
          <w:rFonts w:hint="eastAsia" w:ascii="仿宋" w:hAnsi="仿宋" w:eastAsia="仿宋" w:cs="仿宋"/>
          <w:color w:val="auto"/>
          <w:sz w:val="24"/>
          <w:highlight w:val="none"/>
        </w:rPr>
        <w:t>7.3    澄清或修改的内容可能影响响应文件编制的，采购人或采购代理机构可适当延长首次响应文件递交截止时间，并以书面形式通知所有获取谈判文件的供应商。</w:t>
      </w: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color w:val="auto"/>
          <w:kern w:val="0"/>
          <w:sz w:val="28"/>
          <w:szCs w:val="28"/>
          <w:highlight w:val="none"/>
        </w:rPr>
      </w:pPr>
      <w:bookmarkStart w:id="176" w:name="_Toc177817337"/>
      <w:bookmarkStart w:id="177" w:name="_Toc232395215"/>
      <w:bookmarkStart w:id="178" w:name="_Toc184043022"/>
      <w:bookmarkStart w:id="179" w:name="_Toc232176275"/>
      <w:bookmarkStart w:id="180" w:name="_Toc230013635"/>
      <w:bookmarkStart w:id="181" w:name="_Toc249525169"/>
      <w:bookmarkStart w:id="182" w:name="_Toc249515400"/>
      <w:bookmarkStart w:id="183" w:name="_Toc230583544"/>
      <w:bookmarkStart w:id="184" w:name="_Toc249515288"/>
      <w:bookmarkStart w:id="185" w:name="_Toc256342146"/>
      <w:bookmarkStart w:id="186" w:name="_Toc230099800"/>
      <w:bookmarkStart w:id="187" w:name="_Toc176882545"/>
      <w:bookmarkStart w:id="188" w:name="_Toc177189238"/>
      <w:bookmarkStart w:id="189" w:name="_Toc177995476"/>
      <w:bookmarkStart w:id="190" w:name="_Toc58504664"/>
      <w:r>
        <w:rPr>
          <w:rFonts w:hint="eastAsia" w:ascii="仿宋" w:hAnsi="仿宋" w:eastAsia="仿宋" w:cs="仿宋"/>
          <w:b/>
          <w:color w:val="auto"/>
          <w:kern w:val="0"/>
          <w:sz w:val="28"/>
          <w:szCs w:val="28"/>
          <w:highlight w:val="none"/>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4"/>
        <w:tabs>
          <w:tab w:val="left" w:pos="360"/>
        </w:tabs>
        <w:rPr>
          <w:rFonts w:hint="eastAsia" w:ascii="仿宋" w:hAnsi="仿宋" w:eastAsia="仿宋" w:cs="仿宋"/>
          <w:b/>
          <w:color w:val="auto"/>
          <w:sz w:val="24"/>
          <w:szCs w:val="21"/>
          <w:highlight w:val="none"/>
        </w:rPr>
      </w:pPr>
      <w:bookmarkStart w:id="191" w:name="_Toc249515401"/>
      <w:bookmarkStart w:id="192" w:name="_Toc249525170"/>
      <w:bookmarkStart w:id="193" w:name="_Toc70687150"/>
      <w:bookmarkStart w:id="194" w:name="_Toc249515289"/>
      <w:bookmarkStart w:id="195" w:name="_Toc184043023"/>
      <w:bookmarkStart w:id="196" w:name="_Toc30150"/>
      <w:bookmarkStart w:id="197" w:name="_Toc389620176"/>
      <w:bookmarkStart w:id="198" w:name="_Toc385992337"/>
      <w:r>
        <w:rPr>
          <w:rFonts w:hint="eastAsia" w:ascii="仿宋" w:hAnsi="仿宋" w:eastAsia="仿宋" w:cs="仿宋"/>
          <w:b/>
          <w:color w:val="auto"/>
          <w:sz w:val="24"/>
          <w:szCs w:val="21"/>
          <w:highlight w:val="none"/>
        </w:rPr>
        <w:t>8.     响应文件语言</w:t>
      </w:r>
      <w:bookmarkEnd w:id="191"/>
      <w:bookmarkEnd w:id="192"/>
      <w:bookmarkEnd w:id="193"/>
      <w:bookmarkEnd w:id="194"/>
      <w:bookmarkEnd w:id="195"/>
      <w:bookmarkEnd w:id="196"/>
    </w:p>
    <w:p>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8.1    响应文件及与响应相关的所有文件均应以中文书写。</w:t>
      </w:r>
    </w:p>
    <w:p>
      <w:pPr>
        <w:pStyle w:val="4"/>
        <w:tabs>
          <w:tab w:val="left" w:pos="360"/>
        </w:tabs>
        <w:rPr>
          <w:rFonts w:hint="eastAsia" w:ascii="仿宋" w:hAnsi="仿宋" w:eastAsia="仿宋" w:cs="仿宋"/>
          <w:b/>
          <w:color w:val="auto"/>
          <w:sz w:val="24"/>
          <w:szCs w:val="21"/>
          <w:highlight w:val="none"/>
        </w:rPr>
      </w:pPr>
      <w:bookmarkStart w:id="199" w:name="_Toc184043024"/>
      <w:bookmarkStart w:id="200" w:name="_Toc249515402"/>
      <w:bookmarkStart w:id="201" w:name="_Toc18327"/>
      <w:bookmarkStart w:id="202" w:name="_Toc249525171"/>
      <w:bookmarkStart w:id="203" w:name="_Toc70687151"/>
      <w:bookmarkStart w:id="204" w:name="_Toc249515290"/>
      <w:r>
        <w:rPr>
          <w:rFonts w:hint="eastAsia" w:ascii="仿宋" w:hAnsi="仿宋" w:eastAsia="仿宋" w:cs="仿宋"/>
          <w:b/>
          <w:color w:val="auto"/>
          <w:sz w:val="24"/>
          <w:szCs w:val="21"/>
          <w:highlight w:val="none"/>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9.1    除在谈判文件的技术规格中另有规定外，计量单位应使用中华人民共和国法定计量单位。</w:t>
      </w:r>
    </w:p>
    <w:p>
      <w:pPr>
        <w:pStyle w:val="4"/>
        <w:tabs>
          <w:tab w:val="left" w:pos="360"/>
        </w:tabs>
        <w:rPr>
          <w:rFonts w:hint="eastAsia" w:ascii="仿宋" w:hAnsi="仿宋" w:eastAsia="仿宋" w:cs="仿宋"/>
          <w:b/>
          <w:color w:val="auto"/>
          <w:sz w:val="24"/>
          <w:szCs w:val="21"/>
          <w:highlight w:val="none"/>
        </w:rPr>
      </w:pPr>
      <w:bookmarkStart w:id="205" w:name="_Toc389620177"/>
      <w:bookmarkStart w:id="206" w:name="_Toc385992338"/>
      <w:bookmarkStart w:id="207" w:name="_Toc70687152"/>
      <w:bookmarkStart w:id="208" w:name="_Toc249515291"/>
      <w:bookmarkStart w:id="209" w:name="_Toc29318"/>
      <w:bookmarkStart w:id="210" w:name="_Toc249525172"/>
      <w:bookmarkStart w:id="211" w:name="_Toc249515403"/>
      <w:bookmarkStart w:id="212" w:name="_Toc184043025"/>
      <w:r>
        <w:rPr>
          <w:rFonts w:hint="eastAsia" w:ascii="仿宋" w:hAnsi="仿宋" w:eastAsia="仿宋" w:cs="仿宋"/>
          <w:b/>
          <w:color w:val="auto"/>
          <w:sz w:val="24"/>
          <w:szCs w:val="21"/>
          <w:highlight w:val="none"/>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10.1   供应商编写的响应文件</w:t>
      </w:r>
      <w:r>
        <w:rPr>
          <w:rFonts w:hint="eastAsia" w:ascii="仿宋" w:hAnsi="仿宋" w:eastAsia="仿宋" w:cs="仿宋"/>
          <w:b/>
          <w:color w:val="auto"/>
          <w:sz w:val="24"/>
          <w:highlight w:val="none"/>
        </w:rPr>
        <w:t>由《资格证明文件》、《商务及技术文件》两部分</w:t>
      </w:r>
      <w:r>
        <w:rPr>
          <w:rFonts w:hint="eastAsia" w:ascii="仿宋" w:hAnsi="仿宋" w:eastAsia="仿宋" w:cs="仿宋"/>
          <w:color w:val="auto"/>
          <w:sz w:val="24"/>
          <w:highlight w:val="none"/>
        </w:rPr>
        <w:t>组成。供应商应完整地按照谈判文件提供的响应文件格式及要求编写响应文件。响应文件中资格审查和符合性审查涉及的事项不满足要求的，其响应文件将被认定为无效。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10.2   供应商提供的材料必须真实有效，任何一项的虚假将导致其响应被拒绝。</w:t>
      </w:r>
    </w:p>
    <w:p>
      <w:pPr>
        <w:pStyle w:val="4"/>
        <w:tabs>
          <w:tab w:val="left" w:pos="360"/>
        </w:tabs>
        <w:rPr>
          <w:rFonts w:hint="eastAsia" w:ascii="仿宋" w:hAnsi="仿宋" w:eastAsia="仿宋" w:cs="仿宋"/>
          <w:b/>
          <w:color w:val="auto"/>
          <w:sz w:val="24"/>
          <w:szCs w:val="21"/>
          <w:highlight w:val="none"/>
        </w:rPr>
      </w:pPr>
      <w:bookmarkStart w:id="213" w:name="_Toc385992339"/>
      <w:bookmarkStart w:id="214" w:name="_Toc249525173"/>
      <w:bookmarkStart w:id="215" w:name="_Toc26312"/>
      <w:bookmarkStart w:id="216" w:name="_Toc70687153"/>
      <w:bookmarkStart w:id="217" w:name="_Toc249515404"/>
      <w:bookmarkStart w:id="218" w:name="_Toc184043026"/>
      <w:bookmarkStart w:id="219" w:name="_Toc389620178"/>
      <w:bookmarkStart w:id="220" w:name="_Toc249515292"/>
      <w:r>
        <w:rPr>
          <w:rFonts w:hint="eastAsia" w:ascii="仿宋" w:hAnsi="仿宋" w:eastAsia="仿宋" w:cs="仿宋"/>
          <w:b/>
          <w:color w:val="auto"/>
          <w:sz w:val="24"/>
          <w:highlight w:val="none"/>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11.1   对于谈判文件第五章中已经提供了格式的响应文件内容，供应商必须按提供的响应文件格式进行填写和编制，没有提供格式的可自行设计。</w:t>
      </w:r>
    </w:p>
    <w:p>
      <w:pPr>
        <w:pStyle w:val="4"/>
        <w:tabs>
          <w:tab w:val="left" w:pos="360"/>
        </w:tabs>
        <w:rPr>
          <w:rFonts w:hint="eastAsia" w:ascii="仿宋" w:hAnsi="仿宋" w:eastAsia="仿宋" w:cs="仿宋"/>
          <w:b/>
          <w:color w:val="auto"/>
          <w:sz w:val="24"/>
          <w:szCs w:val="21"/>
          <w:highlight w:val="none"/>
        </w:rPr>
      </w:pPr>
      <w:bookmarkStart w:id="221" w:name="_Toc26688"/>
      <w:r>
        <w:rPr>
          <w:rFonts w:hint="eastAsia" w:ascii="仿宋" w:hAnsi="仿宋" w:eastAsia="仿宋" w:cs="仿宋"/>
          <w:b/>
          <w:color w:val="auto"/>
          <w:sz w:val="24"/>
          <w:szCs w:val="21"/>
          <w:highlight w:val="none"/>
        </w:rPr>
        <w:t>12.    响应报价</w:t>
      </w:r>
      <w:bookmarkEnd w:id="221"/>
    </w:p>
    <w:p>
      <w:pPr>
        <w:tabs>
          <w:tab w:val="left" w:pos="540"/>
          <w:tab w:val="left" w:pos="720"/>
        </w:tabs>
        <w:spacing w:line="360" w:lineRule="auto"/>
        <w:ind w:left="840" w:hanging="840" w:hangingChars="350"/>
        <w:rPr>
          <w:rFonts w:hint="eastAsia" w:ascii="仿宋" w:hAnsi="仿宋" w:eastAsia="仿宋" w:cs="仿宋"/>
          <w:color w:val="auto"/>
          <w:highlight w:val="none"/>
        </w:rPr>
      </w:pPr>
      <w:r>
        <w:rPr>
          <w:rFonts w:hint="eastAsia" w:ascii="仿宋" w:hAnsi="仿宋" w:eastAsia="仿宋" w:cs="仿宋"/>
          <w:color w:val="auto"/>
          <w:kern w:val="24"/>
          <w:sz w:val="24"/>
          <w:szCs w:val="21"/>
          <w:highlight w:val="none"/>
        </w:rPr>
        <w:t>12.1   响应报价应包括供应商为完成谈判文件中规定的本项目采购内容和范围所需要的全部费用，以及与所报货物相关的所有税费，具体包括但不限于第四章列出的内容。供应商估算错误或漏项的风险一律由供应商承担。见</w:t>
      </w:r>
      <w:r>
        <w:rPr>
          <w:rFonts w:hint="eastAsia" w:ascii="仿宋" w:hAnsi="仿宋" w:eastAsia="仿宋" w:cs="仿宋"/>
          <w:b/>
          <w:color w:val="auto"/>
          <w:kern w:val="24"/>
          <w:sz w:val="24"/>
          <w:szCs w:val="21"/>
          <w:highlight w:val="none"/>
        </w:rPr>
        <w:t>供应商须知前附表。</w:t>
      </w:r>
    </w:p>
    <w:p>
      <w:pPr>
        <w:tabs>
          <w:tab w:val="left" w:pos="540"/>
          <w:tab w:val="left" w:pos="8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12.2   供应商应在响应分项报价表中详细列出所报货物的单价（如适用）和总价，并由法定代表人或其授权代表签署并加盖公章。响应分项报价表上的价格应按谈判文件第五章的格式填写。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12.3   响应分项报价表的总价应和响应报价一览表的响应报价相一致，也包括供应商为完成本项目所发生的一切费用且已包括与所报货物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12.5   供应商每次对每种产品只允许有一个报价，采购人不接受有任何选择的报价。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sz w:val="24"/>
          <w:highlight w:val="none"/>
        </w:rPr>
        <w:t>12.6   供应商根据本须知12.2条规定将响应报价分成几部分并按</w:t>
      </w:r>
      <w:r>
        <w:rPr>
          <w:rFonts w:hint="eastAsia" w:ascii="仿宋" w:hAnsi="仿宋" w:eastAsia="仿宋" w:cs="仿宋"/>
          <w:color w:val="auto"/>
          <w:kern w:val="24"/>
          <w:sz w:val="24"/>
          <w:szCs w:val="21"/>
          <w:highlight w:val="none"/>
        </w:rPr>
        <w:t>谈判文件第五章提供的格式填写“响应分项报价表”，只是为了方便采购人对响应文件进行比较，并不限制采购人以其它方式签订合同的权力。</w:t>
      </w:r>
    </w:p>
    <w:p>
      <w:pPr>
        <w:pStyle w:val="4"/>
        <w:tabs>
          <w:tab w:val="left" w:pos="360"/>
        </w:tabs>
        <w:rPr>
          <w:rFonts w:hint="eastAsia" w:ascii="仿宋" w:hAnsi="仿宋" w:eastAsia="仿宋" w:cs="仿宋"/>
          <w:b/>
          <w:color w:val="auto"/>
          <w:sz w:val="24"/>
          <w:szCs w:val="21"/>
          <w:highlight w:val="none"/>
        </w:rPr>
      </w:pPr>
      <w:bookmarkStart w:id="222" w:name="_Toc249525175"/>
      <w:bookmarkStart w:id="223" w:name="_Toc249515406"/>
      <w:bookmarkStart w:id="224" w:name="_Toc389620180"/>
      <w:bookmarkStart w:id="225" w:name="_Toc385992341"/>
      <w:bookmarkStart w:id="226" w:name="_Toc20687"/>
      <w:bookmarkStart w:id="227" w:name="_Toc70687155"/>
      <w:bookmarkStart w:id="228" w:name="_Toc184043028"/>
      <w:bookmarkStart w:id="229" w:name="_Toc249515294"/>
      <w:r>
        <w:rPr>
          <w:rFonts w:hint="eastAsia" w:ascii="仿宋" w:hAnsi="仿宋" w:eastAsia="仿宋" w:cs="仿宋"/>
          <w:b/>
          <w:color w:val="auto"/>
          <w:sz w:val="24"/>
          <w:szCs w:val="21"/>
          <w:highlight w:val="none"/>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pPr>
        <w:pStyle w:val="4"/>
        <w:tabs>
          <w:tab w:val="left" w:pos="360"/>
        </w:tabs>
        <w:rPr>
          <w:rFonts w:hint="eastAsia" w:ascii="仿宋" w:hAnsi="仿宋" w:eastAsia="仿宋" w:cs="仿宋"/>
          <w:b/>
          <w:color w:val="auto"/>
          <w:kern w:val="24"/>
          <w:sz w:val="24"/>
          <w:szCs w:val="21"/>
          <w:highlight w:val="none"/>
        </w:rPr>
      </w:pPr>
      <w:bookmarkStart w:id="232" w:name="止观"/>
      <w:bookmarkEnd w:id="232"/>
      <w:r>
        <w:rPr>
          <w:rFonts w:hint="eastAsia" w:ascii="仿宋" w:hAnsi="仿宋" w:eastAsia="仿宋" w:cs="仿宋"/>
          <w:b/>
          <w:color w:val="auto"/>
          <w:sz w:val="24"/>
          <w:szCs w:val="21"/>
          <w:highlight w:val="none"/>
        </w:rPr>
        <w:t>14.    谈判保证金：</w:t>
      </w:r>
      <w:r>
        <w:rPr>
          <w:rFonts w:hint="eastAsia" w:ascii="仿宋" w:hAnsi="仿宋" w:eastAsia="仿宋" w:cs="仿宋"/>
          <w:color w:val="auto"/>
          <w:sz w:val="24"/>
          <w:szCs w:val="21"/>
          <w:highlight w:val="none"/>
        </w:rPr>
        <w:t>本项目无须缴纳谈判保证金</w:t>
      </w:r>
    </w:p>
    <w:p>
      <w:pPr>
        <w:pStyle w:val="4"/>
        <w:numPr>
          <w:ilvl w:val="0"/>
          <w:numId w:val="7"/>
        </w:numPr>
        <w:tabs>
          <w:tab w:val="left" w:pos="360"/>
        </w:tabs>
        <w:rPr>
          <w:rFonts w:hint="eastAsia" w:ascii="仿宋" w:hAnsi="仿宋" w:eastAsia="仿宋" w:cs="仿宋"/>
          <w:b/>
          <w:color w:val="auto"/>
          <w:sz w:val="24"/>
          <w:szCs w:val="21"/>
          <w:highlight w:val="none"/>
        </w:rPr>
      </w:pPr>
      <w:bookmarkStart w:id="233" w:name="_Toc249515408"/>
      <w:bookmarkStart w:id="234" w:name="_Toc249515296"/>
      <w:bookmarkStart w:id="235" w:name="_Toc7949"/>
      <w:bookmarkStart w:id="236" w:name="_Toc249525177"/>
      <w:r>
        <w:rPr>
          <w:rFonts w:hint="eastAsia" w:ascii="仿宋" w:hAnsi="仿宋" w:eastAsia="仿宋" w:cs="仿宋"/>
          <w:b/>
          <w:color w:val="auto"/>
          <w:sz w:val="24"/>
          <w:szCs w:val="21"/>
          <w:highlight w:val="none"/>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15.1   谈判有效期见</w:t>
      </w:r>
      <w:r>
        <w:rPr>
          <w:rFonts w:hint="eastAsia" w:ascii="仿宋" w:hAnsi="仿宋" w:eastAsia="仿宋" w:cs="仿宋"/>
          <w:b/>
          <w:color w:val="auto"/>
          <w:sz w:val="24"/>
          <w:highlight w:val="none"/>
        </w:rPr>
        <w:t>本须知前附表</w:t>
      </w:r>
      <w:r>
        <w:rPr>
          <w:rFonts w:hint="eastAsia" w:ascii="仿宋" w:hAnsi="仿宋" w:eastAsia="仿宋" w:cs="仿宋"/>
          <w:color w:val="auto"/>
          <w:sz w:val="24"/>
          <w:highlight w:val="none"/>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Style w:val="126"/>
          <w:rFonts w:hint="eastAsia" w:ascii="仿宋" w:hAnsi="仿宋" w:eastAsia="仿宋" w:cs="仿宋"/>
          <w:color w:val="auto"/>
          <w:highlight w:val="none"/>
        </w:rPr>
      </w:pPr>
      <w:r>
        <w:rPr>
          <w:rFonts w:hint="eastAsia" w:ascii="仿宋" w:hAnsi="仿宋" w:eastAsia="仿宋" w:cs="仿宋"/>
          <w:color w:val="auto"/>
          <w:sz w:val="24"/>
          <w:highlight w:val="none"/>
        </w:rPr>
        <w:t>15.2   特殊情况下，采购人可于原谈判有效期满之前要求供应商同意延长有效期，要求与答复均应为书面形式。</w:t>
      </w:r>
    </w:p>
    <w:p>
      <w:pPr>
        <w:pStyle w:val="4"/>
        <w:tabs>
          <w:tab w:val="left" w:pos="360"/>
        </w:tabs>
        <w:rPr>
          <w:rFonts w:hint="eastAsia" w:ascii="仿宋" w:hAnsi="仿宋" w:eastAsia="仿宋" w:cs="仿宋"/>
          <w:b/>
          <w:color w:val="auto"/>
          <w:sz w:val="24"/>
          <w:szCs w:val="21"/>
          <w:highlight w:val="none"/>
        </w:rPr>
      </w:pPr>
      <w:bookmarkStart w:id="237" w:name="_Toc249515409"/>
      <w:bookmarkStart w:id="238" w:name="_Toc184043033"/>
      <w:bookmarkStart w:id="239" w:name="_Toc70687160"/>
      <w:bookmarkStart w:id="240" w:name="_Toc249515297"/>
      <w:bookmarkStart w:id="241" w:name="_Toc249525178"/>
      <w:bookmarkStart w:id="242" w:name="_Toc385992346"/>
      <w:bookmarkStart w:id="243" w:name="_Toc16612"/>
      <w:bookmarkStart w:id="244" w:name="_Toc389620185"/>
      <w:r>
        <w:rPr>
          <w:rFonts w:hint="eastAsia" w:ascii="仿宋" w:hAnsi="仿宋" w:eastAsia="仿宋" w:cs="仿宋"/>
          <w:b/>
          <w:color w:val="auto"/>
          <w:sz w:val="24"/>
          <w:szCs w:val="21"/>
          <w:highlight w:val="none"/>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16.1   供应商应准备一份响应文件正本和“</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”中规定数目的副本</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lang w:val="en-US" w:eastAsia="zh-CN"/>
        </w:rPr>
        <w:t>电子版</w:t>
      </w:r>
      <w:r>
        <w:rPr>
          <w:rFonts w:hint="eastAsia" w:ascii="仿宋" w:hAnsi="仿宋" w:eastAsia="仿宋" w:cs="仿宋"/>
          <w:color w:val="auto"/>
          <w:sz w:val="24"/>
          <w:highlight w:val="none"/>
        </w:rPr>
        <w:t>，每套响应文件须清楚地标明“正本”、“副本”。若正本和副本不符，以正本为准。</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任何行间插字、涂改或增删，必须由响应文件签字人将姓或首字母在旁边签字才有效。</w:t>
      </w:r>
    </w:p>
    <w:p>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16.5   采购人不接受以电报、电话、传真、电子邮件形式递交的响应文件。</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16.7   响应文件应按照“资格证明文件”和“商务及技术文件”分成两部分，并用不可拆装的方式分别装订成册。</w:t>
      </w:r>
    </w:p>
    <w:p>
      <w:pPr>
        <w:adjustRightInd w:val="0"/>
        <w:spacing w:before="312"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245" w:name="_Hlt491765640"/>
      <w:bookmarkEnd w:id="245"/>
      <w:bookmarkStart w:id="246" w:name="_Toc503063426"/>
      <w:bookmarkStart w:id="247" w:name="_Toc496324583"/>
      <w:bookmarkStart w:id="248" w:name="_Toc230583545"/>
      <w:bookmarkStart w:id="249" w:name="_Toc177995477"/>
      <w:bookmarkStart w:id="250" w:name="_Toc492955419"/>
      <w:bookmarkStart w:id="251" w:name="_Toc184043034"/>
      <w:bookmarkStart w:id="252" w:name="_Toc230013636"/>
      <w:bookmarkStart w:id="253" w:name="_Toc176882546"/>
      <w:bookmarkStart w:id="254" w:name="_Toc230099801"/>
      <w:bookmarkStart w:id="255" w:name="_Toc389620186"/>
      <w:bookmarkStart w:id="256" w:name="_Toc232176276"/>
      <w:bookmarkStart w:id="257" w:name="_Toc249515410"/>
      <w:bookmarkStart w:id="258" w:name="_Toc53722844"/>
      <w:bookmarkStart w:id="259" w:name="_Toc256342147"/>
      <w:bookmarkStart w:id="260" w:name="_Toc70687161"/>
      <w:bookmarkStart w:id="261" w:name="_Toc500747066"/>
      <w:bookmarkStart w:id="262" w:name="_Toc249515298"/>
      <w:bookmarkStart w:id="263" w:name="_Toc249525179"/>
      <w:bookmarkStart w:id="264" w:name="_Toc177817338"/>
      <w:bookmarkStart w:id="265" w:name="_Toc499711047"/>
      <w:bookmarkStart w:id="266" w:name="_Toc500746970"/>
      <w:bookmarkStart w:id="267" w:name="_Toc58504665"/>
      <w:bookmarkStart w:id="268" w:name="_Toc177189239"/>
      <w:bookmarkStart w:id="269" w:name="_Toc385992347"/>
      <w:bookmarkStart w:id="270" w:name="_Toc499711888"/>
      <w:bookmarkStart w:id="271" w:name="_Toc500747193"/>
      <w:bookmarkStart w:id="272" w:name="_Toc232395216"/>
      <w:r>
        <w:rPr>
          <w:rFonts w:hint="eastAsia" w:ascii="仿宋" w:hAnsi="仿宋" w:eastAsia="仿宋" w:cs="仿宋"/>
          <w:b/>
          <w:color w:val="auto"/>
          <w:kern w:val="0"/>
          <w:sz w:val="28"/>
          <w:szCs w:val="28"/>
          <w:highlight w:val="none"/>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4"/>
        <w:tabs>
          <w:tab w:val="left" w:pos="360"/>
        </w:tabs>
        <w:rPr>
          <w:rFonts w:hint="eastAsia" w:ascii="仿宋" w:hAnsi="仿宋" w:eastAsia="仿宋" w:cs="仿宋"/>
          <w:b/>
          <w:color w:val="auto"/>
          <w:sz w:val="24"/>
          <w:szCs w:val="21"/>
          <w:highlight w:val="none"/>
        </w:rPr>
      </w:pPr>
      <w:bookmarkStart w:id="273" w:name="_Toc4042"/>
      <w:bookmarkStart w:id="274" w:name="_Toc389620187"/>
      <w:bookmarkStart w:id="275" w:name="_Toc385992348"/>
      <w:bookmarkStart w:id="276" w:name="_Toc70687162"/>
      <w:bookmarkStart w:id="277" w:name="_Toc249515411"/>
      <w:bookmarkStart w:id="278" w:name="_Toc249515299"/>
      <w:bookmarkStart w:id="279" w:name="_Toc249525180"/>
      <w:bookmarkStart w:id="280" w:name="_Toc184043035"/>
      <w:r>
        <w:rPr>
          <w:rFonts w:hint="eastAsia" w:ascii="仿宋" w:hAnsi="仿宋" w:eastAsia="仿宋" w:cs="仿宋"/>
          <w:b/>
          <w:color w:val="auto"/>
          <w:sz w:val="24"/>
          <w:szCs w:val="21"/>
          <w:highlight w:val="none"/>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bookmarkStart w:id="281" w:name="_Toc389620188"/>
      <w:bookmarkStart w:id="282" w:name="_Toc385992349"/>
      <w:bookmarkStart w:id="283" w:name="_Toc184043036"/>
      <w:bookmarkStart w:id="284" w:name="_Toc70687163"/>
      <w:r>
        <w:rPr>
          <w:rFonts w:hint="eastAsia" w:ascii="仿宋" w:hAnsi="仿宋" w:eastAsia="仿宋" w:cs="仿宋"/>
          <w:color w:val="auto"/>
          <w:kern w:val="0"/>
          <w:sz w:val="24"/>
          <w:szCs w:val="21"/>
          <w:highlight w:val="none"/>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w:t>
      </w:r>
      <w:r>
        <w:rPr>
          <w:rFonts w:hint="eastAsia" w:ascii="仿宋" w:hAnsi="仿宋" w:eastAsia="仿宋" w:cs="仿宋"/>
          <w:color w:val="auto"/>
          <w:kern w:val="0"/>
          <w:sz w:val="24"/>
          <w:szCs w:val="21"/>
          <w:highlight w:val="none"/>
          <w:lang w:eastAsia="zh-CN"/>
        </w:rPr>
        <w:t>、电子版1份</w:t>
      </w:r>
      <w:r>
        <w:rPr>
          <w:rFonts w:hint="eastAsia" w:ascii="仿宋" w:hAnsi="仿宋" w:eastAsia="仿宋" w:cs="仿宋"/>
          <w:color w:val="auto"/>
          <w:kern w:val="0"/>
          <w:sz w:val="24"/>
          <w:szCs w:val="21"/>
          <w:highlight w:val="none"/>
        </w:rPr>
        <w:t>），并在密封袋（箱）上标明“正本”、“副本”字样，封口处应加盖公章或授权代表签字。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hint="eastAsia" w:ascii="仿宋" w:hAnsi="仿宋" w:eastAsia="仿宋" w:cs="仿宋"/>
          <w:color w:val="auto"/>
          <w:sz w:val="24"/>
          <w:szCs w:val="21"/>
          <w:highlight w:val="none"/>
        </w:rPr>
      </w:pPr>
      <w:r>
        <w:rPr>
          <w:rFonts w:hint="eastAsia" w:ascii="仿宋" w:hAnsi="仿宋" w:eastAsia="仿宋" w:cs="仿宋"/>
          <w:color w:val="auto"/>
          <w:kern w:val="0"/>
          <w:sz w:val="24"/>
          <w:szCs w:val="21"/>
          <w:highlight w:val="none"/>
        </w:rPr>
        <w:t>17.2   密封袋（箱）上标识的内容见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szCs w:val="21"/>
          <w:highlight w:val="none"/>
        </w:rPr>
        <w:t>响应文件</w:t>
      </w:r>
      <w:r>
        <w:rPr>
          <w:rFonts w:hint="eastAsia" w:ascii="仿宋" w:hAnsi="仿宋" w:eastAsia="仿宋" w:cs="仿宋"/>
          <w:color w:val="auto"/>
          <w:kern w:val="0"/>
          <w:sz w:val="24"/>
          <w:szCs w:val="21"/>
          <w:highlight w:val="none"/>
        </w:rPr>
        <w:t>如果</w:t>
      </w:r>
      <w:r>
        <w:rPr>
          <w:rFonts w:hint="eastAsia" w:ascii="仿宋" w:hAnsi="仿宋" w:eastAsia="仿宋" w:cs="仿宋"/>
          <w:color w:val="auto"/>
          <w:sz w:val="24"/>
          <w:szCs w:val="21"/>
          <w:highlight w:val="none"/>
        </w:rPr>
        <w:t>未按上述规定密封和标记，采购代理机构应当拒绝接收。</w:t>
      </w:r>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17.3   书面方式不能准确描述采购需求或者需要对样品进行主观判断以确认是否满足采购需求的情况下需提交样品。成交供应商样品不予退还，成为合同内容的一部分，做为验收依据。样品的要求见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bookmarkEnd w:id="281"/>
    <w:bookmarkEnd w:id="282"/>
    <w:p>
      <w:pPr>
        <w:pStyle w:val="4"/>
        <w:tabs>
          <w:tab w:val="left" w:pos="360"/>
        </w:tabs>
        <w:rPr>
          <w:rFonts w:hint="eastAsia" w:ascii="仿宋" w:hAnsi="仿宋" w:eastAsia="仿宋" w:cs="仿宋"/>
          <w:b/>
          <w:color w:val="auto"/>
          <w:sz w:val="24"/>
          <w:szCs w:val="21"/>
          <w:highlight w:val="none"/>
        </w:rPr>
      </w:pPr>
      <w:bookmarkStart w:id="285" w:name="_Toc31171"/>
      <w:bookmarkStart w:id="286" w:name="_Toc249525181"/>
      <w:bookmarkStart w:id="287" w:name="_Toc249515412"/>
      <w:bookmarkStart w:id="288" w:name="_Toc249515300"/>
      <w:r>
        <w:rPr>
          <w:rFonts w:hint="eastAsia" w:ascii="仿宋" w:hAnsi="仿宋" w:eastAsia="仿宋" w:cs="仿宋"/>
          <w:b/>
          <w:color w:val="auto"/>
          <w:sz w:val="24"/>
          <w:szCs w:val="21"/>
          <w:highlight w:val="none"/>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hint="eastAsia" w:ascii="仿宋" w:hAnsi="仿宋" w:eastAsia="仿宋" w:cs="仿宋"/>
          <w:color w:val="auto"/>
          <w:sz w:val="24"/>
          <w:highlight w:val="none"/>
        </w:rPr>
      </w:pPr>
      <w:bookmarkStart w:id="289" w:name="_Toc385992350"/>
      <w:bookmarkStart w:id="290" w:name="_Toc389620189"/>
      <w:bookmarkStart w:id="291" w:name="_Toc184043037"/>
      <w:bookmarkStart w:id="292" w:name="_Toc70687164"/>
      <w:r>
        <w:rPr>
          <w:rFonts w:hint="eastAsia" w:ascii="仿宋" w:hAnsi="仿宋" w:eastAsia="仿宋" w:cs="仿宋"/>
          <w:color w:val="auto"/>
          <w:sz w:val="24"/>
          <w:highlight w:val="none"/>
        </w:rPr>
        <w:t>18.1   响应文件递交截止时间和地点见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采购人可以按本须知第7条规定，通知修改谈判文件，适当延长响应文件递交截止时间。在此情况下，采购人和供应商受响应文件递交截止时间制约的所有权利和义务均应延长至新的截止期。</w:t>
      </w:r>
    </w:p>
    <w:p>
      <w:pPr>
        <w:pStyle w:val="4"/>
        <w:tabs>
          <w:tab w:val="left" w:pos="360"/>
        </w:tabs>
        <w:rPr>
          <w:rFonts w:hint="eastAsia" w:ascii="仿宋" w:hAnsi="仿宋" w:eastAsia="仿宋" w:cs="仿宋"/>
          <w:b/>
          <w:color w:val="auto"/>
          <w:sz w:val="24"/>
          <w:szCs w:val="21"/>
          <w:highlight w:val="none"/>
        </w:rPr>
      </w:pPr>
      <w:bookmarkStart w:id="293" w:name="_Toc7175"/>
      <w:bookmarkStart w:id="294" w:name="_Toc249515413"/>
      <w:bookmarkStart w:id="295" w:name="_Toc249515301"/>
      <w:bookmarkStart w:id="296" w:name="_Toc249525182"/>
      <w:r>
        <w:rPr>
          <w:rFonts w:hint="eastAsia" w:ascii="仿宋" w:hAnsi="仿宋" w:eastAsia="仿宋" w:cs="仿宋"/>
          <w:b/>
          <w:color w:val="auto"/>
          <w:sz w:val="24"/>
          <w:szCs w:val="21"/>
          <w:highlight w:val="none"/>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采购人将拒绝接收第18条规定的响应文件递交截止时间后递交的任何响应文件。</w:t>
      </w:r>
    </w:p>
    <w:p>
      <w:pPr>
        <w:pStyle w:val="4"/>
        <w:tabs>
          <w:tab w:val="left" w:pos="360"/>
        </w:tabs>
        <w:rPr>
          <w:rFonts w:hint="eastAsia" w:ascii="仿宋" w:hAnsi="仿宋" w:eastAsia="仿宋" w:cs="仿宋"/>
          <w:b/>
          <w:color w:val="auto"/>
          <w:sz w:val="24"/>
          <w:szCs w:val="21"/>
          <w:highlight w:val="none"/>
        </w:rPr>
      </w:pPr>
      <w:bookmarkStart w:id="297" w:name="_Toc249515302"/>
      <w:bookmarkStart w:id="298" w:name="_Toc249525183"/>
      <w:bookmarkStart w:id="299" w:name="_Toc249515414"/>
      <w:bookmarkStart w:id="300" w:name="_Toc70687165"/>
      <w:bookmarkStart w:id="301" w:name="_Toc10272"/>
      <w:bookmarkStart w:id="302" w:name="_Toc389620190"/>
      <w:bookmarkStart w:id="303" w:name="_Toc184043038"/>
      <w:bookmarkStart w:id="304" w:name="_Toc385992351"/>
      <w:r>
        <w:rPr>
          <w:rFonts w:hint="eastAsia" w:ascii="仿宋" w:hAnsi="仿宋" w:eastAsia="仿宋" w:cs="仿宋"/>
          <w:b/>
          <w:color w:val="auto"/>
          <w:sz w:val="24"/>
          <w:szCs w:val="21"/>
          <w:highlight w:val="none"/>
        </w:rPr>
        <w:t>20.    响应文件的修改和撤</w:t>
      </w:r>
      <w:bookmarkEnd w:id="297"/>
      <w:bookmarkEnd w:id="298"/>
      <w:bookmarkEnd w:id="299"/>
      <w:bookmarkEnd w:id="300"/>
      <w:bookmarkEnd w:id="301"/>
      <w:bookmarkEnd w:id="302"/>
      <w:bookmarkEnd w:id="303"/>
      <w:bookmarkEnd w:id="304"/>
      <w:r>
        <w:rPr>
          <w:rFonts w:hint="eastAsia" w:ascii="仿宋" w:hAnsi="仿宋" w:eastAsia="仿宋" w:cs="仿宋"/>
          <w:b/>
          <w:color w:val="auto"/>
          <w:sz w:val="24"/>
          <w:szCs w:val="21"/>
          <w:highlight w:val="none"/>
        </w:rPr>
        <w:t>回</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20.4   供应商不得在响应文件递交截止时间起至响应文件有效期期满前撤销其响应文件。</w:t>
      </w:r>
    </w:p>
    <w:p>
      <w:pPr>
        <w:adjustRightInd w:val="0"/>
        <w:spacing w:before="312"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305" w:name="_Hlt497729441"/>
      <w:bookmarkEnd w:id="305"/>
      <w:bookmarkStart w:id="306" w:name="_Hlt491765712"/>
      <w:bookmarkEnd w:id="306"/>
      <w:bookmarkStart w:id="307" w:name="_Toc232176277"/>
      <w:bookmarkStart w:id="308" w:name="_Toc232395217"/>
      <w:bookmarkStart w:id="309" w:name="_Toc214357452"/>
      <w:bookmarkStart w:id="310" w:name="_Toc249515303"/>
      <w:bookmarkStart w:id="311" w:name="_Toc249515415"/>
      <w:bookmarkStart w:id="312" w:name="_Toc256342148"/>
      <w:bookmarkStart w:id="313" w:name="_Toc249525184"/>
      <w:bookmarkStart w:id="314" w:name="_Toc58504666"/>
      <w:bookmarkStart w:id="315" w:name="_Toc499711889"/>
      <w:bookmarkStart w:id="316" w:name="_Toc176882547"/>
      <w:bookmarkStart w:id="317" w:name="_Toc492955420"/>
      <w:bookmarkStart w:id="318" w:name="_Toc177817339"/>
      <w:bookmarkStart w:id="319" w:name="_Toc500746971"/>
      <w:bookmarkStart w:id="320" w:name="_Toc503063427"/>
      <w:bookmarkStart w:id="321" w:name="_Toc500747194"/>
      <w:bookmarkStart w:id="322" w:name="_Toc385992352"/>
      <w:bookmarkStart w:id="323" w:name="_Toc177995478"/>
      <w:bookmarkStart w:id="324" w:name="_Toc496324584"/>
      <w:bookmarkStart w:id="325" w:name="_Toc184043039"/>
      <w:bookmarkStart w:id="326" w:name="_Toc499711048"/>
      <w:bookmarkStart w:id="327" w:name="_Toc177189240"/>
      <w:bookmarkStart w:id="328" w:name="_Toc389620191"/>
      <w:bookmarkStart w:id="329" w:name="_Toc53722845"/>
      <w:bookmarkStart w:id="330" w:name="_Toc500747067"/>
      <w:bookmarkStart w:id="331" w:name="_Toc70687166"/>
      <w:r>
        <w:rPr>
          <w:rFonts w:hint="eastAsia" w:ascii="仿宋" w:hAnsi="仿宋" w:eastAsia="仿宋" w:cs="仿宋"/>
          <w:b/>
          <w:color w:val="auto"/>
          <w:kern w:val="0"/>
          <w:sz w:val="28"/>
          <w:szCs w:val="28"/>
          <w:highlight w:val="none"/>
        </w:rPr>
        <w:t>五、</w:t>
      </w:r>
      <w:bookmarkEnd w:id="307"/>
      <w:bookmarkEnd w:id="308"/>
      <w:bookmarkEnd w:id="309"/>
      <w:r>
        <w:rPr>
          <w:rFonts w:hint="eastAsia" w:ascii="仿宋" w:hAnsi="仿宋" w:eastAsia="仿宋" w:cs="仿宋"/>
          <w:b/>
          <w:color w:val="auto"/>
          <w:kern w:val="0"/>
          <w:sz w:val="28"/>
          <w:szCs w:val="28"/>
          <w:highlight w:val="none"/>
        </w:rPr>
        <w:t>评审与</w:t>
      </w:r>
      <w:bookmarkEnd w:id="310"/>
      <w:bookmarkEnd w:id="311"/>
      <w:bookmarkEnd w:id="312"/>
      <w:bookmarkEnd w:id="313"/>
      <w:r>
        <w:rPr>
          <w:rFonts w:hint="eastAsia" w:ascii="仿宋" w:hAnsi="仿宋" w:eastAsia="仿宋" w:cs="仿宋"/>
          <w:b/>
          <w:color w:val="auto"/>
          <w:kern w:val="0"/>
          <w:sz w:val="28"/>
          <w:szCs w:val="28"/>
          <w:highlight w:val="none"/>
        </w:rPr>
        <w:t>谈判</w:t>
      </w:r>
      <w:bookmarkEnd w:id="314"/>
    </w:p>
    <w:p>
      <w:pPr>
        <w:pStyle w:val="4"/>
        <w:tabs>
          <w:tab w:val="left" w:pos="360"/>
        </w:tabs>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21.    谈判小组</w:t>
      </w:r>
    </w:p>
    <w:p>
      <w:pPr>
        <w:pStyle w:val="28"/>
        <w:adjustRightInd w:val="0"/>
        <w:snapToGrid w:val="0"/>
        <w:ind w:left="84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在谈判开始前组建谈判小组，谈判小组由采购人代表及有关专家组成。专家从政府采购评审专家库相关专业中随机抽取。谈判小组组成见</w:t>
      </w:r>
      <w:r>
        <w:rPr>
          <w:rFonts w:hint="eastAsia" w:ascii="仿宋" w:hAnsi="仿宋" w:eastAsia="仿宋" w:cs="仿宋"/>
          <w:b/>
          <w:color w:val="auto"/>
          <w:sz w:val="24"/>
          <w:highlight w:val="none"/>
        </w:rPr>
        <w:t>供应商须知前附表。</w:t>
      </w:r>
    </w:p>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谈判小组职责</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（2）确定符合要求的供应商参加谈判；</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（3）审查供应商的响应文件并做出评价；</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（4）要求供应商解释或者澄清其响应文件；</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（5）编写评审报告；</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（6）告知采购人、采购代理机构在评审过程中发现的供应商的违法违规行为。</w:t>
      </w:r>
    </w:p>
    <w:p>
      <w:pPr>
        <w:pStyle w:val="28"/>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谈判小组义务</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（1）遵纪守法、客观、公正、廉洁地履行职责；</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（2）根据谈判文件的规定独立进行评审，对个人的评审意见承担法律责任；</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（3）参与评审报告的起草；</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（4）配合采购人、采购代理机构答复供应商提出的质疑；</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（5）配合财政部门的投诉处理和监督检查工作。</w:t>
      </w:r>
    </w:p>
    <w:p>
      <w:pPr>
        <w:pStyle w:val="28"/>
        <w:adjustRightInd w:val="0"/>
        <w:snapToGrid w:val="0"/>
        <w:rPr>
          <w:rFonts w:hint="eastAsia" w:ascii="仿宋" w:hAnsi="仿宋" w:eastAsia="仿宋" w:cs="仿宋"/>
          <w:color w:val="auto"/>
          <w:sz w:val="24"/>
          <w:szCs w:val="24"/>
          <w:highlight w:val="none"/>
        </w:rPr>
      </w:pPr>
      <w:bookmarkStart w:id="332" w:name="_Toc83547667"/>
      <w:r>
        <w:rPr>
          <w:rFonts w:hint="eastAsia" w:ascii="仿宋" w:hAnsi="仿宋" w:eastAsia="仿宋" w:cs="仿宋"/>
          <w:color w:val="auto"/>
          <w:sz w:val="24"/>
          <w:szCs w:val="24"/>
          <w:highlight w:val="none"/>
        </w:rPr>
        <w:t>21.4   谈判小组成员有下列情形之一的，应当回避：</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（1）参加采购活动前3年内与供应商存在劳动关系；</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（2）参加采购活动前3年内担任供应商的董事、监事；</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（3）参加采购活动前3年内是供应商的控股股东或者实际控制人；</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（4）与供应商的法定代表人或者负责人有夫妻、直系血亲、三代以内旁系血亲或者近姻亲关系；</w:t>
      </w:r>
    </w:p>
    <w:p>
      <w:pPr>
        <w:pStyle w:val="28"/>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（5）与供应商有其他可能影响政府采购活动公平、公正进行的关系。</w:t>
      </w:r>
    </w:p>
    <w:p>
      <w:pPr>
        <w:pStyle w:val="4"/>
        <w:tabs>
          <w:tab w:val="left" w:pos="360"/>
        </w:tabs>
        <w:rPr>
          <w:rFonts w:hint="eastAsia" w:ascii="仿宋" w:hAnsi="仿宋" w:eastAsia="仿宋" w:cs="仿宋"/>
          <w:b/>
          <w:color w:val="auto"/>
          <w:sz w:val="24"/>
          <w:szCs w:val="21"/>
          <w:highlight w:val="none"/>
        </w:rPr>
      </w:pPr>
      <w:bookmarkStart w:id="333" w:name="_Toc249515418"/>
      <w:bookmarkStart w:id="334" w:name="_Toc249515306"/>
      <w:bookmarkStart w:id="335" w:name="_Toc20608"/>
      <w:bookmarkStart w:id="336" w:name="_Toc249525187"/>
      <w:r>
        <w:rPr>
          <w:rFonts w:hint="eastAsia" w:ascii="仿宋" w:hAnsi="仿宋" w:eastAsia="仿宋" w:cs="仿宋"/>
          <w:b/>
          <w:color w:val="auto"/>
          <w:sz w:val="24"/>
          <w:szCs w:val="21"/>
          <w:highlight w:val="none"/>
        </w:rPr>
        <w:t>22.    谈判程序</w:t>
      </w:r>
    </w:p>
    <w:p>
      <w:pPr>
        <w:pStyle w:val="4"/>
        <w:tabs>
          <w:tab w:val="left" w:pos="360"/>
        </w:tabs>
        <w:rPr>
          <w:rFonts w:hint="eastAsia" w:ascii="仿宋" w:hAnsi="仿宋" w:eastAsia="仿宋" w:cs="仿宋"/>
          <w:b/>
          <w:color w:val="auto"/>
          <w:sz w:val="24"/>
          <w:szCs w:val="21"/>
          <w:highlight w:val="none"/>
        </w:rPr>
      </w:pPr>
      <w:bookmarkStart w:id="337" w:name="_Toc58504507"/>
      <w:r>
        <w:rPr>
          <w:rFonts w:hint="eastAsia" w:ascii="仿宋" w:hAnsi="仿宋" w:eastAsia="仿宋" w:cs="仿宋"/>
          <w:b/>
          <w:color w:val="auto"/>
          <w:sz w:val="24"/>
          <w:szCs w:val="21"/>
          <w:highlight w:val="none"/>
        </w:rPr>
        <w:t>22.1   谈判会议</w:t>
      </w:r>
      <w:bookmarkEnd w:id="337"/>
    </w:p>
    <w:p>
      <w:pPr>
        <w:pStyle w:val="22"/>
        <w:ind w:left="840" w:leftChars="400"/>
        <w:rPr>
          <w:rFonts w:hint="eastAsia" w:ascii="仿宋" w:hAnsi="仿宋" w:eastAsia="仿宋" w:cs="仿宋"/>
          <w:color w:val="auto"/>
          <w:sz w:val="24"/>
          <w:highlight w:val="none"/>
        </w:rPr>
      </w:pPr>
      <w:bookmarkStart w:id="338" w:name="_Toc58504508"/>
      <w:r>
        <w:rPr>
          <w:rFonts w:hint="eastAsia" w:ascii="仿宋" w:hAnsi="仿宋" w:eastAsia="仿宋" w:cs="仿宋"/>
          <w:color w:val="auto"/>
          <w:sz w:val="24"/>
          <w:highlight w:val="none"/>
        </w:rPr>
        <w:t>（1）在谈判文件规定的时间和地点，由采购代理机构组织谈判工作，供应商须委派代表参加，签名以证明其出席。</w:t>
      </w:r>
      <w:bookmarkEnd w:id="338"/>
    </w:p>
    <w:p>
      <w:pPr>
        <w:pStyle w:val="22"/>
        <w:ind w:left="840" w:leftChars="400"/>
        <w:rPr>
          <w:rFonts w:hint="eastAsia" w:ascii="仿宋" w:hAnsi="仿宋" w:eastAsia="仿宋" w:cs="仿宋"/>
          <w:color w:val="auto"/>
          <w:sz w:val="24"/>
          <w:highlight w:val="none"/>
        </w:rPr>
      </w:pPr>
      <w:bookmarkStart w:id="339" w:name="_Toc58504509"/>
      <w:r>
        <w:rPr>
          <w:rFonts w:hint="eastAsia" w:ascii="仿宋" w:hAnsi="仿宋" w:eastAsia="仿宋" w:cs="仿宋"/>
          <w:color w:val="auto"/>
          <w:sz w:val="24"/>
          <w:highlight w:val="none"/>
        </w:rPr>
        <w:t>（2）各供应商或其推荐的代表与采购监督人共同检查响应文件的密封情况，经检查无误后，签字确认。</w:t>
      </w:r>
      <w:bookmarkEnd w:id="339"/>
    </w:p>
    <w:p>
      <w:pPr>
        <w:pStyle w:val="22"/>
        <w:ind w:left="840" w:leftChars="400"/>
        <w:rPr>
          <w:rFonts w:hint="eastAsia" w:ascii="仿宋" w:hAnsi="仿宋" w:eastAsia="仿宋" w:cs="仿宋"/>
          <w:color w:val="auto"/>
          <w:sz w:val="24"/>
          <w:highlight w:val="none"/>
        </w:rPr>
      </w:pPr>
      <w:bookmarkStart w:id="340" w:name="_Toc58504510"/>
      <w:r>
        <w:rPr>
          <w:rFonts w:hint="eastAsia" w:ascii="仿宋" w:hAnsi="仿宋" w:eastAsia="仿宋" w:cs="仿宋"/>
          <w:color w:val="auto"/>
          <w:sz w:val="24"/>
          <w:highlight w:val="none"/>
        </w:rPr>
        <w:t>（3）采购代理机构工作人员按照顺序，将各供应商首次响应文件的份数等内容公布，无异议后，由供应商法定代表人（或授权代表人）和监督人签字确认。</w:t>
      </w:r>
      <w:bookmarkEnd w:id="340"/>
    </w:p>
    <w:p>
      <w:pPr>
        <w:pStyle w:val="4"/>
        <w:tabs>
          <w:tab w:val="left" w:pos="360"/>
        </w:tabs>
        <w:rPr>
          <w:rFonts w:hint="eastAsia" w:ascii="仿宋" w:hAnsi="仿宋" w:eastAsia="仿宋" w:cs="仿宋"/>
          <w:b/>
          <w:color w:val="auto"/>
          <w:sz w:val="24"/>
          <w:szCs w:val="21"/>
          <w:highlight w:val="none"/>
        </w:rPr>
      </w:pPr>
      <w:bookmarkStart w:id="341" w:name="_Toc58504511"/>
      <w:r>
        <w:rPr>
          <w:rFonts w:hint="eastAsia" w:ascii="仿宋" w:hAnsi="仿宋" w:eastAsia="仿宋" w:cs="仿宋"/>
          <w:b/>
          <w:color w:val="auto"/>
          <w:sz w:val="24"/>
          <w:szCs w:val="21"/>
          <w:highlight w:val="none"/>
        </w:rPr>
        <w:t>22.2   响应文件</w:t>
      </w:r>
      <w:bookmarkEnd w:id="332"/>
      <w:bookmarkEnd w:id="333"/>
      <w:bookmarkEnd w:id="334"/>
      <w:bookmarkEnd w:id="335"/>
      <w:bookmarkEnd w:id="336"/>
      <w:r>
        <w:rPr>
          <w:rFonts w:hint="eastAsia" w:ascii="仿宋" w:hAnsi="仿宋" w:eastAsia="仿宋" w:cs="仿宋"/>
          <w:b/>
          <w:color w:val="auto"/>
          <w:sz w:val="24"/>
          <w:szCs w:val="21"/>
          <w:highlight w:val="none"/>
        </w:rPr>
        <w:t>评审</w:t>
      </w:r>
      <w:bookmarkEnd w:id="341"/>
    </w:p>
    <w:p>
      <w:pPr>
        <w:tabs>
          <w:tab w:val="left" w:pos="360"/>
          <w:tab w:val="left" w:pos="588"/>
        </w:tabs>
        <w:spacing w:line="360" w:lineRule="auto"/>
        <w:ind w:left="843" w:hanging="843" w:hangingChars="350"/>
        <w:rPr>
          <w:rFonts w:hint="eastAsia" w:ascii="仿宋" w:hAnsi="仿宋" w:eastAsia="仿宋" w:cs="仿宋"/>
          <w:color w:val="auto"/>
          <w:sz w:val="24"/>
          <w:highlight w:val="none"/>
        </w:rPr>
      </w:pPr>
      <w:bookmarkStart w:id="342" w:name="_Toc83547671"/>
      <w:r>
        <w:rPr>
          <w:rFonts w:hint="eastAsia" w:ascii="仿宋" w:hAnsi="仿宋" w:eastAsia="仿宋" w:cs="仿宋"/>
          <w:b/>
          <w:color w:val="auto"/>
          <w:sz w:val="24"/>
          <w:highlight w:val="none"/>
        </w:rPr>
        <w:t>22.2.1 响应文件的资格性审查</w:t>
      </w:r>
      <w:r>
        <w:rPr>
          <w:rFonts w:hint="eastAsia" w:ascii="仿宋" w:hAnsi="仿宋" w:eastAsia="仿宋" w:cs="仿宋"/>
          <w:color w:val="auto"/>
          <w:sz w:val="24"/>
          <w:highlight w:val="none"/>
        </w:rPr>
        <w:t>。依据《政府采购法》第二十三条和谈判文件的规定，</w:t>
      </w:r>
      <w:r>
        <w:rPr>
          <w:rFonts w:hint="eastAsia" w:ascii="仿宋" w:hAnsi="仿宋" w:eastAsia="仿宋" w:cs="仿宋"/>
          <w:b/>
          <w:color w:val="auto"/>
          <w:sz w:val="24"/>
          <w:highlight w:val="none"/>
        </w:rPr>
        <w:t>采购人或采购代理机构</w:t>
      </w:r>
      <w:r>
        <w:rPr>
          <w:rFonts w:hint="eastAsia" w:ascii="仿宋" w:hAnsi="仿宋" w:eastAsia="仿宋" w:cs="仿宋"/>
          <w:color w:val="auto"/>
          <w:sz w:val="24"/>
          <w:highlight w:val="none"/>
        </w:rPr>
        <w:t>负责对响应文件中的资格证明文件、信用查询记录等进行审查，以确认供应商具备相应资格。资格性审查出现下列情况者（但不限于），按无效文件处理：</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（1）供应商资格不符合《中华人民共和国政府采购法》第二十二条的规定和特定资格条件要求的。</w:t>
      </w:r>
    </w:p>
    <w:p>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（2）供应商没有经过正常渠道购买或免费领取谈判文件或供应商的名称与获取谈判文件单位的名称不符。</w:t>
      </w:r>
    </w:p>
    <w:p>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（4）信用查询中列入失信被执行人、重大税收违法失信主体、政府采购严重违法失信行为记录名单及其他不符合《中华人民共和国政府采购法》第二十二条规定条件的供应商，拒绝参与政府采购活动。</w:t>
      </w:r>
    </w:p>
    <w:p>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（5）采购人或采购代理机构通过“信用中国”网站（www.creditchina.gov.cn）、中国政府采购网（www.ccgp.gov.cn） 等查询相关主体信用记录，并将查询网页打印、存档备查。</w:t>
      </w:r>
    </w:p>
    <w:p>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（6）查询时间为</w:t>
      </w:r>
      <w:r>
        <w:rPr>
          <w:rFonts w:hint="eastAsia" w:ascii="仿宋" w:hAnsi="仿宋" w:eastAsia="仿宋" w:cs="仿宋"/>
          <w:color w:val="auto"/>
          <w:kern w:val="24"/>
          <w:sz w:val="24"/>
          <w:szCs w:val="21"/>
          <w:highlight w:val="none"/>
        </w:rPr>
        <w:t>自采购文件发售之日起至资格审查结束之前</w:t>
      </w:r>
      <w:r>
        <w:rPr>
          <w:rFonts w:hint="eastAsia" w:ascii="仿宋" w:hAnsi="仿宋" w:eastAsia="仿宋" w:cs="仿宋"/>
          <w:color w:val="auto"/>
          <w:sz w:val="24"/>
          <w:szCs w:val="32"/>
          <w:highlight w:val="none"/>
        </w:rPr>
        <w:t>，此段时间段外，网站信息发生的任何变更均不作为资格审查依据。</w:t>
      </w:r>
    </w:p>
    <w:p>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供应商不良信用记录以采购人或采购代理机构查询结果为准。供应商自行提供的与网站信息不一致的其他证明材料亦不作为资格审查依据。</w:t>
      </w:r>
    </w:p>
    <w:p>
      <w:pPr>
        <w:pStyle w:val="22"/>
        <w:ind w:left="840" w:leftChars="4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2"/>
        <w:ind w:left="843" w:hanging="843" w:hangingChars="350"/>
        <w:rPr>
          <w:rFonts w:hint="eastAsia" w:ascii="仿宋" w:hAnsi="仿宋" w:eastAsia="仿宋" w:cs="仿宋"/>
          <w:color w:val="auto"/>
          <w:sz w:val="24"/>
          <w:highlight w:val="none"/>
        </w:rPr>
      </w:pPr>
      <w:r>
        <w:rPr>
          <w:rFonts w:hint="eastAsia" w:ascii="仿宋" w:hAnsi="仿宋" w:eastAsia="仿宋" w:cs="仿宋"/>
          <w:b/>
          <w:color w:val="auto"/>
          <w:sz w:val="24"/>
          <w:highlight w:val="none"/>
        </w:rPr>
        <w:t>22.2.2 谈判响应文件有效性、完整性和响应程度审查：谈判小组</w:t>
      </w:r>
      <w:r>
        <w:rPr>
          <w:rFonts w:hint="eastAsia" w:ascii="仿宋" w:hAnsi="仿宋" w:eastAsia="仿宋" w:cs="仿宋"/>
          <w:color w:val="auto"/>
          <w:sz w:val="24"/>
          <w:highlight w:val="none"/>
        </w:rPr>
        <w:t>依据谈判文件的规定，对响应文件的有效性、完整性和响应性进行审查，以确定是否满足谈判文件要求，出现下列情况者（但不限于），按无效文件处理。</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（1）供应商未按谈判文件要求加盖单位公章；</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（2）谈判响应文件未按谈判文件要求法定代表人或其授权代表签字；</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（3）无有效期或有效期达不到谈判文件的要求；</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（4）供应商首次谈判报价出现选择性报价；</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（5）首次谈判报价超出采购预算；</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（6）响应文件中对拟签订的合同文本附加了采购人难以接受的条件；</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（7）谈判内容出现漏项或数量与要求不符，出现重大负偏差；</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（8）响应文件中技术指标达不到采购要求，降低了产品档次或影响产品性能、功能；</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（9）响应报价与市场价偏离较大，低于成本，形成不正当竞争；</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（10）供应商提供虚假证明，开具虚假资质，出现虚假应答或故意隐瞒行为；</w:t>
      </w:r>
    </w:p>
    <w:p>
      <w:pPr>
        <w:pStyle w:val="4"/>
        <w:tabs>
          <w:tab w:val="left" w:pos="360"/>
        </w:tabs>
        <w:rPr>
          <w:rFonts w:hint="eastAsia" w:ascii="仿宋" w:hAnsi="仿宋" w:eastAsia="仿宋" w:cs="仿宋"/>
          <w:b/>
          <w:color w:val="auto"/>
          <w:sz w:val="24"/>
          <w:szCs w:val="21"/>
          <w:highlight w:val="none"/>
        </w:rPr>
      </w:pPr>
      <w:bookmarkStart w:id="343" w:name="_Toc58504512"/>
      <w:r>
        <w:rPr>
          <w:rFonts w:hint="eastAsia" w:ascii="仿宋" w:hAnsi="仿宋" w:eastAsia="仿宋" w:cs="仿宋"/>
          <w:b/>
          <w:color w:val="auto"/>
          <w:sz w:val="24"/>
          <w:szCs w:val="21"/>
          <w:highlight w:val="none"/>
        </w:rPr>
        <w:t>23.    谈判</w:t>
      </w:r>
      <w:bookmarkEnd w:id="343"/>
    </w:p>
    <w:p>
      <w:pPr>
        <w:pStyle w:val="22"/>
        <w:ind w:left="840" w:hanging="840" w:hangingChars="350"/>
        <w:rPr>
          <w:rFonts w:hint="eastAsia" w:ascii="仿宋" w:hAnsi="仿宋" w:eastAsia="仿宋" w:cs="仿宋"/>
          <w:color w:val="auto"/>
          <w:sz w:val="24"/>
          <w:highlight w:val="none"/>
        </w:rPr>
      </w:pPr>
      <w:bookmarkStart w:id="344" w:name="_Toc58504513"/>
      <w:r>
        <w:rPr>
          <w:rFonts w:hint="eastAsia" w:ascii="仿宋" w:hAnsi="仿宋" w:eastAsia="仿宋" w:cs="仿宋"/>
          <w:color w:val="auto"/>
          <w:sz w:val="24"/>
          <w:highlight w:val="none"/>
        </w:rPr>
        <w:t>23.3.1 谈判小组集中与各供应商分别进行谈判，并给所有参加谈判供应商平等的谈判机会。</w:t>
      </w:r>
      <w:bookmarkEnd w:id="344"/>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2"/>
        <w:rPr>
          <w:rFonts w:hint="eastAsia" w:ascii="仿宋" w:hAnsi="仿宋" w:eastAsia="仿宋" w:cs="仿宋"/>
          <w:color w:val="auto"/>
          <w:sz w:val="24"/>
          <w:highlight w:val="none"/>
        </w:rPr>
      </w:pPr>
      <w:r>
        <w:rPr>
          <w:rFonts w:hint="eastAsia" w:ascii="仿宋" w:hAnsi="仿宋" w:eastAsia="仿宋" w:cs="仿宋"/>
          <w:color w:val="auto"/>
          <w:sz w:val="24"/>
          <w:highlight w:val="none"/>
        </w:rPr>
        <w:t>23.3.4 如出现下述情形之一的，视为供应商主动退出谈判，其响应将被拒绝：</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（1）供应商未按要求确认谈判小组确定的本项目最终技术需求的；</w:t>
      </w:r>
    </w:p>
    <w:p>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（2）最后报价未实质性响应谈判小组确定的本项目最终技术需求的，或附有采购人无法接受的条件的。</w:t>
      </w:r>
    </w:p>
    <w:p>
      <w:pPr>
        <w:pStyle w:val="22"/>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23.4   最后报价</w:t>
      </w:r>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23.4.1 谈判结束后，有效响应供应商不少于3家。谈判小组要求供应商在规定时间内提交最后报价，最后报价是供应商响应文件的有效组成部分。</w:t>
      </w:r>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4"/>
        <w:tabs>
          <w:tab w:val="left" w:pos="360"/>
        </w:tabs>
        <w:rPr>
          <w:rFonts w:hint="eastAsia" w:ascii="仿宋" w:hAnsi="仿宋" w:eastAsia="仿宋" w:cs="仿宋"/>
          <w:b/>
          <w:bCs/>
          <w:color w:val="auto"/>
          <w:sz w:val="24"/>
          <w:szCs w:val="21"/>
          <w:highlight w:val="none"/>
        </w:rPr>
      </w:pPr>
      <w:bookmarkStart w:id="345" w:name="_Toc151193716"/>
      <w:bookmarkStart w:id="346" w:name="_Toc151193644"/>
      <w:bookmarkStart w:id="347" w:name="_Toc151193934"/>
      <w:bookmarkStart w:id="348" w:name="_Ref467307010"/>
      <w:bookmarkStart w:id="349" w:name="_Toc151190173"/>
      <w:bookmarkStart w:id="350" w:name="_Toc164229387"/>
      <w:bookmarkStart w:id="351" w:name="_Toc149720839"/>
      <w:bookmarkStart w:id="352" w:name="_Toc249515422"/>
      <w:bookmarkStart w:id="353" w:name="_Toc150774646"/>
      <w:bookmarkStart w:id="354" w:name="_Toc195842911"/>
      <w:bookmarkStart w:id="355" w:name="_Toc142311048"/>
      <w:bookmarkStart w:id="356" w:name="_Toc150509297"/>
      <w:bookmarkStart w:id="357" w:name="_Toc249525191"/>
      <w:bookmarkStart w:id="358" w:name="_Toc150480784"/>
      <w:bookmarkStart w:id="359" w:name="_Toc13753"/>
      <w:bookmarkStart w:id="360" w:name="_Toc127161460"/>
      <w:bookmarkStart w:id="361" w:name="_Toc151193860"/>
      <w:bookmarkStart w:id="362" w:name="_Toc164229241"/>
      <w:bookmarkStart w:id="363" w:name="_Toc520356170"/>
      <w:bookmarkStart w:id="364" w:name="_Toc164351640"/>
      <w:bookmarkStart w:id="365" w:name="_Toc249515310"/>
      <w:bookmarkStart w:id="366" w:name="_Toc164608815"/>
      <w:bookmarkStart w:id="367" w:name="_Toc127151747"/>
      <w:bookmarkStart w:id="368" w:name="_Toc164608660"/>
      <w:bookmarkStart w:id="369" w:name="_Toc151193788"/>
      <w:bookmarkStart w:id="370" w:name="_Toc150774751"/>
      <w:bookmarkStart w:id="371" w:name="_Toc127151546"/>
      <w:r>
        <w:rPr>
          <w:rFonts w:hint="eastAsia" w:ascii="仿宋" w:hAnsi="仿宋" w:eastAsia="仿宋" w:cs="仿宋"/>
          <w:b/>
          <w:bCs/>
          <w:color w:val="auto"/>
          <w:sz w:val="24"/>
          <w:szCs w:val="21"/>
          <w:highlight w:val="none"/>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 w:hAnsi="仿宋" w:eastAsia="仿宋" w:cs="仿宋"/>
          <w:b/>
          <w:bCs/>
          <w:color w:val="auto"/>
          <w:sz w:val="24"/>
          <w:szCs w:val="21"/>
          <w:highlight w:val="none"/>
        </w:rPr>
        <w:t>落实政府采购政策</w:t>
      </w:r>
    </w:p>
    <w:bookmarkEnd w:id="342"/>
    <w:p>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24.1   谈判小组按照谈判文件规定的评审方法和标准，对审查合格的文件进行评审、比较和评价。</w:t>
      </w:r>
    </w:p>
    <w:p>
      <w:pPr>
        <w:pStyle w:val="67"/>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24.2   评审办法：参照最低评标价法，在质量和服务均能满足谈判文件实质性响应要求的供应商中，按照最后报价由低到高的顺序提出3名以上成交候选人，并编写评审报告。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24.3   本项目专门面向</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企业采购，则不再进行价格扣除。</w:t>
      </w:r>
    </w:p>
    <w:p>
      <w:pPr>
        <w:pStyle w:val="22"/>
        <w:ind w:firstLine="720" w:firstLineChars="300"/>
        <w:rPr>
          <w:rFonts w:hint="eastAsia" w:ascii="仿宋" w:hAnsi="仿宋" w:eastAsia="仿宋" w:cs="仿宋"/>
          <w:color w:val="auto"/>
          <w:highlight w:val="none"/>
        </w:rPr>
      </w:pPr>
      <w:r>
        <w:rPr>
          <w:rFonts w:hint="eastAsia" w:ascii="仿宋" w:hAnsi="仿宋" w:eastAsia="仿宋" w:cs="仿宋"/>
          <w:color w:val="auto"/>
          <w:sz w:val="24"/>
          <w:highlight w:val="none"/>
        </w:rPr>
        <w:t>注：监狱企业、残疾人福利性单位视同</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w:t>
      </w:r>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24.4   谈判产品为节能、环境标志产品，符合谈判文件要求的，可优先采购，价格扣除百分比计算公式为：节能、环境标志产品清单中的产品价格占谈判响应总价的</w:t>
      </w:r>
      <w:r>
        <w:rPr>
          <w:rFonts w:hint="eastAsia" w:ascii="仿宋" w:hAnsi="仿宋" w:eastAsia="仿宋" w:cs="仿宋"/>
          <w:b/>
          <w:color w:val="auto"/>
          <w:sz w:val="24"/>
          <w:highlight w:val="none"/>
        </w:rPr>
        <w:t>百分比×5%</w:t>
      </w:r>
      <w:r>
        <w:rPr>
          <w:rFonts w:hint="eastAsia" w:ascii="仿宋" w:hAnsi="仿宋" w:eastAsia="仿宋" w:cs="仿宋"/>
          <w:color w:val="auto"/>
          <w:sz w:val="24"/>
          <w:highlight w:val="none"/>
        </w:rPr>
        <w:t>，用扣除后的价格参与评审。</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（3）供应商在响应文件中对所响应产品为节能、环境标志品目清单中的产品，在谈判报价时必须对此类产品单独分项报价，未提供节能、环境标志产品计分明细表不予扣除。 </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（4）若节能、环境标志清单内的产品仅是构成响应产品的部件、组件或零件的，则该产品不享受鼓励优惠政策。</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（5）同一包内的节能、环境标志产品部分计分只对属于清单内的非强制类产品进行计分，强制类产品不给予扣除。 </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（6）节能、环境标志产品不重复扣除；同时列入国家级清单和省级清单的产品不重复扣除。</w:t>
      </w:r>
    </w:p>
    <w:p>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24.5   响应文件出现下列情况之一者，谈判小组在评审过程中按以下原则修正：</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（1）大写金额与小写金额不一致的，以大写金额为准；</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（2）总价金额与按单价汇总金额不一致的，以单价金额计算结果为准；</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（3）单价金额小数点有明显错位的，应以总价为准，并修改单价；</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（4）对不同文字文本响应文件的解释发生异议的，以中文文本为准；</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（5）文字与图表不一致的，以文字为准；</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（6）正本与副本不一致的，以正本为准；</w:t>
      </w:r>
    </w:p>
    <w:p>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312" w:beforeLines="100" w:line="360" w:lineRule="auto"/>
        <w:ind w:right="-22"/>
        <w:jc w:val="center"/>
        <w:textAlignment w:val="baseline"/>
        <w:outlineLvl w:val="0"/>
        <w:rPr>
          <w:rFonts w:hint="eastAsia" w:ascii="仿宋" w:hAnsi="仿宋" w:eastAsia="仿宋" w:cs="仿宋"/>
          <w:b/>
          <w:color w:val="auto"/>
          <w:kern w:val="0"/>
          <w:sz w:val="28"/>
          <w:szCs w:val="28"/>
          <w:highlight w:val="none"/>
        </w:rPr>
      </w:pPr>
      <w:bookmarkStart w:id="372" w:name="_Hlt497729446"/>
      <w:bookmarkEnd w:id="372"/>
      <w:bookmarkStart w:id="373" w:name="_Hlt491765714"/>
      <w:bookmarkEnd w:id="373"/>
      <w:bookmarkStart w:id="374" w:name="_Toc58504667"/>
      <w:bookmarkStart w:id="375" w:name="_Toc249525192"/>
      <w:bookmarkStart w:id="376" w:name="_Toc249515423"/>
      <w:bookmarkStart w:id="377" w:name="_Toc232395218"/>
      <w:bookmarkStart w:id="378" w:name="_Toc256342149"/>
      <w:bookmarkStart w:id="379" w:name="_Toc249515311"/>
      <w:bookmarkStart w:id="380" w:name="_Toc232176278"/>
      <w:bookmarkStart w:id="381" w:name="_Toc389620199"/>
      <w:bookmarkStart w:id="382" w:name="_Toc177189241"/>
      <w:bookmarkStart w:id="383" w:name="_Toc500747195"/>
      <w:bookmarkStart w:id="384" w:name="_Toc499711890"/>
      <w:bookmarkStart w:id="385" w:name="_Toc503063428"/>
      <w:bookmarkStart w:id="386" w:name="_Toc492955421"/>
      <w:bookmarkStart w:id="387" w:name="_Toc385992360"/>
      <w:bookmarkStart w:id="388" w:name="_Toc53722846"/>
      <w:bookmarkStart w:id="389" w:name="_Toc177995479"/>
      <w:bookmarkStart w:id="390" w:name="_Toc70687174"/>
      <w:bookmarkStart w:id="391" w:name="_Toc496324585"/>
      <w:bookmarkStart w:id="392" w:name="_Toc500747068"/>
      <w:bookmarkStart w:id="393" w:name="_Toc177817340"/>
      <w:bookmarkStart w:id="394" w:name="_Toc500746972"/>
      <w:bookmarkStart w:id="395" w:name="_Toc499711049"/>
      <w:bookmarkStart w:id="396" w:name="_Toc184043047"/>
      <w:bookmarkStart w:id="397" w:name="_Toc176882548"/>
      <w:r>
        <w:rPr>
          <w:rFonts w:hint="eastAsia" w:ascii="仿宋" w:hAnsi="仿宋" w:eastAsia="仿宋" w:cs="仿宋"/>
          <w:b/>
          <w:color w:val="auto"/>
          <w:kern w:val="0"/>
          <w:sz w:val="28"/>
          <w:szCs w:val="28"/>
          <w:highlight w:val="none"/>
        </w:rPr>
        <w:t>六、确定成交供应商、授予合同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4"/>
        <w:tabs>
          <w:tab w:val="left" w:pos="360"/>
        </w:tabs>
        <w:rPr>
          <w:rFonts w:hint="eastAsia" w:ascii="仿宋" w:hAnsi="仿宋" w:eastAsia="仿宋" w:cs="仿宋"/>
          <w:b/>
          <w:bCs/>
          <w:color w:val="auto"/>
          <w:sz w:val="24"/>
          <w:szCs w:val="21"/>
          <w:highlight w:val="none"/>
        </w:rPr>
      </w:pPr>
      <w:bookmarkStart w:id="398" w:name="_Toc249525193"/>
      <w:bookmarkStart w:id="399" w:name="_Toc249515312"/>
      <w:bookmarkStart w:id="400" w:name="_Toc27151"/>
      <w:bookmarkStart w:id="401" w:name="_Toc249515424"/>
      <w:bookmarkStart w:id="402" w:name="_Toc389620200"/>
      <w:bookmarkStart w:id="403" w:name="_Toc70687175"/>
      <w:bookmarkStart w:id="404" w:name="_Toc184043048"/>
      <w:bookmarkStart w:id="405" w:name="_Toc385992361"/>
      <w:r>
        <w:rPr>
          <w:rFonts w:hint="eastAsia" w:ascii="仿宋" w:hAnsi="仿宋" w:eastAsia="仿宋" w:cs="仿宋"/>
          <w:b/>
          <w:bCs/>
          <w:color w:val="auto"/>
          <w:sz w:val="24"/>
          <w:szCs w:val="21"/>
          <w:highlight w:val="none"/>
        </w:rPr>
        <w:t>25.    确定成交</w:t>
      </w:r>
      <w:bookmarkEnd w:id="398"/>
      <w:bookmarkEnd w:id="399"/>
      <w:bookmarkEnd w:id="400"/>
      <w:bookmarkEnd w:id="401"/>
      <w:bookmarkEnd w:id="402"/>
      <w:bookmarkEnd w:id="403"/>
      <w:bookmarkEnd w:id="404"/>
      <w:bookmarkEnd w:id="405"/>
      <w:r>
        <w:rPr>
          <w:rFonts w:hint="eastAsia" w:ascii="仿宋" w:hAnsi="仿宋" w:eastAsia="仿宋" w:cs="仿宋"/>
          <w:b/>
          <w:bCs/>
          <w:color w:val="auto"/>
          <w:sz w:val="24"/>
          <w:szCs w:val="21"/>
          <w:highlight w:val="none"/>
        </w:rPr>
        <w:t>供应商</w:t>
      </w:r>
    </w:p>
    <w:p>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   采购代理机构应在评审结束后两个工作日内，将评审报告送采购人。</w:t>
      </w:r>
    </w:p>
    <w:p>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25.4   采购代理机构将评审过程及成交供应商情况书面报监督机构备案。</w:t>
      </w:r>
      <w:bookmarkStart w:id="406" w:name="_Toc389620203"/>
      <w:bookmarkStart w:id="407" w:name="_Toc385992364"/>
    </w:p>
    <w:bookmarkEnd w:id="406"/>
    <w:bookmarkEnd w:id="407"/>
    <w:p>
      <w:pPr>
        <w:pStyle w:val="4"/>
        <w:tabs>
          <w:tab w:val="left" w:pos="360"/>
        </w:tabs>
        <w:rPr>
          <w:rFonts w:hint="eastAsia" w:ascii="仿宋" w:hAnsi="仿宋" w:eastAsia="仿宋" w:cs="仿宋"/>
          <w:b/>
          <w:bCs/>
          <w:color w:val="auto"/>
          <w:sz w:val="24"/>
          <w:szCs w:val="21"/>
          <w:highlight w:val="none"/>
        </w:rPr>
      </w:pPr>
      <w:bookmarkStart w:id="408" w:name="_Toc385992365"/>
      <w:bookmarkStart w:id="409" w:name="_Toc389620204"/>
      <w:r>
        <w:rPr>
          <w:rFonts w:hint="eastAsia" w:ascii="仿宋" w:hAnsi="仿宋" w:eastAsia="仿宋" w:cs="仿宋"/>
          <w:b/>
          <w:bCs/>
          <w:color w:val="auto"/>
          <w:sz w:val="24"/>
          <w:szCs w:val="21"/>
          <w:highlight w:val="none"/>
        </w:rPr>
        <w:t>26.    合同</w:t>
      </w:r>
    </w:p>
    <w:p>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26.2   确定成交供应商后，成交供应商因自身原因未按程序签订合同，采购人将取消其成交资格，同时报请监督机构备案。在此情况下，采购人可按评审结果顺序将合同授予下一成交候选人或重新采购。</w:t>
      </w:r>
    </w:p>
    <w:p>
      <w:pPr>
        <w:pStyle w:val="4"/>
        <w:tabs>
          <w:tab w:val="left" w:pos="360"/>
        </w:tabs>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27.    询问与质疑</w:t>
      </w:r>
    </w:p>
    <w:p>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27.1   供应商对政府采购活动事项有疑问的，可以向采购人提出询问。</w:t>
      </w:r>
    </w:p>
    <w:p>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27.3   质疑供应商在法定质疑期内须一次性提出针对同一采购程序环节的质疑。</w:t>
      </w:r>
    </w:p>
    <w:p>
      <w:pPr>
        <w:tabs>
          <w:tab w:val="left" w:pos="360"/>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27.4   供应商提出质疑应当提交质疑函和必要的证明材料。质疑函应当包括下列内容：</w:t>
      </w:r>
    </w:p>
    <w:p>
      <w:pPr>
        <w:pStyle w:val="67"/>
        <w:numPr>
          <w:ilvl w:val="0"/>
          <w:numId w:val="8"/>
        </w:numPr>
        <w:tabs>
          <w:tab w:val="left" w:pos="588"/>
        </w:tabs>
        <w:spacing w:line="360" w:lineRule="auto"/>
        <w:ind w:left="846" w:hanging="6"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供应商的姓名或者名称、地址、邮编、联系人及联系电话；</w:t>
      </w:r>
    </w:p>
    <w:p>
      <w:pPr>
        <w:pStyle w:val="67"/>
        <w:numPr>
          <w:ilvl w:val="0"/>
          <w:numId w:val="8"/>
        </w:numPr>
        <w:tabs>
          <w:tab w:val="left" w:pos="588"/>
        </w:tabs>
        <w:spacing w:line="360" w:lineRule="auto"/>
        <w:ind w:left="846" w:hanging="6"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质疑项目的名称、编号；</w:t>
      </w:r>
    </w:p>
    <w:p>
      <w:pPr>
        <w:pStyle w:val="67"/>
        <w:numPr>
          <w:ilvl w:val="0"/>
          <w:numId w:val="8"/>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具体、明确的质疑事项和与质疑事项相关的请求；</w:t>
      </w:r>
    </w:p>
    <w:p>
      <w:pPr>
        <w:pStyle w:val="67"/>
        <w:numPr>
          <w:ilvl w:val="0"/>
          <w:numId w:val="8"/>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p>
    <w:p>
      <w:pPr>
        <w:pStyle w:val="67"/>
        <w:numPr>
          <w:ilvl w:val="0"/>
          <w:numId w:val="8"/>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必要的法律依据；</w:t>
      </w:r>
    </w:p>
    <w:p>
      <w:pPr>
        <w:pStyle w:val="67"/>
        <w:numPr>
          <w:ilvl w:val="0"/>
          <w:numId w:val="8"/>
        </w:numPr>
        <w:tabs>
          <w:tab w:val="left" w:pos="588"/>
        </w:tabs>
        <w:spacing w:line="360" w:lineRule="auto"/>
        <w:ind w:left="846" w:hanging="6"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提出质疑的日期。</w:t>
      </w:r>
    </w:p>
    <w:p>
      <w:pPr>
        <w:pStyle w:val="67"/>
        <w:tabs>
          <w:tab w:val="left" w:pos="840"/>
        </w:tabs>
        <w:spacing w:line="360" w:lineRule="auto"/>
        <w:ind w:left="838" w:leftChars="399"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27.5   符合要求的质疑，采购代理机构将予以受理并答复。联系人：综合办公室，联系电话：029-85235014。</w:t>
      </w:r>
    </w:p>
    <w:p>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27.6   供应商进行虚假和恶意质疑的，采购代理机构将提供相关资料报监督机构，按其情况进行相应处理。</w:t>
      </w:r>
    </w:p>
    <w:bookmarkEnd w:id="408"/>
    <w:bookmarkEnd w:id="409"/>
    <w:p>
      <w:pPr>
        <w:pStyle w:val="4"/>
        <w:tabs>
          <w:tab w:val="left" w:pos="360"/>
        </w:tabs>
        <w:rPr>
          <w:rFonts w:hint="eastAsia" w:ascii="仿宋" w:hAnsi="仿宋" w:eastAsia="仿宋" w:cs="仿宋"/>
          <w:b/>
          <w:bCs/>
          <w:color w:val="auto"/>
          <w:sz w:val="24"/>
          <w:szCs w:val="21"/>
          <w:highlight w:val="none"/>
        </w:rPr>
      </w:pPr>
      <w:bookmarkStart w:id="410" w:name="_Toc25547"/>
      <w:r>
        <w:rPr>
          <w:rFonts w:hint="eastAsia" w:ascii="仿宋" w:hAnsi="仿宋" w:eastAsia="仿宋" w:cs="仿宋"/>
          <w:b/>
          <w:bCs/>
          <w:color w:val="auto"/>
          <w:sz w:val="24"/>
          <w:szCs w:val="21"/>
          <w:highlight w:val="none"/>
        </w:rPr>
        <w:t>28.    履约保证金：</w:t>
      </w:r>
      <w:r>
        <w:rPr>
          <w:rFonts w:hint="eastAsia" w:ascii="仿宋" w:hAnsi="仿宋" w:eastAsia="仿宋" w:cs="仿宋"/>
          <w:color w:val="auto"/>
          <w:sz w:val="24"/>
          <w:highlight w:val="none"/>
        </w:rPr>
        <w:t>本项目不要求缴纳履约保证金</w:t>
      </w:r>
    </w:p>
    <w:p>
      <w:pPr>
        <w:pStyle w:val="4"/>
        <w:tabs>
          <w:tab w:val="left" w:pos="360"/>
        </w:tabs>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29.    成交服务费</w:t>
      </w:r>
      <w:bookmarkEnd w:id="410"/>
    </w:p>
    <w:p>
      <w:pPr>
        <w:tabs>
          <w:tab w:val="left" w:pos="360"/>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29.1   成交供应商在领取成交通知书前，须向采购代理机构支付代理服务费，代理服务费由采购人与采购代理机构约定：</w:t>
      </w:r>
    </w:p>
    <w:p>
      <w:pPr>
        <w:tabs>
          <w:tab w:val="left" w:pos="360"/>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代理服务费</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每包）</w:t>
      </w:r>
      <w:r>
        <w:rPr>
          <w:rFonts w:hint="eastAsia" w:ascii="仿宋" w:hAnsi="仿宋" w:eastAsia="仿宋" w:cs="仿宋"/>
          <w:color w:val="auto"/>
          <w:sz w:val="24"/>
          <w:highlight w:val="none"/>
        </w:rPr>
        <w:t>参照《国家计委关于印发&lt;招标代理服务收费管理暂行办法&gt;的通知》（计价格[2002]1980号）规定标准收取。按上述标准计算</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代理服务费低于</w:t>
      </w:r>
      <w:r>
        <w:rPr>
          <w:rFonts w:hint="eastAsia" w:ascii="仿宋" w:hAnsi="仿宋" w:eastAsia="仿宋" w:cs="仿宋"/>
          <w:color w:val="auto"/>
          <w:sz w:val="24"/>
          <w:highlight w:val="none"/>
          <w:lang w:val="en-US" w:eastAsia="zh-CN"/>
        </w:rPr>
        <w:t>6000</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val="en-US" w:eastAsia="zh-CN"/>
        </w:rPr>
        <w:t>/</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每包）</w:t>
      </w:r>
      <w:r>
        <w:rPr>
          <w:rFonts w:hint="eastAsia" w:ascii="仿宋" w:hAnsi="仿宋" w:eastAsia="仿宋" w:cs="仿宋"/>
          <w:color w:val="auto"/>
          <w:sz w:val="24"/>
          <w:highlight w:val="none"/>
        </w:rPr>
        <w:t>的，代理服务费按</w:t>
      </w:r>
      <w:r>
        <w:rPr>
          <w:rFonts w:hint="eastAsia" w:ascii="仿宋" w:hAnsi="仿宋" w:eastAsia="仿宋" w:cs="仿宋"/>
          <w:color w:val="auto"/>
          <w:sz w:val="24"/>
          <w:highlight w:val="none"/>
          <w:lang w:val="en-US" w:eastAsia="zh-CN"/>
        </w:rPr>
        <w:t>6000</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val="en-US" w:eastAsia="zh-CN"/>
        </w:rPr>
        <w:t>/</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lang w:val="en-US" w:eastAsia="zh-CN"/>
        </w:rPr>
        <w:t>每包）</w:t>
      </w:r>
      <w:r>
        <w:rPr>
          <w:rFonts w:hint="eastAsia" w:ascii="仿宋" w:hAnsi="仿宋" w:eastAsia="仿宋" w:cs="仿宋"/>
          <w:color w:val="auto"/>
          <w:sz w:val="24"/>
          <w:highlight w:val="none"/>
        </w:rPr>
        <w:t>收取。</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29.2   成交供应商的代理服务费交纳信息</w:t>
      </w:r>
    </w:p>
    <w:p>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pPr>
        <w:snapToGrid w:val="0"/>
        <w:spacing w:line="360" w:lineRule="auto"/>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联系人：财务部   联系电话：029-85263975</w:t>
      </w:r>
    </w:p>
    <w:p>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29.3    成交服务费已包含在供应商的响应报价中，不在响应分项报价表中单独列项。</w:t>
      </w:r>
    </w:p>
    <w:p>
      <w:pPr>
        <w:pStyle w:val="4"/>
        <w:numPr>
          <w:ilvl w:val="0"/>
          <w:numId w:val="9"/>
        </w:numPr>
        <w:tabs>
          <w:tab w:val="left" w:pos="360"/>
        </w:tabs>
        <w:rPr>
          <w:rFonts w:hint="eastAsia" w:ascii="仿宋" w:hAnsi="仿宋" w:eastAsia="仿宋" w:cs="仿宋"/>
          <w:b/>
          <w:bCs/>
          <w:color w:val="auto"/>
          <w:sz w:val="24"/>
          <w:szCs w:val="21"/>
          <w:highlight w:val="none"/>
        </w:rPr>
      </w:pPr>
      <w:bookmarkStart w:id="411" w:name="_Toc1585"/>
      <w:r>
        <w:rPr>
          <w:rFonts w:hint="eastAsia" w:ascii="仿宋" w:hAnsi="仿宋" w:eastAsia="仿宋" w:cs="仿宋"/>
          <w:b/>
          <w:bCs/>
          <w:color w:val="auto"/>
          <w:sz w:val="24"/>
          <w:szCs w:val="21"/>
          <w:highlight w:val="none"/>
        </w:rPr>
        <w:t xml:space="preserve">   采购人追加采购数量的权力</w:t>
      </w:r>
      <w:bookmarkEnd w:id="411"/>
    </w:p>
    <w:p>
      <w:pPr>
        <w:tabs>
          <w:tab w:val="left" w:pos="588"/>
        </w:tabs>
        <w:spacing w:line="360" w:lineRule="auto"/>
        <w:ind w:left="840" w:leftChars="400"/>
        <w:rPr>
          <w:rFonts w:hint="eastAsia" w:ascii="仿宋" w:hAnsi="仿宋" w:eastAsia="仿宋" w:cs="仿宋"/>
          <w:color w:val="auto"/>
          <w:sz w:val="24"/>
          <w:highlight w:val="none"/>
        </w:rPr>
      </w:pPr>
      <w:bookmarkStart w:id="412" w:name="_Toc389620205"/>
      <w:bookmarkStart w:id="413" w:name="_Toc385992366"/>
      <w:r>
        <w:rPr>
          <w:rFonts w:hint="eastAsia" w:ascii="仿宋" w:hAnsi="仿宋" w:eastAsia="仿宋" w:cs="仿宋"/>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22"/>
        <w:numPr>
          <w:ilvl w:val="0"/>
          <w:numId w:val="9"/>
        </w:numPr>
        <w:tabs>
          <w:tab w:val="left" w:pos="360"/>
        </w:tabs>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 xml:space="preserve">   其他情况</w:t>
      </w:r>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谈判截止时间结束后，递交响应文件或者经评审的实质性响应谈判文件的供应商不足三家，采购代理机构应当终止竞争性谈判活动，发布项目终止公告并说明原因，重新开展采购活动。</w:t>
      </w:r>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31.2   连续两次进行竞争性谈判活动，因符合谈判要求供应商不足3家，经请示政府采购管理部门同意后，可继续进行竞争性谈判活动。 </w:t>
      </w:r>
    </w:p>
    <w:p>
      <w:pPr>
        <w:pStyle w:val="22"/>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31.3   政府采购信用担保</w:t>
      </w:r>
    </w:p>
    <w:p>
      <w:pPr>
        <w:pStyle w:val="22"/>
        <w:rPr>
          <w:rFonts w:hint="eastAsia" w:ascii="仿宋" w:hAnsi="仿宋" w:eastAsia="仿宋" w:cs="仿宋"/>
          <w:color w:val="auto"/>
          <w:sz w:val="24"/>
          <w:highlight w:val="none"/>
        </w:rPr>
      </w:pPr>
      <w:r>
        <w:rPr>
          <w:rFonts w:hint="eastAsia" w:ascii="仿宋" w:hAnsi="仿宋" w:eastAsia="仿宋" w:cs="仿宋"/>
          <w:color w:val="auto"/>
          <w:sz w:val="24"/>
          <w:highlight w:val="none"/>
        </w:rPr>
        <w:t>31.3.1 供应商递交的履约担保函应符合本谈判文件的规定。</w:t>
      </w:r>
    </w:p>
    <w:p>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31.3.2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2"/>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业务流程简图如下：</w:t>
      </w:r>
    </w:p>
    <w:p>
      <w:pPr>
        <w:pStyle w:val="22"/>
        <w:tabs>
          <w:tab w:val="left" w:pos="567"/>
        </w:tabs>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pPr>
        <w:pStyle w:val="22"/>
        <w:ind w:left="772" w:hanging="735" w:hangingChars="350"/>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省级政府采购项目贷款银行信息：</w:t>
      </w:r>
    </w:p>
    <w:p>
      <w:pPr>
        <w:rPr>
          <w:rFonts w:hint="eastAsia" w:ascii="仿宋" w:hAnsi="仿宋" w:eastAsia="仿宋" w:cs="仿宋"/>
          <w:b/>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Cs w:val="21"/>
          <w:highlight w:val="none"/>
        </w:rPr>
        <w:t>一、陕西建行（E政通）</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pP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13759957407</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13992016859</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13636762976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pPr>
        <w:ind w:left="1680" w:leftChars="200" w:hanging="1260" w:hanging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pPr>
        <w:rPr>
          <w:rFonts w:hint="eastAsia" w:ascii="仿宋" w:hAnsi="仿宋" w:eastAsia="仿宋" w:cs="仿宋"/>
          <w:color w:val="auto"/>
          <w:szCs w:val="21"/>
          <w:highlight w:val="none"/>
        </w:rPr>
      </w:pP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pPr>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民生银行西安分行  联系人：陈经理 联系电话：61815275 /18821669199</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 xml:space="preserve">联系人：王经理 联系电话：61815280 /18591953690 </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长安银行西安曲江新区支行 地址：西安市曲江新区雁南一路3号  </w:t>
      </w:r>
    </w:p>
    <w:p>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十二、网商银行（合同贷）</w:t>
      </w:r>
      <w:r>
        <w:rPr>
          <w:rFonts w:hint="eastAsia" w:ascii="仿宋" w:hAnsi="仿宋" w:eastAsia="仿宋" w:cs="仿宋"/>
          <w:b/>
          <w:color w:val="auto"/>
          <w:szCs w:val="21"/>
          <w:highlight w:val="none"/>
        </w:rPr>
        <w:br w:type="textWrapping"/>
      </w:r>
      <w:r>
        <w:rPr>
          <w:rFonts w:hint="eastAsia" w:ascii="仿宋" w:hAnsi="仿宋" w:eastAsia="仿宋" w:cs="仿宋"/>
          <w:b/>
          <w:color w:val="auto"/>
          <w:szCs w:val="21"/>
          <w:highlight w:val="none"/>
        </w:rPr>
        <w:t>十三、中国邮政储蓄银行陕西省分行（政采贷）</w:t>
      </w: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bookmarkEnd w:id="412"/>
    <w:bookmarkEnd w:id="413"/>
    <w:p>
      <w:pPr>
        <w:tabs>
          <w:tab w:val="left" w:pos="588"/>
        </w:tabs>
        <w:spacing w:line="360" w:lineRule="auto"/>
        <w:jc w:val="center"/>
        <w:rPr>
          <w:rFonts w:hint="eastAsia" w:ascii="仿宋" w:hAnsi="仿宋" w:eastAsia="仿宋" w:cs="仿宋"/>
          <w:color w:val="auto"/>
          <w:sz w:val="24"/>
          <w:highlight w:val="none"/>
        </w:rPr>
      </w:pPr>
      <w:bookmarkStart w:id="414" w:name="_Toc17469"/>
      <w:bookmarkStart w:id="415" w:name="_Toc58504668"/>
      <w:bookmarkStart w:id="416" w:name="_Toc58504447"/>
      <w:r>
        <w:rPr>
          <w:rFonts w:hint="eastAsia" w:ascii="仿宋" w:hAnsi="仿宋" w:eastAsia="仿宋" w:cs="仿宋"/>
          <w:b/>
          <w:color w:val="auto"/>
          <w:kern w:val="0"/>
          <w:sz w:val="32"/>
          <w:szCs w:val="32"/>
          <w:highlight w:val="none"/>
        </w:rPr>
        <w:t xml:space="preserve">第三章  </w:t>
      </w:r>
      <w:bookmarkEnd w:id="19"/>
      <w:bookmarkEnd w:id="414"/>
      <w:bookmarkEnd w:id="415"/>
      <w:bookmarkEnd w:id="416"/>
      <w:bookmarkStart w:id="417" w:name="_Toc53722865"/>
      <w:bookmarkStart w:id="418" w:name="_Toc415499897"/>
      <w:bookmarkStart w:id="419" w:name="_Toc249515482"/>
      <w:bookmarkStart w:id="420" w:name="_Toc249525250"/>
      <w:bookmarkStart w:id="421" w:name="_Toc492955459"/>
      <w:bookmarkStart w:id="422" w:name="_Toc496324623"/>
      <w:bookmarkStart w:id="423" w:name="_Toc230583552"/>
      <w:bookmarkStart w:id="424" w:name="_Toc70687202"/>
      <w:bookmarkStart w:id="425" w:name="_Toc177995483"/>
      <w:bookmarkStart w:id="426" w:name="_Toc503063458"/>
      <w:bookmarkStart w:id="427" w:name="_Toc177189245"/>
      <w:bookmarkStart w:id="428" w:name="_Toc256342152"/>
      <w:bookmarkStart w:id="429" w:name="_Toc499711928"/>
      <w:bookmarkStart w:id="430" w:name="_Toc230099803"/>
      <w:bookmarkStart w:id="431" w:name="_Toc232176282"/>
      <w:bookmarkStart w:id="432" w:name="_Toc177817344"/>
      <w:bookmarkStart w:id="433" w:name="_Toc499711087"/>
      <w:bookmarkStart w:id="434" w:name="_Toc184043058"/>
      <w:bookmarkStart w:id="435" w:name="_Toc500747233"/>
      <w:bookmarkStart w:id="436" w:name="_Toc28450"/>
      <w:bookmarkStart w:id="437" w:name="_Toc500747106"/>
      <w:bookmarkStart w:id="438" w:name="_Toc249515369"/>
      <w:bookmarkStart w:id="439" w:name="_Toc232395222"/>
      <w:bookmarkStart w:id="440" w:name="_Toc230013638"/>
      <w:bookmarkStart w:id="441" w:name="_Toc176882552"/>
      <w:bookmarkStart w:id="442" w:name="_Toc500747010"/>
      <w:r>
        <w:rPr>
          <w:rFonts w:hint="eastAsia" w:ascii="仿宋" w:hAnsi="仿宋" w:eastAsia="仿宋" w:cs="仿宋"/>
          <w:b/>
          <w:color w:val="auto"/>
          <w:kern w:val="0"/>
          <w:sz w:val="32"/>
          <w:szCs w:val="32"/>
          <w:highlight w:val="none"/>
        </w:rPr>
        <w:t>拟签订的合同文本</w:t>
      </w:r>
    </w:p>
    <w:p>
      <w:pPr>
        <w:tabs>
          <w:tab w:val="left" w:pos="735"/>
        </w:tabs>
        <w:autoSpaceDE w:val="0"/>
        <w:autoSpaceDN w:val="0"/>
        <w:adjustRightInd w:val="0"/>
        <w:snapToGrid w:val="0"/>
        <w:spacing w:before="312" w:beforeLines="100"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采购人：</w:t>
      </w:r>
      <w:r>
        <w:rPr>
          <w:rFonts w:hint="eastAsia" w:ascii="仿宋" w:hAnsi="仿宋" w:eastAsia="仿宋" w:cs="仿宋"/>
          <w:bCs/>
          <w:color w:val="auto"/>
          <w:sz w:val="24"/>
          <w:highlight w:val="none"/>
          <w:lang w:val="zh-CN"/>
        </w:rPr>
        <w:t>（前款所称采购人）</w:t>
      </w:r>
    </w:p>
    <w:p>
      <w:pPr>
        <w:tabs>
          <w:tab w:val="left" w:pos="735"/>
        </w:tabs>
        <w:autoSpaceDE w:val="0"/>
        <w:autoSpaceDN w:val="0"/>
        <w:adjustRightInd w:val="0"/>
        <w:snapToGrid w:val="0"/>
        <w:spacing w:line="360" w:lineRule="auto"/>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供应商：</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rPr>
        <w:t>成交供应商</w:t>
      </w:r>
      <w:r>
        <w:rPr>
          <w:rFonts w:hint="eastAsia" w:ascii="仿宋" w:hAnsi="仿宋" w:eastAsia="仿宋" w:cs="仿宋"/>
          <w:bCs/>
          <w:color w:val="auto"/>
          <w:sz w:val="24"/>
          <w:highlight w:val="none"/>
          <w:lang w:val="zh-CN"/>
        </w:rPr>
        <w:t>）</w:t>
      </w:r>
    </w:p>
    <w:p>
      <w:pPr>
        <w:tabs>
          <w:tab w:val="left" w:pos="735"/>
        </w:tabs>
        <w:autoSpaceDE w:val="0"/>
        <w:autoSpaceDN w:val="0"/>
        <w:adjustRightInd w:val="0"/>
        <w:snapToGrid w:val="0"/>
        <w:spacing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见  证  方：</w:t>
      </w:r>
      <w:r>
        <w:rPr>
          <w:rFonts w:hint="eastAsia" w:ascii="仿宋" w:hAnsi="仿宋" w:eastAsia="仿宋" w:cs="仿宋"/>
          <w:bCs/>
          <w:color w:val="auto"/>
          <w:sz w:val="24"/>
          <w:highlight w:val="none"/>
          <w:lang w:val="zh-CN"/>
        </w:rPr>
        <w:t>（陕西省采购招标有限责任公司）</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43" w:name="_Toc19515384"/>
      <w:r>
        <w:rPr>
          <w:rFonts w:hint="eastAsia" w:ascii="仿宋" w:hAnsi="仿宋" w:eastAsia="仿宋" w:cs="仿宋"/>
          <w:color w:val="auto"/>
          <w:sz w:val="24"/>
          <w:highlight w:val="none"/>
        </w:rPr>
        <w:t>一、合同内容（标的、数量、质量等）</w:t>
      </w:r>
      <w:bookmarkEnd w:id="443"/>
      <w:r>
        <w:rPr>
          <w:rFonts w:hint="eastAsia" w:ascii="仿宋" w:hAnsi="仿宋" w:eastAsia="仿宋" w:cs="仿宋"/>
          <w:color w:val="auto"/>
          <w:sz w:val="24"/>
          <w:highlight w:val="none"/>
        </w:rPr>
        <w:t>：</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44" w:name="_Toc19515385"/>
      <w:r>
        <w:rPr>
          <w:rFonts w:hint="eastAsia" w:ascii="仿宋" w:hAnsi="仿宋" w:eastAsia="仿宋" w:cs="仿宋"/>
          <w:color w:val="auto"/>
          <w:sz w:val="24"/>
          <w:highlight w:val="none"/>
        </w:rPr>
        <w:t>二、合同价款</w:t>
      </w:r>
      <w:bookmarkEnd w:id="444"/>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1、合同总价：</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2、合同总价包括：产品供货、安装调试、验收、培训售后服务、以及增值税等税费、运杂保险费等。</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45" w:name="_Toc19515386"/>
      <w:r>
        <w:rPr>
          <w:rFonts w:hint="eastAsia" w:ascii="仿宋" w:hAnsi="仿宋" w:eastAsia="仿宋" w:cs="仿宋"/>
          <w:color w:val="auto"/>
          <w:sz w:val="24"/>
          <w:highlight w:val="none"/>
        </w:rPr>
        <w:t>三、合同结算</w:t>
      </w:r>
      <w:bookmarkEnd w:id="445"/>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1、付款比例：</w:t>
      </w:r>
      <w:r>
        <w:rPr>
          <w:rFonts w:hint="eastAsia" w:ascii="仿宋" w:hAnsi="仿宋" w:eastAsia="仿宋" w:cs="仿宋"/>
          <w:color w:val="auto"/>
          <w:sz w:val="24"/>
          <w:highlight w:val="none"/>
          <w:lang w:eastAsia="zh-CN"/>
        </w:rPr>
        <w:t>采购人、供应商双方签订合同后，采购人支付总价款的45%作为预付款，货到现场安装调试完成及验收合格后，采购人支付剩下55%剩余款项。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2、结算方式：银行转账。</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3、结算单位：由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负责结算，</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开具合同总价数的全额发票交采购人。</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46" w:name="_Toc19515387"/>
      <w:r>
        <w:rPr>
          <w:rFonts w:hint="eastAsia" w:ascii="仿宋" w:hAnsi="仿宋" w:eastAsia="仿宋" w:cs="仿宋"/>
          <w:color w:val="auto"/>
          <w:sz w:val="24"/>
          <w:highlight w:val="none"/>
        </w:rPr>
        <w:t>四、交货期、地点及方式</w:t>
      </w:r>
      <w:bookmarkEnd w:id="446"/>
      <w:r>
        <w:rPr>
          <w:rFonts w:hint="eastAsia" w:ascii="仿宋" w:hAnsi="仿宋" w:eastAsia="仿宋" w:cs="仿宋"/>
          <w:color w:val="auto"/>
          <w:sz w:val="24"/>
          <w:highlight w:val="none"/>
        </w:rPr>
        <w:t>：</w:t>
      </w:r>
    </w:p>
    <w:p>
      <w:pPr>
        <w:tabs>
          <w:tab w:val="left" w:pos="253"/>
        </w:tabs>
        <w:adjustRightInd w:val="0"/>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1、交货期：</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lang w:eastAsia="zh-CN"/>
        </w:rPr>
        <w:t>日历天</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指定地点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3、方式：货到现场，</w:t>
      </w:r>
      <w:r>
        <w:rPr>
          <w:rFonts w:hint="eastAsia" w:ascii="仿宋" w:hAnsi="仿宋" w:eastAsia="仿宋" w:cs="仿宋"/>
          <w:color w:val="auto"/>
          <w:sz w:val="24"/>
          <w:highlight w:val="none"/>
          <w:lang w:val="en-US" w:eastAsia="zh-CN"/>
        </w:rPr>
        <w:t>并</w:t>
      </w:r>
      <w:r>
        <w:rPr>
          <w:rFonts w:hint="eastAsia" w:ascii="仿宋" w:hAnsi="仿宋" w:eastAsia="仿宋" w:cs="仿宋"/>
          <w:color w:val="auto"/>
          <w:sz w:val="24"/>
          <w:highlight w:val="none"/>
        </w:rPr>
        <w:t>达到使用要求</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47" w:name="_Toc19515390"/>
      <w:r>
        <w:rPr>
          <w:rFonts w:hint="eastAsia" w:ascii="仿宋" w:hAnsi="仿宋" w:eastAsia="仿宋" w:cs="仿宋"/>
          <w:color w:val="auto"/>
          <w:sz w:val="24"/>
          <w:highlight w:val="none"/>
        </w:rPr>
        <w:t>五、技术服务</w:t>
      </w:r>
      <w:bookmarkEnd w:id="447"/>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1、对技术服务的要求：</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2、技术资料：</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3、技术培训：</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3-1、培训内容：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3-2、培训地点：</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3-3、培训时间：</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3-4、培训人数：</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3-5、培训费用：受训人员的食宿费、资料费、培训场地费、耗材（包括水电费等）费等已包含在合同总价中，</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不再另行支付。</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4、售后服务</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在接到</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电话通知后在</w:t>
      </w:r>
      <w:r>
        <w:rPr>
          <w:rFonts w:hint="eastAsia" w:ascii="仿宋" w:hAnsi="仿宋" w:eastAsia="仿宋" w:cs="仿宋"/>
          <w:color w:val="auto"/>
          <w:sz w:val="24"/>
          <w:highlight w:val="none"/>
          <w:u w:val="single"/>
        </w:rPr>
        <w:t>24</w:t>
      </w:r>
      <w:r>
        <w:rPr>
          <w:rFonts w:hint="eastAsia" w:ascii="仿宋" w:hAnsi="仿宋" w:eastAsia="仿宋" w:cs="仿宋"/>
          <w:color w:val="auto"/>
          <w:sz w:val="24"/>
          <w:highlight w:val="none"/>
        </w:rPr>
        <w:t>小时内派出合格的服务人员到达现场进行服务，承担相应费用。</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4-2、如果</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在收到通知后两天内没有弥补缺陷，</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可采取必要的补救措施，但其风险和费用将由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承担，</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根据合同规定对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行使的其它权力不受影响。</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48" w:name="_Toc19515391"/>
      <w:r>
        <w:rPr>
          <w:rFonts w:hint="eastAsia" w:ascii="仿宋" w:hAnsi="仿宋" w:eastAsia="仿宋" w:cs="仿宋"/>
          <w:color w:val="auto"/>
          <w:sz w:val="24"/>
          <w:highlight w:val="none"/>
        </w:rPr>
        <w:t>六、验收</w:t>
      </w:r>
      <w:bookmarkEnd w:id="448"/>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1、验收：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完成服务内容后，向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提出验收申请，</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接到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验收申请后组织验收（必要时可聘请相应专家或委托相应部门验收），验收合格后，出具使用验收合格证明。</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2、最终验收：最终验收结果作为付款依据，</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填写验收单，并向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提交实施过程中的所有资料，以便</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日后管理和维护。</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3、质保期为验收合格后</w:t>
      </w:r>
      <w:r>
        <w:rPr>
          <w:rFonts w:hint="eastAsia" w:ascii="仿宋" w:hAnsi="仿宋" w:eastAsia="仿宋" w:cs="仿宋"/>
          <w:b/>
          <w:bCs/>
          <w:color w:val="auto"/>
          <w:sz w:val="24"/>
          <w:highlight w:val="none"/>
          <w:u w:val="single"/>
          <w:lang w:val="en-US" w:eastAsia="zh-CN"/>
        </w:rPr>
        <w:t>贰</w:t>
      </w:r>
      <w:r>
        <w:rPr>
          <w:rFonts w:hint="eastAsia" w:ascii="仿宋" w:hAnsi="仿宋" w:eastAsia="仿宋" w:cs="仿宋"/>
          <w:b/>
          <w:bCs/>
          <w:color w:val="auto"/>
          <w:sz w:val="24"/>
          <w:highlight w:val="none"/>
          <w:u w:val="single"/>
        </w:rPr>
        <w:t>年</w:t>
      </w:r>
      <w:r>
        <w:rPr>
          <w:rFonts w:hint="eastAsia" w:ascii="仿宋" w:hAnsi="仿宋" w:eastAsia="仿宋" w:cs="仿宋"/>
          <w:color w:val="auto"/>
          <w:sz w:val="24"/>
          <w:highlight w:val="none"/>
        </w:rPr>
        <w:t>。质保期满后，由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出具质保期运行质量报告，若存在质量问题，应按相应规定协商处理。</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4、验收依据：</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4-1、合同文本、合同附件、竞争性谈判文件、成交供应商的响应文件。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4-2、国内相应的标准、规范。</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49" w:name="_Toc19515392"/>
      <w:r>
        <w:rPr>
          <w:rFonts w:hint="eastAsia" w:ascii="仿宋" w:hAnsi="仿宋" w:eastAsia="仿宋" w:cs="仿宋"/>
          <w:color w:val="auto"/>
          <w:sz w:val="24"/>
          <w:highlight w:val="none"/>
        </w:rPr>
        <w:t>七、违约责任</w:t>
      </w:r>
      <w:bookmarkEnd w:id="449"/>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1、按《中华人民共和国民法典》中的相关条款执行。</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履约延误</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事先未征得</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同意并得到</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的谅解而单方面延迟执行合同，将按违约终止合同。</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2-2、在履行合同过程中，如果</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遇到可能妨碍按时提供服务的情况，应及时以书面形式将拖延的事实，可能拖延的期限和理由通知</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通知后，应尽快对情况进行评价，并确定是否通过修改合同，酌情延长交货时间或对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加收误期赔偿金。每延误一周的赔偿费按合同金额的百分之零点五（0.5%）计收，直至提供服务为止。误期赔偿费的最高限额为合同价格的百分之五（5%）。一旦达到误期赔偿费的最高限额，</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可终止合同。</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3、违约终止合同：未按合同要求提供服务或不能满足技术要求，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会同监督机构有权终止合同，对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违约行为进行追究，同时按政府采购法的有关规定进行相应的处罚。</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50" w:name="_Toc19515393"/>
      <w:r>
        <w:rPr>
          <w:rFonts w:hint="eastAsia" w:ascii="仿宋" w:hAnsi="仿宋" w:eastAsia="仿宋" w:cs="仿宋"/>
          <w:color w:val="auto"/>
          <w:sz w:val="24"/>
          <w:highlight w:val="none"/>
        </w:rPr>
        <w:t>八、合同组成</w:t>
      </w:r>
      <w:bookmarkEnd w:id="450"/>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4、竞争性谈判文件</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5、成交供应商的响应文件</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51" w:name="_Toc19515394"/>
      <w:r>
        <w:rPr>
          <w:rFonts w:hint="eastAsia" w:ascii="仿宋" w:hAnsi="仿宋" w:eastAsia="仿宋" w:cs="仿宋"/>
          <w:color w:val="auto"/>
          <w:sz w:val="24"/>
          <w:highlight w:val="none"/>
        </w:rPr>
        <w:t>九、解决争议的方法</w:t>
      </w:r>
      <w:bookmarkEnd w:id="451"/>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凡因本合同引起的或与本合同有关的争议，双方应友好协商解决。协商不成时，双方均同意采用以下第（ </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 xml:space="preserve"> ）种争议解决方式：</w:t>
      </w:r>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1、甲、乙双方均同意向（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所在地人民法院）提起诉讼。</w:t>
      </w:r>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pPr>
        <w:adjustRightInd w:val="0"/>
        <w:snapToGrid w:val="0"/>
        <w:spacing w:line="360" w:lineRule="auto"/>
        <w:ind w:firstLine="480" w:firstLineChars="200"/>
        <w:rPr>
          <w:rFonts w:hint="eastAsia" w:ascii="仿宋" w:hAnsi="仿宋" w:eastAsia="仿宋" w:cs="仿宋"/>
          <w:color w:val="auto"/>
          <w:sz w:val="24"/>
          <w:highlight w:val="none"/>
        </w:rPr>
      </w:pPr>
      <w:bookmarkStart w:id="452" w:name="_Toc19515395"/>
      <w:r>
        <w:rPr>
          <w:rFonts w:hint="eastAsia" w:ascii="仿宋" w:hAnsi="仿宋" w:eastAsia="仿宋" w:cs="仿宋"/>
          <w:color w:val="auto"/>
          <w:sz w:val="24"/>
          <w:highlight w:val="none"/>
        </w:rPr>
        <w:t>十、合同生效及其它</w:t>
      </w:r>
      <w:bookmarkEnd w:id="452"/>
    </w:p>
    <w:p>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color w:val="auto"/>
          <w:kern w:val="0"/>
          <w:sz w:val="24"/>
          <w:highlight w:val="none"/>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rPr>
      </w:pPr>
    </w:p>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见证方（盖章）：</w:t>
      </w:r>
    </w:p>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见证方代表（签字）</w:t>
      </w:r>
      <w:r>
        <w:rPr>
          <w:rFonts w:hint="eastAsia" w:ascii="仿宋" w:hAnsi="仿宋" w:eastAsia="仿宋" w:cs="仿宋"/>
          <w:color w:val="auto"/>
          <w:kern w:val="0"/>
          <w:sz w:val="24"/>
          <w:highlight w:val="none"/>
          <w:lang w:eastAsia="zh-CN"/>
        </w:rPr>
        <w:t>：</w:t>
      </w:r>
    </w:p>
    <w:p>
      <w:pPr>
        <w:widowControl/>
        <w:autoSpaceDE w:val="0"/>
        <w:autoSpaceDN w:val="0"/>
        <w:snapToGrid w:val="0"/>
        <w:spacing w:line="360" w:lineRule="auto"/>
        <w:ind w:right="-154" w:firstLine="240" w:firstLineChars="1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w:t>
      </w:r>
    </w:p>
    <w:p>
      <w:pPr>
        <w:autoSpaceDE w:val="0"/>
        <w:autoSpaceDN w:val="0"/>
        <w:adjustRightInd w:val="0"/>
        <w:jc w:val="left"/>
        <w:rPr>
          <w:rFonts w:hint="eastAsia" w:ascii="仿宋" w:hAnsi="仿宋" w:eastAsia="仿宋" w:cs="仿宋"/>
          <w:b/>
          <w:bCs/>
          <w:color w:val="auto"/>
          <w:sz w:val="32"/>
          <w:szCs w:val="32"/>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政府采购项目货物验收入库报告单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color w:val="auto"/>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highlight w:val="none"/>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使用单位验收意见：（盖章）</w:t>
            </w:r>
          </w:p>
          <w:p>
            <w:pP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color w:val="auto"/>
                <w:kern w:val="0"/>
                <w:sz w:val="24"/>
                <w:highlight w:val="none"/>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采购内容请列明品目、规格、型号、数量、单价、总价</w:t>
            </w:r>
          </w:p>
        </w:tc>
      </w:tr>
    </w:tbl>
    <w:p>
      <w:pPr>
        <w:pStyle w:val="22"/>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sectPr>
          <w:footerReference r:id="rId9" w:type="default"/>
          <w:pgSz w:w="11906" w:h="16838"/>
          <w:pgMar w:top="1440" w:right="1083" w:bottom="1440" w:left="1083" w:header="851" w:footer="992" w:gutter="0"/>
          <w:pgNumType w:start="1"/>
          <w:cols w:space="720" w:num="1"/>
          <w:docGrid w:type="lines" w:linePitch="312" w:charSpace="0"/>
        </w:sectPr>
      </w:pPr>
      <w:bookmarkStart w:id="453" w:name="_Toc58504669"/>
      <w:bookmarkStart w:id="454" w:name="_Toc58504448"/>
    </w:p>
    <w:p>
      <w:pPr>
        <w:pStyle w:val="67"/>
        <w:adjustRightInd w:val="0"/>
        <w:spacing w:before="314"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第四章  采购内容及要求</w:t>
      </w:r>
      <w:bookmarkEnd w:id="453"/>
      <w:bookmarkEnd w:id="454"/>
    </w:p>
    <w:p>
      <w:pPr>
        <w:pStyle w:val="67"/>
        <w:keepNext w:val="0"/>
        <w:keepLines w:val="0"/>
        <w:pageBreakBefore w:val="0"/>
        <w:numPr>
          <w:ilvl w:val="0"/>
          <w:numId w:val="0"/>
        </w:numPr>
        <w:kinsoku/>
        <w:wordWrap/>
        <w:overflowPunct/>
        <w:topLinePunct w:val="0"/>
        <w:autoSpaceDE/>
        <w:autoSpaceDN/>
        <w:bidi w:val="0"/>
        <w:adjustRightInd/>
        <w:snapToGrid w:val="0"/>
        <w:spacing w:after="157" w:afterLines="50" w:line="240" w:lineRule="exact"/>
        <w:jc w:val="left"/>
        <w:outlineLvl w:val="1"/>
        <w:rPr>
          <w:rFonts w:hint="eastAsia" w:ascii="仿宋" w:hAnsi="仿宋" w:eastAsia="仿宋" w:cs="仿宋"/>
          <w:b/>
          <w:color w:val="auto"/>
          <w:sz w:val="24"/>
          <w:highlight w:val="none"/>
        </w:rPr>
      </w:pPr>
      <w:bookmarkStart w:id="455" w:name="_Toc167715235"/>
      <w:bookmarkStart w:id="456" w:name="_Toc167714038"/>
      <w:bookmarkStart w:id="457" w:name="_Toc167712840"/>
      <w:r>
        <w:rPr>
          <w:rFonts w:hint="eastAsia" w:ascii="仿宋" w:hAnsi="仿宋" w:eastAsia="仿宋" w:cs="仿宋"/>
          <w:b/>
          <w:color w:val="auto"/>
          <w:sz w:val="24"/>
          <w:highlight w:val="none"/>
          <w:lang w:eastAsia="zh-CN"/>
        </w:rPr>
        <w:t>一、</w:t>
      </w:r>
      <w:r>
        <w:rPr>
          <w:rFonts w:hint="eastAsia" w:ascii="仿宋" w:hAnsi="仿宋" w:eastAsia="仿宋" w:cs="仿宋"/>
          <w:b/>
          <w:color w:val="auto"/>
          <w:sz w:val="24"/>
          <w:highlight w:val="none"/>
        </w:rPr>
        <w:t>技术要求：</w:t>
      </w:r>
    </w:p>
    <w:p>
      <w:pPr>
        <w:pStyle w:val="67"/>
        <w:keepNext w:val="0"/>
        <w:keepLines w:val="0"/>
        <w:pageBreakBefore w:val="0"/>
        <w:numPr>
          <w:ilvl w:val="0"/>
          <w:numId w:val="0"/>
        </w:numPr>
        <w:kinsoku/>
        <w:wordWrap/>
        <w:overflowPunct/>
        <w:topLinePunct w:val="0"/>
        <w:autoSpaceDE/>
        <w:autoSpaceDN/>
        <w:bidi w:val="0"/>
        <w:adjustRightInd/>
        <w:snapToGrid w:val="0"/>
        <w:spacing w:after="157" w:afterLines="50" w:line="240" w:lineRule="exact"/>
        <w:jc w:val="left"/>
        <w:outlineLvl w:val="1"/>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合同1包</w:t>
      </w:r>
    </w:p>
    <w:bookmarkEnd w:id="455"/>
    <w:bookmarkEnd w:id="456"/>
    <w:bookmarkEnd w:id="457"/>
    <w:tbl>
      <w:tblPr>
        <w:tblStyle w:val="50"/>
        <w:tblW w:w="51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673"/>
        <w:gridCol w:w="577"/>
        <w:gridCol w:w="407"/>
        <w:gridCol w:w="7064"/>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highlight w:val="none"/>
                <w:u w:val="none"/>
              </w:rPr>
            </w:pPr>
            <w:bookmarkStart w:id="458" w:name="_Toc31008"/>
            <w:bookmarkStart w:id="459" w:name="_Toc385992401"/>
            <w:bookmarkStart w:id="460" w:name="_Toc389620241"/>
            <w:bookmarkStart w:id="461" w:name="_Toc415499899"/>
            <w:r>
              <w:rPr>
                <w:rFonts w:hint="eastAsia" w:ascii="仿宋" w:hAnsi="仿宋" w:eastAsia="仿宋" w:cs="仿宋"/>
                <w:b/>
                <w:bCs/>
                <w:i w:val="0"/>
                <w:iCs w:val="0"/>
                <w:color w:val="auto"/>
                <w:kern w:val="0"/>
                <w:sz w:val="21"/>
                <w:szCs w:val="21"/>
                <w:highlight w:val="none"/>
                <w:u w:val="none"/>
                <w:lang w:val="en-US" w:eastAsia="zh-CN" w:bidi="ar"/>
              </w:rPr>
              <w:t>序号</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设备名称</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 位</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 量</w:t>
            </w:r>
          </w:p>
        </w:tc>
        <w:tc>
          <w:tcPr>
            <w:tcW w:w="3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参数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决赛高台</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规格：3M×24M×0.5M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剑道，规格：1.5M*20M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辅助剑道，规格：0.75M*20M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高台单个裁判器重复灯；规格：1M*40CM*10CM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高台结构为击剑高台专用结构，拆装容易，主剑道与辅助剑道是合金制。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裁判器重复灯组由LED显示，裁判重复灯由两个白色无效灯，红色有效灯一个，绿色有效灯一个，位于决赛高台的正反两面，裁判器重复灯与裁判器实时同步，符合国际比赛标准。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主要材料：1. 防滑面板，边框—高强度钛合金材料。 2. EVA衬垫—6mm绝缘 EVA。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性能：1. 导电性好，电阻不大于5欧姆。 2. 防滑面板，经过特殊防滑处理，保证运动员正常使用。 3. 开始线、中线、警告区，经过特殊导电氧化处理，为蓝色。</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通过国际剑联（FIE）认证。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决赛裁判器规格：97cm×47cm×12cm，LED显示屏长97cm、高40cm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功能：无线遥控，双方比分（增或减），比分反转，能与无线系统、录像回放、计时计分匹配，LED超大显示屏，可显示时间、局数、比分、国家、运动员姓名等信息，通过国际剑联(FIE) 认证。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拖线盘规格：椭圆形,直径：21厘米 厚：8cm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功能：外壳为高强度铝合金材料，能与所有裁判器连接和匹配，最大伸缩距离20米。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符合国际剑联（FIE）标准。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连接线材料：专用电线（铜芯），三齿插头。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规格：长12M-20M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性能：导电性好，电阻不大于5欧姆，连接牢固，可很好地连剑、拖线盘、裁判器。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符合国际剑联（FIE）标准。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高台符合国际剑联（FIE）规则要求；剑道通过国际剑联（FIE）认证（包含：击剑高台及剑道、高台重复灯、LED数显重复灯、决赛裁判器、拖线盘、连接线）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击剑超薄型剑道</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道</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规格：18m×1.5m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主要材料：1. 防滑面板，边框—高强度铝合金材料。2. EVA衬垫—6mm绝缘 EVA。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性能：1. 导电性好，电阻不大于5欧姆。2. 防滑面板，经过特殊防滑处理，保证运动员正常使用。3. 开始线、中线、警告区，经过特殊导电氧化处理，为金黄色。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通过中国击剑协会认证。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通过国际剑联（FIE）认证。</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击剑比赛裁判器</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整体规格： 55cm*17cm*4cm；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LED显示器规格：15cm*12cm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比分显示器：6cm*4cm；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时间显示器：4.5cm*3cm；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通过国际剑联(FIE) 认证。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功能：无线遥控，双方比分增或减、和时间设定及显示，并带有比赛显示红、黄牌功能，运动员交换场地比分反转功能，超大LED显示屏。可连接重复灯，适用于花、重、佩三个剑种使用。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击剑拖线盘</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只</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3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规格：直径：21CM 厚：8CM，椭圆形,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功能：外壳为高强度铝合金材料，导电性好，电阻不大于5欧姆，能与所有型号裁判器连接和匹配，最大伸缩距离20M.</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裁判器拖线盘连接线</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根</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材料：专用电线（铜芯），三齿插头。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规格：长12M-20M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性能：导电性好，电阻不大于5欧姆，连接牢固，可很好地连剑和拖线盘。</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裁判台</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规格：90cm×70cm×45cm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材料： 木质，万向轮。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性能:  击剑裁判器专用桌，外表美观，方便实用,符合击剑比赛的专业要求。</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Fencing Time计时计分软件</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1、计时记分系统：负责第一手分数的采集，包含记分控制模块、数据采集模块、现场显示模块。</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2、成绩处理系统:含比赛编排、现场成绩处理、成绩表单输出等功能。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3、可满足主决赛场地和副决赛场地使用及各个区域的成绩显示。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通过国际剑联（FIE）认证。</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bl>
    <w:p>
      <w:pPr>
        <w:pStyle w:val="67"/>
        <w:keepNext w:val="0"/>
        <w:keepLines w:val="0"/>
        <w:pageBreakBefore w:val="0"/>
        <w:numPr>
          <w:ilvl w:val="0"/>
          <w:numId w:val="0"/>
        </w:numPr>
        <w:kinsoku/>
        <w:wordWrap/>
        <w:overflowPunct/>
        <w:topLinePunct w:val="0"/>
        <w:autoSpaceDE/>
        <w:autoSpaceDN/>
        <w:bidi w:val="0"/>
        <w:adjustRightInd/>
        <w:snapToGrid w:val="0"/>
        <w:spacing w:after="157" w:afterLines="50" w:line="240" w:lineRule="exact"/>
        <w:jc w:val="left"/>
        <w:outlineLvl w:val="1"/>
        <w:rPr>
          <w:rFonts w:hint="eastAsia" w:ascii="仿宋" w:hAnsi="仿宋" w:eastAsia="仿宋" w:cs="仿宋"/>
          <w:b/>
          <w:color w:val="auto"/>
          <w:sz w:val="24"/>
          <w:highlight w:val="none"/>
          <w:lang w:val="en-US" w:eastAsia="zh-CN"/>
        </w:rPr>
      </w:pPr>
    </w:p>
    <w:p>
      <w:pPr>
        <w:pStyle w:val="67"/>
        <w:keepNext w:val="0"/>
        <w:keepLines w:val="0"/>
        <w:pageBreakBefore w:val="0"/>
        <w:numPr>
          <w:ilvl w:val="0"/>
          <w:numId w:val="0"/>
        </w:numPr>
        <w:kinsoku/>
        <w:wordWrap/>
        <w:overflowPunct/>
        <w:topLinePunct w:val="0"/>
        <w:autoSpaceDE/>
        <w:autoSpaceDN/>
        <w:bidi w:val="0"/>
        <w:adjustRightInd/>
        <w:snapToGrid w:val="0"/>
        <w:spacing w:after="157" w:afterLines="50" w:line="240" w:lineRule="exact"/>
        <w:jc w:val="left"/>
        <w:outlineLvl w:val="1"/>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合同2包：</w:t>
      </w:r>
    </w:p>
    <w:tbl>
      <w:tblPr>
        <w:tblStyle w:val="50"/>
        <w:tblW w:w="50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888"/>
        <w:gridCol w:w="612"/>
        <w:gridCol w:w="684"/>
        <w:gridCol w:w="6548"/>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sz w:val="21"/>
                <w:szCs w:val="21"/>
                <w:highlight w:val="none"/>
                <w:u w:val="none"/>
                <w:lang w:val="en-US" w:eastAsia="zh-CN"/>
              </w:rPr>
              <w:t>设备名称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单 位</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数 量</w:t>
            </w:r>
          </w:p>
        </w:tc>
        <w:tc>
          <w:tcPr>
            <w:tcW w:w="3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参数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订制散打盖单</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平方米</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c>
          <w:tcPr>
            <w:tcW w:w="3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1、盖单太空革高频、车缝；</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2、盖单撕裂强度大于70牛顿、抗拉强度大于10牛顿/平方毫米；▲国际武术联合会（IWUF）、中国武术协会认证。</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1m*1m散打训练垫</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块</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w:t>
            </w:r>
          </w:p>
        </w:tc>
        <w:tc>
          <w:tcPr>
            <w:tcW w:w="3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1、地垫EVA泡沫双面复合拉绒地垫，冲切折叠工艺；（提供样品）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2、地垫硬度≧20 SHORE C、反弹高度：1公斤重锤，0.5米米自由下落，反弹高度﹤10厘米；▲国际武术联合会（IWUF）、中国武术协会认证。</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iCs w:val="0"/>
                <w:color w:val="auto"/>
                <w:sz w:val="21"/>
                <w:szCs w:val="21"/>
                <w:highlight w:val="none"/>
                <w:u w:val="none"/>
              </w:rPr>
            </w:pPr>
          </w:p>
        </w:tc>
      </w:tr>
    </w:tbl>
    <w:p>
      <w:pPr>
        <w:keepNext w:val="0"/>
        <w:keepLines w:val="0"/>
        <w:pageBreakBefore w:val="0"/>
        <w:kinsoku/>
        <w:wordWrap/>
        <w:overflowPunct/>
        <w:topLinePunct w:val="0"/>
        <w:autoSpaceDE/>
        <w:autoSpaceDN/>
        <w:bidi w:val="0"/>
        <w:adjustRightInd/>
        <w:spacing w:line="240" w:lineRule="exact"/>
        <w:rPr>
          <w:rFonts w:hint="eastAsia" w:ascii="仿宋" w:hAnsi="仿宋" w:eastAsia="仿宋" w:cs="仿宋"/>
          <w:b/>
          <w:color w:val="auto"/>
          <w:kern w:val="0"/>
          <w:sz w:val="32"/>
          <w:szCs w:val="32"/>
          <w:highlight w:val="none"/>
        </w:rPr>
      </w:pPr>
    </w:p>
    <w:p>
      <w:pPr>
        <w:keepNext w:val="0"/>
        <w:keepLines w:val="0"/>
        <w:pageBreakBefore w:val="0"/>
        <w:widowControl w:val="0"/>
        <w:numPr>
          <w:ilvl w:val="0"/>
          <w:numId w:val="10"/>
        </w:numPr>
        <w:kinsoku/>
        <w:wordWrap/>
        <w:overflowPunct/>
        <w:topLinePunct w:val="0"/>
        <w:autoSpaceDE/>
        <w:autoSpaceDN/>
        <w:bidi w:val="0"/>
        <w:adjustRightInd/>
        <w:spacing w:line="400" w:lineRule="exact"/>
        <w:textAlignment w:val="auto"/>
        <w:rPr>
          <w:rFonts w:eastAsia="仿宋_GB2312"/>
          <w:color w:val="auto"/>
          <w:sz w:val="24"/>
          <w:highlight w:val="none"/>
        </w:rPr>
      </w:pPr>
      <w:r>
        <w:rPr>
          <w:rFonts w:eastAsia="仿宋_GB2312"/>
          <w:b/>
          <w:bCs/>
          <w:color w:val="auto"/>
          <w:sz w:val="24"/>
          <w:highlight w:val="none"/>
        </w:rPr>
        <w:t>相关要求</w:t>
      </w:r>
      <w:r>
        <w:rPr>
          <w:rFonts w:eastAsia="仿宋_GB2312"/>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eastAsia="仿宋_GB2312"/>
          <w:color w:val="auto"/>
          <w:sz w:val="24"/>
          <w:highlight w:val="none"/>
        </w:rPr>
      </w:pPr>
    </w:p>
    <w:p>
      <w:pPr>
        <w:keepNext w:val="0"/>
        <w:keepLines w:val="0"/>
        <w:pageBreakBefore w:val="0"/>
        <w:widowControl w:val="0"/>
        <w:kinsoku/>
        <w:wordWrap/>
        <w:overflowPunct/>
        <w:topLinePunct w:val="0"/>
        <w:autoSpaceDE/>
        <w:autoSpaceDN/>
        <w:bidi w:val="0"/>
        <w:adjustRightInd/>
        <w:snapToGrid w:val="0"/>
        <w:spacing w:after="120" w:afterLines="50" w:line="400" w:lineRule="exact"/>
        <w:ind w:firstLine="360" w:firstLineChars="150"/>
        <w:jc w:val="left"/>
        <w:textAlignment w:val="auto"/>
        <w:rPr>
          <w:rFonts w:eastAsia="仿宋_GB2312"/>
          <w:color w:val="auto"/>
          <w:sz w:val="24"/>
          <w:highlight w:val="none"/>
        </w:rPr>
      </w:pPr>
      <w:r>
        <w:rPr>
          <w:rFonts w:eastAsia="仿宋_GB2312"/>
          <w:color w:val="auto"/>
          <w:sz w:val="24"/>
          <w:highlight w:val="none"/>
        </w:rPr>
        <w:t>1、交货时间：</w:t>
      </w:r>
      <w:r>
        <w:rPr>
          <w:rFonts w:hint="eastAsia" w:ascii="仿宋" w:hAnsi="仿宋" w:eastAsia="仿宋" w:cs="仿宋"/>
          <w:color w:val="auto"/>
          <w:sz w:val="24"/>
          <w:highlight w:val="none"/>
          <w:lang w:eastAsia="zh-CN"/>
        </w:rPr>
        <w:t>自合同签订之日起</w:t>
      </w:r>
      <w:r>
        <w:rPr>
          <w:rFonts w:hint="eastAsia" w:ascii="仿宋" w:hAnsi="仿宋" w:eastAsia="仿宋" w:cs="仿宋"/>
          <w:b/>
          <w:bCs/>
          <w:color w:val="auto"/>
          <w:sz w:val="24"/>
          <w:highlight w:val="none"/>
          <w:u w:val="single"/>
          <w:lang w:val="en-US" w:eastAsia="zh-CN"/>
        </w:rPr>
        <w:t>15</w:t>
      </w:r>
      <w:r>
        <w:rPr>
          <w:rFonts w:hint="eastAsia" w:ascii="仿宋" w:hAnsi="仿宋" w:eastAsia="仿宋" w:cs="仿宋"/>
          <w:color w:val="auto"/>
          <w:sz w:val="24"/>
          <w:highlight w:val="none"/>
          <w:lang w:eastAsia="zh-CN"/>
        </w:rPr>
        <w:t>日历天</w:t>
      </w:r>
    </w:p>
    <w:p>
      <w:pPr>
        <w:keepNext w:val="0"/>
        <w:keepLines w:val="0"/>
        <w:pageBreakBefore w:val="0"/>
        <w:widowControl w:val="0"/>
        <w:kinsoku/>
        <w:wordWrap/>
        <w:overflowPunct/>
        <w:topLinePunct w:val="0"/>
        <w:autoSpaceDE/>
        <w:autoSpaceDN/>
        <w:bidi w:val="0"/>
        <w:adjustRightInd/>
        <w:snapToGrid w:val="0"/>
        <w:spacing w:after="120" w:afterLines="50" w:line="400" w:lineRule="exact"/>
        <w:ind w:firstLine="360" w:firstLineChars="150"/>
        <w:jc w:val="left"/>
        <w:textAlignment w:val="auto"/>
        <w:rPr>
          <w:rFonts w:eastAsia="仿宋_GB2312"/>
          <w:color w:val="auto"/>
          <w:sz w:val="24"/>
          <w:highlight w:val="none"/>
        </w:rPr>
      </w:pPr>
      <w:r>
        <w:rPr>
          <w:rFonts w:eastAsia="仿宋_GB2312"/>
          <w:color w:val="auto"/>
          <w:sz w:val="24"/>
          <w:highlight w:val="none"/>
        </w:rPr>
        <w:t>2、交货地点：</w:t>
      </w:r>
      <w:r>
        <w:rPr>
          <w:rFonts w:hint="eastAsia" w:eastAsia="仿宋_GB2312"/>
          <w:color w:val="auto"/>
          <w:sz w:val="24"/>
          <w:highlight w:val="none"/>
          <w:lang w:val="en-US" w:eastAsia="zh-CN"/>
        </w:rPr>
        <w:t>采购人指定地点</w:t>
      </w:r>
    </w:p>
    <w:p>
      <w:pPr>
        <w:keepNext w:val="0"/>
        <w:keepLines w:val="0"/>
        <w:pageBreakBefore w:val="0"/>
        <w:widowControl w:val="0"/>
        <w:kinsoku/>
        <w:wordWrap/>
        <w:overflowPunct/>
        <w:topLinePunct w:val="0"/>
        <w:autoSpaceDE/>
        <w:autoSpaceDN/>
        <w:bidi w:val="0"/>
        <w:adjustRightInd/>
        <w:snapToGrid w:val="0"/>
        <w:spacing w:after="120" w:afterLines="50" w:line="400" w:lineRule="exact"/>
        <w:ind w:firstLine="360" w:firstLineChars="150"/>
        <w:jc w:val="left"/>
        <w:textAlignment w:val="auto"/>
        <w:rPr>
          <w:rFonts w:eastAsia="仿宋_GB2312"/>
          <w:color w:val="auto"/>
          <w:sz w:val="24"/>
          <w:highlight w:val="none"/>
        </w:rPr>
      </w:pPr>
      <w:r>
        <w:rPr>
          <w:rFonts w:eastAsia="仿宋_GB2312"/>
          <w:color w:val="auto"/>
          <w:sz w:val="24"/>
          <w:highlight w:val="none"/>
        </w:rPr>
        <w:t>3、服务标准和要求：符合国家及行业相关标准</w:t>
      </w:r>
    </w:p>
    <w:p>
      <w:pPr>
        <w:keepNext w:val="0"/>
        <w:keepLines w:val="0"/>
        <w:pageBreakBefore w:val="0"/>
        <w:widowControl w:val="0"/>
        <w:kinsoku/>
        <w:wordWrap/>
        <w:overflowPunct/>
        <w:topLinePunct w:val="0"/>
        <w:autoSpaceDE/>
        <w:autoSpaceDN/>
        <w:bidi w:val="0"/>
        <w:adjustRightInd/>
        <w:snapToGrid w:val="0"/>
        <w:spacing w:after="120" w:afterLines="50" w:line="400" w:lineRule="exact"/>
        <w:ind w:firstLine="360" w:firstLineChars="150"/>
        <w:jc w:val="left"/>
        <w:textAlignment w:val="auto"/>
        <w:rPr>
          <w:rFonts w:eastAsia="仿宋_GB2312"/>
          <w:color w:val="auto"/>
          <w:sz w:val="24"/>
          <w:highlight w:val="none"/>
        </w:rPr>
      </w:pPr>
      <w:r>
        <w:rPr>
          <w:rFonts w:eastAsia="仿宋_GB2312"/>
          <w:color w:val="auto"/>
          <w:sz w:val="24"/>
          <w:highlight w:val="none"/>
        </w:rPr>
        <w:t>4、验收标准和要求：符合国家及行业相关标准</w:t>
      </w:r>
    </w:p>
    <w:p>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pPr>
        <w:pStyle w:val="67"/>
        <w:adjustRightInd w:val="0"/>
        <w:spacing w:before="314" w:beforeLines="100" w:line="360" w:lineRule="auto"/>
        <w:ind w:right="-22" w:firstLine="0" w:firstLineChars="0"/>
        <w:jc w:val="center"/>
        <w:textAlignment w:val="baseline"/>
        <w:outlineLvl w:val="0"/>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2"/>
          <w:szCs w:val="32"/>
          <w:highlight w:val="none"/>
        </w:rPr>
        <w:t xml:space="preserve">第五章  </w:t>
      </w:r>
      <w:bookmarkStart w:id="462" w:name="_Toc58504449"/>
      <w:bookmarkStart w:id="463" w:name="_Toc58504670"/>
      <w:r>
        <w:rPr>
          <w:rFonts w:hint="eastAsia" w:ascii="仿宋" w:hAnsi="仿宋" w:eastAsia="仿宋" w:cs="仿宋"/>
          <w:b/>
          <w:color w:val="auto"/>
          <w:kern w:val="0"/>
          <w:sz w:val="32"/>
          <w:szCs w:val="32"/>
          <w:highlight w:val="none"/>
        </w:rPr>
        <w:t>谈判响应文件格式</w:t>
      </w:r>
      <w:bookmarkEnd w:id="458"/>
      <w:bookmarkEnd w:id="459"/>
      <w:bookmarkEnd w:id="460"/>
      <w:bookmarkEnd w:id="461"/>
      <w:bookmarkEnd w:id="462"/>
      <w:bookmarkEnd w:id="463"/>
    </w:p>
    <w:p>
      <w:pPr>
        <w:autoSpaceDE w:val="0"/>
        <w:autoSpaceDN w:val="0"/>
        <w:adjustRightInd w:val="0"/>
        <w:snapToGrid w:val="0"/>
        <w:spacing w:line="360" w:lineRule="auto"/>
        <w:jc w:val="righ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采购项目编号：</w:t>
      </w:r>
      <w:r>
        <w:rPr>
          <w:rFonts w:hint="eastAsia" w:ascii="仿宋" w:hAnsi="仿宋" w:eastAsia="仿宋" w:cs="仿宋"/>
          <w:b/>
          <w:bCs/>
          <w:color w:val="auto"/>
          <w:sz w:val="30"/>
          <w:szCs w:val="30"/>
          <w:highlight w:val="none"/>
          <w:lang w:val="zh-CN"/>
        </w:rPr>
        <w:t>SCZB2023-JT-1595-001</w:t>
      </w:r>
    </w:p>
    <w:p>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pPr>
        <w:autoSpaceDE w:val="0"/>
        <w:autoSpaceDN w:val="0"/>
        <w:adjustRightInd w:val="0"/>
        <w:snapToGrid w:val="0"/>
        <w:spacing w:line="360" w:lineRule="auto"/>
        <w:jc w:val="center"/>
        <w:outlineLvl w:val="1"/>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西安体育局器材采购项目</w:t>
      </w: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谈判响应文件</w:t>
      </w:r>
    </w:p>
    <w:p>
      <w:pPr>
        <w:tabs>
          <w:tab w:val="left" w:pos="5670"/>
        </w:tabs>
        <w:autoSpaceDE w:val="0"/>
        <w:autoSpaceDN w:val="0"/>
        <w:adjustRightInd w:val="0"/>
        <w:snapToGrid w:val="0"/>
        <w:spacing w:line="360" w:lineRule="auto"/>
        <w:jc w:val="center"/>
        <w:outlineLvl w:val="1"/>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（资格部分）</w:t>
      </w:r>
    </w:p>
    <w:p>
      <w:pP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包号：（</w:t>
      </w:r>
      <w:r>
        <w:rPr>
          <w:rFonts w:hint="eastAsia" w:ascii="仿宋" w:hAnsi="仿宋" w:eastAsia="仿宋" w:cs="仿宋"/>
          <w:b/>
          <w:bCs/>
          <w:color w:val="auto"/>
          <w:sz w:val="32"/>
          <w:szCs w:val="32"/>
          <w:highlight w:val="none"/>
          <w:u w:val="single"/>
          <w:lang w:val="en-US" w:eastAsia="zh-CN"/>
        </w:rPr>
        <w:t xml:space="preserve">  1  或  2  </w:t>
      </w:r>
      <w:r>
        <w:rPr>
          <w:rFonts w:hint="eastAsia" w:ascii="仿宋" w:hAnsi="仿宋" w:eastAsia="仿宋" w:cs="仿宋"/>
          <w:b/>
          <w:bCs/>
          <w:color w:val="auto"/>
          <w:sz w:val="32"/>
          <w:szCs w:val="32"/>
          <w:highlight w:val="none"/>
          <w:lang w:val="en-US" w:eastAsia="zh-CN"/>
        </w:rPr>
        <w:t>）包</w:t>
      </w:r>
    </w:p>
    <w:p>
      <w:pPr>
        <w:autoSpaceDE w:val="0"/>
        <w:autoSpaceDN w:val="0"/>
        <w:adjustRightInd w:val="0"/>
        <w:snapToGrid w:val="0"/>
        <w:spacing w:line="360" w:lineRule="auto"/>
        <w:ind w:firstLine="2570" w:firstLineChars="800"/>
        <w:outlineLvl w:val="0"/>
        <w:rPr>
          <w:rFonts w:hint="default" w:ascii="仿宋" w:hAnsi="仿宋" w:eastAsia="仿宋" w:cs="仿宋"/>
          <w:b/>
          <w:bCs/>
          <w:color w:val="auto"/>
          <w:sz w:val="32"/>
          <w:szCs w:val="32"/>
          <w:highlight w:val="none"/>
          <w:lang w:val="en-US" w:eastAsia="zh-CN"/>
        </w:rPr>
      </w:pP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供应商：                   </w:t>
      </w: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时  间：                   </w:t>
      </w: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spacing w:before="260" w:after="260" w:line="416" w:lineRule="atLeas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一、身份证明文件</w:t>
      </w:r>
    </w:p>
    <w:p>
      <w:pPr>
        <w:spacing w:after="120"/>
        <w:rPr>
          <w:rFonts w:hint="eastAsia" w:ascii="仿宋" w:hAnsi="仿宋" w:eastAsia="仿宋" w:cs="仿宋"/>
          <w:color w:val="auto"/>
          <w:highlight w:val="none"/>
        </w:rPr>
      </w:pPr>
    </w:p>
    <w:p>
      <w:pPr>
        <w:tabs>
          <w:tab w:val="left" w:pos="588"/>
        </w:tabs>
        <w:spacing w:line="360" w:lineRule="auto"/>
        <w:jc w:val="center"/>
        <w:outlineLvl w:val="2"/>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zh-CN"/>
        </w:rPr>
        <w:t>1、法定代表人（或单位负责人）授权书</w:t>
      </w:r>
    </w:p>
    <w:p>
      <w:pPr>
        <w:autoSpaceDE w:val="0"/>
        <w:autoSpaceDN w:val="0"/>
        <w:adjustRightInd w:val="0"/>
        <w:spacing w:line="348" w:lineRule="auto"/>
        <w:ind w:firstLine="400"/>
        <w:rPr>
          <w:rFonts w:hint="eastAsia" w:ascii="仿宋" w:hAnsi="仿宋" w:eastAsia="仿宋" w:cs="仿宋"/>
          <w:b/>
          <w:bCs/>
          <w:color w:val="auto"/>
          <w:sz w:val="20"/>
          <w:highlight w:val="none"/>
        </w:rPr>
      </w:pPr>
    </w:p>
    <w:p>
      <w:pPr>
        <w:autoSpaceDE w:val="0"/>
        <w:autoSpaceDN w:val="0"/>
        <w:adjustRightInd w:val="0"/>
        <w:spacing w:line="34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陕西省采购招标有限责任公司：</w:t>
      </w:r>
    </w:p>
    <w:p>
      <w:pPr>
        <w:autoSpaceDE w:val="0"/>
        <w:autoSpaceDN w:val="0"/>
        <w:adjustRightInd w:val="0"/>
        <w:spacing w:line="348" w:lineRule="auto"/>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注册于</w:t>
      </w:r>
      <w:r>
        <w:rPr>
          <w:rFonts w:hint="eastAsia" w:ascii="仿宋" w:hAnsi="仿宋" w:eastAsia="仿宋" w:cs="仿宋"/>
          <w:color w:val="auto"/>
          <w:sz w:val="24"/>
          <w:highlight w:val="none"/>
          <w:u w:val="single"/>
          <w:lang w:val="zh-CN"/>
        </w:rPr>
        <w:t>（工商行政管理局名称）</w:t>
      </w:r>
      <w:r>
        <w:rPr>
          <w:rFonts w:hint="eastAsia" w:ascii="仿宋" w:hAnsi="仿宋" w:eastAsia="仿宋" w:cs="仿宋"/>
          <w:color w:val="auto"/>
          <w:sz w:val="24"/>
          <w:highlight w:val="none"/>
          <w:lang w:val="zh-CN"/>
        </w:rPr>
        <w:t>之</w:t>
      </w:r>
      <w:r>
        <w:rPr>
          <w:rFonts w:hint="eastAsia" w:ascii="仿宋" w:hAnsi="仿宋" w:eastAsia="仿宋" w:cs="仿宋"/>
          <w:color w:val="auto"/>
          <w:sz w:val="24"/>
          <w:highlight w:val="none"/>
          <w:u w:val="single"/>
          <w:lang w:val="zh-CN"/>
        </w:rPr>
        <w:t>（供应商全称）</w:t>
      </w:r>
      <w:r>
        <w:rPr>
          <w:rFonts w:hint="eastAsia" w:ascii="仿宋" w:hAnsi="仿宋" w:eastAsia="仿宋" w:cs="仿宋"/>
          <w:color w:val="auto"/>
          <w:sz w:val="24"/>
          <w:highlight w:val="none"/>
          <w:lang w:val="zh-CN"/>
        </w:rPr>
        <w:t>法人代表</w:t>
      </w:r>
      <w:r>
        <w:rPr>
          <w:rFonts w:hint="eastAsia" w:ascii="仿宋" w:hAnsi="仿宋" w:eastAsia="仿宋" w:cs="仿宋"/>
          <w:color w:val="auto"/>
          <w:sz w:val="24"/>
          <w:highlight w:val="none"/>
          <w:u w:val="single"/>
          <w:lang w:val="zh-CN"/>
        </w:rPr>
        <w:t>（姓名、职务）</w:t>
      </w:r>
      <w:r>
        <w:rPr>
          <w:rFonts w:hint="eastAsia" w:ascii="仿宋" w:hAnsi="仿宋" w:eastAsia="仿宋" w:cs="仿宋"/>
          <w:color w:val="auto"/>
          <w:sz w:val="24"/>
          <w:highlight w:val="none"/>
          <w:lang w:val="zh-CN"/>
        </w:rPr>
        <w:t>授权</w:t>
      </w:r>
      <w:r>
        <w:rPr>
          <w:rFonts w:hint="eastAsia" w:ascii="仿宋" w:hAnsi="仿宋" w:eastAsia="仿宋" w:cs="仿宋"/>
          <w:color w:val="auto"/>
          <w:sz w:val="24"/>
          <w:highlight w:val="none"/>
          <w:u w:val="single"/>
          <w:lang w:val="zh-CN"/>
        </w:rPr>
        <w:t>（被授权人姓名、职务）</w:t>
      </w:r>
      <w:r>
        <w:rPr>
          <w:rFonts w:hint="eastAsia" w:ascii="仿宋" w:hAnsi="仿宋" w:eastAsia="仿宋" w:cs="仿宋"/>
          <w:color w:val="auto"/>
          <w:sz w:val="24"/>
          <w:highlight w:val="none"/>
          <w:lang w:val="zh-CN"/>
        </w:rPr>
        <w:t>为本公司的合法代理人，就</w:t>
      </w:r>
      <w:r>
        <w:rPr>
          <w:rFonts w:hint="eastAsia" w:ascii="仿宋" w:hAnsi="仿宋" w:eastAsia="仿宋" w:cs="仿宋"/>
          <w:color w:val="auto"/>
          <w:sz w:val="24"/>
          <w:highlight w:val="none"/>
          <w:u w:val="single"/>
          <w:lang w:val="zh-CN"/>
        </w:rPr>
        <w:t>（项目名称）、包号：（     ）包</w:t>
      </w:r>
      <w:r>
        <w:rPr>
          <w:rFonts w:hint="eastAsia" w:ascii="仿宋" w:hAnsi="仿宋" w:eastAsia="仿宋" w:cs="仿宋"/>
          <w:color w:val="auto"/>
          <w:sz w:val="24"/>
          <w:highlight w:val="none"/>
          <w:lang w:val="zh-CN"/>
        </w:rPr>
        <w:t>的谈判及合同的执行和完成，以本公司的名义处理一切与之有关的事宜。</w:t>
      </w:r>
    </w:p>
    <w:p>
      <w:pPr>
        <w:snapToGrid w:val="0"/>
        <w:spacing w:line="360" w:lineRule="auto"/>
        <w:ind w:firstLine="480" w:firstLineChars="200"/>
        <w:rPr>
          <w:rFonts w:hint="eastAsia" w:ascii="仿宋" w:hAnsi="仿宋" w:eastAsia="仿宋" w:cs="仿宋"/>
          <w:b/>
          <w:bCs/>
          <w:color w:val="auto"/>
          <w:sz w:val="24"/>
          <w:highlight w:val="none"/>
          <w:lang w:val="zh-CN"/>
        </w:rPr>
      </w:pPr>
      <w:r>
        <w:rPr>
          <w:rFonts w:hint="eastAsia" w:ascii="仿宋" w:hAnsi="仿宋" w:eastAsia="仿宋" w:cs="仿宋"/>
          <w:color w:val="auto"/>
          <w:sz w:val="24"/>
          <w:highlight w:val="none"/>
          <w:lang w:val="zh-CN"/>
        </w:rPr>
        <w:t>本授权自</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日起生效。（</w:t>
      </w:r>
      <w:r>
        <w:rPr>
          <w:rFonts w:hint="eastAsia" w:ascii="仿宋" w:hAnsi="仿宋" w:eastAsia="仿宋" w:cs="仿宋"/>
          <w:b/>
          <w:color w:val="auto"/>
          <w:sz w:val="24"/>
          <w:highlight w:val="none"/>
          <w:lang w:val="zh-CN"/>
        </w:rPr>
        <w:t>提示：此日期不应晚于谈判响应函签署日期</w:t>
      </w:r>
      <w:r>
        <w:rPr>
          <w:rFonts w:hint="eastAsia" w:ascii="仿宋" w:hAnsi="仿宋" w:eastAsia="仿宋" w:cs="仿宋"/>
          <w:color w:val="auto"/>
          <w:sz w:val="24"/>
          <w:highlight w:val="none"/>
          <w:lang w:val="zh-CN"/>
        </w:rPr>
        <w:t>）</w:t>
      </w:r>
    </w:p>
    <w:p>
      <w:pPr>
        <w:autoSpaceDE w:val="0"/>
        <w:autoSpaceDN w:val="0"/>
        <w:adjustRightInd w:val="0"/>
        <w:spacing w:line="348" w:lineRule="auto"/>
        <w:rPr>
          <w:rFonts w:hint="eastAsia" w:ascii="仿宋" w:hAnsi="仿宋" w:eastAsia="仿宋" w:cs="仿宋"/>
          <w:color w:val="auto"/>
          <w:sz w:val="24"/>
          <w:highlight w:val="none"/>
        </w:rPr>
      </w:pPr>
    </w:p>
    <w:p>
      <w:pPr>
        <w:autoSpaceDE w:val="0"/>
        <w:autoSpaceDN w:val="0"/>
        <w:adjustRightInd w:val="0"/>
        <w:spacing w:line="348"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附：</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被授权人姓名：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年龄：</w:t>
      </w:r>
      <w:r>
        <w:rPr>
          <w:rFonts w:hint="eastAsia" w:ascii="仿宋" w:hAnsi="仿宋" w:eastAsia="仿宋" w:cs="仿宋"/>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u w:val="single"/>
        </w:rPr>
        <w:t xml:space="preserve">           </w:t>
      </w:r>
    </w:p>
    <w:p>
      <w:pPr>
        <w:autoSpaceDE w:val="0"/>
        <w:autoSpaceDN w:val="0"/>
        <w:adjustRightInd w:val="0"/>
        <w:spacing w:line="348" w:lineRule="auto"/>
        <w:rPr>
          <w:rFonts w:hint="eastAsia" w:ascii="仿宋" w:hAnsi="仿宋" w:eastAsia="仿宋" w:cs="仿宋"/>
          <w:color w:val="auto"/>
          <w:sz w:val="24"/>
          <w:highlight w:val="none"/>
        </w:rPr>
      </w:pPr>
    </w:p>
    <w:p>
      <w:pPr>
        <w:autoSpaceDE w:val="0"/>
        <w:autoSpaceDN w:val="0"/>
        <w:adjustRightInd w:val="0"/>
        <w:spacing w:line="34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pPr>
              <w:autoSpaceDE w:val="0"/>
              <w:autoSpaceDN w:val="0"/>
              <w:adjustRightInd w:val="0"/>
              <w:spacing w:line="348"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授权代表身份证复印件</w:t>
            </w:r>
          </w:p>
          <w:p>
            <w:pPr>
              <w:autoSpaceDE w:val="0"/>
              <w:autoSpaceDN w:val="0"/>
              <w:adjustRightInd w:val="0"/>
              <w:spacing w:line="348"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adjustRightInd w:val="0"/>
        <w:snapToGrid w:val="0"/>
        <w:spacing w:line="360" w:lineRule="auto"/>
        <w:ind w:firstLine="480" w:firstLineChars="200"/>
        <w:rPr>
          <w:rFonts w:hint="eastAsia" w:ascii="仿宋" w:hAnsi="仿宋" w:eastAsia="仿宋" w:cs="仿宋"/>
          <w:color w:val="auto"/>
          <w:sz w:val="24"/>
          <w:highlight w:val="none"/>
        </w:rPr>
      </w:pP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 （盖公章）：               </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法定代表人（或单位负责人）（签字或盖章）：</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w:t>
      </w:r>
      <w:r>
        <w:rPr>
          <w:rFonts w:hint="eastAsia" w:ascii="仿宋" w:hAnsi="仿宋" w:eastAsia="仿宋" w:cs="仿宋"/>
          <w:color w:val="auto"/>
          <w:sz w:val="24"/>
          <w:highlight w:val="none"/>
          <w:lang w:eastAsia="zh-CN"/>
        </w:rPr>
        <w:t>参加竞争性谈判</w:t>
      </w:r>
      <w:r>
        <w:rPr>
          <w:rFonts w:hint="eastAsia" w:ascii="仿宋" w:hAnsi="仿宋" w:eastAsia="仿宋" w:cs="仿宋"/>
          <w:color w:val="auto"/>
          <w:sz w:val="24"/>
          <w:highlight w:val="none"/>
        </w:rPr>
        <w:t>的或法定代表人</w:t>
      </w:r>
      <w:r>
        <w:rPr>
          <w:rFonts w:hint="eastAsia" w:ascii="仿宋" w:hAnsi="仿宋" w:eastAsia="仿宋" w:cs="仿宋"/>
          <w:color w:val="auto"/>
          <w:sz w:val="24"/>
          <w:highlight w:val="none"/>
          <w:lang w:eastAsia="zh-CN"/>
        </w:rPr>
        <w:t>参加竞争性谈判</w:t>
      </w:r>
      <w:r>
        <w:rPr>
          <w:rFonts w:hint="eastAsia" w:ascii="仿宋" w:hAnsi="仿宋" w:eastAsia="仿宋" w:cs="仿宋"/>
          <w:color w:val="auto"/>
          <w:sz w:val="24"/>
          <w:highlight w:val="none"/>
        </w:rPr>
        <w:t>的无需提供</w:t>
      </w:r>
    </w:p>
    <w:p>
      <w:pPr>
        <w:spacing w:after="120"/>
        <w:rPr>
          <w:rFonts w:hint="eastAsia" w:ascii="仿宋" w:hAnsi="仿宋" w:eastAsia="仿宋" w:cs="仿宋"/>
          <w:color w:val="auto"/>
          <w:highlight w:val="none"/>
        </w:rPr>
      </w:pPr>
      <w:r>
        <w:rPr>
          <w:rFonts w:hint="eastAsia" w:ascii="仿宋" w:hAnsi="仿宋" w:eastAsia="仿宋" w:cs="仿宋"/>
          <w:color w:val="auto"/>
          <w:highlight w:val="none"/>
        </w:rPr>
        <w:br w:type="page"/>
      </w:r>
    </w:p>
    <w:p>
      <w:pPr>
        <w:tabs>
          <w:tab w:val="left" w:pos="588"/>
        </w:tabs>
        <w:spacing w:line="360" w:lineRule="auto"/>
        <w:jc w:val="center"/>
        <w:outlineLvl w:val="2"/>
        <w:rPr>
          <w:rFonts w:hint="eastAsia" w:ascii="仿宋" w:hAnsi="仿宋" w:eastAsia="仿宋" w:cs="仿宋"/>
          <w:b/>
          <w:bCs/>
          <w:color w:val="auto"/>
          <w:sz w:val="28"/>
          <w:szCs w:val="36"/>
          <w:highlight w:val="none"/>
          <w:lang w:val="zh-CN"/>
        </w:rPr>
      </w:pPr>
      <w:r>
        <w:rPr>
          <w:rFonts w:hint="eastAsia" w:ascii="仿宋" w:hAnsi="仿宋" w:eastAsia="仿宋" w:cs="仿宋"/>
          <w:b/>
          <w:bCs/>
          <w:color w:val="auto"/>
          <w:sz w:val="28"/>
          <w:szCs w:val="36"/>
          <w:highlight w:val="none"/>
          <w:lang w:val="zh-CN"/>
        </w:rPr>
        <w:t>2、法定代表人（或单位负责人）身份证明</w:t>
      </w: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单位性质：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地    址： </w:t>
      </w:r>
      <w:r>
        <w:rPr>
          <w:rFonts w:hint="eastAsia" w:ascii="仿宋" w:hAnsi="仿宋" w:eastAsia="仿宋" w:cs="仿宋"/>
          <w:color w:val="auto"/>
          <w:kern w:val="0"/>
          <w:sz w:val="24"/>
          <w:highlight w:val="none"/>
          <w:u w:val="single"/>
        </w:rPr>
        <w:t xml:space="preserve">                       </w:t>
      </w:r>
    </w:p>
    <w:p>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经营期限：</w:t>
      </w: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职务：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（供应商名称）的法定代表人。</w:t>
      </w:r>
    </w:p>
    <w:p>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jc w:val="left"/>
        <w:rPr>
          <w:rFonts w:hint="eastAsia" w:ascii="仿宋" w:hAnsi="仿宋" w:eastAsia="仿宋" w:cs="仿宋"/>
          <w:color w:val="auto"/>
          <w:kern w:val="0"/>
          <w:sz w:val="24"/>
          <w:highlight w:val="none"/>
        </w:rPr>
      </w:pPr>
    </w:p>
    <w:p>
      <w:pPr>
        <w:autoSpaceDE w:val="0"/>
        <w:autoSpaceDN w:val="0"/>
        <w:adjustRightInd w:val="0"/>
        <w:spacing w:line="360" w:lineRule="auto"/>
        <w:ind w:left="5399" w:leftChars="257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供应商（盖公章）：           </w:t>
      </w:r>
    </w:p>
    <w:p>
      <w:pPr>
        <w:autoSpaceDE w:val="0"/>
        <w:autoSpaceDN w:val="0"/>
        <w:adjustRightInd w:val="0"/>
        <w:spacing w:line="360" w:lineRule="auto"/>
        <w:ind w:left="5399" w:leftChars="2571"/>
        <w:jc w:val="left"/>
        <w:rPr>
          <w:rFonts w:hint="eastAsia" w:ascii="仿宋" w:hAnsi="仿宋" w:eastAsia="仿宋" w:cs="仿宋"/>
          <w:color w:val="auto"/>
          <w:kern w:val="0"/>
          <w:sz w:val="24"/>
          <w:highlight w:val="none"/>
        </w:rPr>
      </w:pPr>
    </w:p>
    <w:p>
      <w:pPr>
        <w:autoSpaceDE w:val="0"/>
        <w:autoSpaceDN w:val="0"/>
        <w:adjustRightInd w:val="0"/>
        <w:spacing w:line="360" w:lineRule="auto"/>
        <w:ind w:left="6659" w:leftChars="317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年   月   日</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jc w:val="center"/>
        <w:rPr>
          <w:rFonts w:hint="eastAsia" w:ascii="仿宋" w:hAnsi="仿宋" w:eastAsia="仿宋" w:cs="仿宋"/>
          <w:b/>
          <w:color w:val="auto"/>
          <w:sz w:val="28"/>
          <w:szCs w:val="28"/>
          <w:highlight w:val="none"/>
        </w:rPr>
      </w:pPr>
      <w:bookmarkStart w:id="464" w:name="_Toc60929129"/>
      <w:r>
        <w:rPr>
          <w:rFonts w:hint="eastAsia" w:ascii="仿宋" w:hAnsi="仿宋" w:eastAsia="仿宋" w:cs="仿宋"/>
          <w:b/>
          <w:color w:val="auto"/>
          <w:sz w:val="28"/>
          <w:szCs w:val="28"/>
          <w:highlight w:val="none"/>
        </w:rPr>
        <w:t>3、授权代表本单位证明</w:t>
      </w:r>
      <w:bookmarkEnd w:id="464"/>
    </w:p>
    <w:p>
      <w:pPr>
        <w:spacing w:after="120"/>
        <w:rPr>
          <w:rFonts w:hint="eastAsia" w:ascii="仿宋" w:hAnsi="仿宋" w:eastAsia="仿宋" w:cs="仿宋"/>
          <w:color w:val="auto"/>
          <w:highlight w:val="none"/>
        </w:rPr>
      </w:pPr>
    </w:p>
    <w:p>
      <w:pPr>
        <w:autoSpaceDE w:val="0"/>
        <w:autoSpaceDN w:val="0"/>
        <w:adjustRightInd w:val="0"/>
        <w:spacing w:line="348"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养老保险缴纳证明或劳动合同复印件</w:t>
      </w:r>
      <w:r>
        <w:rPr>
          <w:rFonts w:hint="eastAsia" w:ascii="仿宋" w:hAnsi="仿宋" w:eastAsia="仿宋" w:cs="仿宋"/>
          <w:color w:val="auto"/>
          <w:sz w:val="28"/>
          <w:szCs w:val="28"/>
          <w:highlight w:val="none"/>
          <w:lang w:val="zh-CN"/>
        </w:rPr>
        <w:t>）</w:t>
      </w:r>
    </w:p>
    <w:p>
      <w:pPr>
        <w:autoSpaceDE w:val="0"/>
        <w:autoSpaceDN w:val="0"/>
        <w:adjustRightInd w:val="0"/>
        <w:spacing w:line="348" w:lineRule="auto"/>
        <w:jc w:val="center"/>
        <w:rPr>
          <w:rFonts w:hint="eastAsia" w:ascii="仿宋" w:hAnsi="仿宋" w:eastAsia="仿宋" w:cs="仿宋"/>
          <w:color w:val="auto"/>
          <w:sz w:val="28"/>
          <w:szCs w:val="28"/>
          <w:highlight w:val="none"/>
          <w:lang w:val="zh-CN"/>
        </w:rPr>
      </w:pPr>
    </w:p>
    <w:p>
      <w:pPr>
        <w:autoSpaceDE w:val="0"/>
        <w:autoSpaceDN w:val="0"/>
        <w:adjustRightInd w:val="0"/>
        <w:spacing w:line="348" w:lineRule="auto"/>
        <w:jc w:val="center"/>
        <w:rPr>
          <w:rFonts w:hint="eastAsia" w:ascii="仿宋" w:hAnsi="仿宋" w:eastAsia="仿宋" w:cs="仿宋"/>
          <w:color w:val="auto"/>
          <w:sz w:val="28"/>
          <w:szCs w:val="28"/>
          <w:highlight w:val="none"/>
          <w:lang w:val="zh-CN"/>
        </w:rPr>
      </w:pPr>
    </w:p>
    <w:p>
      <w:pPr>
        <w:autoSpaceDE w:val="0"/>
        <w:autoSpaceDN w:val="0"/>
        <w:adjustRightInd w:val="0"/>
        <w:spacing w:line="348" w:lineRule="auto"/>
        <w:jc w:val="center"/>
        <w:rPr>
          <w:rFonts w:hint="eastAsia" w:ascii="仿宋" w:hAnsi="仿宋" w:eastAsia="仿宋" w:cs="仿宋"/>
          <w:color w:val="auto"/>
          <w:sz w:val="28"/>
          <w:szCs w:val="28"/>
          <w:highlight w:val="none"/>
          <w:lang w:val="zh-CN"/>
        </w:rPr>
      </w:pPr>
    </w:p>
    <w:p>
      <w:pPr>
        <w:pStyle w:val="22"/>
        <w:rPr>
          <w:rFonts w:hint="eastAsia" w:ascii="仿宋" w:hAnsi="仿宋" w:eastAsia="仿宋" w:cs="仿宋"/>
          <w:color w:val="auto"/>
          <w:highlight w:val="none"/>
        </w:rPr>
      </w:pPr>
    </w:p>
    <w:p>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pPr>
        <w:pStyle w:val="3"/>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二、资格证明文件</w:t>
      </w:r>
    </w:p>
    <w:p>
      <w:pPr>
        <w:pStyle w:val="22"/>
        <w:rPr>
          <w:rFonts w:hint="eastAsia" w:ascii="仿宋" w:hAnsi="仿宋" w:eastAsia="仿宋" w:cs="仿宋"/>
          <w:color w:val="auto"/>
          <w:highlight w:val="none"/>
        </w:rPr>
      </w:pPr>
    </w:p>
    <w:p>
      <w:pPr>
        <w:tabs>
          <w:tab w:val="left" w:pos="993"/>
          <w:tab w:val="left" w:pos="1030"/>
          <w:tab w:val="left" w:pos="8364"/>
        </w:tabs>
        <w:snapToGrid w:val="0"/>
        <w:spacing w:after="157"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供应商的企业法人营业执照副本复印件（格式要求见附件6-1）；</w:t>
      </w:r>
    </w:p>
    <w:p>
      <w:pPr>
        <w:tabs>
          <w:tab w:val="left" w:pos="993"/>
          <w:tab w:val="left" w:pos="1030"/>
          <w:tab w:val="left" w:pos="8364"/>
        </w:tabs>
        <w:snapToGrid w:val="0"/>
        <w:spacing w:after="157"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供应商上一年度经审计的财务报表复印件（包括资产负债表、现金流量表、利润表），或本年度基本开户银行出具的资信证明（格式要求见附件6-2）；</w:t>
      </w:r>
    </w:p>
    <w:p>
      <w:pPr>
        <w:tabs>
          <w:tab w:val="left" w:pos="993"/>
          <w:tab w:val="left" w:pos="1030"/>
          <w:tab w:val="left" w:pos="8364"/>
        </w:tabs>
        <w:snapToGrid w:val="0"/>
        <w:spacing w:after="157"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依法缴纳税收和社会保障资金的证明材料复印件（格式见附件6-3、6-4）；</w:t>
      </w:r>
    </w:p>
    <w:p>
      <w:pPr>
        <w:tabs>
          <w:tab w:val="left" w:pos="993"/>
          <w:tab w:val="left" w:pos="1030"/>
          <w:tab w:val="left" w:pos="8364"/>
        </w:tabs>
        <w:snapToGrid w:val="0"/>
        <w:spacing w:after="157"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 具备履行合同所必需的设备和专业技术能力的承诺原件（格式见附件6-5）；</w:t>
      </w:r>
    </w:p>
    <w:p>
      <w:pPr>
        <w:tabs>
          <w:tab w:val="left" w:pos="993"/>
          <w:tab w:val="left" w:pos="1030"/>
          <w:tab w:val="left" w:pos="8364"/>
        </w:tabs>
        <w:snapToGrid w:val="0"/>
        <w:spacing w:after="157"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 供应商参加政府采购活动前3年内在经营活动中没有重大违法记录的书面声明原件（格式见附件6-6）；</w:t>
      </w:r>
    </w:p>
    <w:p>
      <w:pPr>
        <w:tabs>
          <w:tab w:val="left" w:pos="993"/>
          <w:tab w:val="left" w:pos="1030"/>
          <w:tab w:val="left" w:pos="8364"/>
        </w:tabs>
        <w:snapToGrid w:val="0"/>
        <w:spacing w:after="157"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 供应商控股股东名称、控股公司的名称和存在管理、被管理关系的单位名称说明（格式见附件6-7）；</w:t>
      </w:r>
    </w:p>
    <w:p>
      <w:pPr>
        <w:tabs>
          <w:tab w:val="left" w:pos="993"/>
          <w:tab w:val="left" w:pos="1030"/>
          <w:tab w:val="left" w:pos="8364"/>
        </w:tabs>
        <w:snapToGrid w:val="0"/>
        <w:spacing w:after="157"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 供应商是否属于为本项目提供整体设计、规范编制或者项目管理、监理、检测等服务的供应商声明原件（格式见附件6-8）；</w:t>
      </w:r>
    </w:p>
    <w:p>
      <w:pPr>
        <w:pStyle w:val="22"/>
        <w:ind w:left="1134"/>
        <w:rPr>
          <w:rFonts w:hint="eastAsia" w:ascii="仿宋" w:hAnsi="仿宋" w:eastAsia="仿宋" w:cs="仿宋"/>
          <w:color w:val="auto"/>
          <w:sz w:val="24"/>
          <w:highlight w:val="none"/>
        </w:rPr>
      </w:pPr>
    </w:p>
    <w:p>
      <w:pPr>
        <w:adjustRightInd w:val="0"/>
        <w:spacing w:line="360" w:lineRule="auto"/>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以上提供的扫描件、复印件必须加盖供应商公章。</w:t>
      </w:r>
    </w:p>
    <w:p>
      <w:pPr>
        <w:pStyle w:val="22"/>
        <w:rPr>
          <w:rFonts w:hint="eastAsia" w:ascii="仿宋" w:hAnsi="仿宋" w:eastAsia="仿宋" w:cs="仿宋"/>
          <w:color w:val="auto"/>
          <w:sz w:val="24"/>
          <w:highlight w:val="none"/>
        </w:rPr>
      </w:pPr>
      <w:r>
        <w:rPr>
          <w:rFonts w:hint="eastAsia" w:ascii="仿宋" w:hAnsi="仿宋" w:eastAsia="仿宋" w:cs="仿宋"/>
          <w:color w:val="auto"/>
          <w:highlight w:val="none"/>
        </w:rPr>
        <w:br w:type="page"/>
      </w:r>
    </w:p>
    <w:p>
      <w:pPr>
        <w:jc w:val="left"/>
        <w:outlineLvl w:val="2"/>
        <w:rPr>
          <w:rFonts w:hint="eastAsia" w:ascii="仿宋" w:hAnsi="仿宋" w:eastAsia="仿宋" w:cs="仿宋"/>
          <w:b/>
          <w:color w:val="auto"/>
          <w:sz w:val="24"/>
          <w:highlight w:val="none"/>
        </w:rPr>
      </w:pPr>
      <w:bookmarkStart w:id="465" w:name="_Toc7005120"/>
      <w:r>
        <w:rPr>
          <w:rFonts w:hint="eastAsia" w:ascii="仿宋" w:hAnsi="仿宋" w:eastAsia="仿宋" w:cs="仿宋"/>
          <w:b/>
          <w:color w:val="auto"/>
          <w:sz w:val="24"/>
          <w:highlight w:val="none"/>
        </w:rPr>
        <w:t>6-1  供应商的企业法人营业执照副本复印件（加盖公章）</w:t>
      </w:r>
      <w:bookmarkEnd w:id="465"/>
    </w:p>
    <w:p>
      <w:pPr>
        <w:jc w:val="left"/>
        <w:rPr>
          <w:rFonts w:hint="eastAsia" w:ascii="仿宋" w:hAnsi="仿宋" w:eastAsia="仿宋" w:cs="仿宋"/>
          <w:color w:val="auto"/>
          <w:sz w:val="24"/>
          <w:highlight w:val="none"/>
        </w:rPr>
      </w:pPr>
    </w:p>
    <w:p>
      <w:pPr>
        <w:tabs>
          <w:tab w:val="left" w:pos="993"/>
          <w:tab w:val="left" w:pos="1030"/>
          <w:tab w:val="left" w:pos="8364"/>
        </w:tabs>
        <w:snapToGrid w:val="0"/>
        <w:spacing w:after="157"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color w:val="auto"/>
          <w:sz w:val="28"/>
          <w:highlight w:val="none"/>
        </w:rPr>
      </w:pPr>
    </w:p>
    <w:p>
      <w:pPr>
        <w:adjustRightInd w:val="0"/>
        <w:spacing w:line="360" w:lineRule="atLeast"/>
        <w:jc w:val="left"/>
        <w:textAlignment w:val="baseline"/>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pPr>
        <w:jc w:val="left"/>
        <w:outlineLvl w:val="2"/>
        <w:rPr>
          <w:rFonts w:hint="eastAsia" w:ascii="仿宋" w:hAnsi="仿宋" w:eastAsia="仿宋" w:cs="仿宋"/>
          <w:b/>
          <w:color w:val="auto"/>
          <w:sz w:val="24"/>
          <w:highlight w:val="none"/>
        </w:rPr>
      </w:pPr>
      <w:bookmarkStart w:id="466" w:name="_Toc7005121"/>
      <w:bookmarkStart w:id="467" w:name="_Ref527015333"/>
      <w:r>
        <w:rPr>
          <w:rFonts w:hint="eastAsia" w:ascii="仿宋" w:hAnsi="仿宋" w:eastAsia="仿宋" w:cs="仿宋"/>
          <w:b/>
          <w:color w:val="auto"/>
          <w:sz w:val="24"/>
          <w:highlight w:val="none"/>
        </w:rPr>
        <w:t>6-2  上一年度经审计的财务报表</w:t>
      </w:r>
      <w:bookmarkEnd w:id="466"/>
      <w:bookmarkEnd w:id="467"/>
    </w:p>
    <w:p>
      <w:pPr>
        <w:spacing w:line="360" w:lineRule="auto"/>
        <w:rPr>
          <w:rFonts w:hint="eastAsia" w:ascii="仿宋" w:hAnsi="仿宋" w:eastAsia="仿宋" w:cs="仿宋"/>
          <w:color w:val="auto"/>
          <w:szCs w:val="21"/>
          <w:highlight w:val="none"/>
        </w:rPr>
      </w:pPr>
    </w:p>
    <w:p>
      <w:pPr>
        <w:tabs>
          <w:tab w:val="left" w:pos="993"/>
          <w:tab w:val="left" w:pos="1030"/>
          <w:tab w:val="left" w:pos="8364"/>
        </w:tabs>
        <w:snapToGrid w:val="0"/>
        <w:spacing w:after="157"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提供供应商上一年度经审计的财务报表（包括资产负债表、现金流量表、利润表）复印件或扫描件、所有复印件或扫描件需加盖单位公章。</w:t>
      </w:r>
    </w:p>
    <w:p>
      <w:pPr>
        <w:spacing w:line="360" w:lineRule="auto"/>
        <w:rPr>
          <w:rFonts w:hint="eastAsia" w:ascii="仿宋" w:hAnsi="仿宋" w:eastAsia="仿宋" w:cs="仿宋"/>
          <w:color w:val="auto"/>
          <w:szCs w:val="21"/>
          <w:highlight w:val="none"/>
        </w:rPr>
      </w:pPr>
    </w:p>
    <w:p>
      <w:pPr>
        <w:tabs>
          <w:tab w:val="left" w:pos="993"/>
          <w:tab w:val="left" w:pos="1030"/>
          <w:tab w:val="left" w:pos="8364"/>
        </w:tabs>
        <w:snapToGrid w:val="0"/>
        <w:spacing w:after="157" w:afterLines="50"/>
        <w:ind w:left="420" w:right="-57" w:rightChars="-27"/>
        <w:jc w:val="left"/>
        <w:rPr>
          <w:rFonts w:hint="eastAsia" w:ascii="仿宋" w:hAnsi="仿宋" w:eastAsia="仿宋" w:cs="仿宋"/>
          <w:b/>
          <w:color w:val="auto"/>
          <w:spacing w:val="20"/>
          <w:sz w:val="24"/>
          <w:highlight w:val="none"/>
        </w:rPr>
      </w:pPr>
    </w:p>
    <w:p>
      <w:pPr>
        <w:jc w:val="left"/>
        <w:outlineLvl w:val="2"/>
        <w:rPr>
          <w:rFonts w:hint="eastAsia" w:ascii="仿宋" w:hAnsi="仿宋" w:eastAsia="仿宋" w:cs="仿宋"/>
          <w:b/>
          <w:color w:val="auto"/>
          <w:sz w:val="24"/>
          <w:highlight w:val="none"/>
        </w:rPr>
      </w:pPr>
      <w:bookmarkStart w:id="468" w:name="_Toc7005122"/>
      <w:r>
        <w:rPr>
          <w:rFonts w:hint="eastAsia" w:ascii="仿宋" w:hAnsi="仿宋" w:eastAsia="仿宋" w:cs="仿宋"/>
          <w:b/>
          <w:color w:val="auto"/>
          <w:sz w:val="24"/>
          <w:highlight w:val="none"/>
        </w:rPr>
        <w:t>或  6-2  本年度基本开户银行出具的资信证明</w:t>
      </w:r>
      <w:bookmarkEnd w:id="468"/>
    </w:p>
    <w:p>
      <w:pPr>
        <w:spacing w:line="360" w:lineRule="auto"/>
        <w:rPr>
          <w:rFonts w:hint="eastAsia" w:ascii="仿宋" w:hAnsi="仿宋" w:eastAsia="仿宋" w:cs="仿宋"/>
          <w:color w:val="auto"/>
          <w:szCs w:val="21"/>
          <w:highlight w:val="none"/>
        </w:rPr>
      </w:pPr>
    </w:p>
    <w:p>
      <w:pPr>
        <w:widowControl/>
        <w:jc w:val="left"/>
        <w:rPr>
          <w:rFonts w:hint="eastAsia" w:ascii="仿宋" w:hAnsi="仿宋" w:eastAsia="仿宋" w:cs="仿宋"/>
          <w:b/>
          <w:color w:val="auto"/>
          <w:spacing w:val="20"/>
          <w:sz w:val="24"/>
          <w:highlight w:val="none"/>
        </w:rPr>
      </w:pPr>
    </w:p>
    <w:p>
      <w:pPr>
        <w:tabs>
          <w:tab w:val="left" w:pos="5580"/>
        </w:tabs>
        <w:spacing w:before="120" w:line="360" w:lineRule="auto"/>
        <w:ind w:firstLine="480" w:firstLineChars="200"/>
        <w:rPr>
          <w:rFonts w:hint="eastAsia" w:ascii="仿宋" w:hAnsi="仿宋" w:eastAsia="仿宋" w:cs="仿宋"/>
          <w:color w:val="auto"/>
          <w:sz w:val="24"/>
          <w:highlight w:val="none"/>
        </w:rPr>
      </w:pPr>
    </w:p>
    <w:p>
      <w:pPr>
        <w:jc w:val="left"/>
        <w:outlineLvl w:val="2"/>
        <w:rPr>
          <w:rFonts w:hint="eastAsia" w:ascii="仿宋" w:hAnsi="仿宋" w:eastAsia="仿宋" w:cs="仿宋"/>
          <w:b/>
          <w:color w:val="auto"/>
          <w:sz w:val="24"/>
          <w:highlight w:val="none"/>
        </w:rPr>
      </w:pPr>
      <w:bookmarkStart w:id="469" w:name="_Toc7005123"/>
      <w:r>
        <w:rPr>
          <w:rFonts w:hint="eastAsia" w:ascii="仿宋" w:hAnsi="仿宋" w:eastAsia="仿宋" w:cs="仿宋"/>
          <w:b/>
          <w:color w:val="auto"/>
          <w:sz w:val="24"/>
          <w:highlight w:val="none"/>
        </w:rPr>
        <w:t>6-3  依法缴纳税收的证明</w:t>
      </w:r>
      <w:bookmarkEnd w:id="469"/>
    </w:p>
    <w:p>
      <w:pPr>
        <w:tabs>
          <w:tab w:val="left" w:pos="993"/>
          <w:tab w:val="left" w:pos="1030"/>
          <w:tab w:val="left" w:pos="8364"/>
        </w:tabs>
        <w:snapToGrid w:val="0"/>
        <w:spacing w:after="157" w:afterLines="50"/>
        <w:ind w:left="420" w:right="-57" w:rightChars="-27" w:firstLine="480" w:firstLineChars="200"/>
        <w:jc w:val="left"/>
        <w:rPr>
          <w:rFonts w:hint="eastAsia" w:ascii="仿宋" w:hAnsi="仿宋" w:eastAsia="仿宋" w:cs="仿宋"/>
          <w:color w:val="auto"/>
          <w:sz w:val="24"/>
          <w:highlight w:val="none"/>
        </w:rPr>
      </w:pPr>
    </w:p>
    <w:p>
      <w:pPr>
        <w:tabs>
          <w:tab w:val="left" w:pos="993"/>
          <w:tab w:val="left" w:pos="1030"/>
          <w:tab w:val="left" w:pos="8364"/>
        </w:tabs>
        <w:snapToGrid w:val="0"/>
        <w:spacing w:after="157" w:afterLines="50"/>
        <w:ind w:right="-57" w:rightChars="-27"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tabs>
          <w:tab w:val="left" w:pos="993"/>
          <w:tab w:val="left" w:pos="1030"/>
          <w:tab w:val="left" w:pos="8364"/>
        </w:tabs>
        <w:snapToGrid w:val="0"/>
        <w:spacing w:after="157" w:afterLines="50"/>
        <w:ind w:left="479" w:leftChars="228"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1、供应商应提供自谈判响应文件递交截止时间前近六个月中任何一个月缴纳</w:t>
      </w:r>
      <w:r>
        <w:rPr>
          <w:rFonts w:hint="eastAsia" w:ascii="仿宋" w:hAnsi="仿宋" w:eastAsia="仿宋" w:cs="仿宋"/>
          <w:color w:val="auto"/>
          <w:sz w:val="24"/>
          <w:highlight w:val="none"/>
          <w:lang w:val="en-US" w:eastAsia="zh-CN"/>
        </w:rPr>
        <w:t>税收</w:t>
      </w:r>
      <w:r>
        <w:rPr>
          <w:rFonts w:hint="eastAsia" w:ascii="仿宋" w:hAnsi="仿宋" w:eastAsia="仿宋" w:cs="仿宋"/>
          <w:color w:val="auto"/>
          <w:sz w:val="24"/>
          <w:highlight w:val="none"/>
        </w:rPr>
        <w:t>的凭证，时间以税款所属时期为准（银行出具的缴税凭证或税务机关出具的证明的复印件，并加盖本单位公章）。</w:t>
      </w:r>
    </w:p>
    <w:p>
      <w:pPr>
        <w:tabs>
          <w:tab w:val="left" w:pos="993"/>
          <w:tab w:val="left" w:pos="1030"/>
          <w:tab w:val="left" w:pos="8364"/>
        </w:tabs>
        <w:snapToGrid w:val="0"/>
        <w:spacing w:after="157" w:afterLines="50"/>
        <w:ind w:right="-57" w:rightChars="-27"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2、依法免税的供应商，应提供相应文件证明其依法免税。</w:t>
      </w:r>
    </w:p>
    <w:p>
      <w:pPr>
        <w:pStyle w:val="6"/>
        <w:rPr>
          <w:rFonts w:hint="eastAsia"/>
          <w:color w:val="auto"/>
          <w:highlight w:val="none"/>
        </w:rPr>
      </w:pPr>
    </w:p>
    <w:p>
      <w:pPr>
        <w:jc w:val="left"/>
        <w:outlineLvl w:val="2"/>
        <w:rPr>
          <w:rFonts w:hint="eastAsia" w:ascii="仿宋" w:hAnsi="仿宋" w:eastAsia="仿宋" w:cs="仿宋"/>
          <w:b/>
          <w:color w:val="auto"/>
          <w:sz w:val="24"/>
          <w:highlight w:val="none"/>
        </w:rPr>
      </w:pPr>
      <w:bookmarkStart w:id="470" w:name="_Toc7005124"/>
      <w:r>
        <w:rPr>
          <w:rFonts w:hint="eastAsia" w:ascii="仿宋" w:hAnsi="仿宋" w:eastAsia="仿宋" w:cs="仿宋"/>
          <w:b/>
          <w:color w:val="auto"/>
          <w:sz w:val="24"/>
          <w:highlight w:val="none"/>
        </w:rPr>
        <w:t>6-4  社会保障资金缴纳记录</w:t>
      </w:r>
      <w:bookmarkEnd w:id="470"/>
    </w:p>
    <w:p>
      <w:pPr>
        <w:tabs>
          <w:tab w:val="left" w:pos="993"/>
          <w:tab w:val="left" w:pos="1030"/>
          <w:tab w:val="left" w:pos="8364"/>
        </w:tabs>
        <w:snapToGrid w:val="0"/>
        <w:spacing w:after="157"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cr/>
      </w:r>
      <w:r>
        <w:rPr>
          <w:rFonts w:hint="eastAsia" w:ascii="仿宋" w:hAnsi="仿宋" w:eastAsia="仿宋" w:cs="仿宋"/>
          <w:color w:val="auto"/>
          <w:sz w:val="24"/>
          <w:highlight w:val="none"/>
        </w:rPr>
        <w:t>说明：</w:t>
      </w:r>
    </w:p>
    <w:p>
      <w:pPr>
        <w:numPr>
          <w:ilvl w:val="0"/>
          <w:numId w:val="11"/>
        </w:numPr>
        <w:tabs>
          <w:tab w:val="left" w:pos="993"/>
          <w:tab w:val="left" w:pos="1030"/>
          <w:tab w:val="left" w:pos="8364"/>
        </w:tabs>
        <w:snapToGrid w:val="0"/>
        <w:spacing w:after="157"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供应商应提供自谈判响应文件递交截止时间前近六个月中至少一个月的社会缴纳社会保险的凭据（专用收据或社会保险缴纳清单），并加盖本单位公章。</w:t>
      </w:r>
    </w:p>
    <w:p>
      <w:pPr>
        <w:numPr>
          <w:ilvl w:val="0"/>
          <w:numId w:val="11"/>
        </w:numPr>
        <w:tabs>
          <w:tab w:val="left" w:pos="993"/>
          <w:tab w:val="left" w:pos="1030"/>
          <w:tab w:val="left" w:pos="8364"/>
        </w:tabs>
        <w:snapToGrid w:val="0"/>
        <w:spacing w:after="157" w:afterLines="50"/>
        <w:ind w:left="420" w:leftChars="200" w:right="-57" w:rightChars="-27"/>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不需要缴纳社会保障资金的供应商，应提供相应文件证明其不需要缴纳社会保障资金。</w:t>
      </w:r>
      <w:bookmarkStart w:id="471" w:name="_Toc7005125"/>
    </w:p>
    <w:p>
      <w:pP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p>
    <w:p>
      <w:pPr>
        <w:jc w:val="left"/>
        <w:outlineLvl w:val="2"/>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 xml:space="preserve">6-5  </w:t>
      </w:r>
      <w:r>
        <w:rPr>
          <w:rFonts w:hint="eastAsia" w:ascii="仿宋" w:hAnsi="仿宋" w:eastAsia="仿宋" w:cs="仿宋"/>
          <w:b/>
          <w:color w:val="auto"/>
          <w:sz w:val="24"/>
          <w:highlight w:val="none"/>
        </w:rPr>
        <w:t>具备履行合同所必需的设备和专业技术能力承诺书</w:t>
      </w:r>
      <w:bookmarkEnd w:id="471"/>
      <w:r>
        <w:rPr>
          <w:rFonts w:hint="eastAsia" w:ascii="仿宋" w:hAnsi="仿宋" w:eastAsia="仿宋" w:cs="仿宋"/>
          <w:b/>
          <w:color w:val="auto"/>
          <w:sz w:val="24"/>
          <w:highlight w:val="none"/>
        </w:rPr>
        <w:t xml:space="preserve">                                                                                                                                                                                                                                                                                                                                                                                                                                                                                                                                                                                                                                                                                                      </w:t>
      </w:r>
    </w:p>
    <w:p>
      <w:pPr>
        <w:ind w:firstLine="480"/>
        <w:rPr>
          <w:rFonts w:hint="eastAsia" w:ascii="仿宋" w:hAnsi="仿宋" w:eastAsia="仿宋" w:cs="仿宋"/>
          <w:color w:val="auto"/>
          <w:kern w:val="0"/>
          <w:sz w:val="24"/>
          <w:highlight w:val="none"/>
        </w:rPr>
      </w:pPr>
    </w:p>
    <w:p>
      <w:pPr>
        <w:ind w:firstLine="480"/>
        <w:rPr>
          <w:rFonts w:hint="eastAsia" w:ascii="仿宋" w:hAnsi="仿宋" w:eastAsia="仿宋" w:cs="仿宋"/>
          <w:color w:val="auto"/>
          <w:kern w:val="0"/>
          <w:sz w:val="24"/>
          <w:highlight w:val="none"/>
        </w:rPr>
      </w:pP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陕西省采购招标有限责任公司：   </w:t>
      </w:r>
    </w:p>
    <w:p>
      <w:pPr>
        <w:ind w:firstLine="480"/>
        <w:rPr>
          <w:rFonts w:hint="eastAsia" w:ascii="仿宋" w:hAnsi="仿宋" w:eastAsia="仿宋" w:cs="仿宋"/>
          <w:color w:val="auto"/>
          <w:kern w:val="0"/>
          <w:sz w:val="24"/>
          <w:highlight w:val="none"/>
        </w:rPr>
      </w:pPr>
    </w:p>
    <w:p>
      <w:pPr>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pPr>
        <w:ind w:firstLine="480"/>
        <w:rPr>
          <w:rFonts w:hint="eastAsia" w:ascii="仿宋" w:hAnsi="仿宋" w:eastAsia="仿宋" w:cs="仿宋"/>
          <w:b/>
          <w:color w:val="auto"/>
          <w:sz w:val="24"/>
          <w:highlight w:val="none"/>
        </w:rPr>
      </w:pPr>
    </w:p>
    <w:p>
      <w:pPr>
        <w:ind w:firstLine="480"/>
        <w:rPr>
          <w:rFonts w:hint="eastAsia" w:ascii="仿宋" w:hAnsi="仿宋" w:eastAsia="仿宋" w:cs="仿宋"/>
          <w:b/>
          <w:color w:val="auto"/>
          <w:sz w:val="24"/>
          <w:highlight w:val="none"/>
        </w:rPr>
      </w:pPr>
    </w:p>
    <w:p>
      <w:pPr>
        <w:ind w:firstLine="480"/>
        <w:rPr>
          <w:rFonts w:hint="eastAsia" w:ascii="仿宋" w:hAnsi="仿宋" w:eastAsia="仿宋" w:cs="仿宋"/>
          <w:b/>
          <w:color w:val="auto"/>
          <w:sz w:val="24"/>
          <w:highlight w:val="none"/>
        </w:rPr>
      </w:pP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ind w:right="280"/>
        <w:rPr>
          <w:rFonts w:hint="eastAsia" w:ascii="仿宋" w:hAnsi="仿宋" w:eastAsia="仿宋" w:cs="仿宋"/>
          <w:color w:val="auto"/>
          <w:sz w:val="24"/>
          <w:highlight w:val="none"/>
        </w:rPr>
      </w:pPr>
    </w:p>
    <w:p>
      <w:pPr>
        <w:tabs>
          <w:tab w:val="left" w:pos="5580"/>
        </w:tabs>
        <w:spacing w:before="120" w:line="360" w:lineRule="auto"/>
        <w:ind w:firstLine="480" w:firstLineChars="200"/>
        <w:rPr>
          <w:rFonts w:hint="eastAsia" w:ascii="仿宋" w:hAnsi="仿宋" w:eastAsia="仿宋" w:cs="仿宋"/>
          <w:color w:val="auto"/>
          <w:sz w:val="24"/>
          <w:highlight w:val="none"/>
        </w:rPr>
      </w:pPr>
    </w:p>
    <w:p>
      <w:pPr>
        <w:widowControl/>
        <w:jc w:val="left"/>
        <w:rPr>
          <w:rFonts w:hint="eastAsia" w:ascii="仿宋" w:hAnsi="仿宋" w:eastAsia="仿宋" w:cs="仿宋"/>
          <w:b/>
          <w:color w:val="auto"/>
          <w:sz w:val="24"/>
          <w:highlight w:val="none"/>
        </w:rPr>
      </w:pPr>
    </w:p>
    <w:p>
      <w:pPr>
        <w:pStyle w:val="67"/>
        <w:numPr>
          <w:ilvl w:val="1"/>
          <w:numId w:val="12"/>
        </w:numPr>
        <w:ind w:firstLineChars="0"/>
        <w:jc w:val="left"/>
        <w:outlineLvl w:val="2"/>
        <w:rPr>
          <w:rFonts w:hint="eastAsia" w:ascii="仿宋" w:hAnsi="仿宋" w:eastAsia="仿宋" w:cs="仿宋"/>
          <w:b/>
          <w:color w:val="auto"/>
          <w:sz w:val="24"/>
          <w:highlight w:val="none"/>
        </w:rPr>
      </w:pPr>
      <w:bookmarkStart w:id="472" w:name="_Toc7005126"/>
      <w:r>
        <w:rPr>
          <w:rFonts w:hint="eastAsia" w:ascii="仿宋" w:hAnsi="仿宋" w:eastAsia="仿宋" w:cs="仿宋"/>
          <w:b/>
          <w:color w:val="auto"/>
          <w:sz w:val="24"/>
          <w:highlight w:val="none"/>
        </w:rPr>
        <w:t xml:space="preserve">  供应商参加政府采购活动前3年内在经营活动中没有重大违法记录的书面声明（格式）</w:t>
      </w:r>
      <w:bookmarkEnd w:id="472"/>
    </w:p>
    <w:p>
      <w:pPr>
        <w:jc w:val="center"/>
        <w:rPr>
          <w:rFonts w:hint="eastAsia" w:ascii="仿宋" w:hAnsi="仿宋" w:eastAsia="仿宋" w:cs="仿宋"/>
          <w:color w:val="auto"/>
          <w:sz w:val="24"/>
          <w:highlight w:val="none"/>
        </w:rPr>
      </w:pP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声明函</w:t>
      </w:r>
    </w:p>
    <w:p>
      <w:pPr>
        <w:jc w:val="center"/>
        <w:rPr>
          <w:rFonts w:hint="eastAsia" w:ascii="仿宋" w:hAnsi="仿宋" w:eastAsia="仿宋" w:cs="仿宋"/>
          <w:color w:val="auto"/>
          <w:sz w:val="24"/>
          <w:highlight w:val="none"/>
        </w:rPr>
      </w:pPr>
    </w:p>
    <w:p>
      <w:pPr>
        <w:tabs>
          <w:tab w:val="left" w:pos="5580"/>
        </w:tabs>
        <w:spacing w:before="12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陕西省采购招标有限责任公司：  </w:t>
      </w:r>
    </w:p>
    <w:p>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tabs>
          <w:tab w:val="left" w:pos="5580"/>
        </w:tabs>
        <w:spacing w:before="120" w:line="360" w:lineRule="auto"/>
        <w:ind w:firstLine="480" w:firstLineChars="200"/>
        <w:rPr>
          <w:rFonts w:hint="eastAsia" w:ascii="仿宋" w:hAnsi="仿宋" w:eastAsia="仿宋" w:cs="仿宋"/>
          <w:color w:val="auto"/>
          <w:sz w:val="24"/>
          <w:highlight w:val="none"/>
        </w:rPr>
      </w:pP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2"/>
        <w:rPr>
          <w:rFonts w:hint="eastAsia" w:ascii="仿宋" w:hAnsi="仿宋" w:eastAsia="仿宋" w:cs="仿宋"/>
          <w:color w:val="auto"/>
          <w:highlight w:val="none"/>
        </w:rPr>
      </w:pPr>
    </w:p>
    <w:p>
      <w:pPr>
        <w:pStyle w:val="22"/>
        <w:rPr>
          <w:rFonts w:hint="eastAsia" w:ascii="仿宋" w:hAnsi="仿宋" w:eastAsia="仿宋" w:cs="仿宋"/>
          <w:color w:val="auto"/>
          <w:highlight w:val="none"/>
        </w:rPr>
      </w:pPr>
    </w:p>
    <w:p>
      <w:pPr>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pPr>
        <w:pStyle w:val="67"/>
        <w:numPr>
          <w:ilvl w:val="1"/>
          <w:numId w:val="13"/>
        </w:numPr>
        <w:ind w:firstLineChars="0"/>
        <w:jc w:val="left"/>
        <w:outlineLvl w:val="2"/>
        <w:rPr>
          <w:rFonts w:hint="eastAsia" w:ascii="仿宋" w:hAnsi="仿宋" w:eastAsia="仿宋" w:cs="仿宋"/>
          <w:b/>
          <w:color w:val="auto"/>
          <w:sz w:val="24"/>
          <w:highlight w:val="none"/>
        </w:rPr>
      </w:pPr>
      <w:bookmarkStart w:id="473" w:name="_Toc7005127"/>
      <w:r>
        <w:rPr>
          <w:rFonts w:hint="eastAsia" w:ascii="仿宋" w:hAnsi="仿宋" w:eastAsia="仿宋" w:cs="仿宋"/>
          <w:b/>
          <w:color w:val="auto"/>
          <w:sz w:val="24"/>
          <w:highlight w:val="none"/>
        </w:rPr>
        <w:t xml:space="preserve"> 供应商控股股东名称、控股公司的名称和存在管理、被管理关系的单位名称说明</w:t>
      </w:r>
      <w:bookmarkEnd w:id="473"/>
    </w:p>
    <w:p>
      <w:pPr>
        <w:ind w:firstLine="420"/>
        <w:rPr>
          <w:rFonts w:hint="eastAsia" w:ascii="仿宋" w:hAnsi="仿宋" w:eastAsia="仿宋" w:cs="仿宋"/>
          <w:color w:val="auto"/>
          <w:szCs w:val="21"/>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pPr>
        <w:pStyle w:val="22"/>
        <w:rPr>
          <w:rFonts w:hint="eastAsia" w:ascii="仿宋" w:hAnsi="仿宋" w:eastAsia="仿宋" w:cs="仿宋"/>
          <w:color w:val="auto"/>
          <w:highlight w:val="none"/>
        </w:rPr>
      </w:pPr>
    </w:p>
    <w:p>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pPr>
        <w:ind w:firstLine="426"/>
        <w:rPr>
          <w:rFonts w:hint="eastAsia" w:ascii="仿宋" w:hAnsi="仿宋" w:eastAsia="仿宋" w:cs="仿宋"/>
          <w:color w:val="auto"/>
          <w:sz w:val="24"/>
          <w:highlight w:val="none"/>
        </w:rPr>
      </w:pPr>
    </w:p>
    <w:p>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pPr>
        <w:ind w:firstLine="426"/>
        <w:rPr>
          <w:rFonts w:hint="eastAsia" w:ascii="仿宋" w:hAnsi="仿宋" w:eastAsia="仿宋" w:cs="仿宋"/>
          <w:color w:val="auto"/>
          <w:sz w:val="24"/>
          <w:highlight w:val="none"/>
        </w:rPr>
      </w:pPr>
    </w:p>
    <w:p>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pPr>
        <w:ind w:firstLine="426"/>
        <w:rPr>
          <w:rFonts w:hint="eastAsia" w:ascii="仿宋" w:hAnsi="仿宋" w:eastAsia="仿宋" w:cs="仿宋"/>
          <w:color w:val="auto"/>
          <w:sz w:val="24"/>
          <w:highlight w:val="none"/>
        </w:rPr>
      </w:pPr>
    </w:p>
    <w:p>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pPr>
        <w:ind w:firstLine="426"/>
        <w:rPr>
          <w:rFonts w:hint="eastAsia" w:ascii="仿宋" w:hAnsi="仿宋" w:eastAsia="仿宋" w:cs="仿宋"/>
          <w:color w:val="auto"/>
          <w:sz w:val="24"/>
          <w:highlight w:val="none"/>
        </w:rPr>
      </w:pPr>
    </w:p>
    <w:p>
      <w:pPr>
        <w:ind w:firstLine="426"/>
        <w:rPr>
          <w:rFonts w:hint="eastAsia" w:ascii="仿宋" w:hAnsi="仿宋" w:eastAsia="仿宋" w:cs="仿宋"/>
          <w:color w:val="auto"/>
          <w:szCs w:val="21"/>
          <w:highlight w:val="none"/>
        </w:rPr>
      </w:pP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ind w:firstLine="420" w:firstLineChars="200"/>
        <w:rPr>
          <w:rFonts w:hint="eastAsia" w:ascii="仿宋" w:hAnsi="仿宋" w:eastAsia="仿宋" w:cs="仿宋"/>
          <w:color w:val="auto"/>
          <w:szCs w:val="21"/>
          <w:highlight w:val="none"/>
        </w:rPr>
      </w:pPr>
    </w:p>
    <w:p>
      <w:pPr>
        <w:ind w:firstLine="420" w:firstLineChars="200"/>
        <w:rPr>
          <w:rFonts w:hint="eastAsia" w:ascii="仿宋" w:hAnsi="仿宋" w:eastAsia="仿宋" w:cs="仿宋"/>
          <w:color w:val="auto"/>
          <w:szCs w:val="21"/>
          <w:highlight w:val="none"/>
        </w:rPr>
      </w:pPr>
    </w:p>
    <w:p>
      <w:pPr>
        <w:pStyle w:val="67"/>
        <w:numPr>
          <w:ilvl w:val="1"/>
          <w:numId w:val="13"/>
        </w:numPr>
        <w:ind w:firstLineChars="0"/>
        <w:jc w:val="left"/>
        <w:outlineLvl w:val="2"/>
        <w:rPr>
          <w:rFonts w:hint="eastAsia" w:ascii="仿宋" w:hAnsi="仿宋" w:eastAsia="仿宋" w:cs="仿宋"/>
          <w:b/>
          <w:color w:val="auto"/>
          <w:sz w:val="24"/>
          <w:highlight w:val="none"/>
        </w:rPr>
      </w:pPr>
      <w:bookmarkStart w:id="474" w:name="_Toc7005128"/>
      <w:r>
        <w:rPr>
          <w:rFonts w:hint="eastAsia" w:ascii="仿宋" w:hAnsi="仿宋" w:eastAsia="仿宋" w:cs="仿宋"/>
          <w:b/>
          <w:color w:val="auto"/>
          <w:sz w:val="24"/>
          <w:highlight w:val="none"/>
        </w:rPr>
        <w:t xml:space="preserve"> 供应商是否属于为本项目提供整体设计、规范编制或者项目管理、监理、检测等服务的供应商声明</w:t>
      </w:r>
      <w:bookmarkEnd w:id="474"/>
    </w:p>
    <w:p>
      <w:pPr>
        <w:spacing w:line="360" w:lineRule="auto"/>
        <w:rPr>
          <w:rFonts w:hint="eastAsia" w:ascii="仿宋" w:hAnsi="仿宋" w:eastAsia="仿宋" w:cs="仿宋"/>
          <w:color w:val="auto"/>
          <w:szCs w:val="21"/>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color w:val="auto"/>
          <w:sz w:val="24"/>
          <w:highlight w:val="none"/>
          <w:u w:val="single"/>
        </w:rPr>
        <w:t xml:space="preserve"> 不属于 </w:t>
      </w:r>
      <w:r>
        <w:rPr>
          <w:rFonts w:hint="eastAsia" w:ascii="仿宋" w:hAnsi="仿宋" w:eastAsia="仿宋" w:cs="仿宋"/>
          <w:color w:val="auto"/>
          <w:sz w:val="24"/>
          <w:highlight w:val="none"/>
        </w:rPr>
        <w:t>为本项目提供整体设计、规范编制或者项目管理、监理、检测等服务的供应商。</w:t>
      </w:r>
    </w:p>
    <w:p>
      <w:pPr>
        <w:ind w:firstLine="426"/>
        <w:rPr>
          <w:rFonts w:hint="eastAsia" w:ascii="仿宋" w:hAnsi="仿宋" w:eastAsia="仿宋" w:cs="仿宋"/>
          <w:color w:val="auto"/>
          <w:szCs w:val="21"/>
          <w:highlight w:val="none"/>
        </w:rPr>
      </w:pP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pPr>
        <w:spacing w:before="260" w:after="260" w:line="416" w:lineRule="atLeas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w:t>
      </w:r>
      <w:r>
        <w:rPr>
          <w:rFonts w:hint="eastAsia" w:ascii="仿宋" w:hAnsi="仿宋" w:eastAsia="仿宋" w:cs="仿宋"/>
          <w:b/>
          <w:bCs/>
          <w:color w:val="auto"/>
          <w:sz w:val="32"/>
          <w:szCs w:val="32"/>
          <w:highlight w:val="none"/>
          <w:lang w:val="en-US" w:eastAsia="zh-CN"/>
        </w:rPr>
        <w:t>中小</w:t>
      </w:r>
      <w:r>
        <w:rPr>
          <w:rFonts w:hint="eastAsia" w:ascii="仿宋" w:hAnsi="仿宋" w:eastAsia="仿宋" w:cs="仿宋"/>
          <w:b/>
          <w:bCs/>
          <w:color w:val="auto"/>
          <w:sz w:val="32"/>
          <w:szCs w:val="32"/>
          <w:highlight w:val="none"/>
        </w:rPr>
        <w:t>企业、监狱企业、残疾人福利单位声明函或证明</w:t>
      </w:r>
    </w:p>
    <w:p>
      <w:p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w:t>
      </w:r>
      <w:r>
        <w:rPr>
          <w:rFonts w:hint="eastAsia" w:ascii="仿宋" w:hAnsi="仿宋" w:eastAsia="仿宋" w:cs="仿宋"/>
          <w:b/>
          <w:color w:val="auto"/>
          <w:sz w:val="28"/>
          <w:szCs w:val="28"/>
          <w:highlight w:val="none"/>
          <w:lang w:val="en-US" w:eastAsia="zh-CN"/>
        </w:rPr>
        <w:t>中小</w:t>
      </w:r>
      <w:r>
        <w:rPr>
          <w:rFonts w:hint="eastAsia" w:ascii="仿宋" w:hAnsi="仿宋" w:eastAsia="仿宋" w:cs="仿宋"/>
          <w:b/>
          <w:color w:val="auto"/>
          <w:sz w:val="28"/>
          <w:szCs w:val="28"/>
          <w:highlight w:val="none"/>
        </w:rPr>
        <w:t>企业声明函</w:t>
      </w:r>
    </w:p>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（注：符合</w:t>
      </w:r>
      <w:r>
        <w:rPr>
          <w:rFonts w:hint="eastAsia" w:ascii="仿宋" w:hAnsi="仿宋" w:eastAsia="仿宋" w:cs="仿宋"/>
          <w:color w:val="auto"/>
          <w:szCs w:val="21"/>
          <w:highlight w:val="none"/>
          <w:lang w:val="en-US" w:eastAsia="zh-CN"/>
        </w:rPr>
        <w:t>中小</w:t>
      </w:r>
      <w:r>
        <w:rPr>
          <w:rFonts w:hint="eastAsia" w:ascii="仿宋" w:hAnsi="仿宋" w:eastAsia="仿宋" w:cs="仿宋"/>
          <w:color w:val="auto"/>
          <w:szCs w:val="21"/>
          <w:highlight w:val="none"/>
        </w:rPr>
        <w:t>企业划型标准的企业请提供本函，不符合的不提供本函）</w:t>
      </w:r>
    </w:p>
    <w:p>
      <w:pPr>
        <w:snapToGrid w:val="0"/>
        <w:spacing w:before="157" w:beforeLines="50"/>
        <w:ind w:firstLine="480" w:firstLineChars="200"/>
        <w:rPr>
          <w:rFonts w:hint="eastAsia" w:ascii="仿宋" w:hAnsi="仿宋" w:eastAsia="仿宋" w:cs="仿宋"/>
          <w:color w:val="auto"/>
          <w:sz w:val="24"/>
          <w:highlight w:val="none"/>
        </w:rPr>
      </w:pPr>
    </w:p>
    <w:p>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（单位名称）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（项目名称）</w:t>
      </w:r>
      <w:r>
        <w:rPr>
          <w:rFonts w:hint="eastAsia" w:ascii="仿宋" w:hAnsi="仿宋" w:eastAsia="仿宋" w:cs="仿宋"/>
          <w:color w:val="auto"/>
          <w:kern w:val="0"/>
          <w:sz w:val="24"/>
          <w:highlight w:val="none"/>
          <w:u w:val="single"/>
          <w:lang w:eastAsia="zh-CN"/>
        </w:rPr>
        <w:t>、包号：（   ）包</w:t>
      </w:r>
      <w:r>
        <w:rPr>
          <w:rFonts w:hint="eastAsia" w:ascii="仿宋" w:hAnsi="仿宋" w:eastAsia="仿宋" w:cs="仿宋"/>
          <w:color w:val="auto"/>
          <w:kern w:val="0"/>
          <w:sz w:val="24"/>
          <w:highlight w:val="none"/>
          <w:u w:val="single"/>
        </w:rPr>
        <w:t xml:space="preserve"> 采购</w:t>
      </w:r>
      <w:r>
        <w:rPr>
          <w:rFonts w:hint="eastAsia" w:ascii="仿宋" w:hAnsi="仿宋" w:eastAsia="仿宋" w:cs="仿宋"/>
          <w:color w:val="auto"/>
          <w:kern w:val="0"/>
          <w:sz w:val="24"/>
          <w:highlight w:val="none"/>
        </w:rPr>
        <w:t>活动，提供的货物全部由符合政策要求的</w:t>
      </w:r>
      <w:r>
        <w:rPr>
          <w:rFonts w:hint="eastAsia" w:ascii="仿宋" w:hAnsi="仿宋" w:eastAsia="仿宋" w:cs="仿宋"/>
          <w:color w:val="auto"/>
          <w:kern w:val="0"/>
          <w:sz w:val="24"/>
          <w:highlight w:val="none"/>
          <w:lang w:val="en-US" w:eastAsia="zh-CN"/>
        </w:rPr>
        <w:t>中小</w:t>
      </w:r>
      <w:r>
        <w:rPr>
          <w:rFonts w:hint="eastAsia" w:ascii="仿宋" w:hAnsi="仿宋" w:eastAsia="仿宋" w:cs="仿宋"/>
          <w:color w:val="auto"/>
          <w:kern w:val="0"/>
          <w:sz w:val="24"/>
          <w:highlight w:val="none"/>
        </w:rPr>
        <w:t>企业制造。相关企业（含联合体中的</w:t>
      </w:r>
      <w:r>
        <w:rPr>
          <w:rFonts w:hint="eastAsia" w:ascii="仿宋" w:hAnsi="仿宋" w:eastAsia="仿宋" w:cs="仿宋"/>
          <w:color w:val="auto"/>
          <w:kern w:val="0"/>
          <w:sz w:val="24"/>
          <w:highlight w:val="none"/>
          <w:lang w:val="en-US" w:eastAsia="zh-CN"/>
        </w:rPr>
        <w:t>中小</w:t>
      </w:r>
      <w:r>
        <w:rPr>
          <w:rFonts w:hint="eastAsia" w:ascii="仿宋" w:hAnsi="仿宋" w:eastAsia="仿宋" w:cs="仿宋"/>
          <w:color w:val="auto"/>
          <w:kern w:val="0"/>
          <w:sz w:val="24"/>
          <w:highlight w:val="none"/>
        </w:rPr>
        <w:t>企业、签订分包意向协议的</w:t>
      </w:r>
      <w:r>
        <w:rPr>
          <w:rFonts w:hint="eastAsia" w:ascii="仿宋" w:hAnsi="仿宋" w:eastAsia="仿宋" w:cs="仿宋"/>
          <w:color w:val="auto"/>
          <w:kern w:val="0"/>
          <w:sz w:val="24"/>
          <w:highlight w:val="none"/>
          <w:lang w:val="en-US" w:eastAsia="zh-CN"/>
        </w:rPr>
        <w:t>中小</w:t>
      </w:r>
      <w:r>
        <w:rPr>
          <w:rFonts w:hint="eastAsia" w:ascii="仿宋" w:hAnsi="仿宋" w:eastAsia="仿宋" w:cs="仿宋"/>
          <w:color w:val="auto"/>
          <w:kern w:val="0"/>
          <w:sz w:val="24"/>
          <w:highlight w:val="none"/>
        </w:rPr>
        <w:t>企业）的具体情况如下：</w:t>
      </w:r>
    </w:p>
    <w:p>
      <w:pPr>
        <w:spacing w:line="560" w:lineRule="exact"/>
        <w:ind w:left="479" w:leftChars="228"/>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 xml:space="preserve"> （标的名称）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 采购文件中明确的所属行业）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（企业名称）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u w:val="single"/>
          <w:lang w:eastAsia="zh-CN"/>
        </w:rPr>
        <w:t>中型企业、</w:t>
      </w:r>
      <w:r>
        <w:rPr>
          <w:rFonts w:hint="eastAsia" w:ascii="仿宋" w:hAnsi="仿宋" w:eastAsia="仿宋" w:cs="仿宋"/>
          <w:color w:val="auto"/>
          <w:kern w:val="0"/>
          <w:sz w:val="24"/>
          <w:highlight w:val="none"/>
          <w:u w:val="single"/>
        </w:rPr>
        <w:t>小型企业、微型企业）</w:t>
      </w:r>
      <w:r>
        <w:rPr>
          <w:rFonts w:hint="eastAsia" w:ascii="仿宋" w:hAnsi="仿宋" w:eastAsia="仿宋" w:cs="仿宋"/>
          <w:color w:val="auto"/>
          <w:kern w:val="0"/>
          <w:sz w:val="24"/>
          <w:highlight w:val="none"/>
        </w:rPr>
        <w:t>；</w:t>
      </w:r>
    </w:p>
    <w:p>
      <w:pPr>
        <w:spacing w:line="560" w:lineRule="exact"/>
        <w:ind w:left="445" w:leftChars="212" w:firstLine="1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kern w:val="0"/>
          <w:sz w:val="24"/>
          <w:highlight w:val="none"/>
          <w:u w:val="single"/>
        </w:rPr>
        <w:t xml:space="preserve"> （标的名称）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 采购文件中明确的所属行业） 行业</w:t>
      </w:r>
      <w:r>
        <w:rPr>
          <w:rFonts w:hint="eastAsia" w:ascii="仿宋" w:hAnsi="仿宋" w:eastAsia="仿宋" w:cs="仿宋"/>
          <w:color w:val="auto"/>
          <w:kern w:val="0"/>
          <w:sz w:val="24"/>
          <w:highlight w:val="none"/>
        </w:rPr>
        <w:t xml:space="preserve"> ；制造商为</w:t>
      </w:r>
      <w:r>
        <w:rPr>
          <w:rFonts w:hint="eastAsia" w:ascii="仿宋" w:hAnsi="仿宋" w:eastAsia="仿宋" w:cs="仿宋"/>
          <w:color w:val="auto"/>
          <w:kern w:val="0"/>
          <w:sz w:val="24"/>
          <w:highlight w:val="none"/>
          <w:u w:val="single"/>
        </w:rPr>
        <w:t xml:space="preserve"> （企业名称）  </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万元，属于 </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u w:val="single"/>
          <w:lang w:eastAsia="zh-CN"/>
        </w:rPr>
        <w:t>中型企业、</w:t>
      </w:r>
      <w:r>
        <w:rPr>
          <w:rFonts w:hint="eastAsia" w:ascii="仿宋" w:hAnsi="仿宋" w:eastAsia="仿宋" w:cs="仿宋"/>
          <w:color w:val="auto"/>
          <w:kern w:val="0"/>
          <w:sz w:val="24"/>
          <w:highlight w:val="none"/>
          <w:u w:val="single"/>
        </w:rPr>
        <w:t>小型企业、微型企业）</w:t>
      </w:r>
      <w:r>
        <w:rPr>
          <w:rFonts w:hint="eastAsia" w:ascii="仿宋" w:hAnsi="仿宋" w:eastAsia="仿宋" w:cs="仿宋"/>
          <w:color w:val="auto"/>
          <w:kern w:val="0"/>
          <w:sz w:val="24"/>
          <w:highlight w:val="none"/>
        </w:rPr>
        <w:t>；</w:t>
      </w:r>
    </w:p>
    <w:p>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pPr>
        <w:spacing w:line="560" w:lineRule="exact"/>
        <w:ind w:firstLine="3480" w:firstLineChars="1450"/>
        <w:rPr>
          <w:rFonts w:hint="eastAsia" w:ascii="仿宋" w:hAnsi="仿宋" w:eastAsia="仿宋" w:cs="仿宋"/>
          <w:color w:val="auto"/>
          <w:kern w:val="0"/>
          <w:sz w:val="24"/>
          <w:highlight w:val="none"/>
        </w:rPr>
      </w:pPr>
    </w:p>
    <w:p>
      <w:pPr>
        <w:spacing w:line="560" w:lineRule="exact"/>
        <w:ind w:firstLine="3480" w:firstLineChars="1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pPr>
        <w:spacing w:line="560" w:lineRule="exact"/>
        <w:ind w:firstLine="3480" w:firstLineChars="14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日期：</w:t>
      </w:r>
    </w:p>
    <w:p>
      <w:pPr>
        <w:spacing w:line="360" w:lineRule="auto"/>
        <w:ind w:firstLine="480"/>
        <w:rPr>
          <w:rFonts w:hint="eastAsia" w:ascii="仿宋" w:hAnsi="仿宋" w:eastAsia="仿宋" w:cs="仿宋"/>
          <w:color w:val="auto"/>
          <w:highlight w:val="none"/>
        </w:rPr>
      </w:pPr>
    </w:p>
    <w:p>
      <w:pPr>
        <w:ind w:left="315" w:leftChars="150" w:firstLine="270" w:firstLine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2、监狱企业声明函</w:t>
      </w:r>
    </w:p>
    <w:p>
      <w:pPr>
        <w:spacing w:line="360" w:lineRule="auto"/>
        <w:rPr>
          <w:rFonts w:hint="eastAsia" w:ascii="仿宋" w:hAnsi="仿宋" w:eastAsia="仿宋" w:cs="仿宋"/>
          <w:b/>
          <w:color w:val="auto"/>
          <w:kern w:val="0"/>
          <w:sz w:val="24"/>
          <w:szCs w:val="20"/>
          <w:highlight w:val="none"/>
        </w:rPr>
      </w:pPr>
    </w:p>
    <w:p>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pPr>
        <w:spacing w:before="120" w:after="12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p>
    <w:p>
      <w:pPr>
        <w:spacing w:line="360" w:lineRule="auto"/>
        <w:ind w:firstLine="960" w:firstLineChars="4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注：符合《关于政府采购支持监狱企业发展有关问题的通知》价格扣减条件的供应商须提交。需提供</w:t>
      </w:r>
      <w:r>
        <w:rPr>
          <w:rFonts w:hint="eastAsia" w:ascii="仿宋" w:hAnsi="仿宋" w:eastAsia="仿宋" w:cs="仿宋"/>
          <w:color w:val="auto"/>
          <w:sz w:val="24"/>
          <w:highlight w:val="none"/>
        </w:rPr>
        <w:t>省级以上监狱管理局、戒毒管理局（含新疆生产建设兵团）出具的属于监狱企业的证明文件。</w:t>
      </w: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widowControl/>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3、残疾人福利性单位声明函</w:t>
      </w:r>
    </w:p>
    <w:p>
      <w:pPr>
        <w:spacing w:line="360" w:lineRule="auto"/>
        <w:rPr>
          <w:rFonts w:hint="eastAsia" w:ascii="仿宋" w:hAnsi="仿宋" w:eastAsia="仿宋" w:cs="仿宋"/>
          <w:color w:val="auto"/>
          <w:highlight w:val="none"/>
        </w:rPr>
      </w:pPr>
    </w:p>
    <w:p>
      <w:pPr>
        <w:jc w:val="center"/>
        <w:rPr>
          <w:rFonts w:hint="eastAsia" w:ascii="仿宋" w:hAnsi="仿宋" w:eastAsia="仿宋" w:cs="仿宋"/>
          <w:color w:val="auto"/>
          <w:sz w:val="24"/>
          <w:highlight w:val="none"/>
        </w:rPr>
      </w:pPr>
      <w:r>
        <w:rPr>
          <w:rFonts w:hint="eastAsia" w:ascii="仿宋" w:hAnsi="仿宋" w:eastAsia="仿宋" w:cs="仿宋"/>
          <w:color w:val="auto"/>
          <w:szCs w:val="21"/>
          <w:highlight w:val="none"/>
        </w:rPr>
        <w:t>（注：符合条件的残疾人福利性单位请提供本函，不符合的不提供本函）</w:t>
      </w:r>
    </w:p>
    <w:p>
      <w:pPr>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eastAsia="仿宋_GB2312"/>
          <w:color w:val="auto"/>
          <w:sz w:val="24"/>
          <w:highlight w:val="none"/>
        </w:rPr>
        <w:t>______单位的______</w:t>
      </w:r>
      <w:r>
        <w:rPr>
          <w:rFonts w:hint="eastAsia" w:ascii="仿宋" w:hAnsi="仿宋" w:eastAsia="仿宋" w:cs="仿宋"/>
          <w:color w:val="auto"/>
          <w:sz w:val="24"/>
          <w:highlight w:val="none"/>
        </w:rPr>
        <w:t>项目</w:t>
      </w:r>
      <w:r>
        <w:rPr>
          <w:rFonts w:hint="eastAsia" w:ascii="仿宋" w:hAnsi="仿宋" w:eastAsia="仿宋" w:cs="仿宋"/>
          <w:color w:val="auto"/>
          <w:kern w:val="0"/>
          <w:sz w:val="24"/>
          <w:highlight w:val="none"/>
          <w:u w:val="single"/>
          <w:lang w:eastAsia="zh-CN"/>
        </w:rPr>
        <w:t>包号：（   ）包</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采购活动提供本单位制造的货物，或者提供其他残疾人福利性单位制造的货物（不包括使用非残疾人福利性单位注册商标的货物）。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spacing w:line="360" w:lineRule="auto"/>
        <w:rPr>
          <w:rFonts w:hint="eastAsia" w:ascii="仿宋" w:hAnsi="仿宋" w:eastAsia="仿宋" w:cs="仿宋"/>
          <w:color w:val="auto"/>
          <w:sz w:val="24"/>
          <w:highlight w:val="none"/>
        </w:rPr>
      </w:pPr>
    </w:p>
    <w:p>
      <w:pPr>
        <w:spacing w:before="120" w:after="120" w:line="360" w:lineRule="auto"/>
        <w:ind w:firstLine="1200" w:firstLineChars="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ind w:firstLine="1200" w:firstLineChars="500"/>
        <w:rPr>
          <w:rFonts w:hint="eastAsia" w:ascii="仿宋" w:hAnsi="仿宋" w:eastAsia="仿宋" w:cs="仿宋"/>
          <w:color w:val="auto"/>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autoSpaceDE w:val="0"/>
        <w:autoSpaceDN w:val="0"/>
        <w:adjustRightInd w:val="0"/>
        <w:snapToGrid w:val="0"/>
        <w:spacing w:line="360" w:lineRule="auto"/>
        <w:jc w:val="righ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highlight w:val="none"/>
        </w:rPr>
        <w:br w:type="page"/>
      </w:r>
      <w:r>
        <w:rPr>
          <w:rFonts w:hint="eastAsia" w:ascii="仿宋" w:hAnsi="仿宋" w:eastAsia="仿宋" w:cs="仿宋"/>
          <w:b/>
          <w:bCs/>
          <w:color w:val="auto"/>
          <w:sz w:val="32"/>
          <w:szCs w:val="32"/>
          <w:highlight w:val="none"/>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采购项目编号：</w:t>
      </w:r>
      <w:r>
        <w:rPr>
          <w:rFonts w:hint="eastAsia" w:ascii="仿宋" w:hAnsi="仿宋" w:eastAsia="仿宋" w:cs="仿宋"/>
          <w:b/>
          <w:bCs/>
          <w:color w:val="auto"/>
          <w:sz w:val="30"/>
          <w:szCs w:val="30"/>
          <w:highlight w:val="none"/>
          <w:lang w:val="zh-CN"/>
        </w:rPr>
        <w:t>SCZB2023-JT-1595-001</w:t>
      </w:r>
    </w:p>
    <w:p>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pPr>
        <w:autoSpaceDE w:val="0"/>
        <w:autoSpaceDN w:val="0"/>
        <w:adjustRightInd w:val="0"/>
        <w:snapToGrid w:val="0"/>
        <w:spacing w:line="360" w:lineRule="auto"/>
        <w:jc w:val="center"/>
        <w:outlineLvl w:val="1"/>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西安体育局器材采购项目</w:t>
      </w: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谈判响应文件</w:t>
      </w:r>
    </w:p>
    <w:p>
      <w:pPr>
        <w:tabs>
          <w:tab w:val="left" w:pos="5670"/>
        </w:tabs>
        <w:autoSpaceDE w:val="0"/>
        <w:autoSpaceDN w:val="0"/>
        <w:adjustRightInd w:val="0"/>
        <w:snapToGrid w:val="0"/>
        <w:spacing w:line="360" w:lineRule="auto"/>
        <w:jc w:val="center"/>
        <w:outlineLvl w:val="1"/>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（商务及技术部分）</w:t>
      </w:r>
    </w:p>
    <w:p>
      <w:pP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包号：（  1  或  2  ）包</w:t>
      </w: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 </w:t>
      </w: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供应商：                   </w:t>
      </w: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2570" w:firstLineChars="800"/>
        <w:outlineLvl w:val="0"/>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lang w:val="zh-CN"/>
        </w:rPr>
        <w:t xml:space="preserve">时  间： </w:t>
      </w:r>
      <w:r>
        <w:rPr>
          <w:rFonts w:hint="eastAsia" w:ascii="仿宋" w:hAnsi="仿宋" w:eastAsia="仿宋" w:cs="仿宋"/>
          <w:b/>
          <w:bCs/>
          <w:color w:val="auto"/>
          <w:sz w:val="32"/>
          <w:szCs w:val="32"/>
          <w:highlight w:val="none"/>
          <w:u w:val="single"/>
        </w:rPr>
        <w:t xml:space="preserve">                  </w:t>
      </w:r>
    </w:p>
    <w:p>
      <w:pPr>
        <w:spacing w:after="120"/>
        <w:rPr>
          <w:rFonts w:hint="eastAsia" w:ascii="仿宋" w:hAnsi="仿宋" w:eastAsia="仿宋" w:cs="仿宋"/>
          <w:b/>
          <w:bCs/>
          <w:color w:val="auto"/>
          <w:sz w:val="32"/>
          <w:szCs w:val="32"/>
          <w:highlight w:val="none"/>
        </w:rPr>
      </w:pPr>
      <w:r>
        <w:rPr>
          <w:rFonts w:hint="eastAsia" w:ascii="仿宋" w:hAnsi="仿宋" w:eastAsia="仿宋" w:cs="仿宋"/>
          <w:color w:val="auto"/>
          <w:highlight w:val="none"/>
        </w:rPr>
        <w:br w:type="page"/>
      </w:r>
    </w:p>
    <w:p>
      <w:pPr>
        <w:pStyle w:val="3"/>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目  录</w:t>
      </w:r>
    </w:p>
    <w:p>
      <w:pPr>
        <w:pStyle w:val="22"/>
        <w:rPr>
          <w:rFonts w:hint="eastAsia" w:ascii="仿宋" w:hAnsi="仿宋" w:eastAsia="仿宋" w:cs="仿宋"/>
          <w:color w:val="auto"/>
          <w:highlight w:val="none"/>
        </w:rPr>
      </w:pPr>
    </w:p>
    <w:p>
      <w:pPr>
        <w:pStyle w:val="22"/>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第一部分  谈判响应函</w:t>
      </w:r>
    </w:p>
    <w:p>
      <w:pPr>
        <w:pStyle w:val="22"/>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第二部分  谈判响应报价表 </w:t>
      </w:r>
    </w:p>
    <w:p>
      <w:pPr>
        <w:pStyle w:val="22"/>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第三部分  偏离表</w:t>
      </w:r>
    </w:p>
    <w:p>
      <w:pPr>
        <w:pStyle w:val="22"/>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第四部分  响应方案说明</w:t>
      </w:r>
    </w:p>
    <w:p>
      <w:pPr>
        <w:pStyle w:val="22"/>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第五部分  </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企业、监狱企业、残疾人福利单位声明函或证明</w:t>
      </w:r>
    </w:p>
    <w:p>
      <w:pPr>
        <w:pStyle w:val="6"/>
        <w:rPr>
          <w:rFonts w:hint="eastAsia"/>
          <w:color w:val="auto"/>
          <w:highlight w:val="none"/>
        </w:rPr>
      </w:pPr>
    </w:p>
    <w:p>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zh-CN"/>
        </w:rPr>
        <w:t>第一部分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谈判响应函</w:t>
      </w:r>
    </w:p>
    <w:p>
      <w:pPr>
        <w:autoSpaceDE w:val="0"/>
        <w:autoSpaceDN w:val="0"/>
        <w:adjustRightInd w:val="0"/>
        <w:snapToGrid w:val="0"/>
        <w:spacing w:line="312" w:lineRule="auto"/>
        <w:rPr>
          <w:rFonts w:hint="eastAsia" w:ascii="仿宋" w:hAnsi="仿宋" w:eastAsia="仿宋" w:cs="仿宋"/>
          <w:b/>
          <w:bCs/>
          <w:color w:val="auto"/>
          <w:sz w:val="24"/>
          <w:highlight w:val="none"/>
          <w:lang w:val="zh-CN"/>
        </w:rPr>
      </w:pPr>
    </w:p>
    <w:p>
      <w:pPr>
        <w:autoSpaceDE w:val="0"/>
        <w:autoSpaceDN w:val="0"/>
        <w:adjustRightInd w:val="0"/>
        <w:snapToGrid w:val="0"/>
        <w:spacing w:line="312"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我单位收到贵公司</w:t>
      </w:r>
      <w:r>
        <w:rPr>
          <w:rFonts w:hint="eastAsia" w:ascii="仿宋" w:hAnsi="仿宋" w:eastAsia="仿宋" w:cs="仿宋"/>
          <w:color w:val="auto"/>
          <w:sz w:val="24"/>
          <w:highlight w:val="none"/>
          <w:u w:val="single"/>
          <w:lang w:val="zh-CN"/>
        </w:rPr>
        <w:t xml:space="preserve">   （项目名称    ）、</w:t>
      </w:r>
      <w:r>
        <w:rPr>
          <w:rFonts w:hint="eastAsia" w:ascii="仿宋" w:hAnsi="仿宋" w:eastAsia="仿宋" w:cs="仿宋"/>
          <w:color w:val="auto"/>
          <w:kern w:val="0"/>
          <w:sz w:val="24"/>
          <w:highlight w:val="none"/>
          <w:u w:val="single"/>
          <w:lang w:eastAsia="zh-CN"/>
        </w:rPr>
        <w:t>包号：（   ）包</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、愿意按照竞争性谈判文件中的要求，提供谈判产品及技术服务，完成合同的责任和义务。</w:t>
      </w:r>
    </w:p>
    <w:p>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、按竞争性谈判文件的规定，我公司的首次谈判响应报价为人民币（大写）：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元），并对其后的谈判报价负法律责任。</w:t>
      </w:r>
    </w:p>
    <w:p>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zh-CN"/>
        </w:rPr>
        <w:t>、我方提交的响应文件正本一份、副本两份、</w:t>
      </w:r>
      <w:r>
        <w:rPr>
          <w:rFonts w:hint="eastAsia" w:ascii="仿宋" w:hAnsi="仿宋" w:eastAsia="仿宋" w:cs="仿宋"/>
          <w:color w:val="auto"/>
          <w:sz w:val="24"/>
          <w:highlight w:val="none"/>
          <w:lang w:val="en-US" w:eastAsia="zh-CN"/>
        </w:rPr>
        <w:t>电子版</w:t>
      </w:r>
      <w:r>
        <w:rPr>
          <w:rFonts w:hint="eastAsia" w:ascii="仿宋" w:hAnsi="仿宋" w:eastAsia="仿宋" w:cs="仿宋"/>
          <w:color w:val="auto"/>
          <w:sz w:val="24"/>
          <w:highlight w:val="none"/>
          <w:lang w:val="zh-CN"/>
        </w:rPr>
        <w:t>一份。</w:t>
      </w:r>
    </w:p>
    <w:p>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五、同意向贵方提供可能要求的与本次谈判有关的任何证据或资料，且尊重谈判小组的评审结论和结果。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六、我方的响应文件有效期为自谈判之日起 </w:t>
      </w:r>
      <w:r>
        <w:rPr>
          <w:rFonts w:hint="eastAsia" w:ascii="仿宋" w:hAnsi="仿宋" w:eastAsia="仿宋" w:cs="仿宋"/>
          <w:color w:val="auto"/>
          <w:sz w:val="24"/>
          <w:highlight w:val="none"/>
        </w:rPr>
        <w:t xml:space="preserve">60 </w:t>
      </w:r>
      <w:r>
        <w:rPr>
          <w:rFonts w:hint="eastAsia" w:ascii="仿宋" w:hAnsi="仿宋" w:eastAsia="仿宋" w:cs="仿宋"/>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lang w:val="zh-CN"/>
        </w:rPr>
        <w:t>、如我方成交：</w:t>
      </w:r>
    </w:p>
    <w:p>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）我方承诺按合同约定的期限和地点，提供符合谈判文件要求的全部的货物和服务。</w:t>
      </w:r>
    </w:p>
    <w:p>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八、有关于本响应文件的函电，请按下列地址联系。</w:t>
      </w:r>
    </w:p>
    <w:p>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址：</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帐</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号：</w:t>
      </w:r>
      <w:r>
        <w:rPr>
          <w:rFonts w:hint="eastAsia" w:ascii="仿宋" w:hAnsi="仿宋" w:eastAsia="仿宋" w:cs="仿宋"/>
          <w:color w:val="auto"/>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rPr>
        <w:t>_____________________</w:t>
      </w:r>
      <w:r>
        <w:rPr>
          <w:rFonts w:hint="eastAsia" w:ascii="仿宋" w:hAnsi="仿宋" w:eastAsia="仿宋" w:cs="仿宋"/>
          <w:color w:val="auto"/>
          <w:sz w:val="24"/>
          <w:highlight w:val="none"/>
          <w:lang w:val="zh-CN"/>
        </w:rPr>
        <w:t>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真：</w:t>
      </w:r>
      <w:r>
        <w:rPr>
          <w:rFonts w:hint="eastAsia" w:ascii="仿宋" w:hAnsi="仿宋" w:eastAsia="仿宋" w:cs="仿宋"/>
          <w:color w:val="auto"/>
          <w:sz w:val="24"/>
          <w:highlight w:val="none"/>
        </w:rPr>
        <w:t>___________</w:t>
      </w:r>
    </w:p>
    <w:p>
      <w:pPr>
        <w:pStyle w:val="22"/>
        <w:rPr>
          <w:rFonts w:hint="eastAsia" w:ascii="仿宋" w:hAnsi="仿宋" w:eastAsia="仿宋" w:cs="仿宋"/>
          <w:color w:val="auto"/>
          <w:highlight w:val="none"/>
        </w:rPr>
      </w:pPr>
    </w:p>
    <w:p>
      <w:pPr>
        <w:spacing w:before="120" w:after="120" w:line="360" w:lineRule="auto"/>
        <w:ind w:firstLine="480" w:firstLineChars="200"/>
        <w:rPr>
          <w:rFonts w:hint="eastAsia" w:ascii="仿宋" w:hAnsi="仿宋" w:eastAsia="仿宋" w:cs="仿宋"/>
          <w:color w:val="auto"/>
          <w:sz w:val="24"/>
          <w:highlight w:val="none"/>
          <w:u w:val="single"/>
        </w:rPr>
      </w:pPr>
      <w:bookmarkStart w:id="475" w:name="_Hlt520356241"/>
      <w:bookmarkEnd w:id="475"/>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pPr>
        <w:pStyle w:val="3"/>
        <w:jc w:val="center"/>
        <w:rPr>
          <w:rFonts w:hint="eastAsia" w:ascii="仿宋" w:hAnsi="仿宋" w:eastAsia="仿宋" w:cs="仿宋"/>
          <w:b/>
          <w:bCs/>
          <w:color w:val="auto"/>
          <w:highlight w:val="none"/>
        </w:rPr>
      </w:pPr>
      <w:r>
        <w:rPr>
          <w:rFonts w:hint="eastAsia" w:ascii="仿宋" w:hAnsi="仿宋" w:eastAsia="仿宋" w:cs="仿宋"/>
          <w:color w:val="auto"/>
          <w:sz w:val="24"/>
          <w:highlight w:val="none"/>
        </w:rPr>
        <w:br w:type="page"/>
      </w:r>
      <w:bookmarkStart w:id="476" w:name="_Toc230099805"/>
      <w:bookmarkStart w:id="477" w:name="_Toc415499901"/>
      <w:bookmarkStart w:id="478" w:name="_Toc256342154"/>
      <w:bookmarkStart w:id="479" w:name="_Toc249515371"/>
      <w:bookmarkStart w:id="480" w:name="_Toc230583554"/>
      <w:bookmarkStart w:id="481" w:name="_Toc8496"/>
      <w:bookmarkStart w:id="482" w:name="_Toc232395224"/>
      <w:bookmarkStart w:id="483" w:name="_Toc232176284"/>
      <w:bookmarkStart w:id="484" w:name="_Toc230013640"/>
      <w:bookmarkStart w:id="485" w:name="_Toc249525252"/>
      <w:r>
        <w:rPr>
          <w:rFonts w:hint="eastAsia" w:ascii="仿宋" w:hAnsi="仿宋" w:eastAsia="仿宋" w:cs="仿宋"/>
          <w:b/>
          <w:bCs/>
          <w:color w:val="auto"/>
          <w:highlight w:val="none"/>
          <w:lang w:val="zh-CN"/>
        </w:rPr>
        <w:t>第二部分</w:t>
      </w:r>
      <w:r>
        <w:rPr>
          <w:rFonts w:hint="eastAsia" w:ascii="仿宋" w:hAnsi="仿宋" w:eastAsia="仿宋" w:cs="仿宋"/>
          <w:b/>
          <w:bCs/>
          <w:color w:val="auto"/>
          <w:highlight w:val="none"/>
        </w:rPr>
        <w:t xml:space="preserve">  谈判响应报价表 </w:t>
      </w:r>
    </w:p>
    <w:p>
      <w:pPr>
        <w:pStyle w:val="22"/>
        <w:rPr>
          <w:rFonts w:hint="eastAsia" w:ascii="仿宋" w:hAnsi="仿宋" w:eastAsia="仿宋" w:cs="仿宋"/>
          <w:color w:val="auto"/>
          <w:highlight w:val="none"/>
        </w:rPr>
      </w:pPr>
    </w:p>
    <w:p>
      <w:pPr>
        <w:autoSpaceDE w:val="0"/>
        <w:autoSpaceDN w:val="0"/>
        <w:adjustRightInd w:val="0"/>
        <w:snapToGrid w:val="0"/>
        <w:spacing w:line="360" w:lineRule="auto"/>
        <w:jc w:val="center"/>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（首次）谈判响应报价一览表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项目编号及项目名称</w:t>
            </w:r>
          </w:p>
        </w:tc>
        <w:tc>
          <w:tcPr>
            <w:tcW w:w="6981" w:type="dxa"/>
            <w:vAlign w:val="center"/>
          </w:tcPr>
          <w:p>
            <w:pPr>
              <w:ind w:left="189" w:leftChars="90" w:firstLine="1"/>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p>
          <w:p>
            <w:pPr>
              <w:ind w:left="189" w:leftChars="90" w:firstLine="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包号</w:t>
            </w:r>
          </w:p>
        </w:tc>
        <w:tc>
          <w:tcPr>
            <w:tcW w:w="6981" w:type="dxa"/>
            <w:vAlign w:val="center"/>
          </w:tcPr>
          <w:p>
            <w:pPr>
              <w:ind w:left="189" w:leftChars="90" w:firstLine="1"/>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 xml:space="preserve">  ）包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响应总价</w:t>
            </w:r>
          </w:p>
        </w:tc>
        <w:tc>
          <w:tcPr>
            <w:tcW w:w="6981" w:type="dxa"/>
            <w:vAlign w:val="center"/>
          </w:tcPr>
          <w:p>
            <w:pPr>
              <w:ind w:left="189" w:leftChars="90" w:firstLine="1"/>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整（小写：¥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交货期</w:t>
            </w:r>
          </w:p>
        </w:tc>
        <w:tc>
          <w:tcPr>
            <w:tcW w:w="6981"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交货地点</w:t>
            </w:r>
          </w:p>
        </w:tc>
        <w:tc>
          <w:tcPr>
            <w:tcW w:w="6981"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981" w:type="dxa"/>
            <w:vAlign w:val="center"/>
          </w:tcPr>
          <w:p>
            <w:pPr>
              <w:rPr>
                <w:rFonts w:hint="eastAsia" w:ascii="仿宋" w:hAnsi="仿宋" w:eastAsia="仿宋" w:cs="仿宋"/>
                <w:color w:val="auto"/>
                <w:sz w:val="24"/>
                <w:highlight w:val="none"/>
              </w:rPr>
            </w:pPr>
          </w:p>
        </w:tc>
      </w:tr>
    </w:tbl>
    <w:p>
      <w:pPr>
        <w:autoSpaceDE w:val="0"/>
        <w:autoSpaceDN w:val="0"/>
        <w:adjustRightInd w:val="0"/>
        <w:snapToGrid w:val="0"/>
        <w:spacing w:line="360" w:lineRule="auto"/>
        <w:jc w:val="right"/>
        <w:rPr>
          <w:rFonts w:hint="eastAsia" w:ascii="仿宋" w:hAnsi="仿宋" w:eastAsia="仿宋" w:cs="仿宋"/>
          <w:color w:val="auto"/>
          <w:sz w:val="24"/>
          <w:highlight w:val="none"/>
        </w:rPr>
      </w:pPr>
    </w:p>
    <w:p>
      <w:pPr>
        <w:rPr>
          <w:rFonts w:hint="eastAsia" w:ascii="仿宋" w:hAnsi="仿宋" w:eastAsia="仿宋" w:cs="仿宋"/>
          <w:b/>
          <w:bCs/>
          <w:color w:val="auto"/>
          <w:kern w:val="0"/>
          <w:szCs w:val="21"/>
          <w:highlight w:val="none"/>
        </w:rPr>
      </w:pPr>
    </w:p>
    <w:p>
      <w:pPr>
        <w:rPr>
          <w:rFonts w:hint="eastAsia" w:ascii="仿宋" w:hAnsi="仿宋" w:eastAsia="仿宋" w:cs="仿宋"/>
          <w:color w:val="auto"/>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color w:val="auto"/>
          <w:highlight w:val="none"/>
        </w:rPr>
        <w:t>1、</w:t>
      </w:r>
      <w:r>
        <w:rPr>
          <w:rFonts w:hint="eastAsia" w:ascii="仿宋" w:hAnsi="仿宋" w:eastAsia="仿宋" w:cs="仿宋"/>
          <w:color w:val="auto"/>
          <w:kern w:val="0"/>
          <w:szCs w:val="21"/>
          <w:highlight w:val="none"/>
          <w:lang w:val="zh-CN"/>
        </w:rPr>
        <w:t>表内报价内容以元为单位，小数点后保留至两位小数</w:t>
      </w:r>
    </w:p>
    <w:p>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szCs w:val="21"/>
          <w:highlight w:val="none"/>
        </w:rPr>
        <w:t>总价固定，不受市场价变化的影响。</w:t>
      </w:r>
    </w:p>
    <w:p>
      <w:pPr>
        <w:autoSpaceDE w:val="0"/>
        <w:autoSpaceDN w:val="0"/>
        <w:adjustRightInd w:val="0"/>
        <w:snapToGrid w:val="0"/>
        <w:spacing w:line="360" w:lineRule="auto"/>
        <w:rPr>
          <w:rFonts w:hint="eastAsia" w:ascii="仿宋" w:hAnsi="仿宋" w:eastAsia="仿宋" w:cs="仿宋"/>
          <w:b/>
          <w:bCs/>
          <w:color w:val="auto"/>
          <w:sz w:val="24"/>
          <w:highlight w:val="none"/>
        </w:rPr>
      </w:pP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highlight w:val="none"/>
          <w:lang w:val="zh-CN"/>
        </w:rPr>
        <w:sectPr>
          <w:footerReference r:id="rId10" w:type="default"/>
          <w:pgSz w:w="11906" w:h="16838"/>
          <w:pgMar w:top="1440" w:right="1083" w:bottom="1440" w:left="1083" w:header="851" w:footer="992" w:gutter="0"/>
          <w:cols w:space="0" w:num="1"/>
          <w:docGrid w:type="lines" w:linePitch="314" w:charSpace="0"/>
        </w:sect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p>
    <w:p>
      <w:pPr>
        <w:autoSpaceDE w:val="0"/>
        <w:autoSpaceDN w:val="0"/>
        <w:adjustRightInd w:val="0"/>
        <w:snapToGrid w:val="0"/>
        <w:spacing w:line="360" w:lineRule="auto"/>
        <w:jc w:val="center"/>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（首次）响应分项报价表</w:t>
      </w:r>
    </w:p>
    <w:p>
      <w:pPr>
        <w:pStyle w:val="2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项目编号：SCZB2023-JT-1595-001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包号：（   ）包 </w:t>
      </w:r>
    </w:p>
    <w:p>
      <w:pPr>
        <w:pStyle w:val="2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项目名称：西安体育局器材采购项目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188" w:type="dxa"/>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60" w:type="dxa"/>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92"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76"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34"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小计（元）</w:t>
            </w:r>
          </w:p>
        </w:tc>
        <w:tc>
          <w:tcPr>
            <w:tcW w:w="708"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bl>
    <w:p>
      <w:pPr>
        <w:rPr>
          <w:rFonts w:hint="eastAsia" w:ascii="仿宋" w:hAnsi="仿宋" w:eastAsia="仿宋" w:cs="仿宋"/>
          <w:color w:val="auto"/>
          <w:highlight w:val="none"/>
        </w:rPr>
      </w:pPr>
    </w:p>
    <w:p>
      <w:pPr>
        <w:rPr>
          <w:rFonts w:hint="eastAsia" w:ascii="仿宋" w:hAnsi="仿宋" w:eastAsia="仿宋" w:cs="仿宋"/>
          <w:b/>
          <w:bCs/>
          <w:color w:val="auto"/>
          <w:kern w:val="0"/>
          <w:szCs w:val="21"/>
          <w:highlight w:val="none"/>
        </w:rPr>
      </w:pPr>
    </w:p>
    <w:p>
      <w:pPr>
        <w:rPr>
          <w:rFonts w:hint="eastAsia" w:ascii="仿宋" w:hAnsi="仿宋" w:eastAsia="仿宋" w:cs="仿宋"/>
          <w:color w:val="auto"/>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color w:val="auto"/>
          <w:highlight w:val="none"/>
        </w:rPr>
        <w:t>1、</w:t>
      </w:r>
      <w:r>
        <w:rPr>
          <w:rFonts w:hint="eastAsia" w:ascii="仿宋" w:hAnsi="仿宋" w:eastAsia="仿宋" w:cs="仿宋"/>
          <w:color w:val="auto"/>
          <w:kern w:val="0"/>
          <w:szCs w:val="21"/>
          <w:highlight w:val="none"/>
          <w:lang w:val="zh-CN"/>
        </w:rPr>
        <w:t>表内报价内容以元为单位，小数点后保留至两位小数</w:t>
      </w:r>
    </w:p>
    <w:p>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kern w:val="0"/>
          <w:szCs w:val="21"/>
          <w:highlight w:val="none"/>
        </w:rPr>
        <w:t>总价固定，不受市场价变化的影响。</w:t>
      </w:r>
    </w:p>
    <w:p>
      <w:pPr>
        <w:autoSpaceDE w:val="0"/>
        <w:autoSpaceDN w:val="0"/>
        <w:adjustRightInd w:val="0"/>
        <w:snapToGrid w:val="0"/>
        <w:spacing w:before="120" w:line="360" w:lineRule="auto"/>
        <w:ind w:left="-206" w:leftChars="-98"/>
        <w:jc w:val="left"/>
        <w:rPr>
          <w:rFonts w:hint="eastAsia" w:ascii="仿宋" w:hAnsi="仿宋" w:eastAsia="仿宋" w:cs="仿宋"/>
          <w:color w:val="auto"/>
          <w:kern w:val="0"/>
          <w:sz w:val="24"/>
          <w:szCs w:val="28"/>
          <w:highlight w:val="none"/>
        </w:rPr>
      </w:pP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tabs>
          <w:tab w:val="left" w:pos="5580"/>
        </w:tabs>
        <w:rPr>
          <w:rFonts w:hint="eastAsia" w:ascii="仿宋" w:hAnsi="仿宋" w:eastAsia="仿宋" w:cs="仿宋"/>
          <w:b/>
          <w:color w:val="auto"/>
          <w:sz w:val="32"/>
          <w:szCs w:val="32"/>
          <w:highlight w:val="none"/>
        </w:rPr>
        <w:sectPr>
          <w:pgSz w:w="11906" w:h="16838"/>
          <w:pgMar w:top="1440" w:right="1083" w:bottom="1440" w:left="1083" w:header="851" w:footer="992" w:gutter="0"/>
          <w:cols w:space="0" w:num="1"/>
          <w:docGrid w:type="lines" w:linePitch="317" w:charSpace="0"/>
        </w:sectPr>
      </w:pPr>
    </w:p>
    <w:p>
      <w:pPr>
        <w:autoSpaceDE w:val="0"/>
        <w:autoSpaceDN w:val="0"/>
        <w:adjustRightInd w:val="0"/>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（首次）节能、环境标志产品明细表</w:t>
      </w:r>
    </w:p>
    <w:p>
      <w:pPr>
        <w:pStyle w:val="22"/>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包号：（   ）包 </w:t>
      </w:r>
    </w:p>
    <w:p>
      <w:pPr>
        <w:autoSpaceDE w:val="0"/>
        <w:autoSpaceDN w:val="0"/>
        <w:adjustRightInd w:val="0"/>
        <w:snapToGrid w:val="0"/>
        <w:spacing w:line="360" w:lineRule="auto"/>
        <w:jc w:val="left"/>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w:t>
            </w:r>
          </w:p>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（2）非强制类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bl>
    <w:p>
      <w:pPr>
        <w:autoSpaceDE w:val="0"/>
        <w:autoSpaceDN w:val="0"/>
        <w:adjustRightInd w:val="0"/>
        <w:snapToGrid w:val="0"/>
        <w:spacing w:line="360" w:lineRule="auto"/>
        <w:rPr>
          <w:rFonts w:hint="eastAsia" w:ascii="仿宋" w:hAnsi="仿宋" w:eastAsia="仿宋" w:cs="仿宋"/>
          <w:color w:val="auto"/>
          <w:sz w:val="24"/>
          <w:highlight w:val="none"/>
          <w:lang w:val="zh-CN"/>
        </w:rPr>
      </w:pPr>
    </w:p>
    <w:p>
      <w:pPr>
        <w:autoSpaceDE w:val="0"/>
        <w:autoSpaceDN w:val="0"/>
        <w:adjustRightInd w:val="0"/>
        <w:snapToGrid w:val="0"/>
        <w:ind w:left="420" w:hanging="420" w:hanging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注：1、如谈判响应产品为节能、环境标志产品，须按格式逐项填写，并附相关证明，否则评审时不予价格扣除。</w:t>
      </w:r>
    </w:p>
    <w:p>
      <w:pPr>
        <w:autoSpaceDE w:val="0"/>
        <w:autoSpaceDN w:val="0"/>
        <w:adjustRightInd w:val="0"/>
        <w:snapToGrid w:val="0"/>
        <w:ind w:firstLine="48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2、类别填写：节能产品或环境标志产品。</w:t>
      </w:r>
    </w:p>
    <w:p>
      <w:pPr>
        <w:pStyle w:val="22"/>
        <w:spacing w:line="240" w:lineRule="auto"/>
        <w:ind w:left="420" w:leftChars="200" w:firstLine="56" w:firstLineChars="27"/>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pPr>
        <w:autoSpaceDE w:val="0"/>
        <w:autoSpaceDN w:val="0"/>
        <w:adjustRightInd w:val="0"/>
        <w:snapToGrid w:val="0"/>
        <w:spacing w:line="360" w:lineRule="auto"/>
        <w:ind w:left="645"/>
        <w:rPr>
          <w:rFonts w:hint="eastAsia" w:ascii="仿宋" w:hAnsi="仿宋" w:eastAsia="仿宋" w:cs="仿宋"/>
          <w:color w:val="auto"/>
          <w:sz w:val="24"/>
          <w:highlight w:val="none"/>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6"/>
    <w:bookmarkEnd w:id="477"/>
    <w:bookmarkEnd w:id="478"/>
    <w:bookmarkEnd w:id="479"/>
    <w:bookmarkEnd w:id="480"/>
    <w:bookmarkEnd w:id="481"/>
    <w:bookmarkEnd w:id="482"/>
    <w:bookmarkEnd w:id="483"/>
    <w:bookmarkEnd w:id="484"/>
    <w:bookmarkEnd w:id="485"/>
    <w:p>
      <w:pPr>
        <w:spacing w:before="120" w:after="120" w:line="360" w:lineRule="auto"/>
        <w:ind w:firstLine="1440" w:firstLineChars="600"/>
        <w:rPr>
          <w:rFonts w:hint="eastAsia" w:ascii="仿宋" w:hAnsi="仿宋" w:eastAsia="仿宋" w:cs="仿宋"/>
          <w:color w:val="auto"/>
          <w:sz w:val="24"/>
          <w:highlight w:val="none"/>
          <w:u w:val="single"/>
        </w:rPr>
      </w:pPr>
      <w:bookmarkStart w:id="486" w:name="_Toc500747011"/>
      <w:bookmarkStart w:id="487" w:name="_Toc177995484"/>
      <w:bookmarkStart w:id="488" w:name="_Toc499711929"/>
      <w:bookmarkStart w:id="489" w:name="_Toc83547687"/>
      <w:bookmarkStart w:id="490" w:name="_Toc496324624"/>
      <w:bookmarkStart w:id="491" w:name="_Toc503063459"/>
      <w:bookmarkStart w:id="492" w:name="_Toc184043059"/>
      <w:bookmarkStart w:id="493" w:name="_Toc499711088"/>
      <w:bookmarkStart w:id="494" w:name="_Toc249515372"/>
      <w:bookmarkStart w:id="495" w:name="_Toc70687203"/>
      <w:bookmarkStart w:id="496" w:name="_Toc230583555"/>
      <w:bookmarkStart w:id="497" w:name="_Toc385992402"/>
      <w:bookmarkStart w:id="498" w:name="_Toc176882553"/>
      <w:bookmarkStart w:id="499" w:name="_Toc53722866"/>
      <w:bookmarkStart w:id="500" w:name="_Toc230013641"/>
      <w:bookmarkStart w:id="501" w:name="_Toc492955460"/>
      <w:bookmarkStart w:id="502" w:name="_Toc249525253"/>
      <w:bookmarkStart w:id="503" w:name="_Toc415499902"/>
      <w:bookmarkStart w:id="504" w:name="_Toc232176285"/>
      <w:bookmarkStart w:id="505" w:name="_Toc177817345"/>
      <w:bookmarkStart w:id="506" w:name="_Toc389620242"/>
      <w:bookmarkStart w:id="507" w:name="_Toc256342155"/>
      <w:bookmarkStart w:id="508" w:name="_Toc230099806"/>
      <w:bookmarkStart w:id="509" w:name="_Toc232395225"/>
      <w:bookmarkStart w:id="510" w:name="_Toc500747234"/>
      <w:bookmarkStart w:id="511" w:name="_Toc177189246"/>
      <w:bookmarkStart w:id="512" w:name="_Toc225933091"/>
      <w:bookmarkStart w:id="513" w:name="_Toc500747107"/>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b/>
          <w:bCs/>
          <w:color w:val="auto"/>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b/>
          <w:bCs/>
          <w:color w:val="auto"/>
          <w:highlight w:val="none"/>
        </w:rPr>
        <w:br w:type="page"/>
      </w:r>
    </w:p>
    <w:p>
      <w:pPr>
        <w:pStyle w:val="3"/>
        <w:jc w:val="center"/>
        <w:rPr>
          <w:rFonts w:hint="eastAsia" w:ascii="仿宋" w:hAnsi="仿宋" w:eastAsia="仿宋" w:cs="仿宋"/>
          <w:color w:val="auto"/>
          <w:highlight w:val="none"/>
        </w:rPr>
      </w:pPr>
      <w:r>
        <w:rPr>
          <w:rFonts w:hint="eastAsia" w:ascii="仿宋" w:hAnsi="仿宋" w:eastAsia="仿宋" w:cs="仿宋"/>
          <w:b/>
          <w:bCs/>
          <w:color w:val="auto"/>
          <w:highlight w:val="none"/>
        </w:rPr>
        <w:t>第三部分  偏离表</w:t>
      </w:r>
    </w:p>
    <w:p>
      <w:pPr>
        <w:pStyle w:val="4"/>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一、商务、合同条款偏离表</w:t>
      </w:r>
    </w:p>
    <w:p>
      <w:pPr>
        <w:pStyle w:val="22"/>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包号：（   ）包 </w:t>
      </w:r>
    </w:p>
    <w:p>
      <w:pPr>
        <w:pStyle w:val="28"/>
        <w:ind w:right="56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835" w:type="dxa"/>
            <w:vAlign w:val="center"/>
          </w:tcPr>
          <w:p>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谈判文件商务、合同条款</w:t>
            </w:r>
          </w:p>
        </w:tc>
        <w:tc>
          <w:tcPr>
            <w:tcW w:w="1701" w:type="dxa"/>
            <w:vAlign w:val="center"/>
          </w:tcPr>
          <w:p>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完全响应</w:t>
            </w:r>
          </w:p>
        </w:tc>
        <w:tc>
          <w:tcPr>
            <w:tcW w:w="1417" w:type="dxa"/>
            <w:vAlign w:val="center"/>
          </w:tcPr>
          <w:p>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有偏离</w:t>
            </w:r>
          </w:p>
        </w:tc>
        <w:tc>
          <w:tcPr>
            <w:tcW w:w="2195" w:type="dxa"/>
            <w:vAlign w:val="center"/>
          </w:tcPr>
          <w:p>
            <w:pPr>
              <w:pStyle w:val="2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hint="eastAsia" w:ascii="仿宋" w:hAnsi="仿宋" w:eastAsia="仿宋" w:cs="仿宋"/>
                <w:color w:val="auto"/>
                <w:sz w:val="24"/>
                <w:szCs w:val="24"/>
                <w:highlight w:val="none"/>
              </w:rPr>
            </w:pPr>
          </w:p>
        </w:tc>
        <w:tc>
          <w:tcPr>
            <w:tcW w:w="2835" w:type="dxa"/>
          </w:tcPr>
          <w:p>
            <w:pPr>
              <w:pStyle w:val="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1701" w:type="dxa"/>
          </w:tcPr>
          <w:p>
            <w:pPr>
              <w:pStyle w:val="28"/>
              <w:jc w:val="center"/>
              <w:rPr>
                <w:rFonts w:hint="eastAsia" w:ascii="仿宋" w:hAnsi="仿宋" w:eastAsia="仿宋" w:cs="仿宋"/>
                <w:color w:val="auto"/>
                <w:sz w:val="24"/>
                <w:szCs w:val="24"/>
                <w:highlight w:val="none"/>
              </w:rPr>
            </w:pPr>
          </w:p>
        </w:tc>
        <w:tc>
          <w:tcPr>
            <w:tcW w:w="1417" w:type="dxa"/>
          </w:tcPr>
          <w:p>
            <w:pPr>
              <w:pStyle w:val="28"/>
              <w:jc w:val="center"/>
              <w:rPr>
                <w:rFonts w:hint="eastAsia" w:ascii="仿宋" w:hAnsi="仿宋" w:eastAsia="仿宋" w:cs="仿宋"/>
                <w:color w:val="auto"/>
                <w:sz w:val="24"/>
                <w:szCs w:val="24"/>
                <w:highlight w:val="none"/>
              </w:rPr>
            </w:pPr>
          </w:p>
        </w:tc>
        <w:tc>
          <w:tcPr>
            <w:tcW w:w="2195" w:type="dxa"/>
          </w:tcPr>
          <w:p>
            <w:pPr>
              <w:pStyle w:val="28"/>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vAlign w:val="center"/>
          </w:tcPr>
          <w:p>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（交货期）</w:t>
            </w:r>
          </w:p>
        </w:tc>
        <w:tc>
          <w:tcPr>
            <w:tcW w:w="1701" w:type="dxa"/>
          </w:tcPr>
          <w:p>
            <w:pPr>
              <w:pStyle w:val="28"/>
              <w:ind w:left="1080" w:leftChars="257" w:hanging="540"/>
              <w:jc w:val="center"/>
              <w:rPr>
                <w:rFonts w:hint="eastAsia" w:ascii="仿宋" w:hAnsi="仿宋" w:eastAsia="仿宋" w:cs="仿宋"/>
                <w:color w:val="auto"/>
                <w:sz w:val="24"/>
                <w:szCs w:val="24"/>
                <w:highlight w:val="none"/>
              </w:rPr>
            </w:pPr>
          </w:p>
        </w:tc>
        <w:tc>
          <w:tcPr>
            <w:tcW w:w="1417" w:type="dxa"/>
          </w:tcPr>
          <w:p>
            <w:pPr>
              <w:pStyle w:val="28"/>
              <w:ind w:left="1080" w:leftChars="257" w:hanging="540"/>
              <w:jc w:val="center"/>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vAlign w:val="center"/>
          </w:tcPr>
          <w:p>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（付款方式）</w:t>
            </w:r>
          </w:p>
        </w:tc>
        <w:tc>
          <w:tcPr>
            <w:tcW w:w="1701" w:type="dxa"/>
          </w:tcPr>
          <w:p>
            <w:pPr>
              <w:pStyle w:val="28"/>
              <w:ind w:left="1080" w:leftChars="257" w:hanging="540"/>
              <w:rPr>
                <w:rFonts w:hint="eastAsia" w:ascii="仿宋" w:hAnsi="仿宋" w:eastAsia="仿宋" w:cs="仿宋"/>
                <w:color w:val="auto"/>
                <w:sz w:val="24"/>
                <w:szCs w:val="24"/>
                <w:highlight w:val="none"/>
              </w:rPr>
            </w:pPr>
          </w:p>
        </w:tc>
        <w:tc>
          <w:tcPr>
            <w:tcW w:w="1417" w:type="dxa"/>
          </w:tcPr>
          <w:p>
            <w:pPr>
              <w:pStyle w:val="28"/>
              <w:ind w:left="1080" w:leftChars="257" w:hanging="540"/>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vAlign w:val="center"/>
          </w:tcPr>
          <w:p>
            <w:pPr>
              <w:spacing w:line="360" w:lineRule="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质保期)</w:t>
            </w:r>
          </w:p>
        </w:tc>
        <w:tc>
          <w:tcPr>
            <w:tcW w:w="1701" w:type="dxa"/>
          </w:tcPr>
          <w:p>
            <w:pPr>
              <w:pStyle w:val="28"/>
              <w:ind w:left="1080" w:leftChars="257" w:hanging="540"/>
              <w:rPr>
                <w:rFonts w:hint="eastAsia" w:ascii="仿宋" w:hAnsi="仿宋" w:eastAsia="仿宋" w:cs="仿宋"/>
                <w:color w:val="auto"/>
                <w:sz w:val="24"/>
                <w:szCs w:val="24"/>
                <w:highlight w:val="none"/>
              </w:rPr>
            </w:pPr>
          </w:p>
        </w:tc>
        <w:tc>
          <w:tcPr>
            <w:tcW w:w="1417" w:type="dxa"/>
          </w:tcPr>
          <w:p>
            <w:pPr>
              <w:pStyle w:val="28"/>
              <w:ind w:left="1080" w:leftChars="257" w:hanging="540"/>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vAlign w:val="center"/>
          </w:tcPr>
          <w:p>
            <w:pPr>
              <w:spacing w:line="360" w:lineRule="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w:t>
            </w:r>
          </w:p>
        </w:tc>
        <w:tc>
          <w:tcPr>
            <w:tcW w:w="1701" w:type="dxa"/>
          </w:tcPr>
          <w:p>
            <w:pPr>
              <w:pStyle w:val="28"/>
              <w:ind w:left="1080" w:leftChars="257" w:hanging="540"/>
              <w:rPr>
                <w:rFonts w:hint="eastAsia" w:ascii="仿宋" w:hAnsi="仿宋" w:eastAsia="仿宋" w:cs="仿宋"/>
                <w:color w:val="auto"/>
                <w:sz w:val="24"/>
                <w:szCs w:val="24"/>
                <w:highlight w:val="none"/>
              </w:rPr>
            </w:pPr>
          </w:p>
        </w:tc>
        <w:tc>
          <w:tcPr>
            <w:tcW w:w="1417" w:type="dxa"/>
          </w:tcPr>
          <w:p>
            <w:pPr>
              <w:pStyle w:val="28"/>
              <w:ind w:left="1080" w:leftChars="257" w:hanging="540"/>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vAlign w:val="center"/>
          </w:tcPr>
          <w:p>
            <w:pPr>
              <w:spacing w:line="360" w:lineRule="auto"/>
              <w:jc w:val="center"/>
              <w:rPr>
                <w:rFonts w:hint="default" w:ascii="仿宋" w:hAnsi="仿宋" w:eastAsia="仿宋" w:cs="仿宋"/>
                <w:bCs/>
                <w:color w:val="auto"/>
                <w:sz w:val="24"/>
                <w:highlight w:val="none"/>
                <w:lang w:val="en-US" w:eastAsia="zh-CN"/>
              </w:rPr>
            </w:pPr>
          </w:p>
        </w:tc>
        <w:tc>
          <w:tcPr>
            <w:tcW w:w="1701" w:type="dxa"/>
          </w:tcPr>
          <w:p>
            <w:pPr>
              <w:pStyle w:val="28"/>
              <w:ind w:left="1080" w:leftChars="257" w:hanging="540"/>
              <w:rPr>
                <w:rFonts w:hint="eastAsia" w:ascii="仿宋" w:hAnsi="仿宋" w:eastAsia="仿宋" w:cs="仿宋"/>
                <w:color w:val="auto"/>
                <w:sz w:val="24"/>
                <w:szCs w:val="24"/>
                <w:highlight w:val="none"/>
              </w:rPr>
            </w:pPr>
          </w:p>
        </w:tc>
        <w:tc>
          <w:tcPr>
            <w:tcW w:w="1417" w:type="dxa"/>
          </w:tcPr>
          <w:p>
            <w:pPr>
              <w:pStyle w:val="28"/>
              <w:ind w:left="1080" w:leftChars="257" w:hanging="540"/>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vAlign w:val="center"/>
          </w:tcPr>
          <w:p>
            <w:pPr>
              <w:spacing w:line="360" w:lineRule="auto"/>
              <w:jc w:val="center"/>
              <w:rPr>
                <w:rFonts w:hint="eastAsia" w:ascii="仿宋" w:hAnsi="仿宋" w:eastAsia="仿宋" w:cs="仿宋"/>
                <w:bCs/>
                <w:color w:val="auto"/>
                <w:sz w:val="24"/>
                <w:highlight w:val="none"/>
              </w:rPr>
            </w:pPr>
          </w:p>
        </w:tc>
        <w:tc>
          <w:tcPr>
            <w:tcW w:w="1701" w:type="dxa"/>
          </w:tcPr>
          <w:p>
            <w:pPr>
              <w:pStyle w:val="28"/>
              <w:ind w:left="1080" w:leftChars="257" w:hanging="540"/>
              <w:rPr>
                <w:rFonts w:hint="eastAsia" w:ascii="仿宋" w:hAnsi="仿宋" w:eastAsia="仿宋" w:cs="仿宋"/>
                <w:color w:val="auto"/>
                <w:sz w:val="24"/>
                <w:szCs w:val="24"/>
                <w:highlight w:val="none"/>
              </w:rPr>
            </w:pPr>
          </w:p>
        </w:tc>
        <w:tc>
          <w:tcPr>
            <w:tcW w:w="1417" w:type="dxa"/>
          </w:tcPr>
          <w:p>
            <w:pPr>
              <w:pStyle w:val="28"/>
              <w:ind w:left="1080" w:leftChars="257" w:hanging="540"/>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tcPr>
          <w:p>
            <w:pPr>
              <w:pStyle w:val="28"/>
              <w:ind w:left="1080" w:leftChars="257" w:hanging="540"/>
              <w:rPr>
                <w:rFonts w:hint="eastAsia" w:ascii="仿宋" w:hAnsi="仿宋" w:eastAsia="仿宋" w:cs="仿宋"/>
                <w:color w:val="auto"/>
                <w:sz w:val="24"/>
                <w:szCs w:val="24"/>
                <w:highlight w:val="none"/>
              </w:rPr>
            </w:pPr>
          </w:p>
        </w:tc>
        <w:tc>
          <w:tcPr>
            <w:tcW w:w="1701" w:type="dxa"/>
          </w:tcPr>
          <w:p>
            <w:pPr>
              <w:pStyle w:val="28"/>
              <w:ind w:left="1080" w:leftChars="257" w:hanging="540"/>
              <w:rPr>
                <w:rFonts w:hint="eastAsia" w:ascii="仿宋" w:hAnsi="仿宋" w:eastAsia="仿宋" w:cs="仿宋"/>
                <w:color w:val="auto"/>
                <w:sz w:val="24"/>
                <w:szCs w:val="24"/>
                <w:highlight w:val="none"/>
              </w:rPr>
            </w:pPr>
          </w:p>
        </w:tc>
        <w:tc>
          <w:tcPr>
            <w:tcW w:w="1417" w:type="dxa"/>
          </w:tcPr>
          <w:p>
            <w:pPr>
              <w:pStyle w:val="28"/>
              <w:ind w:left="1080" w:leftChars="257" w:hanging="540"/>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color w:val="auto"/>
                <w:sz w:val="24"/>
                <w:szCs w:val="24"/>
                <w:highlight w:val="none"/>
              </w:rPr>
            </w:pPr>
          </w:p>
        </w:tc>
        <w:tc>
          <w:tcPr>
            <w:tcW w:w="2835" w:type="dxa"/>
          </w:tcPr>
          <w:p>
            <w:pPr>
              <w:pStyle w:val="28"/>
              <w:ind w:left="1080" w:leftChars="257" w:hanging="540"/>
              <w:rPr>
                <w:rFonts w:hint="eastAsia" w:ascii="仿宋" w:hAnsi="仿宋" w:eastAsia="仿宋" w:cs="仿宋"/>
                <w:color w:val="auto"/>
                <w:sz w:val="24"/>
                <w:szCs w:val="24"/>
                <w:highlight w:val="none"/>
              </w:rPr>
            </w:pPr>
          </w:p>
        </w:tc>
        <w:tc>
          <w:tcPr>
            <w:tcW w:w="1701" w:type="dxa"/>
          </w:tcPr>
          <w:p>
            <w:pPr>
              <w:pStyle w:val="28"/>
              <w:ind w:left="1080" w:leftChars="257" w:hanging="540"/>
              <w:rPr>
                <w:rFonts w:hint="eastAsia" w:ascii="仿宋" w:hAnsi="仿宋" w:eastAsia="仿宋" w:cs="仿宋"/>
                <w:color w:val="auto"/>
                <w:sz w:val="24"/>
                <w:szCs w:val="24"/>
                <w:highlight w:val="none"/>
              </w:rPr>
            </w:pPr>
          </w:p>
        </w:tc>
        <w:tc>
          <w:tcPr>
            <w:tcW w:w="1417" w:type="dxa"/>
          </w:tcPr>
          <w:p>
            <w:pPr>
              <w:pStyle w:val="28"/>
              <w:ind w:left="1080" w:leftChars="257" w:hanging="540"/>
              <w:rPr>
                <w:rFonts w:hint="eastAsia" w:ascii="仿宋" w:hAnsi="仿宋" w:eastAsia="仿宋" w:cs="仿宋"/>
                <w:color w:val="auto"/>
                <w:sz w:val="24"/>
                <w:szCs w:val="24"/>
                <w:highlight w:val="none"/>
              </w:rPr>
            </w:pPr>
          </w:p>
        </w:tc>
        <w:tc>
          <w:tcPr>
            <w:tcW w:w="2195" w:type="dxa"/>
          </w:tcPr>
          <w:p>
            <w:pPr>
              <w:pStyle w:val="28"/>
              <w:ind w:left="1080" w:leftChars="257" w:hanging="540"/>
              <w:rPr>
                <w:rFonts w:hint="eastAsia" w:ascii="仿宋" w:hAnsi="仿宋" w:eastAsia="仿宋" w:cs="仿宋"/>
                <w:color w:val="auto"/>
                <w:sz w:val="24"/>
                <w:szCs w:val="24"/>
                <w:highlight w:val="none"/>
              </w:rPr>
            </w:pPr>
          </w:p>
        </w:tc>
      </w:tr>
    </w:tbl>
    <w:p>
      <w:pPr>
        <w:pStyle w:val="28"/>
        <w:ind w:left="1080" w:leftChars="257" w:hanging="540"/>
        <w:rPr>
          <w:rFonts w:hint="eastAsia" w:ascii="仿宋" w:hAnsi="仿宋" w:eastAsia="仿宋" w:cs="仿宋"/>
          <w:color w:val="auto"/>
          <w:sz w:val="24"/>
          <w:szCs w:val="24"/>
          <w:highlight w:val="none"/>
        </w:rPr>
      </w:pP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32"/>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pPr>
        <w:spacing w:before="120" w:after="120" w:line="360" w:lineRule="auto"/>
        <w:ind w:firstLine="1920" w:firstLineChars="600"/>
        <w:rPr>
          <w:rFonts w:hint="eastAsia" w:ascii="仿宋" w:hAnsi="仿宋" w:eastAsia="仿宋" w:cs="仿宋"/>
          <w:color w:val="auto"/>
          <w:sz w:val="24"/>
          <w:highlight w:val="none"/>
        </w:rPr>
      </w:pPr>
      <w:r>
        <w:rPr>
          <w:rFonts w:hint="eastAsia" w:ascii="仿宋" w:hAnsi="仿宋" w:eastAsia="仿宋" w:cs="仿宋"/>
          <w:color w:val="auto"/>
          <w:sz w:val="32"/>
          <w:highlight w:val="none"/>
          <w:u w:val="single"/>
        </w:rPr>
        <w:t xml:space="preserve">                  </w:t>
      </w:r>
    </w:p>
    <w:p>
      <w:pPr>
        <w:snapToGrid w:val="0"/>
        <w:spacing w:after="158" w:afterLines="50"/>
        <w:ind w:left="844" w:leftChars="201" w:hanging="422" w:hangingChars="201"/>
        <w:rPr>
          <w:rFonts w:hint="eastAsia" w:ascii="仿宋" w:hAnsi="仿宋" w:eastAsia="仿宋" w:cs="仿宋"/>
          <w:color w:val="auto"/>
          <w:highlight w:val="none"/>
        </w:rPr>
      </w:pPr>
      <w:r>
        <w:rPr>
          <w:rFonts w:hint="eastAsia" w:ascii="仿宋" w:hAnsi="仿宋" w:eastAsia="仿宋" w:cs="仿宋"/>
          <w:color w:val="auto"/>
          <w:szCs w:val="21"/>
          <w:highlight w:val="none"/>
        </w:rPr>
        <w:t>注：</w:t>
      </w:r>
      <w:r>
        <w:rPr>
          <w:rFonts w:hint="eastAsia" w:ascii="仿宋" w:hAnsi="仿宋" w:eastAsia="仿宋" w:cs="仿宋"/>
          <w:color w:val="auto"/>
          <w:highlight w:val="none"/>
        </w:rPr>
        <w:tab/>
      </w: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对完全响应的，在下表相应列中标注“○”。对有偏离的条目在本表相应列中标注“正偏离”或“负偏离”，并在“偏离简述”栏中加以说明。</w:t>
      </w:r>
    </w:p>
    <w:p>
      <w:pPr>
        <w:snapToGrid w:val="0"/>
        <w:spacing w:after="158"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正偏离是指应答的条件高于谈判文件要求，负偏离是指应答的条件低于谈判文件要求，正偏离项目不作扣分处理。</w:t>
      </w:r>
    </w:p>
    <w:p>
      <w:pPr>
        <w:snapToGrid w:val="0"/>
        <w:spacing w:after="158"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供应商须完整填写响应表。如果未完整填写本表的各项内容则视作供应商已经对谈判文件相关要求和内容完全理解并同意，其报价为在此基础上的完全价格。</w:t>
      </w:r>
    </w:p>
    <w:p>
      <w:pPr>
        <w:snapToGrid w:val="0"/>
        <w:spacing w:after="158"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bookmarkStart w:id="514" w:name="_Toc7005136"/>
      <w:bookmarkStart w:id="515" w:name="_Toc410631184"/>
      <w:bookmarkStart w:id="516" w:name="_Toc416103825"/>
      <w:bookmarkStart w:id="517" w:name="_Toc414445775"/>
    </w:p>
    <w:p>
      <w:pPr>
        <w:pStyle w:val="4"/>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二、技术偏离表</w:t>
      </w:r>
      <w:bookmarkEnd w:id="514"/>
      <w:bookmarkEnd w:id="515"/>
      <w:bookmarkEnd w:id="516"/>
      <w:bookmarkEnd w:id="517"/>
    </w:p>
    <w:p>
      <w:pPr>
        <w:pStyle w:val="22"/>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包号：（   ）包 </w:t>
      </w:r>
    </w:p>
    <w:p>
      <w:pPr>
        <w:pStyle w:val="22"/>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谈判文件条目号</w:t>
            </w:r>
          </w:p>
        </w:tc>
        <w:tc>
          <w:tcPr>
            <w:tcW w:w="1932" w:type="dxa"/>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技术条款要求</w:t>
            </w:r>
          </w:p>
        </w:tc>
        <w:tc>
          <w:tcPr>
            <w:tcW w:w="1236" w:type="dxa"/>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完全响应</w:t>
            </w:r>
          </w:p>
        </w:tc>
        <w:tc>
          <w:tcPr>
            <w:tcW w:w="1236" w:type="dxa"/>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有偏离</w:t>
            </w:r>
          </w:p>
        </w:tc>
        <w:tc>
          <w:tcPr>
            <w:tcW w:w="2394" w:type="dxa"/>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color w:val="auto"/>
                <w:sz w:val="24"/>
                <w:highlight w:val="none"/>
              </w:rPr>
            </w:pPr>
          </w:p>
        </w:tc>
        <w:tc>
          <w:tcPr>
            <w:tcW w:w="1932"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2394" w:type="dxa"/>
          </w:tcPr>
          <w:p>
            <w:pPr>
              <w:spacing w:line="400" w:lineRule="exact"/>
              <w:rPr>
                <w:rFonts w:hint="eastAsia" w:ascii="仿宋" w:hAnsi="仿宋" w:eastAsia="仿宋" w:cs="仿宋"/>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color w:val="auto"/>
                <w:sz w:val="24"/>
                <w:highlight w:val="none"/>
              </w:rPr>
            </w:pPr>
          </w:p>
        </w:tc>
        <w:tc>
          <w:tcPr>
            <w:tcW w:w="1932"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2394" w:type="dxa"/>
          </w:tcPr>
          <w:p>
            <w:pPr>
              <w:spacing w:line="400" w:lineRule="exact"/>
              <w:rPr>
                <w:rFonts w:hint="eastAsia" w:ascii="仿宋" w:hAnsi="仿宋" w:eastAsia="仿宋" w:cs="仿宋"/>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color w:val="auto"/>
                <w:sz w:val="24"/>
                <w:highlight w:val="none"/>
              </w:rPr>
            </w:pPr>
          </w:p>
        </w:tc>
        <w:tc>
          <w:tcPr>
            <w:tcW w:w="1932"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2394" w:type="dxa"/>
          </w:tcPr>
          <w:p>
            <w:pPr>
              <w:spacing w:line="400" w:lineRule="exact"/>
              <w:rPr>
                <w:rFonts w:hint="eastAsia" w:ascii="仿宋" w:hAnsi="仿宋" w:eastAsia="仿宋" w:cs="仿宋"/>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color w:val="auto"/>
                <w:sz w:val="24"/>
                <w:highlight w:val="none"/>
              </w:rPr>
            </w:pPr>
          </w:p>
        </w:tc>
        <w:tc>
          <w:tcPr>
            <w:tcW w:w="1932"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2394" w:type="dxa"/>
          </w:tcPr>
          <w:p>
            <w:pPr>
              <w:spacing w:line="400" w:lineRule="exact"/>
              <w:rPr>
                <w:rFonts w:hint="eastAsia" w:ascii="仿宋" w:hAnsi="仿宋" w:eastAsia="仿宋" w:cs="仿宋"/>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color w:val="auto"/>
                <w:sz w:val="24"/>
                <w:highlight w:val="none"/>
              </w:rPr>
            </w:pPr>
          </w:p>
        </w:tc>
        <w:tc>
          <w:tcPr>
            <w:tcW w:w="1932"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2394" w:type="dxa"/>
          </w:tcPr>
          <w:p>
            <w:pPr>
              <w:spacing w:line="400" w:lineRule="exact"/>
              <w:rPr>
                <w:rFonts w:hint="eastAsia" w:ascii="仿宋" w:hAnsi="仿宋" w:eastAsia="仿宋" w:cs="仿宋"/>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color w:val="auto"/>
                <w:sz w:val="24"/>
                <w:highlight w:val="none"/>
              </w:rPr>
            </w:pPr>
          </w:p>
        </w:tc>
        <w:tc>
          <w:tcPr>
            <w:tcW w:w="1932" w:type="dxa"/>
          </w:tcPr>
          <w:p>
            <w:pPr>
              <w:spacing w:line="400" w:lineRule="exact"/>
              <w:rPr>
                <w:rFonts w:hint="eastAsia" w:ascii="仿宋" w:hAnsi="仿宋" w:eastAsia="仿宋" w:cs="仿宋"/>
                <w:bCs/>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2394" w:type="dxa"/>
          </w:tcPr>
          <w:p>
            <w:pPr>
              <w:spacing w:line="400" w:lineRule="exact"/>
              <w:rPr>
                <w:rFonts w:hint="eastAsia" w:ascii="仿宋" w:hAnsi="仿宋" w:eastAsia="仿宋" w:cs="仿宋"/>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color w:val="auto"/>
                <w:sz w:val="24"/>
                <w:highlight w:val="none"/>
              </w:rPr>
            </w:pPr>
          </w:p>
        </w:tc>
        <w:tc>
          <w:tcPr>
            <w:tcW w:w="1932" w:type="dxa"/>
          </w:tcPr>
          <w:p>
            <w:pPr>
              <w:spacing w:line="400" w:lineRule="exact"/>
              <w:rPr>
                <w:rFonts w:hint="eastAsia" w:ascii="仿宋" w:hAnsi="仿宋" w:eastAsia="仿宋" w:cs="仿宋"/>
                <w:bCs/>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1236" w:type="dxa"/>
          </w:tcPr>
          <w:p>
            <w:pPr>
              <w:spacing w:line="400" w:lineRule="exact"/>
              <w:rPr>
                <w:rFonts w:hint="eastAsia" w:ascii="仿宋" w:hAnsi="仿宋" w:eastAsia="仿宋" w:cs="仿宋"/>
                <w:color w:val="auto"/>
                <w:sz w:val="24"/>
                <w:highlight w:val="none"/>
              </w:rPr>
            </w:pPr>
          </w:p>
        </w:tc>
        <w:tc>
          <w:tcPr>
            <w:tcW w:w="2394" w:type="dxa"/>
          </w:tcPr>
          <w:p>
            <w:pPr>
              <w:spacing w:line="400" w:lineRule="exact"/>
              <w:rPr>
                <w:rFonts w:hint="eastAsia" w:ascii="仿宋" w:hAnsi="仿宋" w:eastAsia="仿宋" w:cs="仿宋"/>
                <w:color w:val="auto"/>
                <w:sz w:val="24"/>
                <w:highlight w:val="none"/>
              </w:rPr>
            </w:pPr>
          </w:p>
        </w:tc>
      </w:tr>
    </w:tbl>
    <w:p>
      <w:pPr>
        <w:spacing w:line="360" w:lineRule="auto"/>
        <w:ind w:firstLine="1920" w:firstLineChars="800"/>
        <w:rPr>
          <w:rFonts w:hint="eastAsia" w:ascii="仿宋" w:hAnsi="仿宋" w:eastAsia="仿宋" w:cs="仿宋"/>
          <w:color w:val="auto"/>
          <w:sz w:val="24"/>
          <w:highlight w:val="none"/>
        </w:rPr>
      </w:pP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pPr>
        <w:spacing w:line="360" w:lineRule="auto"/>
        <w:rPr>
          <w:rFonts w:hint="eastAsia" w:ascii="仿宋" w:hAnsi="仿宋" w:eastAsia="仿宋" w:cs="仿宋"/>
          <w:color w:val="auto"/>
          <w:highlight w:val="none"/>
        </w:rPr>
      </w:pPr>
    </w:p>
    <w:p>
      <w:pPr>
        <w:snapToGrid w:val="0"/>
        <w:spacing w:after="158" w:afterLines="50"/>
        <w:ind w:left="850" w:hanging="850" w:hangingChars="405"/>
        <w:rPr>
          <w:rFonts w:hint="eastAsia" w:ascii="仿宋" w:hAnsi="仿宋" w:eastAsia="仿宋" w:cs="仿宋"/>
          <w:color w:val="auto"/>
          <w:highlight w:val="none"/>
        </w:rPr>
      </w:pPr>
      <w:r>
        <w:rPr>
          <w:rFonts w:hint="eastAsia" w:ascii="仿宋" w:hAnsi="仿宋" w:eastAsia="仿宋" w:cs="仿宋"/>
          <w:color w:val="auto"/>
          <w:highlight w:val="none"/>
        </w:rPr>
        <w:t>注：1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158" w:afterLines="50"/>
        <w:ind w:left="850" w:leftChars="203" w:hanging="424" w:hangingChars="202"/>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正偏离是指应答的条件高于谈判文件要求，负偏离是指应答的条件低于谈判文件要求，正偏离项目不作扣分处理。</w:t>
      </w:r>
    </w:p>
    <w:p>
      <w:pPr>
        <w:tabs>
          <w:tab w:val="left" w:pos="1200"/>
        </w:tabs>
        <w:snapToGrid w:val="0"/>
        <w:spacing w:after="158" w:afterLines="50"/>
        <w:ind w:left="850" w:leftChars="203" w:hanging="424" w:hangingChars="202"/>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58" w:afterLines="50"/>
        <w:ind w:left="850" w:leftChars="203" w:hanging="424" w:hangingChars="202"/>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pStyle w:val="3"/>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第四部分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响应方案说明</w:t>
      </w:r>
    </w:p>
    <w:p>
      <w:pPr>
        <w:pStyle w:val="22"/>
        <w:rPr>
          <w:rFonts w:hint="eastAsia" w:ascii="仿宋" w:hAnsi="仿宋" w:eastAsia="仿宋" w:cs="仿宋"/>
          <w:color w:val="auto"/>
          <w:highlight w:val="none"/>
          <w:lang w:val="zh-CN"/>
        </w:rPr>
      </w:pPr>
    </w:p>
    <w:p>
      <w:pPr>
        <w:autoSpaceDE w:val="0"/>
        <w:autoSpaceDN w:val="0"/>
        <w:adjustRightInd w:val="0"/>
        <w:spacing w:line="360"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（格式自拟）</w:t>
      </w:r>
    </w:p>
    <w:p>
      <w:pPr>
        <w:pStyle w:val="22"/>
        <w:rPr>
          <w:rFonts w:hint="eastAsia" w:ascii="仿宋" w:hAnsi="仿宋" w:eastAsia="仿宋" w:cs="仿宋"/>
          <w:color w:val="auto"/>
          <w:sz w:val="24"/>
          <w:highlight w:val="none"/>
        </w:rPr>
      </w:pPr>
      <w:r>
        <w:rPr>
          <w:rFonts w:hint="eastAsia" w:ascii="仿宋" w:hAnsi="仿宋" w:eastAsia="仿宋" w:cs="仿宋"/>
          <w:color w:val="auto"/>
          <w:highlight w:val="none"/>
          <w:lang w:val="zh-CN"/>
        </w:rPr>
        <w:br w:type="page"/>
      </w:r>
    </w:p>
    <w:p>
      <w:pPr>
        <w:jc w:val="center"/>
        <w:outlineLvl w:val="1"/>
        <w:rPr>
          <w:rFonts w:hint="eastAsia" w:ascii="仿宋" w:hAnsi="仿宋" w:eastAsia="仿宋" w:cs="仿宋"/>
          <w:b/>
          <w:bCs/>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en-US" w:eastAsia="zh-CN" w:bidi="ar-SA"/>
        </w:rPr>
        <w:t>第五部分 中小企业、监狱企业、残疾人福利单位声明函或证明</w:t>
      </w:r>
    </w:p>
    <w:p>
      <w:pPr>
        <w:spacing w:line="360" w:lineRule="auto"/>
        <w:jc w:val="center"/>
        <w:outlineLvl w:val="1"/>
        <w:rPr>
          <w:rFonts w:hint="eastAsia" w:ascii="仿宋" w:hAnsi="仿宋" w:eastAsia="仿宋" w:cs="仿宋"/>
          <w:b/>
          <w:color w:val="auto"/>
          <w:sz w:val="28"/>
          <w:szCs w:val="28"/>
          <w:highlight w:val="none"/>
        </w:rPr>
      </w:pPr>
    </w:p>
    <w:p>
      <w:pPr>
        <w:pStyle w:val="67"/>
        <w:numPr>
          <w:ilvl w:val="0"/>
          <w:numId w:val="0"/>
        </w:numPr>
        <w:spacing w:line="360" w:lineRule="auto"/>
        <w:ind w:left="284" w:leftChars="0"/>
        <w:jc w:val="center"/>
        <w:outlineLvl w:val="1"/>
        <w:rPr>
          <w:rFonts w:ascii="Times New Roman" w:hAnsi="Times New Roman" w:eastAsia="仿宋_GB2312"/>
          <w:b/>
          <w:color w:val="auto"/>
          <w:sz w:val="28"/>
          <w:szCs w:val="28"/>
          <w:highlight w:val="none"/>
        </w:rPr>
      </w:pP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w:t>
      </w:r>
      <w:bookmarkStart w:id="518" w:name="_Toc7005132"/>
      <w:r>
        <w:rPr>
          <w:rFonts w:ascii="Times New Roman" w:hAnsi="Times New Roman" w:eastAsia="仿宋_GB2312"/>
          <w:b/>
          <w:color w:val="auto"/>
          <w:sz w:val="28"/>
          <w:szCs w:val="28"/>
          <w:highlight w:val="none"/>
        </w:rPr>
        <w:t>中小企业声明函</w:t>
      </w:r>
      <w:bookmarkEnd w:id="518"/>
      <w:r>
        <w:rPr>
          <w:rFonts w:ascii="Times New Roman" w:hAnsi="Times New Roman" w:eastAsia="仿宋_GB2312"/>
          <w:b/>
          <w:color w:val="auto"/>
          <w:sz w:val="28"/>
          <w:szCs w:val="28"/>
          <w:highlight w:val="none"/>
        </w:rPr>
        <w:t>（货物）</w:t>
      </w:r>
    </w:p>
    <w:p>
      <w:pPr>
        <w:jc w:val="center"/>
        <w:rPr>
          <w:rFonts w:eastAsia="仿宋_GB2312"/>
          <w:color w:val="auto"/>
          <w:szCs w:val="21"/>
          <w:highlight w:val="none"/>
        </w:rPr>
      </w:pPr>
      <w:r>
        <w:rPr>
          <w:rFonts w:eastAsia="仿宋_GB2312"/>
          <w:color w:val="auto"/>
          <w:szCs w:val="21"/>
          <w:highlight w:val="none"/>
        </w:rPr>
        <w:t>（注：符合中小企业划型标准的企业请提供本函，不符合的不提供本函）</w:t>
      </w:r>
    </w:p>
    <w:p>
      <w:pPr>
        <w:snapToGrid w:val="0"/>
        <w:spacing w:before="120" w:beforeLines="50"/>
        <w:ind w:firstLine="480" w:firstLineChars="200"/>
        <w:rPr>
          <w:rFonts w:eastAsia="仿宋_GB2312"/>
          <w:color w:val="auto"/>
          <w:sz w:val="24"/>
          <w:highlight w:val="none"/>
        </w:rPr>
      </w:pP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本公司</w:t>
      </w:r>
      <w:r>
        <w:rPr>
          <w:rFonts w:hint="eastAsia" w:eastAsia="仿宋_GB2312"/>
          <w:color w:val="auto"/>
          <w:kern w:val="0"/>
          <w:sz w:val="24"/>
          <w:highlight w:val="none"/>
          <w:lang w:eastAsia="zh-CN"/>
        </w:rPr>
        <w:t>（</w:t>
      </w:r>
      <w:r>
        <w:rPr>
          <w:rFonts w:eastAsia="仿宋_GB2312"/>
          <w:color w:val="auto"/>
          <w:kern w:val="0"/>
          <w:sz w:val="24"/>
          <w:highlight w:val="none"/>
        </w:rPr>
        <w:t>联合体</w:t>
      </w:r>
      <w:r>
        <w:rPr>
          <w:rFonts w:hint="eastAsia" w:eastAsia="仿宋_GB2312"/>
          <w:color w:val="auto"/>
          <w:kern w:val="0"/>
          <w:sz w:val="24"/>
          <w:highlight w:val="none"/>
          <w:lang w:eastAsia="zh-CN"/>
        </w:rPr>
        <w:t>）</w:t>
      </w:r>
      <w:r>
        <w:rPr>
          <w:rFonts w:eastAsia="仿宋_GB2312"/>
          <w:color w:val="auto"/>
          <w:kern w:val="0"/>
          <w:sz w:val="24"/>
          <w:highlight w:val="none"/>
        </w:rPr>
        <w:t>郑重声明，根据《政府采购促进中小企业发展管理办法》</w:t>
      </w:r>
      <w:r>
        <w:rPr>
          <w:rFonts w:hint="eastAsia" w:eastAsia="仿宋_GB2312"/>
          <w:color w:val="auto"/>
          <w:kern w:val="0"/>
          <w:sz w:val="24"/>
          <w:highlight w:val="none"/>
          <w:lang w:eastAsia="zh-CN"/>
        </w:rPr>
        <w:t>（</w:t>
      </w:r>
      <w:r>
        <w:rPr>
          <w:rFonts w:eastAsia="仿宋_GB2312"/>
          <w:color w:val="auto"/>
          <w:kern w:val="0"/>
          <w:sz w:val="24"/>
          <w:highlight w:val="none"/>
        </w:rPr>
        <w:t>财库﹝2020﹞46号</w:t>
      </w:r>
      <w:r>
        <w:rPr>
          <w:rFonts w:hint="eastAsia" w:eastAsia="仿宋_GB2312"/>
          <w:color w:val="auto"/>
          <w:kern w:val="0"/>
          <w:sz w:val="24"/>
          <w:highlight w:val="none"/>
          <w:lang w:eastAsia="zh-CN"/>
        </w:rPr>
        <w:t>）</w:t>
      </w:r>
      <w:r>
        <w:rPr>
          <w:rFonts w:eastAsia="仿宋_GB2312"/>
          <w:color w:val="auto"/>
          <w:kern w:val="0"/>
          <w:sz w:val="24"/>
          <w:highlight w:val="none"/>
        </w:rPr>
        <w:t>的规定，本公司</w:t>
      </w:r>
      <w:r>
        <w:rPr>
          <w:rFonts w:hint="eastAsia" w:eastAsia="仿宋_GB2312"/>
          <w:color w:val="auto"/>
          <w:kern w:val="0"/>
          <w:sz w:val="24"/>
          <w:highlight w:val="none"/>
          <w:lang w:eastAsia="zh-CN"/>
        </w:rPr>
        <w:t>（</w:t>
      </w:r>
      <w:r>
        <w:rPr>
          <w:rFonts w:eastAsia="仿宋_GB2312"/>
          <w:color w:val="auto"/>
          <w:kern w:val="0"/>
          <w:sz w:val="24"/>
          <w:highlight w:val="none"/>
        </w:rPr>
        <w:t>联合体</w:t>
      </w:r>
      <w:r>
        <w:rPr>
          <w:rFonts w:hint="eastAsia" w:eastAsia="仿宋_GB2312"/>
          <w:color w:val="auto"/>
          <w:kern w:val="0"/>
          <w:sz w:val="24"/>
          <w:highlight w:val="none"/>
          <w:lang w:eastAsia="zh-CN"/>
        </w:rPr>
        <w:t>）</w:t>
      </w:r>
      <w:r>
        <w:rPr>
          <w:rFonts w:eastAsia="仿宋_GB2312"/>
          <w:color w:val="auto"/>
          <w:kern w:val="0"/>
          <w:sz w:val="24"/>
          <w:highlight w:val="none"/>
        </w:rPr>
        <w:t>参加</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单位名称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 xml:space="preserve"> 的</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项目名称</w:t>
      </w:r>
      <w:r>
        <w:rPr>
          <w:rFonts w:hint="eastAsia" w:eastAsia="仿宋_GB2312"/>
          <w:color w:val="auto"/>
          <w:kern w:val="0"/>
          <w:sz w:val="24"/>
          <w:highlight w:val="none"/>
          <w:u w:val="single"/>
          <w:lang w:eastAsia="zh-CN"/>
        </w:rPr>
        <w:t xml:space="preserve">）、                         包号：（   ）包 </w:t>
      </w:r>
      <w:r>
        <w:rPr>
          <w:rFonts w:eastAsia="仿宋_GB2312"/>
          <w:color w:val="auto"/>
          <w:kern w:val="0"/>
          <w:sz w:val="24"/>
          <w:highlight w:val="none"/>
          <w:u w:val="single"/>
        </w:rPr>
        <w:t>采购</w:t>
      </w:r>
      <w:r>
        <w:rPr>
          <w:rFonts w:eastAsia="仿宋_GB2312"/>
          <w:color w:val="auto"/>
          <w:kern w:val="0"/>
          <w:sz w:val="24"/>
          <w:highlight w:val="none"/>
        </w:rPr>
        <w:t>活动，提供的货物全部由符合政策要求的中小企业制造。相关企业</w:t>
      </w:r>
      <w:r>
        <w:rPr>
          <w:rFonts w:hint="eastAsia" w:eastAsia="仿宋_GB2312"/>
          <w:color w:val="auto"/>
          <w:kern w:val="0"/>
          <w:sz w:val="24"/>
          <w:highlight w:val="none"/>
          <w:lang w:eastAsia="zh-CN"/>
        </w:rPr>
        <w:t>（</w:t>
      </w:r>
      <w:r>
        <w:rPr>
          <w:rFonts w:eastAsia="仿宋_GB2312"/>
          <w:color w:val="auto"/>
          <w:kern w:val="0"/>
          <w:sz w:val="24"/>
          <w:highlight w:val="none"/>
        </w:rPr>
        <w:t>含联合体中的中小企业、签订分包意向协议的中小企业</w:t>
      </w:r>
      <w:r>
        <w:rPr>
          <w:rFonts w:hint="eastAsia" w:eastAsia="仿宋_GB2312"/>
          <w:color w:val="auto"/>
          <w:kern w:val="0"/>
          <w:sz w:val="24"/>
          <w:highlight w:val="none"/>
          <w:lang w:eastAsia="zh-CN"/>
        </w:rPr>
        <w:t>）</w:t>
      </w:r>
      <w:r>
        <w:rPr>
          <w:rFonts w:eastAsia="仿宋_GB2312"/>
          <w:color w:val="auto"/>
          <w:kern w:val="0"/>
          <w:sz w:val="24"/>
          <w:highlight w:val="none"/>
        </w:rPr>
        <w:t>的具体情况如下：</w:t>
      </w:r>
    </w:p>
    <w:p>
      <w:pPr>
        <w:pStyle w:val="67"/>
        <w:numPr>
          <w:ilvl w:val="0"/>
          <w:numId w:val="0"/>
        </w:numPr>
        <w:spacing w:line="560" w:lineRule="exact"/>
        <w:ind w:left="479" w:leftChars="228" w:firstLine="0" w:firstLineChars="0"/>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u w:val="none"/>
          <w:lang w:val="en-US" w:eastAsia="zh-CN"/>
        </w:rPr>
        <w:t>1.</w:t>
      </w:r>
      <w:r>
        <w:rPr>
          <w:rFonts w:ascii="Times New Roman" w:hAnsi="Times New Roman" w:eastAsia="仿宋_GB2312"/>
          <w:color w:val="auto"/>
          <w:kern w:val="0"/>
          <w:sz w:val="24"/>
          <w:szCs w:val="24"/>
          <w:highlight w:val="none"/>
          <w:u w:val="none"/>
        </w:rPr>
        <w:t xml:space="preserve"> </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标的名称</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，属于</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采购文件中明确的所属行业</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行业</w:t>
      </w:r>
      <w:r>
        <w:rPr>
          <w:rFonts w:ascii="Times New Roman" w:hAnsi="Times New Roman" w:eastAsia="仿宋_GB2312"/>
          <w:color w:val="auto"/>
          <w:kern w:val="0"/>
          <w:sz w:val="24"/>
          <w:szCs w:val="24"/>
          <w:highlight w:val="none"/>
        </w:rPr>
        <w:t xml:space="preserve"> ；制造商为</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企业名称</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，从业人员</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人，营业收入为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万元，资产总额为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 xml:space="preserve">万元，属于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中型企业、小型企业、微型企业）</w:t>
      </w:r>
      <w:r>
        <w:rPr>
          <w:rFonts w:ascii="Times New Roman" w:hAnsi="Times New Roman" w:eastAsia="仿宋_GB2312"/>
          <w:color w:val="auto"/>
          <w:kern w:val="0"/>
          <w:sz w:val="24"/>
          <w:szCs w:val="24"/>
          <w:highlight w:val="none"/>
        </w:rPr>
        <w:t>；</w:t>
      </w:r>
    </w:p>
    <w:p>
      <w:pPr>
        <w:pStyle w:val="67"/>
        <w:numPr>
          <w:ilvl w:val="0"/>
          <w:numId w:val="0"/>
        </w:numPr>
        <w:spacing w:line="560" w:lineRule="exact"/>
        <w:ind w:left="445" w:leftChars="212" w:firstLine="13" w:firstLineChars="0"/>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u w:val="none"/>
          <w:lang w:val="en-US" w:eastAsia="zh-CN"/>
        </w:rPr>
        <w:t>2.</w:t>
      </w:r>
      <w:r>
        <w:rPr>
          <w:rFonts w:ascii="Times New Roman" w:hAnsi="Times New Roman" w:eastAsia="仿宋_GB2312"/>
          <w:color w:val="auto"/>
          <w:kern w:val="0"/>
          <w:sz w:val="24"/>
          <w:szCs w:val="24"/>
          <w:highlight w:val="none"/>
          <w:u w:val="none"/>
        </w:rPr>
        <w:t xml:space="preserve"> </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标的名称</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，属于</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采购文件中明确的所属行业</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行业</w:t>
      </w:r>
      <w:r>
        <w:rPr>
          <w:rFonts w:ascii="Times New Roman" w:hAnsi="Times New Roman" w:eastAsia="仿宋_GB2312"/>
          <w:color w:val="auto"/>
          <w:kern w:val="0"/>
          <w:sz w:val="24"/>
          <w:szCs w:val="24"/>
          <w:highlight w:val="none"/>
        </w:rPr>
        <w:t xml:space="preserve"> ；制造商为</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企业名称</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，从业人员</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人，营业收入为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万元，资产总额为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 xml:space="preserve">万元，属于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中型企业、小型企业、微型企业）</w:t>
      </w:r>
      <w:r>
        <w:rPr>
          <w:rFonts w:ascii="Times New Roman" w:hAnsi="Times New Roman" w:eastAsia="仿宋_GB2312"/>
          <w:color w:val="auto"/>
          <w:kern w:val="0"/>
          <w:sz w:val="24"/>
          <w:szCs w:val="24"/>
          <w:highlight w:val="none"/>
        </w:rPr>
        <w:t>；</w:t>
      </w: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w:t>
      </w: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本企业对上述声明内容的真实性负责。如有虚假，将依法承担相应责任。</w:t>
      </w:r>
    </w:p>
    <w:p>
      <w:pPr>
        <w:spacing w:line="560" w:lineRule="exact"/>
        <w:ind w:firstLine="3480" w:firstLineChars="1450"/>
        <w:rPr>
          <w:rFonts w:eastAsia="仿宋_GB2312"/>
          <w:color w:val="auto"/>
          <w:kern w:val="0"/>
          <w:sz w:val="24"/>
          <w:highlight w:val="none"/>
        </w:rPr>
      </w:pPr>
    </w:p>
    <w:p>
      <w:pPr>
        <w:spacing w:line="560" w:lineRule="exact"/>
        <w:ind w:firstLine="3480" w:firstLineChars="1450"/>
        <w:rPr>
          <w:rFonts w:eastAsia="仿宋_GB2312"/>
          <w:color w:val="auto"/>
          <w:kern w:val="0"/>
          <w:sz w:val="24"/>
          <w:highlight w:val="none"/>
        </w:rPr>
      </w:pPr>
      <w:r>
        <w:rPr>
          <w:rFonts w:eastAsia="仿宋_GB2312"/>
          <w:color w:val="auto"/>
          <w:kern w:val="0"/>
          <w:sz w:val="24"/>
          <w:highlight w:val="none"/>
        </w:rPr>
        <w:t>企业名称</w:t>
      </w:r>
      <w:r>
        <w:rPr>
          <w:rFonts w:hint="eastAsia" w:eastAsia="仿宋_GB2312"/>
          <w:color w:val="auto"/>
          <w:kern w:val="0"/>
          <w:sz w:val="24"/>
          <w:highlight w:val="none"/>
          <w:lang w:eastAsia="zh-CN"/>
        </w:rPr>
        <w:t>（</w:t>
      </w:r>
      <w:r>
        <w:rPr>
          <w:rFonts w:eastAsia="仿宋_GB2312"/>
          <w:color w:val="auto"/>
          <w:kern w:val="0"/>
          <w:sz w:val="24"/>
          <w:highlight w:val="none"/>
        </w:rPr>
        <w:t>盖章</w:t>
      </w:r>
      <w:r>
        <w:rPr>
          <w:rFonts w:hint="eastAsia" w:eastAsia="仿宋_GB2312"/>
          <w:color w:val="auto"/>
          <w:kern w:val="0"/>
          <w:sz w:val="24"/>
          <w:highlight w:val="none"/>
          <w:lang w:eastAsia="zh-CN"/>
        </w:rPr>
        <w:t>）</w:t>
      </w:r>
      <w:r>
        <w:rPr>
          <w:rFonts w:eastAsia="仿宋_GB2312"/>
          <w:color w:val="auto"/>
          <w:kern w:val="0"/>
          <w:sz w:val="24"/>
          <w:highlight w:val="none"/>
        </w:rPr>
        <w:t>：</w:t>
      </w:r>
    </w:p>
    <w:p>
      <w:pPr>
        <w:spacing w:line="560" w:lineRule="exact"/>
        <w:ind w:firstLine="3480" w:firstLineChars="1450"/>
        <w:rPr>
          <w:rFonts w:eastAsia="仿宋_GB2312"/>
          <w:color w:val="auto"/>
          <w:kern w:val="0"/>
          <w:sz w:val="24"/>
          <w:highlight w:val="none"/>
        </w:rPr>
      </w:pPr>
      <w:r>
        <w:rPr>
          <w:rFonts w:eastAsia="仿宋_GB2312"/>
          <w:color w:val="auto"/>
          <w:kern w:val="0"/>
          <w:sz w:val="24"/>
          <w:highlight w:val="none"/>
        </w:rPr>
        <w:t>日期：</w:t>
      </w:r>
    </w:p>
    <w:p>
      <w:pPr>
        <w:pStyle w:val="22"/>
        <w:ind w:firstLine="480"/>
        <w:rPr>
          <w:rFonts w:ascii="Times New Roman" w:hAnsi="Times New Roman" w:eastAsia="仿宋_GB2312"/>
          <w:color w:val="auto"/>
          <w:highlight w:val="none"/>
        </w:rPr>
      </w:pPr>
    </w:p>
    <w:p>
      <w:pPr>
        <w:ind w:left="450" w:hanging="450" w:hangingChars="150"/>
        <w:rPr>
          <w:rFonts w:eastAsia="仿宋_GB2312"/>
          <w:color w:val="auto"/>
          <w:kern w:val="0"/>
          <w:sz w:val="18"/>
          <w:szCs w:val="18"/>
          <w:highlight w:val="none"/>
        </w:rPr>
      </w:pPr>
      <w:r>
        <w:rPr>
          <w:rFonts w:eastAsia="仿宋_GB2312"/>
          <w:color w:val="auto"/>
          <w:kern w:val="0"/>
          <w:sz w:val="30"/>
          <w:szCs w:val="30"/>
          <w:highlight w:val="none"/>
        </w:rPr>
        <w:t xml:space="preserve"> </w:t>
      </w:r>
      <w:r>
        <w:rPr>
          <w:rFonts w:eastAsia="仿宋_GB2312"/>
          <w:color w:val="auto"/>
          <w:kern w:val="0"/>
          <w:sz w:val="30"/>
          <w:szCs w:val="30"/>
          <w:highlight w:val="none"/>
          <w:u w:val="single"/>
        </w:rPr>
        <w:t xml:space="preserve">                                                     </w:t>
      </w:r>
      <w:r>
        <w:rPr>
          <w:rFonts w:eastAsia="仿宋_GB2312"/>
          <w:color w:val="auto"/>
          <w:kern w:val="0"/>
          <w:sz w:val="30"/>
          <w:szCs w:val="30"/>
          <w:highlight w:val="none"/>
        </w:rPr>
        <w:t xml:space="preserve">    </w:t>
      </w:r>
      <w:r>
        <w:rPr>
          <w:rFonts w:eastAsia="仿宋_GB2312"/>
          <w:color w:val="auto"/>
          <w:kern w:val="0"/>
          <w:sz w:val="18"/>
          <w:szCs w:val="18"/>
          <w:highlight w:val="none"/>
        </w:rPr>
        <w:t xml:space="preserve"> </w:t>
      </w:r>
    </w:p>
    <w:p>
      <w:pPr>
        <w:ind w:left="315" w:leftChars="150" w:firstLine="270" w:firstLineChars="150"/>
        <w:rPr>
          <w:rFonts w:eastAsia="仿宋_GB2312"/>
          <w:color w:val="auto"/>
          <w:kern w:val="0"/>
          <w:sz w:val="18"/>
          <w:szCs w:val="18"/>
          <w:highlight w:val="none"/>
        </w:rPr>
      </w:pPr>
      <w:r>
        <w:rPr>
          <w:rFonts w:eastAsia="仿宋_GB2312"/>
          <w:color w:val="auto"/>
          <w:kern w:val="0"/>
          <w:sz w:val="18"/>
          <w:szCs w:val="18"/>
          <w:highlight w:val="none"/>
        </w:rPr>
        <w:t>（从业人员、营业收入、资产总额填报上一年度数据，无上一年度数据的新成立企业可不填报）</w:t>
      </w:r>
    </w:p>
    <w:p>
      <w:pPr>
        <w:ind w:left="315" w:leftChars="150" w:firstLine="270" w:firstLineChars="150"/>
        <w:rPr>
          <w:rFonts w:hint="eastAsia" w:ascii="仿宋" w:hAnsi="仿宋" w:eastAsia="仿宋" w:cs="仿宋"/>
          <w:color w:val="auto"/>
          <w:kern w:val="0"/>
          <w:sz w:val="18"/>
          <w:szCs w:val="18"/>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2、监狱企业声明函</w:t>
      </w:r>
    </w:p>
    <w:p>
      <w:pPr>
        <w:spacing w:line="360" w:lineRule="auto"/>
        <w:rPr>
          <w:rFonts w:hint="eastAsia" w:ascii="仿宋" w:hAnsi="仿宋" w:eastAsia="仿宋" w:cs="仿宋"/>
          <w:b/>
          <w:color w:val="auto"/>
          <w:kern w:val="0"/>
          <w:sz w:val="24"/>
          <w:szCs w:val="20"/>
          <w:highlight w:val="none"/>
        </w:rPr>
      </w:pPr>
    </w:p>
    <w:p>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widowControl/>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pPr>
        <w:spacing w:before="120" w:after="12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法定代表人或其授权代表（签字或盖章）：</w:t>
      </w:r>
    </w:p>
    <w:p>
      <w:pPr>
        <w:spacing w:line="360" w:lineRule="auto"/>
        <w:ind w:firstLine="960" w:firstLineChars="4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注：符合《关于政府采购支持监狱企业发展有关问题的通知》价格扣减条件的供应商须提交。需提供</w:t>
      </w:r>
      <w:r>
        <w:rPr>
          <w:rFonts w:hint="eastAsia" w:ascii="仿宋" w:hAnsi="仿宋" w:eastAsia="仿宋" w:cs="仿宋"/>
          <w:color w:val="auto"/>
          <w:sz w:val="24"/>
          <w:highlight w:val="none"/>
        </w:rPr>
        <w:t>省级以上监狱管理局、戒毒管理局（含新疆生产建设兵团）出具的属于监狱企业的证明文件。</w:t>
      </w: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widowControl/>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3、残疾人福利性单位声明函</w:t>
      </w:r>
    </w:p>
    <w:p>
      <w:pPr>
        <w:spacing w:line="360" w:lineRule="auto"/>
        <w:rPr>
          <w:rFonts w:hint="eastAsia" w:ascii="仿宋" w:hAnsi="仿宋" w:eastAsia="仿宋" w:cs="仿宋"/>
          <w:color w:val="auto"/>
          <w:highlight w:val="none"/>
        </w:rPr>
      </w:pPr>
    </w:p>
    <w:p>
      <w:pPr>
        <w:jc w:val="center"/>
        <w:rPr>
          <w:rFonts w:hint="eastAsia" w:ascii="仿宋" w:hAnsi="仿宋" w:eastAsia="仿宋" w:cs="仿宋"/>
          <w:color w:val="auto"/>
          <w:sz w:val="24"/>
          <w:highlight w:val="none"/>
        </w:rPr>
      </w:pPr>
      <w:r>
        <w:rPr>
          <w:rFonts w:hint="eastAsia" w:ascii="仿宋" w:hAnsi="仿宋" w:eastAsia="仿宋" w:cs="仿宋"/>
          <w:color w:val="auto"/>
          <w:szCs w:val="21"/>
          <w:highlight w:val="none"/>
        </w:rPr>
        <w:t>（注：符合条件的残疾人福利性单位请提供本函，不符合的不提供本函）</w:t>
      </w:r>
    </w:p>
    <w:p>
      <w:pPr>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eastAsia="仿宋_GB2312"/>
          <w:color w:val="auto"/>
          <w:sz w:val="24"/>
          <w:highlight w:val="none"/>
        </w:rPr>
        <w:t>______单位的______</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 xml:space="preserve">包号：（   ）包 </w:t>
      </w:r>
      <w:r>
        <w:rPr>
          <w:rFonts w:hint="eastAsia" w:ascii="仿宋" w:hAnsi="仿宋" w:eastAsia="仿宋" w:cs="仿宋"/>
          <w:color w:val="auto"/>
          <w:sz w:val="24"/>
          <w:highlight w:val="none"/>
        </w:rPr>
        <w:t>采购活动提供本单位制造的货物，或者提供其他残疾人福利性单位制造的货物（不包括使用非残疾人福利性单位注册商标的货物）。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spacing w:line="360" w:lineRule="auto"/>
        <w:rPr>
          <w:rFonts w:hint="eastAsia" w:ascii="仿宋" w:hAnsi="仿宋" w:eastAsia="仿宋" w:cs="仿宋"/>
          <w:color w:val="auto"/>
          <w:sz w:val="24"/>
          <w:highlight w:val="none"/>
        </w:rPr>
      </w:pPr>
    </w:p>
    <w:p>
      <w:pPr>
        <w:spacing w:before="120" w:after="120" w:line="360" w:lineRule="auto"/>
        <w:ind w:firstLine="1200" w:firstLineChars="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spacing w:line="360"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、响应承诺书</w: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我方在此声明，我方以下事项进行承诺：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在本次谈判中我公司无与其他供应商相互串通，或与采购人串通的行为；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在本次谈判中我公司无向采购人或谈判小组成员行贿的手段谋取成交的行为；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在本次谈判中我公司无出借或借用资质行为、在响应文件中所附资料（业绩、项目负责人资料等）无弄虚作假；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 我公司没有处于被责令停产、停业、投标资格被取消状态；</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上述承诺内容如有不实，我公司愿意承担由此造成的一切法律责任，并承诺赔偿给采购人造成的损失。</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pPr>
        <w:spacing w:line="360" w:lineRule="auto"/>
        <w:ind w:firstLine="480" w:firstLineChars="200"/>
        <w:rPr>
          <w:rFonts w:hint="eastAsia" w:ascii="仿宋" w:hAnsi="仿宋" w:eastAsia="仿宋" w:cs="仿宋"/>
          <w:color w:val="auto"/>
          <w:sz w:val="24"/>
          <w:highlight w:val="none"/>
        </w:rPr>
      </w:pP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spacing w:before="120" w:after="120"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pPr>
        <w:pStyle w:val="22"/>
        <w:rPr>
          <w:rFonts w:hint="eastAsia" w:ascii="仿宋" w:hAnsi="仿宋" w:eastAsia="仿宋" w:cs="仿宋"/>
          <w:color w:val="auto"/>
          <w:highlight w:val="none"/>
        </w:rPr>
      </w:pPr>
      <w:r>
        <w:rPr>
          <w:rFonts w:hint="eastAsia" w:ascii="仿宋" w:hAnsi="仿宋" w:eastAsia="仿宋" w:cs="仿宋"/>
          <w:color w:val="auto"/>
          <w:highlight w:val="none"/>
        </w:rPr>
        <w:br w:type="page"/>
      </w:r>
    </w:p>
    <w:p>
      <w:pPr>
        <w:autoSpaceDE w:val="0"/>
        <w:autoSpaceDN w:val="0"/>
        <w:adjustRightInd w:val="0"/>
        <w:snapToGrid w:val="0"/>
        <w:spacing w:line="360" w:lineRule="auto"/>
        <w:outlineLvl w:val="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附件</w:t>
      </w:r>
    </w:p>
    <w:p>
      <w:pPr>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（最后）谈判响应报价表</w:t>
      </w:r>
    </w:p>
    <w:p>
      <w:pPr>
        <w:autoSpaceDE w:val="0"/>
        <w:autoSpaceDN w:val="0"/>
        <w:adjustRightInd w:val="0"/>
        <w:snapToGrid w:val="0"/>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项目编号及项目名称</w:t>
            </w:r>
          </w:p>
        </w:tc>
        <w:tc>
          <w:tcPr>
            <w:tcW w:w="6981" w:type="dxa"/>
            <w:vAlign w:val="center"/>
          </w:tcPr>
          <w:p>
            <w:pPr>
              <w:ind w:left="189" w:leftChars="90" w:firstLine="1"/>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p>
          <w:p>
            <w:pPr>
              <w:ind w:left="189" w:leftChars="90" w:firstLine="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p>
            <w:pPr>
              <w:ind w:left="189" w:leftChars="90" w:firstLine="1"/>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1598" w:type="dxa"/>
            <w:vAlign w:val="center"/>
          </w:tcPr>
          <w:p>
            <w:pPr>
              <w:ind w:left="141" w:leftChars="67" w:right="103" w:right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包号</w:t>
            </w:r>
          </w:p>
        </w:tc>
        <w:tc>
          <w:tcPr>
            <w:tcW w:w="6981" w:type="dxa"/>
            <w:vAlign w:val="center"/>
          </w:tcPr>
          <w:p>
            <w:pPr>
              <w:ind w:left="189" w:leftChars="90" w:firstLine="1"/>
              <w:rPr>
                <w:rFonts w:hint="eastAsia" w:ascii="仿宋" w:hAnsi="仿宋" w:eastAsia="仿宋" w:cs="仿宋"/>
                <w:color w:val="auto"/>
                <w:highlight w:val="none"/>
              </w:rPr>
            </w:pPr>
            <w:r>
              <w:rPr>
                <w:rFonts w:hint="eastAsia" w:ascii="仿宋" w:hAnsi="仿宋" w:eastAsia="仿宋" w:cs="仿宋"/>
                <w:b/>
                <w:color w:val="auto"/>
                <w:sz w:val="24"/>
                <w:highlight w:val="none"/>
              </w:rPr>
              <w:t xml:space="preserve">（   ）包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响应总价</w:t>
            </w:r>
          </w:p>
        </w:tc>
        <w:tc>
          <w:tcPr>
            <w:tcW w:w="6981" w:type="dxa"/>
            <w:vAlign w:val="center"/>
          </w:tcPr>
          <w:p>
            <w:pPr>
              <w:ind w:left="189" w:leftChars="90" w:firstLine="1"/>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整（小写：¥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交货期</w:t>
            </w:r>
          </w:p>
        </w:tc>
        <w:tc>
          <w:tcPr>
            <w:tcW w:w="6981"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交货地点</w:t>
            </w:r>
          </w:p>
        </w:tc>
        <w:tc>
          <w:tcPr>
            <w:tcW w:w="6981" w:type="dxa"/>
            <w:vAlign w:val="center"/>
          </w:tcPr>
          <w:p>
            <w:pP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981" w:type="dxa"/>
            <w:vAlign w:val="center"/>
          </w:tcPr>
          <w:p>
            <w:pPr>
              <w:rPr>
                <w:rFonts w:hint="eastAsia" w:ascii="仿宋" w:hAnsi="仿宋" w:eastAsia="仿宋" w:cs="仿宋"/>
                <w:color w:val="auto"/>
                <w:sz w:val="24"/>
                <w:highlight w:val="none"/>
              </w:rPr>
            </w:pPr>
          </w:p>
        </w:tc>
      </w:tr>
    </w:tbl>
    <w:p>
      <w:pPr>
        <w:autoSpaceDE w:val="0"/>
        <w:autoSpaceDN w:val="0"/>
        <w:adjustRightInd w:val="0"/>
        <w:snapToGrid w:val="0"/>
        <w:spacing w:line="360" w:lineRule="auto"/>
        <w:jc w:val="right"/>
        <w:rPr>
          <w:rFonts w:hint="eastAsia" w:ascii="仿宋" w:hAnsi="仿宋" w:eastAsia="仿宋" w:cs="仿宋"/>
          <w:color w:val="auto"/>
          <w:sz w:val="24"/>
          <w:highlight w:val="none"/>
        </w:rPr>
      </w:pPr>
    </w:p>
    <w:p>
      <w:pPr>
        <w:autoSpaceDE w:val="0"/>
        <w:autoSpaceDN w:val="0"/>
        <w:adjustRightInd w:val="0"/>
        <w:snapToGrid w:val="0"/>
        <w:spacing w:line="360" w:lineRule="auto"/>
        <w:ind w:left="723" w:leftChars="115" w:hanging="482" w:hangingChars="200"/>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zh-CN"/>
        </w:rPr>
        <w:t>请供应商自备表格并加盖公章，无需装订在响应文件中，最终报价环节现场填报使用。</w:t>
      </w:r>
    </w:p>
    <w:p>
      <w:pPr>
        <w:numPr>
          <w:ilvl w:val="0"/>
          <w:numId w:val="0"/>
        </w:numPr>
        <w:autoSpaceDE w:val="0"/>
        <w:autoSpaceDN w:val="0"/>
        <w:adjustRightInd w:val="0"/>
        <w:snapToGrid w:val="0"/>
        <w:spacing w:line="360" w:lineRule="auto"/>
        <w:ind w:firstLine="843" w:firstLineChars="400"/>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lang w:val="zh-CN"/>
        </w:rPr>
        <w:t>（最后）谈判响应报价表落款时间必须为谈判当天。</w:t>
      </w:r>
    </w:p>
    <w:p>
      <w:pPr>
        <w:numPr>
          <w:ilvl w:val="0"/>
          <w:numId w:val="0"/>
        </w:numPr>
        <w:autoSpaceDE w:val="0"/>
        <w:autoSpaceDN w:val="0"/>
        <w:adjustRightInd w:val="0"/>
        <w:snapToGrid w:val="0"/>
        <w:spacing w:line="360" w:lineRule="auto"/>
        <w:ind w:firstLine="840" w:firstLineChars="4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val="zh-CN"/>
        </w:rPr>
        <w:t>表内报价内容以元为单位，小数点后保留至两位小数。</w:t>
      </w:r>
    </w:p>
    <w:p>
      <w:pPr>
        <w:numPr>
          <w:ilvl w:val="0"/>
          <w:numId w:val="0"/>
        </w:numPr>
        <w:autoSpaceDE w:val="0"/>
        <w:autoSpaceDN w:val="0"/>
        <w:adjustRightInd w:val="0"/>
        <w:snapToGrid w:val="0"/>
        <w:spacing w:line="360" w:lineRule="auto"/>
        <w:ind w:firstLine="840" w:firstLineChars="4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zh-CN"/>
        </w:rPr>
        <w:t>总价固定，不受市场价变化的影响。</w:t>
      </w:r>
    </w:p>
    <w:p>
      <w:pPr>
        <w:autoSpaceDE w:val="0"/>
        <w:autoSpaceDN w:val="0"/>
        <w:adjustRightInd w:val="0"/>
        <w:snapToGrid w:val="0"/>
        <w:spacing w:line="360" w:lineRule="auto"/>
        <w:rPr>
          <w:rFonts w:hint="eastAsia" w:ascii="仿宋" w:hAnsi="仿宋" w:eastAsia="仿宋" w:cs="仿宋"/>
          <w:b/>
          <w:bCs/>
          <w:color w:val="auto"/>
          <w:sz w:val="24"/>
          <w:highlight w:val="none"/>
        </w:rPr>
      </w:pP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spacing w:before="120" w:after="120"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pPr>
        <w:autoSpaceDE w:val="0"/>
        <w:autoSpaceDN w:val="0"/>
        <w:adjustRightInd w:val="0"/>
        <w:snapToGrid w:val="0"/>
        <w:spacing w:line="360" w:lineRule="auto"/>
        <w:ind w:firstLine="240" w:firstLineChars="100"/>
        <w:rPr>
          <w:rFonts w:hint="eastAsia" w:ascii="仿宋" w:hAnsi="仿宋" w:eastAsia="仿宋" w:cs="仿宋"/>
          <w:color w:val="auto"/>
          <w:sz w:val="24"/>
          <w:highlight w:val="none"/>
          <w:lang w:val="zh-CN"/>
        </w:rPr>
      </w:pPr>
    </w:p>
    <w:p>
      <w:pPr>
        <w:pStyle w:val="22"/>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pPr>
        <w:autoSpaceDE w:val="0"/>
        <w:autoSpaceDN w:val="0"/>
        <w:adjustRightInd w:val="0"/>
        <w:snapToGrid w:val="0"/>
        <w:spacing w:line="360" w:lineRule="auto"/>
        <w:ind w:firstLine="210" w:firstLineChars="100"/>
        <w:rPr>
          <w:rFonts w:hint="eastAsia" w:ascii="仿宋" w:hAnsi="仿宋" w:eastAsia="仿宋" w:cs="仿宋"/>
          <w:color w:val="auto"/>
          <w:highlight w:val="none"/>
        </w:rPr>
        <w:sectPr>
          <w:pgSz w:w="11906" w:h="16838"/>
          <w:pgMar w:top="1440" w:right="1083" w:bottom="1440" w:left="1083" w:header="851" w:footer="992" w:gutter="0"/>
          <w:cols w:space="0" w:num="1"/>
          <w:docGrid w:type="lines" w:linePitch="317" w:charSpace="0"/>
        </w:sectPr>
      </w:pPr>
    </w:p>
    <w:p>
      <w:pPr>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（最后）响应分项报价表</w:t>
      </w:r>
    </w:p>
    <w:p>
      <w:pPr>
        <w:autoSpaceDE w:val="0"/>
        <w:autoSpaceDN w:val="0"/>
        <w:adjustRightInd w:val="0"/>
        <w:snapToGrid w:val="0"/>
        <w:spacing w:line="360" w:lineRule="auto"/>
        <w:jc w:val="center"/>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b w:val="0"/>
          <w:bCs w:val="0"/>
          <w:color w:val="auto"/>
          <w:kern w:val="2"/>
          <w:sz w:val="28"/>
          <w:szCs w:val="28"/>
          <w:highlight w:val="none"/>
          <w:lang w:val="zh-CN" w:eastAsia="zh-CN" w:bidi="ar-SA"/>
        </w:rPr>
        <w:t>（随身携带，单独提供，无需装订在响应文件中）</w:t>
      </w:r>
    </w:p>
    <w:p>
      <w:pPr>
        <w:pStyle w:val="22"/>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包号：（   ）包 </w:t>
      </w:r>
    </w:p>
    <w:p>
      <w:pPr>
        <w:pStyle w:val="2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28"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188" w:type="dxa"/>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560" w:type="dxa"/>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992"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276"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34"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小计（元）</w:t>
            </w:r>
          </w:p>
        </w:tc>
        <w:tc>
          <w:tcPr>
            <w:tcW w:w="708" w:type="dxa"/>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color w:val="auto"/>
                <w:sz w:val="24"/>
                <w:highlight w:val="none"/>
              </w:rPr>
            </w:pPr>
          </w:p>
        </w:tc>
        <w:tc>
          <w:tcPr>
            <w:tcW w:w="1188" w:type="dxa"/>
          </w:tcPr>
          <w:p>
            <w:pPr>
              <w:adjustRightInd w:val="0"/>
              <w:snapToGrid w:val="0"/>
              <w:spacing w:line="360" w:lineRule="auto"/>
              <w:rPr>
                <w:rFonts w:hint="eastAsia" w:ascii="仿宋" w:hAnsi="仿宋" w:eastAsia="仿宋" w:cs="仿宋"/>
                <w:color w:val="auto"/>
                <w:sz w:val="24"/>
                <w:highlight w:val="none"/>
              </w:rPr>
            </w:pPr>
          </w:p>
        </w:tc>
        <w:tc>
          <w:tcPr>
            <w:tcW w:w="1560" w:type="dxa"/>
          </w:tcPr>
          <w:p>
            <w:pPr>
              <w:adjustRightInd w:val="0"/>
              <w:snapToGrid w:val="0"/>
              <w:spacing w:line="360" w:lineRule="auto"/>
              <w:rPr>
                <w:rFonts w:hint="eastAsia" w:ascii="仿宋" w:hAnsi="仿宋" w:eastAsia="仿宋" w:cs="仿宋"/>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color w:val="auto"/>
                <w:sz w:val="24"/>
                <w:highlight w:val="none"/>
              </w:rPr>
            </w:pPr>
          </w:p>
        </w:tc>
      </w:tr>
    </w:tbl>
    <w:p>
      <w:pPr>
        <w:autoSpaceDE w:val="0"/>
        <w:autoSpaceDN w:val="0"/>
        <w:adjustRightInd w:val="0"/>
        <w:snapToGrid w:val="0"/>
        <w:rPr>
          <w:rFonts w:hint="eastAsia" w:ascii="仿宋" w:hAnsi="仿宋" w:eastAsia="仿宋" w:cs="仿宋"/>
          <w:b/>
          <w:bCs/>
          <w:color w:val="auto"/>
          <w:kern w:val="0"/>
          <w:szCs w:val="21"/>
          <w:highlight w:val="none"/>
        </w:rPr>
      </w:pPr>
    </w:p>
    <w:p>
      <w:pPr>
        <w:autoSpaceDE w:val="0"/>
        <w:autoSpaceDN w:val="0"/>
        <w:adjustRightInd w:val="0"/>
        <w:snapToGrid w:val="0"/>
        <w:rPr>
          <w:rFonts w:hint="eastAsia" w:ascii="仿宋" w:hAnsi="仿宋" w:eastAsia="仿宋" w:cs="仿宋"/>
          <w:b/>
          <w:bCs/>
          <w:i w:val="0"/>
          <w:iCs w:val="0"/>
          <w:color w:val="auto"/>
          <w:kern w:val="0"/>
          <w:szCs w:val="21"/>
          <w:highlight w:val="none"/>
        </w:rPr>
      </w:pPr>
      <w:r>
        <w:rPr>
          <w:rFonts w:hint="eastAsia" w:ascii="仿宋" w:hAnsi="仿宋" w:eastAsia="仿宋" w:cs="仿宋"/>
          <w:b/>
          <w:bCs/>
          <w:color w:val="auto"/>
          <w:kern w:val="0"/>
          <w:szCs w:val="21"/>
          <w:highlight w:val="none"/>
        </w:rPr>
        <w:t>注：</w:t>
      </w:r>
      <w:r>
        <w:rPr>
          <w:rFonts w:hint="eastAsia" w:ascii="仿宋" w:hAnsi="仿宋" w:eastAsia="仿宋" w:cs="仿宋"/>
          <w:b/>
          <w:bCs/>
          <w:i w:val="0"/>
          <w:iCs w:val="0"/>
          <w:color w:val="auto"/>
          <w:kern w:val="0"/>
          <w:szCs w:val="21"/>
          <w:highlight w:val="none"/>
        </w:rPr>
        <w:t>1、请供应商自备表格并加盖公章，无需装订在响应文件中，最终报价环节现场填报使用。</w:t>
      </w:r>
    </w:p>
    <w:p>
      <w:pPr>
        <w:autoSpaceDE w:val="0"/>
        <w:autoSpaceDN w:val="0"/>
        <w:adjustRightInd w:val="0"/>
        <w:snapToGrid w:val="0"/>
        <w:ind w:firstLine="422" w:firstLineChars="200"/>
        <w:rPr>
          <w:rFonts w:hint="eastAsia" w:ascii="仿宋" w:hAnsi="仿宋" w:eastAsia="仿宋" w:cs="仿宋"/>
          <w:b w:val="0"/>
          <w:bCs w:val="0"/>
          <w:i w:val="0"/>
          <w:iCs w:val="0"/>
          <w:color w:val="auto"/>
          <w:kern w:val="0"/>
          <w:szCs w:val="21"/>
          <w:highlight w:val="none"/>
          <w:lang w:val="zh-CN"/>
        </w:rPr>
      </w:pPr>
      <w:r>
        <w:rPr>
          <w:rFonts w:hint="eastAsia" w:ascii="仿宋" w:hAnsi="仿宋" w:eastAsia="仿宋" w:cs="仿宋"/>
          <w:b/>
          <w:bCs/>
          <w:i w:val="0"/>
          <w:iCs w:val="0"/>
          <w:color w:val="auto"/>
          <w:kern w:val="0"/>
          <w:szCs w:val="21"/>
          <w:highlight w:val="none"/>
        </w:rPr>
        <w:t>2、（最后）响应分项报价表落款时间必须为</w:t>
      </w:r>
      <w:r>
        <w:rPr>
          <w:rFonts w:hint="eastAsia" w:ascii="仿宋" w:hAnsi="仿宋" w:eastAsia="仿宋" w:cs="仿宋"/>
          <w:b/>
          <w:bCs/>
          <w:i w:val="0"/>
          <w:iCs w:val="0"/>
          <w:color w:val="auto"/>
          <w:kern w:val="0"/>
          <w:szCs w:val="21"/>
          <w:highlight w:val="none"/>
          <w:lang w:val="zh-CN"/>
        </w:rPr>
        <w:t>谈判当天。</w:t>
      </w:r>
    </w:p>
    <w:p>
      <w:pPr>
        <w:autoSpaceDE w:val="0"/>
        <w:autoSpaceDN w:val="0"/>
        <w:adjustRightInd w:val="0"/>
        <w:snapToGrid w:val="0"/>
        <w:ind w:firstLine="420" w:firstLineChars="200"/>
        <w:rPr>
          <w:rFonts w:hint="eastAsia" w:ascii="仿宋" w:hAnsi="仿宋" w:eastAsia="仿宋" w:cs="仿宋"/>
          <w:b w:val="0"/>
          <w:bCs w:val="0"/>
          <w:i w:val="0"/>
          <w:iCs w:val="0"/>
          <w:color w:val="auto"/>
          <w:kern w:val="0"/>
          <w:szCs w:val="21"/>
          <w:highlight w:val="none"/>
        </w:rPr>
      </w:pPr>
      <w:r>
        <w:rPr>
          <w:rFonts w:hint="eastAsia" w:ascii="仿宋" w:hAnsi="仿宋" w:eastAsia="仿宋" w:cs="仿宋"/>
          <w:b w:val="0"/>
          <w:bCs w:val="0"/>
          <w:i w:val="0"/>
          <w:iCs w:val="0"/>
          <w:color w:val="auto"/>
          <w:kern w:val="0"/>
          <w:szCs w:val="21"/>
          <w:highlight w:val="none"/>
        </w:rPr>
        <w:t>3、表内报价内容以元为单位，小数点后保留至两位小数。</w:t>
      </w:r>
    </w:p>
    <w:p>
      <w:pPr>
        <w:autoSpaceDE w:val="0"/>
        <w:autoSpaceDN w:val="0"/>
        <w:adjustRightInd w:val="0"/>
        <w:snapToGrid w:val="0"/>
        <w:ind w:firstLine="420" w:firstLineChars="200"/>
        <w:rPr>
          <w:rFonts w:hint="eastAsia" w:ascii="仿宋" w:hAnsi="仿宋" w:eastAsia="仿宋" w:cs="仿宋"/>
          <w:b w:val="0"/>
          <w:bCs w:val="0"/>
          <w:i w:val="0"/>
          <w:iCs w:val="0"/>
          <w:color w:val="auto"/>
          <w:kern w:val="0"/>
          <w:szCs w:val="21"/>
          <w:highlight w:val="none"/>
        </w:rPr>
      </w:pPr>
      <w:r>
        <w:rPr>
          <w:rFonts w:hint="eastAsia" w:ascii="仿宋" w:hAnsi="仿宋" w:eastAsia="仿宋" w:cs="仿宋"/>
          <w:b w:val="0"/>
          <w:bCs w:val="0"/>
          <w:i w:val="0"/>
          <w:iCs w:val="0"/>
          <w:color w:val="auto"/>
          <w:kern w:val="0"/>
          <w:szCs w:val="21"/>
          <w:highlight w:val="none"/>
        </w:rPr>
        <w:t>4、总价固定，不受市场价变化的影响。</w:t>
      </w:r>
    </w:p>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（最后）节能、环境标志产品明细表</w:t>
      </w:r>
    </w:p>
    <w:p>
      <w:pPr>
        <w:pStyle w:val="22"/>
        <w:jc w:val="center"/>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zh-CN"/>
        </w:rPr>
        <w:t>（随身携带，单独提供，无需装订在响应文件中）</w:t>
      </w:r>
    </w:p>
    <w:p>
      <w:pPr>
        <w:pStyle w:val="22"/>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SCZB2023-JT-1595-001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包号：（   ）包 </w:t>
      </w:r>
    </w:p>
    <w:p>
      <w:pPr>
        <w:pStyle w:val="22"/>
        <w:ind w:firstLine="480" w:firstLineChars="200"/>
        <w:rPr>
          <w:rFonts w:hint="eastAsia" w:ascii="仿宋" w:hAnsi="仿宋" w:eastAsia="仿宋" w:cs="仿宋"/>
          <w:b/>
          <w:bCs/>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西安体育局器材采购项目</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产品</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规格</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类</w:t>
            </w:r>
          </w:p>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认证证书</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数</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总</w:t>
            </w: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（1）强制采购类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（2）优先采购类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bl>
    <w:p>
      <w:pPr>
        <w:autoSpaceDE w:val="0"/>
        <w:autoSpaceDN w:val="0"/>
        <w:adjustRightInd w:val="0"/>
        <w:snapToGrid w:val="0"/>
        <w:ind w:left="1184" w:leftChars="199" w:hanging="766" w:hangingChars="365"/>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zh-CN"/>
        </w:rPr>
        <w:t>1、如</w:t>
      </w:r>
      <w:r>
        <w:rPr>
          <w:rFonts w:hint="eastAsia" w:ascii="仿宋" w:hAnsi="仿宋" w:eastAsia="仿宋" w:cs="仿宋"/>
          <w:color w:val="auto"/>
          <w:szCs w:val="21"/>
          <w:highlight w:val="none"/>
        </w:rPr>
        <w:t>谈判</w:t>
      </w:r>
      <w:r>
        <w:rPr>
          <w:rFonts w:hint="eastAsia" w:ascii="仿宋" w:hAnsi="仿宋" w:eastAsia="仿宋" w:cs="仿宋"/>
          <w:color w:val="auto"/>
          <w:szCs w:val="21"/>
          <w:highlight w:val="none"/>
          <w:lang w:val="zh-CN"/>
        </w:rPr>
        <w:t>响应产品为节能、环境标志产品，须按格式逐项填写，并附相关证明，否则评审时不予价格扣除。</w:t>
      </w:r>
    </w:p>
    <w:p>
      <w:pPr>
        <w:autoSpaceDE w:val="0"/>
        <w:autoSpaceDN w:val="0"/>
        <w:adjustRightInd w:val="0"/>
        <w:snapToGrid w:val="0"/>
        <w:ind w:firstLine="938" w:firstLineChars="447"/>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zh-CN"/>
        </w:rPr>
        <w:t>类别填写：节能产品或环境标志产品。</w:t>
      </w:r>
    </w:p>
    <w:p>
      <w:pPr>
        <w:pStyle w:val="22"/>
        <w:spacing w:line="240" w:lineRule="auto"/>
        <w:ind w:left="1197" w:leftChars="446" w:hanging="260" w:hangingChars="124"/>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zh-CN"/>
        </w:rPr>
        <w:t>若所投产品为政府强制采购的节能产品，需提供响应产品经国家确定的认证机构出具的、处于有效期内的节能产品认证证书。</w:t>
      </w:r>
      <w:r>
        <w:rPr>
          <w:rFonts w:hint="eastAsia" w:ascii="仿宋" w:hAnsi="仿宋" w:eastAsia="仿宋" w:cs="仿宋"/>
          <w:color w:val="auto"/>
          <w:szCs w:val="21"/>
          <w:highlight w:val="none"/>
        </w:rPr>
        <w:t>强制类产品</w:t>
      </w:r>
      <w:r>
        <w:rPr>
          <w:rFonts w:hint="eastAsia" w:ascii="仿宋" w:hAnsi="仿宋" w:eastAsia="仿宋" w:cs="仿宋"/>
          <w:color w:val="auto"/>
          <w:szCs w:val="21"/>
          <w:highlight w:val="none"/>
          <w:lang w:val="zh-CN"/>
        </w:rPr>
        <w:t>具体品目详见《关于印发节能产品政府采购品目清单的通知》（财库﹝2019﹞19号文）</w:t>
      </w:r>
      <w:r>
        <w:rPr>
          <w:rFonts w:hint="eastAsia" w:ascii="仿宋" w:hAnsi="仿宋" w:eastAsia="仿宋" w:cs="仿宋"/>
          <w:color w:val="auto"/>
          <w:szCs w:val="21"/>
          <w:highlight w:val="none"/>
        </w:rPr>
        <w:t>。</w:t>
      </w:r>
    </w:p>
    <w:p>
      <w:pPr>
        <w:pStyle w:val="22"/>
        <w:spacing w:line="240" w:lineRule="auto"/>
        <w:ind w:left="1197" w:leftChars="446" w:hanging="260" w:hangingChars="124"/>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zh-CN"/>
        </w:rPr>
        <w:t>请供应商自备表格并加盖公章，无需装订在响应文件中，最终报价环节现场填报使用。</w:t>
      </w:r>
    </w:p>
    <w:p>
      <w:pPr>
        <w:pStyle w:val="22"/>
        <w:spacing w:line="240" w:lineRule="auto"/>
        <w:ind w:left="1197" w:leftChars="446" w:hanging="260" w:hangingChars="124"/>
        <w:rPr>
          <w:rFonts w:hint="eastAsia" w:ascii="仿宋" w:hAnsi="仿宋" w:eastAsia="仿宋" w:cs="仿宋"/>
          <w:color w:val="auto"/>
          <w:sz w:val="24"/>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zh-CN"/>
        </w:rPr>
        <w:t>（最后）节能、环境标志产品明细表落款时间必须为谈判当天。</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法定代表人或其授权代表（签字或盖章）：</w:t>
      </w:r>
    </w:p>
    <w:p>
      <w:pPr>
        <w:spacing w:before="120" w:after="120" w:line="360" w:lineRule="auto"/>
        <w:ind w:firstLine="1440" w:firstLineChars="600"/>
        <w:rPr>
          <w:rFonts w:hint="eastAsia" w:ascii="仿宋" w:hAnsi="仿宋" w:eastAsia="仿宋" w:cs="仿宋"/>
          <w:color w:val="auto"/>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sectPr>
      <w:pgSz w:w="11906" w:h="16838"/>
      <w:pgMar w:top="1440" w:right="1083" w:bottom="1440" w:left="108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57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Ff9M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gRLHLQ788v3b5cevy8+vZFm9&#10;LAr1AWpMfAiYmoY3fsjZqFz2Azoz8UFFm79IiWAc9T1f9ZVDIiI/Wq/W6wpDAmPzBXHY7XmIkN5K&#10;b0k2GhpxgEVXfnoPaUydU3I15++1MWWIxv3lQMzsYbces5WG/TA1vvftGfn0OPuGOlx1Ssw7h9Lm&#10;NZmNOBv72TiGqA8dtrYsfUF4fUzYROktVxhhp8I4tMJuWrC8FX/eS9btp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cV/0yQEAAJwDAAAOAAAAAAAAAAEAIAAAAB4BAABkcnMvZTJvRG9j&#10;LnhtbFBLBQYAAAAABgAGAFkBAABZBQ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lwswBAACc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6yXCzAEAAJwDAAAOAAAAAAAAAAEAIAAAAB4BAABkcnMvZTJv&#10;RG9jLnhtbFBLBQYAAAAABgAGAFkBAABcBQ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E333C43"/>
    <w:multiLevelType w:val="singleLevel"/>
    <w:tmpl w:val="9E333C43"/>
    <w:lvl w:ilvl="0" w:tentative="0">
      <w:start w:val="2"/>
      <w:numFmt w:val="chineseCounting"/>
      <w:suff w:val="nothing"/>
      <w:lvlText w:val="%1、"/>
      <w:lvlJc w:val="left"/>
      <w:rPr>
        <w:rFonts w:hint="eastAsia"/>
      </w:rPr>
    </w:lvl>
  </w:abstractNum>
  <w:abstractNum w:abstractNumId="1">
    <w:nsid w:val="CD50C85E"/>
    <w:multiLevelType w:val="singleLevel"/>
    <w:tmpl w:val="CD50C85E"/>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BDF7CE5"/>
    <w:multiLevelType w:val="singleLevel"/>
    <w:tmpl w:val="1BDF7CE5"/>
    <w:lvl w:ilvl="0" w:tentative="0">
      <w:start w:val="3"/>
      <w:numFmt w:val="decimal"/>
      <w:suff w:val="nothing"/>
      <w:lvlText w:val="%1、"/>
      <w:lvlJc w:val="left"/>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39CA047"/>
    <w:multiLevelType w:val="singleLevel"/>
    <w:tmpl w:val="339CA047"/>
    <w:lvl w:ilvl="0" w:tentative="0">
      <w:start w:val="15"/>
      <w:numFmt w:val="decimal"/>
      <w:suff w:val="space"/>
      <w:lvlText w:val="%1."/>
      <w:lvlJc w:val="left"/>
    </w:lvl>
  </w:abstractNum>
  <w:abstractNum w:abstractNumId="9">
    <w:nsid w:val="5AA8DCB0"/>
    <w:multiLevelType w:val="singleLevel"/>
    <w:tmpl w:val="5AA8DCB0"/>
    <w:lvl w:ilvl="0" w:tentative="0">
      <w:start w:val="1"/>
      <w:numFmt w:val="decimal"/>
      <w:suff w:val="nothing"/>
      <w:lvlText w:val="%1、"/>
      <w:lvlJc w:val="left"/>
    </w:lvl>
  </w:abstractNum>
  <w:abstractNum w:abstractNumId="10">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2">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0"/>
  </w:num>
  <w:num w:numId="4">
    <w:abstractNumId w:val="12"/>
  </w:num>
  <w:num w:numId="5">
    <w:abstractNumId w:val="5"/>
  </w:num>
  <w:num w:numId="6">
    <w:abstractNumId w:val="7"/>
  </w:num>
  <w:num w:numId="7">
    <w:abstractNumId w:val="8"/>
  </w:num>
  <w:num w:numId="8">
    <w:abstractNumId w:val="4"/>
  </w:num>
  <w:num w:numId="9">
    <w:abstractNumId w:val="1"/>
  </w:num>
  <w:num w:numId="10">
    <w:abstractNumId w:val="0"/>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OWI2YzM2Mzk1NTRlMmUyZDE1YWViMTRhNmI0MTQ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21E"/>
    <w:rsid w:val="001B6E58"/>
    <w:rsid w:val="001B7144"/>
    <w:rsid w:val="001B7FBA"/>
    <w:rsid w:val="001C1032"/>
    <w:rsid w:val="001C180D"/>
    <w:rsid w:val="001C38FF"/>
    <w:rsid w:val="001C3B26"/>
    <w:rsid w:val="001D01A5"/>
    <w:rsid w:val="001D038E"/>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5747B"/>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3BCF"/>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28C2"/>
    <w:rsid w:val="005A2A32"/>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10B9E"/>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53C6"/>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3503"/>
    <w:rsid w:val="00744A89"/>
    <w:rsid w:val="0074549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1394C"/>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9F7283"/>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653ED"/>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00EB"/>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87A23"/>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961F0"/>
    <w:rsid w:val="00DA178E"/>
    <w:rsid w:val="00DA1939"/>
    <w:rsid w:val="00DA6A22"/>
    <w:rsid w:val="00DA76CB"/>
    <w:rsid w:val="00DC0934"/>
    <w:rsid w:val="00DD0B65"/>
    <w:rsid w:val="00DD10CD"/>
    <w:rsid w:val="00DE4818"/>
    <w:rsid w:val="00DF2F86"/>
    <w:rsid w:val="00DF780E"/>
    <w:rsid w:val="00E01CE1"/>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07BD9"/>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824CF4"/>
    <w:rsid w:val="01A56820"/>
    <w:rsid w:val="01CF1593"/>
    <w:rsid w:val="01DB0F21"/>
    <w:rsid w:val="01F85948"/>
    <w:rsid w:val="01FF3BC3"/>
    <w:rsid w:val="02536C08"/>
    <w:rsid w:val="027D1EDC"/>
    <w:rsid w:val="02AA6F17"/>
    <w:rsid w:val="02AF2A63"/>
    <w:rsid w:val="02E6429D"/>
    <w:rsid w:val="03015719"/>
    <w:rsid w:val="032E5AB3"/>
    <w:rsid w:val="04131CA3"/>
    <w:rsid w:val="043D799D"/>
    <w:rsid w:val="044F6B9A"/>
    <w:rsid w:val="045E712C"/>
    <w:rsid w:val="04874841"/>
    <w:rsid w:val="04AF0DC0"/>
    <w:rsid w:val="0510665E"/>
    <w:rsid w:val="05740424"/>
    <w:rsid w:val="05CA3B1B"/>
    <w:rsid w:val="05D40F8A"/>
    <w:rsid w:val="05E97CB2"/>
    <w:rsid w:val="060D6A3B"/>
    <w:rsid w:val="06193B1E"/>
    <w:rsid w:val="06383C8B"/>
    <w:rsid w:val="066F1290"/>
    <w:rsid w:val="06C6067E"/>
    <w:rsid w:val="0707497A"/>
    <w:rsid w:val="07394A3D"/>
    <w:rsid w:val="07416329"/>
    <w:rsid w:val="07501B9E"/>
    <w:rsid w:val="07693EC1"/>
    <w:rsid w:val="07775252"/>
    <w:rsid w:val="078864DB"/>
    <w:rsid w:val="07C20FA2"/>
    <w:rsid w:val="08096ED2"/>
    <w:rsid w:val="082A539E"/>
    <w:rsid w:val="0838785B"/>
    <w:rsid w:val="086F741E"/>
    <w:rsid w:val="087D0B78"/>
    <w:rsid w:val="08A15E34"/>
    <w:rsid w:val="0920129B"/>
    <w:rsid w:val="09823E4D"/>
    <w:rsid w:val="09F308A3"/>
    <w:rsid w:val="0A4B18CE"/>
    <w:rsid w:val="0AB974EA"/>
    <w:rsid w:val="0AC800D5"/>
    <w:rsid w:val="0AFA19A7"/>
    <w:rsid w:val="0B181252"/>
    <w:rsid w:val="0B2543AA"/>
    <w:rsid w:val="0B651CEF"/>
    <w:rsid w:val="0C275A89"/>
    <w:rsid w:val="0C5178DA"/>
    <w:rsid w:val="0C5D60B6"/>
    <w:rsid w:val="0CBB5882"/>
    <w:rsid w:val="0D093B48"/>
    <w:rsid w:val="0D20436B"/>
    <w:rsid w:val="0D531CDF"/>
    <w:rsid w:val="0DC04213"/>
    <w:rsid w:val="0DC6629D"/>
    <w:rsid w:val="0DCA3125"/>
    <w:rsid w:val="0E0E36CF"/>
    <w:rsid w:val="0E416A77"/>
    <w:rsid w:val="0E7B7367"/>
    <w:rsid w:val="0EA34036"/>
    <w:rsid w:val="0EB63F9D"/>
    <w:rsid w:val="0EBE4E06"/>
    <w:rsid w:val="0F0770E4"/>
    <w:rsid w:val="0F54794B"/>
    <w:rsid w:val="0F6A354E"/>
    <w:rsid w:val="0F88478D"/>
    <w:rsid w:val="0FAC41C6"/>
    <w:rsid w:val="0FB73DA5"/>
    <w:rsid w:val="0FDE2587"/>
    <w:rsid w:val="100A783E"/>
    <w:rsid w:val="101D1679"/>
    <w:rsid w:val="10353F21"/>
    <w:rsid w:val="10507757"/>
    <w:rsid w:val="10704ACD"/>
    <w:rsid w:val="10790FE5"/>
    <w:rsid w:val="107A1082"/>
    <w:rsid w:val="109E7189"/>
    <w:rsid w:val="111D1ABB"/>
    <w:rsid w:val="112B3E2A"/>
    <w:rsid w:val="11433684"/>
    <w:rsid w:val="115206FB"/>
    <w:rsid w:val="115D5086"/>
    <w:rsid w:val="115F59AD"/>
    <w:rsid w:val="117B2614"/>
    <w:rsid w:val="119F0BF7"/>
    <w:rsid w:val="11B40613"/>
    <w:rsid w:val="11BE2022"/>
    <w:rsid w:val="11D83EA2"/>
    <w:rsid w:val="122510EE"/>
    <w:rsid w:val="12405481"/>
    <w:rsid w:val="128D1331"/>
    <w:rsid w:val="12C1355D"/>
    <w:rsid w:val="12C21534"/>
    <w:rsid w:val="12D85A42"/>
    <w:rsid w:val="12EF7289"/>
    <w:rsid w:val="130044B9"/>
    <w:rsid w:val="134D5A81"/>
    <w:rsid w:val="136E44BE"/>
    <w:rsid w:val="13B2147E"/>
    <w:rsid w:val="13BF6991"/>
    <w:rsid w:val="13C465BA"/>
    <w:rsid w:val="13ED55A8"/>
    <w:rsid w:val="13F95DC4"/>
    <w:rsid w:val="141C612A"/>
    <w:rsid w:val="142A3E2D"/>
    <w:rsid w:val="144A7973"/>
    <w:rsid w:val="145762E3"/>
    <w:rsid w:val="14AD546B"/>
    <w:rsid w:val="14FB7DA2"/>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70FAA"/>
    <w:rsid w:val="18383EAD"/>
    <w:rsid w:val="188D7D42"/>
    <w:rsid w:val="18C45643"/>
    <w:rsid w:val="18D06B2F"/>
    <w:rsid w:val="19335ECA"/>
    <w:rsid w:val="195E155B"/>
    <w:rsid w:val="195E346D"/>
    <w:rsid w:val="1961716B"/>
    <w:rsid w:val="19AA702C"/>
    <w:rsid w:val="19E24CAD"/>
    <w:rsid w:val="1A0C41D1"/>
    <w:rsid w:val="1A336BE7"/>
    <w:rsid w:val="1A4572C8"/>
    <w:rsid w:val="1A612D7C"/>
    <w:rsid w:val="1A807E72"/>
    <w:rsid w:val="1A8875E1"/>
    <w:rsid w:val="1A8A2A47"/>
    <w:rsid w:val="1AA72BF2"/>
    <w:rsid w:val="1AB748A9"/>
    <w:rsid w:val="1B16166A"/>
    <w:rsid w:val="1B5E3332"/>
    <w:rsid w:val="1B656D35"/>
    <w:rsid w:val="1BB93E83"/>
    <w:rsid w:val="1BC644B6"/>
    <w:rsid w:val="1BDA70E9"/>
    <w:rsid w:val="1BFA1728"/>
    <w:rsid w:val="1C1A14B0"/>
    <w:rsid w:val="1C613AB1"/>
    <w:rsid w:val="1C8C0466"/>
    <w:rsid w:val="1D0121D0"/>
    <w:rsid w:val="1D5B524F"/>
    <w:rsid w:val="1D6D3522"/>
    <w:rsid w:val="1DBE7F5B"/>
    <w:rsid w:val="1DCA2EF0"/>
    <w:rsid w:val="1DFA7416"/>
    <w:rsid w:val="1E852BA7"/>
    <w:rsid w:val="1F0028D1"/>
    <w:rsid w:val="1F29286E"/>
    <w:rsid w:val="1F474868"/>
    <w:rsid w:val="1F883C9F"/>
    <w:rsid w:val="1FB94E27"/>
    <w:rsid w:val="1FF41576"/>
    <w:rsid w:val="20AF20C5"/>
    <w:rsid w:val="20ED7306"/>
    <w:rsid w:val="20F96916"/>
    <w:rsid w:val="211106C5"/>
    <w:rsid w:val="213D66B4"/>
    <w:rsid w:val="21431785"/>
    <w:rsid w:val="21937A2C"/>
    <w:rsid w:val="219E251A"/>
    <w:rsid w:val="21AD0E84"/>
    <w:rsid w:val="21C24F4B"/>
    <w:rsid w:val="22071464"/>
    <w:rsid w:val="2232235C"/>
    <w:rsid w:val="22E66E75"/>
    <w:rsid w:val="23291785"/>
    <w:rsid w:val="23710488"/>
    <w:rsid w:val="23BB002C"/>
    <w:rsid w:val="23C33515"/>
    <w:rsid w:val="23CD191B"/>
    <w:rsid w:val="23CF11EF"/>
    <w:rsid w:val="23F1680C"/>
    <w:rsid w:val="243E15D5"/>
    <w:rsid w:val="24551238"/>
    <w:rsid w:val="24B96A5C"/>
    <w:rsid w:val="24FB7DC2"/>
    <w:rsid w:val="25224672"/>
    <w:rsid w:val="25250089"/>
    <w:rsid w:val="25252A8D"/>
    <w:rsid w:val="254A5A9B"/>
    <w:rsid w:val="257E1778"/>
    <w:rsid w:val="259300DB"/>
    <w:rsid w:val="25D54115"/>
    <w:rsid w:val="25F72F27"/>
    <w:rsid w:val="260F4C55"/>
    <w:rsid w:val="26291B1A"/>
    <w:rsid w:val="267C3983"/>
    <w:rsid w:val="26C20F14"/>
    <w:rsid w:val="26D82BDE"/>
    <w:rsid w:val="26DC7FF3"/>
    <w:rsid w:val="26DD1E76"/>
    <w:rsid w:val="26EB0757"/>
    <w:rsid w:val="26FD42C6"/>
    <w:rsid w:val="270101AC"/>
    <w:rsid w:val="274C31AE"/>
    <w:rsid w:val="274D71B2"/>
    <w:rsid w:val="2751147F"/>
    <w:rsid w:val="27897BCF"/>
    <w:rsid w:val="279C6957"/>
    <w:rsid w:val="27C03956"/>
    <w:rsid w:val="27D32B77"/>
    <w:rsid w:val="27DE5929"/>
    <w:rsid w:val="27E14C4C"/>
    <w:rsid w:val="27EF10DD"/>
    <w:rsid w:val="28686312"/>
    <w:rsid w:val="286C62A1"/>
    <w:rsid w:val="28A069B8"/>
    <w:rsid w:val="28F72971"/>
    <w:rsid w:val="29072AAC"/>
    <w:rsid w:val="2A3073E0"/>
    <w:rsid w:val="2A7812C8"/>
    <w:rsid w:val="2A9F5945"/>
    <w:rsid w:val="2AE35535"/>
    <w:rsid w:val="2B496FA3"/>
    <w:rsid w:val="2B5350C0"/>
    <w:rsid w:val="2BAE2C44"/>
    <w:rsid w:val="2BB024B4"/>
    <w:rsid w:val="2BC60F98"/>
    <w:rsid w:val="2BE131CE"/>
    <w:rsid w:val="2BE66FCE"/>
    <w:rsid w:val="2BF712BE"/>
    <w:rsid w:val="2C066A1A"/>
    <w:rsid w:val="2C0B4AE6"/>
    <w:rsid w:val="2C3C2B6A"/>
    <w:rsid w:val="2C4542D3"/>
    <w:rsid w:val="2C8165FA"/>
    <w:rsid w:val="2C830AA3"/>
    <w:rsid w:val="2CAC7CBD"/>
    <w:rsid w:val="2CCC08A3"/>
    <w:rsid w:val="2D0A514C"/>
    <w:rsid w:val="2D50069C"/>
    <w:rsid w:val="2D857AF2"/>
    <w:rsid w:val="2DB235BF"/>
    <w:rsid w:val="2DC6496F"/>
    <w:rsid w:val="2DCF77B8"/>
    <w:rsid w:val="2E212B2A"/>
    <w:rsid w:val="2E577392"/>
    <w:rsid w:val="2E8B1B62"/>
    <w:rsid w:val="2E970AE4"/>
    <w:rsid w:val="2E9F2106"/>
    <w:rsid w:val="2EB227A5"/>
    <w:rsid w:val="2EF33190"/>
    <w:rsid w:val="2EF42F7F"/>
    <w:rsid w:val="2F307202"/>
    <w:rsid w:val="2F5E00A3"/>
    <w:rsid w:val="2F644280"/>
    <w:rsid w:val="2F822BAC"/>
    <w:rsid w:val="30007B98"/>
    <w:rsid w:val="301F6139"/>
    <w:rsid w:val="303A2DE5"/>
    <w:rsid w:val="30641E74"/>
    <w:rsid w:val="30810E1D"/>
    <w:rsid w:val="30B639B5"/>
    <w:rsid w:val="314067D8"/>
    <w:rsid w:val="314256C4"/>
    <w:rsid w:val="31842A3C"/>
    <w:rsid w:val="319F3C0F"/>
    <w:rsid w:val="31C84451"/>
    <w:rsid w:val="3234700A"/>
    <w:rsid w:val="32613622"/>
    <w:rsid w:val="329F04E5"/>
    <w:rsid w:val="32D54349"/>
    <w:rsid w:val="32EB7033"/>
    <w:rsid w:val="32F9755F"/>
    <w:rsid w:val="331B2806"/>
    <w:rsid w:val="333214D1"/>
    <w:rsid w:val="3370495E"/>
    <w:rsid w:val="33A7303A"/>
    <w:rsid w:val="33CC0FC6"/>
    <w:rsid w:val="33DD0EAC"/>
    <w:rsid w:val="340A165C"/>
    <w:rsid w:val="34143D51"/>
    <w:rsid w:val="34302898"/>
    <w:rsid w:val="343E03B9"/>
    <w:rsid w:val="345B460B"/>
    <w:rsid w:val="34655037"/>
    <w:rsid w:val="348E2B4F"/>
    <w:rsid w:val="35482A8B"/>
    <w:rsid w:val="355A0B35"/>
    <w:rsid w:val="357065AB"/>
    <w:rsid w:val="35822132"/>
    <w:rsid w:val="35C97D56"/>
    <w:rsid w:val="35EE5D6B"/>
    <w:rsid w:val="3637765B"/>
    <w:rsid w:val="363A3F05"/>
    <w:rsid w:val="36525C85"/>
    <w:rsid w:val="365311E6"/>
    <w:rsid w:val="367112A8"/>
    <w:rsid w:val="370C260B"/>
    <w:rsid w:val="375445E4"/>
    <w:rsid w:val="376964D6"/>
    <w:rsid w:val="377B454E"/>
    <w:rsid w:val="379C3619"/>
    <w:rsid w:val="387719FE"/>
    <w:rsid w:val="38CC73F3"/>
    <w:rsid w:val="395B66C1"/>
    <w:rsid w:val="395F496C"/>
    <w:rsid w:val="398E6FFF"/>
    <w:rsid w:val="39A71E6F"/>
    <w:rsid w:val="39AE15AC"/>
    <w:rsid w:val="39C50F72"/>
    <w:rsid w:val="39DF70D6"/>
    <w:rsid w:val="39E83FB4"/>
    <w:rsid w:val="3A153790"/>
    <w:rsid w:val="3A1F11A7"/>
    <w:rsid w:val="3A4D48B7"/>
    <w:rsid w:val="3A66582B"/>
    <w:rsid w:val="3A86575A"/>
    <w:rsid w:val="3AA11861"/>
    <w:rsid w:val="3AF70BD4"/>
    <w:rsid w:val="3B115AB0"/>
    <w:rsid w:val="3B341FC1"/>
    <w:rsid w:val="3B6F11E8"/>
    <w:rsid w:val="3B732683"/>
    <w:rsid w:val="3B851216"/>
    <w:rsid w:val="3B8732EB"/>
    <w:rsid w:val="3BA55463"/>
    <w:rsid w:val="3C062B24"/>
    <w:rsid w:val="3C274A6B"/>
    <w:rsid w:val="3C4A14EF"/>
    <w:rsid w:val="3C53008C"/>
    <w:rsid w:val="3C8B7E22"/>
    <w:rsid w:val="3D0B4A9A"/>
    <w:rsid w:val="3D4615C7"/>
    <w:rsid w:val="3DA349DC"/>
    <w:rsid w:val="3E2C3725"/>
    <w:rsid w:val="3E3457B0"/>
    <w:rsid w:val="3E353EED"/>
    <w:rsid w:val="3E6F47E0"/>
    <w:rsid w:val="3E9753EA"/>
    <w:rsid w:val="3EB76FF8"/>
    <w:rsid w:val="3EE41CB3"/>
    <w:rsid w:val="3F002F99"/>
    <w:rsid w:val="3F192702"/>
    <w:rsid w:val="3F5E71A0"/>
    <w:rsid w:val="3FAA346A"/>
    <w:rsid w:val="3FAB317E"/>
    <w:rsid w:val="3FC476AA"/>
    <w:rsid w:val="3FEF5D91"/>
    <w:rsid w:val="4024246B"/>
    <w:rsid w:val="40602185"/>
    <w:rsid w:val="406D3C7A"/>
    <w:rsid w:val="40DD4529"/>
    <w:rsid w:val="40EC4756"/>
    <w:rsid w:val="4182569C"/>
    <w:rsid w:val="41C041B9"/>
    <w:rsid w:val="41E371A6"/>
    <w:rsid w:val="42603601"/>
    <w:rsid w:val="426E4935"/>
    <w:rsid w:val="427D695B"/>
    <w:rsid w:val="42B01A80"/>
    <w:rsid w:val="42B540C6"/>
    <w:rsid w:val="42DC5105"/>
    <w:rsid w:val="43062FEB"/>
    <w:rsid w:val="43124DBF"/>
    <w:rsid w:val="435C4BA0"/>
    <w:rsid w:val="43650DD1"/>
    <w:rsid w:val="43B613AF"/>
    <w:rsid w:val="4410085A"/>
    <w:rsid w:val="44781DAA"/>
    <w:rsid w:val="44CA357E"/>
    <w:rsid w:val="45173023"/>
    <w:rsid w:val="452A12B9"/>
    <w:rsid w:val="455C4456"/>
    <w:rsid w:val="45A6531C"/>
    <w:rsid w:val="45CF460B"/>
    <w:rsid w:val="45D4223E"/>
    <w:rsid w:val="45E27E1E"/>
    <w:rsid w:val="461D562C"/>
    <w:rsid w:val="46333408"/>
    <w:rsid w:val="46586C79"/>
    <w:rsid w:val="470316C4"/>
    <w:rsid w:val="474878A2"/>
    <w:rsid w:val="47647DBB"/>
    <w:rsid w:val="476F4FDA"/>
    <w:rsid w:val="47802EE5"/>
    <w:rsid w:val="47A60B2D"/>
    <w:rsid w:val="47AC7367"/>
    <w:rsid w:val="47BA5BC1"/>
    <w:rsid w:val="47C7285C"/>
    <w:rsid w:val="48242B78"/>
    <w:rsid w:val="487519F9"/>
    <w:rsid w:val="48BE1183"/>
    <w:rsid w:val="48CD3A8B"/>
    <w:rsid w:val="490421D8"/>
    <w:rsid w:val="493C118F"/>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560FC9"/>
    <w:rsid w:val="4C892141"/>
    <w:rsid w:val="4D775CC7"/>
    <w:rsid w:val="4DA969FC"/>
    <w:rsid w:val="4DB73FDD"/>
    <w:rsid w:val="4E16053E"/>
    <w:rsid w:val="4E473A81"/>
    <w:rsid w:val="4EDD6ED6"/>
    <w:rsid w:val="4F066320"/>
    <w:rsid w:val="4F0C4606"/>
    <w:rsid w:val="4F4E6EBF"/>
    <w:rsid w:val="4F624E09"/>
    <w:rsid w:val="4F7D4C71"/>
    <w:rsid w:val="4FA26F09"/>
    <w:rsid w:val="4FCA7073"/>
    <w:rsid w:val="4FD46ECD"/>
    <w:rsid w:val="4FE259E9"/>
    <w:rsid w:val="501D7C2E"/>
    <w:rsid w:val="50A218B6"/>
    <w:rsid w:val="50E772C9"/>
    <w:rsid w:val="511B523C"/>
    <w:rsid w:val="512C7508"/>
    <w:rsid w:val="52321D93"/>
    <w:rsid w:val="52533FC1"/>
    <w:rsid w:val="53DA43C4"/>
    <w:rsid w:val="53E267AB"/>
    <w:rsid w:val="54136627"/>
    <w:rsid w:val="54144D41"/>
    <w:rsid w:val="541B5AFB"/>
    <w:rsid w:val="54D02C4B"/>
    <w:rsid w:val="550F29EB"/>
    <w:rsid w:val="55112B45"/>
    <w:rsid w:val="55351206"/>
    <w:rsid w:val="55547DEE"/>
    <w:rsid w:val="555850DA"/>
    <w:rsid w:val="55653C63"/>
    <w:rsid w:val="558F79BB"/>
    <w:rsid w:val="55A649AE"/>
    <w:rsid w:val="55D93627"/>
    <w:rsid w:val="56602AF8"/>
    <w:rsid w:val="56661590"/>
    <w:rsid w:val="568372C9"/>
    <w:rsid w:val="569D1848"/>
    <w:rsid w:val="56B13A64"/>
    <w:rsid w:val="56B60F80"/>
    <w:rsid w:val="56BA3AA0"/>
    <w:rsid w:val="56CF6D97"/>
    <w:rsid w:val="56D66689"/>
    <w:rsid w:val="570E46A2"/>
    <w:rsid w:val="57847C36"/>
    <w:rsid w:val="57D4349D"/>
    <w:rsid w:val="57DE4FF5"/>
    <w:rsid w:val="5867454D"/>
    <w:rsid w:val="586A742C"/>
    <w:rsid w:val="587E2A9C"/>
    <w:rsid w:val="5881039C"/>
    <w:rsid w:val="588E4492"/>
    <w:rsid w:val="588F1F45"/>
    <w:rsid w:val="58C134D7"/>
    <w:rsid w:val="58C94C3F"/>
    <w:rsid w:val="59000FFD"/>
    <w:rsid w:val="591E42EB"/>
    <w:rsid w:val="592A1676"/>
    <w:rsid w:val="5986548D"/>
    <w:rsid w:val="59E71DDE"/>
    <w:rsid w:val="5A064D2E"/>
    <w:rsid w:val="5A53496E"/>
    <w:rsid w:val="5A6F20DD"/>
    <w:rsid w:val="5A7756D8"/>
    <w:rsid w:val="5A96078C"/>
    <w:rsid w:val="5AB60385"/>
    <w:rsid w:val="5ABB0552"/>
    <w:rsid w:val="5AC87CD6"/>
    <w:rsid w:val="5AE85A5C"/>
    <w:rsid w:val="5B693839"/>
    <w:rsid w:val="5C140850"/>
    <w:rsid w:val="5C422D43"/>
    <w:rsid w:val="5C4A2BD7"/>
    <w:rsid w:val="5CAF68F6"/>
    <w:rsid w:val="5CBE64BF"/>
    <w:rsid w:val="5CF84E92"/>
    <w:rsid w:val="5D213D72"/>
    <w:rsid w:val="5D406B8A"/>
    <w:rsid w:val="5D63632E"/>
    <w:rsid w:val="5D641CA2"/>
    <w:rsid w:val="5DF734B0"/>
    <w:rsid w:val="5E2775BD"/>
    <w:rsid w:val="5E504C73"/>
    <w:rsid w:val="5E853EBA"/>
    <w:rsid w:val="5E985E8A"/>
    <w:rsid w:val="5F0604EF"/>
    <w:rsid w:val="5FA4034B"/>
    <w:rsid w:val="5FB455AB"/>
    <w:rsid w:val="5FD8479E"/>
    <w:rsid w:val="5FEF4FD0"/>
    <w:rsid w:val="5FF11588"/>
    <w:rsid w:val="60585DBB"/>
    <w:rsid w:val="60803325"/>
    <w:rsid w:val="60BC129F"/>
    <w:rsid w:val="61374D95"/>
    <w:rsid w:val="61394E2C"/>
    <w:rsid w:val="61B056D3"/>
    <w:rsid w:val="61C8132B"/>
    <w:rsid w:val="61CB1A57"/>
    <w:rsid w:val="621C7A8F"/>
    <w:rsid w:val="62F475B6"/>
    <w:rsid w:val="630C6A64"/>
    <w:rsid w:val="631C2FC6"/>
    <w:rsid w:val="63847100"/>
    <w:rsid w:val="63964CCA"/>
    <w:rsid w:val="6399764D"/>
    <w:rsid w:val="63F44853"/>
    <w:rsid w:val="645E7D4C"/>
    <w:rsid w:val="64712E14"/>
    <w:rsid w:val="647823C1"/>
    <w:rsid w:val="64F241A3"/>
    <w:rsid w:val="64F516DB"/>
    <w:rsid w:val="652A2E44"/>
    <w:rsid w:val="654E4849"/>
    <w:rsid w:val="65686657"/>
    <w:rsid w:val="658D7F00"/>
    <w:rsid w:val="65BD69EB"/>
    <w:rsid w:val="661C5CE0"/>
    <w:rsid w:val="664977CF"/>
    <w:rsid w:val="665C20B0"/>
    <w:rsid w:val="66AD46B9"/>
    <w:rsid w:val="66C719F1"/>
    <w:rsid w:val="66EC4975"/>
    <w:rsid w:val="67016B09"/>
    <w:rsid w:val="675774C1"/>
    <w:rsid w:val="676A33CA"/>
    <w:rsid w:val="67881188"/>
    <w:rsid w:val="680C22AE"/>
    <w:rsid w:val="681B27B3"/>
    <w:rsid w:val="683116BC"/>
    <w:rsid w:val="683410E1"/>
    <w:rsid w:val="68386205"/>
    <w:rsid w:val="688F3871"/>
    <w:rsid w:val="68D47E36"/>
    <w:rsid w:val="68E74072"/>
    <w:rsid w:val="691109BD"/>
    <w:rsid w:val="69173BDC"/>
    <w:rsid w:val="692E081B"/>
    <w:rsid w:val="69BD4674"/>
    <w:rsid w:val="6A036769"/>
    <w:rsid w:val="6A52291B"/>
    <w:rsid w:val="6A7B10E5"/>
    <w:rsid w:val="6A817F02"/>
    <w:rsid w:val="6AAD3E42"/>
    <w:rsid w:val="6AFD3370"/>
    <w:rsid w:val="6B014F26"/>
    <w:rsid w:val="6B351E6F"/>
    <w:rsid w:val="6B7A4051"/>
    <w:rsid w:val="6B912D82"/>
    <w:rsid w:val="6BB25EC1"/>
    <w:rsid w:val="6BE14999"/>
    <w:rsid w:val="6BEF4525"/>
    <w:rsid w:val="6BFB5FD1"/>
    <w:rsid w:val="6C054040"/>
    <w:rsid w:val="6C492FC4"/>
    <w:rsid w:val="6D12175F"/>
    <w:rsid w:val="6D1F5AF0"/>
    <w:rsid w:val="6DC25164"/>
    <w:rsid w:val="6E0577EA"/>
    <w:rsid w:val="6E254B81"/>
    <w:rsid w:val="6E44272A"/>
    <w:rsid w:val="6E5E2FB2"/>
    <w:rsid w:val="6E711E10"/>
    <w:rsid w:val="6E8977BA"/>
    <w:rsid w:val="6E981F74"/>
    <w:rsid w:val="6EC63593"/>
    <w:rsid w:val="6ED00F45"/>
    <w:rsid w:val="6F3657AD"/>
    <w:rsid w:val="6F4034D9"/>
    <w:rsid w:val="6F59436E"/>
    <w:rsid w:val="6F927414"/>
    <w:rsid w:val="6F974373"/>
    <w:rsid w:val="6FA05567"/>
    <w:rsid w:val="6FC74058"/>
    <w:rsid w:val="70036AAE"/>
    <w:rsid w:val="70040E87"/>
    <w:rsid w:val="700C0F2F"/>
    <w:rsid w:val="704871A4"/>
    <w:rsid w:val="70592DFA"/>
    <w:rsid w:val="70694F36"/>
    <w:rsid w:val="70880C5C"/>
    <w:rsid w:val="70901A28"/>
    <w:rsid w:val="709D754D"/>
    <w:rsid w:val="70B523D0"/>
    <w:rsid w:val="70C35547"/>
    <w:rsid w:val="70DD3906"/>
    <w:rsid w:val="71587589"/>
    <w:rsid w:val="71690108"/>
    <w:rsid w:val="716E656E"/>
    <w:rsid w:val="719B076B"/>
    <w:rsid w:val="71CF3D70"/>
    <w:rsid w:val="72220A19"/>
    <w:rsid w:val="7239166B"/>
    <w:rsid w:val="729460FE"/>
    <w:rsid w:val="72C32A8C"/>
    <w:rsid w:val="73393BC2"/>
    <w:rsid w:val="735F68D1"/>
    <w:rsid w:val="73662BEC"/>
    <w:rsid w:val="737B44DB"/>
    <w:rsid w:val="73977C09"/>
    <w:rsid w:val="74262B1B"/>
    <w:rsid w:val="74A6094A"/>
    <w:rsid w:val="74CA4AED"/>
    <w:rsid w:val="74CC21DF"/>
    <w:rsid w:val="74DA0950"/>
    <w:rsid w:val="74E16F35"/>
    <w:rsid w:val="75062ACB"/>
    <w:rsid w:val="75532D3D"/>
    <w:rsid w:val="7578286F"/>
    <w:rsid w:val="75F40DA1"/>
    <w:rsid w:val="761F2330"/>
    <w:rsid w:val="763F26D5"/>
    <w:rsid w:val="764D0528"/>
    <w:rsid w:val="7688510D"/>
    <w:rsid w:val="769E4375"/>
    <w:rsid w:val="76C82F19"/>
    <w:rsid w:val="77045A49"/>
    <w:rsid w:val="77090489"/>
    <w:rsid w:val="77266E5A"/>
    <w:rsid w:val="77291B31"/>
    <w:rsid w:val="7738346E"/>
    <w:rsid w:val="7760226B"/>
    <w:rsid w:val="77701354"/>
    <w:rsid w:val="77750DFA"/>
    <w:rsid w:val="7793678C"/>
    <w:rsid w:val="779A189F"/>
    <w:rsid w:val="781F51BA"/>
    <w:rsid w:val="78303B0F"/>
    <w:rsid w:val="78494544"/>
    <w:rsid w:val="78497969"/>
    <w:rsid w:val="784C5FF5"/>
    <w:rsid w:val="785B37DC"/>
    <w:rsid w:val="78E431C4"/>
    <w:rsid w:val="78EB4A40"/>
    <w:rsid w:val="78EF49E6"/>
    <w:rsid w:val="797F672E"/>
    <w:rsid w:val="79BB159E"/>
    <w:rsid w:val="79BE0E38"/>
    <w:rsid w:val="79CB3DE1"/>
    <w:rsid w:val="79F944AF"/>
    <w:rsid w:val="7A20424A"/>
    <w:rsid w:val="7A4413F9"/>
    <w:rsid w:val="7A807E04"/>
    <w:rsid w:val="7AD30A34"/>
    <w:rsid w:val="7AEA0E27"/>
    <w:rsid w:val="7B720AC6"/>
    <w:rsid w:val="7BAF6112"/>
    <w:rsid w:val="7BE934CD"/>
    <w:rsid w:val="7C5859F2"/>
    <w:rsid w:val="7C735E4E"/>
    <w:rsid w:val="7C857F72"/>
    <w:rsid w:val="7CC876FF"/>
    <w:rsid w:val="7D071AF5"/>
    <w:rsid w:val="7D6E4798"/>
    <w:rsid w:val="7D7E7646"/>
    <w:rsid w:val="7DB4431C"/>
    <w:rsid w:val="7DC26738"/>
    <w:rsid w:val="7DE9584E"/>
    <w:rsid w:val="7E972C19"/>
    <w:rsid w:val="7EBB2BFC"/>
    <w:rsid w:val="7F437511"/>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35"/>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3"/>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29"/>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99"/>
    <w:qFormat/>
    <w:uiPriority w:val="0"/>
    <w:pPr>
      <w:jc w:val="left"/>
    </w:pPr>
    <w:rPr>
      <w:rFonts w:ascii="Tahoma" w:hAnsi="Tahoma"/>
    </w:rPr>
  </w:style>
  <w:style w:type="paragraph" w:styleId="20">
    <w:name w:val="Salutation"/>
    <w:basedOn w:val="14"/>
    <w:next w:val="14"/>
    <w:link w:val="198"/>
    <w:qFormat/>
    <w:uiPriority w:val="0"/>
    <w:rPr>
      <w:rFonts w:ascii="..ì." w:eastAsia="..ì." w:cs="Times New Roman"/>
      <w:color w:val="auto"/>
      <w:szCs w:val="20"/>
    </w:rPr>
  </w:style>
  <w:style w:type="paragraph" w:styleId="21">
    <w:name w:val="Body Text 3"/>
    <w:basedOn w:val="1"/>
    <w:link w:val="206"/>
    <w:qFormat/>
    <w:uiPriority w:val="99"/>
    <w:pPr>
      <w:spacing w:after="120"/>
    </w:pPr>
    <w:rPr>
      <w:rFonts w:eastAsia="宋体"/>
      <w:sz w:val="16"/>
      <w:szCs w:val="16"/>
    </w:rPr>
  </w:style>
  <w:style w:type="paragraph" w:styleId="22">
    <w:name w:val="Body Text"/>
    <w:basedOn w:val="1"/>
    <w:next w:val="6"/>
    <w:link w:val="133"/>
    <w:qFormat/>
    <w:uiPriority w:val="99"/>
    <w:pPr>
      <w:spacing w:line="360" w:lineRule="auto"/>
    </w:pPr>
    <w:rPr>
      <w:rFonts w:ascii="Tahoma" w:hAnsi="Tahoma"/>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7"/>
    <w:unhideWhenUsed/>
    <w:qFormat/>
    <w:uiPriority w:val="99"/>
    <w:pPr>
      <w:spacing w:line="440" w:lineRule="exact"/>
    </w:pPr>
    <w:rPr>
      <w:b/>
      <w:bCs/>
      <w:sz w:val="24"/>
      <w:szCs w:val="28"/>
    </w:rPr>
  </w:style>
  <w:style w:type="paragraph" w:styleId="48">
    <w:name w:val="Body Text First Indent"/>
    <w:basedOn w:val="22"/>
    <w:link w:val="130"/>
    <w:qFormat/>
    <w:uiPriority w:val="0"/>
    <w:pPr>
      <w:spacing w:after="120" w:line="240" w:lineRule="auto"/>
      <w:ind w:firstLine="100" w:firstLineChars="100"/>
    </w:pPr>
  </w:style>
  <w:style w:type="paragraph" w:styleId="49">
    <w:name w:val="Body Text First Indent 2"/>
    <w:basedOn w:val="23"/>
    <w:next w:val="22"/>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5"/>
    <w:qFormat/>
    <w:uiPriority w:val="0"/>
    <w:pPr>
      <w:ind w:firstLine="420"/>
    </w:pPr>
    <w:rPr>
      <w:sz w:val="21"/>
      <w:szCs w:val="21"/>
    </w:rPr>
  </w:style>
  <w:style w:type="paragraph" w:customStyle="1" w:styleId="77">
    <w:name w:val="标题2"/>
    <w:basedOn w:val="3"/>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3"/>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4"/>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5"/>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字符"/>
    <w:link w:val="15"/>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字符"/>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字符"/>
    <w:link w:val="19"/>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字符"/>
    <w:link w:val="7"/>
    <w:qFormat/>
    <w:uiPriority w:val="99"/>
    <w:rPr>
      <w:b/>
      <w:bCs/>
      <w:kern w:val="2"/>
      <w:sz w:val="24"/>
      <w:szCs w:val="28"/>
    </w:rPr>
  </w:style>
  <w:style w:type="character" w:customStyle="1" w:styleId="102">
    <w:name w:val="标题 2 字符"/>
    <w:link w:val="3"/>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字符"/>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字符"/>
    <w:link w:val="4"/>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字符"/>
    <w:link w:val="2"/>
    <w:qFormat/>
    <w:uiPriority w:val="0"/>
    <w:rPr>
      <w:rFonts w:ascii="Tahoma" w:hAnsi="Tahoma"/>
      <w:b/>
      <w:bCs/>
      <w:kern w:val="44"/>
      <w:sz w:val="24"/>
      <w:szCs w:val="44"/>
    </w:rPr>
  </w:style>
  <w:style w:type="character" w:customStyle="1" w:styleId="121">
    <w:name w:val="页眉 字符"/>
    <w:link w:val="34"/>
    <w:qFormat/>
    <w:uiPriority w:val="99"/>
    <w:rPr>
      <w:rFonts w:ascii="Tahoma" w:hAnsi="Tahoma"/>
      <w:kern w:val="2"/>
      <w:sz w:val="18"/>
      <w:szCs w:val="18"/>
    </w:rPr>
  </w:style>
  <w:style w:type="character" w:customStyle="1" w:styleId="122">
    <w:name w:val="标题 7 字符"/>
    <w:link w:val="9"/>
    <w:qFormat/>
    <w:uiPriority w:val="99"/>
    <w:rPr>
      <w:b/>
      <w:bCs/>
      <w:kern w:val="2"/>
      <w:sz w:val="24"/>
      <w:szCs w:val="28"/>
    </w:rPr>
  </w:style>
  <w:style w:type="character" w:customStyle="1" w:styleId="123">
    <w:name w:val="标题 字符"/>
    <w:link w:val="46"/>
    <w:qFormat/>
    <w:uiPriority w:val="99"/>
    <w:rPr>
      <w:rFonts w:ascii="Cambria" w:hAnsi="Cambria"/>
      <w:b/>
      <w:bCs/>
      <w:kern w:val="2"/>
      <w:sz w:val="32"/>
      <w:szCs w:val="32"/>
    </w:rPr>
  </w:style>
  <w:style w:type="character" w:customStyle="1" w:styleId="124">
    <w:name w:val="标题 9 字符"/>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字符"/>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字符"/>
    <w:link w:val="17"/>
    <w:qFormat/>
    <w:uiPriority w:val="99"/>
    <w:rPr>
      <w:rFonts w:ascii="宋体"/>
      <w:kern w:val="2"/>
      <w:sz w:val="18"/>
      <w:szCs w:val="18"/>
    </w:rPr>
  </w:style>
  <w:style w:type="character" w:customStyle="1" w:styleId="130">
    <w:name w:val="正文文本首行缩进 字符"/>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字符"/>
    <w:link w:val="8"/>
    <w:qFormat/>
    <w:uiPriority w:val="99"/>
    <w:rPr>
      <w:rFonts w:ascii="Arial" w:hAnsi="Arial" w:eastAsia="黑体"/>
      <w:b/>
      <w:bCs/>
      <w:kern w:val="2"/>
      <w:sz w:val="24"/>
      <w:szCs w:val="28"/>
    </w:rPr>
  </w:style>
  <w:style w:type="character" w:customStyle="1" w:styleId="133">
    <w:name w:val="正文文本 字符1"/>
    <w:link w:val="2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字符"/>
    <w:link w:val="5"/>
    <w:qFormat/>
    <w:uiPriority w:val="0"/>
    <w:rPr>
      <w:kern w:val="2"/>
      <w:sz w:val="24"/>
    </w:rPr>
  </w:style>
  <w:style w:type="character" w:customStyle="1" w:styleId="136">
    <w:name w:val="页脚 字符"/>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字符"/>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3"/>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qFormat/>
    <w:uiPriority w:val="0"/>
    <w:rPr>
      <w:rFonts w:ascii="Times New Roman" w:hAnsi="Times New Roman" w:eastAsia="宋体" w:cs="Times New Roman"/>
      <w:kern w:val="2"/>
      <w:sz w:val="21"/>
      <w:szCs w:val="24"/>
    </w:rPr>
  </w:style>
  <w:style w:type="character" w:customStyle="1" w:styleId="167">
    <w:name w:val="正文文本 2 字符"/>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4"/>
    <w:qFormat/>
    <w:uiPriority w:val="99"/>
    <w:rPr>
      <w:rFonts w:eastAsia="宋体"/>
      <w:sz w:val="24"/>
      <w:szCs w:val="20"/>
    </w:rPr>
  </w:style>
  <w:style w:type="paragraph" w:customStyle="1" w:styleId="173">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字符"/>
    <w:basedOn w:val="52"/>
    <w:link w:val="20"/>
    <w:qFormat/>
    <w:uiPriority w:val="0"/>
    <w:rPr>
      <w:rFonts w:ascii="..ì." w:hAnsi="Times New Roman" w:eastAsia="..ì." w:cs="Times New Roman"/>
      <w:sz w:val="24"/>
    </w:rPr>
  </w:style>
  <w:style w:type="character" w:customStyle="1" w:styleId="199">
    <w:name w:val="注释标题 字符"/>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qFormat/>
    <w:uiPriority w:val="99"/>
    <w:rPr>
      <w:rFonts w:ascii="宋体" w:eastAsia="宋体"/>
      <w:sz w:val="24"/>
      <w:szCs w:val="20"/>
    </w:rPr>
  </w:style>
  <w:style w:type="character" w:customStyle="1" w:styleId="206">
    <w:name w:val="正文文本 3 字符"/>
    <w:basedOn w:val="52"/>
    <w:link w:val="21"/>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字符"/>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字符"/>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295">
    <w:name w:val="正文缩进1"/>
    <w:basedOn w:val="1"/>
    <w:qFormat/>
    <w:uiPriority w:val="0"/>
    <w:pPr>
      <w:ind w:firstLine="420" w:firstLineChars="200"/>
    </w:pPr>
  </w:style>
  <w:style w:type="character" w:customStyle="1" w:styleId="296">
    <w:name w:val="font11"/>
    <w:basedOn w:val="52"/>
    <w:qFormat/>
    <w:uiPriority w:val="0"/>
    <w:rPr>
      <w:rFonts w:hint="eastAsia" w:ascii="仿宋" w:hAnsi="仿宋" w:eastAsia="仿宋" w:cs="仿宋"/>
      <w:color w:val="000000"/>
      <w:sz w:val="22"/>
      <w:szCs w:val="22"/>
      <w:u w:val="none"/>
    </w:rPr>
  </w:style>
  <w:style w:type="character" w:customStyle="1" w:styleId="297">
    <w:name w:val="font01"/>
    <w:basedOn w:val="5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CF746-F338-4A2D-8D93-45A4536E078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59</Pages>
  <Words>25218</Words>
  <Characters>28575</Characters>
  <Lines>246</Lines>
  <Paragraphs>69</Paragraphs>
  <TotalTime>4</TotalTime>
  <ScaleCrop>false</ScaleCrop>
  <LinksUpToDate>false</LinksUpToDate>
  <CharactersWithSpaces>32357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j@x</cp:lastModifiedBy>
  <cp:lastPrinted>2023-05-04T01:55:00Z</cp:lastPrinted>
  <dcterms:modified xsi:type="dcterms:W3CDTF">2023-08-02T01:50:19Z</dcterms:modified>
  <dc:title>_x0001_</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1872B6354EE34DA6B53C463B5C0668FA_13</vt:lpwstr>
  </property>
</Properties>
</file>