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zh-CN"/>
        </w:rPr>
        <w:t>政府采购项目</w:t>
      </w:r>
    </w:p>
    <w:p>
      <w:pPr>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采购项目编号：SCZB2023-ZB-1616-001</w:t>
      </w:r>
    </w:p>
    <w:p>
      <w:pPr>
        <w:tabs>
          <w:tab w:val="left" w:pos="567"/>
        </w:tabs>
        <w:spacing w:line="360" w:lineRule="auto"/>
        <w:rPr>
          <w:rFonts w:hint="eastAsia" w:ascii="仿宋" w:hAnsi="仿宋" w:eastAsia="仿宋" w:cs="仿宋"/>
          <w:b/>
          <w:color w:val="auto"/>
          <w:sz w:val="52"/>
          <w:highlight w:val="none"/>
        </w:rPr>
      </w:pPr>
      <w:bookmarkStart w:id="0" w:name="_Hlk110012655"/>
    </w:p>
    <w:p>
      <w:pPr>
        <w:tabs>
          <w:tab w:val="left" w:pos="567"/>
        </w:tabs>
        <w:spacing w:line="360" w:lineRule="auto"/>
        <w:rPr>
          <w:rFonts w:hint="eastAsia" w:ascii="仿宋" w:hAnsi="仿宋" w:eastAsia="仿宋" w:cs="仿宋"/>
          <w:b/>
          <w:color w:val="auto"/>
          <w:sz w:val="52"/>
          <w:highlight w:val="none"/>
        </w:rPr>
      </w:pPr>
    </w:p>
    <w:p>
      <w:pPr>
        <w:tabs>
          <w:tab w:val="left" w:pos="567"/>
        </w:tabs>
        <w:spacing w:line="360" w:lineRule="auto"/>
        <w:rPr>
          <w:rFonts w:hint="eastAsia" w:ascii="仿宋" w:hAnsi="仿宋" w:eastAsia="仿宋" w:cs="仿宋"/>
          <w:b/>
          <w:color w:val="auto"/>
          <w:sz w:val="52"/>
          <w:highlight w:val="none"/>
        </w:rPr>
      </w:pPr>
    </w:p>
    <w:p>
      <w:pPr>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 xml:space="preserve">2023年西安市灞河右岸滨水景观带全民健身场地设施提升改造项目 </w:t>
      </w:r>
    </w:p>
    <w:bookmarkEnd w:id="0"/>
    <w:p>
      <w:pPr>
        <w:tabs>
          <w:tab w:val="left" w:pos="567"/>
        </w:tabs>
        <w:spacing w:line="360" w:lineRule="auto"/>
        <w:rPr>
          <w:rFonts w:hint="eastAsia" w:ascii="仿宋" w:hAnsi="仿宋" w:eastAsia="仿宋" w:cs="仿宋"/>
          <w:b/>
          <w:color w:val="auto"/>
          <w:sz w:val="5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56"/>
          <w:szCs w:val="56"/>
          <w:highlight w:val="none"/>
          <w:lang w:val="zh-CN"/>
        </w:rPr>
      </w:pPr>
      <w:r>
        <w:rPr>
          <w:rFonts w:hint="eastAsia" w:ascii="仿宋" w:hAnsi="仿宋" w:eastAsia="仿宋" w:cs="仿宋"/>
          <w:b/>
          <w:bCs/>
          <w:color w:val="auto"/>
          <w:sz w:val="56"/>
          <w:szCs w:val="56"/>
          <w:highlight w:val="none"/>
          <w:lang w:val="zh-CN"/>
        </w:rPr>
        <w:t>招 标 文 件</w:t>
      </w:r>
      <w:bookmarkStart w:id="1" w:name="_Hlk126247783"/>
    </w:p>
    <w:p>
      <w:pPr>
        <w:spacing w:line="360" w:lineRule="auto"/>
        <w:rPr>
          <w:rFonts w:hint="eastAsia" w:ascii="仿宋" w:hAnsi="仿宋" w:eastAsia="仿宋" w:cs="仿宋"/>
          <w:b/>
          <w:color w:val="auto"/>
          <w:sz w:val="52"/>
          <w:highlight w:val="none"/>
        </w:rPr>
      </w:pPr>
    </w:p>
    <w:p>
      <w:pPr>
        <w:pStyle w:val="3"/>
        <w:rPr>
          <w:rFonts w:hint="eastAsia" w:ascii="仿宋" w:hAnsi="仿宋" w:eastAsia="仿宋" w:cs="仿宋"/>
          <w:color w:val="auto"/>
          <w:highlight w:val="none"/>
        </w:rPr>
      </w:pPr>
    </w:p>
    <w:bookmarkEnd w:id="1"/>
    <w:p>
      <w:pPr>
        <w:tabs>
          <w:tab w:val="left" w:pos="5670"/>
        </w:tabs>
        <w:autoSpaceDE w:val="0"/>
        <w:autoSpaceDN w:val="0"/>
        <w:adjustRightInd w:val="0"/>
        <w:snapToGrid w:val="0"/>
        <w:spacing w:line="480" w:lineRule="auto"/>
        <w:ind w:firstLine="904" w:firstLineChars="300"/>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 xml:space="preserve">采购人：西安市体育局 </w:t>
      </w:r>
    </w:p>
    <w:p>
      <w:pPr>
        <w:pStyle w:val="3"/>
        <w:rPr>
          <w:rFonts w:hint="eastAsia" w:ascii="仿宋" w:hAnsi="仿宋" w:eastAsia="仿宋" w:cs="仿宋"/>
          <w:color w:val="auto"/>
          <w:highlight w:val="none"/>
          <w:lang w:val="zh-CN"/>
        </w:rPr>
      </w:pPr>
    </w:p>
    <w:p>
      <w:pPr>
        <w:tabs>
          <w:tab w:val="left" w:pos="5670"/>
        </w:tabs>
        <w:autoSpaceDE w:val="0"/>
        <w:autoSpaceDN w:val="0"/>
        <w:adjustRightInd w:val="0"/>
        <w:snapToGrid w:val="0"/>
        <w:spacing w:line="480" w:lineRule="auto"/>
        <w:ind w:firstLine="904" w:firstLineChars="300"/>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zh-CN"/>
        </w:rPr>
        <w:t>采购代理机构：陕西省采购招标有限责任公司</w:t>
      </w:r>
    </w:p>
    <w:p>
      <w:pPr>
        <w:tabs>
          <w:tab w:val="left" w:pos="5460"/>
        </w:tabs>
        <w:autoSpaceDE w:val="0"/>
        <w:autoSpaceDN w:val="0"/>
        <w:adjustRightInd w:val="0"/>
        <w:snapToGrid w:val="0"/>
        <w:spacing w:line="48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2023年</w:t>
      </w:r>
      <w:r>
        <w:rPr>
          <w:rFonts w:hint="eastAsia" w:ascii="仿宋" w:hAnsi="仿宋" w:eastAsia="仿宋" w:cs="仿宋"/>
          <w:b/>
          <w:bCs/>
          <w:color w:val="auto"/>
          <w:sz w:val="30"/>
          <w:szCs w:val="30"/>
          <w:highlight w:val="none"/>
          <w:lang w:val="en-US" w:eastAsia="zh-CN"/>
        </w:rPr>
        <w:t>08</w:t>
      </w:r>
      <w:r>
        <w:rPr>
          <w:rFonts w:hint="eastAsia" w:ascii="仿宋" w:hAnsi="仿宋" w:eastAsia="仿宋" w:cs="仿宋"/>
          <w:b/>
          <w:bCs/>
          <w:color w:val="auto"/>
          <w:sz w:val="30"/>
          <w:szCs w:val="30"/>
          <w:highlight w:val="none"/>
          <w:lang w:val="zh-CN"/>
        </w:rPr>
        <w:t>月</w:t>
      </w:r>
      <w:r>
        <w:rPr>
          <w:rFonts w:hint="eastAsia" w:ascii="仿宋" w:hAnsi="仿宋" w:eastAsia="仿宋" w:cs="仿宋"/>
          <w:color w:val="auto"/>
          <w:highlight w:val="none"/>
          <w:lang w:val="zh-CN"/>
        </w:rPr>
        <w:br w:type="page"/>
      </w:r>
    </w:p>
    <w:p>
      <w:pPr>
        <w:tabs>
          <w:tab w:val="left" w:pos="5460"/>
        </w:tabs>
        <w:autoSpaceDE w:val="0"/>
        <w:autoSpaceDN w:val="0"/>
        <w:adjustRightInd w:val="0"/>
        <w:snapToGrid w:val="0"/>
        <w:spacing w:line="360" w:lineRule="auto"/>
        <w:jc w:val="center"/>
        <w:rPr>
          <w:rFonts w:hint="eastAsia" w:ascii="仿宋" w:hAnsi="仿宋" w:eastAsia="仿宋" w:cs="仿宋"/>
          <w:b/>
          <w:color w:val="auto"/>
          <w:sz w:val="40"/>
          <w:szCs w:val="36"/>
          <w:highlight w:val="none"/>
        </w:rPr>
      </w:pPr>
    </w:p>
    <w:p>
      <w:pPr>
        <w:tabs>
          <w:tab w:val="left" w:pos="5460"/>
        </w:tabs>
        <w:autoSpaceDE w:val="0"/>
        <w:autoSpaceDN w:val="0"/>
        <w:adjustRightInd w:val="0"/>
        <w:snapToGrid w:val="0"/>
        <w:spacing w:line="360" w:lineRule="auto"/>
        <w:jc w:val="center"/>
        <w:rPr>
          <w:rFonts w:hint="eastAsia" w:ascii="仿宋" w:hAnsi="仿宋" w:eastAsia="仿宋" w:cs="仿宋"/>
          <w:b/>
          <w:color w:val="auto"/>
          <w:sz w:val="40"/>
          <w:szCs w:val="36"/>
          <w:highlight w:val="none"/>
        </w:rPr>
      </w:pPr>
      <w:r>
        <w:rPr>
          <w:rFonts w:hint="eastAsia" w:ascii="仿宋" w:hAnsi="仿宋" w:eastAsia="仿宋" w:cs="仿宋"/>
          <w:b/>
          <w:color w:val="auto"/>
          <w:sz w:val="40"/>
          <w:szCs w:val="36"/>
          <w:highlight w:val="none"/>
        </w:rPr>
        <w:t>目  录</w:t>
      </w:r>
    </w:p>
    <w:p>
      <w:pPr>
        <w:pStyle w:val="2"/>
        <w:rPr>
          <w:rFonts w:hint="eastAsia"/>
          <w:b/>
          <w:bCs/>
          <w:color w:val="auto"/>
          <w:highlight w:val="none"/>
        </w:rPr>
      </w:pP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bookmarkStart w:id="2" w:name="_Toc17230"/>
      <w:bookmarkStart w:id="3" w:name="_Toc216582804"/>
      <w:bookmarkStart w:id="4" w:name="_Toc22782"/>
      <w:r>
        <w:rPr>
          <w:rFonts w:hint="eastAsia" w:ascii="仿宋" w:hAnsi="仿宋" w:eastAsia="仿宋" w:cs="仿宋"/>
          <w:b/>
          <w:bCs/>
          <w:color w:val="auto"/>
          <w:kern w:val="0"/>
          <w:sz w:val="36"/>
          <w:szCs w:val="36"/>
          <w:highlight w:val="none"/>
        </w:rPr>
        <w:fldChar w:fldCharType="begin"/>
      </w:r>
      <w:r>
        <w:rPr>
          <w:rFonts w:hint="eastAsia" w:ascii="仿宋" w:hAnsi="仿宋" w:eastAsia="仿宋" w:cs="仿宋"/>
          <w:b/>
          <w:bCs/>
          <w:color w:val="auto"/>
          <w:kern w:val="0"/>
          <w:sz w:val="36"/>
          <w:szCs w:val="36"/>
          <w:highlight w:val="none"/>
        </w:rPr>
        <w:instrText xml:space="preserve"> TOC \o "1-3" \h \z \u </w:instrText>
      </w:r>
      <w:r>
        <w:rPr>
          <w:rFonts w:hint="eastAsia" w:ascii="仿宋" w:hAnsi="仿宋" w:eastAsia="仿宋" w:cs="仿宋"/>
          <w:b/>
          <w:bCs/>
          <w:color w:val="auto"/>
          <w:kern w:val="0"/>
          <w:sz w:val="36"/>
          <w:szCs w:val="36"/>
          <w:highlight w:val="none"/>
        </w:rPr>
        <w:fldChar w:fldCharType="separate"/>
      </w: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_Toc4686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第一章  招标公告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_Toc4686 \h </w:instrText>
      </w:r>
      <w:r>
        <w:rPr>
          <w:b/>
          <w:bCs/>
          <w:color w:val="auto"/>
          <w:sz w:val="28"/>
          <w:szCs w:val="36"/>
          <w:highlight w:val="none"/>
        </w:rPr>
        <w:fldChar w:fldCharType="separate"/>
      </w:r>
      <w:r>
        <w:rPr>
          <w:b/>
          <w:bCs/>
          <w:color w:val="auto"/>
          <w:sz w:val="28"/>
          <w:szCs w:val="36"/>
          <w:highlight w:val="none"/>
        </w:rPr>
        <w:t>1</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_Toc2299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第二章  投标人须知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_Toc2299 \h </w:instrText>
      </w:r>
      <w:r>
        <w:rPr>
          <w:b/>
          <w:bCs/>
          <w:color w:val="auto"/>
          <w:sz w:val="28"/>
          <w:szCs w:val="36"/>
          <w:highlight w:val="none"/>
        </w:rPr>
        <w:fldChar w:fldCharType="separate"/>
      </w:r>
      <w:r>
        <w:rPr>
          <w:b/>
          <w:bCs/>
          <w:color w:val="auto"/>
          <w:sz w:val="28"/>
          <w:szCs w:val="36"/>
          <w:highlight w:val="none"/>
        </w:rPr>
        <w:t>6</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_Toc26762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第三章  评标方法和标准</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_Toc26762 \h </w:instrText>
      </w:r>
      <w:r>
        <w:rPr>
          <w:b/>
          <w:bCs/>
          <w:color w:val="auto"/>
          <w:sz w:val="28"/>
          <w:szCs w:val="36"/>
          <w:highlight w:val="none"/>
        </w:rPr>
        <w:fldChar w:fldCharType="separate"/>
      </w:r>
      <w:r>
        <w:rPr>
          <w:b/>
          <w:bCs/>
          <w:color w:val="auto"/>
          <w:sz w:val="28"/>
          <w:szCs w:val="36"/>
          <w:highlight w:val="none"/>
        </w:rPr>
        <w:t>31</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_Toc10325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第四章  拟签订的合同文本</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_Toc10325 \h </w:instrText>
      </w:r>
      <w:r>
        <w:rPr>
          <w:b/>
          <w:bCs/>
          <w:color w:val="auto"/>
          <w:sz w:val="28"/>
          <w:szCs w:val="36"/>
          <w:highlight w:val="none"/>
        </w:rPr>
        <w:fldChar w:fldCharType="separate"/>
      </w:r>
      <w:r>
        <w:rPr>
          <w:b/>
          <w:bCs/>
          <w:color w:val="auto"/>
          <w:sz w:val="28"/>
          <w:szCs w:val="36"/>
          <w:highlight w:val="none"/>
        </w:rPr>
        <w:t>37</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_Toc24958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第五章  采购需求及要求</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_Toc24958 \h </w:instrText>
      </w:r>
      <w:r>
        <w:rPr>
          <w:b/>
          <w:bCs/>
          <w:color w:val="auto"/>
          <w:sz w:val="28"/>
          <w:szCs w:val="36"/>
          <w:highlight w:val="none"/>
        </w:rPr>
        <w:fldChar w:fldCharType="separate"/>
      </w:r>
      <w:r>
        <w:rPr>
          <w:b/>
          <w:bCs/>
          <w:color w:val="auto"/>
          <w:sz w:val="28"/>
          <w:szCs w:val="36"/>
          <w:highlight w:val="none"/>
        </w:rPr>
        <w:t>41</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25"/>
        <w:keepNext w:val="0"/>
        <w:keepLines w:val="0"/>
        <w:pageBreakBefore w:val="0"/>
        <w:widowControl w:val="0"/>
        <w:tabs>
          <w:tab w:val="right" w:leader="dot" w:pos="8023"/>
        </w:tabs>
        <w:kinsoku/>
        <w:wordWrap/>
        <w:overflowPunct/>
        <w:topLinePunct w:val="0"/>
        <w:autoSpaceDE/>
        <w:autoSpaceDN/>
        <w:bidi w:val="0"/>
        <w:adjustRightInd/>
        <w:snapToGrid/>
        <w:spacing w:line="700" w:lineRule="exact"/>
        <w:textAlignment w:val="auto"/>
        <w:rPr>
          <w:b/>
          <w:bCs/>
          <w:color w:val="auto"/>
          <w:sz w:val="28"/>
          <w:szCs w:val="36"/>
          <w:highlight w:val="none"/>
        </w:rPr>
      </w:pPr>
      <w:r>
        <w:rPr>
          <w:rFonts w:hint="eastAsia" w:ascii="仿宋" w:hAnsi="仿宋" w:eastAsia="仿宋" w:cs="仿宋"/>
          <w:b/>
          <w:bCs/>
          <w:color w:val="auto"/>
          <w:kern w:val="0"/>
          <w:sz w:val="28"/>
          <w:szCs w:val="36"/>
          <w:highlight w:val="none"/>
        </w:rPr>
        <w:fldChar w:fldCharType="begin"/>
      </w:r>
      <w:r>
        <w:rPr>
          <w:rFonts w:hint="eastAsia" w:ascii="仿宋" w:hAnsi="仿宋" w:eastAsia="仿宋" w:cs="仿宋"/>
          <w:b/>
          <w:bCs/>
          <w:color w:val="auto"/>
          <w:kern w:val="0"/>
          <w:sz w:val="28"/>
          <w:szCs w:val="36"/>
          <w:highlight w:val="none"/>
        </w:rPr>
        <w:instrText xml:space="preserve"> HYPERLINK \l _Toc26557 </w:instrText>
      </w:r>
      <w:r>
        <w:rPr>
          <w:rFonts w:hint="eastAsia" w:ascii="仿宋" w:hAnsi="仿宋" w:eastAsia="仿宋" w:cs="仿宋"/>
          <w:b/>
          <w:bCs/>
          <w:color w:val="auto"/>
          <w:kern w:val="0"/>
          <w:sz w:val="28"/>
          <w:szCs w:val="36"/>
          <w:highlight w:val="none"/>
        </w:rPr>
        <w:fldChar w:fldCharType="separate"/>
      </w:r>
      <w:r>
        <w:rPr>
          <w:rFonts w:hint="eastAsia" w:ascii="仿宋" w:hAnsi="仿宋" w:eastAsia="仿宋" w:cs="仿宋"/>
          <w:b/>
          <w:bCs/>
          <w:color w:val="auto"/>
          <w:sz w:val="28"/>
          <w:szCs w:val="36"/>
          <w:highlight w:val="none"/>
        </w:rPr>
        <w:t>第六章  投标文件格式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_Toc26557 \h </w:instrText>
      </w:r>
      <w:r>
        <w:rPr>
          <w:b/>
          <w:bCs/>
          <w:color w:val="auto"/>
          <w:sz w:val="28"/>
          <w:szCs w:val="36"/>
          <w:highlight w:val="none"/>
        </w:rPr>
        <w:fldChar w:fldCharType="separate"/>
      </w:r>
      <w:r>
        <w:rPr>
          <w:b/>
          <w:bCs/>
          <w:color w:val="auto"/>
          <w:sz w:val="28"/>
          <w:szCs w:val="36"/>
          <w:highlight w:val="none"/>
        </w:rPr>
        <w:t>44</w:t>
      </w:r>
      <w:r>
        <w:rPr>
          <w:b/>
          <w:bCs/>
          <w:color w:val="auto"/>
          <w:sz w:val="28"/>
          <w:szCs w:val="36"/>
          <w:highlight w:val="none"/>
        </w:rPr>
        <w:fldChar w:fldCharType="end"/>
      </w:r>
      <w:r>
        <w:rPr>
          <w:rFonts w:hint="eastAsia" w:ascii="仿宋" w:hAnsi="仿宋" w:eastAsia="仿宋" w:cs="仿宋"/>
          <w:b/>
          <w:bCs/>
          <w:color w:val="auto"/>
          <w:kern w:val="0"/>
          <w:sz w:val="28"/>
          <w:szCs w:val="36"/>
          <w:highlight w:val="none"/>
        </w:rPr>
        <w:fldChar w:fldCharType="end"/>
      </w:r>
    </w:p>
    <w:p>
      <w:pPr>
        <w:pStyle w:val="33"/>
        <w:keepNext w:val="0"/>
        <w:keepLines w:val="0"/>
        <w:pageBreakBefore w:val="0"/>
        <w:widowControl w:val="0"/>
        <w:kinsoku/>
        <w:wordWrap/>
        <w:overflowPunct/>
        <w:topLinePunct w:val="0"/>
        <w:autoSpaceDE/>
        <w:autoSpaceDN/>
        <w:bidi w:val="0"/>
        <w:adjustRightInd/>
        <w:snapToGrid/>
        <w:spacing w:before="0" w:after="0" w:line="700" w:lineRule="exact"/>
        <w:jc w:val="both"/>
        <w:textAlignment w:val="auto"/>
        <w:outlineLvl w:val="9"/>
        <w:rPr>
          <w:rFonts w:hint="eastAsia" w:ascii="仿宋" w:hAnsi="仿宋" w:eastAsia="仿宋" w:cs="仿宋"/>
          <w:color w:val="auto"/>
          <w:kern w:val="0"/>
          <w:sz w:val="24"/>
          <w:szCs w:val="24"/>
          <w:highlight w:val="none"/>
        </w:rPr>
        <w:sectPr>
          <w:pgSz w:w="11907" w:h="16840"/>
          <w:pgMar w:top="1440" w:right="1800" w:bottom="1440" w:left="1800" w:header="851" w:footer="851" w:gutter="284"/>
          <w:cols w:space="720" w:num="1"/>
          <w:docGrid w:linePitch="462" w:charSpace="0"/>
        </w:sectPr>
      </w:pPr>
      <w:r>
        <w:rPr>
          <w:rFonts w:hint="eastAsia" w:ascii="仿宋" w:hAnsi="仿宋" w:eastAsia="仿宋" w:cs="仿宋"/>
          <w:b/>
          <w:bCs/>
          <w:color w:val="auto"/>
          <w:kern w:val="0"/>
          <w:sz w:val="44"/>
          <w:szCs w:val="36"/>
          <w:highlight w:val="none"/>
        </w:rPr>
        <w:fldChar w:fldCharType="end"/>
      </w:r>
    </w:p>
    <w:p>
      <w:pPr>
        <w:pStyle w:val="33"/>
        <w:spacing w:before="0" w:after="0" w:line="360" w:lineRule="auto"/>
        <w:rPr>
          <w:rFonts w:hint="eastAsia" w:ascii="仿宋" w:hAnsi="仿宋" w:eastAsia="仿宋" w:cs="仿宋"/>
          <w:color w:val="auto"/>
          <w:highlight w:val="none"/>
        </w:rPr>
      </w:pPr>
      <w:bookmarkStart w:id="5" w:name="_Toc4686"/>
      <w:r>
        <w:rPr>
          <w:rFonts w:hint="eastAsia" w:ascii="仿宋" w:hAnsi="仿宋" w:eastAsia="仿宋" w:cs="仿宋"/>
          <w:color w:val="auto"/>
          <w:highlight w:val="none"/>
        </w:rPr>
        <w:t>第一章  招标公告</w:t>
      </w:r>
      <w:bookmarkEnd w:id="5"/>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项目概况</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2023年西安市灞河右岸滨水景观带全民健身场地设施提升改造项目 </w:t>
      </w:r>
      <w:r>
        <w:rPr>
          <w:rFonts w:hint="eastAsia" w:ascii="仿宋" w:hAnsi="仿宋" w:eastAsia="仿宋" w:cs="仿宋"/>
          <w:color w:val="auto"/>
          <w:highlight w:val="none"/>
        </w:rPr>
        <w:t>招标项目的潜在投标人应在全国公共资源交易平台（陕西省·西安市）网站〖首页〉电子交易平台〉陕西政府采购交易系统〉企业端〗（https://sxggzyjy.xa.gov.cn/）获取招标文件，并于</w:t>
      </w:r>
      <w:r>
        <w:rPr>
          <w:rFonts w:hint="eastAsia" w:ascii="仿宋" w:hAnsi="仿宋" w:eastAsia="仿宋" w:cs="仿宋"/>
          <w:b/>
          <w:bCs/>
          <w:color w:val="auto"/>
          <w:highlight w:val="none"/>
        </w:rPr>
        <w:t>2023年</w:t>
      </w:r>
      <w:r>
        <w:rPr>
          <w:rFonts w:hint="eastAsia" w:ascii="仿宋" w:hAnsi="仿宋" w:eastAsia="仿宋" w:cs="仿宋"/>
          <w:b/>
          <w:bCs/>
          <w:color w:val="auto"/>
          <w:highlight w:val="none"/>
          <w:lang w:val="en-US" w:eastAsia="zh-CN"/>
        </w:rPr>
        <w:t>09</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日09时30分</w:t>
      </w:r>
      <w:r>
        <w:rPr>
          <w:rFonts w:hint="eastAsia" w:ascii="仿宋" w:hAnsi="仿宋" w:eastAsia="仿宋" w:cs="仿宋"/>
          <w:color w:val="auto"/>
          <w:highlight w:val="none"/>
        </w:rPr>
        <w:t>（北京时间）前递交投标文件。</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一、项目基本情况</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SCZB2023-ZB-1616-001</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 xml:space="preserve">2023年西安市灞河右岸滨水景观带全民健身场地设施提升改造项目 </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采购方式：公开招标</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eastAsia="zh-CN"/>
        </w:rPr>
        <w:t>2,000,000.00</w:t>
      </w:r>
      <w:r>
        <w:rPr>
          <w:rFonts w:hint="eastAsia" w:ascii="仿宋" w:hAnsi="仿宋" w:eastAsia="仿宋" w:cs="仿宋"/>
          <w:color w:val="auto"/>
          <w:highlight w:val="none"/>
        </w:rPr>
        <w:t>元</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采购需求：</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2023年西安市灞河右岸滨水景观带全民健身场地设施提升改造项目</w:t>
      </w:r>
      <w:r>
        <w:rPr>
          <w:rFonts w:hint="eastAsia" w:ascii="仿宋" w:hAnsi="仿宋" w:eastAsia="仿宋" w:cs="仿宋"/>
          <w:color w:val="auto"/>
          <w:highlight w:val="none"/>
        </w:rPr>
        <w:t>):</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highlight w:val="none"/>
          <w:lang w:eastAsia="zh-CN"/>
        </w:rPr>
        <w:t>2,000,000.00</w:t>
      </w:r>
      <w:r>
        <w:rPr>
          <w:rFonts w:hint="eastAsia" w:ascii="仿宋" w:hAnsi="仿宋" w:eastAsia="仿宋" w:cs="仿宋"/>
          <w:color w:val="auto"/>
          <w:highlight w:val="none"/>
        </w:rPr>
        <w:t>元</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highlight w:val="none"/>
          <w:lang w:eastAsia="zh-CN"/>
        </w:rPr>
        <w:t>2,000,000.00</w:t>
      </w:r>
      <w:r>
        <w:rPr>
          <w:rFonts w:hint="eastAsia" w:ascii="仿宋" w:hAnsi="仿宋" w:eastAsia="仿宋" w:cs="仿宋"/>
          <w:color w:val="auto"/>
          <w:highlight w:val="none"/>
        </w:rPr>
        <w:t>元</w:t>
      </w:r>
    </w:p>
    <w:tbl>
      <w:tblPr>
        <w:tblStyle w:val="3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7"/>
        <w:gridCol w:w="1346"/>
        <w:gridCol w:w="1382"/>
        <w:gridCol w:w="871"/>
        <w:gridCol w:w="1056"/>
        <w:gridCol w:w="1500"/>
        <w:gridCol w:w="15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品目号</w:t>
            </w:r>
          </w:p>
        </w:tc>
        <w:tc>
          <w:tcPr>
            <w:tcW w:w="82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品目名称</w:t>
            </w:r>
          </w:p>
        </w:tc>
        <w:tc>
          <w:tcPr>
            <w:tcW w:w="8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采购标的</w:t>
            </w:r>
          </w:p>
        </w:tc>
        <w:tc>
          <w:tcPr>
            <w:tcW w:w="53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数量（单位）</w:t>
            </w:r>
          </w:p>
        </w:tc>
        <w:tc>
          <w:tcPr>
            <w:tcW w:w="6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技术规格、参数及要求</w:t>
            </w:r>
          </w:p>
        </w:tc>
        <w:tc>
          <w:tcPr>
            <w:tcW w:w="88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品目预算(元)</w:t>
            </w:r>
          </w:p>
        </w:tc>
        <w:tc>
          <w:tcPr>
            <w:tcW w:w="88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2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健身设备</w:t>
            </w:r>
          </w:p>
        </w:tc>
        <w:tc>
          <w:tcPr>
            <w:tcW w:w="8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健身步道</w:t>
            </w:r>
          </w:p>
          <w:p>
            <w:pPr>
              <w:wordWrap w:val="0"/>
              <w:spacing w:line="36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 笼式场地</w:t>
            </w:r>
            <w:r>
              <w:rPr>
                <w:rFonts w:hint="eastAsia" w:ascii="仿宋" w:hAnsi="仿宋" w:eastAsia="仿宋" w:cs="仿宋"/>
                <w:color w:val="auto"/>
                <w:szCs w:val="21"/>
                <w:highlight w:val="none"/>
                <w:lang w:eastAsia="zh-CN"/>
              </w:rPr>
              <w:t xml:space="preserve"> </w:t>
            </w:r>
          </w:p>
        </w:tc>
        <w:tc>
          <w:tcPr>
            <w:tcW w:w="53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批</w:t>
            </w:r>
            <w:r>
              <w:rPr>
                <w:rFonts w:hint="eastAsia" w:ascii="仿宋" w:hAnsi="仿宋" w:eastAsia="仿宋" w:cs="仿宋"/>
                <w:color w:val="auto"/>
                <w:szCs w:val="21"/>
                <w:highlight w:val="none"/>
              </w:rPr>
              <w:t>)</w:t>
            </w:r>
          </w:p>
        </w:tc>
        <w:tc>
          <w:tcPr>
            <w:tcW w:w="6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详见采购文件</w:t>
            </w:r>
          </w:p>
        </w:tc>
        <w:tc>
          <w:tcPr>
            <w:tcW w:w="88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tLeas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2,000,000.00</w:t>
            </w:r>
          </w:p>
        </w:tc>
        <w:tc>
          <w:tcPr>
            <w:tcW w:w="88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tLeas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2,000,000.00</w:t>
            </w:r>
          </w:p>
        </w:tc>
      </w:tr>
    </w:tbl>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本合同包不接受联合体投标</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合同履行期限：自合同签订之日起</w:t>
      </w:r>
      <w:r>
        <w:rPr>
          <w:rFonts w:hint="eastAsia" w:ascii="仿宋" w:hAnsi="仿宋" w:eastAsia="仿宋" w:cs="仿宋"/>
          <w:b/>
          <w:bCs/>
          <w:color w:val="auto"/>
          <w:highlight w:val="none"/>
          <w:lang w:val="en-US" w:eastAsia="zh-CN"/>
        </w:rPr>
        <w:t>60</w:t>
      </w:r>
      <w:r>
        <w:rPr>
          <w:rFonts w:hint="eastAsia" w:ascii="仿宋" w:hAnsi="仿宋" w:eastAsia="仿宋" w:cs="仿宋"/>
          <w:b/>
          <w:bCs/>
          <w:color w:val="auto"/>
          <w:highlight w:val="none"/>
          <w:lang w:eastAsia="zh-CN"/>
        </w:rPr>
        <w:t>日历天</w:t>
      </w:r>
      <w:r>
        <w:rPr>
          <w:rFonts w:hint="eastAsia" w:ascii="仿宋" w:hAnsi="仿宋" w:eastAsia="仿宋" w:cs="仿宋"/>
          <w:b/>
          <w:bCs/>
          <w:color w:val="auto"/>
          <w:highlight w:val="none"/>
          <w:lang w:val="en-US" w:eastAsia="zh-CN"/>
        </w:rPr>
        <w:t>内</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二、申请人的资格要求：</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 xml:space="preserve">2023年西安市灞河右岸滨水景观带全民健身场地设施提升改造项目 </w:t>
      </w:r>
      <w:r>
        <w:rPr>
          <w:rFonts w:hint="eastAsia" w:ascii="仿宋" w:hAnsi="仿宋" w:eastAsia="仿宋" w:cs="仿宋"/>
          <w:color w:val="auto"/>
          <w:highlight w:val="none"/>
        </w:rPr>
        <w:t>)落实政府采购政策需满足的资格要求如下：</w:t>
      </w:r>
      <w:r>
        <w:rPr>
          <w:rFonts w:hint="eastAsia" w:ascii="仿宋" w:hAnsi="仿宋" w:eastAsia="仿宋" w:cs="仿宋"/>
          <w:b/>
          <w:bCs/>
          <w:color w:val="auto"/>
          <w:highlight w:val="none"/>
        </w:rPr>
        <w:t>本项目为专门面向中小企业的项目，供应商应为中小微企业、监狱企业或残疾人福利性单位。</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 xml:space="preserve">2023年西安市灞河右岸滨水景观带全民健身场地设施提升改造项目 </w:t>
      </w:r>
      <w:r>
        <w:rPr>
          <w:rFonts w:hint="eastAsia" w:ascii="仿宋" w:hAnsi="仿宋" w:eastAsia="仿宋" w:cs="仿宋"/>
          <w:color w:val="auto"/>
          <w:highlight w:val="none"/>
        </w:rPr>
        <w:t>)特定资格要求如下:</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3.2投标人不得存在下列情形之一：</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（1）单位负责人为同一人或者存在直接控股、管理关系的不同供应商，不得参加本次采购活动；</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（2）为本项目提供整体设计、规范编制或者项目管理、监理、检测等服务的供应商，不得再参加该采购项目的其他采购活动。</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三、获取招标文件</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b/>
          <w:bCs/>
          <w:color w:val="auto"/>
          <w:highlight w:val="none"/>
        </w:rPr>
        <w:t>2023年</w:t>
      </w:r>
      <w:r>
        <w:rPr>
          <w:rFonts w:hint="eastAsia" w:ascii="仿宋" w:hAnsi="仿宋" w:eastAsia="仿宋" w:cs="仿宋"/>
          <w:b/>
          <w:bCs/>
          <w:color w:val="auto"/>
          <w:highlight w:val="none"/>
          <w:lang w:val="en-US" w:eastAsia="zh-CN"/>
        </w:rPr>
        <w:t>08</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16</w:t>
      </w:r>
      <w:r>
        <w:rPr>
          <w:rFonts w:hint="eastAsia" w:ascii="仿宋" w:hAnsi="仿宋" w:eastAsia="仿宋" w:cs="仿宋"/>
          <w:b/>
          <w:bCs/>
          <w:color w:val="auto"/>
          <w:highlight w:val="none"/>
        </w:rPr>
        <w:t>日至2023年</w:t>
      </w:r>
      <w:r>
        <w:rPr>
          <w:rFonts w:hint="eastAsia" w:ascii="仿宋" w:hAnsi="仿宋" w:eastAsia="仿宋" w:cs="仿宋"/>
          <w:b/>
          <w:bCs/>
          <w:color w:val="auto"/>
          <w:highlight w:val="none"/>
          <w:lang w:val="en-US" w:eastAsia="zh-CN"/>
        </w:rPr>
        <w:t>08</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22</w:t>
      </w:r>
      <w:r>
        <w:rPr>
          <w:rFonts w:hint="eastAsia" w:ascii="仿宋" w:hAnsi="仿宋" w:eastAsia="仿宋" w:cs="仿宋"/>
          <w:b/>
          <w:bCs/>
          <w:color w:val="auto"/>
          <w:highlight w:val="none"/>
        </w:rPr>
        <w:t>日</w:t>
      </w:r>
      <w:r>
        <w:rPr>
          <w:rFonts w:hint="eastAsia" w:ascii="仿宋" w:hAnsi="仿宋" w:eastAsia="仿宋" w:cs="仿宋"/>
          <w:color w:val="auto"/>
          <w:highlight w:val="none"/>
        </w:rPr>
        <w:t>，每天上午00:00:00至12:00:00，下午12:00:00至23:59:59（北京时间）</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途径：全国公共资源交易平台（陕西省·西安市）网站〖首页〉电子交易平台〉陕西政府采购交易系统〉企业端〗（https://sxggzyjy.xa.gov.cn/）</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方式：在线获取</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售价：0元</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四、提交投标文件截止时间、开标时间和地点</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b/>
          <w:bCs/>
          <w:color w:val="auto"/>
          <w:highlight w:val="none"/>
        </w:rPr>
        <w:t>2023年</w:t>
      </w:r>
      <w:r>
        <w:rPr>
          <w:rFonts w:hint="eastAsia" w:ascii="仿宋" w:hAnsi="仿宋" w:eastAsia="仿宋" w:cs="仿宋"/>
          <w:b/>
          <w:bCs/>
          <w:color w:val="auto"/>
          <w:highlight w:val="none"/>
          <w:lang w:val="en-US" w:eastAsia="zh-CN"/>
        </w:rPr>
        <w:t>09</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日09时30分00秒</w:t>
      </w:r>
      <w:r>
        <w:rPr>
          <w:rFonts w:hint="eastAsia" w:ascii="仿宋" w:hAnsi="仿宋" w:eastAsia="仿宋" w:cs="仿宋"/>
          <w:color w:val="auto"/>
          <w:highlight w:val="none"/>
        </w:rPr>
        <w:t>（北京时间）</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提交投标文件地点：全国公共资源交易平台（陕西省·西安市）网站〖首页〉电子交易平台〉陕西政府采购交易系统〉企业端〗</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开标地点：全国公共资源交易平台（陕西省·西安市）西安市公共资源交易中心网-不见面开标系统</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五、公告期限</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六、其他补充事宜</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1、落实政府采购政策：</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1.3《财政部 农业农村部 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1.5《陕西省财政厅关于加快推进我省中小企业政府采购信用融资工作的通知》（陕财办采〔2020〕15 号）、陕西省财政厅关于印发《陕西省中小企业政府采购信用融资办法》（陕财办采〔2018〕23号）。</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若享受以上政策优惠的企业，提供相应声明函或品目清单范围内产品的有效认证证书。</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2、注意事项</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投标人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2.3请投标人务必及时下载项目招标文件并做好备份,否则会影响投标文件编制及后续投标活动。</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2.7本项目采用“不见面开标”形式,投标人可登录全国公共资源交易平台(陕西省·西安市)网站〖首页〉不见面开标〗系统,在线参加开标过程。操作手册详见〖首页〉服务指南〉下载专区〗中的《西安公共资源交易不见面开标大厅供应商操作手册》。</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2.8按照陕西省财政厅《关于政府采购供应商注册登记有关事项的通知》中的要求,投标人应通过陕西省政府采购网(http://www.ccgp-shaanxi.gov.cn/)注册登记,加入陕西省政府采购供应商库。</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2.9其他事项见本项目招标文件。</w:t>
      </w:r>
    </w:p>
    <w:p>
      <w:pPr>
        <w:pStyle w:val="31"/>
        <w:shd w:val="clear" w:color="auto" w:fill="FFFFFF"/>
        <w:wordWrap w:val="0"/>
        <w:adjustRightInd w:val="0"/>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七、对本次招标提出询问，请按以下方式联系。</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 xml:space="preserve">西安市体育局 </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西安市未央区汉城街道凤城八路109号市行政中心2号楼</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eastAsia="zh-CN"/>
        </w:rPr>
        <w:t>029-86787989</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名称：陕西省采购招标有限责任公司</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地址：西安市高新二路山西证券大厦八层</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sz w:val="24"/>
          <w:highlight w:val="none"/>
        </w:rPr>
        <w:t>029-884</w:t>
      </w:r>
      <w:r>
        <w:rPr>
          <w:rFonts w:hint="eastAsia" w:ascii="仿宋" w:hAnsi="仿宋" w:eastAsia="仿宋" w:cs="仿宋"/>
          <w:color w:val="auto"/>
          <w:sz w:val="24"/>
          <w:highlight w:val="none"/>
          <w:lang w:val="en-US" w:eastAsia="zh-CN"/>
        </w:rPr>
        <w:t>81271</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3.项目联系方式</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eastAsia="zh-CN"/>
        </w:rPr>
        <w:t>薛珊、刘艳</w:t>
      </w:r>
    </w:p>
    <w:p>
      <w:pPr>
        <w:pStyle w:val="31"/>
        <w:shd w:val="clear" w:color="auto" w:fill="FFFFFF"/>
        <w:wordWrap w:val="0"/>
        <w:adjustRightInd w:val="0"/>
        <w:snapToGrid w:val="0"/>
        <w:spacing w:before="0" w:beforeAutospacing="0" w:after="0" w:afterAutospacing="0"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电话：029-884</w:t>
      </w:r>
      <w:r>
        <w:rPr>
          <w:rFonts w:hint="eastAsia" w:ascii="仿宋" w:hAnsi="仿宋" w:eastAsia="仿宋" w:cs="仿宋"/>
          <w:color w:val="auto"/>
          <w:highlight w:val="none"/>
          <w:lang w:val="en-US" w:eastAsia="zh-CN"/>
        </w:rPr>
        <w:t>81271</w:t>
      </w:r>
    </w:p>
    <w:p>
      <w:pPr>
        <w:widowControl/>
        <w:shd w:val="clear" w:color="auto" w:fill="FFFFFF"/>
        <w:wordWrap w:val="0"/>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highlight w:val="none"/>
        </w:rPr>
        <w:br w:type="page"/>
      </w:r>
    </w:p>
    <w:p>
      <w:pPr>
        <w:pStyle w:val="33"/>
        <w:spacing w:before="0" w:after="0" w:line="360" w:lineRule="auto"/>
        <w:rPr>
          <w:rFonts w:hint="eastAsia" w:ascii="仿宋" w:hAnsi="仿宋" w:eastAsia="仿宋" w:cs="仿宋"/>
          <w:color w:val="auto"/>
          <w:highlight w:val="none"/>
        </w:rPr>
      </w:pPr>
      <w:bookmarkStart w:id="6" w:name="_Toc2299"/>
      <w:r>
        <w:rPr>
          <w:rFonts w:hint="eastAsia" w:ascii="仿宋" w:hAnsi="仿宋" w:eastAsia="仿宋" w:cs="仿宋"/>
          <w:color w:val="auto"/>
          <w:highlight w:val="none"/>
        </w:rPr>
        <w:t xml:space="preserve">第二章  </w:t>
      </w:r>
      <w:bookmarkStart w:id="7" w:name="_Toc532473448"/>
      <w:bookmarkStart w:id="8" w:name="_Toc515647756"/>
      <w:r>
        <w:rPr>
          <w:rFonts w:hint="eastAsia" w:ascii="仿宋" w:hAnsi="仿宋" w:eastAsia="仿宋" w:cs="仿宋"/>
          <w:color w:val="auto"/>
          <w:highlight w:val="none"/>
        </w:rPr>
        <w:t>投标人须知</w:t>
      </w:r>
      <w:bookmarkEnd w:id="2"/>
      <w:bookmarkEnd w:id="3"/>
      <w:bookmarkEnd w:id="4"/>
      <w:bookmarkEnd w:id="6"/>
      <w:bookmarkEnd w:id="7"/>
      <w:bookmarkEnd w:id="8"/>
    </w:p>
    <w:p>
      <w:pPr>
        <w:pStyle w:val="5"/>
        <w:spacing w:before="0" w:line="360" w:lineRule="auto"/>
        <w:rPr>
          <w:rFonts w:hint="eastAsia" w:ascii="仿宋" w:hAnsi="仿宋" w:eastAsia="仿宋" w:cs="仿宋"/>
          <w:color w:val="auto"/>
          <w:sz w:val="28"/>
          <w:szCs w:val="18"/>
          <w:highlight w:val="none"/>
        </w:rPr>
      </w:pPr>
      <w:bookmarkStart w:id="9" w:name="_Toc138175437"/>
      <w:bookmarkStart w:id="10" w:name="_Toc30888"/>
      <w:r>
        <w:rPr>
          <w:rFonts w:hint="eastAsia" w:ascii="仿宋" w:hAnsi="仿宋" w:eastAsia="仿宋" w:cs="仿宋"/>
          <w:color w:val="auto"/>
          <w:sz w:val="28"/>
          <w:szCs w:val="18"/>
          <w:highlight w:val="none"/>
        </w:rPr>
        <w:t>（一）投标人须知前附表</w:t>
      </w:r>
      <w:bookmarkEnd w:id="9"/>
      <w:bookmarkEnd w:id="10"/>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本表是对投标人须知的具体补充和修改，如有矛盾，应以本资料表为准。</w:t>
      </w:r>
    </w:p>
    <w:tbl>
      <w:tblPr>
        <w:tblStyle w:val="36"/>
        <w:tblW w:w="5508" w:type="pct"/>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4"/>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条款号</w:t>
            </w:r>
          </w:p>
        </w:tc>
        <w:tc>
          <w:tcPr>
            <w:tcW w:w="4469" w:type="pct"/>
            <w:vAlign w:val="center"/>
          </w:tcPr>
          <w:p>
            <w:pPr>
              <w:adjustRightInd w:val="0"/>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4469" w:type="pct"/>
            <w:vAlign w:val="center"/>
          </w:tcPr>
          <w:p>
            <w:pPr>
              <w:adjustRightInd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 xml:space="preserve">西安市体育局 </w:t>
            </w:r>
          </w:p>
          <w:p>
            <w:pPr>
              <w:adjustRightInd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西安市未央区汉城街道凤城八路109号市行政中心2号楼</w:t>
            </w:r>
          </w:p>
          <w:p>
            <w:pPr>
              <w:adjustRightInd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电话：</w:t>
            </w:r>
            <w:r>
              <w:rPr>
                <w:rFonts w:hint="eastAsia" w:ascii="仿宋" w:hAnsi="仿宋" w:eastAsia="仿宋" w:cs="仿宋"/>
                <w:color w:val="auto"/>
                <w:kern w:val="0"/>
                <w:sz w:val="24"/>
                <w:highlight w:val="none"/>
                <w:lang w:eastAsia="zh-CN"/>
              </w:rPr>
              <w:t>029-86787989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4469" w:type="pct"/>
            <w:vAlign w:val="center"/>
          </w:tcPr>
          <w:p>
            <w:pPr>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采购代理机构：陕西省采购招标有限责任公司</w:t>
            </w:r>
          </w:p>
          <w:p>
            <w:pPr>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地址：西安市高新二路山西证券大厦八层</w:t>
            </w:r>
          </w:p>
          <w:p>
            <w:pPr>
              <w:adjustRightInd w:val="0"/>
              <w:snapToGrid w:val="0"/>
              <w:spacing w:line="360" w:lineRule="auto"/>
              <w:rPr>
                <w:rFonts w:hint="eastAsia" w:ascii="仿宋" w:hAnsi="仿宋" w:eastAsia="仿宋" w:cs="仿宋"/>
                <w:color w:val="auto"/>
                <w:sz w:val="24"/>
                <w:highlight w:val="none"/>
                <w:u w:val="single" w:color="FFFFFF"/>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薛珊、刘艳</w:t>
            </w:r>
          </w:p>
          <w:p>
            <w:pPr>
              <w:adjustRightInd w:val="0"/>
              <w:snapToGrid w:val="0"/>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电话：029-884</w:t>
            </w:r>
            <w:r>
              <w:rPr>
                <w:rFonts w:hint="eastAsia" w:ascii="仿宋" w:hAnsi="仿宋" w:eastAsia="仿宋" w:cs="仿宋"/>
                <w:color w:val="auto"/>
                <w:sz w:val="24"/>
                <w:highlight w:val="none"/>
                <w:lang w:val="en-US" w:eastAsia="zh-CN"/>
              </w:rPr>
              <w:t>81271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1.3.3</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合格投标人的特定资格条件：</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2、投标人不得存在下列情形之一：</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（1）单位负责人为同一人或者存在直接控股、管理关系的不同供应商，不得参加本次采购活动；</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1.3.4</w:t>
            </w:r>
          </w:p>
        </w:tc>
        <w:tc>
          <w:tcPr>
            <w:tcW w:w="4469" w:type="pct"/>
            <w:vAlign w:val="center"/>
          </w:tcPr>
          <w:p>
            <w:pPr>
              <w:adjustRightInd w:val="0"/>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是否为专门面向中小企业采购：</w:t>
            </w:r>
            <w:r>
              <w:rPr>
                <w:rFonts w:hint="eastAsia" w:ascii="仿宋" w:hAnsi="仿宋" w:eastAsia="仿宋" w:cs="仿宋"/>
                <w:b/>
                <w:bCs/>
                <w:color w:val="auto"/>
                <w:sz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是否允许联合体投标：否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1.4.7</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联合体的其他资格要求：/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shd w:val="clear" w:color="auto" w:fill="auto"/>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4469" w:type="pct"/>
            <w:shd w:val="clear" w:color="auto" w:fill="auto"/>
            <w:vAlign w:val="center"/>
          </w:tcPr>
          <w:p>
            <w:pPr>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项目所属行业：</w:t>
            </w:r>
            <w:r>
              <w:rPr>
                <w:rFonts w:hint="eastAsia" w:ascii="仿宋" w:hAnsi="仿宋" w:eastAsia="仿宋" w:cs="仿宋"/>
                <w:b/>
                <w:bCs/>
                <w:color w:val="auto"/>
                <w:sz w:val="24"/>
                <w:highlight w:val="none"/>
                <w:lang w:val="en-US" w:eastAsia="zh-CN"/>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项目预算金额：</w:t>
            </w:r>
            <w:r>
              <w:rPr>
                <w:rFonts w:hint="eastAsia" w:ascii="仿宋" w:hAnsi="仿宋" w:eastAsia="仿宋" w:cs="仿宋"/>
                <w:color w:val="auto"/>
                <w:sz w:val="24"/>
                <w:highlight w:val="none"/>
                <w:lang w:eastAsia="zh-CN"/>
              </w:rPr>
              <w:t>2000000.00</w:t>
            </w:r>
            <w:r>
              <w:rPr>
                <w:rFonts w:hint="eastAsia" w:ascii="仿宋" w:hAnsi="仿宋" w:eastAsia="仿宋" w:cs="仿宋"/>
                <w:color w:val="auto"/>
                <w:sz w:val="24"/>
                <w:highlight w:val="none"/>
              </w:rPr>
              <w:t>元;最高限价：</w:t>
            </w:r>
            <w:r>
              <w:rPr>
                <w:rFonts w:hint="eastAsia" w:ascii="仿宋" w:hAnsi="仿宋" w:eastAsia="仿宋" w:cs="仿宋"/>
                <w:color w:val="auto"/>
                <w:sz w:val="24"/>
                <w:highlight w:val="none"/>
                <w:lang w:eastAsia="zh-CN"/>
              </w:rPr>
              <w:t>2000000.00</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是否组织现场考察或者召开答疑会：否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如投标人对多个包进行投标，可以中标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4469" w:type="pct"/>
            <w:vAlign w:val="center"/>
          </w:tcPr>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投标人无须递交投标保证金。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本项目为平台电子投标，无需纸质版投标文件。但投标人在中标后需将上传的电子投标文件装订三套（需加盖鲜章）送至至西安市高新二路山西证券大厦八层</w:t>
            </w:r>
            <w:r>
              <w:rPr>
                <w:rFonts w:hint="eastAsia" w:ascii="仿宋" w:hAnsi="仿宋" w:eastAsia="仿宋" w:cs="仿宋"/>
                <w:color w:val="auto"/>
                <w:sz w:val="24"/>
                <w:highlight w:val="none"/>
                <w:lang w:eastAsia="zh-CN"/>
              </w:rPr>
              <w:t>招标二部</w:t>
            </w:r>
            <w:r>
              <w:rPr>
                <w:rFonts w:hint="eastAsia" w:ascii="仿宋" w:hAnsi="仿宋" w:eastAsia="仿宋" w:cs="仿宋"/>
                <w:color w:val="auto"/>
                <w:sz w:val="24"/>
                <w:highlight w:val="none"/>
              </w:rPr>
              <w:t>。</w:t>
            </w:r>
          </w:p>
          <w:p>
            <w:pPr>
              <w:adjustRightInd w:val="0"/>
              <w:snapToGrid w:val="0"/>
              <w:spacing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注：平台电子投标文件制作注意事项</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链接地址：</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http://sxggzyjy.xa.gov.cn/fwzn/004003/20181115/4d59c184-e8f6-4d5a-a416-c2f6b0601e66.html</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再次提醒：提交投标文件截止时间前，投标人应随时留意“政府采购信息发布媒体”上可能发布的变更公告。若变更公告中明确注明本项目伴有变更文件的，投标人应登录企业端后，从〖项目流程·〉项目管理·〉答疑文件下载〗获取更新后的电子招标文件（*.SXSCF），使用旧版电子招标文件制作的电子投标文件（*.SXSTF），系统将拒绝接收。</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3．电子投标文件制作过程中，需要法定代表人签字或盖章的地方，请使用“法人CA锁”进行签章；需要加盖投标人公章的地方，请使用“企业CA锁”进行签章。</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若导出的PDF文件里看不到签章，请尝试使用专用制作软件中的“查看投标文件工具”打开未加密的电子投标文件重新导出。在制作过程中，如有其他技术性问题，请先翻阅操作手册，或致电软件开发商。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b/>
                <w:bCs/>
                <w:color w:val="auto"/>
                <w:sz w:val="24"/>
                <w:highlight w:val="none"/>
              </w:rPr>
              <w:t>2023年</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06</w:t>
            </w:r>
            <w:r>
              <w:rPr>
                <w:rFonts w:hint="eastAsia" w:ascii="仿宋" w:hAnsi="仿宋" w:eastAsia="仿宋" w:cs="仿宋"/>
                <w:b/>
                <w:bCs/>
                <w:color w:val="auto"/>
                <w:sz w:val="24"/>
                <w:highlight w:val="none"/>
              </w:rPr>
              <w:t>日09时30分00秒</w:t>
            </w:r>
          </w:p>
          <w:p>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在提交投标文件截止时间前及时提交加密后电子投标文件，逾期提交的，系统将会拒收。</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1．在生成电子投标文件时，需要使用CA锁对投标文件进行加密。</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注意：加密投标文件和开标时解密投标文件应当使用同一CA，否则将会导致解密失败。</w:t>
            </w:r>
            <w:bookmarkStart w:id="11" w:name="_Hlk127177670"/>
            <w:r>
              <w:rPr>
                <w:rFonts w:hint="eastAsia" w:ascii="仿宋" w:hAnsi="仿宋" w:eastAsia="仿宋" w:cs="仿宋"/>
                <w:color w:val="auto"/>
                <w:sz w:val="24"/>
                <w:highlight w:val="none"/>
                <w:lang w:val="zh-CN"/>
              </w:rPr>
              <w:t>因投标人原因造成其投标文件无法解密或无法打开的，按无效投标处理。</w:t>
            </w:r>
            <w:bookmarkEnd w:id="11"/>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val="zh-CN"/>
              </w:rPr>
              <w:t>3．上传文件有误或需要重新提交的，可先撤销已经上传的文件，然后重新上传新文件。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4469" w:type="pct"/>
            <w:vAlign w:val="center"/>
          </w:tcPr>
          <w:p>
            <w:pPr>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开标时间：</w:t>
            </w:r>
            <w:r>
              <w:rPr>
                <w:rFonts w:hint="eastAsia" w:ascii="仿宋" w:hAnsi="仿宋" w:eastAsia="仿宋" w:cs="仿宋"/>
                <w:b/>
                <w:bCs/>
                <w:color w:val="auto"/>
                <w:sz w:val="24"/>
                <w:highlight w:val="none"/>
              </w:rPr>
              <w:t>2023年</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06</w:t>
            </w:r>
            <w:r>
              <w:rPr>
                <w:rFonts w:hint="eastAsia" w:ascii="仿宋" w:hAnsi="仿宋" w:eastAsia="仿宋" w:cs="仿宋"/>
                <w:b/>
                <w:bCs/>
                <w:color w:val="auto"/>
                <w:sz w:val="24"/>
                <w:highlight w:val="none"/>
              </w:rPr>
              <w:t>日09时30分00秒</w:t>
            </w:r>
          </w:p>
          <w:p>
            <w:pPr>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val="zh-CN"/>
              </w:rPr>
              <w:t>项目采用“不见面开标”。不见面开标大厅登录方式为：全国公共资源交易平台（陕西省·西安市）西安市公共资源交易中心网-不见面开标系统。</w:t>
            </w:r>
          </w:p>
          <w:p>
            <w:pPr>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val="zh-CN"/>
              </w:rPr>
              <w:t>建议投标人在投标截止时间（开标时间）前1小时内登录不见面开标大厅，并及时签到，否则将无法参与不见面开标活动。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信用查询时间:为招标文件发售时间至资格审查工作结束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20.5</w:t>
            </w:r>
          </w:p>
        </w:tc>
        <w:tc>
          <w:tcPr>
            <w:tcW w:w="4469" w:type="pct"/>
            <w:vAlign w:val="center"/>
          </w:tcPr>
          <w:p>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核心产品：移动篮球架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评标方法：适用</w:t>
            </w:r>
            <w:r>
              <w:rPr>
                <w:rFonts w:hint="eastAsia" w:ascii="仿宋" w:hAnsi="仿宋" w:eastAsia="仿宋" w:cs="仿宋"/>
                <w:color w:val="auto"/>
                <w:sz w:val="24"/>
                <w:highlight w:val="none"/>
                <w:u w:val="single"/>
              </w:rPr>
              <w:t xml:space="preserve"> 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推荐中标候选人的数量：</w:t>
            </w:r>
            <w:r>
              <w:rPr>
                <w:rFonts w:hint="eastAsia" w:ascii="仿宋" w:hAnsi="仿宋" w:eastAsia="仿宋" w:cs="仿宋"/>
                <w:color w:val="auto"/>
                <w:sz w:val="24"/>
                <w:highlight w:val="none"/>
                <w:u w:val="single"/>
              </w:rPr>
              <w:t xml:space="preser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是否提交履约保证金：否</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履约保证金金额：合同总价的</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（不得超过政府采购合同金额的5%）</w:t>
            </w:r>
          </w:p>
          <w:p>
            <w:pPr>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提交履约保证金的时间：签订合同后</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预付款比例为：若中标人为中小微企业时预付款比例不低于40%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32.3</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情形如下：</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□采购资金在履约完成之后才能到位</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□政府采购合同履约期限小于20日</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□政府采购预算资金小于50万元</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□其他采购人不能在政府采购合同履约完成前支付采购资金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中标单位在领取中标通知书前，须向采购代理机构支付招标代理服务费，招标代理服务费由采购人与采购代理机构约定：</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参照原国家计委计价格【2002】1980号文和国家发改委发改办价格【2003】857号文的计算方法（按标段）收取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不足6000元按照6000元收取</w:t>
            </w:r>
            <w:r>
              <w:rPr>
                <w:rFonts w:hint="eastAsia" w:ascii="仿宋" w:hAnsi="仿宋" w:eastAsia="仿宋" w:cs="仿宋"/>
                <w:color w:val="auto"/>
                <w:sz w:val="24"/>
                <w:highlight w:val="none"/>
              </w:rPr>
              <w:t>。</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中标单位的招标代理服务费交纳信息</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pP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人：张婕</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联系电话：029-85263975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37.2</w:t>
            </w:r>
          </w:p>
        </w:tc>
        <w:tc>
          <w:tcPr>
            <w:tcW w:w="4469" w:type="pct"/>
            <w:vAlign w:val="center"/>
          </w:tcPr>
          <w:p>
            <w:pPr>
              <w:adjustRightInd w:val="0"/>
              <w:snapToGrid w:val="0"/>
              <w:spacing w:line="360" w:lineRule="auto"/>
              <w:ind w:left="706" w:leftChars="-1"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针对同一采购程序环节的质疑次数：一次性提出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37.4</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联系单位：陕西省采购招标有限责任公司</w:t>
            </w:r>
          </w:p>
          <w:p>
            <w:pPr>
              <w:adjustRightInd w:val="0"/>
              <w:snapToGrid w:val="0"/>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人：综合办公室</w:t>
            </w:r>
          </w:p>
          <w:p>
            <w:pPr>
              <w:adjustRightInd w:val="0"/>
              <w:snapToGrid w:val="0"/>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联系电话：029-85235014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000" w:type="pct"/>
            <w:gridSpan w:val="2"/>
            <w:vAlign w:val="center"/>
          </w:tcPr>
          <w:p>
            <w:pPr>
              <w:adjustRightInd w:val="0"/>
              <w:snapToGrid w:val="0"/>
              <w:spacing w:line="360" w:lineRule="auto"/>
              <w:ind w:left="1417" w:leftChars="203" w:hanging="99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根据本项目特点，投标人应提交的其他资格证明文件（特定资格条件）为：</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递交投标文件截止时间前被“信用中国”网站（www.creditchina.gov.cn）和中国政府采购网（www.ccgp.gov.cn）上被列入失信被执行人、重大税收违法失信主体、政府采购严重违法失信行为记录名单的，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0" w:type="pct"/>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469" w:type="pct"/>
            <w:vAlign w:val="center"/>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投标人应提交的其他文件：/</w:t>
            </w:r>
          </w:p>
        </w:tc>
      </w:tr>
    </w:tbl>
    <w:p>
      <w:pPr>
        <w:pStyle w:val="5"/>
        <w:spacing w:before="0" w:line="360" w:lineRule="auto"/>
        <w:rPr>
          <w:rFonts w:hint="eastAsia" w:ascii="仿宋" w:hAnsi="仿宋" w:eastAsia="仿宋" w:cs="仿宋"/>
          <w:color w:val="auto"/>
          <w:sz w:val="28"/>
          <w:szCs w:val="18"/>
          <w:highlight w:val="none"/>
        </w:rPr>
      </w:pPr>
      <w:r>
        <w:rPr>
          <w:rFonts w:hint="eastAsia" w:ascii="仿宋" w:hAnsi="仿宋" w:eastAsia="仿宋" w:cs="仿宋"/>
          <w:color w:val="auto"/>
          <w:highlight w:val="none"/>
        </w:rPr>
        <w:br w:type="page"/>
      </w:r>
      <w:bookmarkStart w:id="12" w:name="_Toc138175438"/>
      <w:bookmarkStart w:id="13" w:name="_Toc18357"/>
      <w:bookmarkStart w:id="14" w:name="_Toc518923099"/>
      <w:bookmarkStart w:id="15" w:name="_Toc2583660"/>
      <w:bookmarkStart w:id="16" w:name="_Toc515647794"/>
      <w:bookmarkStart w:id="17" w:name="_Toc532473486"/>
      <w:bookmarkStart w:id="18" w:name="_Toc29408"/>
      <w:bookmarkStart w:id="19" w:name="_Toc2582300"/>
      <w:bookmarkStart w:id="20" w:name="_Toc3090"/>
      <w:r>
        <w:rPr>
          <w:rFonts w:hint="eastAsia" w:ascii="仿宋" w:hAnsi="仿宋" w:eastAsia="仿宋" w:cs="仿宋"/>
          <w:color w:val="auto"/>
          <w:sz w:val="28"/>
          <w:szCs w:val="18"/>
          <w:highlight w:val="none"/>
        </w:rPr>
        <w:t>（二）投标人须知</w:t>
      </w:r>
      <w:bookmarkEnd w:id="12"/>
      <w:bookmarkEnd w:id="13"/>
    </w:p>
    <w:p>
      <w:pPr>
        <w:spacing w:line="360" w:lineRule="auto"/>
        <w:jc w:val="center"/>
        <w:outlineLvl w:val="2"/>
        <w:rPr>
          <w:rFonts w:hint="eastAsia" w:ascii="仿宋" w:hAnsi="仿宋" w:eastAsia="仿宋" w:cs="仿宋"/>
          <w:b/>
          <w:color w:val="auto"/>
          <w:sz w:val="28"/>
          <w:szCs w:val="28"/>
          <w:highlight w:val="none"/>
        </w:rPr>
      </w:pPr>
      <w:bookmarkStart w:id="21" w:name="_Toc216582805"/>
      <w:bookmarkStart w:id="22" w:name="_Toc515647757"/>
      <w:bookmarkStart w:id="23" w:name="_Toc520356143"/>
      <w:bookmarkStart w:id="24" w:name="_Toc29893"/>
      <w:bookmarkStart w:id="25" w:name="_Toc21215"/>
      <w:bookmarkStart w:id="26" w:name="_Toc138175439"/>
      <w:bookmarkStart w:id="27" w:name="_Toc21015"/>
      <w:bookmarkStart w:id="28" w:name="_Toc532473449"/>
      <w:r>
        <w:rPr>
          <w:rFonts w:hint="eastAsia" w:ascii="仿宋" w:hAnsi="仿宋" w:eastAsia="仿宋" w:cs="仿宋"/>
          <w:b/>
          <w:color w:val="auto"/>
          <w:sz w:val="28"/>
          <w:szCs w:val="28"/>
          <w:highlight w:val="none"/>
        </w:rPr>
        <w:t>一、</w:t>
      </w:r>
      <w:bookmarkEnd w:id="21"/>
      <w:bookmarkEnd w:id="22"/>
      <w:bookmarkEnd w:id="23"/>
      <w:r>
        <w:rPr>
          <w:rFonts w:hint="eastAsia" w:ascii="仿宋" w:hAnsi="仿宋" w:eastAsia="仿宋" w:cs="仿宋"/>
          <w:b/>
          <w:color w:val="auto"/>
          <w:sz w:val="28"/>
          <w:szCs w:val="28"/>
          <w:highlight w:val="none"/>
        </w:rPr>
        <w:t>总则</w:t>
      </w:r>
      <w:bookmarkEnd w:id="24"/>
      <w:bookmarkEnd w:id="25"/>
      <w:bookmarkEnd w:id="26"/>
      <w:bookmarkEnd w:id="27"/>
      <w:bookmarkEnd w:id="28"/>
    </w:p>
    <w:p>
      <w:pPr>
        <w:tabs>
          <w:tab w:val="left" w:pos="0"/>
        </w:tabs>
        <w:spacing w:line="360" w:lineRule="auto"/>
        <w:rPr>
          <w:rFonts w:hint="eastAsia" w:ascii="仿宋" w:hAnsi="仿宋" w:eastAsia="仿宋" w:cs="仿宋"/>
          <w:b/>
          <w:color w:val="auto"/>
          <w:sz w:val="24"/>
          <w:highlight w:val="none"/>
        </w:rPr>
      </w:pPr>
      <w:bookmarkStart w:id="29" w:name="_Toc520356144"/>
      <w:bookmarkStart w:id="30" w:name="_Toc515647758"/>
      <w:bookmarkStart w:id="31" w:name="_Toc532473450"/>
      <w:bookmarkStart w:id="32" w:name="_Toc32623"/>
      <w:bookmarkStart w:id="33" w:name="_Toc32189"/>
      <w:r>
        <w:rPr>
          <w:rFonts w:hint="eastAsia" w:ascii="仿宋" w:hAnsi="仿宋" w:eastAsia="仿宋" w:cs="仿宋"/>
          <w:b/>
          <w:color w:val="auto"/>
          <w:sz w:val="24"/>
          <w:highlight w:val="none"/>
        </w:rPr>
        <w:t>1.     采购人、采购代理机构及</w:t>
      </w:r>
      <w:bookmarkEnd w:id="29"/>
      <w:r>
        <w:rPr>
          <w:rFonts w:hint="eastAsia" w:ascii="仿宋" w:hAnsi="仿宋" w:eastAsia="仿宋" w:cs="仿宋"/>
          <w:b/>
          <w:color w:val="auto"/>
          <w:sz w:val="24"/>
          <w:highlight w:val="none"/>
        </w:rPr>
        <w:t>投标人</w:t>
      </w:r>
      <w:bookmarkEnd w:id="30"/>
      <w:bookmarkEnd w:id="31"/>
      <w:bookmarkEnd w:id="32"/>
      <w:bookmarkEnd w:id="33"/>
    </w:p>
    <w:p>
      <w:pPr>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采购人：是指依法进行政府采购的国家机关、事业单位、团体组织。</w:t>
      </w:r>
    </w:p>
    <w:p>
      <w:pPr>
        <w:tabs>
          <w:tab w:val="left" w:pos="0"/>
        </w:tabs>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1.2    采购代理机构：本项目的采购代理机构为陕西省采购招标有限责任公司，见</w:t>
      </w:r>
      <w:r>
        <w:rPr>
          <w:rFonts w:hint="eastAsia" w:ascii="仿宋" w:hAnsi="仿宋" w:eastAsia="仿宋" w:cs="仿宋"/>
          <w:color w:val="auto"/>
          <w:sz w:val="24"/>
          <w:highlight w:val="none"/>
          <w:u w:val="single"/>
        </w:rPr>
        <w:t>投标人须知前附表。</w:t>
      </w:r>
    </w:p>
    <w:p>
      <w:pPr>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投标人：是指响应招标、参加投标竞争的法人、其他组织或者自然人。潜在投标人：以招标文件规定的方式获取本项目招标文件的法人、其他组织或者自然人。</w:t>
      </w:r>
    </w:p>
    <w:p>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本项目的投标人须满足以下条件：</w:t>
      </w:r>
    </w:p>
    <w:p>
      <w:pPr>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1.3.1  具备《中华人民共和国政府采购法》第二十二条关于投标人条件的规定，遵守本项目采购人和财政部门政府采购的有关规定。</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以招标文件规定的方式获得了本项目的招标文件。</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符合</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中规定的合格投标人的其他资格要求。</w:t>
      </w:r>
    </w:p>
    <w:p>
      <w:pPr>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1.3.4  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中写明专门面向中小企业采购的，如投标人未出具《中小企业声明函》，其投标将被认定为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若投标人须知前附表中写明允许采购进口产品，投标人应保证所投产品可履行合法报通关手续进入中国关境内。</w:t>
      </w:r>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若投标人须知前附表中不允许采购进口产品，如投标人所投产品为进口产品，其投标将被认定为投标无效。</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中允许联合体投标，对联合体规定如下：</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两个及以上投标人可以组成一个投标联合体，以一个投标人的身份投标。</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联合体各方均应符合本须知规定。</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联合体各方应签订共同投标协议，明确约定联合体各方承担的工作和相应的责任，并将共同投标协议作为投标文件资格证明文件的内容提交。</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以联合体形式参加政府采购活动的，联合体各方不得再单独参加或者与其他投标人另外组成联合体参加本项目同一合同项下的投标，否则相关投标将被认定为</w:t>
      </w:r>
      <w:r>
        <w:rPr>
          <w:rFonts w:hint="eastAsia" w:ascii="仿宋" w:hAnsi="仿宋" w:eastAsia="仿宋" w:cs="仿宋"/>
          <w:b/>
          <w:color w:val="auto"/>
          <w:sz w:val="24"/>
          <w:highlight w:val="none"/>
        </w:rPr>
        <w:t>投标无效。</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对联合体投标的其他资格要求见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单位负责人为同一人或者存在直接控股、管理关系的不同供应商参与本项目同一合同项下的投标的，其相关投标将被认定为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1.7    本项目所属行业见</w:t>
      </w:r>
      <w:r>
        <w:rPr>
          <w:rFonts w:hint="eastAsia" w:ascii="仿宋" w:hAnsi="仿宋" w:eastAsia="仿宋" w:cs="仿宋"/>
          <w:color w:val="auto"/>
          <w:highlight w:val="none"/>
          <w:u w:val="single"/>
        </w:rPr>
        <w:t>投标人须知前附表</w:t>
      </w:r>
      <w:r>
        <w:rPr>
          <w:rFonts w:hint="eastAsia" w:ascii="仿宋" w:hAnsi="仿宋" w:eastAsia="仿宋" w:cs="仿宋"/>
          <w:color w:val="auto"/>
          <w:highlight w:val="none"/>
        </w:rPr>
        <w:t>。</w:t>
      </w:r>
    </w:p>
    <w:p>
      <w:pPr>
        <w:tabs>
          <w:tab w:val="left" w:pos="0"/>
        </w:tabs>
        <w:spacing w:line="360" w:lineRule="auto"/>
        <w:rPr>
          <w:rFonts w:hint="eastAsia" w:ascii="仿宋" w:hAnsi="仿宋" w:eastAsia="仿宋" w:cs="仿宋"/>
          <w:b/>
          <w:color w:val="auto"/>
          <w:sz w:val="24"/>
          <w:highlight w:val="none"/>
        </w:rPr>
      </w:pPr>
      <w:bookmarkStart w:id="34" w:name="_Toc532473451"/>
      <w:bookmarkStart w:id="35" w:name="_Toc12139"/>
      <w:bookmarkStart w:id="36" w:name="_Toc515647759"/>
      <w:bookmarkStart w:id="37" w:name="_Toc5286"/>
      <w:r>
        <w:rPr>
          <w:rFonts w:hint="eastAsia" w:ascii="仿宋" w:hAnsi="仿宋" w:eastAsia="仿宋" w:cs="仿宋"/>
          <w:b/>
          <w:color w:val="auto"/>
          <w:sz w:val="24"/>
          <w:highlight w:val="none"/>
        </w:rPr>
        <w:t>2.     资金来源</w:t>
      </w:r>
      <w:bookmarkEnd w:id="34"/>
      <w:bookmarkEnd w:id="35"/>
      <w:bookmarkEnd w:id="36"/>
      <w:bookmarkEnd w:id="37"/>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    本项目的采购资金已列入政府采购项目预算，具有开展政府采购活动的条件。</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项目预算金额和最高限价（如有）见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pacing w:line="360" w:lineRule="auto"/>
        <w:ind w:left="835" w:hanging="835" w:hangingChars="348"/>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投标人报价超过招标文件规定的预算金额或者预算额度内最高限价的，其投标将被认定为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tabs>
          <w:tab w:val="left" w:pos="0"/>
        </w:tabs>
        <w:spacing w:line="360" w:lineRule="auto"/>
        <w:rPr>
          <w:rFonts w:hint="eastAsia" w:ascii="仿宋" w:hAnsi="仿宋" w:eastAsia="仿宋" w:cs="仿宋"/>
          <w:b/>
          <w:color w:val="auto"/>
          <w:sz w:val="24"/>
          <w:highlight w:val="none"/>
        </w:rPr>
      </w:pPr>
      <w:bookmarkStart w:id="38" w:name="_Toc515647760"/>
      <w:bookmarkStart w:id="39" w:name="_Toc520356145"/>
      <w:bookmarkStart w:id="40" w:name="_Toc532473452"/>
      <w:bookmarkStart w:id="41" w:name="_Toc15936"/>
      <w:bookmarkStart w:id="42" w:name="_Toc20526"/>
      <w:r>
        <w:rPr>
          <w:rFonts w:hint="eastAsia" w:ascii="仿宋" w:hAnsi="仿宋" w:eastAsia="仿宋" w:cs="仿宋"/>
          <w:b/>
          <w:color w:val="auto"/>
          <w:sz w:val="24"/>
          <w:highlight w:val="none"/>
        </w:rPr>
        <w:t>3.     投标费用</w:t>
      </w:r>
      <w:bookmarkEnd w:id="38"/>
      <w:bookmarkEnd w:id="39"/>
      <w:bookmarkEnd w:id="40"/>
      <w:bookmarkEnd w:id="41"/>
      <w:bookmarkEnd w:id="42"/>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不论投标的结果如何，投标人应承担所有与投标有关的费用。</w:t>
      </w:r>
    </w:p>
    <w:p>
      <w:pPr>
        <w:tabs>
          <w:tab w:val="left" w:pos="0"/>
        </w:tabs>
        <w:spacing w:line="360" w:lineRule="auto"/>
        <w:rPr>
          <w:rFonts w:hint="eastAsia" w:ascii="仿宋" w:hAnsi="仿宋" w:eastAsia="仿宋" w:cs="仿宋"/>
          <w:b/>
          <w:color w:val="auto"/>
          <w:sz w:val="24"/>
          <w:highlight w:val="none"/>
        </w:rPr>
      </w:pPr>
      <w:bookmarkStart w:id="43" w:name="_Toc515647761"/>
      <w:bookmarkStart w:id="44" w:name="_Toc4463"/>
      <w:bookmarkStart w:id="45" w:name="_Toc532473453"/>
      <w:bookmarkStart w:id="46" w:name="_Toc6116"/>
      <w:r>
        <w:rPr>
          <w:rFonts w:hint="eastAsia" w:ascii="仿宋" w:hAnsi="仿宋" w:eastAsia="仿宋" w:cs="仿宋"/>
          <w:b/>
          <w:color w:val="auto"/>
          <w:sz w:val="24"/>
          <w:highlight w:val="none"/>
        </w:rPr>
        <w:t>4.     适用法律</w:t>
      </w:r>
      <w:bookmarkEnd w:id="43"/>
      <w:bookmarkEnd w:id="44"/>
      <w:bookmarkEnd w:id="45"/>
      <w:bookmarkEnd w:id="46"/>
    </w:p>
    <w:p>
      <w:pPr>
        <w:spacing w:line="360" w:lineRule="auto"/>
        <w:ind w:left="834" w:leftChars="397" w:firstLine="3"/>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pPr>
        <w:spacing w:line="360" w:lineRule="auto"/>
        <w:jc w:val="center"/>
        <w:outlineLvl w:val="2"/>
        <w:rPr>
          <w:rFonts w:hint="eastAsia" w:ascii="仿宋" w:hAnsi="仿宋" w:eastAsia="仿宋" w:cs="仿宋"/>
          <w:b/>
          <w:color w:val="auto"/>
          <w:sz w:val="28"/>
          <w:szCs w:val="28"/>
          <w:highlight w:val="none"/>
        </w:rPr>
      </w:pPr>
      <w:bookmarkStart w:id="47" w:name="_Toc520356146"/>
      <w:bookmarkStart w:id="48" w:name="_Toc21566"/>
      <w:bookmarkStart w:id="49" w:name="_Toc4365"/>
      <w:bookmarkStart w:id="50" w:name="_Toc532473454"/>
      <w:bookmarkStart w:id="51" w:name="_Toc515647762"/>
      <w:bookmarkStart w:id="52" w:name="_Toc409"/>
      <w:bookmarkStart w:id="53" w:name="_Toc216582806"/>
      <w:bookmarkStart w:id="54" w:name="_Toc138175440"/>
      <w:r>
        <w:rPr>
          <w:rFonts w:hint="eastAsia" w:ascii="仿宋" w:hAnsi="仿宋" w:eastAsia="仿宋" w:cs="仿宋"/>
          <w:b/>
          <w:color w:val="auto"/>
          <w:sz w:val="28"/>
          <w:szCs w:val="28"/>
          <w:highlight w:val="none"/>
        </w:rPr>
        <w:t>二、招标文件</w:t>
      </w:r>
      <w:bookmarkEnd w:id="47"/>
      <w:bookmarkEnd w:id="48"/>
      <w:bookmarkEnd w:id="49"/>
      <w:bookmarkEnd w:id="50"/>
      <w:bookmarkEnd w:id="51"/>
      <w:bookmarkEnd w:id="52"/>
      <w:bookmarkEnd w:id="53"/>
      <w:bookmarkEnd w:id="54"/>
    </w:p>
    <w:p>
      <w:pPr>
        <w:tabs>
          <w:tab w:val="left" w:pos="0"/>
        </w:tabs>
        <w:spacing w:line="360" w:lineRule="auto"/>
        <w:rPr>
          <w:rFonts w:hint="eastAsia" w:ascii="仿宋" w:hAnsi="仿宋" w:eastAsia="仿宋" w:cs="仿宋"/>
          <w:b/>
          <w:color w:val="auto"/>
          <w:sz w:val="24"/>
          <w:highlight w:val="none"/>
        </w:rPr>
      </w:pPr>
      <w:bookmarkStart w:id="55" w:name="_Toc520356147"/>
      <w:bookmarkStart w:id="56" w:name="_Toc532473455"/>
      <w:bookmarkStart w:id="57" w:name="_Toc515647763"/>
      <w:bookmarkStart w:id="58" w:name="_Toc25743"/>
      <w:bookmarkStart w:id="59" w:name="_Toc14084"/>
      <w:r>
        <w:rPr>
          <w:rFonts w:hint="eastAsia" w:ascii="仿宋" w:hAnsi="仿宋" w:eastAsia="仿宋" w:cs="仿宋"/>
          <w:b/>
          <w:color w:val="auto"/>
          <w:sz w:val="24"/>
          <w:highlight w:val="none"/>
        </w:rPr>
        <w:t>5.     招标文件构成</w:t>
      </w:r>
      <w:bookmarkEnd w:id="55"/>
      <w:bookmarkEnd w:id="56"/>
      <w:bookmarkEnd w:id="57"/>
      <w:bookmarkEnd w:id="58"/>
      <w:bookmarkEnd w:id="59"/>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招标文件共六章，构成如下：</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招标公告</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评标方法和标准</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拟签订的合同文本</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采购需求及要求</w:t>
      </w:r>
    </w:p>
    <w:p>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5.2    招标文件中如有不一致的，有澄清的部分以最终的澄清更正内容为准；未澄清的，以投标人须知前附表为准；投标人须知前附表不涉及的内容，以编排在后的最后描述为准。</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5.4    现场考察或者答疑会及相关事项见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tabs>
          <w:tab w:val="left" w:pos="0"/>
        </w:tabs>
        <w:spacing w:line="360" w:lineRule="auto"/>
        <w:rPr>
          <w:rFonts w:hint="eastAsia" w:ascii="仿宋" w:hAnsi="仿宋" w:eastAsia="仿宋" w:cs="仿宋"/>
          <w:b/>
          <w:color w:val="auto"/>
          <w:sz w:val="24"/>
          <w:highlight w:val="none"/>
        </w:rPr>
      </w:pPr>
      <w:bookmarkStart w:id="60" w:name="_Toc515904805"/>
      <w:bookmarkStart w:id="61" w:name="_Toc520356148"/>
      <w:bookmarkStart w:id="62" w:name="_Toc532473456"/>
      <w:bookmarkStart w:id="63" w:name="_Toc9232"/>
      <w:bookmarkStart w:id="64" w:name="_Toc26044"/>
      <w:r>
        <w:rPr>
          <w:rFonts w:hint="eastAsia" w:ascii="仿宋" w:hAnsi="仿宋" w:eastAsia="仿宋" w:cs="仿宋"/>
          <w:b/>
          <w:color w:val="auto"/>
          <w:sz w:val="24"/>
          <w:highlight w:val="none"/>
        </w:rPr>
        <w:t>6.     招标文件的澄清</w:t>
      </w:r>
      <w:bookmarkEnd w:id="60"/>
      <w:bookmarkEnd w:id="61"/>
      <w:r>
        <w:rPr>
          <w:rFonts w:hint="eastAsia" w:ascii="仿宋" w:hAnsi="仿宋" w:eastAsia="仿宋" w:cs="仿宋"/>
          <w:b/>
          <w:color w:val="auto"/>
          <w:sz w:val="24"/>
          <w:highlight w:val="none"/>
        </w:rPr>
        <w:t>与修改</w:t>
      </w:r>
      <w:bookmarkEnd w:id="62"/>
      <w:bookmarkEnd w:id="63"/>
      <w:bookmarkEnd w:id="64"/>
    </w:p>
    <w:p>
      <w:pPr>
        <w:pStyle w:val="6"/>
        <w:spacing w:line="360" w:lineRule="auto"/>
        <w:ind w:left="840" w:hanging="840" w:hangingChars="350"/>
        <w:jc w:val="both"/>
        <w:rPr>
          <w:rFonts w:hint="eastAsia" w:ascii="仿宋" w:hAnsi="仿宋" w:eastAsia="仿宋" w:cs="仿宋"/>
          <w:color w:val="auto"/>
          <w:szCs w:val="24"/>
          <w:highlight w:val="none"/>
        </w:rPr>
      </w:pPr>
      <w:bookmarkStart w:id="65" w:name="_Ref467378678"/>
      <w:bookmarkStart w:id="66" w:name="_Toc515904806"/>
      <w:bookmarkStart w:id="67" w:name="_Toc520356149"/>
      <w:r>
        <w:rPr>
          <w:rFonts w:hint="eastAsia" w:ascii="仿宋" w:hAnsi="仿宋" w:eastAsia="仿宋" w:cs="仿宋"/>
          <w:color w:val="auto"/>
          <w:szCs w:val="24"/>
          <w:highlight w:val="none"/>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6"/>
        <w:spacing w:line="360" w:lineRule="auto"/>
        <w:ind w:left="840" w:hanging="840" w:hangingChars="35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6"/>
        <w:spacing w:line="360" w:lineRule="auto"/>
        <w:ind w:left="840" w:leftChars="400" w:firstLine="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因潜在投标人原因或通讯线路故障导致通知逾期送达或无法送达，采购代理机构不因此承担任何责任，有关的招标采购活动可以继续有效进行。</w:t>
      </w:r>
    </w:p>
    <w:bookmarkEnd w:id="65"/>
    <w:bookmarkEnd w:id="66"/>
    <w:bookmarkEnd w:id="67"/>
    <w:p>
      <w:pPr>
        <w:tabs>
          <w:tab w:val="left" w:pos="0"/>
        </w:tabs>
        <w:spacing w:line="360" w:lineRule="auto"/>
        <w:rPr>
          <w:rFonts w:hint="eastAsia" w:ascii="仿宋" w:hAnsi="仿宋" w:eastAsia="仿宋" w:cs="仿宋"/>
          <w:b/>
          <w:color w:val="auto"/>
          <w:sz w:val="24"/>
          <w:highlight w:val="none"/>
        </w:rPr>
      </w:pPr>
      <w:bookmarkStart w:id="68" w:name="_Toc532473457"/>
      <w:bookmarkStart w:id="69" w:name="_Toc25635"/>
      <w:bookmarkStart w:id="70" w:name="_Toc14569"/>
      <w:r>
        <w:rPr>
          <w:rFonts w:hint="eastAsia" w:ascii="仿宋" w:hAnsi="仿宋" w:eastAsia="仿宋" w:cs="仿宋"/>
          <w:b/>
          <w:color w:val="auto"/>
          <w:sz w:val="24"/>
          <w:highlight w:val="none"/>
        </w:rPr>
        <w:t>7.     投标截止时间的顺延</w:t>
      </w:r>
      <w:bookmarkEnd w:id="68"/>
      <w:bookmarkEnd w:id="69"/>
      <w:bookmarkEnd w:id="70"/>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为使投标人有足够的时间对招标文件的澄清或者修改部分进行研究而准备投标或因其他原因，采购人将依法决定是否顺延投标截止时间。</w:t>
      </w:r>
    </w:p>
    <w:p>
      <w:pPr>
        <w:spacing w:line="360" w:lineRule="auto"/>
        <w:jc w:val="center"/>
        <w:outlineLvl w:val="2"/>
        <w:rPr>
          <w:rFonts w:hint="eastAsia" w:ascii="仿宋" w:hAnsi="仿宋" w:eastAsia="仿宋" w:cs="仿宋"/>
          <w:b/>
          <w:color w:val="auto"/>
          <w:sz w:val="28"/>
          <w:szCs w:val="28"/>
          <w:highlight w:val="none"/>
        </w:rPr>
      </w:pPr>
      <w:bookmarkStart w:id="71" w:name="_Toc516367020"/>
      <w:bookmarkStart w:id="72" w:name="_Toc532473458"/>
      <w:bookmarkStart w:id="73" w:name="_Toc216582807"/>
      <w:bookmarkStart w:id="74" w:name="_Toc138175441"/>
      <w:bookmarkStart w:id="75" w:name="_Toc515647766"/>
      <w:bookmarkStart w:id="76" w:name="_Toc7636"/>
      <w:bookmarkStart w:id="77" w:name="_Toc520356150"/>
      <w:bookmarkStart w:id="78" w:name="_Toc14078"/>
      <w:bookmarkStart w:id="79" w:name="_Toc30808"/>
      <w:r>
        <w:rPr>
          <w:rFonts w:hint="eastAsia" w:ascii="仿宋" w:hAnsi="仿宋" w:eastAsia="仿宋" w:cs="仿宋"/>
          <w:b/>
          <w:color w:val="auto"/>
          <w:sz w:val="28"/>
          <w:szCs w:val="28"/>
          <w:highlight w:val="none"/>
        </w:rPr>
        <w:t>三、投标文件</w:t>
      </w:r>
      <w:bookmarkEnd w:id="71"/>
      <w:r>
        <w:rPr>
          <w:rFonts w:hint="eastAsia" w:ascii="仿宋" w:hAnsi="仿宋" w:eastAsia="仿宋" w:cs="仿宋"/>
          <w:b/>
          <w:color w:val="auto"/>
          <w:sz w:val="28"/>
          <w:szCs w:val="28"/>
          <w:highlight w:val="none"/>
        </w:rPr>
        <w:t>的编制</w:t>
      </w:r>
      <w:bookmarkEnd w:id="72"/>
      <w:bookmarkEnd w:id="73"/>
      <w:bookmarkEnd w:id="74"/>
      <w:bookmarkEnd w:id="75"/>
      <w:bookmarkEnd w:id="76"/>
      <w:bookmarkEnd w:id="77"/>
      <w:bookmarkEnd w:id="78"/>
      <w:bookmarkEnd w:id="79"/>
    </w:p>
    <w:p>
      <w:pPr>
        <w:tabs>
          <w:tab w:val="left" w:pos="0"/>
        </w:tabs>
        <w:spacing w:line="360" w:lineRule="auto"/>
        <w:rPr>
          <w:rFonts w:hint="eastAsia" w:ascii="仿宋" w:hAnsi="仿宋" w:eastAsia="仿宋" w:cs="仿宋"/>
          <w:b/>
          <w:color w:val="auto"/>
          <w:sz w:val="24"/>
          <w:highlight w:val="none"/>
        </w:rPr>
      </w:pPr>
      <w:bookmarkStart w:id="80" w:name="_Toc7786"/>
      <w:bookmarkStart w:id="81" w:name="_Toc515647767"/>
      <w:bookmarkStart w:id="82" w:name="_Toc3553"/>
      <w:bookmarkStart w:id="83" w:name="_Toc516367021"/>
      <w:bookmarkStart w:id="84" w:name="_Toc520356151"/>
      <w:bookmarkStart w:id="85" w:name="_Toc532473459"/>
      <w:r>
        <w:rPr>
          <w:rFonts w:hint="eastAsia" w:ascii="仿宋" w:hAnsi="仿宋" w:eastAsia="仿宋" w:cs="仿宋"/>
          <w:b/>
          <w:color w:val="auto"/>
          <w:sz w:val="24"/>
          <w:highlight w:val="none"/>
        </w:rPr>
        <w:t>8.     投标范围及投标文件中标准和计量单位的使用</w:t>
      </w:r>
      <w:bookmarkEnd w:id="80"/>
      <w:bookmarkEnd w:id="81"/>
      <w:bookmarkEnd w:id="82"/>
      <w:bookmarkEnd w:id="83"/>
      <w:bookmarkEnd w:id="84"/>
      <w:bookmarkEnd w:id="85"/>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投标人可对招标文件中一个或多个标段进行投标或者中标，除非在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投标人应当对所投标段招标文件中“采购需求及要求”所列的所有内容进行投标，如仅响应部分内容，其该标段投标将被认定为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无论招标文件中是否要求，投标人所投货物及伴随的服务和工程均应符合国家强制性标准。</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tabs>
          <w:tab w:val="left" w:pos="0"/>
        </w:tabs>
        <w:spacing w:line="360" w:lineRule="auto"/>
        <w:rPr>
          <w:rFonts w:hint="eastAsia" w:ascii="仿宋" w:hAnsi="仿宋" w:eastAsia="仿宋" w:cs="仿宋"/>
          <w:b/>
          <w:color w:val="auto"/>
          <w:sz w:val="24"/>
          <w:highlight w:val="none"/>
        </w:rPr>
      </w:pPr>
      <w:bookmarkStart w:id="86" w:name="_Toc516367022"/>
      <w:bookmarkStart w:id="87" w:name="_Ref467306676"/>
      <w:bookmarkStart w:id="88" w:name="_Ref467306195"/>
      <w:bookmarkStart w:id="89" w:name="_Toc532473460"/>
      <w:bookmarkStart w:id="90" w:name="_Toc28307"/>
      <w:bookmarkStart w:id="91" w:name="_Toc10364"/>
      <w:bookmarkStart w:id="92" w:name="_Toc520356152"/>
      <w:bookmarkStart w:id="93" w:name="_Toc515647768"/>
      <w:r>
        <w:rPr>
          <w:rFonts w:hint="eastAsia" w:ascii="仿宋" w:hAnsi="仿宋" w:eastAsia="仿宋" w:cs="仿宋"/>
          <w:b/>
          <w:color w:val="auto"/>
          <w:sz w:val="24"/>
          <w:highlight w:val="none"/>
        </w:rPr>
        <w:t>9.     投标文件</w:t>
      </w:r>
      <w:bookmarkEnd w:id="86"/>
      <w:bookmarkEnd w:id="87"/>
      <w:bookmarkEnd w:id="88"/>
      <w:r>
        <w:rPr>
          <w:rFonts w:hint="eastAsia" w:ascii="仿宋" w:hAnsi="仿宋" w:eastAsia="仿宋" w:cs="仿宋"/>
          <w:b/>
          <w:color w:val="auto"/>
          <w:sz w:val="24"/>
          <w:highlight w:val="none"/>
        </w:rPr>
        <w:t>组成</w:t>
      </w:r>
      <w:bookmarkEnd w:id="89"/>
      <w:bookmarkEnd w:id="90"/>
      <w:bookmarkEnd w:id="91"/>
      <w:bookmarkEnd w:id="92"/>
      <w:bookmarkEnd w:id="93"/>
    </w:p>
    <w:p>
      <w:pPr>
        <w:tabs>
          <w:tab w:val="left" w:pos="900"/>
          <w:tab w:val="left" w:pos="5580"/>
        </w:tabs>
        <w:spacing w:line="360" w:lineRule="auto"/>
        <w:ind w:left="840" w:hanging="840" w:hangingChars="350"/>
        <w:rPr>
          <w:rFonts w:hint="eastAsia" w:ascii="仿宋" w:hAnsi="仿宋" w:eastAsia="仿宋" w:cs="仿宋"/>
          <w:color w:val="auto"/>
          <w:sz w:val="24"/>
          <w:highlight w:val="none"/>
        </w:rPr>
      </w:pPr>
      <w:bookmarkStart w:id="94" w:name="_Ref467052588"/>
      <w:r>
        <w:rPr>
          <w:rFonts w:hint="eastAsia" w:ascii="仿宋" w:hAnsi="仿宋" w:eastAsia="仿宋" w:cs="仿宋"/>
          <w:color w:val="auto"/>
          <w:sz w:val="24"/>
          <w:highlight w:val="none"/>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上述文件应按照招标文件的规定签署</w:t>
      </w:r>
      <w:bookmarkStart w:id="95" w:name="_Hlk1734277"/>
      <w:r>
        <w:rPr>
          <w:rFonts w:hint="eastAsia" w:ascii="仿宋" w:hAnsi="仿宋" w:eastAsia="仿宋" w:cs="仿宋"/>
          <w:color w:val="auto"/>
          <w:sz w:val="24"/>
          <w:highlight w:val="none"/>
        </w:rPr>
        <w:t>和盖公章或经公章授权的其他单位章（以下统称公章）</w:t>
      </w:r>
      <w:bookmarkEnd w:id="95"/>
      <w:r>
        <w:rPr>
          <w:rFonts w:hint="eastAsia" w:ascii="仿宋" w:hAnsi="仿宋" w:eastAsia="仿宋" w:cs="仿宋"/>
          <w:color w:val="auto"/>
          <w:sz w:val="24"/>
          <w:highlight w:val="none"/>
        </w:rPr>
        <w:t>。采用公章授权方式的，应当在投标文件资格证明文件附公章授权书（格式自定）。</w:t>
      </w:r>
    </w:p>
    <w:bookmarkEnd w:id="94"/>
    <w:p>
      <w:pPr>
        <w:tabs>
          <w:tab w:val="left" w:pos="0"/>
        </w:tabs>
        <w:spacing w:line="360" w:lineRule="auto"/>
        <w:rPr>
          <w:rFonts w:hint="eastAsia" w:ascii="仿宋" w:hAnsi="仿宋" w:eastAsia="仿宋" w:cs="仿宋"/>
          <w:b/>
          <w:color w:val="auto"/>
          <w:sz w:val="24"/>
          <w:highlight w:val="none"/>
        </w:rPr>
      </w:pPr>
      <w:bookmarkStart w:id="96" w:name="_Toc516367023"/>
      <w:bookmarkStart w:id="97" w:name="_Toc520356153"/>
      <w:bookmarkStart w:id="98" w:name="_Toc515647769"/>
      <w:bookmarkStart w:id="99" w:name="_Toc532473461"/>
      <w:bookmarkStart w:id="100" w:name="_Toc4601"/>
      <w:bookmarkStart w:id="101" w:name="_Toc10379"/>
      <w:r>
        <w:rPr>
          <w:rFonts w:hint="eastAsia" w:ascii="仿宋" w:hAnsi="仿宋" w:eastAsia="仿宋" w:cs="仿宋"/>
          <w:b/>
          <w:color w:val="auto"/>
          <w:sz w:val="24"/>
          <w:highlight w:val="none"/>
        </w:rPr>
        <w:t>10.    证明投标标的的合格性和符合招标文件规定的技术文件</w:t>
      </w:r>
      <w:bookmarkEnd w:id="96"/>
      <w:bookmarkEnd w:id="97"/>
      <w:bookmarkEnd w:id="98"/>
      <w:bookmarkEnd w:id="99"/>
      <w:bookmarkEnd w:id="100"/>
      <w:bookmarkEnd w:id="101"/>
    </w:p>
    <w:p>
      <w:pPr>
        <w:spacing w:line="360" w:lineRule="auto"/>
        <w:ind w:left="878" w:hanging="878" w:hangingChars="366"/>
        <w:rPr>
          <w:rFonts w:hint="eastAsia" w:ascii="仿宋" w:hAnsi="仿宋" w:eastAsia="仿宋" w:cs="仿宋"/>
          <w:color w:val="auto"/>
          <w:sz w:val="24"/>
          <w:highlight w:val="none"/>
        </w:rPr>
      </w:pPr>
      <w:r>
        <w:rPr>
          <w:rFonts w:hint="eastAsia" w:ascii="仿宋" w:hAnsi="仿宋" w:eastAsia="仿宋" w:cs="仿宋"/>
          <w:color w:val="auto"/>
          <w:sz w:val="24"/>
          <w:highlight w:val="none"/>
        </w:rPr>
        <w:t>10.1   投标人应提交证明文件，证明其投标标的符合招标文件规定。该证明文件是投标文件的技术文件。</w:t>
      </w:r>
    </w:p>
    <w:p>
      <w:pPr>
        <w:spacing w:line="360" w:lineRule="auto"/>
        <w:ind w:left="900" w:hanging="900" w:hangingChars="375"/>
        <w:rPr>
          <w:rFonts w:hint="eastAsia" w:ascii="仿宋" w:hAnsi="仿宋" w:eastAsia="仿宋" w:cs="仿宋"/>
          <w:color w:val="auto"/>
          <w:sz w:val="24"/>
          <w:highlight w:val="none"/>
        </w:rPr>
      </w:pPr>
      <w:bookmarkStart w:id="102" w:name="_Ref467306244"/>
      <w:r>
        <w:rPr>
          <w:rFonts w:hint="eastAsia" w:ascii="仿宋" w:hAnsi="仿宋" w:eastAsia="仿宋" w:cs="仿宋"/>
          <w:color w:val="auto"/>
          <w:sz w:val="24"/>
          <w:highlight w:val="none"/>
        </w:rPr>
        <w:t>10.2   上款所述的证明文件，可以是文字资料、图纸和数据</w:t>
      </w:r>
      <w:bookmarkEnd w:id="102"/>
      <w:r>
        <w:rPr>
          <w:rFonts w:hint="eastAsia" w:ascii="仿宋" w:hAnsi="仿宋" w:eastAsia="仿宋" w:cs="仿宋"/>
          <w:color w:val="auto"/>
          <w:sz w:val="24"/>
          <w:highlight w:val="none"/>
        </w:rPr>
        <w:t>。</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   本条所指证明文件不包括对招标文件相关部分的文字、图标的复制。</w:t>
      </w:r>
    </w:p>
    <w:p>
      <w:pPr>
        <w:tabs>
          <w:tab w:val="left" w:pos="0"/>
        </w:tabs>
        <w:spacing w:line="360" w:lineRule="auto"/>
        <w:rPr>
          <w:rFonts w:hint="eastAsia" w:ascii="仿宋" w:hAnsi="仿宋" w:eastAsia="仿宋" w:cs="仿宋"/>
          <w:b/>
          <w:color w:val="auto"/>
          <w:sz w:val="24"/>
          <w:highlight w:val="none"/>
        </w:rPr>
      </w:pPr>
      <w:bookmarkStart w:id="103" w:name="_Toc23231"/>
      <w:bookmarkStart w:id="104" w:name="_Toc2248"/>
      <w:bookmarkStart w:id="105" w:name="_Toc515647770"/>
      <w:bookmarkStart w:id="106" w:name="_Toc520356155"/>
      <w:bookmarkStart w:id="107" w:name="_Toc532473462"/>
      <w:r>
        <w:rPr>
          <w:rFonts w:hint="eastAsia" w:ascii="仿宋" w:hAnsi="仿宋" w:eastAsia="仿宋" w:cs="仿宋"/>
          <w:b/>
          <w:color w:val="auto"/>
          <w:sz w:val="24"/>
          <w:highlight w:val="none"/>
        </w:rPr>
        <w:t>11.    投标报价</w:t>
      </w:r>
      <w:bookmarkEnd w:id="103"/>
      <w:bookmarkEnd w:id="104"/>
      <w:bookmarkEnd w:id="105"/>
      <w:bookmarkEnd w:id="106"/>
      <w:bookmarkEnd w:id="107"/>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11.1   投标人的报价应当包括满足本次招标全部采购需求所应提供的服务，以及伴随的货物和工程。所有投标均应以人民币报价。投标人的投标报价应遵守《中华人民共和国价格法》。</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11.2   投标人应在投标分项报价表上标明分项服务、伴随的货物和工程的价格（如适用）和总价，并由法定代表人或其授权代表签署。</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11.3   采购人不接受具有附加条件的报价或多个方案的报价。</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11.4   投标人所报的投标报价在合同履行过程中是固定不变的，不得以任何理由予以变更。任何包含价格调整要求的投标，将被认定为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tabs>
          <w:tab w:val="left" w:pos="0"/>
        </w:tabs>
        <w:spacing w:line="360" w:lineRule="auto"/>
        <w:rPr>
          <w:rFonts w:hint="eastAsia" w:ascii="仿宋" w:hAnsi="仿宋" w:eastAsia="仿宋" w:cs="仿宋"/>
          <w:b/>
          <w:color w:val="auto"/>
          <w:sz w:val="24"/>
          <w:highlight w:val="none"/>
        </w:rPr>
      </w:pPr>
      <w:bookmarkStart w:id="108" w:name="_Toc532473463"/>
      <w:bookmarkStart w:id="109" w:name="_Ref467306513"/>
      <w:bookmarkStart w:id="110" w:name="_Toc515647771"/>
      <w:bookmarkStart w:id="111" w:name="_Toc11514"/>
      <w:bookmarkStart w:id="112" w:name="_Toc17788"/>
      <w:bookmarkStart w:id="113" w:name="_Toc520356156"/>
      <w:r>
        <w:rPr>
          <w:rFonts w:hint="eastAsia" w:ascii="仿宋" w:hAnsi="仿宋" w:eastAsia="仿宋" w:cs="仿宋"/>
          <w:b/>
          <w:color w:val="auto"/>
          <w:sz w:val="24"/>
          <w:highlight w:val="none"/>
        </w:rPr>
        <w:t>12.    投标保证金</w:t>
      </w:r>
      <w:bookmarkEnd w:id="108"/>
      <w:bookmarkEnd w:id="109"/>
      <w:bookmarkEnd w:id="110"/>
      <w:bookmarkEnd w:id="111"/>
      <w:bookmarkEnd w:id="112"/>
      <w:bookmarkEnd w:id="113"/>
    </w:p>
    <w:p>
      <w:pPr>
        <w:spacing w:line="360" w:lineRule="auto"/>
        <w:ind w:left="900" w:hanging="900" w:hangingChars="375"/>
        <w:rPr>
          <w:rFonts w:hint="eastAsia" w:ascii="仿宋" w:hAnsi="仿宋" w:eastAsia="仿宋" w:cs="仿宋"/>
          <w:color w:val="auto"/>
          <w:sz w:val="24"/>
          <w:highlight w:val="none"/>
          <w:lang w:val="zh-CN"/>
        </w:rPr>
      </w:pPr>
      <w:bookmarkStart w:id="114" w:name="_Ref467306302"/>
      <w:r>
        <w:rPr>
          <w:rFonts w:hint="eastAsia" w:ascii="仿宋" w:hAnsi="仿宋" w:eastAsia="仿宋" w:cs="仿宋"/>
          <w:color w:val="auto"/>
          <w:sz w:val="24"/>
          <w:highlight w:val="none"/>
        </w:rPr>
        <w:t>12.1</w:t>
      </w:r>
      <w:bookmarkEnd w:id="114"/>
      <w:r>
        <w:rPr>
          <w:rFonts w:hint="eastAsia" w:ascii="仿宋" w:hAnsi="仿宋" w:eastAsia="仿宋" w:cs="仿宋"/>
          <w:color w:val="auto"/>
          <w:sz w:val="24"/>
          <w:highlight w:val="none"/>
        </w:rPr>
        <w:t xml:space="preserve">   投标人应按照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规定递交</w:t>
      </w:r>
      <w:r>
        <w:rPr>
          <w:rFonts w:hint="eastAsia" w:ascii="仿宋" w:hAnsi="仿宋" w:eastAsia="仿宋" w:cs="仿宋"/>
          <w:color w:val="auto"/>
          <w:sz w:val="24"/>
          <w:highlight w:val="none"/>
          <w:lang w:val="zh-CN"/>
        </w:rPr>
        <w:t>投标保证金（</w:t>
      </w:r>
      <w:r>
        <w:rPr>
          <w:rFonts w:hint="eastAsia" w:ascii="仿宋" w:hAnsi="仿宋" w:eastAsia="仿宋" w:cs="仿宋"/>
          <w:color w:val="auto"/>
          <w:sz w:val="24"/>
          <w:highlight w:val="none"/>
          <w:u w:val="single"/>
          <w:lang w:val="zh-CN"/>
        </w:rPr>
        <w:t>若分标段，应按标段交纳投标保证金</w:t>
      </w:r>
      <w:r>
        <w:rPr>
          <w:rFonts w:hint="eastAsia" w:ascii="仿宋" w:hAnsi="仿宋" w:eastAsia="仿宋" w:cs="仿宋"/>
          <w:color w:val="auto"/>
          <w:sz w:val="24"/>
          <w:highlight w:val="none"/>
          <w:lang w:val="zh-CN"/>
        </w:rPr>
        <w:t>），投标保证金须在投标截止时间前</w:t>
      </w:r>
      <w:r>
        <w:rPr>
          <w:rFonts w:hint="eastAsia" w:ascii="仿宋" w:hAnsi="仿宋" w:eastAsia="仿宋" w:cs="仿宋"/>
          <w:color w:val="auto"/>
          <w:sz w:val="24"/>
          <w:highlight w:val="none"/>
        </w:rPr>
        <w:t>到账</w:t>
      </w:r>
      <w:r>
        <w:rPr>
          <w:rFonts w:hint="eastAsia" w:ascii="仿宋" w:hAnsi="仿宋" w:eastAsia="仿宋" w:cs="仿宋"/>
          <w:color w:val="auto"/>
          <w:sz w:val="24"/>
          <w:highlight w:val="none"/>
          <w:lang w:val="zh-CN"/>
        </w:rPr>
        <w:t>。</w:t>
      </w:r>
    </w:p>
    <w:p>
      <w:pPr>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12.2   </w:t>
      </w:r>
      <w:r>
        <w:rPr>
          <w:rFonts w:hint="eastAsia" w:ascii="仿宋" w:hAnsi="仿宋" w:eastAsia="仿宋" w:cs="仿宋"/>
          <w:color w:val="auto"/>
          <w:sz w:val="24"/>
          <w:highlight w:val="none"/>
          <w:lang w:val="zh-CN"/>
        </w:rPr>
        <w:t>投标保证金应用人民币，采用支票，汇票、本票、保函的任何一种非现金形式支付。</w:t>
      </w:r>
    </w:p>
    <w:p>
      <w:pPr>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12.3   如投标保证金以保函形式交纳，投标人须按本章附件1格式和内容开具保函，并将保函原件附在投标文件中或随投标文件同时递交，否则视为无效投标。投标人违约，开具保函单位承担连带责任。</w:t>
      </w:r>
    </w:p>
    <w:p>
      <w:pPr>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lang w:val="zh-CN"/>
        </w:rPr>
        <w:t>联合体投标的，可以由联合体中的一方或者共同提交投标保证金，以一方提交投标保证金的，对联合体各方均具有约束力。</w:t>
      </w:r>
    </w:p>
    <w:p>
      <w:pPr>
        <w:tabs>
          <w:tab w:val="left" w:pos="0"/>
        </w:tabs>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12.5   </w:t>
      </w:r>
      <w:r>
        <w:rPr>
          <w:rFonts w:hint="eastAsia" w:ascii="仿宋" w:hAnsi="仿宋" w:eastAsia="仿宋" w:cs="仿宋"/>
          <w:color w:val="auto"/>
          <w:sz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napToGrid w:val="0"/>
        <w:spacing w:line="360" w:lineRule="auto"/>
        <w:ind w:left="835" w:leftChars="342" w:hanging="117" w:hangingChars="4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投标人在投标截止时间后撤销投标文件的；</w:t>
      </w:r>
    </w:p>
    <w:p>
      <w:pPr>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投标人在投标文件中提供虚假材料的；</w:t>
      </w:r>
    </w:p>
    <w:p>
      <w:pPr>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除因不可抗力或招标文件认可的情形以外，中标人不与采购人签订合同的；</w:t>
      </w:r>
    </w:p>
    <w:p>
      <w:pPr>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投标人与采购人、其他投标人或者采购代理机构恶意串通的；</w:t>
      </w:r>
    </w:p>
    <w:p>
      <w:pPr>
        <w:snapToGrid w:val="0"/>
        <w:spacing w:line="360" w:lineRule="auto"/>
        <w:ind w:left="837" w:leftChars="370" w:hanging="60" w:hangingChars="2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中标人将中标项目转让给他人，或者在投标文件中未说明，且未经采购人同意，将中标项目分包给他人的；</w:t>
      </w:r>
    </w:p>
    <w:p>
      <w:pPr>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中标人拒绝履行合同义务的。</w:t>
      </w:r>
    </w:p>
    <w:p>
      <w:pPr>
        <w:autoSpaceDE w:val="0"/>
        <w:autoSpaceDN w:val="0"/>
        <w:adjustRightInd w:val="0"/>
        <w:snapToGrid w:val="0"/>
        <w:spacing w:line="360" w:lineRule="auto"/>
        <w:ind w:left="835" w:hanging="835" w:hangingChars="34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12.6   </w:t>
      </w:r>
      <w:r>
        <w:rPr>
          <w:rFonts w:hint="eastAsia" w:ascii="仿宋" w:hAnsi="仿宋" w:eastAsia="仿宋" w:cs="仿宋"/>
          <w:color w:val="auto"/>
          <w:sz w:val="24"/>
          <w:highlight w:val="none"/>
          <w:lang w:val="zh-CN"/>
        </w:rPr>
        <w:t>自中标通知书发出之日起五个工作日内退还未中标人的投标保证金，自采购合同签订之日起五个工作日内退还中标人的投标保证金或者转为中标人的履约保证金。</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12.7   中标人需在合同签订后3日内持合同原件至采购代理机构办理投标保证金退还手续。</w:t>
      </w:r>
    </w:p>
    <w:p>
      <w:pPr>
        <w:tabs>
          <w:tab w:val="left" w:pos="0"/>
        </w:tabs>
        <w:spacing w:line="360" w:lineRule="auto"/>
        <w:rPr>
          <w:rFonts w:hint="eastAsia" w:ascii="仿宋" w:hAnsi="仿宋" w:eastAsia="仿宋" w:cs="仿宋"/>
          <w:b/>
          <w:color w:val="auto"/>
          <w:sz w:val="24"/>
          <w:highlight w:val="none"/>
        </w:rPr>
      </w:pPr>
      <w:bookmarkStart w:id="115" w:name="_Toc32569"/>
      <w:bookmarkStart w:id="116" w:name="_Toc520356157"/>
      <w:bookmarkStart w:id="117" w:name="_Toc515647772"/>
      <w:bookmarkStart w:id="118" w:name="_Toc23590"/>
      <w:bookmarkStart w:id="119" w:name="_Toc532473464"/>
      <w:r>
        <w:rPr>
          <w:rFonts w:hint="eastAsia" w:ascii="仿宋" w:hAnsi="仿宋" w:eastAsia="仿宋" w:cs="仿宋"/>
          <w:b/>
          <w:color w:val="auto"/>
          <w:sz w:val="24"/>
          <w:highlight w:val="none"/>
        </w:rPr>
        <w:t>13.    投标有效期</w:t>
      </w:r>
      <w:bookmarkEnd w:id="115"/>
      <w:bookmarkEnd w:id="116"/>
      <w:bookmarkEnd w:id="117"/>
      <w:bookmarkEnd w:id="118"/>
      <w:bookmarkEnd w:id="119"/>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   投标有效期为提交投标文件截止之日起90个日历日，投标应在投标有效期内保持有效。投标有效期不满足要求的投标，其投标将被认定为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tabs>
          <w:tab w:val="left" w:pos="0"/>
        </w:tabs>
        <w:spacing w:line="360" w:lineRule="auto"/>
        <w:rPr>
          <w:rFonts w:hint="eastAsia" w:ascii="仿宋" w:hAnsi="仿宋" w:eastAsia="仿宋" w:cs="仿宋"/>
          <w:b/>
          <w:color w:val="auto"/>
          <w:sz w:val="24"/>
          <w:highlight w:val="none"/>
        </w:rPr>
      </w:pPr>
      <w:bookmarkStart w:id="120" w:name="_Toc532473465"/>
      <w:bookmarkStart w:id="121" w:name="_Toc520356158"/>
      <w:bookmarkStart w:id="122" w:name="_Toc515647773"/>
      <w:bookmarkStart w:id="123" w:name="_Toc493"/>
      <w:bookmarkStart w:id="124" w:name="_Toc17074"/>
      <w:r>
        <w:rPr>
          <w:rFonts w:hint="eastAsia" w:ascii="仿宋" w:hAnsi="仿宋" w:eastAsia="仿宋" w:cs="仿宋"/>
          <w:b/>
          <w:color w:val="auto"/>
          <w:sz w:val="24"/>
          <w:highlight w:val="none"/>
        </w:rPr>
        <w:t>14.    投标文件的</w:t>
      </w:r>
      <w:bookmarkEnd w:id="120"/>
      <w:bookmarkEnd w:id="121"/>
      <w:bookmarkEnd w:id="122"/>
      <w:bookmarkEnd w:id="123"/>
      <w:bookmarkEnd w:id="124"/>
      <w:r>
        <w:rPr>
          <w:rFonts w:hint="eastAsia" w:ascii="仿宋" w:hAnsi="仿宋" w:eastAsia="仿宋" w:cs="仿宋"/>
          <w:b/>
          <w:color w:val="auto"/>
          <w:sz w:val="24"/>
          <w:highlight w:val="none"/>
        </w:rPr>
        <w:t>制作：详见投标人须知前附表</w:t>
      </w:r>
    </w:p>
    <w:p>
      <w:pPr>
        <w:spacing w:line="360" w:lineRule="auto"/>
        <w:jc w:val="center"/>
        <w:outlineLvl w:val="2"/>
        <w:rPr>
          <w:rFonts w:hint="eastAsia" w:ascii="仿宋" w:hAnsi="仿宋" w:eastAsia="仿宋" w:cs="仿宋"/>
          <w:b/>
          <w:color w:val="auto"/>
          <w:sz w:val="28"/>
          <w:szCs w:val="28"/>
          <w:highlight w:val="none"/>
        </w:rPr>
      </w:pPr>
      <w:bookmarkStart w:id="125" w:name="_Toc138175442"/>
      <w:bookmarkStart w:id="126" w:name="_Toc11179"/>
      <w:bookmarkStart w:id="127" w:name="_Toc31584"/>
      <w:bookmarkStart w:id="128" w:name="_Toc520356159"/>
      <w:bookmarkStart w:id="129" w:name="_Toc515647774"/>
      <w:bookmarkStart w:id="130" w:name="_Toc216582808"/>
      <w:bookmarkStart w:id="131" w:name="_Toc532473466"/>
      <w:bookmarkStart w:id="132" w:name="_Toc16865"/>
      <w:r>
        <w:rPr>
          <w:rFonts w:hint="eastAsia" w:ascii="仿宋" w:hAnsi="仿宋" w:eastAsia="仿宋" w:cs="仿宋"/>
          <w:b/>
          <w:color w:val="auto"/>
          <w:sz w:val="28"/>
          <w:szCs w:val="28"/>
          <w:highlight w:val="none"/>
        </w:rPr>
        <w:t>四、投标文件的递交</w:t>
      </w:r>
      <w:bookmarkEnd w:id="125"/>
      <w:bookmarkEnd w:id="126"/>
      <w:bookmarkEnd w:id="127"/>
      <w:bookmarkEnd w:id="128"/>
      <w:bookmarkEnd w:id="129"/>
      <w:bookmarkEnd w:id="130"/>
      <w:bookmarkEnd w:id="131"/>
      <w:bookmarkEnd w:id="132"/>
    </w:p>
    <w:p>
      <w:pPr>
        <w:tabs>
          <w:tab w:val="left" w:pos="0"/>
        </w:tabs>
        <w:spacing w:line="360" w:lineRule="auto"/>
        <w:rPr>
          <w:rFonts w:hint="eastAsia" w:ascii="仿宋" w:hAnsi="仿宋" w:eastAsia="仿宋" w:cs="仿宋"/>
          <w:b/>
          <w:color w:val="auto"/>
          <w:sz w:val="24"/>
          <w:highlight w:val="none"/>
        </w:rPr>
      </w:pPr>
      <w:bookmarkStart w:id="133" w:name="_Toc515647775"/>
      <w:bookmarkStart w:id="134" w:name="_Toc532473467"/>
      <w:bookmarkStart w:id="135" w:name="_Toc520356160"/>
      <w:bookmarkStart w:id="136" w:name="_Toc21645"/>
      <w:bookmarkStart w:id="137" w:name="_Toc32337"/>
      <w:r>
        <w:rPr>
          <w:rFonts w:hint="eastAsia" w:ascii="仿宋" w:hAnsi="仿宋" w:eastAsia="仿宋" w:cs="仿宋"/>
          <w:b/>
          <w:color w:val="auto"/>
          <w:sz w:val="24"/>
          <w:highlight w:val="none"/>
        </w:rPr>
        <w:t>15.    投标文件的密封和标记</w:t>
      </w:r>
      <w:bookmarkEnd w:id="133"/>
      <w:bookmarkEnd w:id="134"/>
      <w:bookmarkEnd w:id="135"/>
      <w:bookmarkEnd w:id="136"/>
      <w:bookmarkEnd w:id="137"/>
      <w:r>
        <w:rPr>
          <w:rFonts w:hint="eastAsia" w:ascii="仿宋" w:hAnsi="仿宋" w:eastAsia="仿宋" w:cs="仿宋"/>
          <w:b/>
          <w:color w:val="auto"/>
          <w:sz w:val="24"/>
          <w:highlight w:val="none"/>
        </w:rPr>
        <w:t>：详见投标人须知前附表</w:t>
      </w:r>
    </w:p>
    <w:p>
      <w:pPr>
        <w:tabs>
          <w:tab w:val="left" w:pos="0"/>
        </w:tabs>
        <w:spacing w:line="360" w:lineRule="auto"/>
        <w:rPr>
          <w:rFonts w:hint="eastAsia" w:ascii="仿宋" w:hAnsi="仿宋" w:eastAsia="仿宋" w:cs="仿宋"/>
          <w:b/>
          <w:color w:val="auto"/>
          <w:sz w:val="24"/>
          <w:highlight w:val="none"/>
        </w:rPr>
      </w:pPr>
      <w:bookmarkStart w:id="138" w:name="_Toc515647776"/>
      <w:bookmarkStart w:id="139" w:name="_Toc532473468"/>
      <w:bookmarkStart w:id="140" w:name="_Toc9840"/>
      <w:bookmarkStart w:id="141" w:name="_Toc12751"/>
      <w:bookmarkStart w:id="142" w:name="_Toc520356161"/>
      <w:r>
        <w:rPr>
          <w:rFonts w:hint="eastAsia" w:ascii="仿宋" w:hAnsi="仿宋" w:eastAsia="仿宋" w:cs="仿宋"/>
          <w:b/>
          <w:color w:val="auto"/>
          <w:sz w:val="24"/>
          <w:highlight w:val="none"/>
        </w:rPr>
        <w:t>16.    投标截止</w:t>
      </w:r>
      <w:bookmarkEnd w:id="138"/>
      <w:bookmarkEnd w:id="139"/>
      <w:bookmarkEnd w:id="140"/>
      <w:bookmarkEnd w:id="141"/>
      <w:bookmarkEnd w:id="142"/>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投标人应在</w:t>
      </w:r>
      <w:r>
        <w:rPr>
          <w:rFonts w:hint="eastAsia" w:ascii="仿宋" w:hAnsi="仿宋" w:eastAsia="仿宋" w:cs="仿宋"/>
          <w:color w:val="auto"/>
          <w:sz w:val="24"/>
          <w:highlight w:val="none"/>
          <w:u w:val="single"/>
        </w:rPr>
        <w:t>投标人须知前附表中</w:t>
      </w:r>
      <w:r>
        <w:rPr>
          <w:rFonts w:hint="eastAsia" w:ascii="仿宋" w:hAnsi="仿宋" w:eastAsia="仿宋" w:cs="仿宋"/>
          <w:color w:val="auto"/>
          <w:sz w:val="24"/>
          <w:highlight w:val="none"/>
        </w:rPr>
        <w:t>规定的截止时间前，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tabs>
          <w:tab w:val="left" w:pos="0"/>
        </w:tabs>
        <w:spacing w:line="360" w:lineRule="auto"/>
        <w:rPr>
          <w:rFonts w:hint="eastAsia" w:ascii="仿宋" w:hAnsi="仿宋" w:eastAsia="仿宋" w:cs="仿宋"/>
          <w:b/>
          <w:color w:val="auto"/>
          <w:sz w:val="24"/>
          <w:highlight w:val="none"/>
        </w:rPr>
      </w:pPr>
      <w:bookmarkStart w:id="143" w:name="_Toc24275"/>
      <w:bookmarkStart w:id="144" w:name="_Toc520356162"/>
      <w:bookmarkStart w:id="145" w:name="_Toc18537"/>
      <w:bookmarkStart w:id="146" w:name="_Toc532473469"/>
      <w:bookmarkStart w:id="147" w:name="_Toc515647777"/>
      <w:r>
        <w:rPr>
          <w:rFonts w:hint="eastAsia" w:ascii="仿宋" w:hAnsi="仿宋" w:eastAsia="仿宋" w:cs="仿宋"/>
          <w:b/>
          <w:color w:val="auto"/>
          <w:sz w:val="24"/>
          <w:highlight w:val="none"/>
        </w:rPr>
        <w:t>17.    投标文件的接收、修改与撤回</w:t>
      </w:r>
      <w:bookmarkEnd w:id="143"/>
      <w:bookmarkEnd w:id="144"/>
      <w:bookmarkEnd w:id="145"/>
      <w:bookmarkEnd w:id="146"/>
      <w:bookmarkEnd w:id="147"/>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17.1   电子投标文件可于</w:t>
      </w:r>
      <w:bookmarkStart w:id="148" w:name="_Hlk127177301"/>
      <w:r>
        <w:rPr>
          <w:rFonts w:hint="eastAsia" w:ascii="仿宋" w:hAnsi="仿宋" w:eastAsia="仿宋" w:cs="仿宋"/>
          <w:color w:val="auto"/>
          <w:sz w:val="24"/>
          <w:highlight w:val="none"/>
        </w:rPr>
        <w:t>提交投标文件截止时间前</w:t>
      </w:r>
      <w:bookmarkEnd w:id="148"/>
      <w:r>
        <w:rPr>
          <w:rFonts w:hint="eastAsia" w:ascii="仿宋" w:hAnsi="仿宋" w:eastAsia="仿宋" w:cs="仿宋"/>
          <w:color w:val="auto"/>
          <w:sz w:val="24"/>
          <w:highlight w:val="none"/>
        </w:rPr>
        <w:t>任意时段，登录西安市公共资源交易平台〖首页·〉电子交易平台·〉企业端〗，登录后切换到〖我的项目〗模块下，依次点选〖项目流程·〉项目管理·〉上传投标文件〗，上传加密后的电子投标文件（*.SXSTF）。上传成功后，西安市公共资源交易平台政府采购系统将予以记录。</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   上传文件有误或需要重新提交的，可先撤销已经上传的文件，然后在提交投标文件截止时间前重新上传新文件。</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17.4   在投标截止时间之后，投标人不得对其投标文件做任何修改。</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17.5   在投标截止时间之后，投标人不足3家时，各投标人的投标文件，将不再解密。</w:t>
      </w:r>
    </w:p>
    <w:p>
      <w:pPr>
        <w:spacing w:line="360" w:lineRule="auto"/>
        <w:jc w:val="center"/>
        <w:outlineLvl w:val="2"/>
        <w:rPr>
          <w:rFonts w:hint="eastAsia" w:ascii="仿宋" w:hAnsi="仿宋" w:eastAsia="仿宋" w:cs="仿宋"/>
          <w:b/>
          <w:color w:val="auto"/>
          <w:sz w:val="28"/>
          <w:szCs w:val="28"/>
          <w:highlight w:val="none"/>
        </w:rPr>
      </w:pPr>
      <w:bookmarkStart w:id="149" w:name="_Toc138175443"/>
      <w:bookmarkStart w:id="150" w:name="_Toc12436"/>
      <w:bookmarkStart w:id="151" w:name="_Toc22524"/>
      <w:bookmarkStart w:id="152" w:name="_Toc515647778"/>
      <w:bookmarkStart w:id="153" w:name="_Toc216582809"/>
      <w:bookmarkStart w:id="154" w:name="_Toc28398"/>
      <w:bookmarkStart w:id="155" w:name="_Toc520356163"/>
      <w:bookmarkStart w:id="156" w:name="_Toc532473470"/>
      <w:r>
        <w:rPr>
          <w:rFonts w:hint="eastAsia" w:ascii="仿宋" w:hAnsi="仿宋" w:eastAsia="仿宋" w:cs="仿宋"/>
          <w:b/>
          <w:color w:val="auto"/>
          <w:sz w:val="28"/>
          <w:szCs w:val="28"/>
          <w:highlight w:val="none"/>
        </w:rPr>
        <w:t>五、开标及评标</w:t>
      </w:r>
      <w:bookmarkEnd w:id="149"/>
      <w:bookmarkEnd w:id="150"/>
      <w:bookmarkEnd w:id="151"/>
      <w:bookmarkEnd w:id="152"/>
      <w:bookmarkEnd w:id="153"/>
      <w:bookmarkEnd w:id="154"/>
      <w:bookmarkEnd w:id="155"/>
      <w:bookmarkEnd w:id="156"/>
    </w:p>
    <w:p>
      <w:pPr>
        <w:tabs>
          <w:tab w:val="left" w:pos="0"/>
        </w:tabs>
        <w:spacing w:line="360" w:lineRule="auto"/>
        <w:rPr>
          <w:rFonts w:hint="eastAsia" w:ascii="仿宋" w:hAnsi="仿宋" w:eastAsia="仿宋" w:cs="仿宋"/>
          <w:b/>
          <w:color w:val="auto"/>
          <w:sz w:val="24"/>
          <w:highlight w:val="none"/>
        </w:rPr>
      </w:pPr>
      <w:bookmarkStart w:id="157" w:name="_Toc520356164"/>
      <w:bookmarkStart w:id="158" w:name="_Toc25345"/>
      <w:bookmarkStart w:id="159" w:name="_Toc532473471"/>
      <w:bookmarkStart w:id="160" w:name="_Toc515647779"/>
      <w:bookmarkStart w:id="161" w:name="_Toc7186"/>
      <w:r>
        <w:rPr>
          <w:rFonts w:hint="eastAsia" w:ascii="仿宋" w:hAnsi="仿宋" w:eastAsia="仿宋" w:cs="仿宋"/>
          <w:b/>
          <w:color w:val="auto"/>
          <w:sz w:val="24"/>
          <w:highlight w:val="none"/>
        </w:rPr>
        <w:t>18.    开标</w:t>
      </w:r>
      <w:bookmarkEnd w:id="157"/>
      <w:bookmarkEnd w:id="158"/>
      <w:bookmarkEnd w:id="159"/>
      <w:bookmarkEnd w:id="160"/>
      <w:bookmarkEnd w:id="161"/>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18.1   采购人和采购代理机构将按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中规定的开标时间和地点组织开标，并邀请所有投标人代表参加。</w:t>
      </w:r>
    </w:p>
    <w:p>
      <w:pPr>
        <w:spacing w:line="360" w:lineRule="auto"/>
        <w:ind w:left="834" w:leftChars="397" w:firstLine="19" w:firstLineChars="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投标人不足3家的，不予开标。</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18.2   开标时，由采购人和代理机构组织各投标人线上解密，并在线上公示开标记录。</w:t>
      </w:r>
    </w:p>
    <w:p>
      <w:pPr>
        <w:spacing w:line="360" w:lineRule="auto"/>
        <w:ind w:left="899" w:leftChars="428"/>
        <w:rPr>
          <w:rFonts w:hint="eastAsia" w:ascii="仿宋" w:hAnsi="仿宋" w:eastAsia="仿宋" w:cs="仿宋"/>
          <w:color w:val="auto"/>
          <w:sz w:val="24"/>
          <w:highlight w:val="none"/>
        </w:rPr>
      </w:pPr>
      <w:bookmarkStart w:id="162" w:name="_Toc520356165"/>
      <w:r>
        <w:rPr>
          <w:rFonts w:hint="eastAsia" w:ascii="仿宋" w:hAnsi="仿宋" w:eastAsia="仿宋" w:cs="仿宋"/>
          <w:color w:val="auto"/>
          <w:sz w:val="24"/>
          <w:highlight w:val="none"/>
        </w:rPr>
        <w:t>若投标人在系统规定时间内未完成解密，或因投标人原因造成其投标文件无法解密（或无法打开的），按无效投标处理。</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18.3   投标人代表对开标过程和开标记录有疑义，以及认为开标现场采购人、采购代理机构相关工作人员有需要回避的情形的，应在开标大厅当场提出询问或者回避申请，若投标人在开标会议结束前，未提出疑义，视其对开标过程和开标记录无疑义。</w:t>
      </w:r>
    </w:p>
    <w:p>
      <w:pPr>
        <w:tabs>
          <w:tab w:val="left" w:pos="0"/>
        </w:tabs>
        <w:spacing w:line="360" w:lineRule="auto"/>
        <w:rPr>
          <w:rFonts w:hint="eastAsia" w:ascii="仿宋" w:hAnsi="仿宋" w:eastAsia="仿宋" w:cs="仿宋"/>
          <w:b/>
          <w:color w:val="auto"/>
          <w:sz w:val="24"/>
          <w:highlight w:val="none"/>
        </w:rPr>
      </w:pPr>
      <w:bookmarkStart w:id="163" w:name="_Toc19296"/>
      <w:bookmarkStart w:id="164" w:name="_Toc21372"/>
      <w:bookmarkStart w:id="165" w:name="_Toc515647780"/>
      <w:bookmarkStart w:id="166" w:name="_Toc532473472"/>
      <w:r>
        <w:rPr>
          <w:rFonts w:hint="eastAsia" w:ascii="仿宋" w:hAnsi="仿宋" w:eastAsia="仿宋" w:cs="仿宋"/>
          <w:b/>
          <w:color w:val="auto"/>
          <w:sz w:val="24"/>
          <w:highlight w:val="none"/>
        </w:rPr>
        <w:t>19.</w:t>
      </w:r>
      <w:bookmarkEnd w:id="162"/>
      <w:r>
        <w:rPr>
          <w:rFonts w:hint="eastAsia" w:ascii="仿宋" w:hAnsi="仿宋" w:eastAsia="仿宋" w:cs="仿宋"/>
          <w:b/>
          <w:color w:val="auto"/>
          <w:sz w:val="24"/>
          <w:highlight w:val="none"/>
        </w:rPr>
        <w:t xml:space="preserve">    资格审查及组建评标委员会</w:t>
      </w:r>
      <w:bookmarkEnd w:id="163"/>
      <w:bookmarkEnd w:id="164"/>
      <w:bookmarkEnd w:id="165"/>
      <w:bookmarkEnd w:id="166"/>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采购人或采购代理机构依据法律法规和招标文件中规定的内容，对投标人及其投标标的物的资格进行审查，未通过资格审查的投标人不进入评标；将被认定为未通过资格审查。</w:t>
      </w:r>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通过资格审查的投标人不足三家的，不得评标。</w:t>
      </w:r>
    </w:p>
    <w:p>
      <w:pPr>
        <w:spacing w:line="360" w:lineRule="auto"/>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采购人或采购代理机构将按投标人须知前附表中规定的时间查询投标人的信用记录。</w:t>
      </w:r>
    </w:p>
    <w:p>
      <w:pPr>
        <w:spacing w:line="360" w:lineRule="auto"/>
        <w:ind w:left="824" w:hanging="824"/>
        <w:rPr>
          <w:rFonts w:hint="eastAsia" w:ascii="仿宋" w:hAnsi="仿宋" w:eastAsia="仿宋" w:cs="仿宋"/>
          <w:color w:val="auto"/>
          <w:sz w:val="24"/>
          <w:highlight w:val="none"/>
        </w:rPr>
      </w:pPr>
      <w:r>
        <w:rPr>
          <w:rFonts w:hint="eastAsia" w:ascii="仿宋" w:hAnsi="仿宋" w:eastAsia="仿宋" w:cs="仿宋"/>
          <w:color w:val="auto"/>
          <w:sz w:val="24"/>
          <w:highlight w:val="none"/>
        </w:rPr>
        <w:t>19.2.1 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pacing w:line="360" w:lineRule="auto"/>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6"/>
        <w:spacing w:line="360" w:lineRule="auto"/>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采购人或采购代理机构经办人将查询网页打印并存档备查。投标人不良信用记录以采购人或采购代理机构查询结果为准。投标人自行提供的与网站信息不一致的其他证明材料亦不作为资格审查依据。</w:t>
      </w:r>
    </w:p>
    <w:p>
      <w:pPr>
        <w:pStyle w:val="6"/>
        <w:spacing w:line="360" w:lineRule="auto"/>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在本招标文件规定的查询时间之外，网站信息发生的任何变更均不作为资格审查依据。</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19.3   按照《中华人民共和国政府采购法》、《中华人民共和国政府采购法实施条例》及本项目本级和上级财政部门的有关规定依法组建的评标委员会，负责评标工作。</w:t>
      </w:r>
      <w:bookmarkStart w:id="167" w:name="_Toc520356166"/>
    </w:p>
    <w:p>
      <w:pPr>
        <w:tabs>
          <w:tab w:val="left" w:pos="0"/>
        </w:tabs>
        <w:spacing w:line="360" w:lineRule="auto"/>
        <w:rPr>
          <w:rFonts w:hint="eastAsia" w:ascii="仿宋" w:hAnsi="仿宋" w:eastAsia="仿宋" w:cs="仿宋"/>
          <w:b/>
          <w:color w:val="auto"/>
          <w:sz w:val="24"/>
          <w:highlight w:val="none"/>
        </w:rPr>
      </w:pPr>
      <w:bookmarkStart w:id="168" w:name="_Toc515647781"/>
      <w:bookmarkStart w:id="169" w:name="_Toc28479"/>
      <w:bookmarkStart w:id="170" w:name="_Toc532473473"/>
      <w:bookmarkStart w:id="171" w:name="_Toc19949"/>
      <w:r>
        <w:rPr>
          <w:rFonts w:hint="eastAsia" w:ascii="仿宋" w:hAnsi="仿宋" w:eastAsia="仿宋" w:cs="仿宋"/>
          <w:b/>
          <w:color w:val="auto"/>
          <w:sz w:val="24"/>
          <w:highlight w:val="none"/>
        </w:rPr>
        <w:t>20.    投标文件</w:t>
      </w:r>
      <w:bookmarkEnd w:id="167"/>
      <w:r>
        <w:rPr>
          <w:rFonts w:hint="eastAsia" w:ascii="仿宋" w:hAnsi="仿宋" w:eastAsia="仿宋" w:cs="仿宋"/>
          <w:b/>
          <w:color w:val="auto"/>
          <w:sz w:val="24"/>
          <w:highlight w:val="none"/>
        </w:rPr>
        <w:t>符合性审查与澄清</w:t>
      </w:r>
      <w:bookmarkEnd w:id="168"/>
      <w:bookmarkEnd w:id="169"/>
      <w:bookmarkEnd w:id="170"/>
      <w:bookmarkEnd w:id="171"/>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20.1   </w:t>
      </w:r>
      <w:bookmarkStart w:id="172" w:name="_Hlt522424701"/>
      <w:bookmarkEnd w:id="172"/>
      <w:bookmarkStart w:id="173" w:name="_Toc520356167"/>
      <w:r>
        <w:rPr>
          <w:rFonts w:hint="eastAsia" w:ascii="仿宋" w:hAnsi="仿宋" w:eastAsia="仿宋" w:cs="仿宋"/>
          <w:color w:val="auto"/>
          <w:sz w:val="24"/>
          <w:highlight w:val="none"/>
        </w:rPr>
        <w:t>符合性审查是指依据招标文件的规定，从商务和技术角度对投标文件的有效性和完整性进行审查，以确定是否对招标文件的实质性要求做出响应。</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投标文件的澄清</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投标人的澄清、说明或补正将作为投标文件的一部分。</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投标文件报价出现前后不一致的，按照下列规定修正：</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投标文件中开标一览表（报价表）内容与投标文件中相应内容不一致的，以开标一览表（报价表）为准；</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同时出现两种以上不一致的，按照前款规定的顺序修正。修正后的报价按照第20.2条的规定经投标人确认后产生约束力，投标人不确认的，其投标将被认定为投标无效。</w:t>
      </w:r>
    </w:p>
    <w:p>
      <w:pPr>
        <w:numPr>
          <w:ilvl w:val="0"/>
          <w:numId w:val="1"/>
        </w:numPr>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投标人为提供服务所伴随的货物如被列入财政部与国家主管部门颁发的节能产品或环境标志产品的，应提供处于有效期之内认证证书等相关证明，在评标时予以优先采购，具体优先采购办法见第三章评标方法和标准。</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如投标人为提供服务所伴随的货物为政府强制采购的产品，投标人所投产品应属于品目清单的强制采购部分。投标人应提供有效期内的认证证书，否则其投标将被认定为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如投标人为提供服务所伴随的货物属于信息安全产品的，投标人所投产品应为经国家认证的信息安全产品，并提供由中国信息安全认证中心按国家标准认证颁发的有效认证证书，否则其投标将被认定为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20.5   非单一产品采购项目核心产品见投标人须知前附表。</w:t>
      </w:r>
    </w:p>
    <w:p>
      <w:pPr>
        <w:tabs>
          <w:tab w:val="left" w:pos="0"/>
        </w:tabs>
        <w:spacing w:line="360" w:lineRule="auto"/>
        <w:rPr>
          <w:rFonts w:hint="eastAsia" w:ascii="仿宋" w:hAnsi="仿宋" w:eastAsia="仿宋" w:cs="仿宋"/>
          <w:b/>
          <w:color w:val="auto"/>
          <w:sz w:val="24"/>
          <w:highlight w:val="none"/>
        </w:rPr>
      </w:pPr>
      <w:bookmarkStart w:id="174" w:name="_Toc532473474"/>
      <w:bookmarkStart w:id="175" w:name="_Toc6364"/>
      <w:bookmarkStart w:id="176" w:name="_Toc515647782"/>
      <w:bookmarkStart w:id="177" w:name="_Toc9469"/>
      <w:r>
        <w:rPr>
          <w:rFonts w:hint="eastAsia" w:ascii="仿宋" w:hAnsi="仿宋" w:eastAsia="仿宋" w:cs="仿宋"/>
          <w:b/>
          <w:color w:val="auto"/>
          <w:sz w:val="24"/>
          <w:highlight w:val="none"/>
        </w:rPr>
        <w:t>21.    投标偏离</w:t>
      </w:r>
      <w:bookmarkEnd w:id="174"/>
      <w:bookmarkEnd w:id="175"/>
      <w:bookmarkEnd w:id="176"/>
      <w:bookmarkEnd w:id="177"/>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投标文件中存在对招标文件的实质性负偏离，其投标将被认定为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tabs>
          <w:tab w:val="left" w:pos="0"/>
        </w:tabs>
        <w:spacing w:line="360" w:lineRule="auto"/>
        <w:rPr>
          <w:rFonts w:hint="eastAsia" w:ascii="仿宋" w:hAnsi="仿宋" w:eastAsia="仿宋" w:cs="仿宋"/>
          <w:b/>
          <w:color w:val="auto"/>
          <w:sz w:val="24"/>
          <w:highlight w:val="none"/>
        </w:rPr>
      </w:pPr>
      <w:bookmarkStart w:id="178" w:name="_Toc515647783"/>
      <w:bookmarkStart w:id="179" w:name="_Toc532473475"/>
      <w:bookmarkStart w:id="180" w:name="_Toc4950"/>
      <w:bookmarkStart w:id="181" w:name="_Toc6092"/>
      <w:r>
        <w:rPr>
          <w:rFonts w:hint="eastAsia" w:ascii="仿宋" w:hAnsi="仿宋" w:eastAsia="仿宋" w:cs="仿宋"/>
          <w:b/>
          <w:color w:val="auto"/>
          <w:sz w:val="24"/>
          <w:highlight w:val="none"/>
        </w:rPr>
        <w:t>22.    投标</w:t>
      </w:r>
      <w:bookmarkEnd w:id="178"/>
      <w:r>
        <w:rPr>
          <w:rFonts w:hint="eastAsia" w:ascii="仿宋" w:hAnsi="仿宋" w:eastAsia="仿宋" w:cs="仿宋"/>
          <w:b/>
          <w:color w:val="auto"/>
          <w:sz w:val="24"/>
          <w:highlight w:val="none"/>
        </w:rPr>
        <w:t>无效</w:t>
      </w:r>
      <w:bookmarkEnd w:id="179"/>
      <w:bookmarkEnd w:id="180"/>
      <w:bookmarkEnd w:id="181"/>
    </w:p>
    <w:p>
      <w:pPr>
        <w:spacing w:line="360" w:lineRule="auto"/>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在比较与评价之前，根据招标文件的规定，评标委员会要审查每份投标文件是否响应了招标文件的要求。投标人不得通过修正或撤销不符合要求的偏离，从而使其投标成为实质上响应的投标。</w:t>
      </w:r>
    </w:p>
    <w:p>
      <w:pPr>
        <w:spacing w:line="360" w:lineRule="auto"/>
        <w:ind w:left="792"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   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（1）未按照招标文件规定要求签署、盖章的；</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（2）未满足招标文件中商务和技术条款的实质性要求；</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（3）属于串通投标，或者依法被视为串通投标；</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（4）评标委员会认为投标人的报价明显低于其他通过符合性审查投标人的报价，有可能影响履约的，且投标人未按照规定证明其报价合理性的；</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（5）投标文件含有采购人不能接受的附加条件的；</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（6）属于招标文件规定的其他投标无效情形；</w:t>
      </w:r>
    </w:p>
    <w:p>
      <w:pPr>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（7）不符合法规和招标文件中规定的其他实质性要求的。</w:t>
      </w:r>
    </w:p>
    <w:bookmarkEnd w:id="173"/>
    <w:p>
      <w:pPr>
        <w:tabs>
          <w:tab w:val="left" w:pos="0"/>
        </w:tabs>
        <w:spacing w:line="360" w:lineRule="auto"/>
        <w:rPr>
          <w:rFonts w:hint="eastAsia" w:ascii="仿宋" w:hAnsi="仿宋" w:eastAsia="仿宋" w:cs="仿宋"/>
          <w:b/>
          <w:color w:val="auto"/>
          <w:sz w:val="24"/>
          <w:highlight w:val="none"/>
        </w:rPr>
      </w:pPr>
      <w:bookmarkStart w:id="182" w:name="_Toc22941"/>
      <w:bookmarkStart w:id="183" w:name="_Toc13652"/>
      <w:bookmarkStart w:id="184" w:name="_Toc515647784"/>
      <w:bookmarkStart w:id="185" w:name="_Toc532473476"/>
      <w:r>
        <w:rPr>
          <w:rFonts w:hint="eastAsia" w:ascii="仿宋" w:hAnsi="仿宋" w:eastAsia="仿宋" w:cs="仿宋"/>
          <w:b/>
          <w:color w:val="auto"/>
          <w:sz w:val="24"/>
          <w:highlight w:val="none"/>
        </w:rPr>
        <w:t>23.    比较与评价</w:t>
      </w:r>
      <w:bookmarkEnd w:id="182"/>
      <w:bookmarkEnd w:id="183"/>
      <w:bookmarkEnd w:id="184"/>
      <w:bookmarkEnd w:id="185"/>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23.1   经符合性审查合格的投标文件，评标委员会将根据招标文件确定的评标方法和标准，对其技术部分和商务部分作进一步的比较和评价。</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23.2   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中规定采用下列一种评标方法，详细评标标准见招标文件第三章：</w:t>
      </w:r>
    </w:p>
    <w:p>
      <w:pPr>
        <w:pStyle w:val="18"/>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（1）最低评标价法，是指投标文件满足招标文件全部要求，且投标报价最低的投标人为中标候选人的评标方法。</w:t>
      </w:r>
    </w:p>
    <w:p>
      <w:pPr>
        <w:pStyle w:val="18"/>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（2）综合评分法，是指投标文件满足招标文件全部要求，且按照评审因素的量化指标评审得分最高的投标人为中标候选人的评标方法。</w:t>
      </w:r>
    </w:p>
    <w:p>
      <w:pPr>
        <w:pStyle w:val="18"/>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186" w:name="sendNo"/>
      <w:r>
        <w:rPr>
          <w:rFonts w:hint="eastAsia" w:ascii="仿宋" w:hAnsi="仿宋" w:eastAsia="仿宋" w:cs="仿宋"/>
          <w:bCs/>
          <w:color w:val="auto"/>
          <w:sz w:val="24"/>
          <w:szCs w:val="24"/>
          <w:highlight w:val="none"/>
        </w:rPr>
        <w:t>财库〔</w:t>
      </w:r>
      <w:bookmarkEnd w:id="186"/>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ascii="仿宋" w:hAnsi="仿宋" w:eastAsia="仿宋" w:cs="仿宋"/>
          <w:color w:val="auto"/>
          <w:sz w:val="24"/>
          <w:highlight w:val="none"/>
        </w:rPr>
        <w:t>其投标报价按规定扣除后参与评审</w:t>
      </w:r>
      <w:r>
        <w:rPr>
          <w:rFonts w:hint="eastAsia" w:ascii="仿宋" w:hAnsi="仿宋" w:eastAsia="仿宋" w:cs="仿宋"/>
          <w:color w:val="auto"/>
          <w:sz w:val="24"/>
          <w:szCs w:val="24"/>
          <w:highlight w:val="none"/>
        </w:rPr>
        <w:t>。具体办法详见招标文件第三章。</w:t>
      </w:r>
    </w:p>
    <w:p>
      <w:pPr>
        <w:pStyle w:val="18"/>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落实其他政府采购政策条款。具体办法详见招标文件第三章。</w:t>
      </w:r>
    </w:p>
    <w:p>
      <w:pPr>
        <w:tabs>
          <w:tab w:val="left" w:pos="0"/>
        </w:tabs>
        <w:spacing w:line="360" w:lineRule="auto"/>
        <w:rPr>
          <w:rFonts w:hint="eastAsia" w:ascii="仿宋" w:hAnsi="仿宋" w:eastAsia="仿宋" w:cs="仿宋"/>
          <w:b/>
          <w:color w:val="auto"/>
          <w:sz w:val="24"/>
          <w:highlight w:val="none"/>
        </w:rPr>
      </w:pPr>
      <w:bookmarkStart w:id="187" w:name="_Toc520356168"/>
      <w:bookmarkStart w:id="188" w:name="_Toc9378"/>
      <w:bookmarkStart w:id="189" w:name="_Toc20227"/>
      <w:bookmarkStart w:id="190" w:name="_Toc532473477"/>
      <w:bookmarkStart w:id="191" w:name="_Toc515647785"/>
      <w:r>
        <w:rPr>
          <w:rFonts w:hint="eastAsia" w:ascii="仿宋" w:hAnsi="仿宋" w:eastAsia="仿宋" w:cs="仿宋"/>
          <w:b/>
          <w:color w:val="auto"/>
          <w:sz w:val="24"/>
          <w:highlight w:val="none"/>
        </w:rPr>
        <w:t>24</w:t>
      </w:r>
      <w:bookmarkEnd w:id="187"/>
      <w:r>
        <w:rPr>
          <w:rFonts w:hint="eastAsia" w:ascii="仿宋" w:hAnsi="仿宋" w:eastAsia="仿宋" w:cs="仿宋"/>
          <w:b/>
          <w:color w:val="auto"/>
          <w:sz w:val="24"/>
          <w:highlight w:val="none"/>
        </w:rPr>
        <w:t>.    废标</w:t>
      </w:r>
      <w:bookmarkEnd w:id="188"/>
      <w:bookmarkEnd w:id="189"/>
      <w:bookmarkEnd w:id="190"/>
      <w:bookmarkEnd w:id="191"/>
    </w:p>
    <w:p>
      <w:pPr>
        <w:spacing w:line="360" w:lineRule="auto"/>
        <w:ind w:left="898"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出现下列情形之一，将导致项目废标：</w:t>
      </w:r>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（1）符合专业条件的投标人或者对招标文件做实质性响应的投标人不足三家；</w:t>
      </w:r>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pPr>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pPr>
        <w:tabs>
          <w:tab w:val="left" w:pos="0"/>
        </w:tabs>
        <w:spacing w:line="360" w:lineRule="auto"/>
        <w:rPr>
          <w:rFonts w:hint="eastAsia" w:ascii="仿宋" w:hAnsi="仿宋" w:eastAsia="仿宋" w:cs="仿宋"/>
          <w:b/>
          <w:color w:val="auto"/>
          <w:sz w:val="24"/>
          <w:highlight w:val="none"/>
        </w:rPr>
      </w:pPr>
      <w:bookmarkStart w:id="192" w:name="_Toc31289"/>
      <w:bookmarkStart w:id="193" w:name="_Toc515647786"/>
      <w:bookmarkStart w:id="194" w:name="_Toc24972"/>
      <w:bookmarkStart w:id="195" w:name="_Toc532473478"/>
      <w:bookmarkStart w:id="196" w:name="_Toc520356169"/>
      <w:r>
        <w:rPr>
          <w:rFonts w:hint="eastAsia" w:ascii="仿宋" w:hAnsi="仿宋" w:eastAsia="仿宋" w:cs="仿宋"/>
          <w:b/>
          <w:color w:val="auto"/>
          <w:sz w:val="24"/>
          <w:highlight w:val="none"/>
        </w:rPr>
        <w:t>25.    保密</w:t>
      </w:r>
      <w:bookmarkEnd w:id="192"/>
      <w:bookmarkEnd w:id="193"/>
      <w:bookmarkEnd w:id="194"/>
      <w:r>
        <w:rPr>
          <w:rFonts w:hint="eastAsia" w:ascii="仿宋" w:hAnsi="仿宋" w:eastAsia="仿宋" w:cs="仿宋"/>
          <w:b/>
          <w:color w:val="auto"/>
          <w:sz w:val="24"/>
          <w:highlight w:val="none"/>
        </w:rPr>
        <w:t>要求</w:t>
      </w:r>
      <w:bookmarkEnd w:id="195"/>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25.1   评标将在严格保密的情况下进行。</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有关人员应当遵守评标工作纪律，不得泄露评标文件、评标情况和评标中获悉的国家秘密、商业秘密。</w:t>
      </w:r>
    </w:p>
    <w:p>
      <w:pPr>
        <w:spacing w:line="360" w:lineRule="auto"/>
        <w:jc w:val="center"/>
        <w:outlineLvl w:val="2"/>
        <w:rPr>
          <w:rFonts w:hint="eastAsia" w:ascii="仿宋" w:hAnsi="仿宋" w:eastAsia="仿宋" w:cs="仿宋"/>
          <w:b/>
          <w:color w:val="auto"/>
          <w:sz w:val="28"/>
          <w:szCs w:val="28"/>
          <w:highlight w:val="none"/>
        </w:rPr>
      </w:pPr>
      <w:bookmarkStart w:id="197" w:name="_Toc532473479"/>
      <w:bookmarkStart w:id="198" w:name="_Toc515647787"/>
      <w:bookmarkStart w:id="199" w:name="_Toc216582810"/>
      <w:bookmarkStart w:id="200" w:name="_Toc32401"/>
      <w:bookmarkStart w:id="201" w:name="_Toc23904"/>
      <w:bookmarkStart w:id="202" w:name="_Toc138175444"/>
      <w:bookmarkStart w:id="203" w:name="_Toc12143"/>
      <w:r>
        <w:rPr>
          <w:rFonts w:hint="eastAsia" w:ascii="仿宋" w:hAnsi="仿宋" w:eastAsia="仿宋" w:cs="仿宋"/>
          <w:b/>
          <w:color w:val="auto"/>
          <w:sz w:val="28"/>
          <w:szCs w:val="28"/>
          <w:highlight w:val="none"/>
        </w:rPr>
        <w:t>六</w:t>
      </w:r>
      <w:bookmarkEnd w:id="196"/>
      <w:r>
        <w:rPr>
          <w:rFonts w:hint="eastAsia" w:ascii="仿宋" w:hAnsi="仿宋" w:eastAsia="仿宋" w:cs="仿宋"/>
          <w:b/>
          <w:color w:val="auto"/>
          <w:sz w:val="28"/>
          <w:szCs w:val="28"/>
          <w:highlight w:val="none"/>
        </w:rPr>
        <w:t>、确定中标</w:t>
      </w:r>
      <w:bookmarkEnd w:id="197"/>
      <w:bookmarkEnd w:id="198"/>
      <w:bookmarkEnd w:id="199"/>
      <w:bookmarkEnd w:id="200"/>
      <w:bookmarkEnd w:id="201"/>
      <w:bookmarkEnd w:id="202"/>
      <w:bookmarkEnd w:id="203"/>
    </w:p>
    <w:p>
      <w:pPr>
        <w:tabs>
          <w:tab w:val="left" w:pos="0"/>
        </w:tabs>
        <w:spacing w:line="360" w:lineRule="auto"/>
        <w:rPr>
          <w:rFonts w:hint="eastAsia" w:ascii="仿宋" w:hAnsi="仿宋" w:eastAsia="仿宋" w:cs="仿宋"/>
          <w:b/>
          <w:color w:val="auto"/>
          <w:sz w:val="24"/>
          <w:highlight w:val="none"/>
        </w:rPr>
      </w:pPr>
      <w:bookmarkStart w:id="204" w:name="_Toc515647788"/>
      <w:bookmarkStart w:id="205" w:name="_Toc23617"/>
      <w:bookmarkStart w:id="206" w:name="_Ref467307010"/>
      <w:bookmarkStart w:id="207" w:name="_Toc520356170"/>
      <w:bookmarkStart w:id="208" w:name="_Toc532473480"/>
      <w:bookmarkStart w:id="209" w:name="_Toc23762"/>
      <w:r>
        <w:rPr>
          <w:rFonts w:hint="eastAsia" w:ascii="仿宋" w:hAnsi="仿宋" w:eastAsia="仿宋" w:cs="仿宋"/>
          <w:b/>
          <w:color w:val="auto"/>
          <w:sz w:val="24"/>
          <w:highlight w:val="none"/>
        </w:rPr>
        <w:t>26.    中标候选人的确定原则及标准</w:t>
      </w:r>
      <w:bookmarkEnd w:id="204"/>
      <w:bookmarkEnd w:id="205"/>
      <w:bookmarkEnd w:id="206"/>
      <w:bookmarkEnd w:id="207"/>
      <w:bookmarkEnd w:id="208"/>
      <w:bookmarkEnd w:id="209"/>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除评标委员会受采购人委托直接确定中标人的情形外，对实质上响应招标文件的投标人按下列方法进行排序，确定中标候选人：</w:t>
      </w:r>
    </w:p>
    <w:p>
      <w:pPr>
        <w:spacing w:line="360" w:lineRule="auto"/>
        <w:ind w:left="840" w:leftChars="400"/>
        <w:rPr>
          <w:rFonts w:hint="eastAsia" w:ascii="仿宋" w:hAnsi="仿宋" w:eastAsia="仿宋" w:cs="仿宋"/>
          <w:color w:val="auto"/>
          <w:sz w:val="24"/>
          <w:highlight w:val="none"/>
        </w:rPr>
      </w:pPr>
      <w:bookmarkStart w:id="210" w:name="_Toc520356171"/>
      <w:bookmarkStart w:id="211" w:name="_Toc515647789"/>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（2）采用综合评分法的，评标结果按评审后得分由高到低顺序排列。得分相同的，按修正和扣除后的投标报价由低到高顺序排列。得分与投标报价均相同的处理方式详见招标文件第三章。</w:t>
      </w:r>
    </w:p>
    <w:p>
      <w:pPr>
        <w:tabs>
          <w:tab w:val="left" w:pos="0"/>
        </w:tabs>
        <w:spacing w:line="360" w:lineRule="auto"/>
        <w:rPr>
          <w:rFonts w:hint="eastAsia" w:ascii="仿宋" w:hAnsi="仿宋" w:eastAsia="仿宋" w:cs="仿宋"/>
          <w:b/>
          <w:color w:val="auto"/>
          <w:sz w:val="24"/>
          <w:highlight w:val="none"/>
        </w:rPr>
      </w:pPr>
      <w:bookmarkStart w:id="212" w:name="_Toc9653"/>
      <w:bookmarkStart w:id="213" w:name="_Toc23951"/>
      <w:bookmarkStart w:id="214" w:name="_Toc532473481"/>
      <w:r>
        <w:rPr>
          <w:rFonts w:hint="eastAsia" w:ascii="仿宋" w:hAnsi="仿宋" w:eastAsia="仿宋" w:cs="仿宋"/>
          <w:b/>
          <w:color w:val="auto"/>
          <w:sz w:val="24"/>
          <w:highlight w:val="none"/>
        </w:rPr>
        <w:t>27</w:t>
      </w:r>
      <w:bookmarkEnd w:id="210"/>
      <w:r>
        <w:rPr>
          <w:rFonts w:hint="eastAsia" w:ascii="仿宋" w:hAnsi="仿宋" w:eastAsia="仿宋" w:cs="仿宋"/>
          <w:b/>
          <w:color w:val="auto"/>
          <w:sz w:val="24"/>
          <w:highlight w:val="none"/>
        </w:rPr>
        <w:t>.</w:t>
      </w:r>
      <w:bookmarkEnd w:id="211"/>
      <w:bookmarkEnd w:id="212"/>
      <w:bookmarkEnd w:id="213"/>
      <w:bookmarkEnd w:id="214"/>
      <w:r>
        <w:rPr>
          <w:rFonts w:hint="eastAsia" w:ascii="仿宋" w:hAnsi="仿宋" w:eastAsia="仿宋" w:cs="仿宋"/>
          <w:b/>
          <w:color w:val="auto"/>
          <w:sz w:val="24"/>
          <w:highlight w:val="none"/>
        </w:rPr>
        <w:t xml:space="preserve">    确定中标候选人和中标人</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27.1   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中规定，由评标委员会直接确定中标人。</w:t>
      </w:r>
    </w:p>
    <w:p>
      <w:pPr>
        <w:tabs>
          <w:tab w:val="left" w:pos="0"/>
        </w:tabs>
        <w:spacing w:line="360" w:lineRule="auto"/>
        <w:rPr>
          <w:rFonts w:hint="eastAsia" w:ascii="仿宋" w:hAnsi="仿宋" w:eastAsia="仿宋" w:cs="仿宋"/>
          <w:b/>
          <w:color w:val="auto"/>
          <w:sz w:val="24"/>
          <w:highlight w:val="none"/>
        </w:rPr>
      </w:pPr>
      <w:bookmarkStart w:id="215" w:name="_Toc30170"/>
      <w:bookmarkStart w:id="216" w:name="_Toc520356174"/>
      <w:bookmarkStart w:id="217" w:name="_Toc515647791"/>
      <w:bookmarkStart w:id="218" w:name="_Toc31099"/>
      <w:bookmarkStart w:id="219" w:name="_Toc532473483"/>
      <w:r>
        <w:rPr>
          <w:rFonts w:hint="eastAsia" w:ascii="仿宋" w:hAnsi="仿宋" w:eastAsia="仿宋" w:cs="仿宋"/>
          <w:b/>
          <w:color w:val="auto"/>
          <w:sz w:val="24"/>
          <w:highlight w:val="none"/>
        </w:rPr>
        <w:t>28.    发出中标通知书</w:t>
      </w:r>
    </w:p>
    <w:p>
      <w:pPr>
        <w:spacing w:line="360" w:lineRule="auto"/>
        <w:ind w:left="832" w:leftChars="396" w:firstLine="7"/>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在投标有效期内，中标人确定后，采购人或者采购代理机构发布中标公告。在公告中标结果的同时，向中标人发出中标通知书，中标通知书是合同的组成部分。</w:t>
      </w:r>
    </w:p>
    <w:p>
      <w:pPr>
        <w:tabs>
          <w:tab w:val="left" w:pos="0"/>
        </w:tabs>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29.    告知招标结果</w:t>
      </w:r>
    </w:p>
    <w:p>
      <w:pPr>
        <w:pStyle w:val="18"/>
        <w:spacing w:line="360" w:lineRule="auto"/>
        <w:ind w:left="854" w:leftChars="400" w:hanging="14" w:hangingChars="6"/>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在公告中标结果的同时，告知未通过资格审查投标人未通过的原因；采用综合评分法评审的，还将告知未中标人本人的评审得分和排序。</w:t>
      </w:r>
      <w:bookmarkEnd w:id="215"/>
      <w:bookmarkEnd w:id="216"/>
      <w:bookmarkEnd w:id="217"/>
      <w:bookmarkEnd w:id="218"/>
      <w:bookmarkEnd w:id="219"/>
    </w:p>
    <w:p>
      <w:pPr>
        <w:tabs>
          <w:tab w:val="left" w:pos="0"/>
        </w:tabs>
        <w:spacing w:line="360" w:lineRule="auto"/>
        <w:rPr>
          <w:rFonts w:hint="eastAsia" w:ascii="仿宋" w:hAnsi="仿宋" w:eastAsia="仿宋" w:cs="仿宋"/>
          <w:b/>
          <w:color w:val="auto"/>
          <w:sz w:val="24"/>
          <w:highlight w:val="none"/>
        </w:rPr>
      </w:pPr>
      <w:bookmarkStart w:id="220" w:name="_Toc515647792"/>
      <w:bookmarkStart w:id="221" w:name="_Toc790"/>
      <w:bookmarkStart w:id="222" w:name="_Toc520356175"/>
      <w:bookmarkStart w:id="223" w:name="_Toc532473484"/>
      <w:bookmarkStart w:id="224" w:name="_Ref467306978"/>
      <w:bookmarkStart w:id="225" w:name="_Ref467307204"/>
      <w:bookmarkStart w:id="226" w:name="_Toc7779"/>
      <w:bookmarkStart w:id="227" w:name="_Ref467306377"/>
      <w:bookmarkStart w:id="228" w:name="_Ref467307062"/>
      <w:r>
        <w:rPr>
          <w:rFonts w:hint="eastAsia" w:ascii="仿宋" w:hAnsi="仿宋" w:eastAsia="仿宋" w:cs="仿宋"/>
          <w:b/>
          <w:color w:val="auto"/>
          <w:sz w:val="24"/>
          <w:highlight w:val="none"/>
        </w:rPr>
        <w:t>30.    签订合同</w:t>
      </w:r>
      <w:bookmarkEnd w:id="220"/>
      <w:bookmarkEnd w:id="221"/>
      <w:bookmarkEnd w:id="222"/>
      <w:bookmarkEnd w:id="223"/>
      <w:bookmarkEnd w:id="224"/>
      <w:bookmarkEnd w:id="225"/>
      <w:bookmarkEnd w:id="226"/>
      <w:bookmarkEnd w:id="227"/>
      <w:bookmarkEnd w:id="228"/>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   中标人应当自发出中标通知书之日起30日内，与采购人签订合同。</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w:t>
      </w:r>
      <w:bookmarkStart w:id="229" w:name="_Ref467306425"/>
      <w:bookmarkStart w:id="230" w:name="_Ref467307090"/>
      <w:bookmarkStart w:id="231" w:name="_Toc520356176"/>
      <w:r>
        <w:rPr>
          <w:rFonts w:hint="eastAsia" w:ascii="仿宋" w:hAnsi="仿宋" w:eastAsia="仿宋" w:cs="仿宋"/>
          <w:color w:val="auto"/>
          <w:sz w:val="24"/>
          <w:highlight w:val="none"/>
        </w:rPr>
        <w:t>.2   招标文件、中标人的投标文件及其澄清文件等，均为签订合同的依据。</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当出现法规规定的中标无效或中标结果无效情形时，采购人可与排名下一位的中标候选人另行签订合同，或依法重新开展采购活动。</w:t>
      </w:r>
    </w:p>
    <w:p>
      <w:pPr>
        <w:tabs>
          <w:tab w:val="left" w:pos="0"/>
        </w:tabs>
        <w:spacing w:line="360" w:lineRule="auto"/>
        <w:rPr>
          <w:rFonts w:hint="eastAsia" w:ascii="仿宋" w:hAnsi="仿宋" w:eastAsia="仿宋" w:cs="仿宋"/>
          <w:b/>
          <w:color w:val="auto"/>
          <w:sz w:val="24"/>
          <w:highlight w:val="none"/>
        </w:rPr>
      </w:pPr>
      <w:bookmarkStart w:id="232" w:name="_Toc532473485"/>
      <w:bookmarkStart w:id="233" w:name="_Toc22555"/>
      <w:bookmarkStart w:id="234" w:name="_Toc515647793"/>
      <w:bookmarkStart w:id="235" w:name="_Toc14080"/>
      <w:r>
        <w:rPr>
          <w:rFonts w:hint="eastAsia" w:ascii="仿宋" w:hAnsi="仿宋" w:eastAsia="仿宋" w:cs="仿宋"/>
          <w:b/>
          <w:color w:val="auto"/>
          <w:sz w:val="24"/>
          <w:highlight w:val="none"/>
        </w:rPr>
        <w:t>31.    履约保证金</w:t>
      </w:r>
      <w:bookmarkEnd w:id="229"/>
      <w:bookmarkEnd w:id="230"/>
      <w:bookmarkEnd w:id="231"/>
      <w:bookmarkEnd w:id="232"/>
      <w:bookmarkEnd w:id="233"/>
      <w:bookmarkEnd w:id="234"/>
      <w:bookmarkEnd w:id="235"/>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如果需要履约保证金，中标人应按照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规定向采购人提交履约保证金保函（如格式见本章附件2）。经采购人同意，中标人也可以自愿采用其他履约保证金的提供方式。</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31.2   政府采购利用担保试点范围内的项目，除31.1规定的情形外，中标人也可以按照财政部门的规定，向采购人提供合格的履约担保函。</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tabs>
          <w:tab w:val="left" w:pos="0"/>
        </w:tabs>
        <w:spacing w:line="360" w:lineRule="auto"/>
        <w:rPr>
          <w:rFonts w:hint="eastAsia" w:ascii="仿宋" w:hAnsi="仿宋" w:eastAsia="仿宋" w:cs="仿宋"/>
          <w:b/>
          <w:color w:val="auto"/>
          <w:sz w:val="24"/>
          <w:highlight w:val="none"/>
        </w:rPr>
      </w:pPr>
      <w:bookmarkStart w:id="236" w:name="_Toc518923098"/>
      <w:bookmarkStart w:id="237" w:name="_Toc2583659"/>
      <w:r>
        <w:rPr>
          <w:rFonts w:hint="eastAsia" w:ascii="仿宋" w:hAnsi="仿宋" w:eastAsia="仿宋" w:cs="仿宋"/>
          <w:b/>
          <w:color w:val="auto"/>
          <w:sz w:val="24"/>
          <w:highlight w:val="none"/>
        </w:rPr>
        <w:t>32.</w:t>
      </w:r>
      <w:bookmarkEnd w:id="236"/>
      <w:r>
        <w:rPr>
          <w:rFonts w:hint="eastAsia" w:ascii="仿宋" w:hAnsi="仿宋" w:eastAsia="仿宋" w:cs="仿宋"/>
          <w:b/>
          <w:color w:val="auto"/>
          <w:sz w:val="24"/>
          <w:highlight w:val="none"/>
        </w:rPr>
        <w:t xml:space="preserve">    预付款</w:t>
      </w:r>
    </w:p>
    <w:p>
      <w:pPr>
        <w:spacing w:line="360" w:lineRule="auto"/>
        <w:ind w:left="847" w:hanging="847" w:hangingChars="353"/>
        <w:rPr>
          <w:rFonts w:hint="eastAsia" w:ascii="仿宋" w:hAnsi="仿宋" w:eastAsia="仿宋" w:cs="仿宋"/>
          <w:color w:val="auto"/>
          <w:sz w:val="24"/>
          <w:highlight w:val="none"/>
        </w:rPr>
      </w:pPr>
      <w:r>
        <w:rPr>
          <w:rFonts w:hint="eastAsia" w:ascii="仿宋" w:hAnsi="仿宋" w:eastAsia="仿宋" w:cs="仿宋"/>
          <w:color w:val="auto"/>
          <w:sz w:val="24"/>
          <w:highlight w:val="none"/>
        </w:rPr>
        <w:t>32.1   预付款是在指政府采购合同签订后、履行前，采购人向中标人预先支付部分合同款项，预付款比例按照投标人须知前附表规定执行。</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pacing w:line="360" w:lineRule="auto"/>
        <w:ind w:left="850" w:hanging="849" w:hangingChars="35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32.3   本项目采购人不需要支付预付款的情形，见</w:t>
      </w:r>
      <w:r>
        <w:rPr>
          <w:rFonts w:hint="eastAsia" w:ascii="仿宋" w:hAnsi="仿宋" w:eastAsia="仿宋" w:cs="仿宋"/>
          <w:color w:val="auto"/>
          <w:sz w:val="24"/>
          <w:highlight w:val="none"/>
          <w:u w:val="single"/>
        </w:rPr>
        <w:t>投标人须知前附表。</w:t>
      </w:r>
    </w:p>
    <w:p>
      <w:pPr>
        <w:tabs>
          <w:tab w:val="left" w:pos="0"/>
        </w:tabs>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    招标代理服务费</w:t>
      </w:r>
      <w:bookmarkEnd w:id="237"/>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本项目向采购代理机构支付招标代理服务费，按照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规定执行。</w:t>
      </w:r>
    </w:p>
    <w:p>
      <w:pPr>
        <w:tabs>
          <w:tab w:val="left" w:pos="0"/>
        </w:tabs>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    政府采购信用担保</w:t>
      </w:r>
      <w:bookmarkEnd w:id="14"/>
      <w:bookmarkEnd w:id="15"/>
      <w:r>
        <w:rPr>
          <w:rFonts w:hint="eastAsia" w:ascii="仿宋" w:hAnsi="仿宋" w:eastAsia="仿宋" w:cs="仿宋"/>
          <w:b/>
          <w:color w:val="auto"/>
          <w:sz w:val="24"/>
          <w:highlight w:val="none"/>
        </w:rPr>
        <w:t>及融资</w:t>
      </w:r>
    </w:p>
    <w:p>
      <w:pPr>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投标人递交的履约担保函应符合本招标文件的规定。</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34.2   为缓解中小企业融资困难，陕西省财政厅出台了《陕西省中小企业政府采购信用融资办法》（陕财办采﹝2018﹞23号），中标投标人如有融资需求，可登录“陕西省政府采购网-陕西省政府采购信用融资平台（http://www.ccgp-shaanxi.gov.cn/zcdservice/zcd/shanxi/）”了解详情。</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政府采购信用融资，是指银行业金融机构（以下简称银行）以政府采购诚信考核和信用审查为基础，凭借政府采购合同，按优于一般中小企业的贷款利率直接向申请贷款的投标人发放贷款的一种融资方式。</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投标人申请信用融资时，如融资金额未超过政府采购合同金额的，银行原则上不得要求投标人提供财产抵押或第三方担保，或附加其他任何形式的担保条件，切实做到以政府采购信用为基础，简化手续，提高效率，降低投标人融资成本。</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对拟用于信用融资的政府采购合同，投标人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pacing w:before="0"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业务流程简图如下：</w:t>
      </w:r>
    </w:p>
    <w:p>
      <w:pPr>
        <w:pStyle w:val="2"/>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4848225" cy="2837180"/>
            <wp:effectExtent l="0" t="0" r="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a:extLst>
                        <a:ext uri="{28A0092B-C50C-407E-A947-70E740481C1C}">
                          <a14:useLocalDpi xmlns:a14="http://schemas.microsoft.com/office/drawing/2010/main" val="0"/>
                        </a:ext>
                      </a:extLst>
                    </a:blip>
                    <a:srcRect l="3313" t="3685" r="3809" b="1936"/>
                    <a:stretch>
                      <a:fillRect/>
                    </a:stretch>
                  </pic:blipFill>
                  <pic:spPr>
                    <a:xfrm>
                      <a:off x="0" y="0"/>
                      <a:ext cx="4863246" cy="2846352"/>
                    </a:xfrm>
                    <a:prstGeom prst="rect">
                      <a:avLst/>
                    </a:prstGeom>
                    <a:noFill/>
                    <a:ln>
                      <a:noFill/>
                    </a:ln>
                  </pic:spPr>
                </pic:pic>
              </a:graphicData>
            </a:graphic>
          </wp:inline>
        </w:drawing>
      </w:r>
    </w:p>
    <w:p>
      <w:pPr>
        <w:pStyle w:val="2"/>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5020310" cy="2857500"/>
            <wp:effectExtent l="0" t="0" r="889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a:extLst>
                        <a:ext uri="{28A0092B-C50C-407E-A947-70E740481C1C}">
                          <a14:useLocalDpi xmlns:a14="http://schemas.microsoft.com/office/drawing/2010/main" val="0"/>
                        </a:ext>
                      </a:extLst>
                    </a:blip>
                    <a:srcRect l="3471" t="3532" r="3305" b="2058"/>
                    <a:stretch>
                      <a:fillRect/>
                    </a:stretch>
                  </pic:blipFill>
                  <pic:spPr>
                    <a:xfrm>
                      <a:off x="0" y="0"/>
                      <a:ext cx="5026534" cy="2860702"/>
                    </a:xfrm>
                    <a:prstGeom prst="rect">
                      <a:avLst/>
                    </a:prstGeom>
                    <a:noFill/>
                    <a:ln>
                      <a:noFill/>
                    </a:ln>
                  </pic:spPr>
                </pic:pic>
              </a:graphicData>
            </a:graphic>
          </wp:inline>
        </w:drawing>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省级政府采购项目贷款银行信息：</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一、陕西建行（E政通）</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陕西省分行营业部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西安市南广济街38号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白玉皓</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13201603166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西安莲湖路支行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西安市莲湖路35号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刘冲</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17702902131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西安曲江支行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西安市雁塔南路2216号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樊理君</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18691568151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西安高新区支行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西安市高新路42号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卞斯超</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15191075651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西安经开区支行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西安市未央路125号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惠媛</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17792256100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西安南大街支行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西安市南大街15号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乔鉴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18089136919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西安和平路支行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西安市和平路101号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18691816821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西安兴庆路支行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西安市兴庆路61号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李妍</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13892880386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西安新城支行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西安市南新街29号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朱子君</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18629286269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西安长安区支行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西安市长安区青年街2号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王淑芸</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13572289603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咸阳分行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咸阳市西兰路4号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邰洋</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13299079906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宝鸡市红旗路36号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李倩</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18629019817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铜川分行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铜川市新区正阳路与长虹路十字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张小波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18691932636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榆林市高新技术产业园区创业大厦</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张君君</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15991929275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延安分行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延安市宝塔区中心街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陈进佃</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15609110557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汉中分行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汉中市石灰巷21号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王晨旭</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15319375850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安康市育才路102号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张少帅</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13165762680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商洛分行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商洛市名人街广电大楼下</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郭杨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17809267188</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二、北京银行（政府订单贷）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西安分行营业部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刘晓伟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总经理助理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029-61828763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18066630518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西安高新开发区支行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梁凡</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行长助理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029-61828531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18681945597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西安曲江文创支行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蒋超</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室经理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029-65667366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15891737329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西安经济技术开发区支行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孟庆龙</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行长助理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029-61828272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13991990373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西安长缨路支行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范凯</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副行长</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029-68717760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13991315609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长安区西长安街支行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行长助理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029-85724301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18149209660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泾渭工业园支行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杨奕</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室经理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029-68213773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15934802021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北客站科技支行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周洁</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副行长</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029-61828129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18629518636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解放路支行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行长助理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029-61828185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15802966196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延安分行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奥宝森</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室经理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0911-8076038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15592925222</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三、工商银行（政采贷）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张岭</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0912-6183827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15353386777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郭进</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0917-3238282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18991749262</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郑婕</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0915-3236275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15667856663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铜川分行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彭东东</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0919-2151878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17392898832</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延安分行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党莹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经理助理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0911-2380826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15291142933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汉中分行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杨薇薇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部门副经理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0916-2606773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18591607453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09132095066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15229730006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咸阳分行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袁霖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029-33259370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18591006506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商洛分行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张铮</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经理助理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0914-2310908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18691410305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商洛分行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余勇博</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0914-2310908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18092802280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巩越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029-87609419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18629450680</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四、中信银行（政采e贷）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西安市朱雀大街中段1号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曹晓聪</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13759957407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咸阳分行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秦皇中路绿苑大厦</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杭群</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13992016859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宝鸡市高新大道50号财富大厦B座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13636762976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渭南市朝阳大街中段信达广场世纪明珠大厦</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杨阳18191815559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榆林市高新区长兴路248号中信银行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刘洪巍</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13636885556</w:t>
      </w:r>
    </w:p>
    <w:p>
      <w:pPr>
        <w:spacing w:line="360" w:lineRule="auto"/>
        <w:ind w:left="1860" w:leftChars="200" w:hanging="1440" w:hanging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汉中分行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汉中市汉台区西二环路与劳动西路东南汉中滨江•公园壹号（产业孵化区）3B号楼</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18509165068</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五、中国光大银行（阳光政采贷）</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ab/>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0917-3451055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18329677163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尚云鹏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0912-3548019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18690473126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延安分行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汪昊田</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0911-8011831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13509115500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咸阳分行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侯佳</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32100021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15229500088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营销一部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李敏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87236311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13772031109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营销二部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朱翰辰</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87236201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17791788078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张翔琮</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87236306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18829235568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电子城支行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张曼玉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88247071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18009298787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明德门支行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85350770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13991249430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东大街支行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87438914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15029673754</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经济开发区支行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陆家俊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86525176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18629303397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凤城九路支行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宋宜</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89155022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18966911622</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兴庆路支行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司洋</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83290033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18629251819</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长乐西路支行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张超</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82566208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15877390201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友谊路支行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贠程敏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88422067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18792795210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边家村支行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85251673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15309223048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北关支行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菅新培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86248203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18092169361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南郊支行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程拓</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85265234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13772491661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西关正街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马瑜</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89548109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13772337373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丈八东路支行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杨筱凡</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81026910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15129044185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雁塔路支行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闫梓闶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82222501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18691561524</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唐延路支行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尉二宝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88329478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13991930150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枫林绿洲支行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杨嘉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87302120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13609199490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南关正街支行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郭敏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85230722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18066610983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南二环支行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刘超</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88362861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18192080396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曲江支行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田鹏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81205890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13991937977</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太白路支行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马振林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68912880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15353736656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明光路支行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刘二渭</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81623506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13201793405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凤城二路支行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张洋</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86680267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13720423343</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昆明路支行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张洁</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84592506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13991821278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丈八北路支行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郭浩</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81875192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15667087662</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新城支行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余振东</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87251680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18066617238</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六、浦发银行（政采e贷）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吴晨雨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029-63603803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15991724645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陈福全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029-63603441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17782511994</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韩瑾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029-63603443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18202909790</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李瑞雪</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客户经理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029-63603445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18220862398</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陈晓晓</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0912-2216068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15691269965</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榆林分行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郭小东</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0912-2216008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15291820586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张一岚</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0917-8662919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18690008816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宝鸡分行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朱强</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0917-8662926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13909176381</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王晓峰</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0913-3357080</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13992363166</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咸阳分行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薛晗</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公司业务部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029-32083788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15109226216</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七、兴业银行（政采贷）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朱靖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总监</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029-87482998</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13363979983</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八、中国民生银行（政采贷）</w:t>
      </w:r>
    </w:p>
    <w:p>
      <w:pPr>
        <w:spacing w:line="360" w:lineRule="auto"/>
        <w:ind w:left="2580" w:leftChars="200" w:hanging="2160" w:hangingChars="900"/>
        <w:rPr>
          <w:rFonts w:hint="eastAsia" w:ascii="仿宋" w:hAnsi="仿宋" w:eastAsia="仿宋" w:cs="仿宋"/>
          <w:color w:val="auto"/>
          <w:sz w:val="24"/>
          <w:highlight w:val="none"/>
        </w:rPr>
      </w:pPr>
      <w:r>
        <w:rPr>
          <w:rFonts w:hint="eastAsia" w:ascii="仿宋" w:hAnsi="仿宋" w:eastAsia="仿宋" w:cs="仿宋"/>
          <w:color w:val="auto"/>
          <w:sz w:val="24"/>
          <w:highlight w:val="none"/>
        </w:rPr>
        <w:t>民生银行西安分行 联系人：陈经理联系电话：61815275 /1882166919</w:t>
      </w:r>
    </w:p>
    <w:p>
      <w:pPr>
        <w:spacing w:line="360" w:lineRule="auto"/>
        <w:ind w:left="2455" w:leftChars="116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联系人：王经理联系电话：61815280 /18591953690 </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九、浙商银行（政采贷）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西安分行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西安市雁塔区科技路259号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曹金辉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18710993980</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十、招商银行（政采贷）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招商银行西安分行联系人：任瑾；85438988</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十一、长安银行（小微贷）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长安银行西安曲江新区支行地址：西安市曲江新区雁南一路3号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联系人：陈瑶 13629266833</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十二、网商银行（合同贷）</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十三、中国邮政储蓄银行陕西省分行（政采贷）</w:t>
      </w:r>
    </w:p>
    <w:p>
      <w:pPr>
        <w:tabs>
          <w:tab w:val="left" w:pos="0"/>
        </w:tabs>
        <w:spacing w:line="360" w:lineRule="auto"/>
        <w:rPr>
          <w:rFonts w:hint="eastAsia" w:ascii="仿宋" w:hAnsi="仿宋" w:eastAsia="仿宋" w:cs="仿宋"/>
          <w:b/>
          <w:color w:val="auto"/>
          <w:sz w:val="24"/>
          <w:highlight w:val="none"/>
        </w:rPr>
      </w:pPr>
      <w:bookmarkStart w:id="238" w:name="_Toc518923100"/>
      <w:bookmarkStart w:id="239" w:name="_Toc2583661"/>
      <w:r>
        <w:rPr>
          <w:rFonts w:hint="eastAsia" w:ascii="仿宋" w:hAnsi="仿宋" w:eastAsia="仿宋" w:cs="仿宋"/>
          <w:b/>
          <w:color w:val="auto"/>
          <w:sz w:val="24"/>
          <w:highlight w:val="none"/>
        </w:rPr>
        <w:t>35.    廉洁自律规定</w:t>
      </w:r>
      <w:bookmarkEnd w:id="238"/>
      <w:bookmarkEnd w:id="239"/>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35.1   采购代理机构工作人员不得以不正当手段获取政府采购代理业务，不得与采购人、投标人恶意串通。</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35.2   采购代理机构工作人员不得接受采购人或者投标人组织的宴请、旅游、娱乐，不得收受礼品、现金、有价证券等，不得向采购人或者投标人报销应当由个人承担的费用。</w:t>
      </w:r>
    </w:p>
    <w:p>
      <w:pPr>
        <w:tabs>
          <w:tab w:val="left" w:pos="0"/>
        </w:tabs>
        <w:spacing w:line="360" w:lineRule="auto"/>
        <w:rPr>
          <w:rFonts w:hint="eastAsia" w:ascii="仿宋" w:hAnsi="仿宋" w:eastAsia="仿宋" w:cs="仿宋"/>
          <w:b/>
          <w:color w:val="auto"/>
          <w:sz w:val="24"/>
          <w:highlight w:val="none"/>
        </w:rPr>
      </w:pPr>
      <w:bookmarkStart w:id="240" w:name="_Toc518923101"/>
      <w:bookmarkStart w:id="241" w:name="_Toc2583662"/>
      <w:r>
        <w:rPr>
          <w:rFonts w:hint="eastAsia" w:ascii="仿宋" w:hAnsi="仿宋" w:eastAsia="仿宋" w:cs="仿宋"/>
          <w:b/>
          <w:color w:val="auto"/>
          <w:sz w:val="24"/>
          <w:highlight w:val="none"/>
        </w:rPr>
        <w:t>36.    人员回避</w:t>
      </w:r>
      <w:bookmarkEnd w:id="240"/>
      <w:bookmarkEnd w:id="241"/>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潜在投标人认为招标文件使自己的权益受到损害的，投标人认为采购人员及其相关人员有法律法规所列与其他投标人有利害关系的，均可以向采购人或采购代理机构书面提出回避申请，并说明理由。</w:t>
      </w:r>
    </w:p>
    <w:p>
      <w:pPr>
        <w:tabs>
          <w:tab w:val="left" w:pos="0"/>
        </w:tabs>
        <w:spacing w:line="360" w:lineRule="auto"/>
        <w:rPr>
          <w:rFonts w:hint="eastAsia" w:ascii="仿宋" w:hAnsi="仿宋" w:eastAsia="仿宋" w:cs="仿宋"/>
          <w:b/>
          <w:color w:val="auto"/>
          <w:sz w:val="24"/>
          <w:highlight w:val="none"/>
        </w:rPr>
      </w:pPr>
      <w:bookmarkStart w:id="242" w:name="_Toc2583663"/>
      <w:bookmarkStart w:id="243" w:name="_Toc518923102"/>
      <w:r>
        <w:rPr>
          <w:rFonts w:hint="eastAsia" w:ascii="仿宋" w:hAnsi="仿宋" w:eastAsia="仿宋" w:cs="仿宋"/>
          <w:b/>
          <w:color w:val="auto"/>
          <w:sz w:val="24"/>
          <w:highlight w:val="none"/>
        </w:rPr>
        <w:t>37.    质疑的提出与接收</w:t>
      </w:r>
      <w:bookmarkEnd w:id="242"/>
      <w:bookmarkEnd w:id="243"/>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37.2   质疑投标人应按照财政部制定的《政府采购质疑函范本》格式（可从财政部官方网站下载）和《政府采购质疑和投诉办法》的要求，在法定质疑期内以书面形式提出质疑，针对同一采购程序环节的质疑应一次性提出。</w:t>
      </w:r>
    </w:p>
    <w:p>
      <w:pP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pPr>
        <w:spacing w:line="360" w:lineRule="auto"/>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   投标人提交质疑函的要求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37.3.1 投标人提出质疑时，应提交质疑函和必要的证明材料。</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37.3.2 质疑投标人若委托代理人进行质疑的，质疑函应按要求列明“授权代表”的有关内容，并在附件中提交由质疑投标人签署的授权委托书。授权委托书应载明代理人的姓名、代理事项、具体权限、期限和相关事项。</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37.3.3 质疑投标人若对项目的某一分包进行质疑，质疑函中应列明具体分包号。</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37.3.4 质疑函的质疑请求应与质疑事项相关。</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37.3.5 质疑函的质疑事项应具体、明确，并有必要的事实依据。</w:t>
      </w:r>
    </w:p>
    <w:p>
      <w:pP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37.3.6 质疑投标人为自然人的，质疑函应由本人签字，质疑投标人为法人或其他组织的，质疑函应由法定代表人、主要负责人，或者其授权代表签字或盖章，并加盖公章。授权代表签字的需提供相应的授权书。</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37.4   质疑函接收部门、联系电话和通讯地址,见</w:t>
      </w:r>
      <w:r>
        <w:rPr>
          <w:rFonts w:hint="eastAsia" w:ascii="仿宋" w:hAnsi="仿宋" w:eastAsia="仿宋" w:cs="仿宋"/>
          <w:color w:val="auto"/>
          <w:sz w:val="24"/>
          <w:highlight w:val="none"/>
          <w:u w:val="single"/>
        </w:rPr>
        <w:t>投标人须知前附表</w:t>
      </w:r>
      <w:bookmarkEnd w:id="16"/>
      <w:bookmarkEnd w:id="17"/>
      <w:bookmarkEnd w:id="18"/>
      <w:bookmarkEnd w:id="19"/>
      <w:bookmarkEnd w:id="20"/>
      <w:bookmarkStart w:id="244" w:name="_Toc532473756"/>
      <w:bookmarkStart w:id="245" w:name="_Toc507399907"/>
      <w:bookmarkStart w:id="246" w:name="_Toc7971"/>
      <w:bookmarkStart w:id="247" w:name="_Toc515647832"/>
      <w:bookmarkStart w:id="248" w:name="_Toc532044540"/>
      <w:bookmarkStart w:id="249" w:name="_Toc32647"/>
      <w:bookmarkStart w:id="250" w:name="_Toc702"/>
      <w:bookmarkStart w:id="251" w:name="_Toc515647802"/>
      <w:bookmarkStart w:id="252" w:name="_Toc728"/>
      <w:bookmarkStart w:id="253" w:name="_Toc216582812"/>
      <w:bookmarkStart w:id="254" w:name="_Toc532473493"/>
    </w:p>
    <w:p>
      <w:pPr>
        <w:pStyle w:val="14"/>
        <w:ind w:left="0" w:leftChars="0" w:right="1470"/>
        <w:rPr>
          <w:rFonts w:hint="eastAsia" w:ascii="仿宋" w:hAnsi="仿宋" w:eastAsia="仿宋" w:cs="仿宋"/>
          <w:color w:val="auto"/>
          <w:highlight w:val="none"/>
        </w:rPr>
      </w:pPr>
      <w:r>
        <w:rPr>
          <w:rFonts w:hint="eastAsia" w:ascii="仿宋" w:hAnsi="仿宋" w:eastAsia="仿宋" w:cs="仿宋"/>
          <w:color w:val="auto"/>
          <w:highlight w:val="none"/>
        </w:rPr>
        <w:br w:type="page"/>
      </w:r>
    </w:p>
    <w:p>
      <w:pPr>
        <w:spacing w:line="360" w:lineRule="auto"/>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附件1：投标担保函</w:t>
      </w:r>
    </w:p>
    <w:p>
      <w:pPr>
        <w:pStyle w:val="6"/>
        <w:snapToGrid w:val="0"/>
        <w:spacing w:line="288" w:lineRule="auto"/>
        <w:ind w:firstLine="0"/>
        <w:jc w:val="center"/>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（适用于投标保证金保函）</w:t>
      </w:r>
    </w:p>
    <w:p>
      <w:pPr>
        <w:snapToGrid w:val="0"/>
        <w:spacing w:line="288"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保函编号:</w:t>
      </w:r>
    </w:p>
    <w:p>
      <w:pPr>
        <w:snapToGrid w:val="0"/>
        <w:spacing w:line="288" w:lineRule="auto"/>
        <w:jc w:val="left"/>
        <w:rPr>
          <w:rFonts w:hint="eastAsia" w:ascii="仿宋" w:hAnsi="仿宋" w:eastAsia="仿宋" w:cs="仿宋"/>
          <w:color w:val="auto"/>
          <w:sz w:val="24"/>
          <w:highlight w:val="none"/>
          <w:u w:val="single"/>
        </w:rPr>
      </w:pP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陕西省采购招标有限责任公司</w:t>
      </w:r>
      <w:r>
        <w:rPr>
          <w:rFonts w:hint="eastAsia" w:ascii="仿宋" w:hAnsi="仿宋" w:eastAsia="仿宋" w:cs="仿宋"/>
          <w:color w:val="auto"/>
          <w:sz w:val="24"/>
          <w:highlight w:val="none"/>
        </w:rPr>
        <w:t>（下称受益人）: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（下称被保证人）将于</w:t>
      </w:r>
      <w:r>
        <w:rPr>
          <w:rFonts w:hint="eastAsia" w:ascii="仿宋" w:hAnsi="仿宋" w:eastAsia="仿宋" w:cs="仿宋"/>
          <w:color w:val="auto"/>
          <w:sz w:val="24"/>
          <w:highlight w:val="none"/>
          <w:u w:val="single"/>
        </w:rPr>
        <w:t xml:space="preserve">    年  月  日</w:t>
      </w:r>
      <w:r>
        <w:rPr>
          <w:rFonts w:hint="eastAsia" w:ascii="仿宋" w:hAnsi="仿宋" w:eastAsia="仿宋" w:cs="仿宋"/>
          <w:color w:val="auto"/>
          <w:sz w:val="24"/>
          <w:highlight w:val="none"/>
        </w:rPr>
        <w:t>参加贵方招标编号为</w:t>
      </w:r>
      <w:r>
        <w:rPr>
          <w:rFonts w:hint="eastAsia" w:ascii="仿宋" w:hAnsi="仿宋" w:eastAsia="仿宋" w:cs="仿宋"/>
          <w:color w:val="auto"/>
          <w:sz w:val="24"/>
          <w:highlight w:val="none"/>
          <w:u w:val="single"/>
        </w:rPr>
        <w:t xml:space="preserve"> （采购项目编号）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的投标，我方接受被保证人的委托，在此向受益人提供不可撤销的投标保证：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一、本保证担保的担保金额为</w:t>
      </w:r>
      <w:r>
        <w:rPr>
          <w:rFonts w:hint="eastAsia" w:ascii="仿宋" w:hAnsi="仿宋" w:eastAsia="仿宋" w:cs="仿宋"/>
          <w:color w:val="auto"/>
          <w:sz w:val="24"/>
          <w:highlight w:val="none"/>
          <w:u w:val="single"/>
        </w:rPr>
        <w:t>人民币</w:t>
      </w:r>
      <w:r>
        <w:rPr>
          <w:rFonts w:hint="eastAsia" w:ascii="仿宋" w:hAnsi="仿宋" w:eastAsia="仿宋" w:cs="仿宋"/>
          <w:color w:val="auto"/>
          <w:sz w:val="24"/>
          <w:highlight w:val="none"/>
        </w:rPr>
        <w:t>（币种）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rPr>
        <w:t xml:space="preserve">   元整</w:t>
      </w:r>
      <w:r>
        <w:rPr>
          <w:rFonts w:hint="eastAsia" w:ascii="仿宋" w:hAnsi="仿宋" w:eastAsia="仿宋" w:cs="仿宋"/>
          <w:color w:val="auto"/>
          <w:sz w:val="24"/>
          <w:highlight w:val="none"/>
        </w:rPr>
        <w:t>（大写）。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二、本保证担保的保证期间为该项目的投标有效期（或延长的投标有效期）后28日（含28日），延长投标有效期无须通知我方。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三、在本保证担保的保证期间内，如果被保证人出现下列情形之一，受益人可以向我方提起索赔：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1.被保证人在招标文件规定的投标有效期内撤回其投标；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2.被保证人在投标有效期内收到受益人发出的中标通知书后，不能或拒绝按招标文件的要求签署合同；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3.被保证人在投标有效期内收到受益人发出的中标通知书后，不能或拒绝按招标文件的规定提交履约担保；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4.被保证人中标后未按照招标文件规定交纳招标代理服务费。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四、在本保证担保的保证期间内，我方收到受益人经法定代表人或其授权委托代理人签字并加盖公章的书面索赔通知后，将不争辩、不挑剔、不可撤销地立即向受益人支付本保证担保的担保金额。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五、受益人的索赔通知应当说明索赔理由，并必须在本保证担保的保证期间内送达我方。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六、本保证担保项下的权利不得转让。</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七、本保证担保的保证期间届满，或我方已向受益人支付本保证担保的担保金额，我方的保证责任免除。</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八、本保证担保适用中华人民共和国法律。</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九、本保证担保以中文文本为准，涂改无效。</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保证人（盖章）：</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法定代表人或其授权委托代理人（签字）：</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年  月  日</w:t>
      </w:r>
    </w:p>
    <w:p>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3"/>
        <w:spacing w:before="0" w:after="0" w:line="360" w:lineRule="auto"/>
        <w:rPr>
          <w:rFonts w:hint="eastAsia" w:ascii="仿宋" w:hAnsi="仿宋" w:eastAsia="仿宋" w:cs="仿宋"/>
          <w:color w:val="auto"/>
          <w:highlight w:val="none"/>
        </w:rPr>
      </w:pPr>
      <w:bookmarkStart w:id="255" w:name="_Toc26762"/>
      <w:r>
        <w:rPr>
          <w:rFonts w:hint="eastAsia" w:ascii="仿宋" w:hAnsi="仿宋" w:eastAsia="仿宋" w:cs="仿宋"/>
          <w:color w:val="auto"/>
          <w:highlight w:val="none"/>
        </w:rPr>
        <w:t>第三章  评标方法和标准</w:t>
      </w:r>
      <w:bookmarkEnd w:id="244"/>
      <w:bookmarkEnd w:id="245"/>
      <w:bookmarkEnd w:id="246"/>
      <w:bookmarkEnd w:id="247"/>
      <w:bookmarkEnd w:id="248"/>
      <w:bookmarkEnd w:id="249"/>
      <w:bookmarkEnd w:id="255"/>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采购人委托采购代理机构负责组织本项目的评标工作。资格审查由采购人或者采购代理机构负责，评标工作由评标委员会负责。工作程序如下：</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一、由采购人或者采购代理机构负责资格审查工作。</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投标文件中的资格证明文件出现下列情况者（但不限于），按无效投标处理：</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1、投标人资格证明文件的完整性、有效性或符合性不符合要求的。</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2、投标人法定代表人授权书的完整性、有效性、符合性不符合要求的。</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3、信用查询不符合要求的。</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二、由评标委员会负责的审查评审工作。</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1.1投标人投标报价超出采购预算或最高限价的。</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投标人的报价明显低于其他通过符合性审查投标人的报价，有可能影响产品质量或者不能诚信履约的，且投标人不能证明其报价合理性的。</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投标内容出现漏项或数量与要求不符或投标内容的技术指标达不到招标文件要求，造成采购档次降低或影响采购性能、功能。</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2、如有必要，要求投标人对投标文件有关事项作出书面澄清或者说明。</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3、对投标文件进行比较和评价。评审要素和标准见本章附表三。</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3.1如本项目评标方法为最低评标价法，评标委员会在审查投标文件满足招标文件全部实质性要求后，按投标报价从低到高顺序确定中标候选人。</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除了算术修正和落实政府采购政策需进行的价格扣除外，不得对投标人的投标价格进行任何调整。</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3.2如本项目评标方法为综合评分法，评标委员会对满足招标文件全部实质性要求的投标文件，按照招标文件规定的评审因素的量化指标进行评审打分，以评审得分从高到低顺序确定中标候选人。</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4、推荐中标候选人名单，或者根据采购人委托直接确定中标人。</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5、采购代理机构核对评标结果。</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三、评审标准中应考虑下列因素：</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仿宋" w:hAnsi="仿宋" w:eastAsia="仿宋" w:cs="仿宋"/>
          <w:color w:val="auto"/>
          <w:highlight w:val="none"/>
          <w:lang w:val="en-US" w:eastAsia="zh-CN"/>
        </w:rPr>
        <w:t>中小企业</w:t>
      </w:r>
      <w:r>
        <w:rPr>
          <w:rFonts w:hint="eastAsia" w:ascii="仿宋" w:hAnsi="仿宋" w:eastAsia="仿宋" w:cs="仿宋"/>
          <w:color w:val="auto"/>
          <w:highlight w:val="none"/>
        </w:rPr>
        <w:t>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auto"/>
          <w:highlight w:val="none"/>
          <w:u w:val="single"/>
        </w:rPr>
        <w:t xml:space="preserve"> 货物服务10%（通用）</w:t>
      </w:r>
      <w:r>
        <w:rPr>
          <w:rFonts w:hint="eastAsia" w:ascii="仿宋" w:hAnsi="仿宋" w:eastAsia="仿宋" w:cs="仿宋"/>
          <w:color w:val="auto"/>
          <w:highlight w:val="none"/>
        </w:rPr>
        <w:t>后参与评审。对于同时属于小微企业、监狱企业或残疾人福利性单位的，不重复进行投标报价扣除。</w:t>
      </w:r>
    </w:p>
    <w:p>
      <w:pPr>
        <w:pStyle w:val="2"/>
        <w:tabs>
          <w:tab w:val="clear" w:pos="567"/>
        </w:tabs>
        <w:spacing w:before="0" w:line="360" w:lineRule="auto"/>
        <w:ind w:firstLine="542" w:firstLineChars="225"/>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如项目专门面向中小企业采购，则不再进行价格扣除。</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2、联合协议或分包意向协议（如有）中约定，小型、微型企业的合同金额占到合同总金额30%以上的，可给予联合体</w:t>
      </w:r>
      <w:r>
        <w:rPr>
          <w:rFonts w:hint="eastAsia" w:ascii="仿宋" w:hAnsi="仿宋" w:eastAsia="仿宋" w:cs="仿宋"/>
          <w:color w:val="auto"/>
          <w:highlight w:val="none"/>
          <w:u w:val="single"/>
        </w:rPr>
        <w:t>4%</w:t>
      </w:r>
      <w:r>
        <w:rPr>
          <w:rFonts w:hint="eastAsia" w:ascii="仿宋" w:hAnsi="仿宋" w:eastAsia="仿宋" w:cs="仿宋"/>
          <w:color w:val="auto"/>
          <w:highlight w:val="none"/>
        </w:rPr>
        <w:t>的价格扣除。</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联合体各方均为小型、微型企业和监狱企业的，联合体视同为小型、微型企业和监狱企业。</w:t>
      </w:r>
    </w:p>
    <w:p>
      <w:pPr>
        <w:pStyle w:val="2"/>
        <w:tabs>
          <w:tab w:val="clear" w:pos="567"/>
        </w:tabs>
        <w:spacing w:before="0" w:line="36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如项目专门面向中小企业采购，则不再进行价格扣除。</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2"/>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spacing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6、中标候选人并列时的处理方式：</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
        <w:spacing w:before="0" w:line="360" w:lineRule="auto"/>
        <w:rPr>
          <w:rFonts w:hint="eastAsia" w:ascii="仿宋" w:hAnsi="仿宋" w:eastAsia="仿宋" w:cs="仿宋"/>
          <w:color w:val="auto"/>
          <w:sz w:val="28"/>
          <w:szCs w:val="18"/>
          <w:highlight w:val="none"/>
        </w:rPr>
      </w:pPr>
      <w:r>
        <w:rPr>
          <w:rFonts w:hint="eastAsia" w:ascii="仿宋" w:hAnsi="仿宋" w:eastAsia="仿宋" w:cs="仿宋"/>
          <w:color w:val="auto"/>
          <w:highlight w:val="none"/>
        </w:rPr>
        <w:br w:type="page"/>
      </w:r>
      <w:bookmarkStart w:id="256" w:name="_Toc6311"/>
      <w:bookmarkStart w:id="257" w:name="_Toc138175446"/>
      <w:r>
        <w:rPr>
          <w:rFonts w:hint="eastAsia" w:ascii="仿宋" w:hAnsi="仿宋" w:eastAsia="仿宋" w:cs="仿宋"/>
          <w:color w:val="auto"/>
          <w:sz w:val="28"/>
          <w:szCs w:val="18"/>
          <w:highlight w:val="none"/>
        </w:rPr>
        <w:t>附表一 资格审查表</w:t>
      </w:r>
      <w:bookmarkEnd w:id="256"/>
      <w:bookmarkEnd w:id="25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46"/>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8" w:type="pct"/>
            <w:vAlign w:val="center"/>
          </w:tcPr>
          <w:p>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938" w:type="pct"/>
            <w:vAlign w:val="center"/>
          </w:tcPr>
          <w:p>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评审内容</w:t>
            </w:r>
          </w:p>
        </w:tc>
        <w:tc>
          <w:tcPr>
            <w:tcW w:w="3674" w:type="pct"/>
            <w:vAlign w:val="center"/>
          </w:tcPr>
          <w:p>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388" w:type="pct"/>
            <w:vAlign w:val="center"/>
          </w:tcPr>
          <w:p>
            <w:pPr>
              <w:snapToGrid w:val="0"/>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w:t>
            </w:r>
          </w:p>
        </w:tc>
        <w:tc>
          <w:tcPr>
            <w:tcW w:w="938" w:type="pct"/>
            <w:vAlign w:val="center"/>
          </w:tcPr>
          <w:p>
            <w:pPr>
              <w:snapToGrid w:val="0"/>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满足《中华人民共和国政府采购法》第二十二条规定</w:t>
            </w:r>
          </w:p>
        </w:tc>
        <w:tc>
          <w:tcPr>
            <w:tcW w:w="3674" w:type="pct"/>
            <w:vAlign w:val="center"/>
          </w:tcPr>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1、投标人合法注册的法人或其他组织的营业执照等证明文件，自然人的身份证明；</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2、供应商上一年度经审计的</w:t>
            </w:r>
            <w:r>
              <w:rPr>
                <w:rFonts w:hint="eastAsia" w:ascii="仿宋" w:hAnsi="仿宋" w:eastAsia="仿宋" w:cs="仿宋"/>
                <w:color w:val="auto"/>
                <w:szCs w:val="21"/>
                <w:highlight w:val="none"/>
                <w:lang w:eastAsia="zh-CN"/>
              </w:rPr>
              <w:t>财务报告</w:t>
            </w:r>
            <w:r>
              <w:rPr>
                <w:rFonts w:hint="eastAsia" w:ascii="仿宋" w:hAnsi="仿宋" w:eastAsia="仿宋" w:cs="仿宋"/>
                <w:color w:val="auto"/>
                <w:szCs w:val="21"/>
                <w:highlight w:val="none"/>
              </w:rPr>
              <w:t>复印件，或本年度银行出具的资信证明；</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3、依法缴纳税收和社会保障资金的证明材料复印件；</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4、具备履行合同所必需的设备和专业技术能力的承诺原件；</w:t>
            </w:r>
          </w:p>
          <w:p>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5、供应商参加政府采购活动前3年内在经营活动中没有重大违法记录的书面声明原件；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388" w:type="pct"/>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938" w:type="pct"/>
            <w:vAlign w:val="center"/>
          </w:tcPr>
          <w:p>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资格条件</w:t>
            </w:r>
          </w:p>
        </w:tc>
        <w:tc>
          <w:tcPr>
            <w:tcW w:w="3674" w:type="pct"/>
            <w:vAlign w:val="center"/>
          </w:tcPr>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2、投标人不得存在下列情形之一：</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（1）单位负责人为同一人或者存在直接控股、管理关系的不同供应商，不得参加本次采购活动；</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（2）为本项目提供整体设计、规范编制或者项目管理、监理、检测等服务的投标人，不得再参加该采购项目的其他采购活动。</w:t>
            </w:r>
          </w:p>
          <w:p>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3、需按招标公告约定的方式获取招标文件，未按招标公告约定方式获取招标文件的供应商均无资格参加投标。</w:t>
            </w:r>
          </w:p>
        </w:tc>
      </w:tr>
    </w:tbl>
    <w:p>
      <w:pPr>
        <w:pStyle w:val="5"/>
        <w:spacing w:before="0" w:line="360" w:lineRule="auto"/>
        <w:rPr>
          <w:rFonts w:hint="eastAsia" w:ascii="仿宋" w:hAnsi="仿宋" w:eastAsia="仿宋" w:cs="仿宋"/>
          <w:color w:val="auto"/>
          <w:sz w:val="28"/>
          <w:szCs w:val="18"/>
          <w:highlight w:val="none"/>
        </w:rPr>
      </w:pPr>
      <w:r>
        <w:rPr>
          <w:rFonts w:hint="eastAsia" w:ascii="仿宋" w:hAnsi="仿宋" w:eastAsia="仿宋" w:cs="仿宋"/>
          <w:color w:val="auto"/>
          <w:szCs w:val="21"/>
          <w:highlight w:val="none"/>
        </w:rPr>
        <w:br w:type="page"/>
      </w:r>
      <w:bookmarkStart w:id="258" w:name="_Toc26791"/>
      <w:bookmarkStart w:id="259" w:name="_Toc138175447"/>
      <w:r>
        <w:rPr>
          <w:rFonts w:hint="eastAsia" w:ascii="仿宋" w:hAnsi="仿宋" w:eastAsia="仿宋" w:cs="仿宋"/>
          <w:color w:val="auto"/>
          <w:sz w:val="28"/>
          <w:szCs w:val="18"/>
          <w:highlight w:val="none"/>
        </w:rPr>
        <w:t>附表二 符合性审查表</w:t>
      </w:r>
      <w:bookmarkEnd w:id="258"/>
      <w:bookmarkEnd w:id="259"/>
    </w:p>
    <w:tbl>
      <w:tblPr>
        <w:tblStyle w:val="3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3"/>
        <w:gridCol w:w="1567"/>
        <w:gridCol w:w="5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463" w:type="pct"/>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序号</w:t>
            </w:r>
          </w:p>
        </w:tc>
        <w:tc>
          <w:tcPr>
            <w:tcW w:w="950" w:type="pct"/>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评审项目</w:t>
            </w:r>
          </w:p>
        </w:tc>
        <w:tc>
          <w:tcPr>
            <w:tcW w:w="3585" w:type="pct"/>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463" w:type="pct"/>
            <w:vAlign w:val="center"/>
          </w:tcPr>
          <w:p>
            <w:pPr>
              <w:tabs>
                <w:tab w:val="left" w:pos="1260"/>
                <w:tab w:val="left" w:pos="1620"/>
              </w:tabs>
              <w:adjustRightInd w:val="0"/>
              <w:snapToGrid w:val="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950"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投标报价</w:t>
            </w:r>
          </w:p>
        </w:tc>
        <w:tc>
          <w:tcPr>
            <w:tcW w:w="3585"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投标人投标报价不得超出采购预算或最高限价的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463" w:type="pct"/>
            <w:vAlign w:val="center"/>
          </w:tcPr>
          <w:p>
            <w:pPr>
              <w:tabs>
                <w:tab w:val="left" w:pos="1260"/>
                <w:tab w:val="left" w:pos="1620"/>
              </w:tabs>
              <w:adjustRightInd w:val="0"/>
              <w:snapToGrid w:val="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950"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报价合理性</w:t>
            </w:r>
          </w:p>
        </w:tc>
        <w:tc>
          <w:tcPr>
            <w:tcW w:w="3585"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投标人的报价明显低于其他通过符合性审查投标人的报价，有可能影响产品质量或者不能诚信履约的，且投标人不能证明其报价合理性的，按无效标处理。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463" w:type="pct"/>
            <w:vAlign w:val="center"/>
          </w:tcPr>
          <w:p>
            <w:pPr>
              <w:tabs>
                <w:tab w:val="left" w:pos="1260"/>
                <w:tab w:val="left" w:pos="1620"/>
              </w:tabs>
              <w:adjustRightInd w:val="0"/>
              <w:snapToGrid w:val="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950"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投标内容</w:t>
            </w:r>
          </w:p>
        </w:tc>
        <w:tc>
          <w:tcPr>
            <w:tcW w:w="3585" w:type="pct"/>
            <w:vAlign w:val="center"/>
          </w:tcPr>
          <w:p>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投标内容出现漏项或数量与要求不符或投标内容的技术指标达不到招标文件要求，造成采购档次降低或影响采购性能、功能，按无效标处理。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1414" w:type="pct"/>
            <w:gridSpan w:val="2"/>
            <w:vAlign w:val="center"/>
          </w:tcPr>
          <w:p>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结论（通过或未通过）</w:t>
            </w:r>
          </w:p>
        </w:tc>
        <w:tc>
          <w:tcPr>
            <w:tcW w:w="3585" w:type="pct"/>
            <w:vAlign w:val="center"/>
          </w:tcPr>
          <w:p>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bl>
    <w:p>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color w:val="auto"/>
          <w:highlight w:val="none"/>
        </w:rPr>
        <w:br w:type="page"/>
      </w:r>
    </w:p>
    <w:p>
      <w:pPr>
        <w:pStyle w:val="5"/>
        <w:spacing w:before="0" w:line="360" w:lineRule="auto"/>
        <w:rPr>
          <w:rFonts w:hint="eastAsia" w:ascii="仿宋" w:hAnsi="仿宋" w:eastAsia="仿宋" w:cs="仿宋"/>
          <w:color w:val="auto"/>
          <w:sz w:val="28"/>
          <w:szCs w:val="18"/>
          <w:highlight w:val="none"/>
        </w:rPr>
      </w:pPr>
      <w:bookmarkStart w:id="260" w:name="_Toc6222"/>
      <w:bookmarkStart w:id="261" w:name="_Toc138175448"/>
      <w:r>
        <w:rPr>
          <w:rFonts w:hint="eastAsia" w:ascii="仿宋" w:hAnsi="仿宋" w:eastAsia="仿宋" w:cs="仿宋"/>
          <w:color w:val="auto"/>
          <w:sz w:val="28"/>
          <w:szCs w:val="18"/>
          <w:highlight w:val="none"/>
        </w:rPr>
        <w:t>附表三 评审因素和指标</w:t>
      </w:r>
      <w:bookmarkEnd w:id="260"/>
      <w:bookmarkEnd w:id="261"/>
    </w:p>
    <w:tbl>
      <w:tblPr>
        <w:tblStyle w:val="36"/>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808"/>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评标因素</w:t>
            </w:r>
          </w:p>
        </w:tc>
        <w:tc>
          <w:tcPr>
            <w:tcW w:w="42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权值%</w:t>
            </w:r>
          </w:p>
        </w:tc>
        <w:tc>
          <w:tcPr>
            <w:tcW w:w="371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5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投标报价</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满足招标文件要求且投标价格最低的投标报价为评标基准价，其价格分为满分。其他投标人的价格分统一按照下列公式计算：投标报价得分=（评标基准价/投标报价）×价格权值</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注：本项目已专门面向</w:t>
            </w:r>
            <w:r>
              <w:rPr>
                <w:rFonts w:hint="eastAsia" w:ascii="仿宋" w:hAnsi="仿宋" w:eastAsia="仿宋" w:cs="仿宋"/>
                <w:b/>
                <w:bCs/>
                <w:color w:val="auto"/>
                <w:sz w:val="21"/>
                <w:szCs w:val="21"/>
                <w:highlight w:val="none"/>
                <w:lang w:eastAsia="zh-CN"/>
              </w:rPr>
              <w:t>中</w:t>
            </w:r>
            <w:r>
              <w:rPr>
                <w:rFonts w:hint="eastAsia" w:ascii="仿宋" w:hAnsi="仿宋" w:eastAsia="仿宋" w:cs="仿宋"/>
                <w:b/>
                <w:bCs/>
                <w:color w:val="auto"/>
                <w:sz w:val="21"/>
                <w:szCs w:val="21"/>
                <w:highlight w:val="none"/>
              </w:rPr>
              <w:t>小微企业，对小微企业磋商报价不再进行扣除，供应商需如实填写《中小企业声明函》。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技术参数及货物选型</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所投产品</w:t>
            </w:r>
            <w:r>
              <w:rPr>
                <w:rFonts w:hint="eastAsia" w:ascii="仿宋" w:hAnsi="仿宋" w:eastAsia="仿宋" w:cs="仿宋"/>
                <w:color w:val="auto"/>
                <w:sz w:val="21"/>
                <w:szCs w:val="21"/>
                <w:highlight w:val="none"/>
                <w:lang w:eastAsia="zh-CN"/>
              </w:rPr>
              <w:t>规格及</w:t>
            </w:r>
            <w:r>
              <w:rPr>
                <w:rFonts w:hint="eastAsia" w:ascii="仿宋" w:hAnsi="仿宋" w:eastAsia="仿宋" w:cs="仿宋"/>
                <w:color w:val="auto"/>
                <w:sz w:val="21"/>
                <w:szCs w:val="21"/>
                <w:highlight w:val="none"/>
              </w:rPr>
              <w:t>技术性能满足</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文件要求，得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分，每有一项负偏离的减1分，扣完为止</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zh-CN" w:eastAsia="zh-CN"/>
              </w:rPr>
              <w:t>供货渠道</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eastAsia="zh-CN"/>
              </w:rPr>
              <w:t>标的物供货渠道合法，无假货、水货、翻新货且无产权纠纷，提供来源渠道合法证明文件（</w:t>
            </w:r>
            <w:r>
              <w:rPr>
                <w:rFonts w:hint="eastAsia" w:ascii="仿宋" w:hAnsi="仿宋" w:eastAsia="仿宋" w:cs="仿宋"/>
                <w:color w:val="auto"/>
                <w:sz w:val="21"/>
                <w:szCs w:val="21"/>
                <w:highlight w:val="none"/>
                <w:lang w:val="en-US" w:eastAsia="zh-CN"/>
              </w:rPr>
              <w:t>不限于原厂授权、销售协议、代理协议等资料</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en-US" w:eastAsia="zh-CN"/>
              </w:rPr>
              <w:t>按其完整、齐全程度计0-5分。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eastAsia="zh-CN"/>
              </w:rPr>
              <w:t>技术资料配置</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eastAsia="zh-CN"/>
              </w:rPr>
              <w:t>产品技术资料（包括但不限于</w:t>
            </w:r>
            <w:r>
              <w:rPr>
                <w:rFonts w:hint="eastAsia" w:ascii="仿宋" w:hAnsi="仿宋" w:eastAsia="仿宋" w:cs="仿宋"/>
                <w:color w:val="auto"/>
                <w:sz w:val="21"/>
                <w:szCs w:val="21"/>
                <w:highlight w:val="none"/>
                <w:lang w:val="en-US" w:eastAsia="zh-CN"/>
              </w:rPr>
              <w:t>检测报告、</w:t>
            </w:r>
            <w:r>
              <w:rPr>
                <w:rFonts w:hint="eastAsia" w:ascii="仿宋" w:hAnsi="仿宋" w:eastAsia="仿宋" w:cs="仿宋"/>
                <w:color w:val="auto"/>
                <w:sz w:val="21"/>
                <w:szCs w:val="21"/>
                <w:highlight w:val="none"/>
                <w:lang w:val="zh-CN" w:eastAsia="zh-CN"/>
              </w:rPr>
              <w:t>产品彩页、官网截图、厂家证明等材料）配置齐全，真实、</w:t>
            </w:r>
            <w:r>
              <w:rPr>
                <w:rFonts w:hint="eastAsia" w:ascii="仿宋" w:hAnsi="仿宋" w:eastAsia="仿宋" w:cs="仿宋"/>
                <w:color w:val="auto"/>
                <w:sz w:val="21"/>
                <w:szCs w:val="21"/>
                <w:highlight w:val="none"/>
                <w:lang w:val="en-US" w:eastAsia="zh-CN"/>
              </w:rPr>
              <w:t>与偏离表</w:t>
            </w:r>
            <w:r>
              <w:rPr>
                <w:rFonts w:hint="eastAsia" w:ascii="仿宋" w:hAnsi="仿宋" w:eastAsia="仿宋" w:cs="仿宋"/>
                <w:color w:val="auto"/>
                <w:sz w:val="21"/>
                <w:szCs w:val="21"/>
                <w:highlight w:val="none"/>
                <w:lang w:val="zh-CN" w:eastAsia="zh-CN"/>
              </w:rPr>
              <w:t>表述一致，</w:t>
            </w:r>
            <w:r>
              <w:rPr>
                <w:rFonts w:hint="eastAsia" w:ascii="仿宋" w:hAnsi="仿宋" w:eastAsia="仿宋" w:cs="仿宋"/>
                <w:color w:val="auto"/>
                <w:sz w:val="21"/>
                <w:szCs w:val="21"/>
                <w:highlight w:val="none"/>
                <w:lang w:val="en-US" w:eastAsia="zh-CN"/>
              </w:rPr>
              <w:t>按其完整、齐全程度计0-5分。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rPr>
              <w:t>供货方案</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供货实施计划、组织计划、进度计划、人员投入方案完整</w:t>
            </w:r>
            <w:r>
              <w:rPr>
                <w:rFonts w:hint="eastAsia" w:ascii="仿宋" w:hAnsi="仿宋" w:eastAsia="仿宋" w:cs="仿宋"/>
                <w:color w:val="auto"/>
                <w:sz w:val="21"/>
                <w:szCs w:val="21"/>
                <w:highlight w:val="none"/>
                <w:lang w:eastAsia="zh-CN"/>
              </w:rPr>
              <w:t>、科学合理、</w:t>
            </w:r>
            <w:r>
              <w:rPr>
                <w:rFonts w:hint="eastAsia" w:ascii="仿宋" w:hAnsi="仿宋" w:eastAsia="仿宋" w:cs="仿宋"/>
                <w:color w:val="auto"/>
                <w:sz w:val="21"/>
                <w:szCs w:val="21"/>
                <w:highlight w:val="none"/>
              </w:rPr>
              <w:t>切实可行，得5-10分；</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供货实施计划、组织计划、进度计划、人员投入方案可以</w:t>
            </w:r>
            <w:r>
              <w:rPr>
                <w:rFonts w:hint="eastAsia" w:ascii="仿宋" w:hAnsi="仿宋" w:eastAsia="仿宋" w:cs="仿宋"/>
                <w:color w:val="auto"/>
                <w:sz w:val="21"/>
                <w:szCs w:val="21"/>
                <w:highlight w:val="none"/>
                <w:lang w:eastAsia="zh-CN"/>
              </w:rPr>
              <w:t>基本</w:t>
            </w:r>
            <w:r>
              <w:rPr>
                <w:rFonts w:hint="eastAsia" w:ascii="仿宋" w:hAnsi="仿宋" w:eastAsia="仿宋" w:cs="仿宋"/>
                <w:color w:val="auto"/>
                <w:sz w:val="21"/>
                <w:szCs w:val="21"/>
                <w:highlight w:val="none"/>
              </w:rPr>
              <w:t>完成本项目所需工作内容，得0-5分。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保障</w:t>
            </w:r>
            <w:r>
              <w:rPr>
                <w:rFonts w:hint="eastAsia" w:ascii="仿宋" w:hAnsi="仿宋" w:eastAsia="仿宋" w:cs="仿宋"/>
                <w:b/>
                <w:bCs/>
                <w:color w:val="auto"/>
                <w:sz w:val="21"/>
                <w:szCs w:val="21"/>
                <w:highlight w:val="none"/>
              </w:rPr>
              <w:t>措施</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为完成项目的各项保障措施齐全，保障内容全面，包括了人员组织保障措施、项目进度保障措施、产品安装保障措施等内容，得</w:t>
            </w:r>
            <w:r>
              <w:rPr>
                <w:rFonts w:hint="eastAsia" w:ascii="仿宋" w:hAnsi="仿宋" w:eastAsia="仿宋" w:cs="仿宋"/>
                <w:color w:val="auto"/>
                <w:sz w:val="21"/>
                <w:szCs w:val="21"/>
                <w:highlight w:val="none"/>
                <w:lang w:val="en-US" w:eastAsia="zh-CN"/>
              </w:rPr>
              <w:t>5-10分；</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各项保障措施能够基本保证项目整体运行，完整度有所欠缺，得0-5分。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安装、验收方案</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据供应商针对本项目提供具体可行的安装、验收方案及保证按期供货</w:t>
            </w:r>
            <w:r>
              <w:rPr>
                <w:rFonts w:hint="eastAsia" w:ascii="仿宋" w:hAnsi="仿宋" w:eastAsia="仿宋" w:cs="仿宋"/>
                <w:color w:val="auto"/>
                <w:sz w:val="21"/>
                <w:szCs w:val="21"/>
                <w:highlight w:val="none"/>
                <w:lang w:eastAsia="zh-CN"/>
              </w:rPr>
              <w:t>的保障措施</w:t>
            </w:r>
            <w:r>
              <w:rPr>
                <w:rFonts w:hint="eastAsia" w:ascii="仿宋" w:hAnsi="仿宋" w:eastAsia="仿宋" w:cs="仿宋"/>
                <w:color w:val="auto"/>
                <w:sz w:val="21"/>
                <w:szCs w:val="21"/>
                <w:highlight w:val="none"/>
              </w:rPr>
              <w:t>，方案详细，</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可行性、针对性强及保证按期供货</w:t>
            </w:r>
            <w:r>
              <w:rPr>
                <w:rFonts w:hint="eastAsia" w:ascii="仿宋" w:hAnsi="仿宋" w:eastAsia="仿宋" w:cs="仿宋"/>
                <w:color w:val="auto"/>
                <w:sz w:val="21"/>
                <w:szCs w:val="21"/>
                <w:highlight w:val="none"/>
                <w:lang w:eastAsia="zh-CN"/>
              </w:rPr>
              <w:t>措施完整</w:t>
            </w:r>
            <w:r>
              <w:rPr>
                <w:rFonts w:hint="eastAsia" w:ascii="仿宋" w:hAnsi="仿宋" w:eastAsia="仿宋" w:cs="仿宋"/>
                <w:color w:val="auto"/>
                <w:sz w:val="21"/>
                <w:szCs w:val="21"/>
                <w:highlight w:val="none"/>
              </w:rPr>
              <w:t>，按其响应程度计0～</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售后服务</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售后服务制度健全、有专人负责维修并定期进行维护，能够满足货物正常使用的得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售后服务制度基本健全、无专人负责维修、无定期维护与保养计划，基本满足货物正常使用的得0-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售后服务响应</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承诺在货物使用过程中出现问题</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小时内响应，12 小时以内解决问题恢复使用，得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承诺在货物使用过程中出现问题</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小时内响应，</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小时以内解决问题恢复使用，得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没有上述内容或内容不全的得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6" w:type="pct"/>
            <w:tcBorders>
              <w:top w:val="single" w:color="auto" w:sz="4" w:space="0"/>
              <w:left w:val="single" w:color="auto" w:sz="4" w:space="0"/>
              <w:right w:val="single" w:color="auto" w:sz="4" w:space="0"/>
            </w:tcBorders>
            <w:vAlign w:val="center"/>
          </w:tcPr>
          <w:p>
            <w:pPr>
              <w:tabs>
                <w:tab w:val="left" w:pos="1260"/>
                <w:tab w:val="left" w:pos="1620"/>
              </w:tabs>
              <w:spacing w:line="312"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企业业绩</w:t>
            </w: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260"/>
                <w:tab w:val="left" w:pos="1620"/>
              </w:tabs>
              <w:spacing w:line="312" w:lineRule="auto"/>
              <w:jc w:val="center"/>
              <w:textAlignment w:val="baseline"/>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供应商提供2020年1月1日起至今的类似项目业绩，每提供一份得2分，满分6分。（业绩以合同为准，时间以合同签订日期为准。）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83" w:type="pct"/>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总分</w:t>
            </w:r>
          </w:p>
        </w:tc>
        <w:tc>
          <w:tcPr>
            <w:tcW w:w="3716" w:type="pct"/>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100</w:t>
            </w:r>
          </w:p>
        </w:tc>
      </w:tr>
    </w:tbl>
    <w:p>
      <w:pPr>
        <w:pStyle w:val="33"/>
        <w:spacing w:before="0" w:after="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262" w:name="_Toc4796"/>
      <w:bookmarkStart w:id="263" w:name="_Toc6865"/>
      <w:bookmarkStart w:id="264" w:name="_Toc515647833"/>
      <w:bookmarkStart w:id="265" w:name="_Toc532473757"/>
      <w:bookmarkStart w:id="266" w:name="_Toc532044541"/>
      <w:bookmarkStart w:id="267" w:name="_Toc10325"/>
      <w:r>
        <w:rPr>
          <w:rFonts w:hint="eastAsia" w:ascii="仿宋" w:hAnsi="仿宋" w:eastAsia="仿宋" w:cs="仿宋"/>
          <w:color w:val="auto"/>
          <w:highlight w:val="none"/>
        </w:rPr>
        <w:t>第四章  拟签订的合同</w:t>
      </w:r>
      <w:bookmarkEnd w:id="262"/>
      <w:bookmarkEnd w:id="263"/>
      <w:bookmarkEnd w:id="264"/>
      <w:bookmarkEnd w:id="265"/>
      <w:bookmarkEnd w:id="266"/>
      <w:bookmarkStart w:id="268" w:name="_Hlt487972895"/>
      <w:bookmarkEnd w:id="268"/>
      <w:bookmarkStart w:id="269" w:name="_Toc216513788"/>
      <w:bookmarkStart w:id="270" w:name="_Toc487900382"/>
      <w:r>
        <w:rPr>
          <w:rFonts w:hint="eastAsia" w:ascii="仿宋" w:hAnsi="仿宋" w:eastAsia="仿宋" w:cs="仿宋"/>
          <w:color w:val="auto"/>
          <w:highlight w:val="none"/>
        </w:rPr>
        <w:t>文本</w:t>
      </w:r>
      <w:bookmarkEnd w:id="267"/>
      <w:bookmarkEnd w:id="269"/>
      <w:bookmarkEnd w:id="270"/>
    </w:p>
    <w:p>
      <w:pPr>
        <w:tabs>
          <w:tab w:val="left" w:pos="735"/>
        </w:tabs>
        <w:autoSpaceDE w:val="0"/>
        <w:autoSpaceDN w:val="0"/>
        <w:adjustRightInd w:val="0"/>
        <w:snapToGrid w:val="0"/>
        <w:spacing w:before="312" w:beforeLines="100"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采购人：</w:t>
      </w:r>
      <w:r>
        <w:rPr>
          <w:rFonts w:hint="eastAsia" w:ascii="仿宋" w:hAnsi="仿宋" w:eastAsia="仿宋" w:cs="仿宋"/>
          <w:bCs/>
          <w:color w:val="auto"/>
          <w:sz w:val="24"/>
          <w:highlight w:val="none"/>
          <w:lang w:val="zh-CN"/>
        </w:rPr>
        <w:t>（前款所称采购人）</w:t>
      </w:r>
    </w:p>
    <w:p>
      <w:pPr>
        <w:tabs>
          <w:tab w:val="left" w:pos="735"/>
        </w:tabs>
        <w:autoSpaceDE w:val="0"/>
        <w:autoSpaceDN w:val="0"/>
        <w:adjustRightInd w:val="0"/>
        <w:snapToGrid w:val="0"/>
        <w:spacing w:line="360" w:lineRule="auto"/>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供应商：</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rPr>
        <w:t>供应商</w:t>
      </w:r>
      <w:r>
        <w:rPr>
          <w:rFonts w:hint="eastAsia" w:ascii="仿宋" w:hAnsi="仿宋" w:eastAsia="仿宋" w:cs="仿宋"/>
          <w:bCs/>
          <w:color w:val="auto"/>
          <w:sz w:val="24"/>
          <w:highlight w:val="none"/>
          <w:lang w:val="zh-CN"/>
        </w:rPr>
        <w:t>）</w:t>
      </w:r>
    </w:p>
    <w:p>
      <w:pPr>
        <w:tabs>
          <w:tab w:val="left" w:pos="735"/>
        </w:tabs>
        <w:autoSpaceDE w:val="0"/>
        <w:autoSpaceDN w:val="0"/>
        <w:adjustRightInd w:val="0"/>
        <w:snapToGrid w:val="0"/>
        <w:spacing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见  证  方：</w:t>
      </w:r>
      <w:r>
        <w:rPr>
          <w:rFonts w:hint="eastAsia" w:ascii="仿宋" w:hAnsi="仿宋" w:eastAsia="仿宋" w:cs="仿宋"/>
          <w:bCs/>
          <w:color w:val="auto"/>
          <w:sz w:val="24"/>
          <w:highlight w:val="none"/>
          <w:lang w:val="zh-CN"/>
        </w:rPr>
        <w:t>（陕西省采购招标有限责任公司）</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1" w:name="_Toc19515384"/>
      <w:r>
        <w:rPr>
          <w:rFonts w:hint="eastAsia" w:ascii="仿宋" w:hAnsi="仿宋" w:eastAsia="仿宋" w:cs="仿宋"/>
          <w:color w:val="auto"/>
          <w:sz w:val="24"/>
          <w:highlight w:val="none"/>
        </w:rPr>
        <w:t>一、合同内容（标的、数量、质量等）</w:t>
      </w:r>
      <w:bookmarkEnd w:id="271"/>
      <w:r>
        <w:rPr>
          <w:rFonts w:hint="eastAsia" w:ascii="仿宋" w:hAnsi="仿宋" w:eastAsia="仿宋" w:cs="仿宋"/>
          <w:color w:val="auto"/>
          <w:sz w:val="24"/>
          <w:highlight w:val="none"/>
        </w:rPr>
        <w:t>：</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2" w:name="_Toc19515385"/>
      <w:r>
        <w:rPr>
          <w:rFonts w:hint="eastAsia" w:ascii="仿宋" w:hAnsi="仿宋" w:eastAsia="仿宋" w:cs="仿宋"/>
          <w:color w:val="auto"/>
          <w:sz w:val="24"/>
          <w:highlight w:val="none"/>
        </w:rPr>
        <w:t>二、合同价款</w:t>
      </w:r>
      <w:bookmarkEnd w:id="272"/>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2、合同总价包括：产品供货、安装调试、验收、培训售后服务、以及增值税等税费、运杂保险费等。</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3" w:name="_Toc19515386"/>
      <w:r>
        <w:rPr>
          <w:rFonts w:hint="eastAsia" w:ascii="仿宋" w:hAnsi="仿宋" w:eastAsia="仿宋" w:cs="仿宋"/>
          <w:color w:val="auto"/>
          <w:sz w:val="24"/>
          <w:highlight w:val="none"/>
        </w:rPr>
        <w:t>三、合同结算</w:t>
      </w:r>
      <w:bookmarkEnd w:id="273"/>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1、付款比例：</w:t>
      </w:r>
      <w:r>
        <w:rPr>
          <w:rFonts w:hint="eastAsia" w:ascii="仿宋" w:hAnsi="仿宋" w:eastAsia="仿宋" w:cs="仿宋"/>
          <w:color w:val="auto"/>
          <w:sz w:val="24"/>
          <w:highlight w:val="none"/>
          <w:lang w:eastAsia="zh-CN"/>
        </w:rPr>
        <w:t>采购人、供应商双方签订合同后，采购人支付总价款的</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lang w:eastAsia="zh-CN"/>
        </w:rPr>
        <w:t>%作为预付款，货到现场安装调试完成及验收合格后，采购人支付剩下</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lang w:eastAsia="zh-CN"/>
        </w:rPr>
        <w:t>%剩余款项。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开具合同总价数的全额发票交采购人。</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4" w:name="_Toc19515387"/>
      <w:r>
        <w:rPr>
          <w:rFonts w:hint="eastAsia" w:ascii="仿宋" w:hAnsi="仿宋" w:eastAsia="仿宋" w:cs="仿宋"/>
          <w:color w:val="auto"/>
          <w:sz w:val="24"/>
          <w:highlight w:val="none"/>
        </w:rPr>
        <w:t>四、交货期、地点及方式</w:t>
      </w:r>
      <w:bookmarkEnd w:id="274"/>
      <w:r>
        <w:rPr>
          <w:rFonts w:hint="eastAsia" w:ascii="仿宋" w:hAnsi="仿宋" w:eastAsia="仿宋" w:cs="仿宋"/>
          <w:color w:val="auto"/>
          <w:sz w:val="24"/>
          <w:highlight w:val="none"/>
        </w:rPr>
        <w:t>：</w:t>
      </w:r>
    </w:p>
    <w:p>
      <w:pPr>
        <w:tabs>
          <w:tab w:val="left" w:pos="253"/>
        </w:tabs>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1、交货期：</w:t>
      </w:r>
      <w:r>
        <w:rPr>
          <w:rFonts w:hint="eastAsia" w:ascii="仿宋" w:hAnsi="仿宋" w:eastAsia="仿宋" w:cs="仿宋"/>
          <w:color w:val="auto"/>
          <w:sz w:val="24"/>
          <w:highlight w:val="none"/>
          <w:lang w:eastAsia="zh-CN"/>
        </w:rPr>
        <w:t>自合同签订之日起60日历天内</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指定地点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3、方式：货到现场，</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达到使用要求</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5" w:name="_Toc19515390"/>
      <w:r>
        <w:rPr>
          <w:rFonts w:hint="eastAsia" w:ascii="仿宋" w:hAnsi="仿宋" w:eastAsia="仿宋" w:cs="仿宋"/>
          <w:color w:val="auto"/>
          <w:sz w:val="24"/>
          <w:highlight w:val="none"/>
        </w:rPr>
        <w:t>五、技术服务</w:t>
      </w:r>
      <w:bookmarkEnd w:id="275"/>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1、对技术服务的要求：</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2、技术资料：</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3、技术培训：</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3-1、培训内容：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3-2、培训地点：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3-3、培训时间：</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3-4、培训人数：</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3-5、培训费用：受训人员的食宿费、资料费、培训场地费、耗材（包括水电费等）费等已包含在合同总价中，</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不再另行支付。</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4、售后服务</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在接到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电话通知后在</w:t>
      </w:r>
      <w:r>
        <w:rPr>
          <w:rFonts w:hint="eastAsia" w:ascii="仿宋" w:hAnsi="仿宋" w:eastAsia="仿宋" w:cs="仿宋"/>
          <w:color w:val="auto"/>
          <w:sz w:val="24"/>
          <w:highlight w:val="none"/>
          <w:u w:val="single"/>
        </w:rPr>
        <w:t>24</w:t>
      </w:r>
      <w:r>
        <w:rPr>
          <w:rFonts w:hint="eastAsia" w:ascii="仿宋" w:hAnsi="仿宋" w:eastAsia="仿宋" w:cs="仿宋"/>
          <w:color w:val="auto"/>
          <w:sz w:val="24"/>
          <w:highlight w:val="none"/>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在收到通知后两天内没有弥补缺陷，</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可采取必要的补救措施，但其风险和费用将由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根据合同规定对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行使的其它权力不受影响。</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6" w:name="_Toc19515391"/>
      <w:r>
        <w:rPr>
          <w:rFonts w:hint="eastAsia" w:ascii="仿宋" w:hAnsi="仿宋" w:eastAsia="仿宋" w:cs="仿宋"/>
          <w:color w:val="auto"/>
          <w:sz w:val="24"/>
          <w:highlight w:val="none"/>
        </w:rPr>
        <w:t>六、验收</w:t>
      </w:r>
      <w:bookmarkEnd w:id="276"/>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完成服务内容后，向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提出验收申请，</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接到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验收申请后组织验收（必要时可聘请相应专家或委托相应部门验收），验收合格后，出具使用验收合格证明。</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2、最终验收：最终验收结果作为付款依据，</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填写验收单，并向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提交实施过程中的所有资料，以便</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日后管理和维护。</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3、质保期为验收合格后</w:t>
      </w:r>
      <w:r>
        <w:rPr>
          <w:rFonts w:hint="eastAsia" w:ascii="仿宋" w:hAnsi="仿宋" w:eastAsia="仿宋" w:cs="仿宋"/>
          <w:b/>
          <w:bCs/>
          <w:color w:val="auto"/>
          <w:sz w:val="24"/>
          <w:highlight w:val="none"/>
          <w:u w:val="single"/>
          <w:lang w:val="en-US" w:eastAsia="zh-CN"/>
        </w:rPr>
        <w:t>捌</w:t>
      </w:r>
      <w:r>
        <w:rPr>
          <w:rFonts w:hint="eastAsia" w:ascii="仿宋" w:hAnsi="仿宋" w:eastAsia="仿宋" w:cs="仿宋"/>
          <w:b/>
          <w:bCs/>
          <w:color w:val="auto"/>
          <w:sz w:val="24"/>
          <w:highlight w:val="none"/>
          <w:u w:val="single"/>
        </w:rPr>
        <w:t>年</w:t>
      </w:r>
      <w:r>
        <w:rPr>
          <w:rFonts w:hint="eastAsia" w:ascii="仿宋" w:hAnsi="仿宋" w:eastAsia="仿宋" w:cs="仿宋"/>
          <w:color w:val="auto"/>
          <w:sz w:val="24"/>
          <w:highlight w:val="none"/>
        </w:rPr>
        <w:t>。质保期满后，由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4、验收依据：</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4-1、合同文本、合同附件、</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供应商的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4-2、国内相应的标准、规范。</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7" w:name="_Toc19515392"/>
      <w:r>
        <w:rPr>
          <w:rFonts w:hint="eastAsia" w:ascii="仿宋" w:hAnsi="仿宋" w:eastAsia="仿宋" w:cs="仿宋"/>
          <w:color w:val="auto"/>
          <w:sz w:val="24"/>
          <w:highlight w:val="none"/>
        </w:rPr>
        <w:t>七、违约责任</w:t>
      </w:r>
      <w:bookmarkEnd w:id="277"/>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1、按《中华人民共和国民法典》中的相关条款执行。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履约延误</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事先未征得</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同意并得到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的谅解而单方面延迟执行合同，将按违约终止合同。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2-2、在履行合同过程中，如果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遇到可能妨碍按时提供服务的情况，应及时以书面形式将拖延的事实，可能拖延的期限和理由通知</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通知后，应尽快对情况进行评价，并确定是否通过修改合同，酌情延长交货时间或对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加收误期赔偿金。每延误一周的赔偿费按合同金额的百分之零点五（0.5%）计收，直至提供服务为止。误期赔偿费的最高限额为合同价格的百分之五（5%）。一旦达到误期赔偿费的最高限额，</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可终止合同。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3、违约终止合同：未按合同要求提供服务或不能满足技术要求，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会同监督机构有权终止合同，对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8" w:name="_Toc19515393"/>
      <w:r>
        <w:rPr>
          <w:rFonts w:hint="eastAsia" w:ascii="仿宋" w:hAnsi="仿宋" w:eastAsia="仿宋" w:cs="仿宋"/>
          <w:color w:val="auto"/>
          <w:sz w:val="24"/>
          <w:highlight w:val="none"/>
        </w:rPr>
        <w:t>八、合同组成</w:t>
      </w:r>
      <w:bookmarkEnd w:id="278"/>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通知书</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供应商的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79" w:name="_Toc19515394"/>
      <w:r>
        <w:rPr>
          <w:rFonts w:hint="eastAsia" w:ascii="仿宋" w:hAnsi="仿宋" w:eastAsia="仿宋" w:cs="仿宋"/>
          <w:color w:val="auto"/>
          <w:sz w:val="24"/>
          <w:highlight w:val="none"/>
        </w:rPr>
        <w:t>九、解决争议的方法</w:t>
      </w:r>
      <w:bookmarkEnd w:id="279"/>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凡因本合同引起的或与本合同有关的争议，双方应友好协商解决。协商不成时，双方均同意采用以下第（ </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 xml:space="preserve">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280" w:name="_Toc19515395"/>
      <w:r>
        <w:rPr>
          <w:rFonts w:hint="eastAsia" w:ascii="仿宋" w:hAnsi="仿宋" w:eastAsia="仿宋" w:cs="仿宋"/>
          <w:color w:val="auto"/>
          <w:sz w:val="24"/>
          <w:highlight w:val="none"/>
        </w:rPr>
        <w:t>十、合同生效及其它</w:t>
      </w:r>
      <w:bookmarkEnd w:id="280"/>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color w:val="auto"/>
          <w:kern w:val="0"/>
          <w:sz w:val="24"/>
          <w:highlight w:val="none"/>
        </w:rPr>
      </w:pPr>
    </w:p>
    <w:tbl>
      <w:tblPr>
        <w:tblStyle w:val="36"/>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见证方（盖章）：</w:t>
      </w: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见证方代表（签字）</w:t>
      </w:r>
      <w:r>
        <w:rPr>
          <w:rFonts w:hint="eastAsia" w:ascii="仿宋" w:hAnsi="仿宋" w:eastAsia="仿宋" w:cs="仿宋"/>
          <w:color w:val="auto"/>
          <w:kern w:val="0"/>
          <w:sz w:val="24"/>
          <w:highlight w:val="none"/>
          <w:lang w:eastAsia="zh-CN"/>
        </w:rPr>
        <w:t>：</w:t>
      </w: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w:t>
      </w:r>
    </w:p>
    <w:p>
      <w:pPr>
        <w:autoSpaceDE w:val="0"/>
        <w:autoSpaceDN w:val="0"/>
        <w:adjustRightInd w:val="0"/>
        <w:jc w:val="left"/>
        <w:rPr>
          <w:rFonts w:hint="eastAsia" w:ascii="仿宋" w:hAnsi="仿宋" w:eastAsia="仿宋" w:cs="仿宋"/>
          <w:b/>
          <w:bCs/>
          <w:color w:val="auto"/>
          <w:sz w:val="32"/>
          <w:szCs w:val="32"/>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合同附件</w:t>
      </w:r>
    </w:p>
    <w:tbl>
      <w:tblPr>
        <w:tblStyle w:val="36"/>
        <w:tblW w:w="5000" w:type="pct"/>
        <w:tblInd w:w="0" w:type="dxa"/>
        <w:tblLayout w:type="autofit"/>
        <w:tblCellMar>
          <w:top w:w="0" w:type="dxa"/>
          <w:left w:w="108" w:type="dxa"/>
          <w:bottom w:w="0" w:type="dxa"/>
          <w:right w:w="108" w:type="dxa"/>
        </w:tblCellMar>
      </w:tblPr>
      <w:tblGrid>
        <w:gridCol w:w="1519"/>
        <w:gridCol w:w="2223"/>
        <w:gridCol w:w="2440"/>
        <w:gridCol w:w="2057"/>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政府采购项目货物验收入库报告单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使用单位验收意见：（盖章）</w:t>
            </w:r>
          </w:p>
          <w:p>
            <w:pP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color w:val="auto"/>
                <w:kern w:val="0"/>
                <w:sz w:val="24"/>
                <w:highlight w:val="none"/>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采购内容请列明品目、规格、型号、数量、单价、总价</w:t>
            </w:r>
          </w:p>
        </w:tc>
      </w:tr>
    </w:tbl>
    <w:p>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3"/>
        <w:spacing w:before="0" w:after="0" w:line="360" w:lineRule="auto"/>
        <w:rPr>
          <w:rFonts w:hint="eastAsia" w:ascii="仿宋" w:hAnsi="仿宋" w:eastAsia="仿宋" w:cs="仿宋"/>
          <w:color w:val="auto"/>
          <w:highlight w:val="none"/>
        </w:rPr>
      </w:pPr>
      <w:bookmarkStart w:id="281" w:name="_Toc24958"/>
      <w:r>
        <w:rPr>
          <w:rFonts w:hint="eastAsia" w:ascii="仿宋" w:hAnsi="仿宋" w:eastAsia="仿宋" w:cs="仿宋"/>
          <w:color w:val="auto"/>
          <w:highlight w:val="none"/>
        </w:rPr>
        <w:t xml:space="preserve">第五章  </w:t>
      </w:r>
      <w:bookmarkStart w:id="282" w:name="_Hlk138580105"/>
      <w:r>
        <w:rPr>
          <w:rFonts w:hint="eastAsia" w:ascii="仿宋" w:hAnsi="仿宋" w:eastAsia="仿宋" w:cs="仿宋"/>
          <w:color w:val="auto"/>
          <w:highlight w:val="none"/>
        </w:rPr>
        <w:t>采购需求</w:t>
      </w:r>
      <w:bookmarkEnd w:id="282"/>
      <w:r>
        <w:rPr>
          <w:rFonts w:hint="eastAsia" w:ascii="仿宋" w:hAnsi="仿宋" w:eastAsia="仿宋" w:cs="仿宋"/>
          <w:color w:val="auto"/>
          <w:highlight w:val="none"/>
        </w:rPr>
        <w:t>及要求</w:t>
      </w:r>
      <w:bookmarkEnd w:id="281"/>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一、健身步道</w:t>
      </w:r>
    </w:p>
    <w:tbl>
      <w:tblPr>
        <w:tblStyle w:val="36"/>
        <w:tblpPr w:leftFromText="180" w:rightFromText="180" w:vertAnchor="text" w:horzAnchor="page" w:tblpX="1780" w:tblpY="116"/>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29"/>
        <w:gridCol w:w="99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0"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29"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器材名称</w:t>
            </w:r>
          </w:p>
        </w:tc>
        <w:tc>
          <w:tcPr>
            <w:tcW w:w="993"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6031"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680"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1</w:t>
            </w:r>
          </w:p>
        </w:tc>
        <w:tc>
          <w:tcPr>
            <w:tcW w:w="1129" w:type="dxa"/>
            <w:noWrap w:val="0"/>
            <w:vAlign w:val="center"/>
          </w:tcPr>
          <w:p>
            <w:pPr>
              <w:widowControl/>
              <w:jc w:val="center"/>
              <w:textAlignment w:val="center"/>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塑胶健身步道</w:t>
            </w:r>
          </w:p>
        </w:tc>
        <w:tc>
          <w:tcPr>
            <w:tcW w:w="993"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3700㎡</w:t>
            </w:r>
          </w:p>
        </w:tc>
        <w:tc>
          <w:tcPr>
            <w:tcW w:w="6031" w:type="dxa"/>
            <w:noWrap w:val="0"/>
            <w:vAlign w:val="center"/>
          </w:tcPr>
          <w:p>
            <w:pPr>
              <w:spacing w:line="2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厚度不小于10毫米，红色。</w:t>
            </w:r>
          </w:p>
          <w:p>
            <w:pPr>
              <w:spacing w:line="2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步道原材料有害物质限量须满足GB 36246-2018《中小学合成材料面层运动场地》标准要求：</w:t>
            </w:r>
          </w:p>
          <w:p>
            <w:pPr>
              <w:spacing w:line="2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步道材料通过I型HJ457-2009中国环境标志产品认证证书；步道材料面层不应对周边环境造成有害物质迁移影响，要求成品中可溶解有机碳DOC≦50mg/l，可萃取有机卤化物EOX≦100mg/kg，提供测试合格的测试报告；</w:t>
            </w:r>
          </w:p>
          <w:p>
            <w:pPr>
              <w:spacing w:line="2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步道材料耐紫外线色变，在经过模拟人工气候紫外线曝露1000h或以上后，色差在老化前后的评级达到4级或以上（5级为最高），出具的依据GB/T23987-2009测试报告；</w:t>
            </w:r>
          </w:p>
          <w:p>
            <w:pPr>
              <w:spacing w:line="240" w:lineRule="exact"/>
              <w:rPr>
                <w:rFonts w:hint="eastAsia" w:ascii="仿宋" w:hAnsi="仿宋" w:eastAsia="仿宋" w:cs="仿宋"/>
                <w:color w:val="auto"/>
                <w:kern w:val="24"/>
                <w:szCs w:val="21"/>
                <w:highlight w:val="none"/>
              </w:rPr>
            </w:pPr>
            <w:r>
              <w:rPr>
                <w:rFonts w:hint="eastAsia" w:ascii="仿宋" w:hAnsi="仿宋" w:eastAsia="仿宋" w:cs="仿宋"/>
                <w:color w:val="auto"/>
                <w:szCs w:val="21"/>
                <w:highlight w:val="none"/>
              </w:rPr>
              <w:t>步道面层成品中，要求邻苯二甲酸酯中BBP、DBP、DCHP、DEHP、DHEXP/DnHP、DIBP、DINP、DPENP/DnPP少于0.1%且要求成品中乙酰柠檬酸三丁酯（ATBC)含量不得高于15%，提供测试报告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2</w:t>
            </w:r>
          </w:p>
        </w:tc>
        <w:tc>
          <w:tcPr>
            <w:tcW w:w="1129" w:type="dxa"/>
            <w:noWrap w:val="0"/>
            <w:vAlign w:val="center"/>
          </w:tcPr>
          <w:p>
            <w:pPr>
              <w:widowControl/>
              <w:jc w:val="center"/>
              <w:textAlignment w:val="center"/>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健身指导标识牌</w:t>
            </w:r>
          </w:p>
        </w:tc>
        <w:tc>
          <w:tcPr>
            <w:tcW w:w="993"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6个</w:t>
            </w:r>
          </w:p>
        </w:tc>
        <w:tc>
          <w:tcPr>
            <w:tcW w:w="6031" w:type="dxa"/>
            <w:noWrap w:val="0"/>
            <w:vAlign w:val="center"/>
          </w:tcPr>
          <w:p>
            <w:pPr>
              <w:spacing w:line="2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健身指导牌外观尺寸不小于1800*1110*120mm；</w:t>
            </w:r>
          </w:p>
          <w:p>
            <w:pPr>
              <w:spacing w:line="240" w:lineRule="exact"/>
              <w:jc w:val="left"/>
              <w:rPr>
                <w:rFonts w:hint="eastAsia" w:ascii="仿宋" w:hAnsi="仿宋" w:eastAsia="仿宋" w:cs="仿宋"/>
                <w:color w:val="auto"/>
                <w:kern w:val="24"/>
                <w:szCs w:val="21"/>
                <w:highlight w:val="none"/>
              </w:rPr>
            </w:pPr>
            <w:r>
              <w:rPr>
                <w:rFonts w:hint="eastAsia" w:ascii="仿宋" w:hAnsi="仿宋" w:eastAsia="仿宋" w:cs="仿宋"/>
                <w:color w:val="auto"/>
                <w:szCs w:val="21"/>
                <w:highlight w:val="none"/>
              </w:rPr>
              <w:t>采用双层单体设计；主体采用镀锌板材质内部采用框架结构，保证整体的应力强度，双面上彩，正面呈现文字、图像内容；标有步道名称、长度、方向、线路、里程、宣传标语、健身口号、注意事项等基本信息；预埋安装要求基础地埋深度不小于50CM；指示牌文字须采用丝网印刷，双面对称上彩。</w:t>
            </w:r>
          </w:p>
        </w:tc>
      </w:tr>
    </w:tbl>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二、笼式场地</w:t>
      </w:r>
    </w:p>
    <w:tbl>
      <w:tblPr>
        <w:tblStyle w:val="36"/>
        <w:tblpPr w:leftFromText="180" w:rightFromText="180" w:vertAnchor="text" w:horzAnchor="page" w:tblpX="1780" w:tblpY="116"/>
        <w:tblOverlap w:val="never"/>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29"/>
        <w:gridCol w:w="993"/>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0"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29"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器材名称</w:t>
            </w:r>
          </w:p>
        </w:tc>
        <w:tc>
          <w:tcPr>
            <w:tcW w:w="993"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6082"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1</w:t>
            </w:r>
          </w:p>
        </w:tc>
        <w:tc>
          <w:tcPr>
            <w:tcW w:w="1129"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围网</w:t>
            </w:r>
          </w:p>
        </w:tc>
        <w:tc>
          <w:tcPr>
            <w:tcW w:w="993"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670</w:t>
            </w:r>
            <w:r>
              <w:rPr>
                <w:rFonts w:hint="eastAsia" w:ascii="仿宋" w:hAnsi="仿宋" w:eastAsia="仿宋" w:cs="仿宋"/>
                <w:color w:val="auto"/>
                <w:kern w:val="24"/>
                <w:szCs w:val="21"/>
                <w:highlight w:val="none"/>
              </w:rPr>
              <w:t>㎡</w:t>
            </w:r>
          </w:p>
        </w:tc>
        <w:tc>
          <w:tcPr>
            <w:tcW w:w="6082" w:type="dxa"/>
            <w:noWrap w:val="0"/>
            <w:vAlign w:val="center"/>
          </w:tcPr>
          <w:p>
            <w:pPr>
              <w:spacing w:line="240" w:lineRule="exact"/>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围网颜色为绿色，高度不小于 4.5 米，</w:t>
            </w:r>
            <w:r>
              <w:rPr>
                <w:rFonts w:hint="eastAsia" w:ascii="仿宋" w:hAnsi="仿宋" w:eastAsia="仿宋" w:cs="仿宋"/>
                <w:color w:val="auto"/>
                <w:szCs w:val="21"/>
                <w:highlight w:val="none"/>
              </w:rPr>
              <w:t>立柱釆用规格不低于φ76mm*2.5mm优质管材，立柱间距不大于3m；横梁釆用规格不低于φ60mm*2.0mm优质管材；管材表面处理采用固态静电环保喷涂工艺。管材需使用优质热镀锌钢材，表面处理采用固态静电环保喷涂工艺。依据GB/T9276-1996涂层自然气候曝露试验方法试验（试验周期不低于18个月）后管材变色等级不高于1级，剥落等级不高于1级，开裂等级不高于1级，起泡等级不高于1级,生锈等级不高于1级，保护性漆膜综合老化性能等级不高于1级。须提供具有CMA和CNAS标识的检测报告或测试报告扫描件。PE包塑网丝，包塑后Φ3.8mm（±0.2mm），网孔50*50mm（±0.2mm）采用Φ2.5mm（±0.1mm）高强度钢丝。PE包塑围网钢丝抗拉强度≥1300MPa ，须提供具有CMA和CNAS标识的检测报告或测试报告扫描件。依据GB/T3681-2011标准大气环境暴露试验（测试周期不低于24个月）：灰卡等级不低于4级，须提供具有CMA和CNAS标识的检测报告或测试报告扫描件。PE包塑围网及管材依据 GB/T20853-2007试验（测试周期不低于12周）后，外观无明显变化、无腐蚀、无气泡评级不低于9级，须提供具有CMA和CNAS标识的检测报告或测试报告扫描件。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680"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2</w:t>
            </w:r>
          </w:p>
        </w:tc>
        <w:tc>
          <w:tcPr>
            <w:tcW w:w="1129"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人造草坪</w:t>
            </w:r>
          </w:p>
        </w:tc>
        <w:tc>
          <w:tcPr>
            <w:tcW w:w="993"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w:t>
            </w:r>
            <w:r>
              <w:rPr>
                <w:rFonts w:hint="eastAsia" w:ascii="仿宋" w:hAnsi="仿宋" w:eastAsia="仿宋" w:cs="仿宋"/>
                <w:color w:val="auto"/>
                <w:kern w:val="24"/>
                <w:szCs w:val="21"/>
                <w:highlight w:val="none"/>
              </w:rPr>
              <w:t>㎡</w:t>
            </w:r>
          </w:p>
        </w:tc>
        <w:tc>
          <w:tcPr>
            <w:tcW w:w="6082" w:type="dxa"/>
            <w:noWrap w:val="0"/>
            <w:vAlign w:val="center"/>
          </w:tcPr>
          <w:p>
            <w:pPr>
              <w:spacing w:line="240" w:lineRule="exac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球场地面铺设田园绿和橄榄绿双色人造草皮，草高 50mm±5%mm,密度 不小于 10500 针/平方米。透水性、抗紫外线性能、色牢度、阻燃性等需满足 GB/T20394-2013 标准。人造草坪面层内需填充石英砂（20-40 目，每平方不少于 40KG）、 环保橡胶颗粒（粒径 3mm-4mm，每平方不少于 8KG）</w:t>
            </w:r>
          </w:p>
          <w:p>
            <w:pPr>
              <w:spacing w:line="240" w:lineRule="exact"/>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场地划线：采用白色人造草勾勒而成，不得用油漆等涂料喷画。采用白色人造草勾勒而 成，不得用油漆等涂料喷画。界线一律为 8 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3</w:t>
            </w:r>
          </w:p>
        </w:tc>
        <w:tc>
          <w:tcPr>
            <w:tcW w:w="1129"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灯光</w:t>
            </w:r>
          </w:p>
        </w:tc>
        <w:tc>
          <w:tcPr>
            <w:tcW w:w="993"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10组</w:t>
            </w:r>
          </w:p>
        </w:tc>
        <w:tc>
          <w:tcPr>
            <w:tcW w:w="6082" w:type="dxa"/>
            <w:noWrap w:val="0"/>
            <w:vAlign w:val="center"/>
          </w:tcPr>
          <w:p>
            <w:pPr>
              <w:spacing w:line="360" w:lineRule="auto"/>
              <w:jc w:val="left"/>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灯杆高度不低于 6 米，场地照度不低于 150 勒克斯。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680" w:type="dxa"/>
            <w:tcBorders>
              <w:bottom w:val="single" w:color="auto" w:sz="4" w:space="0"/>
            </w:tcBorders>
            <w:noWrap w:val="0"/>
            <w:vAlign w:val="center"/>
          </w:tcPr>
          <w:p>
            <w:pPr>
              <w:widowControl/>
              <w:spacing w:line="360" w:lineRule="auto"/>
              <w:jc w:val="center"/>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4</w:t>
            </w:r>
          </w:p>
        </w:tc>
        <w:tc>
          <w:tcPr>
            <w:tcW w:w="1129"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足球门（含球网）</w:t>
            </w:r>
          </w:p>
        </w:tc>
        <w:tc>
          <w:tcPr>
            <w:tcW w:w="993"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2个</w:t>
            </w:r>
          </w:p>
        </w:tc>
        <w:tc>
          <w:tcPr>
            <w:tcW w:w="6082" w:type="dxa"/>
            <w:tcBorders>
              <w:bottom w:val="single" w:color="auto" w:sz="4" w:space="0"/>
            </w:tcBorders>
            <w:noWrap w:val="0"/>
            <w:vAlign w:val="center"/>
          </w:tcPr>
          <w:p>
            <w:pPr>
              <w:spacing w:line="240" w:lineRule="exact"/>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采用 5 人制足球比赛专用、可移动矩形足球门（3 号足球门），球门内口 规格按宽×高×底深表示为：3000mm×2000mm×1500mm；球门立杆和横梁采用直径不小于 76mm×3mm 或等强度管材，球门横梁能承受 2700N 的静负荷；球门组装完成后，立杆 与地面、横梁夹角均为 90 度，连接件周边处理圆滑，无棱角，表面静电喷涂；配置球网1套.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0" w:type="dxa"/>
            <w:tcBorders>
              <w:bottom w:val="single" w:color="auto" w:sz="4" w:space="0"/>
            </w:tcBorders>
            <w:noWrap w:val="0"/>
            <w:vAlign w:val="center"/>
          </w:tcPr>
          <w:p>
            <w:pPr>
              <w:spacing w:line="240" w:lineRule="exact"/>
              <w:jc w:val="center"/>
              <w:textAlignment w:val="center"/>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5</w:t>
            </w:r>
          </w:p>
        </w:tc>
        <w:tc>
          <w:tcPr>
            <w:tcW w:w="1129"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笼式场地标识牌</w:t>
            </w:r>
          </w:p>
        </w:tc>
        <w:tc>
          <w:tcPr>
            <w:tcW w:w="993"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2个</w:t>
            </w:r>
          </w:p>
        </w:tc>
        <w:tc>
          <w:tcPr>
            <w:tcW w:w="6082" w:type="dxa"/>
            <w:tcBorders>
              <w:bottom w:val="single" w:color="auto" w:sz="4" w:space="0"/>
            </w:tcBorders>
            <w:noWrap w:val="0"/>
            <w:vAlign w:val="center"/>
          </w:tcPr>
          <w:p>
            <w:pPr>
              <w:widowControl/>
              <w:spacing w:line="360" w:lineRule="auto"/>
              <w:jc w:val="left"/>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不锈钢材质，尺寸为80cm×60cm。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680" w:type="dxa"/>
            <w:noWrap w:val="0"/>
            <w:vAlign w:val="center"/>
          </w:tcPr>
          <w:p>
            <w:pPr>
              <w:spacing w:line="240" w:lineRule="exact"/>
              <w:jc w:val="center"/>
              <w:textAlignment w:val="center"/>
              <w:rPr>
                <w:rFonts w:hint="eastAsia" w:ascii="仿宋" w:hAnsi="仿宋" w:eastAsia="仿宋" w:cs="仿宋"/>
                <w:color w:val="auto"/>
                <w:kern w:val="24"/>
                <w:szCs w:val="21"/>
                <w:highlight w:val="none"/>
              </w:rPr>
            </w:pPr>
            <w:r>
              <w:rPr>
                <w:rFonts w:hint="eastAsia" w:ascii="仿宋" w:hAnsi="仿宋" w:eastAsia="仿宋" w:cs="仿宋"/>
                <w:color w:val="auto"/>
                <w:kern w:val="0"/>
                <w:szCs w:val="21"/>
                <w:highlight w:val="none"/>
                <w:lang w:bidi="ar"/>
              </w:rPr>
              <w:t>6</w:t>
            </w:r>
          </w:p>
        </w:tc>
        <w:tc>
          <w:tcPr>
            <w:tcW w:w="1129"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悬浮地板</w:t>
            </w:r>
          </w:p>
        </w:tc>
        <w:tc>
          <w:tcPr>
            <w:tcW w:w="993"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361</w:t>
            </w:r>
            <w:r>
              <w:rPr>
                <w:rFonts w:hint="eastAsia" w:ascii="仿宋" w:hAnsi="仿宋" w:eastAsia="仿宋" w:cs="仿宋"/>
                <w:color w:val="auto"/>
                <w:kern w:val="24"/>
                <w:szCs w:val="21"/>
                <w:highlight w:val="none"/>
              </w:rPr>
              <w:t>㎡</w:t>
            </w:r>
          </w:p>
        </w:tc>
        <w:tc>
          <w:tcPr>
            <w:tcW w:w="6082" w:type="dxa"/>
            <w:noWrap w:val="0"/>
            <w:vAlign w:val="center"/>
          </w:tcPr>
          <w:p>
            <w:pPr>
              <w:spacing w:line="240" w:lineRule="exact"/>
              <w:jc w:val="left"/>
              <w:rPr>
                <w:rFonts w:hint="eastAsia" w:ascii="仿宋" w:hAnsi="仿宋" w:eastAsia="仿宋" w:cs="仿宋"/>
                <w:color w:val="auto"/>
                <w:kern w:val="24"/>
                <w:szCs w:val="21"/>
                <w:highlight w:val="none"/>
              </w:rPr>
            </w:pPr>
            <w:r>
              <w:rPr>
                <w:rFonts w:hint="eastAsia" w:ascii="仿宋" w:hAnsi="仿宋" w:eastAsia="仿宋" w:cs="仿宋"/>
                <w:color w:val="auto"/>
                <w:szCs w:val="21"/>
                <w:highlight w:val="none"/>
              </w:rPr>
              <w:t>产品尺寸≥34*34cm，厚度≥1.58cm；球类反弹率：≥90%；抗滑值（干测）：80-110；弯曲强度≥25MPa；灰分含量≤1%；色牢度≥8级；为保证产品环保性，依据GB/T18204.2-2014标准；苯24h释放量：≤0.001 mg/m³；甲苯24h释放量：≤0.001 mg/m³；为保证产品运动性能稳定性，提供依据GB/T16422.2-2014标准测试耐人工气候老化≥4000h，老化前后球反弹率均≥90%且摩擦系数≥0.45；为防止产品在潮湿环境滋生霉菌，需提供依据GB/T24128-2018标准防霉分析检测(黑曲霉、球毛壳霉等10种以上霉菌)，防霉等级达到0级；为保证产品环保性能，需提供甲醛、乙醛等不少于50种有害物质14天后释放量≤100</w:t>
            </w:r>
            <w:r>
              <w:rPr>
                <w:rFonts w:hint="eastAsia" w:ascii="仿宋" w:hAnsi="仿宋" w:eastAsia="仿宋" w:cs="仿宋"/>
                <w:color w:val="auto"/>
                <w:szCs w:val="21"/>
                <w:highlight w:val="none"/>
                <w:shd w:val="clear" w:color="auto" w:fill="FFFFFF"/>
              </w:rPr>
              <w:t>μg/m³；</w:t>
            </w:r>
            <w:r>
              <w:rPr>
                <w:rFonts w:hint="eastAsia" w:ascii="仿宋" w:hAnsi="仿宋" w:eastAsia="仿宋" w:cs="仿宋"/>
                <w:color w:val="auto"/>
                <w:szCs w:val="21"/>
                <w:highlight w:val="none"/>
              </w:rPr>
              <w:t>为保证产品颜色稳定性和防滑稳定性，需提供依据GB/T16422.3-2022紫外线老化≥3000h，外观无龟裂，无粉化，灰卡≥3级，摩擦系数平均值≥0.45；</w:t>
            </w:r>
            <w:r>
              <w:rPr>
                <w:rFonts w:hint="eastAsia" w:ascii="仿宋" w:hAnsi="仿宋" w:eastAsia="仿宋" w:cs="仿宋"/>
                <w:bCs/>
                <w:color w:val="auto"/>
                <w:szCs w:val="21"/>
                <w:highlight w:val="none"/>
              </w:rPr>
              <w:t>为保证产品在雨季发生变形，需提供</w:t>
            </w:r>
            <w:r>
              <w:rPr>
                <w:rFonts w:hint="eastAsia" w:ascii="仿宋" w:hAnsi="仿宋" w:eastAsia="仿宋" w:cs="仿宋"/>
                <w:color w:val="auto"/>
                <w:szCs w:val="21"/>
                <w:highlight w:val="none"/>
              </w:rPr>
              <w:t>雨水浸泡≥2000h，垂直变形≥0.5mm，吸水率≤0.5%；为保证产品在四季环境变化条件下理化性能稳定，需完成环境适应性试验,包括（高温、低温、湿热、盐雾）循环测试总时间≥2000h，灰卡4-5级，依据GB36246-2018标准：抗滑值80-110，甲醛≤0.4m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0" w:type="dxa"/>
            <w:noWrap w:val="0"/>
            <w:vAlign w:val="center"/>
          </w:tcPr>
          <w:p>
            <w:pP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w:t>
            </w:r>
          </w:p>
        </w:tc>
        <w:tc>
          <w:tcPr>
            <w:tcW w:w="1129"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移动篮球架</w:t>
            </w:r>
          </w:p>
        </w:tc>
        <w:tc>
          <w:tcPr>
            <w:tcW w:w="993" w:type="dxa"/>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1副</w:t>
            </w:r>
          </w:p>
        </w:tc>
        <w:tc>
          <w:tcPr>
            <w:tcW w:w="6082" w:type="dxa"/>
            <w:noWrap w:val="0"/>
            <w:vAlign w:val="center"/>
          </w:tcPr>
          <w:p>
            <w:pPr>
              <w:spacing w:line="240" w:lineRule="exact"/>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器材符合GB19272-2011&lt;&lt;室外健身器材的安全通用要求&gt;&gt;及GB/T23176-2008《篮球架》标准；通过NSCC认证。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0" w:type="dxa"/>
            <w:tcBorders>
              <w:bottom w:val="single" w:color="auto" w:sz="4" w:space="0"/>
            </w:tcBorders>
            <w:noWrap w:val="0"/>
            <w:vAlign w:val="center"/>
          </w:tcPr>
          <w:p>
            <w:pP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w:t>
            </w:r>
          </w:p>
        </w:tc>
        <w:tc>
          <w:tcPr>
            <w:tcW w:w="1129"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休闲平凳</w:t>
            </w:r>
          </w:p>
        </w:tc>
        <w:tc>
          <w:tcPr>
            <w:tcW w:w="993" w:type="dxa"/>
            <w:tcBorders>
              <w:bottom w:val="single" w:color="auto" w:sz="4" w:space="0"/>
            </w:tcBorders>
            <w:noWrap w:val="0"/>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10个</w:t>
            </w:r>
          </w:p>
        </w:tc>
        <w:tc>
          <w:tcPr>
            <w:tcW w:w="6082" w:type="dxa"/>
            <w:tcBorders>
              <w:bottom w:val="single" w:color="auto" w:sz="4" w:space="0"/>
            </w:tcBorders>
            <w:noWrap w:val="0"/>
            <w:vAlign w:val="center"/>
          </w:tcPr>
          <w:p>
            <w:pPr>
              <w:spacing w:line="2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立柱规格为□40mm*80mm*2.75mm，其他管材壁厚为2.5mm；座板采用不小于22mm的塑木座板。</w:t>
            </w:r>
          </w:p>
          <w:p>
            <w:pPr>
              <w:spacing w:line="240" w:lineRule="exact"/>
              <w:textAlignment w:val="center"/>
              <w:rPr>
                <w:rFonts w:hint="eastAsia" w:ascii="仿宋" w:hAnsi="仿宋" w:eastAsia="仿宋" w:cs="仿宋"/>
                <w:color w:val="auto"/>
                <w:kern w:val="0"/>
                <w:szCs w:val="21"/>
                <w:highlight w:val="none"/>
                <w:lang w:bidi="ar"/>
              </w:rPr>
            </w:pPr>
          </w:p>
        </w:tc>
      </w:tr>
    </w:tbl>
    <w:p>
      <w:pPr>
        <w:rPr>
          <w:rFonts w:hint="eastAsia" w:ascii="仿宋" w:hAnsi="仿宋" w:eastAsia="仿宋" w:cs="仿宋"/>
          <w:b/>
          <w:color w:val="auto"/>
          <w:sz w:val="24"/>
          <w:highlight w:val="none"/>
        </w:rPr>
      </w:pPr>
    </w:p>
    <w:p>
      <w:pPr>
        <w:pStyle w:val="3"/>
        <w:numPr>
          <w:ilvl w:val="0"/>
          <w:numId w:val="0"/>
        </w:numPr>
        <w:ind w:left="425" w:hanging="425"/>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三、室外健身器材</w:t>
      </w:r>
    </w:p>
    <w:tbl>
      <w:tblPr>
        <w:tblStyle w:val="36"/>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076"/>
        <w:gridCol w:w="850"/>
        <w:gridCol w:w="884"/>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076"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器材名称</w:t>
            </w:r>
          </w:p>
        </w:tc>
        <w:tc>
          <w:tcPr>
            <w:tcW w:w="850"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884"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材质</w:t>
            </w:r>
          </w:p>
        </w:tc>
        <w:tc>
          <w:tcPr>
            <w:tcW w:w="3133"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智能双位可调阻力划船训练器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restart"/>
            <w:noWrap w:val="0"/>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产品符合GB19272-2011《室外健身器材的安全通用要求》并持有NSCC认证证书。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智能双位扭腰训练器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智能四人两组式跷跷板</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智能双位推揉器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智能双位太空漫步机</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智能双位蹬力器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智能双位健身车</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智能双位背部训练器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智能双位可调阻力深蹲训练器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智能双位可调阻力推举训练器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智能双位腹部训练器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智能椭圆机</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智能双位钟摆训练器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蹬腿训练器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腰腹屈伸训练器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推举训练器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高拉训练器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划船训练器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背肌训练器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扭腰器</w:t>
            </w:r>
          </w:p>
        </w:tc>
        <w:tc>
          <w:tcPr>
            <w:tcW w:w="850"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腰背伸展训练器</w:t>
            </w:r>
          </w:p>
        </w:tc>
        <w:tc>
          <w:tcPr>
            <w:tcW w:w="850" w:type="dxa"/>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3076"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腰背按摩器</w:t>
            </w:r>
          </w:p>
        </w:tc>
        <w:tc>
          <w:tcPr>
            <w:tcW w:w="850" w:type="dxa"/>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多功能推揉器</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磁控象棋桌</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告示牌</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手掌按摩器</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27</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单杠</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双杠</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肋木</w:t>
            </w:r>
          </w:p>
        </w:tc>
        <w:tc>
          <w:tcPr>
            <w:tcW w:w="850" w:type="dxa"/>
            <w:tcBorders>
              <w:bottom w:val="single" w:color="auto" w:sz="4" w:space="0"/>
            </w:tcBorders>
            <w:noWrap w:val="0"/>
            <w:vAlign w:val="center"/>
          </w:tcPr>
          <w:p>
            <w:pPr>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szCs w:val="21"/>
                <w:highlight w:val="none"/>
              </w:rPr>
              <w:t>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塑木</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智能室外太阳能驿站</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restar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产品符合GB19272-2011《室外健身器材的安全通用要求》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智能磁阻健身车</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智能磁阻上肢训练器</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智能磁阻腿部训练器</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智能磁阻深蹲训练器</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智能磁阻上肢屈伸训练器</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3076"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智能磁阻高位推举训练器</w:t>
            </w:r>
          </w:p>
        </w:tc>
        <w:tc>
          <w:tcPr>
            <w:tcW w:w="850" w:type="dxa"/>
            <w:tcBorders>
              <w:bottom w:val="single" w:color="auto" w:sz="4"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1件</w:t>
            </w:r>
          </w:p>
        </w:tc>
        <w:tc>
          <w:tcPr>
            <w:tcW w:w="884" w:type="dxa"/>
            <w:tcBorders>
              <w:bottom w:val="single" w:color="auto"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钢管</w:t>
            </w:r>
          </w:p>
        </w:tc>
        <w:tc>
          <w:tcPr>
            <w:tcW w:w="3133" w:type="dxa"/>
            <w:vMerge w:val="continue"/>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752" w:type="dxa"/>
            <w:gridSpan w:val="2"/>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    计</w:t>
            </w:r>
          </w:p>
        </w:tc>
        <w:tc>
          <w:tcPr>
            <w:tcW w:w="850" w:type="dxa"/>
            <w:shd w:val="pct10" w:color="auto" w:fill="auto"/>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47件</w:t>
            </w:r>
          </w:p>
        </w:tc>
        <w:tc>
          <w:tcPr>
            <w:tcW w:w="4017" w:type="dxa"/>
            <w:gridSpan w:val="2"/>
            <w:shd w:val="pct10" w:color="auto" w:fill="auto"/>
            <w:noWrap w:val="0"/>
            <w:vAlign w:val="center"/>
          </w:tcPr>
          <w:p>
            <w:pPr>
              <w:jc w:val="center"/>
              <w:rPr>
                <w:rFonts w:hint="eastAsia" w:ascii="仿宋" w:hAnsi="仿宋" w:eastAsia="仿宋" w:cs="仿宋"/>
                <w:color w:val="auto"/>
                <w:szCs w:val="21"/>
                <w:highlight w:val="none"/>
              </w:rPr>
            </w:pPr>
          </w:p>
        </w:tc>
      </w:tr>
    </w:tbl>
    <w:p>
      <w:pPr>
        <w:spacing w:line="600" w:lineRule="exact"/>
        <w:rPr>
          <w:rFonts w:hint="eastAsia" w:ascii="仿宋" w:hAnsi="仿宋" w:eastAsia="仿宋" w:cs="仿宋"/>
          <w:color w:val="auto"/>
          <w:sz w:val="32"/>
          <w:szCs w:val="32"/>
          <w:highlight w:val="none"/>
        </w:rPr>
      </w:pPr>
    </w:p>
    <w:p>
      <w:pPr>
        <w:widowControl/>
        <w:jc w:val="left"/>
        <w:rPr>
          <w:rFonts w:hint="eastAsia" w:ascii="仿宋" w:hAnsi="仿宋" w:eastAsia="仿宋" w:cs="仿宋"/>
          <w:b/>
          <w:bCs/>
          <w:color w:val="auto"/>
          <w:sz w:val="32"/>
          <w:szCs w:val="32"/>
          <w:highlight w:val="none"/>
        </w:rPr>
      </w:pPr>
    </w:p>
    <w:p>
      <w:pPr>
        <w:pStyle w:val="33"/>
        <w:spacing w:before="0" w:after="0" w:line="360" w:lineRule="auto"/>
        <w:rPr>
          <w:rFonts w:hint="eastAsia" w:ascii="仿宋" w:hAnsi="仿宋" w:eastAsia="仿宋" w:cs="仿宋"/>
          <w:color w:val="auto"/>
          <w:highlight w:val="none"/>
        </w:rPr>
      </w:pPr>
      <w:bookmarkStart w:id="283" w:name="_Toc26557"/>
      <w:r>
        <w:rPr>
          <w:rFonts w:hint="eastAsia" w:ascii="仿宋" w:hAnsi="仿宋" w:eastAsia="仿宋" w:cs="仿宋"/>
          <w:color w:val="auto"/>
          <w:highlight w:val="none"/>
        </w:rPr>
        <w:t>第六章  投标文件格式</w:t>
      </w:r>
      <w:bookmarkEnd w:id="250"/>
      <w:bookmarkEnd w:id="251"/>
      <w:bookmarkEnd w:id="252"/>
      <w:bookmarkEnd w:id="253"/>
      <w:bookmarkEnd w:id="254"/>
      <w:bookmarkEnd w:id="283"/>
    </w:p>
    <w:p>
      <w:pPr>
        <w:jc w:val="righ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正本/副本</w:t>
      </w:r>
    </w:p>
    <w:p>
      <w:pP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pP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采购项目编号：SCZB2023-ZB-1616-001</w:t>
      </w:r>
    </w:p>
    <w:p>
      <w:pPr>
        <w:spacing w:line="240" w:lineRule="atLeast"/>
        <w:rPr>
          <w:rFonts w:hint="eastAsia" w:ascii="仿宋" w:hAnsi="仿宋" w:eastAsia="仿宋" w:cs="仿宋"/>
          <w:b/>
          <w:color w:val="auto"/>
          <w:sz w:val="52"/>
          <w:szCs w:val="52"/>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 xml:space="preserve">2023年西安市灞河右岸滨水景观带全民健身场地设施提升改造项目 </w:t>
      </w:r>
    </w:p>
    <w:p>
      <w:pPr>
        <w:pStyle w:val="14"/>
        <w:ind w:left="0" w:leftChars="0" w:right="1470"/>
        <w:rPr>
          <w:rFonts w:hint="eastAsia" w:ascii="仿宋" w:hAnsi="仿宋" w:eastAsia="仿宋" w:cs="仿宋"/>
          <w:color w:val="auto"/>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投标文件</w:t>
      </w:r>
    </w:p>
    <w:p>
      <w:pPr>
        <w:spacing w:line="240" w:lineRule="atLeast"/>
        <w:rPr>
          <w:rFonts w:hint="eastAsia" w:ascii="仿宋" w:hAnsi="仿宋" w:eastAsia="仿宋" w:cs="仿宋"/>
          <w:color w:val="auto"/>
          <w:sz w:val="32"/>
          <w:szCs w:val="40"/>
          <w:highlight w:val="none"/>
        </w:rPr>
      </w:pPr>
    </w:p>
    <w:p>
      <w:pPr>
        <w:pStyle w:val="14"/>
        <w:ind w:left="0" w:leftChars="0" w:right="1470"/>
        <w:rPr>
          <w:rFonts w:hint="eastAsia" w:ascii="仿宋" w:hAnsi="仿宋" w:eastAsia="仿宋" w:cs="仿宋"/>
          <w:color w:val="auto"/>
          <w:highlight w:val="none"/>
        </w:rPr>
      </w:pPr>
    </w:p>
    <w:p>
      <w:pPr>
        <w:pStyle w:val="14"/>
        <w:ind w:left="0" w:leftChars="0" w:right="1470"/>
        <w:rPr>
          <w:rFonts w:hint="eastAsia" w:ascii="仿宋" w:hAnsi="仿宋" w:eastAsia="仿宋" w:cs="仿宋"/>
          <w:color w:val="auto"/>
          <w:highlight w:val="none"/>
        </w:rPr>
      </w:pPr>
    </w:p>
    <w:p>
      <w:pPr>
        <w:pStyle w:val="14"/>
        <w:ind w:left="0" w:leftChars="0" w:right="1470"/>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autoSpaceDE w:val="0"/>
        <w:autoSpaceDN w:val="0"/>
        <w:adjustRightInd w:val="0"/>
        <w:snapToGrid w:val="0"/>
        <w:spacing w:line="360" w:lineRule="auto"/>
        <w:rPr>
          <w:rFonts w:hint="eastAsia" w:ascii="仿宋" w:hAnsi="仿宋" w:eastAsia="仿宋" w:cs="仿宋"/>
          <w:color w:val="auto"/>
          <w:sz w:val="30"/>
          <w:szCs w:val="30"/>
          <w:highlight w:val="none"/>
        </w:rPr>
      </w:pPr>
    </w:p>
    <w:p>
      <w:pPr>
        <w:autoSpaceDE w:val="0"/>
        <w:autoSpaceDN w:val="0"/>
        <w:adjustRightInd w:val="0"/>
        <w:snapToGrid w:val="0"/>
        <w:spacing w:line="360" w:lineRule="auto"/>
        <w:ind w:firstLine="2570" w:firstLineChars="800"/>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val="zh-CN"/>
        </w:rPr>
        <w:t>标段：</w:t>
      </w:r>
      <w:r>
        <w:rPr>
          <w:rFonts w:hint="eastAsia" w:ascii="仿宋" w:hAnsi="仿宋" w:eastAsia="仿宋" w:cs="仿宋"/>
          <w:b/>
          <w:bCs/>
          <w:color w:val="auto"/>
          <w:sz w:val="32"/>
          <w:szCs w:val="32"/>
          <w:highlight w:val="none"/>
          <w:lang w:val="en-US" w:eastAsia="zh-CN"/>
        </w:rPr>
        <w:t>/</w:t>
      </w:r>
    </w:p>
    <w:p>
      <w:pPr>
        <w:autoSpaceDE w:val="0"/>
        <w:autoSpaceDN w:val="0"/>
        <w:adjustRightInd w:val="0"/>
        <w:snapToGrid w:val="0"/>
        <w:spacing w:line="360" w:lineRule="auto"/>
        <w:ind w:firstLine="2570" w:firstLineChars="80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投标人：</w:t>
      </w:r>
    </w:p>
    <w:p>
      <w:pPr>
        <w:autoSpaceDE w:val="0"/>
        <w:autoSpaceDN w:val="0"/>
        <w:adjustRightInd w:val="0"/>
        <w:snapToGrid w:val="0"/>
        <w:spacing w:line="360" w:lineRule="auto"/>
        <w:ind w:firstLine="2570" w:firstLineChars="80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时间：</w:t>
      </w:r>
      <w:bookmarkStart w:id="284" w:name="_Toc18694"/>
      <w:bookmarkStart w:id="285" w:name="_Toc18974"/>
      <w:bookmarkStart w:id="286" w:name="_Toc60929126"/>
      <w:bookmarkStart w:id="287" w:name="_Toc532473494"/>
      <w:bookmarkStart w:id="288" w:name="_Toc515647803"/>
    </w:p>
    <w:p>
      <w:pPr>
        <w:widowControl/>
        <w:jc w:val="left"/>
        <w:rPr>
          <w:rFonts w:hint="eastAsia" w:ascii="仿宋" w:hAnsi="仿宋" w:eastAsia="仿宋" w:cs="仿宋"/>
          <w:color w:val="auto"/>
          <w:szCs w:val="20"/>
          <w:highlight w:val="none"/>
          <w:lang w:val="zh-CN"/>
        </w:rPr>
      </w:pPr>
      <w:r>
        <w:rPr>
          <w:rFonts w:hint="eastAsia" w:ascii="仿宋" w:hAnsi="仿宋" w:eastAsia="仿宋" w:cs="仿宋"/>
          <w:color w:val="auto"/>
          <w:highlight w:val="none"/>
          <w:lang w:val="zh-CN"/>
        </w:rPr>
        <w:br w:type="page"/>
      </w:r>
    </w:p>
    <w:p>
      <w:pPr>
        <w:spacing w:line="360" w:lineRule="auto"/>
        <w:jc w:val="center"/>
        <w:rPr>
          <w:rFonts w:hint="eastAsia" w:ascii="仿宋" w:hAnsi="仿宋" w:eastAsia="仿宋" w:cs="仿宋"/>
          <w:b/>
          <w:bCs/>
          <w:color w:val="auto"/>
          <w:sz w:val="40"/>
          <w:szCs w:val="48"/>
          <w:highlight w:val="none"/>
        </w:rPr>
      </w:pPr>
      <w:bookmarkStart w:id="289" w:name="_Toc108721143"/>
      <w:bookmarkStart w:id="290" w:name="_Toc110013789"/>
      <w:r>
        <w:rPr>
          <w:rFonts w:hint="eastAsia" w:ascii="仿宋" w:hAnsi="仿宋" w:eastAsia="仿宋" w:cs="仿宋"/>
          <w:b/>
          <w:bCs/>
          <w:color w:val="auto"/>
          <w:sz w:val="40"/>
          <w:szCs w:val="48"/>
          <w:highlight w:val="none"/>
        </w:rPr>
        <w:t>目  录</w:t>
      </w:r>
      <w:bookmarkEnd w:id="289"/>
      <w:bookmarkEnd w:id="290"/>
    </w:p>
    <w:p>
      <w:pPr>
        <w:pStyle w:val="2"/>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第一部分  资格证明文件</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1、法定代表人（或单位负责人）授权书</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2、法定代表人（或单位负责人）身份证明</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3、授权代表本单位证明</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4、符合《政府采购法》第二十二条的规定投标人条件，并提供以下证明材料</w:t>
      </w:r>
    </w:p>
    <w:p>
      <w:pPr>
        <w:pStyle w:val="2"/>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第二部分  商务及技术文件</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1、投标函（见投标文件格式一）</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2、开标一览表（见投标文件格式二）</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3、投标分项报价表（见投标文件格式三）</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4、技术偏离表（见投标文件格式四）</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5、商务条款偏离表（见投标文件格式五）</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6、符合《政府采购促进中小企业发展管理办法》、《关于政府采购支持监狱企业发展有关问题的通知》和《三部门联合发布关于促进残疾人就业政府采购政策的通知》价格扣减条件的投标人须提交：</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6-1《中小企业声明函》（见投标文件格式六）</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6-2《投标人监狱企业声明函》（见投标文件格式七）</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6-3《残疾人福利性单位声明函》（见投标文件格式八）</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7、符合评分标准要求的商务文件</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8、投标人须知第10条要求的所有技术文件</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9、投标方案或技术方案</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10、业绩一览表</w:t>
      </w: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11、投标人须知前附表要求的其他文件</w:t>
      </w:r>
    </w:p>
    <w:p>
      <w:pPr>
        <w:widowControl/>
        <w:jc w:val="left"/>
        <w:rPr>
          <w:rStyle w:val="55"/>
          <w:rFonts w:hint="eastAsia" w:ascii="仿宋" w:hAnsi="仿宋" w:eastAsia="仿宋" w:cs="仿宋"/>
          <w:color w:val="auto"/>
          <w:sz w:val="32"/>
          <w:szCs w:val="32"/>
          <w:highlight w:val="none"/>
        </w:rPr>
      </w:pPr>
      <w:r>
        <w:rPr>
          <w:rStyle w:val="55"/>
          <w:rFonts w:hint="eastAsia" w:ascii="仿宋" w:hAnsi="仿宋" w:eastAsia="仿宋" w:cs="仿宋"/>
          <w:color w:val="auto"/>
          <w:sz w:val="32"/>
          <w:szCs w:val="32"/>
          <w:highlight w:val="none"/>
        </w:rPr>
        <w:br w:type="page"/>
      </w:r>
    </w:p>
    <w:bookmarkEnd w:id="284"/>
    <w:bookmarkEnd w:id="285"/>
    <w:bookmarkEnd w:id="286"/>
    <w:bookmarkEnd w:id="287"/>
    <w:bookmarkEnd w:id="288"/>
    <w:p>
      <w:pPr>
        <w:pStyle w:val="5"/>
        <w:spacing w:before="0" w:line="360" w:lineRule="auto"/>
        <w:rPr>
          <w:rFonts w:hint="eastAsia" w:ascii="仿宋" w:hAnsi="仿宋" w:eastAsia="仿宋" w:cs="仿宋"/>
          <w:b/>
          <w:bCs/>
          <w:color w:val="auto"/>
          <w:highlight w:val="none"/>
          <w:lang w:val="zh-CN"/>
        </w:rPr>
      </w:pPr>
      <w:bookmarkStart w:id="291" w:name="_Toc138175452"/>
      <w:bookmarkStart w:id="292" w:name="_Toc14208"/>
      <w:r>
        <w:rPr>
          <w:rFonts w:hint="eastAsia" w:ascii="仿宋" w:hAnsi="仿宋" w:eastAsia="仿宋" w:cs="仿宋"/>
          <w:b/>
          <w:bCs/>
          <w:color w:val="auto"/>
          <w:highlight w:val="none"/>
          <w:lang w:val="zh-CN"/>
        </w:rPr>
        <w:t>第一部分  资格证明文件</w:t>
      </w:r>
      <w:bookmarkEnd w:id="291"/>
      <w:bookmarkEnd w:id="292"/>
    </w:p>
    <w:p>
      <w:pPr>
        <w:spacing w:line="360" w:lineRule="auto"/>
        <w:jc w:val="center"/>
        <w:rPr>
          <w:rFonts w:hint="eastAsia" w:ascii="仿宋" w:hAnsi="仿宋" w:eastAsia="仿宋" w:cs="仿宋"/>
          <w:b/>
          <w:color w:val="auto"/>
          <w:sz w:val="28"/>
          <w:szCs w:val="28"/>
          <w:highlight w:val="none"/>
        </w:rPr>
      </w:pPr>
      <w:bookmarkStart w:id="293" w:name="_Toc60929127"/>
      <w:r>
        <w:rPr>
          <w:rFonts w:hint="eastAsia" w:ascii="仿宋" w:hAnsi="仿宋" w:eastAsia="仿宋" w:cs="仿宋"/>
          <w:b/>
          <w:color w:val="auto"/>
          <w:sz w:val="28"/>
          <w:szCs w:val="28"/>
          <w:highlight w:val="none"/>
        </w:rPr>
        <w:t>1、法定代表人（或单位负责人）授权书</w:t>
      </w:r>
      <w:bookmarkEnd w:id="293"/>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法人代表姓名、职务</w:t>
      </w:r>
      <w:r>
        <w:rPr>
          <w:rFonts w:hint="eastAsia" w:ascii="仿宋" w:hAnsi="仿宋" w:eastAsia="仿宋" w:cs="仿宋"/>
          <w:color w:val="auto"/>
          <w:sz w:val="24"/>
          <w:highlight w:val="none"/>
        </w:rPr>
        <w:t>）为我单位法定代表人，代表我单位授权（</w:t>
      </w:r>
      <w:r>
        <w:rPr>
          <w:rFonts w:hint="eastAsia" w:ascii="仿宋" w:hAnsi="仿宋" w:eastAsia="仿宋" w:cs="仿宋"/>
          <w:color w:val="auto"/>
          <w:sz w:val="24"/>
          <w:highlight w:val="none"/>
          <w:u w:val="single"/>
        </w:rPr>
        <w:t>被授权人的姓名</w:t>
      </w:r>
      <w:r>
        <w:rPr>
          <w:rFonts w:hint="eastAsia" w:ascii="仿宋" w:hAnsi="仿宋" w:eastAsia="仿宋" w:cs="仿宋"/>
          <w:color w:val="auto"/>
          <w:sz w:val="24"/>
          <w:highlight w:val="none"/>
        </w:rPr>
        <w:t>）为我单位的合法代理人，就（</w:t>
      </w:r>
      <w:r>
        <w:rPr>
          <w:rFonts w:hint="eastAsia" w:ascii="仿宋" w:hAnsi="仿宋" w:eastAsia="仿宋" w:cs="仿宋"/>
          <w:color w:val="auto"/>
          <w:sz w:val="24"/>
          <w:highlight w:val="none"/>
          <w:u w:val="single"/>
          <w:lang w:eastAsia="zh-CN"/>
        </w:rPr>
        <w:t xml:space="preserve">2023年西安市灞河右岸滨水景观带全民健身场地设施提升改造项目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SCZB2023-ZB-1616-001</w:t>
      </w:r>
      <w:r>
        <w:rPr>
          <w:rFonts w:hint="eastAsia" w:ascii="仿宋" w:hAnsi="仿宋" w:eastAsia="仿宋" w:cs="仿宋"/>
          <w:color w:val="auto"/>
          <w:sz w:val="24"/>
          <w:highlight w:val="none"/>
        </w:rPr>
        <w:t>）投标，以我单位名义处理一切与之有关的事务。</w:t>
      </w:r>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日签字生效，特此声明。（提示：此日期应不晚于投标函签署日期）</w:t>
      </w:r>
      <w:r>
        <w:rPr>
          <w:rFonts w:hint="eastAsia" w:ascii="仿宋" w:hAnsi="仿宋" w:eastAsia="仿宋" w:cs="仿宋"/>
          <w:color w:val="auto"/>
          <w:sz w:val="24"/>
          <w:highlight w:val="none"/>
        </w:rPr>
        <w:cr/>
      </w:r>
    </w:p>
    <w:p>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附：授权代表姓名：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autoSpaceDE w:val="0"/>
        <w:autoSpaceDN w:val="0"/>
        <w:adjustRightInd w:val="0"/>
        <w:spacing w:line="360" w:lineRule="auto"/>
        <w:rPr>
          <w:rFonts w:hint="eastAsia" w:ascii="仿宋" w:hAnsi="仿宋" w:eastAsia="仿宋" w:cs="仿宋"/>
          <w:color w:val="auto"/>
          <w:sz w:val="24"/>
          <w:highlight w:val="none"/>
        </w:rPr>
      </w:pP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36"/>
        <w:tblW w:w="5000" w:type="pct"/>
        <w:tblInd w:w="0" w:type="dxa"/>
        <w:tblLayout w:type="autofit"/>
        <w:tblCellMar>
          <w:top w:w="0" w:type="dxa"/>
          <w:left w:w="108" w:type="dxa"/>
          <w:bottom w:w="0" w:type="dxa"/>
          <w:right w:w="108" w:type="dxa"/>
        </w:tblCellMar>
      </w:tblPr>
      <w:tblGrid>
        <w:gridCol w:w="4205"/>
        <w:gridCol w:w="4034"/>
      </w:tblGrid>
      <w:tr>
        <w:tblPrEx>
          <w:tblCellMar>
            <w:top w:w="0" w:type="dxa"/>
            <w:left w:w="108" w:type="dxa"/>
            <w:bottom w:w="0" w:type="dxa"/>
            <w:right w:w="108" w:type="dxa"/>
          </w:tblCellMar>
        </w:tblPrEx>
        <w:trPr>
          <w:trHeight w:val="2770" w:hRule="atLeast"/>
        </w:trPr>
        <w:tc>
          <w:tcPr>
            <w:tcW w:w="255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pPr>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（国徽、人像面）</w:t>
            </w:r>
          </w:p>
        </w:tc>
        <w:tc>
          <w:tcPr>
            <w:tcW w:w="24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pPr>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（国徽、人像面）</w:t>
            </w:r>
          </w:p>
        </w:tc>
      </w:tr>
    </w:tbl>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投标人（盖章） ：                </w:t>
      </w:r>
    </w:p>
    <w:p>
      <w:pPr>
        <w:adjustRightInd w:val="0"/>
        <w:snapToGrid w:val="0"/>
        <w:spacing w:line="360" w:lineRule="auto"/>
        <w:ind w:firstLine="480" w:firstLineChars="200"/>
        <w:rPr>
          <w:rFonts w:hint="eastAsia" w:ascii="仿宋" w:hAnsi="仿宋" w:eastAsia="仿宋" w:cs="仿宋"/>
          <w:color w:val="auto"/>
          <w:sz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法定代表人（或单位负责人）（签字或盖章）：</w:t>
      </w:r>
    </w:p>
    <w:p>
      <w:pPr>
        <w:pStyle w:val="18"/>
        <w:tabs>
          <w:tab w:val="left" w:pos="5580"/>
        </w:tabs>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pPr>
        <w:rPr>
          <w:rFonts w:hint="eastAsia" w:ascii="仿宋" w:hAnsi="仿宋" w:eastAsia="仿宋" w:cs="仿宋"/>
          <w:b/>
          <w:color w:val="auto"/>
          <w:sz w:val="28"/>
          <w:szCs w:val="28"/>
          <w:highlight w:val="none"/>
        </w:rPr>
      </w:pPr>
      <w:bookmarkStart w:id="294" w:name="_Toc60929128"/>
    </w:p>
    <w:p>
      <w:pPr>
        <w:numPr>
          <w:ilvl w:val="0"/>
          <w:numId w:val="2"/>
        </w:num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法定代表人（或单位负责人）身份证明</w:t>
      </w:r>
      <w:bookmarkEnd w:id="294"/>
    </w:p>
    <w:p>
      <w:pPr>
        <w:pStyle w:val="2"/>
        <w:numPr>
          <w:ilvl w:val="0"/>
          <w:numId w:val="0"/>
        </w:numPr>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pPr>
        <w:pStyle w:val="2"/>
        <w:rPr>
          <w:rFonts w:hint="eastAsia" w:ascii="仿宋" w:hAnsi="仿宋" w:eastAsia="仿宋" w:cs="仿宋"/>
          <w:color w:val="auto"/>
          <w:highlight w:val="none"/>
        </w:rPr>
      </w:pP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（姓名、性别、年龄、身份证号码）在我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"https://baike.baidu.com/item/%E5%8D%95%E4%BD%8D/32292"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（董事长、总经理等）职务，是我单位的法定代表人。</w:t>
      </w:r>
    </w:p>
    <w:p>
      <w:pPr>
        <w:spacing w:line="360" w:lineRule="auto"/>
        <w:ind w:firstLine="480"/>
        <w:rPr>
          <w:rFonts w:hint="eastAsia" w:ascii="仿宋" w:hAnsi="仿宋" w:eastAsia="仿宋" w:cs="仿宋"/>
          <w:color w:val="auto"/>
          <w:sz w:val="24"/>
          <w:highlight w:val="none"/>
        </w:rPr>
      </w:pPr>
    </w:p>
    <w:p>
      <w:pPr>
        <w:spacing w:line="360" w:lineRule="auto"/>
        <w:ind w:firstLine="480"/>
        <w:rPr>
          <w:rFonts w:hint="eastAsia" w:ascii="仿宋" w:hAnsi="仿宋" w:eastAsia="仿宋" w:cs="仿宋"/>
          <w:color w:val="auto"/>
          <w:sz w:val="24"/>
          <w:highlight w:val="none"/>
        </w:rPr>
      </w:pP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360" w:lineRule="auto"/>
        <w:ind w:firstLine="480"/>
        <w:rPr>
          <w:rFonts w:hint="eastAsia" w:ascii="仿宋" w:hAnsi="仿宋" w:eastAsia="仿宋" w:cs="仿宋"/>
          <w:color w:val="auto"/>
          <w:sz w:val="24"/>
          <w:highlight w:val="none"/>
        </w:rPr>
      </w:pPr>
    </w:p>
    <w:p>
      <w:pPr>
        <w:spacing w:line="360" w:lineRule="auto"/>
        <w:ind w:firstLine="480"/>
        <w:rPr>
          <w:rFonts w:hint="eastAsia" w:ascii="仿宋" w:hAnsi="仿宋" w:eastAsia="仿宋" w:cs="仿宋"/>
          <w:color w:val="auto"/>
          <w:sz w:val="24"/>
          <w:highlight w:val="none"/>
        </w:rPr>
      </w:pPr>
    </w:p>
    <w:p>
      <w:pPr>
        <w:spacing w:line="360" w:lineRule="auto"/>
        <w:ind w:firstLine="480"/>
        <w:rPr>
          <w:rFonts w:hint="eastAsia" w:ascii="仿宋" w:hAnsi="仿宋" w:eastAsia="仿宋" w:cs="仿宋"/>
          <w:color w:val="auto"/>
          <w:sz w:val="24"/>
          <w:highlight w:val="none"/>
        </w:rPr>
      </w:pPr>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投标人（盖章）：</w:t>
      </w:r>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p>
      <w:pPr>
        <w:pStyle w:val="18"/>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p>
      <w:pPr>
        <w:spacing w:line="360" w:lineRule="auto"/>
        <w:ind w:firstLine="480"/>
        <w:rPr>
          <w:rFonts w:hint="eastAsia" w:ascii="仿宋" w:hAnsi="仿宋" w:eastAsia="仿宋" w:cs="仿宋"/>
          <w:color w:val="auto"/>
          <w:sz w:val="24"/>
          <w:highlight w:val="none"/>
        </w:rPr>
      </w:pP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注：自然人投标的仅需提供身份证</w:t>
      </w:r>
    </w:p>
    <w:p>
      <w:pPr>
        <w:spacing w:line="360" w:lineRule="auto"/>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br w:type="page"/>
      </w:r>
      <w:bookmarkStart w:id="295" w:name="_Toc60929129"/>
      <w:r>
        <w:rPr>
          <w:rFonts w:hint="eastAsia" w:ascii="仿宋" w:hAnsi="仿宋" w:eastAsia="仿宋" w:cs="仿宋"/>
          <w:b/>
          <w:color w:val="auto"/>
          <w:sz w:val="28"/>
          <w:szCs w:val="28"/>
          <w:highlight w:val="none"/>
        </w:rPr>
        <w:t>3、授权代表本单位证明</w:t>
      </w:r>
      <w:bookmarkEnd w:id="295"/>
    </w:p>
    <w:p>
      <w:pPr>
        <w:autoSpaceDE w:val="0"/>
        <w:autoSpaceDN w:val="0"/>
        <w:adjustRightInd w:val="0"/>
        <w:spacing w:line="360"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养老保险缴纳证明或劳动合同复印件</w:t>
      </w:r>
      <w:r>
        <w:rPr>
          <w:rFonts w:hint="eastAsia" w:ascii="仿宋" w:hAnsi="仿宋" w:eastAsia="仿宋" w:cs="仿宋"/>
          <w:color w:val="auto"/>
          <w:sz w:val="28"/>
          <w:szCs w:val="28"/>
          <w:highlight w:val="none"/>
          <w:lang w:val="zh-CN"/>
        </w:rPr>
        <w:t>）</w:t>
      </w:r>
    </w:p>
    <w:p>
      <w:pPr>
        <w:spacing w:line="360" w:lineRule="auto"/>
        <w:rPr>
          <w:rFonts w:hint="eastAsia" w:ascii="仿宋" w:hAnsi="仿宋" w:eastAsia="仿宋" w:cs="仿宋"/>
          <w:b/>
          <w:color w:val="auto"/>
          <w:sz w:val="32"/>
          <w:szCs w:val="32"/>
          <w:highlight w:val="none"/>
        </w:rPr>
      </w:pPr>
    </w:p>
    <w:p>
      <w:pPr>
        <w:widowControl/>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8"/>
          <w:szCs w:val="28"/>
          <w:highlight w:val="none"/>
        </w:rPr>
        <w:t>4、符合《政府采购法》第二十二条的规定投标人条件，并提供以下证明材料；</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（1）投标人合法注册的法人或其他组织的营业执照等证明文件，自然人的身份证明（格式要求见附件4-1）；</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（2）投标人上一年度经审计的</w:t>
      </w:r>
      <w:r>
        <w:rPr>
          <w:rFonts w:hint="eastAsia" w:ascii="仿宋" w:hAnsi="仿宋" w:eastAsia="仿宋" w:cs="仿宋"/>
          <w:color w:val="auto"/>
          <w:sz w:val="24"/>
          <w:highlight w:val="none"/>
          <w:lang w:eastAsia="zh-CN"/>
        </w:rPr>
        <w:t>财务报告</w:t>
      </w:r>
      <w:r>
        <w:rPr>
          <w:rFonts w:hint="eastAsia" w:ascii="仿宋" w:hAnsi="仿宋" w:eastAsia="仿宋" w:cs="仿宋"/>
          <w:color w:val="auto"/>
          <w:sz w:val="24"/>
          <w:highlight w:val="none"/>
        </w:rPr>
        <w:t>复印件（包括资产负债表、现金流量表、利润表），或本年度基本开户银行出具的资信证明（格式要求见附件4-2）；</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（3）依法缴纳税收和社会保障资金的证明材料复印件（格式见附件4-3、4-4）</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）具备履行合同所必需的设备和专业技术能力的承诺原件（格式见附件4-5）</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）投标人参加政府采购活动前3年内在经营活动中没有重大违法记录的书面声明原件（格式见附件4-6）</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）投标人控股股东名称、控股公司的名称和存在管理、被管理关系的单位名称说明（格式见附件4-7）</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）投标人是否属于为本项目提供整体设计、规范编制或者项目管理、监理、检测等服务的投标人声明原件（格式见附件4-8）</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）证明投标人符合特定资格条件的证明材料；（格式见附件4-9）</w:t>
      </w:r>
    </w:p>
    <w:p>
      <w:pPr>
        <w:pStyle w:val="2"/>
        <w:rPr>
          <w:rFonts w:hint="eastAsia" w:ascii="仿宋" w:hAnsi="仿宋" w:eastAsia="仿宋" w:cs="仿宋"/>
          <w:color w:val="auto"/>
          <w:highlight w:val="none"/>
        </w:rPr>
      </w:pPr>
    </w:p>
    <w:p>
      <w:pPr>
        <w:pStyle w:val="18"/>
        <w:tabs>
          <w:tab w:val="left" w:pos="5580"/>
        </w:tabs>
        <w:spacing w:line="360" w:lineRule="auto"/>
        <w:ind w:left="539" w:hanging="539"/>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b/>
          <w:color w:val="auto"/>
          <w:sz w:val="24"/>
          <w:highlight w:val="none"/>
        </w:rPr>
        <w:t>：以上资格证明文件须提供加盖投标人红色公章的复印件</w:t>
      </w:r>
    </w:p>
    <w:p>
      <w:pPr>
        <w:pStyle w:val="18"/>
        <w:tabs>
          <w:tab w:val="left" w:pos="5580"/>
        </w:tabs>
        <w:spacing w:line="360" w:lineRule="auto"/>
        <w:ind w:left="539" w:hanging="53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pPr>
        <w:pStyle w:val="18"/>
        <w:tabs>
          <w:tab w:val="left" w:pos="5580"/>
        </w:tabs>
        <w:spacing w:line="360" w:lineRule="auto"/>
        <w:ind w:left="1077" w:leftChars="513"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spacing w:line="360" w:lineRule="auto"/>
        <w:ind w:firstLine="482" w:firstLineChars="200"/>
        <w:rPr>
          <w:rFonts w:hint="eastAsia" w:ascii="仿宋" w:hAnsi="仿宋" w:eastAsia="仿宋" w:cs="仿宋"/>
          <w:b/>
          <w:color w:val="auto"/>
          <w:sz w:val="24"/>
          <w:highlight w:val="none"/>
        </w:rPr>
      </w:pPr>
      <w:bookmarkStart w:id="296" w:name="_Toc7005120"/>
      <w:r>
        <w:rPr>
          <w:rFonts w:hint="eastAsia" w:ascii="仿宋" w:hAnsi="仿宋" w:eastAsia="仿宋" w:cs="仿宋"/>
          <w:b/>
          <w:color w:val="auto"/>
          <w:sz w:val="24"/>
          <w:highlight w:val="none"/>
        </w:rPr>
        <w:t>4-1  投标人的企业法人营业执照副本复印件（加盖公章）</w:t>
      </w:r>
      <w:bookmarkEnd w:id="296"/>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pPr>
        <w:adjustRightInd w:val="0"/>
        <w:spacing w:line="360" w:lineRule="auto"/>
        <w:ind w:firstLine="482" w:firstLineChars="200"/>
        <w:textAlignment w:val="baseline"/>
        <w:rPr>
          <w:rFonts w:hint="eastAsia" w:ascii="仿宋" w:hAnsi="仿宋" w:eastAsia="仿宋" w:cs="仿宋"/>
          <w:b/>
          <w:color w:val="auto"/>
          <w:sz w:val="24"/>
          <w:highlight w:val="none"/>
        </w:rPr>
      </w:pPr>
    </w:p>
    <w:p>
      <w:pPr>
        <w:adjustRightInd w:val="0"/>
        <w:spacing w:line="360" w:lineRule="auto"/>
        <w:ind w:firstLine="482" w:firstLineChars="200"/>
        <w:textAlignment w:val="baseline"/>
        <w:rPr>
          <w:rFonts w:hint="eastAsia" w:ascii="仿宋" w:hAnsi="仿宋" w:eastAsia="仿宋" w:cs="仿宋"/>
          <w:b/>
          <w:color w:val="auto"/>
          <w:sz w:val="24"/>
          <w:highlight w:val="none"/>
        </w:rPr>
      </w:pPr>
    </w:p>
    <w:p>
      <w:pPr>
        <w:spacing w:line="360" w:lineRule="auto"/>
        <w:ind w:firstLine="482" w:firstLineChars="200"/>
        <w:rPr>
          <w:rFonts w:hint="eastAsia" w:ascii="仿宋" w:hAnsi="仿宋" w:eastAsia="仿宋" w:cs="仿宋"/>
          <w:b/>
          <w:color w:val="auto"/>
          <w:sz w:val="24"/>
          <w:highlight w:val="none"/>
          <w:lang w:eastAsia="zh-CN"/>
        </w:rPr>
      </w:pPr>
      <w:bookmarkStart w:id="297" w:name="_Toc7005121"/>
      <w:bookmarkStart w:id="298" w:name="_Ref527015333"/>
      <w:r>
        <w:rPr>
          <w:rFonts w:hint="eastAsia" w:ascii="仿宋" w:hAnsi="仿宋" w:eastAsia="仿宋" w:cs="仿宋"/>
          <w:b/>
          <w:color w:val="auto"/>
          <w:sz w:val="24"/>
          <w:highlight w:val="none"/>
        </w:rPr>
        <w:t>4-2  上一年度经审计的</w:t>
      </w:r>
      <w:bookmarkEnd w:id="297"/>
      <w:bookmarkEnd w:id="298"/>
      <w:r>
        <w:rPr>
          <w:rFonts w:hint="eastAsia" w:ascii="仿宋" w:hAnsi="仿宋" w:eastAsia="仿宋" w:cs="仿宋"/>
          <w:b/>
          <w:color w:val="auto"/>
          <w:sz w:val="24"/>
          <w:highlight w:val="none"/>
          <w:lang w:eastAsia="zh-CN"/>
        </w:rPr>
        <w:t>财务报告</w:t>
      </w:r>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提供投标人上一年度经审计的</w:t>
      </w:r>
      <w:r>
        <w:rPr>
          <w:rFonts w:hint="eastAsia" w:ascii="仿宋" w:hAnsi="仿宋" w:eastAsia="仿宋" w:cs="仿宋"/>
          <w:color w:val="auto"/>
          <w:sz w:val="24"/>
          <w:highlight w:val="none"/>
          <w:lang w:eastAsia="zh-CN"/>
        </w:rPr>
        <w:t>财务报告</w:t>
      </w:r>
      <w:r>
        <w:rPr>
          <w:rFonts w:hint="eastAsia" w:ascii="仿宋" w:hAnsi="仿宋" w:eastAsia="仿宋" w:cs="仿宋"/>
          <w:color w:val="auto"/>
          <w:sz w:val="24"/>
          <w:highlight w:val="none"/>
        </w:rPr>
        <w:t>（包括资产负债表、现金流量表、利润表）复印件或扫描件、所有复印件或扫描件需加盖单位公章。</w:t>
      </w:r>
    </w:p>
    <w:p>
      <w:pPr>
        <w:spacing w:line="360" w:lineRule="auto"/>
        <w:ind w:firstLine="482" w:firstLineChars="200"/>
        <w:rPr>
          <w:rFonts w:hint="eastAsia" w:ascii="仿宋" w:hAnsi="仿宋" w:eastAsia="仿宋" w:cs="仿宋"/>
          <w:b/>
          <w:color w:val="auto"/>
          <w:sz w:val="24"/>
          <w:highlight w:val="none"/>
        </w:rPr>
      </w:pPr>
      <w:bookmarkStart w:id="299" w:name="_Toc7005122"/>
      <w:r>
        <w:rPr>
          <w:rFonts w:hint="eastAsia" w:ascii="仿宋" w:hAnsi="仿宋" w:eastAsia="仿宋" w:cs="仿宋"/>
          <w:b/>
          <w:color w:val="auto"/>
          <w:sz w:val="24"/>
          <w:highlight w:val="none"/>
        </w:rPr>
        <w:t>或4-2  本年度基本开户银行出具的资信证明</w:t>
      </w:r>
      <w:bookmarkEnd w:id="299"/>
    </w:p>
    <w:p>
      <w:pPr>
        <w:spacing w:line="360" w:lineRule="auto"/>
        <w:ind w:firstLine="480" w:firstLineChars="200"/>
        <w:rPr>
          <w:rFonts w:hint="eastAsia" w:ascii="仿宋" w:hAnsi="仿宋" w:eastAsia="仿宋" w:cs="仿宋"/>
          <w:color w:val="auto"/>
          <w:sz w:val="24"/>
          <w:highlight w:val="none"/>
        </w:rPr>
      </w:pPr>
    </w:p>
    <w:p>
      <w:pPr>
        <w:tabs>
          <w:tab w:val="left" w:pos="5580"/>
        </w:tabs>
        <w:spacing w:line="360" w:lineRule="auto"/>
        <w:ind w:firstLine="480" w:firstLineChars="200"/>
        <w:rPr>
          <w:rFonts w:hint="eastAsia" w:ascii="仿宋" w:hAnsi="仿宋" w:eastAsia="仿宋" w:cs="仿宋"/>
          <w:color w:val="auto"/>
          <w:sz w:val="24"/>
          <w:highlight w:val="none"/>
        </w:rPr>
      </w:pPr>
    </w:p>
    <w:p>
      <w:pPr>
        <w:spacing w:line="360" w:lineRule="auto"/>
        <w:ind w:firstLine="482" w:firstLineChars="200"/>
        <w:rPr>
          <w:rFonts w:hint="eastAsia" w:ascii="仿宋" w:hAnsi="仿宋" w:eastAsia="仿宋" w:cs="仿宋"/>
          <w:b/>
          <w:color w:val="auto"/>
          <w:sz w:val="24"/>
          <w:highlight w:val="none"/>
        </w:rPr>
      </w:pPr>
      <w:bookmarkStart w:id="300" w:name="_Toc7005123"/>
      <w:r>
        <w:rPr>
          <w:rFonts w:hint="eastAsia" w:ascii="仿宋" w:hAnsi="仿宋" w:eastAsia="仿宋" w:cs="仿宋"/>
          <w:b/>
          <w:color w:val="auto"/>
          <w:sz w:val="24"/>
          <w:highlight w:val="none"/>
        </w:rPr>
        <w:t>4-3  依法缴纳税收的证明</w:t>
      </w:r>
      <w:bookmarkEnd w:id="300"/>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1、供应商应提供自磋商响应文件递交截止时间前近六个月中任何一个月依法缴纳税收的凭证，时间以税款所属时期为准（银行出具的缴税凭证或税务机关出具的证明的复印件，并加盖本单位公章）。</w:t>
      </w:r>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2、依法免税的供应商，应提供相应文件证明其依法免税。</w:t>
      </w:r>
    </w:p>
    <w:p>
      <w:pPr>
        <w:spacing w:line="360" w:lineRule="auto"/>
        <w:ind w:firstLine="482" w:firstLineChars="200"/>
        <w:rPr>
          <w:rFonts w:hint="eastAsia" w:ascii="仿宋" w:hAnsi="仿宋" w:eastAsia="仿宋" w:cs="仿宋"/>
          <w:b/>
          <w:color w:val="auto"/>
          <w:sz w:val="24"/>
          <w:highlight w:val="none"/>
        </w:rPr>
      </w:pPr>
    </w:p>
    <w:p>
      <w:pPr>
        <w:pStyle w:val="2"/>
        <w:rPr>
          <w:rFonts w:hint="eastAsia" w:ascii="仿宋" w:hAnsi="仿宋" w:eastAsia="仿宋" w:cs="仿宋"/>
          <w:color w:val="auto"/>
          <w:highlight w:val="none"/>
        </w:rPr>
      </w:pPr>
    </w:p>
    <w:p>
      <w:pPr>
        <w:spacing w:line="360" w:lineRule="auto"/>
        <w:ind w:firstLine="482" w:firstLineChars="200"/>
        <w:rPr>
          <w:rFonts w:hint="eastAsia" w:ascii="仿宋" w:hAnsi="仿宋" w:eastAsia="仿宋" w:cs="仿宋"/>
          <w:b/>
          <w:color w:val="auto"/>
          <w:sz w:val="24"/>
          <w:highlight w:val="none"/>
        </w:rPr>
      </w:pPr>
      <w:bookmarkStart w:id="301" w:name="_Toc7005124"/>
      <w:r>
        <w:rPr>
          <w:rFonts w:hint="eastAsia" w:ascii="仿宋" w:hAnsi="仿宋" w:eastAsia="仿宋" w:cs="仿宋"/>
          <w:b/>
          <w:color w:val="auto"/>
          <w:sz w:val="24"/>
          <w:highlight w:val="none"/>
        </w:rPr>
        <w:t>4-4  社会保障资金缴纳记录</w:t>
      </w:r>
      <w:bookmarkEnd w:id="301"/>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1、投标人应提供近六个月中至少一个月的社会缴纳社会保险的凭据（专用收据或社会保险缴纳清单），并加盖本单位公章。</w:t>
      </w:r>
    </w:p>
    <w:p>
      <w:pPr>
        <w:tabs>
          <w:tab w:val="left" w:pos="993"/>
          <w:tab w:val="left" w:pos="1030"/>
          <w:tab w:val="left" w:pos="836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2、不需要缴纳社会保障资金的投标人，应提供相应文件证明其不需要缴纳社会保障资金。</w:t>
      </w:r>
    </w:p>
    <w:p>
      <w:pPr>
        <w:tabs>
          <w:tab w:val="left" w:pos="5580"/>
        </w:tabs>
        <w:spacing w:line="360" w:lineRule="auto"/>
        <w:ind w:firstLine="480" w:firstLineChars="200"/>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tabs>
          <w:tab w:val="left" w:pos="5580"/>
        </w:tabs>
        <w:spacing w:line="360" w:lineRule="auto"/>
        <w:ind w:firstLine="480" w:firstLineChars="200"/>
        <w:rPr>
          <w:rFonts w:hint="eastAsia" w:ascii="仿宋" w:hAnsi="仿宋" w:eastAsia="仿宋" w:cs="仿宋"/>
          <w:color w:val="auto"/>
          <w:sz w:val="24"/>
          <w:highlight w:val="none"/>
        </w:rPr>
      </w:pPr>
    </w:p>
    <w:p>
      <w:pPr>
        <w:pStyle w:val="2"/>
        <w:rPr>
          <w:rFonts w:hint="eastAsia" w:ascii="仿宋" w:hAnsi="仿宋" w:eastAsia="仿宋" w:cs="仿宋"/>
          <w:color w:val="auto"/>
          <w:highlight w:val="none"/>
        </w:rPr>
      </w:pPr>
    </w:p>
    <w:p>
      <w:pPr>
        <w:spacing w:line="360" w:lineRule="auto"/>
        <w:ind w:firstLine="482" w:firstLineChars="200"/>
        <w:rPr>
          <w:rFonts w:hint="eastAsia" w:ascii="仿宋" w:hAnsi="仿宋" w:eastAsia="仿宋" w:cs="仿宋"/>
          <w:b/>
          <w:color w:val="auto"/>
          <w:sz w:val="24"/>
          <w:highlight w:val="none"/>
        </w:rPr>
      </w:pPr>
      <w:bookmarkStart w:id="302" w:name="_Toc7005125"/>
      <w:r>
        <w:rPr>
          <w:rFonts w:hint="eastAsia" w:ascii="仿宋" w:hAnsi="仿宋" w:eastAsia="仿宋" w:cs="仿宋"/>
          <w:b/>
          <w:color w:val="auto"/>
          <w:sz w:val="24"/>
          <w:highlight w:val="none"/>
        </w:rPr>
        <w:t>4-5  具备履行合同所必需的设备和专业技术能力承诺书</w:t>
      </w:r>
      <w:bookmarkEnd w:id="302"/>
    </w:p>
    <w:p>
      <w:pPr>
        <w:spacing w:line="360" w:lineRule="auto"/>
        <w:rPr>
          <w:rFonts w:hint="eastAsia" w:ascii="仿宋" w:hAnsi="仿宋" w:eastAsia="仿宋" w:cs="仿宋"/>
          <w:color w:val="auto"/>
          <w:kern w:val="0"/>
          <w:sz w:val="24"/>
          <w:highlight w:val="none"/>
        </w:rPr>
      </w:pPr>
    </w:p>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陕西省采购招标有限责任公司：</w:t>
      </w:r>
    </w:p>
    <w:p>
      <w:pPr>
        <w:spacing w:line="360" w:lineRule="auto"/>
        <w:ind w:firstLine="480" w:firstLineChars="200"/>
        <w:rPr>
          <w:rFonts w:hint="eastAsia" w:ascii="仿宋" w:hAnsi="仿宋" w:eastAsia="仿宋" w:cs="仿宋"/>
          <w:color w:val="auto"/>
          <w:kern w:val="0"/>
          <w:sz w:val="24"/>
          <w:highlight w:val="none"/>
        </w:rPr>
      </w:pP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pPr>
        <w:spacing w:line="360" w:lineRule="auto"/>
        <w:ind w:firstLine="482" w:firstLineChars="200"/>
        <w:rPr>
          <w:rFonts w:hint="eastAsia" w:ascii="仿宋" w:hAnsi="仿宋" w:eastAsia="仿宋" w:cs="仿宋"/>
          <w:b/>
          <w:color w:val="auto"/>
          <w:sz w:val="24"/>
          <w:highlight w:val="none"/>
        </w:rPr>
      </w:pPr>
    </w:p>
    <w:p>
      <w:pPr>
        <w:spacing w:line="360" w:lineRule="auto"/>
        <w:ind w:firstLine="482" w:firstLineChars="200"/>
        <w:rPr>
          <w:rFonts w:hint="eastAsia" w:ascii="仿宋" w:hAnsi="仿宋" w:eastAsia="仿宋" w:cs="仿宋"/>
          <w:b/>
          <w:color w:val="auto"/>
          <w:sz w:val="24"/>
          <w:highlight w:val="none"/>
        </w:rPr>
      </w:pP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投标人名称（盖章）：</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5580"/>
        </w:tabs>
        <w:spacing w:line="360" w:lineRule="auto"/>
        <w:ind w:firstLine="480" w:firstLineChars="200"/>
        <w:rPr>
          <w:rFonts w:hint="eastAsia" w:ascii="仿宋" w:hAnsi="仿宋" w:eastAsia="仿宋" w:cs="仿宋"/>
          <w:color w:val="auto"/>
          <w:sz w:val="24"/>
          <w:highlight w:val="none"/>
        </w:rPr>
      </w:pPr>
    </w:p>
    <w:p>
      <w:pPr>
        <w:widowControl/>
        <w:spacing w:line="360" w:lineRule="auto"/>
        <w:ind w:firstLine="482" w:firstLineChars="200"/>
        <w:rPr>
          <w:rFonts w:hint="eastAsia" w:ascii="仿宋" w:hAnsi="仿宋" w:eastAsia="仿宋" w:cs="仿宋"/>
          <w:b/>
          <w:color w:val="auto"/>
          <w:sz w:val="24"/>
          <w:highlight w:val="none"/>
        </w:rPr>
      </w:pPr>
    </w:p>
    <w:p>
      <w:pPr>
        <w:spacing w:line="360" w:lineRule="auto"/>
        <w:ind w:firstLine="482" w:firstLineChars="200"/>
        <w:rPr>
          <w:rFonts w:hint="eastAsia" w:ascii="仿宋" w:hAnsi="仿宋" w:eastAsia="仿宋" w:cs="仿宋"/>
          <w:b/>
          <w:color w:val="auto"/>
          <w:sz w:val="24"/>
          <w:highlight w:val="none"/>
        </w:rPr>
      </w:pPr>
      <w:bookmarkStart w:id="303" w:name="_Toc60929131"/>
      <w:bookmarkStart w:id="304" w:name="_Toc60928899"/>
      <w:bookmarkStart w:id="305" w:name="_Toc7005126"/>
      <w:bookmarkStart w:id="306" w:name="_Toc60928818"/>
      <w:r>
        <w:rPr>
          <w:rFonts w:hint="eastAsia" w:ascii="仿宋" w:hAnsi="仿宋" w:eastAsia="仿宋" w:cs="仿宋"/>
          <w:b/>
          <w:color w:val="auto"/>
          <w:sz w:val="24"/>
          <w:highlight w:val="none"/>
        </w:rPr>
        <w:t>4-6  投标人参加政府采购活动前3年内在经营活动中没有重大违法记录的书面声明</w:t>
      </w:r>
      <w:bookmarkEnd w:id="303"/>
      <w:bookmarkEnd w:id="304"/>
      <w:bookmarkEnd w:id="305"/>
      <w:bookmarkEnd w:id="306"/>
    </w:p>
    <w:p>
      <w:pPr>
        <w:tabs>
          <w:tab w:val="left" w:pos="5580"/>
        </w:tabs>
        <w:spacing w:line="360" w:lineRule="auto"/>
        <w:rPr>
          <w:rFonts w:hint="eastAsia" w:ascii="仿宋" w:hAnsi="仿宋" w:eastAsia="仿宋" w:cs="仿宋"/>
          <w:color w:val="auto"/>
          <w:sz w:val="24"/>
          <w:highlight w:val="none"/>
        </w:rPr>
      </w:pPr>
    </w:p>
    <w:p>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pStyle w:val="2"/>
        <w:rPr>
          <w:rFonts w:hint="eastAsia" w:ascii="仿宋" w:hAnsi="仿宋" w:eastAsia="仿宋" w:cs="仿宋"/>
          <w:color w:val="auto"/>
          <w:highlight w:val="none"/>
        </w:rPr>
      </w:pPr>
    </w:p>
    <w:p>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tabs>
          <w:tab w:val="left" w:pos="5580"/>
        </w:tabs>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投标人名称（盖章）：</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360" w:lineRule="auto"/>
        <w:ind w:firstLine="482" w:firstLineChars="200"/>
        <w:rPr>
          <w:rFonts w:hint="eastAsia" w:ascii="仿宋" w:hAnsi="仿宋" w:eastAsia="仿宋" w:cs="仿宋"/>
          <w:b/>
          <w:color w:val="auto"/>
          <w:sz w:val="24"/>
          <w:highlight w:val="none"/>
        </w:rPr>
      </w:pPr>
      <w:bookmarkStart w:id="307" w:name="_Toc60929132"/>
      <w:bookmarkStart w:id="308" w:name="_Toc60928819"/>
      <w:bookmarkStart w:id="309" w:name="_Toc60928900"/>
      <w:bookmarkStart w:id="310" w:name="_Toc7005127"/>
    </w:p>
    <w:p>
      <w:pPr>
        <w:pStyle w:val="2"/>
        <w:rPr>
          <w:rFonts w:hint="eastAsia" w:ascii="仿宋" w:hAnsi="仿宋" w:eastAsia="仿宋" w:cs="仿宋"/>
          <w:b/>
          <w:color w:val="auto"/>
          <w:sz w:val="24"/>
          <w:highlight w:val="none"/>
        </w:rPr>
      </w:pPr>
    </w:p>
    <w:p>
      <w:pPr>
        <w:pStyle w:val="3"/>
        <w:rPr>
          <w:rFonts w:hint="eastAsia" w:ascii="仿宋" w:hAnsi="仿宋" w:eastAsia="仿宋" w:cs="仿宋"/>
          <w:b/>
          <w:color w:val="auto"/>
          <w:sz w:val="24"/>
          <w:highlight w:val="none"/>
        </w:rPr>
      </w:pPr>
    </w:p>
    <w:p>
      <w:pPr>
        <w:rPr>
          <w:rFonts w:hint="eastAsia"/>
        </w:rPr>
      </w:pPr>
      <w:bookmarkStart w:id="393" w:name="_GoBack"/>
      <w:bookmarkEnd w:id="393"/>
    </w:p>
    <w:p>
      <w:pPr>
        <w:rPr>
          <w:rFonts w:hint="eastAsia" w:ascii="仿宋" w:hAnsi="仿宋" w:eastAsia="仿宋" w:cs="仿宋"/>
          <w:color w:val="auto"/>
          <w:highlight w:val="none"/>
        </w:rPr>
      </w:pPr>
    </w:p>
    <w:p>
      <w:pPr>
        <w:spacing w:line="360" w:lineRule="auto"/>
        <w:ind w:firstLine="482" w:firstLineChars="200"/>
        <w:rPr>
          <w:rFonts w:hint="eastAsia" w:ascii="仿宋" w:hAnsi="仿宋" w:eastAsia="仿宋" w:cs="仿宋"/>
          <w:b/>
          <w:color w:val="auto"/>
          <w:sz w:val="24"/>
          <w:highlight w:val="none"/>
        </w:rPr>
      </w:pP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4-7  投标人控股股东名称、控股公司的名称和存在管理、被管理关系的单位名称说明</w:t>
      </w:r>
      <w:bookmarkEnd w:id="307"/>
      <w:bookmarkEnd w:id="308"/>
      <w:bookmarkEnd w:id="309"/>
      <w:bookmarkEnd w:id="310"/>
    </w:p>
    <w:p>
      <w:pPr>
        <w:pStyle w:val="2"/>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pStyle w:val="2"/>
        <w:spacing w:before="0" w:line="360" w:lineRule="auto"/>
        <w:ind w:firstLine="480" w:firstLineChars="200"/>
        <w:rPr>
          <w:rFonts w:hint="eastAsia" w:ascii="仿宋" w:hAnsi="仿宋" w:eastAsia="仿宋" w:cs="仿宋"/>
          <w:color w:val="auto"/>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投标人名称（盖章）：</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2" w:firstLineChars="200"/>
        <w:rPr>
          <w:rFonts w:hint="eastAsia" w:ascii="仿宋" w:hAnsi="仿宋" w:eastAsia="仿宋" w:cs="仿宋"/>
          <w:b/>
          <w:color w:val="auto"/>
          <w:sz w:val="24"/>
          <w:highlight w:val="none"/>
        </w:rPr>
      </w:pPr>
    </w:p>
    <w:p>
      <w:pPr>
        <w:spacing w:line="360" w:lineRule="auto"/>
        <w:ind w:firstLine="482" w:firstLineChars="200"/>
        <w:rPr>
          <w:rFonts w:hint="eastAsia" w:ascii="仿宋" w:hAnsi="仿宋" w:eastAsia="仿宋" w:cs="仿宋"/>
          <w:b/>
          <w:color w:val="auto"/>
          <w:sz w:val="24"/>
          <w:highlight w:val="none"/>
        </w:rPr>
      </w:pPr>
      <w:bookmarkStart w:id="311" w:name="_Toc7005128"/>
      <w:bookmarkStart w:id="312" w:name="_Toc60928820"/>
      <w:bookmarkStart w:id="313" w:name="_Toc60929133"/>
      <w:bookmarkStart w:id="314" w:name="_Toc60928901"/>
      <w:r>
        <w:rPr>
          <w:rFonts w:hint="eastAsia" w:ascii="仿宋" w:hAnsi="仿宋" w:eastAsia="仿宋" w:cs="仿宋"/>
          <w:b/>
          <w:color w:val="auto"/>
          <w:sz w:val="24"/>
          <w:highlight w:val="none"/>
        </w:rPr>
        <w:t>4-8  投标人是否属于为本项目提供整体设计、规范编制或者项目管理、监理、检测等服务的投标人声明</w:t>
      </w:r>
      <w:bookmarkEnd w:id="311"/>
      <w:bookmarkEnd w:id="312"/>
      <w:bookmarkEnd w:id="313"/>
      <w:bookmarkEnd w:id="314"/>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不属于</w:t>
      </w:r>
      <w:r>
        <w:rPr>
          <w:rFonts w:hint="eastAsia" w:ascii="仿宋" w:hAnsi="仿宋" w:eastAsia="仿宋" w:cs="仿宋"/>
          <w:color w:val="auto"/>
          <w:sz w:val="24"/>
          <w:highlight w:val="none"/>
        </w:rPr>
        <w:t>为本项目提供整体设计、规范编制或者项目管理、监理、检测等服务的投标人。</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投标人名称（盖章）：</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360" w:lineRule="auto"/>
        <w:ind w:firstLine="482" w:firstLineChars="200"/>
        <w:rPr>
          <w:rFonts w:hint="eastAsia" w:ascii="仿宋" w:hAnsi="仿宋" w:eastAsia="仿宋" w:cs="仿宋"/>
          <w:b/>
          <w:color w:val="auto"/>
          <w:sz w:val="24"/>
          <w:highlight w:val="none"/>
        </w:rPr>
      </w:pPr>
      <w:bookmarkStart w:id="315" w:name="_Toc7005129"/>
      <w:bookmarkStart w:id="316" w:name="_Toc60928821"/>
      <w:bookmarkStart w:id="317" w:name="_Toc60928902"/>
      <w:bookmarkStart w:id="318" w:name="_Toc60929134"/>
    </w:p>
    <w:p>
      <w:pPr>
        <w:pStyle w:val="2"/>
        <w:rPr>
          <w:rFonts w:hint="eastAsia"/>
          <w:color w:val="auto"/>
          <w:highlight w:val="none"/>
        </w:rPr>
      </w:pP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4-9  证明投标人符合特定资格条件的证明材料</w:t>
      </w:r>
      <w:bookmarkEnd w:id="315"/>
      <w:r>
        <w:rPr>
          <w:rFonts w:hint="eastAsia" w:ascii="仿宋" w:hAnsi="仿宋" w:eastAsia="仿宋" w:cs="仿宋"/>
          <w:b/>
          <w:color w:val="auto"/>
          <w:sz w:val="24"/>
          <w:highlight w:val="none"/>
        </w:rPr>
        <w:t>：</w:t>
      </w:r>
      <w:bookmarkEnd w:id="316"/>
      <w:bookmarkEnd w:id="317"/>
      <w:bookmarkEnd w:id="318"/>
      <w:bookmarkStart w:id="319" w:name="_Toc1083"/>
      <w:bookmarkStart w:id="320" w:name="_Toc515647807"/>
      <w:bookmarkStart w:id="321" w:name="_Toc22472"/>
      <w:bookmarkStart w:id="322" w:name="_Toc532473497"/>
      <w:bookmarkStart w:id="323" w:name="_Toc520356217"/>
      <w:bookmarkStart w:id="324" w:name="_Toc480942349"/>
      <w:bookmarkStart w:id="325" w:name="_Ref467988698"/>
      <w:bookmarkStart w:id="326" w:name="_Toc216582813"/>
    </w:p>
    <w:p>
      <w:pPr>
        <w:pStyle w:val="14"/>
        <w:ind w:left="0" w:leftChars="0" w:right="1470"/>
        <w:rPr>
          <w:rFonts w:hint="eastAsia" w:ascii="仿宋" w:hAnsi="仿宋" w:eastAsia="仿宋" w:cs="仿宋"/>
          <w:color w:val="auto"/>
          <w:highlight w:val="none"/>
        </w:rPr>
      </w:pPr>
    </w:p>
    <w:bookmarkEnd w:id="319"/>
    <w:bookmarkEnd w:id="320"/>
    <w:bookmarkEnd w:id="321"/>
    <w:bookmarkEnd w:id="322"/>
    <w:p>
      <w:pPr>
        <w:pStyle w:val="5"/>
        <w:numPr>
          <w:ilvl w:val="0"/>
          <w:numId w:val="3"/>
        </w:numPr>
        <w:spacing w:before="0" w:line="360" w:lineRule="auto"/>
        <w:rPr>
          <w:rFonts w:hint="eastAsia" w:ascii="仿宋" w:hAnsi="仿宋" w:eastAsia="仿宋" w:cs="仿宋"/>
          <w:b/>
          <w:bCs/>
          <w:color w:val="auto"/>
          <w:highlight w:val="none"/>
          <w:lang w:val="zh-CN"/>
        </w:rPr>
      </w:pPr>
      <w:r>
        <w:rPr>
          <w:rFonts w:hint="eastAsia" w:ascii="仿宋" w:hAnsi="仿宋" w:eastAsia="仿宋" w:cs="仿宋"/>
          <w:color w:val="auto"/>
          <w:sz w:val="24"/>
          <w:szCs w:val="24"/>
          <w:highlight w:val="none"/>
          <w:lang w:val="zh-CN"/>
        </w:rPr>
        <w:br w:type="page"/>
      </w:r>
      <w:bookmarkStart w:id="327" w:name="_Toc138175453"/>
      <w:r>
        <w:rPr>
          <w:rFonts w:hint="eastAsia" w:ascii="仿宋" w:hAnsi="仿宋" w:eastAsia="仿宋" w:cs="仿宋"/>
          <w:b/>
          <w:bCs/>
          <w:color w:val="auto"/>
          <w:highlight w:val="none"/>
          <w:lang w:val="zh-CN"/>
        </w:rPr>
        <w:t xml:space="preserve"> </w:t>
      </w:r>
      <w:bookmarkStart w:id="328" w:name="_Toc31138"/>
      <w:r>
        <w:rPr>
          <w:rFonts w:hint="eastAsia" w:ascii="仿宋" w:hAnsi="仿宋" w:eastAsia="仿宋" w:cs="仿宋"/>
          <w:b/>
          <w:bCs/>
          <w:color w:val="auto"/>
          <w:highlight w:val="none"/>
          <w:lang w:val="zh-CN"/>
        </w:rPr>
        <w:t>商务及技术文件</w:t>
      </w:r>
      <w:bookmarkEnd w:id="327"/>
      <w:bookmarkEnd w:id="328"/>
    </w:p>
    <w:p>
      <w:pPr>
        <w:pStyle w:val="6"/>
        <w:numPr>
          <w:ilvl w:val="0"/>
          <w:numId w:val="0"/>
        </w:numPr>
        <w:rPr>
          <w:rFonts w:hint="eastAsia"/>
          <w:color w:val="auto"/>
          <w:highlight w:val="none"/>
          <w:lang w:val="zh-CN"/>
        </w:rPr>
      </w:pPr>
    </w:p>
    <w:p>
      <w:pPr>
        <w:pStyle w:val="18"/>
        <w:tabs>
          <w:tab w:val="left" w:pos="55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（投标文件格式一）</w:t>
      </w:r>
    </w:p>
    <w:bookmarkEnd w:id="323"/>
    <w:bookmarkEnd w:id="324"/>
    <w:bookmarkEnd w:id="325"/>
    <w:p>
      <w:pPr>
        <w:pStyle w:val="18"/>
        <w:spacing w:line="360" w:lineRule="auto"/>
        <w:jc w:val="center"/>
        <w:rPr>
          <w:rFonts w:hint="eastAsia" w:ascii="仿宋" w:hAnsi="仿宋" w:eastAsia="仿宋" w:cs="仿宋"/>
          <w:b/>
          <w:color w:val="auto"/>
          <w:sz w:val="32"/>
          <w:highlight w:val="none"/>
        </w:rPr>
      </w:pPr>
      <w:bookmarkStart w:id="329" w:name="_Hlt520355504"/>
      <w:bookmarkEnd w:id="329"/>
      <w:bookmarkStart w:id="330" w:name="_Toc14915"/>
      <w:bookmarkStart w:id="331" w:name="_Toc2041"/>
      <w:bookmarkStart w:id="332" w:name="_Toc532473505"/>
      <w:bookmarkStart w:id="333" w:name="_Toc60928904"/>
      <w:bookmarkStart w:id="334" w:name="_Toc60929136"/>
      <w:bookmarkStart w:id="335" w:name="_Toc515647817"/>
      <w:r>
        <w:rPr>
          <w:rFonts w:hint="eastAsia" w:ascii="仿宋" w:hAnsi="仿宋" w:eastAsia="仿宋" w:cs="仿宋"/>
          <w:b/>
          <w:color w:val="auto"/>
          <w:sz w:val="32"/>
          <w:highlight w:val="none"/>
        </w:rPr>
        <w:t>投标函</w:t>
      </w:r>
      <w:bookmarkEnd w:id="326"/>
      <w:bookmarkEnd w:id="330"/>
      <w:bookmarkEnd w:id="331"/>
      <w:bookmarkEnd w:id="332"/>
      <w:bookmarkEnd w:id="333"/>
      <w:bookmarkEnd w:id="334"/>
      <w:bookmarkEnd w:id="335"/>
    </w:p>
    <w:p>
      <w:pPr>
        <w:tabs>
          <w:tab w:val="left" w:pos="55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（采购人或采购代理机构名称）</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lang w:eastAsia="zh-CN"/>
        </w:rPr>
        <w:t xml:space="preserve">2023年西安市灞河右岸滨水景观带全民健身场地设施提升改造项目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SCZB2023-ZB-1616-001</w:t>
      </w:r>
      <w:r>
        <w:rPr>
          <w:rFonts w:hint="eastAsia" w:ascii="仿宋" w:hAnsi="仿宋" w:eastAsia="仿宋" w:cs="仿宋"/>
          <w:color w:val="auto"/>
          <w:sz w:val="24"/>
          <w:highlight w:val="none"/>
        </w:rPr>
        <w:t>)项目的招标文件</w:t>
      </w:r>
      <w:r>
        <w:rPr>
          <w:rFonts w:hint="eastAsia" w:ascii="仿宋" w:hAnsi="仿宋" w:eastAsia="仿宋" w:cs="仿宋"/>
          <w:color w:val="auto"/>
          <w:sz w:val="24"/>
          <w:szCs w:val="24"/>
          <w:highlight w:val="none"/>
          <w:lang w:val="zh-CN"/>
        </w:rPr>
        <w:t>，我方郑重声明以下诸点，并负法律责任。</w:t>
      </w:r>
    </w:p>
    <w:p>
      <w:pPr>
        <w:pStyle w:val="18"/>
        <w:tabs>
          <w:tab w:val="left" w:pos="720"/>
          <w:tab w:val="left" w:pos="900"/>
        </w:tabs>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（1）按照招标文件的规定，我公司投标总价为：</w:t>
      </w:r>
      <w:r>
        <w:rPr>
          <w:rFonts w:hint="eastAsia" w:ascii="仿宋" w:hAnsi="仿宋" w:eastAsia="仿宋" w:cs="仿宋"/>
          <w:color w:val="auto"/>
          <w:sz w:val="24"/>
          <w:highlight w:val="none"/>
          <w:u w:val="single"/>
        </w:rPr>
        <w:t>人民币（大写）    元（¥：   元）</w:t>
      </w:r>
      <w:r>
        <w:rPr>
          <w:rFonts w:hint="eastAsia" w:ascii="仿宋" w:hAnsi="仿宋" w:eastAsia="仿宋" w:cs="仿宋"/>
          <w:color w:val="auto"/>
          <w:sz w:val="24"/>
          <w:highlight w:val="none"/>
        </w:rPr>
        <w:t>，其中联合协议或分包意向协议（如有）约定由小型和微型企业制造产品的价格为</w:t>
      </w:r>
      <w:r>
        <w:rPr>
          <w:rFonts w:hint="eastAsia" w:ascii="仿宋" w:hAnsi="仿宋" w:eastAsia="仿宋" w:cs="仿宋"/>
          <w:color w:val="auto"/>
          <w:sz w:val="24"/>
          <w:highlight w:val="none"/>
          <w:u w:val="single"/>
        </w:rPr>
        <w:t>人民币（大写）    元（¥：   元），占投标总价的   %</w:t>
      </w:r>
      <w:r>
        <w:rPr>
          <w:rFonts w:hint="eastAsia" w:ascii="仿宋" w:hAnsi="仿宋" w:eastAsia="仿宋" w:cs="仿宋"/>
          <w:color w:val="auto"/>
          <w:sz w:val="24"/>
          <w:highlight w:val="none"/>
        </w:rPr>
        <w:t>。</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w:t>
      </w:r>
      <w:r>
        <w:rPr>
          <w:rFonts w:hint="eastAsia" w:ascii="仿宋" w:hAnsi="仿宋" w:eastAsia="仿宋" w:cs="仿宋"/>
          <w:color w:val="auto"/>
          <w:sz w:val="24"/>
          <w:szCs w:val="24"/>
          <w:highlight w:val="none"/>
        </w:rPr>
        <w:t>投标截止之日起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个日历日</w:t>
      </w:r>
      <w:r>
        <w:rPr>
          <w:rFonts w:hint="eastAsia" w:ascii="仿宋" w:hAnsi="仿宋" w:eastAsia="仿宋" w:cs="仿宋"/>
          <w:color w:val="auto"/>
          <w:sz w:val="24"/>
          <w:szCs w:val="24"/>
          <w:highlight w:val="none"/>
          <w:lang w:val="zh-CN"/>
        </w:rPr>
        <w:t>，若我方中标，投标文件有效期自动延长至合同执行完毕。</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（3）已详细审查全部招标文件，包括所有补充通知，完全理解并同意放弃对这方面有不明、误解的权利。</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（4）按照招标文件的规定，在中标后向贵方一次性支付招标代理费。</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（5）按照贵方可能的要求，提供与投标有关的一切数据或资料，我们完全理解最低投标报价不作为中标的唯一条件，且尊重评标结论和定标结果。</w:t>
      </w:r>
    </w:p>
    <w:p>
      <w:pPr>
        <w:pStyle w:val="18"/>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（6）完全理解并无条件承担中标后不依法与采购人签订合同的法律后果。</w:t>
      </w:r>
    </w:p>
    <w:p>
      <w:pPr>
        <w:pStyle w:val="18"/>
        <w:tabs>
          <w:tab w:val="left" w:pos="5580"/>
        </w:tabs>
        <w:snapToGrid w:val="0"/>
        <w:spacing w:line="360" w:lineRule="auto"/>
        <w:ind w:left="96" w:hanging="96" w:hangingChars="40"/>
        <w:rPr>
          <w:rFonts w:hint="eastAsia" w:ascii="仿宋" w:hAnsi="仿宋" w:eastAsia="仿宋" w:cs="仿宋"/>
          <w:color w:val="auto"/>
          <w:sz w:val="24"/>
          <w:highlight w:val="none"/>
        </w:rPr>
      </w:pPr>
    </w:p>
    <w:p>
      <w:pPr>
        <w:autoSpaceDE w:val="0"/>
        <w:autoSpaceDN w:val="0"/>
        <w:adjustRightInd w:val="0"/>
        <w:snapToGrid w:val="0"/>
        <w:spacing w:line="360" w:lineRule="auto"/>
        <w:rPr>
          <w:rFonts w:hint="eastAsia" w:ascii="仿宋" w:hAnsi="仿宋" w:eastAsia="仿宋" w:cs="仿宋"/>
          <w:color w:val="auto"/>
          <w:sz w:val="24"/>
          <w:highlight w:val="none"/>
        </w:rPr>
      </w:pPr>
      <w:bookmarkStart w:id="336" w:name="_Toc1266"/>
      <w:bookmarkStart w:id="337" w:name="_Toc23473"/>
      <w:bookmarkStart w:id="338" w:name="_Toc532473506"/>
      <w:r>
        <w:rPr>
          <w:rFonts w:hint="eastAsia" w:ascii="仿宋" w:hAnsi="仿宋" w:eastAsia="仿宋" w:cs="仿宋"/>
          <w:color w:val="auto"/>
          <w:sz w:val="24"/>
          <w:highlight w:val="none"/>
          <w:lang w:val="zh-CN"/>
        </w:rPr>
        <w:t>投标人全称（</w:t>
      </w:r>
      <w:r>
        <w:rPr>
          <w:rFonts w:hint="eastAsia" w:ascii="仿宋" w:hAnsi="仿宋" w:eastAsia="仿宋" w:cs="仿宋"/>
          <w:color w:val="auto"/>
          <w:sz w:val="24"/>
          <w:highlight w:val="none"/>
        </w:rPr>
        <w:t>盖章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地址：</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账号：</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zh-CN"/>
        </w:rPr>
        <w:t>授权代表（签字或盖章）：</w:t>
      </w:r>
      <w:r>
        <w:rPr>
          <w:rFonts w:hint="eastAsia" w:ascii="仿宋" w:hAnsi="仿宋" w:eastAsia="仿宋" w:cs="仿宋"/>
          <w:color w:val="auto"/>
          <w:sz w:val="24"/>
          <w:highlight w:val="none"/>
        </w:rPr>
        <w:t>_____________</w:t>
      </w:r>
    </w:p>
    <w:p>
      <w:pPr>
        <w:snapToGrid w:val="0"/>
        <w:spacing w:line="360" w:lineRule="auto"/>
        <w:ind w:firstLine="5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_____</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日</w:t>
      </w:r>
      <w:bookmarkEnd w:id="336"/>
      <w:bookmarkEnd w:id="337"/>
      <w:bookmarkEnd w:id="338"/>
      <w:bookmarkStart w:id="339" w:name="_Hlt520355938"/>
      <w:bookmarkEnd w:id="339"/>
      <w:bookmarkStart w:id="340" w:name="_Hlt520356243"/>
      <w:bookmarkEnd w:id="340"/>
    </w:p>
    <w:p>
      <w:pPr>
        <w:tabs>
          <w:tab w:val="left" w:pos="1800"/>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（投标文件格式二）</w:t>
      </w:r>
    </w:p>
    <w:p>
      <w:pPr>
        <w:pStyle w:val="18"/>
        <w:spacing w:line="360" w:lineRule="auto"/>
        <w:jc w:val="center"/>
        <w:rPr>
          <w:rFonts w:hint="eastAsia" w:ascii="仿宋" w:hAnsi="仿宋" w:eastAsia="仿宋" w:cs="仿宋"/>
          <w:b/>
          <w:color w:val="auto"/>
          <w:sz w:val="32"/>
          <w:highlight w:val="none"/>
        </w:rPr>
      </w:pPr>
      <w:bookmarkStart w:id="341" w:name="_Toc515647804"/>
      <w:bookmarkStart w:id="342" w:name="_Toc60929137"/>
      <w:bookmarkStart w:id="343" w:name="_Toc60928905"/>
      <w:bookmarkStart w:id="344" w:name="_Toc16568"/>
      <w:bookmarkStart w:id="345" w:name="_Toc30524"/>
      <w:bookmarkStart w:id="346" w:name="_Toc532473495"/>
      <w:r>
        <w:rPr>
          <w:rFonts w:hint="eastAsia" w:ascii="仿宋" w:hAnsi="仿宋" w:eastAsia="仿宋" w:cs="仿宋"/>
          <w:b/>
          <w:color w:val="auto"/>
          <w:sz w:val="32"/>
          <w:highlight w:val="none"/>
        </w:rPr>
        <w:t>开标一览表</w:t>
      </w:r>
      <w:bookmarkEnd w:id="341"/>
      <w:bookmarkEnd w:id="342"/>
      <w:bookmarkEnd w:id="343"/>
      <w:bookmarkEnd w:id="344"/>
      <w:bookmarkEnd w:id="345"/>
      <w:bookmarkEnd w:id="346"/>
    </w:p>
    <w:p>
      <w:pPr>
        <w:pStyle w:val="6"/>
        <w:tabs>
          <w:tab w:val="left" w:pos="5580"/>
        </w:tabs>
        <w:spacing w:line="360" w:lineRule="auto"/>
        <w:ind w:firstLine="0"/>
        <w:rPr>
          <w:rFonts w:hint="eastAsia" w:ascii="仿宋" w:hAnsi="仿宋" w:eastAsia="仿宋" w:cs="仿宋"/>
          <w:color w:val="auto"/>
          <w:highlight w:val="none"/>
        </w:rPr>
      </w:pPr>
      <w:bookmarkStart w:id="347" w:name="_Hlt520356241"/>
      <w:bookmarkEnd w:id="347"/>
    </w:p>
    <w:p>
      <w:pPr>
        <w:pStyle w:val="2"/>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tabs>
          <w:tab w:val="left" w:pos="1800"/>
          <w:tab w:val="left" w:pos="558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p>
    <w:tbl>
      <w:tblPr>
        <w:tblStyle w:val="36"/>
        <w:tblW w:w="5000" w:type="pct"/>
        <w:jc w:val="center"/>
        <w:tblLayout w:type="autofit"/>
        <w:tblCellMar>
          <w:top w:w="0" w:type="dxa"/>
          <w:left w:w="0" w:type="dxa"/>
          <w:bottom w:w="0" w:type="dxa"/>
          <w:right w:w="0" w:type="dxa"/>
        </w:tblCellMar>
      </w:tblPr>
      <w:tblGrid>
        <w:gridCol w:w="1706"/>
        <w:gridCol w:w="2329"/>
        <w:gridCol w:w="1439"/>
        <w:gridCol w:w="1511"/>
        <w:gridCol w:w="1053"/>
      </w:tblGrid>
      <w:tr>
        <w:tblPrEx>
          <w:tblCellMar>
            <w:top w:w="0" w:type="dxa"/>
            <w:left w:w="0" w:type="dxa"/>
            <w:bottom w:w="0" w:type="dxa"/>
            <w:right w:w="0" w:type="dxa"/>
          </w:tblCellMar>
        </w:tblPrEx>
        <w:trPr>
          <w:trHeight w:val="662" w:hRule="atLeast"/>
          <w:jc w:val="center"/>
        </w:trPr>
        <w:tc>
          <w:tcPr>
            <w:tcW w:w="1061" w:type="pct"/>
            <w:tcBorders>
              <w:top w:val="single" w:color="auto" w:sz="4" w:space="0"/>
              <w:left w:val="single" w:color="auto" w:sz="4" w:space="0"/>
              <w:bottom w:val="single" w:color="auto" w:sz="8" w:space="0"/>
              <w:right w:val="single" w:color="auto" w:sz="4" w:space="0"/>
            </w:tcBorders>
            <w:vAlign w:val="center"/>
          </w:tcPr>
          <w:p>
            <w:pPr>
              <w:tabs>
                <w:tab w:val="left" w:pos="5580"/>
              </w:tabs>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标段（若有）</w:t>
            </w:r>
          </w:p>
        </w:tc>
        <w:tc>
          <w:tcPr>
            <w:tcW w:w="1449" w:type="pct"/>
            <w:tcBorders>
              <w:top w:val="single" w:color="auto" w:sz="4" w:space="0"/>
              <w:left w:val="single" w:color="auto" w:sz="8" w:space="0"/>
              <w:bottom w:val="single" w:color="auto" w:sz="8" w:space="0"/>
              <w:right w:val="single" w:color="auto" w:sz="4" w:space="0"/>
            </w:tcBorders>
            <w:vAlign w:val="center"/>
          </w:tcPr>
          <w:p>
            <w:pPr>
              <w:tabs>
                <w:tab w:val="left" w:pos="558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投标总价（单位：元）</w:t>
            </w:r>
          </w:p>
        </w:tc>
        <w:tc>
          <w:tcPr>
            <w:tcW w:w="895" w:type="pct"/>
            <w:tcBorders>
              <w:top w:val="single" w:color="auto" w:sz="8" w:space="0"/>
              <w:left w:val="nil"/>
              <w:bottom w:val="single" w:color="auto" w:sz="8" w:space="0"/>
              <w:right w:val="single" w:color="auto" w:sz="4" w:space="0"/>
            </w:tcBorders>
            <w:vAlign w:val="center"/>
          </w:tcPr>
          <w:p>
            <w:pPr>
              <w:tabs>
                <w:tab w:val="left" w:pos="558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期</w:t>
            </w:r>
          </w:p>
        </w:tc>
        <w:tc>
          <w:tcPr>
            <w:tcW w:w="940" w:type="pct"/>
            <w:tcBorders>
              <w:top w:val="single" w:color="auto" w:sz="8" w:space="0"/>
              <w:left w:val="nil"/>
              <w:bottom w:val="single" w:color="auto" w:sz="8" w:space="0"/>
              <w:right w:val="single" w:color="auto" w:sz="4" w:space="0"/>
            </w:tcBorders>
            <w:vAlign w:val="center"/>
          </w:tcPr>
          <w:p>
            <w:pPr>
              <w:tabs>
                <w:tab w:val="left" w:pos="558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地点</w:t>
            </w:r>
          </w:p>
        </w:tc>
        <w:tc>
          <w:tcPr>
            <w:tcW w:w="656" w:type="pct"/>
            <w:tcBorders>
              <w:top w:val="single" w:color="auto" w:sz="8" w:space="0"/>
              <w:left w:val="single" w:color="auto" w:sz="4" w:space="0"/>
              <w:bottom w:val="single" w:color="auto" w:sz="8" w:space="0"/>
              <w:right w:val="single" w:color="auto" w:sz="8" w:space="0"/>
            </w:tcBorders>
            <w:vAlign w:val="center"/>
          </w:tcPr>
          <w:p>
            <w:pPr>
              <w:tabs>
                <w:tab w:val="left" w:pos="558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jc w:val="center"/>
        </w:trPr>
        <w:tc>
          <w:tcPr>
            <w:tcW w:w="1061" w:type="pct"/>
            <w:tcBorders>
              <w:top w:val="single" w:color="auto" w:sz="8"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449" w:type="pct"/>
            <w:tcBorders>
              <w:top w:val="single" w:color="auto" w:sz="8" w:space="0"/>
              <w:left w:val="single" w:color="auto" w:sz="8" w:space="0"/>
              <w:bottom w:val="single" w:color="auto" w:sz="4" w:space="0"/>
              <w:right w:val="single" w:color="auto" w:sz="4" w:space="0"/>
            </w:tcBorders>
            <w:vAlign w:val="center"/>
          </w:tcPr>
          <w:p>
            <w:pPr>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895" w:type="pct"/>
            <w:tcBorders>
              <w:top w:val="single" w:color="auto" w:sz="8" w:space="0"/>
              <w:left w:val="nil"/>
              <w:bottom w:val="single" w:color="auto" w:sz="4" w:space="0"/>
              <w:right w:val="single" w:color="auto" w:sz="4" w:space="0"/>
            </w:tcBorders>
            <w:vAlign w:val="center"/>
          </w:tcPr>
          <w:p>
            <w:pPr>
              <w:tabs>
                <w:tab w:val="left" w:pos="5580"/>
              </w:tabs>
              <w:jc w:val="center"/>
              <w:rPr>
                <w:rFonts w:hint="eastAsia" w:ascii="仿宋" w:hAnsi="仿宋" w:eastAsia="仿宋" w:cs="仿宋"/>
                <w:color w:val="auto"/>
                <w:sz w:val="24"/>
                <w:highlight w:val="none"/>
              </w:rPr>
            </w:pPr>
          </w:p>
        </w:tc>
        <w:tc>
          <w:tcPr>
            <w:tcW w:w="940" w:type="pct"/>
            <w:tcBorders>
              <w:top w:val="single" w:color="auto" w:sz="8" w:space="0"/>
              <w:left w:val="nil"/>
              <w:bottom w:val="single" w:color="auto" w:sz="4" w:space="0"/>
              <w:right w:val="single" w:color="auto" w:sz="4" w:space="0"/>
            </w:tcBorders>
            <w:vAlign w:val="center"/>
          </w:tcPr>
          <w:p>
            <w:pPr>
              <w:tabs>
                <w:tab w:val="left" w:pos="5580"/>
              </w:tabs>
              <w:jc w:val="center"/>
              <w:rPr>
                <w:rFonts w:hint="eastAsia" w:ascii="仿宋" w:hAnsi="仿宋" w:eastAsia="仿宋" w:cs="仿宋"/>
                <w:color w:val="auto"/>
                <w:sz w:val="24"/>
                <w:highlight w:val="none"/>
              </w:rPr>
            </w:pPr>
          </w:p>
        </w:tc>
        <w:tc>
          <w:tcPr>
            <w:tcW w:w="656" w:type="pct"/>
            <w:tcBorders>
              <w:top w:val="single" w:color="auto" w:sz="8" w:space="0"/>
              <w:left w:val="single" w:color="auto" w:sz="4" w:space="0"/>
              <w:bottom w:val="single" w:color="auto" w:sz="4" w:space="0"/>
              <w:right w:val="single" w:color="auto" w:sz="8" w:space="0"/>
            </w:tcBorders>
            <w:vAlign w:val="center"/>
          </w:tcPr>
          <w:p>
            <w:pPr>
              <w:tabs>
                <w:tab w:val="left" w:pos="5580"/>
              </w:tabs>
              <w:spacing w:line="360" w:lineRule="auto"/>
              <w:jc w:val="center"/>
              <w:rPr>
                <w:rFonts w:hint="eastAsia" w:ascii="仿宋" w:hAnsi="仿宋" w:eastAsia="仿宋" w:cs="仿宋"/>
                <w:color w:val="auto"/>
                <w:sz w:val="24"/>
                <w:highlight w:val="none"/>
              </w:rPr>
            </w:pPr>
          </w:p>
        </w:tc>
      </w:tr>
    </w:tbl>
    <w:p>
      <w:pPr>
        <w:pStyle w:val="18"/>
        <w:tabs>
          <w:tab w:val="left" w:pos="5580"/>
        </w:tabs>
        <w:spacing w:line="360" w:lineRule="auto"/>
        <w:rPr>
          <w:rFonts w:hint="eastAsia" w:ascii="仿宋" w:hAnsi="仿宋" w:eastAsia="仿宋" w:cs="仿宋"/>
          <w:color w:val="auto"/>
          <w:sz w:val="24"/>
          <w:highlight w:val="none"/>
          <w:u w:val="single"/>
        </w:rPr>
      </w:pPr>
    </w:p>
    <w:p>
      <w:pPr>
        <w:pStyle w:val="18"/>
        <w:tabs>
          <w:tab w:val="left" w:pos="5580"/>
        </w:tabs>
        <w:spacing w:line="360" w:lineRule="auto"/>
        <w:rPr>
          <w:rFonts w:hint="eastAsia" w:ascii="仿宋" w:hAnsi="仿宋" w:eastAsia="仿宋" w:cs="仿宋"/>
          <w:color w:val="auto"/>
          <w:sz w:val="24"/>
          <w:highlight w:val="none"/>
        </w:rPr>
      </w:pPr>
      <w:bookmarkStart w:id="348" w:name="_Hlk126244510"/>
      <w:r>
        <w:rPr>
          <w:rFonts w:hint="eastAsia" w:ascii="仿宋" w:hAnsi="仿宋" w:eastAsia="仿宋" w:cs="仿宋"/>
          <w:color w:val="auto"/>
          <w:sz w:val="24"/>
          <w:highlight w:val="none"/>
        </w:rPr>
        <w:t>投标人（盖章）：</w:t>
      </w:r>
    </w:p>
    <w:p>
      <w:pPr>
        <w:pStyle w:val="18"/>
        <w:tabs>
          <w:tab w:val="left" w:pos="5580"/>
        </w:tabs>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w:t>
      </w:r>
      <w:r>
        <w:rPr>
          <w:rFonts w:hint="eastAsia" w:ascii="仿宋" w:hAnsi="仿宋" w:eastAsia="仿宋" w:cs="仿宋"/>
          <w:bCs/>
          <w:color w:val="auto"/>
          <w:sz w:val="24"/>
          <w:highlight w:val="none"/>
        </w:rPr>
        <w:t>签字或盖章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bookmarkEnd w:id="348"/>
    <w:p>
      <w:pPr>
        <w:pStyle w:val="18"/>
        <w:tabs>
          <w:tab w:val="left" w:pos="5580"/>
        </w:tabs>
        <w:spacing w:line="360" w:lineRule="auto"/>
        <w:rPr>
          <w:rFonts w:hint="eastAsia" w:ascii="仿宋" w:hAnsi="仿宋" w:eastAsia="仿宋" w:cs="仿宋"/>
          <w:color w:val="auto"/>
          <w:sz w:val="24"/>
          <w:highlight w:val="none"/>
        </w:rPr>
      </w:pPr>
    </w:p>
    <w:p>
      <w:pPr>
        <w:pStyle w:val="18"/>
        <w:tabs>
          <w:tab w:val="left" w:pos="5580"/>
        </w:tabs>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注：此表中，每标段的投标总价应和投标分项报价表的总价相一致。</w:t>
      </w:r>
    </w:p>
    <w:p>
      <w:pPr>
        <w:widowControl/>
        <w:spacing w:line="360" w:lineRule="auto"/>
        <w:jc w:val="left"/>
        <w:rPr>
          <w:rFonts w:hint="eastAsia" w:ascii="仿宋" w:hAnsi="仿宋" w:eastAsia="仿宋" w:cs="仿宋"/>
          <w:color w:val="auto"/>
          <w:sz w:val="24"/>
          <w:szCs w:val="32"/>
          <w:highlight w:val="none"/>
        </w:rPr>
      </w:pPr>
      <w:bookmarkStart w:id="349" w:name="_Toc60928906"/>
      <w:bookmarkStart w:id="350" w:name="_Toc60929138"/>
      <w:bookmarkStart w:id="351" w:name="_Toc216582815"/>
      <w:bookmarkStart w:id="352" w:name="_Toc1881"/>
      <w:bookmarkStart w:id="353" w:name="_Toc515647818"/>
      <w:bookmarkStart w:id="354" w:name="_Toc20897"/>
      <w:bookmarkStart w:id="355" w:name="_Toc532473507"/>
      <w:r>
        <w:rPr>
          <w:rFonts w:hint="eastAsia" w:ascii="仿宋" w:hAnsi="仿宋" w:eastAsia="仿宋" w:cs="仿宋"/>
          <w:color w:val="auto"/>
          <w:sz w:val="24"/>
          <w:szCs w:val="32"/>
          <w:highlight w:val="none"/>
        </w:rPr>
        <w:br w:type="page"/>
      </w:r>
    </w:p>
    <w:p>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（投标文件格式三）</w:t>
      </w:r>
      <w:bookmarkEnd w:id="349"/>
      <w:bookmarkEnd w:id="350"/>
    </w:p>
    <w:p>
      <w:pPr>
        <w:pStyle w:val="2"/>
        <w:rPr>
          <w:rFonts w:hint="eastAsia" w:ascii="仿宋" w:hAnsi="仿宋" w:eastAsia="仿宋" w:cs="仿宋"/>
          <w:color w:val="auto"/>
          <w:sz w:val="24"/>
          <w:szCs w:val="32"/>
          <w:highlight w:val="none"/>
        </w:rPr>
      </w:pPr>
    </w:p>
    <w:p>
      <w:pPr>
        <w:pStyle w:val="7"/>
        <w:ind w:firstLine="0" w:firstLineChars="0"/>
        <w:jc w:val="center"/>
        <w:rPr>
          <w:rFonts w:hint="eastAsia" w:ascii="仿宋" w:hAnsi="仿宋" w:eastAsia="仿宋" w:cs="仿宋"/>
          <w:color w:val="auto"/>
          <w:sz w:val="32"/>
          <w:szCs w:val="32"/>
          <w:highlight w:val="none"/>
        </w:rPr>
      </w:pPr>
      <w:bookmarkStart w:id="356" w:name="_Toc21547"/>
      <w:r>
        <w:rPr>
          <w:rFonts w:hint="eastAsia" w:ascii="仿宋" w:hAnsi="仿宋" w:eastAsia="仿宋" w:cs="仿宋"/>
          <w:color w:val="auto"/>
          <w:sz w:val="32"/>
          <w:szCs w:val="32"/>
          <w:highlight w:val="none"/>
        </w:rPr>
        <w:t>投标分项报价表</w:t>
      </w:r>
      <w:bookmarkEnd w:id="356"/>
    </w:p>
    <w:p>
      <w:pPr>
        <w:pStyle w:val="2"/>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18"/>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pStyle w:val="6"/>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标段: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tbl>
      <w:tblPr>
        <w:tblStyle w:val="36"/>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88"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60"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92"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76"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34"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c>
          <w:tcPr>
            <w:tcW w:w="708"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1560" w:type="dxa"/>
            <w:noWrap w:val="0"/>
            <w:vAlign w:val="top"/>
          </w:tcPr>
          <w:p>
            <w:pPr>
              <w:adjustRightInd w:val="0"/>
              <w:snapToGrid w:val="0"/>
              <w:spacing w:line="360" w:lineRule="auto"/>
              <w:rPr>
                <w:rFonts w:hint="eastAsia" w:ascii="仿宋" w:hAnsi="仿宋" w:eastAsia="仿宋" w:cs="仿宋"/>
                <w:color w:val="auto"/>
                <w:sz w:val="24"/>
                <w:highlight w:val="none"/>
              </w:rPr>
            </w:pPr>
          </w:p>
        </w:tc>
        <w:tc>
          <w:tcPr>
            <w:tcW w:w="992"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noWrap w:val="0"/>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noWrap w:val="0"/>
            <w:vAlign w:val="center"/>
          </w:tcPr>
          <w:p>
            <w:pPr>
              <w:adjustRightInd w:val="0"/>
              <w:snapToGrid w:val="0"/>
              <w:spacing w:line="360" w:lineRule="auto"/>
              <w:rPr>
                <w:rFonts w:hint="eastAsia" w:ascii="仿宋" w:hAnsi="仿宋" w:eastAsia="仿宋" w:cs="仿宋"/>
                <w:color w:val="auto"/>
                <w:sz w:val="24"/>
                <w:highlight w:val="none"/>
              </w:rPr>
            </w:pPr>
          </w:p>
        </w:tc>
      </w:tr>
      <w:bookmarkEnd w:id="351"/>
      <w:bookmarkEnd w:id="352"/>
      <w:bookmarkEnd w:id="353"/>
      <w:bookmarkEnd w:id="354"/>
      <w:bookmarkEnd w:id="355"/>
    </w:tbl>
    <w:p>
      <w:pPr>
        <w:pStyle w:val="14"/>
        <w:spacing w:after="0" w:line="360" w:lineRule="auto"/>
        <w:ind w:left="0" w:leftChars="0" w:right="0" w:rightChars="0"/>
        <w:rPr>
          <w:rFonts w:hint="eastAsia" w:ascii="仿宋" w:hAnsi="仿宋" w:eastAsia="仿宋" w:cs="仿宋"/>
          <w:color w:val="auto"/>
          <w:highlight w:val="none"/>
        </w:rPr>
      </w:pPr>
    </w:p>
    <w:p>
      <w:pPr>
        <w:tabs>
          <w:tab w:val="left" w:pos="5580"/>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投标人（盖章）：</w:t>
      </w:r>
    </w:p>
    <w:p>
      <w:pPr>
        <w:tabs>
          <w:tab w:val="left" w:pos="5580"/>
        </w:tabs>
        <w:spacing w:line="360" w:lineRule="auto"/>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法定代表人或授权代表（</w:t>
      </w:r>
      <w:r>
        <w:rPr>
          <w:rFonts w:hint="eastAsia" w:ascii="仿宋" w:hAnsi="仿宋" w:eastAsia="仿宋" w:cs="仿宋"/>
          <w:bCs/>
          <w:color w:val="auto"/>
          <w:sz w:val="24"/>
          <w:szCs w:val="20"/>
          <w:highlight w:val="none"/>
        </w:rPr>
        <w:t>签字或盖章</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u w:val="single"/>
        </w:rPr>
        <w:t xml:space="preserve">          </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投标分项报价表附件：</w:t>
      </w:r>
    </w:p>
    <w:p>
      <w:pPr>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pStyle w:val="7"/>
        <w:ind w:firstLine="0" w:firstLineChars="0"/>
        <w:jc w:val="center"/>
        <w:rPr>
          <w:rFonts w:hint="eastAsia" w:ascii="仿宋" w:hAnsi="仿宋" w:eastAsia="仿宋" w:cs="仿宋"/>
          <w:color w:val="auto"/>
          <w:sz w:val="32"/>
          <w:szCs w:val="32"/>
          <w:highlight w:val="none"/>
          <w:lang w:val="zh-CN"/>
        </w:rPr>
      </w:pPr>
      <w:bookmarkStart w:id="357" w:name="_Toc566"/>
      <w:r>
        <w:rPr>
          <w:rFonts w:hint="eastAsia" w:ascii="仿宋" w:hAnsi="仿宋" w:eastAsia="仿宋" w:cs="仿宋"/>
          <w:color w:val="auto"/>
          <w:sz w:val="32"/>
          <w:szCs w:val="32"/>
          <w:highlight w:val="none"/>
          <w:lang w:val="zh-CN"/>
        </w:rPr>
        <w:t>节能产品、环境标志产品明细表</w:t>
      </w:r>
      <w:bookmarkEnd w:id="357"/>
    </w:p>
    <w:p>
      <w:pPr>
        <w:pStyle w:val="2"/>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6"/>
        <w:ind w:firstLine="0"/>
        <w:rPr>
          <w:rFonts w:hint="eastAsia" w:ascii="仿宋" w:hAnsi="仿宋" w:eastAsia="仿宋" w:cs="仿宋"/>
          <w:color w:val="auto"/>
          <w:highlight w:val="none"/>
        </w:rPr>
      </w:pPr>
      <w:r>
        <w:rPr>
          <w:rFonts w:hint="eastAsia" w:ascii="仿宋" w:hAnsi="仿宋" w:eastAsia="仿宋" w:cs="仿宋"/>
          <w:color w:val="auto"/>
          <w:highlight w:val="none"/>
        </w:rPr>
        <w:t>项目名称：</w:t>
      </w:r>
    </w:p>
    <w:tbl>
      <w:tblPr>
        <w:tblStyle w:val="36"/>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highlight w:val="none"/>
              </w:rPr>
            </w:pPr>
          </w:p>
        </w:tc>
      </w:tr>
    </w:tbl>
    <w:p>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pPr>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如投标产品为</w:t>
      </w:r>
      <w:r>
        <w:rPr>
          <w:rFonts w:hint="eastAsia" w:ascii="仿宋" w:hAnsi="仿宋" w:eastAsia="仿宋" w:cs="仿宋"/>
          <w:color w:val="auto"/>
          <w:szCs w:val="21"/>
          <w:highlight w:val="none"/>
        </w:rPr>
        <w:t>品目清单中的</w:t>
      </w:r>
      <w:r>
        <w:rPr>
          <w:rFonts w:hint="eastAsia" w:ascii="仿宋" w:hAnsi="仿宋" w:eastAsia="仿宋" w:cs="仿宋"/>
          <w:color w:val="auto"/>
          <w:szCs w:val="21"/>
          <w:highlight w:val="none"/>
          <w:lang w:val="zh-CN"/>
        </w:rPr>
        <w:t>节能产品、环境标志产品，须按格式逐项填写，并附相关证明，否则评审时不予计分。</w:t>
      </w:r>
    </w:p>
    <w:p>
      <w:pPr>
        <w:numPr>
          <w:ilvl w:val="0"/>
          <w:numId w:val="4"/>
        </w:numPr>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类别填写：节能产品或环境标志产品。</w:t>
      </w:r>
    </w:p>
    <w:p>
      <w:pPr>
        <w:tabs>
          <w:tab w:val="center" w:pos="4153"/>
          <w:tab w:val="right" w:pos="8306"/>
        </w:tabs>
        <w:adjustRightInd w:val="0"/>
        <w:snapToGrid w:val="0"/>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autoSpaceDE w:val="0"/>
        <w:autoSpaceDN w:val="0"/>
        <w:adjustRightInd w:val="0"/>
        <w:snapToGrid w:val="0"/>
        <w:spacing w:line="360" w:lineRule="auto"/>
        <w:ind w:firstLine="1920" w:firstLineChars="800"/>
        <w:rPr>
          <w:rFonts w:hint="eastAsia" w:ascii="仿宋" w:hAnsi="仿宋" w:eastAsia="仿宋" w:cs="仿宋"/>
          <w:color w:val="auto"/>
          <w:sz w:val="24"/>
          <w:highlight w:val="none"/>
          <w:u w:val="single"/>
        </w:rPr>
      </w:pPr>
    </w:p>
    <w:p>
      <w:pPr>
        <w:spacing w:line="360" w:lineRule="auto"/>
        <w:ind w:firstLine="1920" w:firstLineChars="8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sz w:val="24"/>
          <w:highlight w:val="none"/>
          <w:u w:val="single"/>
        </w:rPr>
      </w:pPr>
    </w:p>
    <w:p>
      <w:pPr>
        <w:pStyle w:val="3"/>
        <w:rPr>
          <w:rFonts w:hint="eastAsia" w:ascii="仿宋" w:hAnsi="仿宋" w:eastAsia="仿宋" w:cs="仿宋"/>
          <w:color w:val="auto"/>
          <w:highlight w:val="none"/>
        </w:rPr>
      </w:pPr>
    </w:p>
    <w:p>
      <w:pPr>
        <w:pStyle w:val="14"/>
        <w:spacing w:after="0" w:line="360" w:lineRule="auto"/>
        <w:ind w:left="0" w:leftChars="0" w:right="0" w:rightChars="0"/>
        <w:rPr>
          <w:rFonts w:hint="eastAsia" w:ascii="仿宋" w:hAnsi="仿宋" w:eastAsia="仿宋" w:cs="仿宋"/>
          <w:color w:val="auto"/>
          <w:highlight w:val="none"/>
        </w:rPr>
      </w:pPr>
    </w:p>
    <w:p>
      <w:pPr>
        <w:pStyle w:val="18"/>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（投标文件格式四）</w:t>
      </w:r>
    </w:p>
    <w:p>
      <w:pPr>
        <w:pStyle w:val="7"/>
        <w:ind w:firstLine="0" w:firstLineChars="0"/>
        <w:jc w:val="center"/>
        <w:rPr>
          <w:rFonts w:hint="eastAsia" w:ascii="仿宋" w:hAnsi="仿宋" w:eastAsia="仿宋" w:cs="仿宋"/>
          <w:color w:val="auto"/>
          <w:sz w:val="32"/>
          <w:szCs w:val="32"/>
          <w:highlight w:val="none"/>
        </w:rPr>
      </w:pPr>
      <w:bookmarkStart w:id="358" w:name="_Toc62194352"/>
      <w:bookmarkStart w:id="359" w:name="_Toc60928908"/>
      <w:bookmarkStart w:id="360" w:name="_Toc7629"/>
      <w:bookmarkStart w:id="361" w:name="_Toc60929140"/>
      <w:bookmarkStart w:id="362" w:name="_Toc216582817"/>
      <w:bookmarkStart w:id="363" w:name="_Toc532473509"/>
      <w:bookmarkStart w:id="364" w:name="_Toc515647820"/>
      <w:bookmarkStart w:id="365" w:name="_Toc28959"/>
      <w:bookmarkStart w:id="366" w:name="_Toc22563"/>
      <w:r>
        <w:rPr>
          <w:rFonts w:hint="eastAsia" w:ascii="仿宋" w:hAnsi="仿宋" w:eastAsia="仿宋" w:cs="仿宋"/>
          <w:color w:val="auto"/>
          <w:sz w:val="32"/>
          <w:szCs w:val="32"/>
          <w:highlight w:val="none"/>
        </w:rPr>
        <w:t>技术偏离表</w:t>
      </w:r>
      <w:bookmarkEnd w:id="358"/>
      <w:bookmarkEnd w:id="359"/>
      <w:bookmarkEnd w:id="360"/>
      <w:bookmarkEnd w:id="361"/>
      <w:bookmarkEnd w:id="362"/>
    </w:p>
    <w:bookmarkEnd w:id="363"/>
    <w:bookmarkEnd w:id="364"/>
    <w:bookmarkEnd w:id="365"/>
    <w:bookmarkEnd w:id="366"/>
    <w:p>
      <w:pPr>
        <w:pStyle w:val="2"/>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18"/>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pStyle w:val="18"/>
        <w:wordWrap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标段: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tbl>
      <w:tblPr>
        <w:tblStyle w:val="3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2"/>
        <w:gridCol w:w="993"/>
        <w:gridCol w:w="1842"/>
        <w:gridCol w:w="1560"/>
        <w:gridCol w:w="113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center"/>
          </w:tcPr>
          <w:p>
            <w:pPr>
              <w:pStyle w:val="18"/>
              <w:ind w:left="-31" w:leftChars="-1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2" w:type="dxa"/>
            <w:noWrap w:val="0"/>
            <w:vAlign w:val="center"/>
          </w:tcPr>
          <w:p>
            <w:pPr>
              <w:pStyle w:val="18"/>
              <w:ind w:left="-149" w:leftChars="-7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993" w:type="dxa"/>
            <w:noWrap w:val="0"/>
            <w:vAlign w:val="center"/>
          </w:tcPr>
          <w:p>
            <w:pPr>
              <w:pStyle w:val="18"/>
              <w:ind w:left="-107" w:leftChars="-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842" w:type="dxa"/>
            <w:noWrap w:val="0"/>
            <w:vAlign w:val="center"/>
          </w:tcPr>
          <w:p>
            <w:pPr>
              <w:pStyle w:val="18"/>
              <w:ind w:left="-206" w:leftChars="-98" w:right="-166" w:rightChars="-7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560" w:type="dxa"/>
            <w:noWrap w:val="0"/>
            <w:vAlign w:val="center"/>
          </w:tcPr>
          <w:p>
            <w:pPr>
              <w:pStyle w:val="18"/>
              <w:ind w:left="-48" w:leftChars="-23"/>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134" w:type="dxa"/>
            <w:noWrap w:val="0"/>
            <w:vAlign w:val="center"/>
          </w:tcPr>
          <w:p>
            <w:pPr>
              <w:pStyle w:val="18"/>
              <w:ind w:left="-34" w:leftChars="-1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2" w:type="dxa"/>
            <w:noWrap w:val="0"/>
            <w:vAlign w:val="center"/>
          </w:tcPr>
          <w:p>
            <w:pPr>
              <w:pStyle w:val="18"/>
              <w:ind w:left="-82" w:leftChars="-3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42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993"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8"/>
              <w:spacing w:line="360" w:lineRule="auto"/>
              <w:ind w:left="1080" w:leftChars="257" w:hanging="540"/>
              <w:rPr>
                <w:rFonts w:hint="eastAsia" w:ascii="仿宋" w:hAnsi="仿宋" w:eastAsia="仿宋" w:cs="仿宋"/>
                <w:color w:val="auto"/>
                <w:sz w:val="24"/>
                <w:highlight w:val="none"/>
              </w:rPr>
            </w:pPr>
          </w:p>
        </w:tc>
      </w:tr>
    </w:tbl>
    <w:p>
      <w:pPr>
        <w:tabs>
          <w:tab w:val="left" w:pos="5580"/>
        </w:tabs>
        <w:spacing w:line="360" w:lineRule="auto"/>
        <w:rPr>
          <w:rFonts w:hint="eastAsia" w:ascii="仿宋" w:hAnsi="仿宋" w:eastAsia="仿宋" w:cs="仿宋"/>
          <w:color w:val="auto"/>
          <w:sz w:val="24"/>
          <w:szCs w:val="20"/>
          <w:highlight w:val="none"/>
        </w:rPr>
      </w:pPr>
    </w:p>
    <w:p>
      <w:pPr>
        <w:tabs>
          <w:tab w:val="left" w:pos="5580"/>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投标人（盖章）：</w:t>
      </w:r>
    </w:p>
    <w:p>
      <w:pPr>
        <w:tabs>
          <w:tab w:val="left" w:pos="5580"/>
        </w:tabs>
        <w:spacing w:line="360" w:lineRule="auto"/>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法定代表人或授权代表（</w:t>
      </w:r>
      <w:r>
        <w:rPr>
          <w:rFonts w:hint="eastAsia" w:ascii="仿宋" w:hAnsi="仿宋" w:eastAsia="仿宋" w:cs="仿宋"/>
          <w:bCs/>
          <w:color w:val="auto"/>
          <w:sz w:val="24"/>
          <w:szCs w:val="20"/>
          <w:highlight w:val="none"/>
        </w:rPr>
        <w:t>签字或盖章</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u w:val="single"/>
        </w:rPr>
        <w:t xml:space="preserve">          </w:t>
      </w:r>
    </w:p>
    <w:p>
      <w:pPr>
        <w:pStyle w:val="18"/>
        <w:spacing w:line="360" w:lineRule="auto"/>
        <w:rPr>
          <w:rFonts w:hint="eastAsia" w:ascii="仿宋" w:hAnsi="仿宋" w:eastAsia="仿宋" w:cs="仿宋"/>
          <w:color w:val="auto"/>
          <w:sz w:val="24"/>
          <w:highlight w:val="none"/>
          <w:u w:val="single"/>
        </w:rPr>
      </w:pPr>
    </w:p>
    <w:p>
      <w:pPr>
        <w:pStyle w:val="2"/>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声明：除本技术偏离表中所列的偏离项目外，其他所有技术条件均完全响应“招标文件”中的要求。</w:t>
      </w:r>
    </w:p>
    <w:p>
      <w:pPr>
        <w:pStyle w:val="3"/>
        <w:rPr>
          <w:rFonts w:hint="eastAsia" w:ascii="仿宋" w:hAnsi="仿宋" w:eastAsia="仿宋" w:cs="仿宋"/>
          <w:color w:val="auto"/>
          <w:highlight w:val="none"/>
        </w:rPr>
      </w:pPr>
    </w:p>
    <w:p>
      <w:pPr>
        <w:pStyle w:val="18"/>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注：1.投标文件技术参数指标响应内容必须按照投标产品实际参数指标填写，与相关证明材料一致，不得直接将采购文件的技术参数指标要求完全复制作为投标文件响应内容，否则将会影响评审得分。</w:t>
      </w:r>
    </w:p>
    <w:p>
      <w:pPr>
        <w:pStyle w:val="18"/>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2.务必完整填写所有指标响应参数；必须在备注栏进行明确说明偏离情况，且偏离</w:t>
      </w:r>
    </w:p>
    <w:p>
      <w:pPr>
        <w:pStyle w:val="18"/>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情况与实际相符，否则将会影响评审得分。</w:t>
      </w:r>
    </w:p>
    <w:p>
      <w:pPr>
        <w:pStyle w:val="18"/>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3.采购文件中约定的每项采购内容的技术偏离情况都必须体现在此技术偏离表中，</w:t>
      </w:r>
    </w:p>
    <w:p>
      <w:pPr>
        <w:pStyle w:val="18"/>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rPr>
        <w:t>否则将会影响评审得分。</w:t>
      </w:r>
    </w:p>
    <w:p>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（投标文件格式五）</w:t>
      </w:r>
    </w:p>
    <w:p>
      <w:pPr>
        <w:pStyle w:val="18"/>
        <w:spacing w:line="360" w:lineRule="auto"/>
        <w:jc w:val="center"/>
        <w:rPr>
          <w:rFonts w:hint="eastAsia" w:ascii="仿宋" w:hAnsi="仿宋" w:eastAsia="仿宋" w:cs="仿宋"/>
          <w:b/>
          <w:color w:val="auto"/>
          <w:sz w:val="32"/>
          <w:highlight w:val="none"/>
        </w:rPr>
      </w:pPr>
      <w:bookmarkStart w:id="367" w:name="_Toc60929141"/>
      <w:bookmarkStart w:id="368" w:name="_Toc216582818"/>
      <w:bookmarkStart w:id="369" w:name="_Toc60928909"/>
      <w:bookmarkStart w:id="370" w:name="_Toc532473510"/>
      <w:bookmarkStart w:id="371" w:name="_Toc1980"/>
      <w:bookmarkStart w:id="372" w:name="_Toc23"/>
      <w:bookmarkStart w:id="373" w:name="_Toc515647821"/>
      <w:r>
        <w:rPr>
          <w:rFonts w:hint="eastAsia" w:ascii="仿宋" w:hAnsi="仿宋" w:eastAsia="仿宋" w:cs="仿宋"/>
          <w:b/>
          <w:color w:val="auto"/>
          <w:sz w:val="32"/>
          <w:highlight w:val="none"/>
        </w:rPr>
        <w:t>商务条款偏离表</w:t>
      </w:r>
      <w:bookmarkEnd w:id="367"/>
      <w:bookmarkEnd w:id="368"/>
      <w:bookmarkEnd w:id="369"/>
    </w:p>
    <w:bookmarkEnd w:id="370"/>
    <w:bookmarkEnd w:id="371"/>
    <w:bookmarkEnd w:id="372"/>
    <w:bookmarkEnd w:id="373"/>
    <w:p>
      <w:pPr>
        <w:pStyle w:val="2"/>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18"/>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pStyle w:val="18"/>
        <w:wordWrap w:val="0"/>
        <w:spacing w:line="360" w:lineRule="auto"/>
        <w:ind w:left="1080" w:leftChars="257" w:hanging="54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标段:</w:t>
      </w:r>
      <w:r>
        <w:rPr>
          <w:rFonts w:hint="eastAsia" w:ascii="仿宋" w:hAnsi="仿宋" w:eastAsia="仿宋" w:cs="仿宋"/>
          <w:color w:val="auto"/>
          <w:sz w:val="24"/>
          <w:highlight w:val="none"/>
          <w:lang w:val="en-US" w:eastAsia="zh-CN"/>
        </w:rPr>
        <w:t>/</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2143"/>
        <w:gridCol w:w="2325"/>
        <w:gridCol w:w="165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00" w:type="pct"/>
            <w:vAlign w:val="center"/>
          </w:tcPr>
          <w:p>
            <w:pPr>
              <w:pStyle w:val="1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410" w:type="pct"/>
            <w:vAlign w:val="center"/>
          </w:tcPr>
          <w:p>
            <w:pPr>
              <w:pStyle w:val="1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003" w:type="pct"/>
            <w:vAlign w:val="center"/>
          </w:tcPr>
          <w:p>
            <w:pPr>
              <w:pStyle w:val="1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912" w:type="pct"/>
            <w:vAlign w:val="center"/>
          </w:tcPr>
          <w:p>
            <w:pPr>
              <w:pStyle w:val="1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交货期</w:t>
            </w: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投标文件有效期</w:t>
            </w: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2" w:type="pct"/>
            <w:vAlign w:val="center"/>
          </w:tcPr>
          <w:p>
            <w:pPr>
              <w:pStyle w:val="18"/>
              <w:ind w:left="1080" w:leftChars="257" w:hanging="540"/>
              <w:jc w:val="center"/>
              <w:rPr>
                <w:rFonts w:hint="eastAsia" w:ascii="仿宋" w:hAnsi="仿宋" w:eastAsia="仿宋" w:cs="仿宋"/>
                <w:color w:val="auto"/>
                <w:sz w:val="24"/>
                <w:highlight w:val="none"/>
              </w:rPr>
            </w:pPr>
          </w:p>
        </w:tc>
        <w:tc>
          <w:tcPr>
            <w:tcW w:w="1300" w:type="pct"/>
            <w:vAlign w:val="center"/>
          </w:tcPr>
          <w:p>
            <w:pPr>
              <w:pStyle w:val="18"/>
              <w:ind w:left="1080" w:leftChars="257" w:hanging="540"/>
              <w:jc w:val="center"/>
              <w:rPr>
                <w:rFonts w:hint="eastAsia" w:ascii="仿宋" w:hAnsi="仿宋" w:eastAsia="仿宋" w:cs="仿宋"/>
                <w:color w:val="auto"/>
                <w:sz w:val="24"/>
                <w:highlight w:val="none"/>
              </w:rPr>
            </w:pPr>
          </w:p>
        </w:tc>
        <w:tc>
          <w:tcPr>
            <w:tcW w:w="1410" w:type="pct"/>
            <w:vAlign w:val="center"/>
          </w:tcPr>
          <w:p>
            <w:pPr>
              <w:pStyle w:val="18"/>
              <w:ind w:left="1080" w:leftChars="257" w:hanging="540"/>
              <w:jc w:val="center"/>
              <w:rPr>
                <w:rFonts w:hint="eastAsia" w:ascii="仿宋" w:hAnsi="仿宋" w:eastAsia="仿宋" w:cs="仿宋"/>
                <w:color w:val="auto"/>
                <w:sz w:val="24"/>
                <w:highlight w:val="none"/>
              </w:rPr>
            </w:pPr>
          </w:p>
        </w:tc>
        <w:tc>
          <w:tcPr>
            <w:tcW w:w="1003" w:type="pct"/>
            <w:vAlign w:val="center"/>
          </w:tcPr>
          <w:p>
            <w:pPr>
              <w:pStyle w:val="18"/>
              <w:ind w:left="1080" w:leftChars="257" w:hanging="540"/>
              <w:jc w:val="center"/>
              <w:rPr>
                <w:rFonts w:hint="eastAsia" w:ascii="仿宋" w:hAnsi="仿宋" w:eastAsia="仿宋" w:cs="仿宋"/>
                <w:color w:val="auto"/>
                <w:sz w:val="24"/>
                <w:highlight w:val="none"/>
              </w:rPr>
            </w:pPr>
          </w:p>
        </w:tc>
        <w:tc>
          <w:tcPr>
            <w:tcW w:w="912" w:type="pct"/>
            <w:vAlign w:val="center"/>
          </w:tcPr>
          <w:p>
            <w:pPr>
              <w:pStyle w:val="18"/>
              <w:ind w:left="1080" w:leftChars="257" w:hanging="540"/>
              <w:jc w:val="center"/>
              <w:rPr>
                <w:rFonts w:hint="eastAsia" w:ascii="仿宋" w:hAnsi="仿宋" w:eastAsia="仿宋" w:cs="仿宋"/>
                <w:color w:val="auto"/>
                <w:sz w:val="24"/>
                <w:highlight w:val="none"/>
              </w:rPr>
            </w:pPr>
          </w:p>
        </w:tc>
      </w:tr>
    </w:tbl>
    <w:p>
      <w:pPr>
        <w:tabs>
          <w:tab w:val="left" w:pos="5580"/>
        </w:tabs>
        <w:spacing w:line="360" w:lineRule="auto"/>
        <w:rPr>
          <w:rFonts w:hint="eastAsia" w:ascii="仿宋" w:hAnsi="仿宋" w:eastAsia="仿宋" w:cs="仿宋"/>
          <w:color w:val="auto"/>
          <w:sz w:val="24"/>
          <w:szCs w:val="20"/>
          <w:highlight w:val="none"/>
        </w:rPr>
      </w:pPr>
    </w:p>
    <w:p>
      <w:pPr>
        <w:tabs>
          <w:tab w:val="left" w:pos="5580"/>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投标人（盖章）：</w:t>
      </w:r>
    </w:p>
    <w:p>
      <w:pPr>
        <w:tabs>
          <w:tab w:val="left" w:pos="5580"/>
        </w:tabs>
        <w:spacing w:line="360" w:lineRule="auto"/>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法定代表人或授权代表（</w:t>
      </w:r>
      <w:r>
        <w:rPr>
          <w:rFonts w:hint="eastAsia" w:ascii="仿宋" w:hAnsi="仿宋" w:eastAsia="仿宋" w:cs="仿宋"/>
          <w:bCs/>
          <w:color w:val="auto"/>
          <w:sz w:val="24"/>
          <w:szCs w:val="20"/>
          <w:highlight w:val="none"/>
        </w:rPr>
        <w:t>签字或盖章</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u w:val="single"/>
        </w:rPr>
        <w:t xml:space="preserve">          </w:t>
      </w:r>
    </w:p>
    <w:p>
      <w:pPr>
        <w:spacing w:line="360" w:lineRule="auto"/>
        <w:rPr>
          <w:rFonts w:hint="eastAsia" w:ascii="仿宋" w:hAnsi="仿宋" w:eastAsia="仿宋" w:cs="仿宋"/>
          <w:color w:val="auto"/>
          <w:sz w:val="24"/>
          <w:szCs w:val="20"/>
          <w:highlight w:val="none"/>
        </w:rPr>
      </w:pPr>
    </w:p>
    <w:p>
      <w:pPr>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声明：除本商务偏离表中所列的偏离项目外，其他所有商务均完全响应“招标文件”中的要求</w:t>
      </w:r>
    </w:p>
    <w:p>
      <w:pPr>
        <w:pStyle w:val="14"/>
        <w:ind w:left="0" w:leftChars="0" w:right="1470"/>
        <w:rPr>
          <w:rFonts w:hint="eastAsia" w:ascii="仿宋" w:hAnsi="仿宋" w:eastAsia="仿宋" w:cs="仿宋"/>
          <w:color w:val="auto"/>
          <w:highlight w:val="none"/>
        </w:rPr>
      </w:pPr>
    </w:p>
    <w:p>
      <w:pPr>
        <w:widowControl/>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highlight w:val="none"/>
        </w:rPr>
        <w:br w:type="page"/>
      </w:r>
      <w:r>
        <w:rPr>
          <w:rFonts w:hint="eastAsia" w:ascii="仿宋" w:hAnsi="仿宋" w:eastAsia="仿宋" w:cs="仿宋"/>
          <w:color w:val="auto"/>
          <w:kern w:val="0"/>
          <w:sz w:val="24"/>
          <w:highlight w:val="none"/>
        </w:rPr>
        <w:t>（投标文件格式六）</w:t>
      </w:r>
    </w:p>
    <w:p>
      <w:pPr>
        <w:spacing w:line="360" w:lineRule="auto"/>
        <w:rPr>
          <w:rFonts w:hint="eastAsia" w:ascii="仿宋" w:hAnsi="仿宋" w:eastAsia="仿宋" w:cs="仿宋"/>
          <w:color w:val="auto"/>
          <w:sz w:val="24"/>
          <w:szCs w:val="22"/>
          <w:highlight w:val="none"/>
        </w:rPr>
      </w:pPr>
    </w:p>
    <w:p>
      <w:pPr>
        <w:pStyle w:val="7"/>
        <w:ind w:firstLine="0" w:firstLineChars="0"/>
        <w:jc w:val="center"/>
        <w:rPr>
          <w:rFonts w:hint="eastAsia" w:ascii="Times New Roman" w:hAnsi="Times New Roman" w:eastAsia="仿宋_GB2312"/>
          <w:color w:val="auto"/>
          <w:sz w:val="32"/>
          <w:szCs w:val="32"/>
          <w:highlight w:val="none"/>
          <w:lang w:eastAsia="zh-CN"/>
        </w:rPr>
      </w:pPr>
      <w:bookmarkStart w:id="374" w:name="_Toc62194354"/>
      <w:bookmarkStart w:id="375" w:name="_Toc32209"/>
      <w:r>
        <w:rPr>
          <w:rFonts w:ascii="Times New Roman" w:hAnsi="Times New Roman" w:eastAsia="仿宋_GB2312"/>
          <w:color w:val="auto"/>
          <w:sz w:val="32"/>
          <w:szCs w:val="32"/>
          <w:highlight w:val="none"/>
        </w:rPr>
        <w:t>中小企业声明函</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货物</w:t>
      </w:r>
      <w:bookmarkEnd w:id="374"/>
      <w:r>
        <w:rPr>
          <w:rFonts w:hint="eastAsia" w:ascii="Times New Roman" w:hAnsi="Times New Roman" w:eastAsia="仿宋_GB2312"/>
          <w:color w:val="auto"/>
          <w:sz w:val="32"/>
          <w:szCs w:val="32"/>
          <w:highlight w:val="none"/>
          <w:lang w:eastAsia="zh-CN"/>
        </w:rPr>
        <w:t>）</w:t>
      </w:r>
      <w:bookmarkEnd w:id="375"/>
    </w:p>
    <w:p>
      <w:pPr>
        <w:jc w:val="center"/>
        <w:rPr>
          <w:rFonts w:eastAsia="仿宋_GB2312"/>
          <w:color w:val="auto"/>
          <w:sz w:val="24"/>
          <w:szCs w:val="22"/>
          <w:highlight w:val="none"/>
        </w:rPr>
      </w:pPr>
      <w:r>
        <w:rPr>
          <w:rFonts w:eastAsia="仿宋_GB2312"/>
          <w:color w:val="auto"/>
          <w:sz w:val="24"/>
          <w:szCs w:val="22"/>
          <w:highlight w:val="none"/>
        </w:rPr>
        <w:t>（注</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sz w:val="24"/>
          <w:szCs w:val="22"/>
          <w:highlight w:val="none"/>
        </w:rPr>
        <w:t>：符合中小企业划型标准的企业请提供本函，不符合的不提供本函）</w:t>
      </w:r>
    </w:p>
    <w:p>
      <w:pPr>
        <w:snapToGrid w:val="0"/>
        <w:spacing w:before="120" w:beforeLines="50"/>
        <w:ind w:firstLine="480" w:firstLineChars="200"/>
        <w:rPr>
          <w:color w:val="auto"/>
          <w:sz w:val="24"/>
          <w:szCs w:val="22"/>
          <w:highlight w:val="none"/>
        </w:rPr>
      </w:pP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本公司郑重声明，根据《政府采购促进中小企业发展管理办法》</w:t>
      </w:r>
      <w:r>
        <w:rPr>
          <w:rFonts w:hint="eastAsia" w:eastAsia="仿宋_GB2312"/>
          <w:color w:val="auto"/>
          <w:kern w:val="0"/>
          <w:sz w:val="24"/>
          <w:highlight w:val="none"/>
          <w:lang w:eastAsia="zh-CN"/>
        </w:rPr>
        <w:t>（</w:t>
      </w:r>
      <w:r>
        <w:rPr>
          <w:rFonts w:eastAsia="仿宋_GB2312"/>
          <w:color w:val="auto"/>
          <w:kern w:val="0"/>
          <w:sz w:val="24"/>
          <w:highlight w:val="none"/>
        </w:rPr>
        <w:t>财库</w:t>
      </w:r>
      <w:r>
        <w:rPr>
          <w:rFonts w:hint="eastAsia" w:eastAsia="仿宋_GB2312"/>
          <w:color w:val="auto"/>
          <w:kern w:val="0"/>
          <w:sz w:val="24"/>
          <w:highlight w:val="none"/>
        </w:rPr>
        <w:t>﹝</w:t>
      </w:r>
      <w:r>
        <w:rPr>
          <w:rFonts w:eastAsia="仿宋_GB2312"/>
          <w:color w:val="auto"/>
          <w:kern w:val="0"/>
          <w:sz w:val="24"/>
          <w:highlight w:val="none"/>
        </w:rPr>
        <w:t>2020</w:t>
      </w:r>
      <w:r>
        <w:rPr>
          <w:rFonts w:hint="eastAsia" w:eastAsia="仿宋_GB2312"/>
          <w:color w:val="auto"/>
          <w:kern w:val="0"/>
          <w:sz w:val="24"/>
          <w:highlight w:val="none"/>
        </w:rPr>
        <w:t>﹞</w:t>
      </w:r>
      <w:r>
        <w:rPr>
          <w:rFonts w:eastAsia="仿宋_GB2312"/>
          <w:color w:val="auto"/>
          <w:kern w:val="0"/>
          <w:sz w:val="24"/>
          <w:highlight w:val="none"/>
        </w:rPr>
        <w:t>46号</w:t>
      </w:r>
      <w:r>
        <w:rPr>
          <w:rFonts w:hint="eastAsia" w:eastAsia="仿宋_GB2312"/>
          <w:color w:val="auto"/>
          <w:kern w:val="0"/>
          <w:sz w:val="24"/>
          <w:highlight w:val="none"/>
          <w:lang w:eastAsia="zh-CN"/>
        </w:rPr>
        <w:t>）</w:t>
      </w:r>
      <w:r>
        <w:rPr>
          <w:rFonts w:eastAsia="仿宋_GB2312"/>
          <w:color w:val="auto"/>
          <w:kern w:val="0"/>
          <w:sz w:val="24"/>
          <w:highlight w:val="none"/>
        </w:rPr>
        <w:t>的规定，本公司</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kern w:val="0"/>
          <w:sz w:val="24"/>
          <w:highlight w:val="none"/>
        </w:rPr>
        <w:t>参加</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单位名称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 xml:space="preserve"> 的</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项目名称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采购</w:t>
      </w:r>
      <w:r>
        <w:rPr>
          <w:rFonts w:eastAsia="仿宋_GB2312"/>
          <w:color w:val="auto"/>
          <w:kern w:val="0"/>
          <w:sz w:val="24"/>
          <w:highlight w:val="none"/>
        </w:rPr>
        <w:t>活动，提供的货物全部由符合政策要求的中小企业制造。相关企业</w:t>
      </w:r>
      <w:r>
        <w:rPr>
          <w:rFonts w:hint="eastAsia" w:eastAsia="仿宋_GB2312"/>
          <w:color w:val="auto"/>
          <w:kern w:val="0"/>
          <w:sz w:val="24"/>
          <w:highlight w:val="none"/>
          <w:lang w:eastAsia="zh-CN"/>
        </w:rPr>
        <w:t>（</w:t>
      </w:r>
      <w:r>
        <w:rPr>
          <w:rFonts w:eastAsia="仿宋_GB2312"/>
          <w:color w:val="auto"/>
          <w:kern w:val="0"/>
          <w:sz w:val="24"/>
          <w:highlight w:val="none"/>
        </w:rPr>
        <w:t>含联合体中的中小企业、签订分包意向协议的中小企业</w:t>
      </w:r>
      <w:r>
        <w:rPr>
          <w:rFonts w:hint="eastAsia" w:eastAsia="仿宋_GB2312"/>
          <w:color w:val="auto"/>
          <w:kern w:val="0"/>
          <w:sz w:val="24"/>
          <w:highlight w:val="none"/>
          <w:lang w:eastAsia="zh-CN"/>
        </w:rPr>
        <w:t>）</w:t>
      </w:r>
      <w:r>
        <w:rPr>
          <w:rFonts w:eastAsia="仿宋_GB2312"/>
          <w:color w:val="auto"/>
          <w:kern w:val="0"/>
          <w:sz w:val="24"/>
          <w:highlight w:val="none"/>
        </w:rPr>
        <w:t>的具体情况如下：</w:t>
      </w:r>
    </w:p>
    <w:p>
      <w:pPr>
        <w:numPr>
          <w:ilvl w:val="0"/>
          <w:numId w:val="0"/>
        </w:numPr>
        <w:spacing w:line="560" w:lineRule="exact"/>
        <w:ind w:left="-10" w:leftChars="-5" w:firstLine="489" w:firstLineChars="204"/>
        <w:rPr>
          <w:rFonts w:eastAsia="仿宋_GB2312"/>
          <w:color w:val="auto"/>
          <w:kern w:val="0"/>
          <w:sz w:val="24"/>
          <w:highlight w:val="none"/>
        </w:rPr>
      </w:pPr>
      <w:r>
        <w:rPr>
          <w:rFonts w:hint="eastAsia" w:eastAsia="仿宋_GB2312"/>
          <w:color w:val="auto"/>
          <w:kern w:val="0"/>
          <w:sz w:val="24"/>
          <w:highlight w:val="none"/>
          <w:u w:val="none"/>
          <w:lang w:val="en-US" w:eastAsia="zh-CN"/>
        </w:rPr>
        <w:t>1.</w:t>
      </w:r>
      <w:r>
        <w:rPr>
          <w:rFonts w:eastAsia="仿宋_GB2312"/>
          <w:color w:val="auto"/>
          <w:kern w:val="0"/>
          <w:sz w:val="24"/>
          <w:highlight w:val="none"/>
          <w:u w:val="none"/>
        </w:rPr>
        <w:t xml:space="preserve"> </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标的名称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采购文件中明确的所属行业</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行业</w:t>
      </w:r>
      <w:r>
        <w:rPr>
          <w:rFonts w:eastAsia="仿宋_GB2312"/>
          <w:color w:val="auto"/>
          <w:kern w:val="0"/>
          <w:sz w:val="24"/>
          <w:highlight w:val="none"/>
        </w:rPr>
        <w:t xml:space="preserve"> ；制造商为</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企业名称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，从业人员</w:t>
      </w:r>
      <w:r>
        <w:rPr>
          <w:rFonts w:eastAsia="仿宋_GB2312"/>
          <w:color w:val="auto"/>
          <w:kern w:val="0"/>
          <w:sz w:val="24"/>
          <w:highlight w:val="none"/>
          <w:u w:val="single"/>
        </w:rPr>
        <w:t xml:space="preserve">      </w:t>
      </w:r>
      <w:r>
        <w:rPr>
          <w:rFonts w:eastAsia="仿宋_GB2312"/>
          <w:color w:val="auto"/>
          <w:kern w:val="0"/>
          <w:sz w:val="24"/>
          <w:highlight w:val="none"/>
        </w:rPr>
        <w:t>人，营业收入为</w:t>
      </w:r>
      <w:r>
        <w:rPr>
          <w:rFonts w:eastAsia="仿宋_GB2312"/>
          <w:color w:val="auto"/>
          <w:kern w:val="0"/>
          <w:sz w:val="24"/>
          <w:highlight w:val="none"/>
          <w:u w:val="single"/>
        </w:rPr>
        <w:t xml:space="preserve">     </w:t>
      </w:r>
      <w:r>
        <w:rPr>
          <w:rFonts w:eastAsia="仿宋_GB2312"/>
          <w:color w:val="auto"/>
          <w:kern w:val="0"/>
          <w:sz w:val="24"/>
          <w:highlight w:val="none"/>
        </w:rPr>
        <w:t>万元，资产总额为</w:t>
      </w:r>
      <w:r>
        <w:rPr>
          <w:rFonts w:eastAsia="仿宋_GB2312"/>
          <w:color w:val="auto"/>
          <w:kern w:val="0"/>
          <w:sz w:val="24"/>
          <w:highlight w:val="none"/>
          <w:u w:val="single"/>
        </w:rPr>
        <w:t xml:space="preserve">     </w:t>
      </w:r>
      <w:r>
        <w:rPr>
          <w:rFonts w:eastAsia="仿宋_GB2312"/>
          <w:color w:val="auto"/>
          <w:kern w:val="0"/>
          <w:sz w:val="24"/>
          <w:highlight w:val="none"/>
        </w:rPr>
        <w:t xml:space="preserve">万元，属于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中型企业、小型企业、微型企业）</w:t>
      </w:r>
      <w:r>
        <w:rPr>
          <w:rFonts w:eastAsia="仿宋_GB2312"/>
          <w:color w:val="auto"/>
          <w:kern w:val="0"/>
          <w:sz w:val="24"/>
          <w:highlight w:val="none"/>
        </w:rPr>
        <w:t>；</w:t>
      </w:r>
    </w:p>
    <w:p>
      <w:pPr>
        <w:numPr>
          <w:ilvl w:val="0"/>
          <w:numId w:val="0"/>
        </w:numPr>
        <w:spacing w:line="560" w:lineRule="exact"/>
        <w:ind w:left="-10" w:leftChars="-5" w:firstLine="489" w:firstLineChars="204"/>
        <w:rPr>
          <w:rFonts w:eastAsia="仿宋_GB2312"/>
          <w:color w:val="auto"/>
          <w:kern w:val="0"/>
          <w:sz w:val="24"/>
          <w:highlight w:val="none"/>
        </w:rPr>
      </w:pPr>
      <w:r>
        <w:rPr>
          <w:rFonts w:hint="eastAsia" w:eastAsia="仿宋_GB2312"/>
          <w:color w:val="auto"/>
          <w:kern w:val="0"/>
          <w:sz w:val="24"/>
          <w:highlight w:val="none"/>
          <w:u w:val="none"/>
          <w:lang w:val="en-US" w:eastAsia="zh-CN"/>
        </w:rPr>
        <w:t>2.</w:t>
      </w:r>
      <w:r>
        <w:rPr>
          <w:rFonts w:eastAsia="仿宋_GB2312"/>
          <w:color w:val="auto"/>
          <w:kern w:val="0"/>
          <w:sz w:val="24"/>
          <w:highlight w:val="none"/>
          <w:u w:val="none"/>
        </w:rPr>
        <w:t xml:space="preserve"> </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标的名称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采购文件中明确的所属行业</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行业</w:t>
      </w:r>
      <w:r>
        <w:rPr>
          <w:rFonts w:eastAsia="仿宋_GB2312"/>
          <w:color w:val="auto"/>
          <w:kern w:val="0"/>
          <w:sz w:val="24"/>
          <w:highlight w:val="none"/>
        </w:rPr>
        <w:t xml:space="preserve"> ；制造商为</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企业名称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，从业人员</w:t>
      </w:r>
      <w:r>
        <w:rPr>
          <w:rFonts w:eastAsia="仿宋_GB2312"/>
          <w:color w:val="auto"/>
          <w:kern w:val="0"/>
          <w:sz w:val="24"/>
          <w:highlight w:val="none"/>
          <w:u w:val="single"/>
        </w:rPr>
        <w:t xml:space="preserve">      </w:t>
      </w:r>
      <w:r>
        <w:rPr>
          <w:rFonts w:eastAsia="仿宋_GB2312"/>
          <w:color w:val="auto"/>
          <w:kern w:val="0"/>
          <w:sz w:val="24"/>
          <w:highlight w:val="none"/>
        </w:rPr>
        <w:t>人，营业收入为</w:t>
      </w:r>
      <w:r>
        <w:rPr>
          <w:rFonts w:eastAsia="仿宋_GB2312"/>
          <w:color w:val="auto"/>
          <w:kern w:val="0"/>
          <w:sz w:val="24"/>
          <w:highlight w:val="none"/>
          <w:u w:val="single"/>
        </w:rPr>
        <w:t xml:space="preserve">     </w:t>
      </w:r>
      <w:r>
        <w:rPr>
          <w:rFonts w:eastAsia="仿宋_GB2312"/>
          <w:color w:val="auto"/>
          <w:kern w:val="0"/>
          <w:sz w:val="24"/>
          <w:highlight w:val="none"/>
        </w:rPr>
        <w:t>万元，资产总额为</w:t>
      </w:r>
      <w:r>
        <w:rPr>
          <w:rFonts w:eastAsia="仿宋_GB2312"/>
          <w:color w:val="auto"/>
          <w:kern w:val="0"/>
          <w:sz w:val="24"/>
          <w:highlight w:val="none"/>
          <w:u w:val="single"/>
        </w:rPr>
        <w:t xml:space="preserve">     </w:t>
      </w:r>
      <w:r>
        <w:rPr>
          <w:rFonts w:eastAsia="仿宋_GB2312"/>
          <w:color w:val="auto"/>
          <w:kern w:val="0"/>
          <w:sz w:val="24"/>
          <w:highlight w:val="none"/>
        </w:rPr>
        <w:t xml:space="preserve">万元，属于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中型企业、小型企业、微型企业）</w:t>
      </w:r>
      <w:r>
        <w:rPr>
          <w:rFonts w:eastAsia="仿宋_GB2312"/>
          <w:color w:val="auto"/>
          <w:kern w:val="0"/>
          <w:sz w:val="24"/>
          <w:highlight w:val="none"/>
        </w:rPr>
        <w:t>；</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本企业对上述声明内容的真实性负责。如有虚假，将依法承担相应责任。</w:t>
      </w:r>
    </w:p>
    <w:p>
      <w:pPr>
        <w:spacing w:line="560" w:lineRule="exact"/>
        <w:ind w:firstLine="3480" w:firstLineChars="1450"/>
        <w:rPr>
          <w:rFonts w:eastAsia="仿宋_GB2312"/>
          <w:color w:val="auto"/>
          <w:kern w:val="0"/>
          <w:sz w:val="24"/>
          <w:highlight w:val="none"/>
        </w:rPr>
      </w:pPr>
    </w:p>
    <w:p>
      <w:pPr>
        <w:spacing w:line="560" w:lineRule="exact"/>
        <w:ind w:firstLine="3480" w:firstLineChars="1450"/>
        <w:rPr>
          <w:rFonts w:eastAsia="仿宋_GB2312"/>
          <w:color w:val="auto"/>
          <w:kern w:val="0"/>
          <w:sz w:val="24"/>
          <w:highlight w:val="none"/>
        </w:rPr>
      </w:pPr>
      <w:r>
        <w:rPr>
          <w:rFonts w:eastAsia="仿宋_GB2312"/>
          <w:color w:val="auto"/>
          <w:kern w:val="0"/>
          <w:sz w:val="24"/>
          <w:highlight w:val="none"/>
        </w:rPr>
        <w:t>企业名称</w:t>
      </w:r>
      <w:r>
        <w:rPr>
          <w:rFonts w:hint="eastAsia" w:eastAsia="仿宋_GB2312"/>
          <w:color w:val="auto"/>
          <w:kern w:val="0"/>
          <w:sz w:val="24"/>
          <w:highlight w:val="none"/>
          <w:lang w:eastAsia="zh-CN"/>
        </w:rPr>
        <w:t>（</w:t>
      </w:r>
      <w:r>
        <w:rPr>
          <w:rFonts w:eastAsia="仿宋_GB2312"/>
          <w:color w:val="auto"/>
          <w:kern w:val="0"/>
          <w:sz w:val="24"/>
          <w:highlight w:val="none"/>
        </w:rPr>
        <w:t>盖章</w:t>
      </w:r>
      <w:r>
        <w:rPr>
          <w:rFonts w:hint="eastAsia" w:eastAsia="仿宋_GB2312"/>
          <w:color w:val="auto"/>
          <w:kern w:val="0"/>
          <w:sz w:val="24"/>
          <w:highlight w:val="none"/>
          <w:lang w:eastAsia="zh-CN"/>
        </w:rPr>
        <w:t>）</w:t>
      </w:r>
      <w:r>
        <w:rPr>
          <w:rFonts w:eastAsia="仿宋_GB2312"/>
          <w:color w:val="auto"/>
          <w:kern w:val="0"/>
          <w:sz w:val="24"/>
          <w:highlight w:val="none"/>
        </w:rPr>
        <w:t>：</w:t>
      </w:r>
    </w:p>
    <w:p>
      <w:pPr>
        <w:spacing w:line="560" w:lineRule="exact"/>
        <w:ind w:firstLine="3480" w:firstLineChars="1450"/>
        <w:rPr>
          <w:rFonts w:eastAsia="仿宋_GB2312"/>
          <w:color w:val="auto"/>
          <w:kern w:val="0"/>
          <w:sz w:val="24"/>
          <w:szCs w:val="22"/>
          <w:highlight w:val="none"/>
        </w:rPr>
      </w:pPr>
      <w:r>
        <w:rPr>
          <w:rFonts w:eastAsia="仿宋_GB2312"/>
          <w:color w:val="auto"/>
          <w:kern w:val="0"/>
          <w:sz w:val="24"/>
          <w:highlight w:val="none"/>
        </w:rPr>
        <w:t>日期：</w:t>
      </w:r>
    </w:p>
    <w:p>
      <w:pPr>
        <w:spacing w:line="360" w:lineRule="auto"/>
        <w:rPr>
          <w:rFonts w:eastAsia="Arial Unicode MS"/>
          <w:color w:val="auto"/>
          <w:highlight w:val="none"/>
        </w:rPr>
      </w:pPr>
    </w:p>
    <w:p>
      <w:pPr>
        <w:ind w:left="450" w:hanging="450" w:hangingChars="150"/>
        <w:rPr>
          <w:rFonts w:eastAsia="华文仿宋"/>
          <w:color w:val="auto"/>
          <w:kern w:val="0"/>
          <w:sz w:val="18"/>
          <w:szCs w:val="18"/>
          <w:highlight w:val="none"/>
        </w:rPr>
      </w:pPr>
      <w:r>
        <w:rPr>
          <w:rFonts w:eastAsia="华文仿宋"/>
          <w:color w:val="auto"/>
          <w:kern w:val="0"/>
          <w:sz w:val="30"/>
          <w:szCs w:val="30"/>
          <w:highlight w:val="none"/>
        </w:rPr>
        <w:t xml:space="preserve"> </w:t>
      </w:r>
      <w:r>
        <w:rPr>
          <w:rFonts w:eastAsia="华文仿宋"/>
          <w:color w:val="auto"/>
          <w:kern w:val="0"/>
          <w:sz w:val="30"/>
          <w:szCs w:val="30"/>
          <w:highlight w:val="none"/>
          <w:u w:val="single"/>
        </w:rPr>
        <w:t xml:space="preserve">                                                     </w:t>
      </w:r>
      <w:r>
        <w:rPr>
          <w:rFonts w:eastAsia="华文仿宋"/>
          <w:color w:val="auto"/>
          <w:kern w:val="0"/>
          <w:sz w:val="30"/>
          <w:szCs w:val="30"/>
          <w:highlight w:val="none"/>
        </w:rPr>
        <w:t xml:space="preserve">    </w:t>
      </w:r>
      <w:r>
        <w:rPr>
          <w:rFonts w:eastAsia="华文仿宋"/>
          <w:color w:val="auto"/>
          <w:kern w:val="0"/>
          <w:sz w:val="18"/>
          <w:szCs w:val="18"/>
          <w:highlight w:val="none"/>
        </w:rPr>
        <w:t xml:space="preserve"> </w:t>
      </w:r>
    </w:p>
    <w:p>
      <w:pPr>
        <w:ind w:firstLine="90" w:firstLineChars="50"/>
        <w:rPr>
          <w:rFonts w:hint="eastAsia" w:ascii="仿宋" w:hAnsi="仿宋" w:eastAsia="仿宋" w:cs="仿宋"/>
          <w:color w:val="auto"/>
          <w:kern w:val="0"/>
          <w:sz w:val="18"/>
          <w:szCs w:val="18"/>
          <w:highlight w:val="none"/>
        </w:rPr>
      </w:pPr>
      <w:r>
        <w:rPr>
          <w:rFonts w:eastAsia="华文仿宋"/>
          <w:color w:val="auto"/>
          <w:kern w:val="0"/>
          <w:sz w:val="18"/>
          <w:szCs w:val="18"/>
          <w:highlight w:val="none"/>
        </w:rPr>
        <w:t>（从业人员、营业收入、资产总额填报上一年度数据，无上一年度数据的新成立企业可不填报）</w:t>
      </w:r>
      <w:r>
        <w:rPr>
          <w:rFonts w:hint="eastAsia" w:ascii="仿宋" w:hAnsi="仿宋" w:eastAsia="仿宋" w:cs="仿宋"/>
          <w:color w:val="auto"/>
          <w:kern w:val="0"/>
          <w:sz w:val="18"/>
          <w:szCs w:val="18"/>
          <w:highlight w:val="none"/>
        </w:rPr>
        <w:t xml:space="preserve">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rPr>
          <w:rFonts w:hint="eastAsia" w:ascii="仿宋" w:hAnsi="仿宋" w:eastAsia="仿宋" w:cs="仿宋"/>
          <w:bCs/>
          <w:color w:val="auto"/>
          <w:kern w:val="0"/>
          <w:sz w:val="24"/>
          <w:szCs w:val="20"/>
          <w:highlight w:val="none"/>
        </w:rPr>
      </w:pPr>
      <w:bookmarkStart w:id="376" w:name="_Toc532473512"/>
      <w:bookmarkStart w:id="377" w:name="_Toc11803"/>
      <w:bookmarkStart w:id="378" w:name="_Toc515647824"/>
      <w:bookmarkStart w:id="379" w:name="_Toc10977"/>
      <w:r>
        <w:rPr>
          <w:rFonts w:hint="eastAsia" w:ascii="仿宋" w:hAnsi="仿宋" w:eastAsia="仿宋" w:cs="仿宋"/>
          <w:bCs/>
          <w:color w:val="auto"/>
          <w:kern w:val="0"/>
          <w:sz w:val="24"/>
          <w:szCs w:val="20"/>
          <w:highlight w:val="none"/>
        </w:rPr>
        <w:t>（投标文件格式七）</w:t>
      </w:r>
    </w:p>
    <w:p>
      <w:pPr>
        <w:pStyle w:val="18"/>
        <w:spacing w:line="360" w:lineRule="auto"/>
        <w:jc w:val="center"/>
        <w:rPr>
          <w:rFonts w:hint="eastAsia" w:ascii="仿宋" w:hAnsi="仿宋" w:eastAsia="仿宋" w:cs="仿宋"/>
          <w:b/>
          <w:bCs w:val="0"/>
          <w:color w:val="auto"/>
          <w:sz w:val="32"/>
          <w:highlight w:val="none"/>
        </w:rPr>
      </w:pPr>
      <w:bookmarkStart w:id="380" w:name="_Toc60928911"/>
      <w:bookmarkStart w:id="381" w:name="_Toc60929143"/>
      <w:r>
        <w:rPr>
          <w:rFonts w:hint="eastAsia" w:ascii="仿宋" w:hAnsi="仿宋" w:eastAsia="仿宋" w:cs="仿宋"/>
          <w:b/>
          <w:bCs w:val="0"/>
          <w:color w:val="auto"/>
          <w:sz w:val="32"/>
          <w:highlight w:val="none"/>
        </w:rPr>
        <w:t>投标人监狱企业声明函</w:t>
      </w:r>
      <w:bookmarkEnd w:id="376"/>
      <w:bookmarkEnd w:id="380"/>
      <w:bookmarkEnd w:id="381"/>
    </w:p>
    <w:p>
      <w:pPr>
        <w:pStyle w:val="18"/>
        <w:spacing w:line="360" w:lineRule="auto"/>
        <w:jc w:val="center"/>
        <w:rPr>
          <w:rFonts w:hint="eastAsia" w:ascii="仿宋" w:hAnsi="仿宋" w:eastAsia="仿宋" w:cs="仿宋"/>
          <w:b/>
          <w:bCs w:val="0"/>
          <w:color w:val="auto"/>
          <w:sz w:val="32"/>
          <w:highlight w:val="none"/>
        </w:rPr>
      </w:pPr>
    </w:p>
    <w:p>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本单位为直接投标人提供本单位制造的货物。</w:t>
      </w:r>
    </w:p>
    <w:p>
      <w:pPr>
        <w:widowControl/>
        <w:spacing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（1）本企业（单位）（请填写：是、不是）监狱企业。如果是，后附省级以上监狱管理局、戒毒管理局（含新疆生产建设兵团）出具的属于监狱企业的证明文件。</w:t>
      </w:r>
    </w:p>
    <w:p>
      <w:pPr>
        <w:widowControl/>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（2）本企业（单位）（请填写：是、不是）为联合体一方，提供本企业（单位）制造的货物，由本企业（单位）承担工程、提供服务。本企业（单位）提供协议合同金额占到共同投标协议合同总金额的比例为。</w:t>
      </w:r>
    </w:p>
    <w:p>
      <w:pPr>
        <w:widowControl/>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pStyle w:val="2"/>
        <w:spacing w:before="0" w:line="360" w:lineRule="auto"/>
        <w:ind w:firstLine="480"/>
        <w:rPr>
          <w:rFonts w:hint="eastAsia" w:ascii="仿宋" w:hAnsi="仿宋" w:eastAsia="仿宋" w:cs="仿宋"/>
          <w:color w:val="auto"/>
          <w:highlight w:val="none"/>
        </w:rPr>
      </w:pPr>
    </w:p>
    <w:p>
      <w:pPr>
        <w:widowControl/>
        <w:spacing w:line="360" w:lineRule="auto"/>
        <w:ind w:firstLine="480" w:firstLineChars="2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投标人（盖章）：</w:t>
      </w:r>
    </w:p>
    <w:p>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法定代表人或授权代表（签字）：</w:t>
      </w:r>
    </w:p>
    <w:p>
      <w:pPr>
        <w:widowControl/>
        <w:spacing w:line="360" w:lineRule="auto"/>
        <w:ind w:firstLine="480" w:firstLineChars="2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日 期：    年  月  日</w:t>
      </w:r>
    </w:p>
    <w:p>
      <w:pPr>
        <w:widowControl/>
        <w:spacing w:line="360" w:lineRule="auto"/>
        <w:jc w:val="left"/>
        <w:rPr>
          <w:rFonts w:hint="eastAsia" w:ascii="仿宋" w:hAnsi="仿宋" w:eastAsia="仿宋" w:cs="仿宋"/>
          <w:color w:val="auto"/>
          <w:kern w:val="0"/>
          <w:sz w:val="24"/>
          <w:highlight w:val="none"/>
          <w:u w:val="single"/>
        </w:rPr>
      </w:pPr>
    </w:p>
    <w:p>
      <w:pPr>
        <w:widowControl/>
        <w:spacing w:line="360" w:lineRule="auto"/>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注：符合《关于政府采购支持监狱企业发展有关问题的通知》价格扣减条件的投标人须提交。</w:t>
      </w:r>
    </w:p>
    <w:p>
      <w:pPr>
        <w:spacing w:line="360" w:lineRule="auto"/>
        <w:rPr>
          <w:rFonts w:hint="eastAsia" w:ascii="仿宋" w:hAnsi="仿宋" w:eastAsia="仿宋" w:cs="仿宋"/>
          <w:color w:val="auto"/>
          <w:kern w:val="0"/>
          <w:sz w:val="24"/>
          <w:szCs w:val="20"/>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kern w:val="0"/>
          <w:sz w:val="24"/>
          <w:szCs w:val="20"/>
          <w:highlight w:val="none"/>
        </w:rPr>
        <w:t>（投标文件格式八）</w:t>
      </w:r>
    </w:p>
    <w:p>
      <w:pPr>
        <w:pStyle w:val="18"/>
        <w:spacing w:line="360" w:lineRule="auto"/>
        <w:jc w:val="center"/>
        <w:rPr>
          <w:rFonts w:hint="eastAsia" w:ascii="仿宋" w:hAnsi="仿宋" w:eastAsia="仿宋" w:cs="仿宋"/>
          <w:b/>
          <w:bCs w:val="0"/>
          <w:color w:val="auto"/>
          <w:sz w:val="32"/>
          <w:highlight w:val="none"/>
        </w:rPr>
      </w:pPr>
      <w:bookmarkStart w:id="382" w:name="_Toc60929144"/>
      <w:bookmarkStart w:id="383" w:name="_Toc60928912"/>
      <w:bookmarkStart w:id="384" w:name="_Toc532473513"/>
      <w:r>
        <w:rPr>
          <w:rFonts w:hint="eastAsia" w:ascii="仿宋" w:hAnsi="仿宋" w:eastAsia="仿宋" w:cs="仿宋"/>
          <w:b/>
          <w:bCs w:val="0"/>
          <w:color w:val="auto"/>
          <w:sz w:val="32"/>
          <w:highlight w:val="none"/>
        </w:rPr>
        <w:t>残疾人福利性单位声明函</w:t>
      </w:r>
      <w:bookmarkEnd w:id="382"/>
      <w:bookmarkEnd w:id="383"/>
    </w:p>
    <w:bookmarkEnd w:id="384"/>
    <w:p>
      <w:pPr>
        <w:spacing w:line="360" w:lineRule="auto"/>
        <w:ind w:left="1080" w:leftChars="257" w:hanging="540"/>
        <w:jc w:val="center"/>
        <w:rPr>
          <w:rFonts w:hint="eastAsia" w:ascii="仿宋" w:hAnsi="仿宋" w:eastAsia="仿宋" w:cs="仿宋"/>
          <w:color w:val="auto"/>
          <w:kern w:val="0"/>
          <w:sz w:val="24"/>
          <w:szCs w:val="20"/>
          <w:highlight w:val="none"/>
        </w:rPr>
      </w:pPr>
    </w:p>
    <w:p>
      <w:pPr>
        <w:spacing w:line="360" w:lineRule="auto"/>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color w:val="auto"/>
          <w:kern w:val="0"/>
          <w:sz w:val="24"/>
          <w:highlight w:val="none"/>
        </w:rPr>
        <w:t>（由本单位承担提供服务）</w:t>
      </w:r>
      <w:r>
        <w:rPr>
          <w:rFonts w:hint="eastAsia" w:ascii="仿宋" w:hAnsi="仿宋" w:eastAsia="仿宋" w:cs="仿宋"/>
          <w:color w:val="auto"/>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仿宋" w:hAnsi="仿宋" w:eastAsia="仿宋" w:cs="仿宋"/>
          <w:color w:val="auto"/>
          <w:kern w:val="0"/>
          <w:sz w:val="24"/>
          <w:szCs w:val="20"/>
          <w:highlight w:val="none"/>
        </w:rPr>
      </w:pPr>
    </w:p>
    <w:p>
      <w:pPr>
        <w:spacing w:line="360" w:lineRule="auto"/>
        <w:ind w:left="1080" w:leftChars="257" w:hanging="540"/>
        <w:jc w:val="center"/>
        <w:rPr>
          <w:rFonts w:hint="eastAsia" w:ascii="仿宋" w:hAnsi="仿宋" w:eastAsia="仿宋" w:cs="仿宋"/>
          <w:color w:val="auto"/>
          <w:kern w:val="0"/>
          <w:sz w:val="24"/>
          <w:szCs w:val="20"/>
          <w:highlight w:val="none"/>
        </w:rPr>
      </w:pPr>
    </w:p>
    <w:p>
      <w:pPr>
        <w:spacing w:line="360" w:lineRule="auto"/>
        <w:ind w:left="1080" w:leftChars="257" w:hanging="54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残疾人福利性单位（盖章）：</w:t>
      </w:r>
    </w:p>
    <w:p>
      <w:pPr>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highlight w:val="none"/>
        </w:rPr>
        <w:t>法定代表人或授权代表（签字）：</w:t>
      </w:r>
    </w:p>
    <w:p>
      <w:pPr>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    年  月  日</w:t>
      </w:r>
    </w:p>
    <w:p>
      <w:pPr>
        <w:spacing w:line="360" w:lineRule="auto"/>
        <w:ind w:firstLine="600" w:firstLineChars="250"/>
        <w:rPr>
          <w:rFonts w:hint="eastAsia" w:ascii="仿宋" w:hAnsi="仿宋" w:eastAsia="仿宋" w:cs="仿宋"/>
          <w:color w:val="auto"/>
          <w:kern w:val="0"/>
          <w:sz w:val="24"/>
          <w:szCs w:val="20"/>
          <w:highlight w:val="none"/>
          <w:u w:val="single"/>
        </w:rPr>
      </w:pPr>
    </w:p>
    <w:p>
      <w:pPr>
        <w:spacing w:line="360" w:lineRule="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u w:val="single"/>
        </w:rPr>
        <w:t>注：符合《三部门联合发布关于促进残疾人就业政府采购政策的通知》价格扣减条件的投标人须提交。</w:t>
      </w:r>
    </w:p>
    <w:p>
      <w:pPr>
        <w:widowControl/>
        <w:spacing w:before="100" w:beforeAutospacing="1" w:after="100" w:afterAutospacing="1" w:line="360" w:lineRule="auto"/>
        <w:ind w:firstLine="420"/>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bookmarkEnd w:id="377"/>
      <w:bookmarkEnd w:id="378"/>
      <w:bookmarkEnd w:id="379"/>
    </w:p>
    <w:p>
      <w:pPr>
        <w:pStyle w:val="18"/>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符合评分标准要求的商务文件</w:t>
      </w:r>
    </w:p>
    <w:p>
      <w:pPr>
        <w:pStyle w:val="6"/>
        <w:spacing w:line="360" w:lineRule="auto"/>
        <w:ind w:firstLine="0"/>
        <w:rPr>
          <w:rFonts w:hint="eastAsia" w:ascii="仿宋" w:hAnsi="仿宋" w:eastAsia="仿宋" w:cs="仿宋"/>
          <w:color w:val="auto"/>
          <w:highlight w:val="none"/>
        </w:rPr>
      </w:pPr>
    </w:p>
    <w:p>
      <w:pPr>
        <w:pStyle w:val="6"/>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18"/>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投标人须知第10条要求的所有技术文件</w:t>
      </w:r>
    </w:p>
    <w:p>
      <w:pPr>
        <w:pStyle w:val="18"/>
        <w:spacing w:line="360" w:lineRule="auto"/>
        <w:rPr>
          <w:rFonts w:hint="eastAsia" w:ascii="仿宋" w:hAnsi="仿宋" w:eastAsia="仿宋" w:cs="仿宋"/>
          <w:b/>
          <w:color w:val="auto"/>
          <w:sz w:val="32"/>
          <w:highlight w:val="none"/>
        </w:rPr>
      </w:pPr>
    </w:p>
    <w:p>
      <w:pPr>
        <w:pStyle w:val="18"/>
        <w:spacing w:line="360" w:lineRule="auto"/>
        <w:rPr>
          <w:rFonts w:hint="eastAsia" w:ascii="仿宋" w:hAnsi="仿宋" w:eastAsia="仿宋" w:cs="仿宋"/>
          <w:b/>
          <w:color w:val="auto"/>
          <w:sz w:val="32"/>
          <w:highlight w:val="none"/>
        </w:rPr>
      </w:pPr>
      <w:r>
        <w:rPr>
          <w:rFonts w:hint="eastAsia" w:ascii="仿宋" w:hAnsi="仿宋" w:eastAsia="仿宋" w:cs="仿宋"/>
          <w:b/>
          <w:color w:val="auto"/>
          <w:sz w:val="32"/>
          <w:highlight w:val="none"/>
        </w:rPr>
        <w:br w:type="page"/>
      </w:r>
      <w:bookmarkStart w:id="385" w:name="_Toc60929148"/>
      <w:bookmarkStart w:id="386" w:name="_Toc60928916"/>
    </w:p>
    <w:p>
      <w:pPr>
        <w:pStyle w:val="18"/>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投标方案或技术方案</w:t>
      </w:r>
      <w:bookmarkEnd w:id="385"/>
      <w:bookmarkEnd w:id="386"/>
      <w:bookmarkStart w:id="387" w:name="_Toc60929149"/>
      <w:bookmarkStart w:id="388" w:name="_Toc60928917"/>
    </w:p>
    <w:p>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t>（格式自拟，内容应包含评标办法中要求的内容）</w:t>
      </w:r>
      <w:bookmarkEnd w:id="387"/>
      <w:bookmarkEnd w:id="388"/>
    </w:p>
    <w:p>
      <w:pPr>
        <w:rPr>
          <w:rFonts w:hint="eastAsia" w:ascii="仿宋" w:hAnsi="仿宋" w:eastAsia="仿宋" w:cs="仿宋"/>
          <w:color w:val="auto"/>
          <w:highlight w:val="none"/>
        </w:rPr>
      </w:pPr>
    </w:p>
    <w:p>
      <w:pPr>
        <w:pStyle w:val="6"/>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18"/>
        <w:spacing w:line="360" w:lineRule="auto"/>
        <w:jc w:val="center"/>
        <w:rPr>
          <w:rFonts w:hint="eastAsia" w:ascii="仿宋" w:hAnsi="仿宋" w:eastAsia="仿宋" w:cs="仿宋"/>
          <w:b/>
          <w:color w:val="auto"/>
          <w:sz w:val="32"/>
          <w:highlight w:val="none"/>
        </w:rPr>
      </w:pPr>
      <w:bookmarkStart w:id="389" w:name="_Toc60928918"/>
      <w:bookmarkStart w:id="390" w:name="_Toc60929150"/>
      <w:r>
        <w:rPr>
          <w:rFonts w:hint="eastAsia" w:ascii="仿宋" w:hAnsi="仿宋" w:eastAsia="仿宋" w:cs="仿宋"/>
          <w:b/>
          <w:color w:val="auto"/>
          <w:sz w:val="32"/>
          <w:highlight w:val="none"/>
        </w:rPr>
        <w:t>业绩一览表</w:t>
      </w:r>
      <w:bookmarkEnd w:id="389"/>
      <w:bookmarkEnd w:id="390"/>
    </w:p>
    <w:tbl>
      <w:tblPr>
        <w:tblStyle w:val="3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98"/>
        <w:gridCol w:w="1847"/>
        <w:gridCol w:w="1677"/>
        <w:gridCol w:w="1343"/>
        <w:gridCol w:w="2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143"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合同金额（万元）</w:t>
            </w:r>
          </w:p>
        </w:tc>
        <w:tc>
          <w:tcPr>
            <w:tcW w:w="831"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完成日期</w:t>
            </w:r>
          </w:p>
        </w:tc>
        <w:tc>
          <w:tcPr>
            <w:tcW w:w="1556"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432"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43" w:type="pct"/>
            <w:vAlign w:val="center"/>
          </w:tcPr>
          <w:p>
            <w:pPr>
              <w:jc w:val="center"/>
              <w:rPr>
                <w:rFonts w:hint="eastAsia" w:ascii="仿宋" w:hAnsi="仿宋" w:eastAsia="仿宋" w:cs="仿宋"/>
                <w:color w:val="auto"/>
                <w:sz w:val="24"/>
                <w:highlight w:val="none"/>
              </w:rPr>
            </w:pPr>
          </w:p>
        </w:tc>
        <w:tc>
          <w:tcPr>
            <w:tcW w:w="1038" w:type="pct"/>
            <w:tcBorders>
              <w:left w:val="single" w:color="auto" w:sz="4" w:space="0"/>
              <w:right w:val="single" w:color="auto" w:sz="4" w:space="0"/>
            </w:tcBorders>
            <w:vAlign w:val="center"/>
          </w:tcPr>
          <w:p>
            <w:pPr>
              <w:jc w:val="center"/>
              <w:rPr>
                <w:rFonts w:hint="eastAsia" w:ascii="仿宋" w:hAnsi="仿宋" w:eastAsia="仿宋" w:cs="仿宋"/>
                <w:color w:val="auto"/>
                <w:sz w:val="24"/>
                <w:highlight w:val="none"/>
              </w:rPr>
            </w:pPr>
          </w:p>
        </w:tc>
        <w:tc>
          <w:tcPr>
            <w:tcW w:w="831" w:type="pct"/>
            <w:vAlign w:val="center"/>
          </w:tcPr>
          <w:p>
            <w:pPr>
              <w:jc w:val="center"/>
              <w:rPr>
                <w:rFonts w:hint="eastAsia" w:ascii="仿宋" w:hAnsi="仿宋" w:eastAsia="仿宋" w:cs="仿宋"/>
                <w:color w:val="auto"/>
                <w:sz w:val="24"/>
                <w:highlight w:val="none"/>
              </w:rPr>
            </w:pPr>
          </w:p>
        </w:tc>
        <w:tc>
          <w:tcPr>
            <w:tcW w:w="1556" w:type="pct"/>
            <w:vAlign w:val="center"/>
          </w:tcPr>
          <w:p>
            <w:pPr>
              <w:jc w:val="center"/>
              <w:rPr>
                <w:rFonts w:hint="eastAsia" w:ascii="仿宋" w:hAnsi="仿宋" w:eastAsia="仿宋" w:cs="仿宋"/>
                <w:color w:val="auto"/>
                <w:sz w:val="24"/>
                <w:highlight w:val="none"/>
              </w:rPr>
            </w:pPr>
          </w:p>
        </w:tc>
      </w:tr>
    </w:tbl>
    <w:p>
      <w:pPr>
        <w:snapToGrid w:val="0"/>
        <w:spacing w:line="360" w:lineRule="auto"/>
        <w:ind w:left="398" w:hanging="398" w:hangingChars="166"/>
        <w:rPr>
          <w:rFonts w:hint="eastAsia" w:ascii="仿宋" w:hAnsi="仿宋" w:eastAsia="仿宋" w:cs="仿宋"/>
          <w:color w:val="auto"/>
          <w:sz w:val="24"/>
          <w:highlight w:val="none"/>
        </w:rPr>
      </w:pPr>
    </w:p>
    <w:p>
      <w:pPr>
        <w:snapToGrid w:val="0"/>
        <w:spacing w:line="360" w:lineRule="auto"/>
        <w:ind w:left="398" w:hanging="398" w:hangingChars="166"/>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注：1.投标人应如实列出以上情况，如有隐瞒，一经查实将导致其投标申请被拒绝。</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2、每个有效业绩须提供中标通知书或双方签订的合同复印件并加盖公章，无相关证明材料的业绩在评审时将不予确认。</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18"/>
        <w:spacing w:line="360" w:lineRule="auto"/>
        <w:jc w:val="center"/>
        <w:rPr>
          <w:rFonts w:hint="eastAsia" w:ascii="仿宋" w:hAnsi="仿宋" w:eastAsia="仿宋" w:cs="仿宋"/>
          <w:b/>
          <w:color w:val="auto"/>
          <w:sz w:val="32"/>
          <w:highlight w:val="none"/>
        </w:rPr>
      </w:pPr>
      <w:bookmarkStart w:id="391" w:name="_Toc60929151"/>
      <w:bookmarkStart w:id="392" w:name="_Toc60928919"/>
      <w:r>
        <w:rPr>
          <w:rFonts w:hint="eastAsia" w:ascii="仿宋" w:hAnsi="仿宋" w:eastAsia="仿宋" w:cs="仿宋"/>
          <w:b/>
          <w:color w:val="auto"/>
          <w:sz w:val="32"/>
          <w:highlight w:val="none"/>
        </w:rPr>
        <w:t>投标人须知前附表要求的其他文件</w:t>
      </w:r>
      <w:bookmarkEnd w:id="391"/>
      <w:bookmarkEnd w:id="392"/>
    </w:p>
    <w:sectPr>
      <w:footerReference r:id="rId3" w:type="default"/>
      <w:pgSz w:w="11907" w:h="16840"/>
      <w:pgMar w:top="1440" w:right="1800" w:bottom="1440" w:left="1800" w:header="851" w:footer="851" w:gutter="284"/>
      <w:pgNumType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43733C82-0780-4FC5-9C12-32C56E497AB8}"/>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SourceHanSansCN-Regular">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embedRegular r:id="rId2" w:fontKey="{0D86D1ED-88A3-4B3D-803D-618840AB9C13}"/>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5E5DFB3-68B6-45FF-9406-6749874C868A}"/>
  </w:font>
  <w:font w:name="华文仿宋">
    <w:panose1 w:val="02010600040101010101"/>
    <w:charset w:val="86"/>
    <w:family w:val="auto"/>
    <w:pitch w:val="default"/>
    <w:sig w:usb0="00000287" w:usb1="080F0000" w:usb2="00000000" w:usb3="00000000" w:csb0="0004009F" w:csb1="DFD70000"/>
    <w:embedRegular r:id="rId4" w:fontKey="{AEC4D7C6-D1F4-4111-B5D6-8E237E735402}"/>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126D"/>
    <w:multiLevelType w:val="singleLevel"/>
    <w:tmpl w:val="0862126D"/>
    <w:lvl w:ilvl="0" w:tentative="0">
      <w:start w:val="2"/>
      <w:numFmt w:val="decimal"/>
      <w:suff w:val="nothing"/>
      <w:lvlText w:val="%1、"/>
      <w:lvlJc w:val="left"/>
    </w:lvl>
  </w:abstractNum>
  <w:abstractNum w:abstractNumId="1">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46E71891"/>
    <w:multiLevelType w:val="singleLevel"/>
    <w:tmpl w:val="46E71891"/>
    <w:lvl w:ilvl="0" w:tentative="0">
      <w:start w:val="2"/>
      <w:numFmt w:val="decimal"/>
      <w:suff w:val="nothing"/>
      <w:lvlText w:val="%1、"/>
      <w:lvlJc w:val="left"/>
    </w:lvl>
  </w:abstractNum>
  <w:abstractNum w:abstractNumId="3">
    <w:nsid w:val="4B558046"/>
    <w:multiLevelType w:val="singleLevel"/>
    <w:tmpl w:val="4B558046"/>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Y3OWI2YzM2Mzk1NTRlMmUyZDE1YWViMTRhNmI0MTQifQ=="/>
    <w:docVar w:name="VTCASE" w:val="4"/>
    <w:docVar w:name="VTCommandPending" w:val="NONE"/>
  </w:docVars>
  <w:rsids>
    <w:rsidRoot w:val="00887D93"/>
    <w:rsid w:val="000003F8"/>
    <w:rsid w:val="000004CD"/>
    <w:rsid w:val="00000B88"/>
    <w:rsid w:val="00000CC8"/>
    <w:rsid w:val="00001783"/>
    <w:rsid w:val="00001797"/>
    <w:rsid w:val="000018E2"/>
    <w:rsid w:val="0000273B"/>
    <w:rsid w:val="000041A8"/>
    <w:rsid w:val="00004277"/>
    <w:rsid w:val="00004D81"/>
    <w:rsid w:val="000055D7"/>
    <w:rsid w:val="00006413"/>
    <w:rsid w:val="000078F7"/>
    <w:rsid w:val="000106A9"/>
    <w:rsid w:val="00013C70"/>
    <w:rsid w:val="00014763"/>
    <w:rsid w:val="00014892"/>
    <w:rsid w:val="00014B01"/>
    <w:rsid w:val="0001529F"/>
    <w:rsid w:val="000157E2"/>
    <w:rsid w:val="0001668B"/>
    <w:rsid w:val="0001697A"/>
    <w:rsid w:val="000169E1"/>
    <w:rsid w:val="00020D78"/>
    <w:rsid w:val="00021486"/>
    <w:rsid w:val="00021AE8"/>
    <w:rsid w:val="00021CB0"/>
    <w:rsid w:val="00021ED8"/>
    <w:rsid w:val="00022E94"/>
    <w:rsid w:val="00024F79"/>
    <w:rsid w:val="00026F95"/>
    <w:rsid w:val="0003033F"/>
    <w:rsid w:val="00030B4B"/>
    <w:rsid w:val="00030FAA"/>
    <w:rsid w:val="000313B5"/>
    <w:rsid w:val="000315C4"/>
    <w:rsid w:val="00032B33"/>
    <w:rsid w:val="00032B95"/>
    <w:rsid w:val="000333A8"/>
    <w:rsid w:val="0003349B"/>
    <w:rsid w:val="000422D6"/>
    <w:rsid w:val="0004316D"/>
    <w:rsid w:val="000434F9"/>
    <w:rsid w:val="00043533"/>
    <w:rsid w:val="000457F2"/>
    <w:rsid w:val="00045D67"/>
    <w:rsid w:val="0004677C"/>
    <w:rsid w:val="00047F5E"/>
    <w:rsid w:val="000538CC"/>
    <w:rsid w:val="000541C7"/>
    <w:rsid w:val="0005425C"/>
    <w:rsid w:val="00054A8E"/>
    <w:rsid w:val="00055A71"/>
    <w:rsid w:val="00056545"/>
    <w:rsid w:val="00056583"/>
    <w:rsid w:val="00056932"/>
    <w:rsid w:val="00057BB2"/>
    <w:rsid w:val="0006019D"/>
    <w:rsid w:val="000608CE"/>
    <w:rsid w:val="000612B3"/>
    <w:rsid w:val="000619FE"/>
    <w:rsid w:val="00061B68"/>
    <w:rsid w:val="0006254B"/>
    <w:rsid w:val="00062F6D"/>
    <w:rsid w:val="000634E0"/>
    <w:rsid w:val="00063504"/>
    <w:rsid w:val="00063750"/>
    <w:rsid w:val="00063848"/>
    <w:rsid w:val="00064D90"/>
    <w:rsid w:val="00065379"/>
    <w:rsid w:val="000673C5"/>
    <w:rsid w:val="00070907"/>
    <w:rsid w:val="00070E4A"/>
    <w:rsid w:val="000710A4"/>
    <w:rsid w:val="000719AB"/>
    <w:rsid w:val="00071A8D"/>
    <w:rsid w:val="000731AC"/>
    <w:rsid w:val="00073668"/>
    <w:rsid w:val="00073852"/>
    <w:rsid w:val="0007437C"/>
    <w:rsid w:val="00076670"/>
    <w:rsid w:val="00077381"/>
    <w:rsid w:val="00080A9E"/>
    <w:rsid w:val="00080B56"/>
    <w:rsid w:val="00080FC7"/>
    <w:rsid w:val="00081B91"/>
    <w:rsid w:val="00081D11"/>
    <w:rsid w:val="00083115"/>
    <w:rsid w:val="00087D90"/>
    <w:rsid w:val="00091306"/>
    <w:rsid w:val="00092DF6"/>
    <w:rsid w:val="00093269"/>
    <w:rsid w:val="00093645"/>
    <w:rsid w:val="0009376D"/>
    <w:rsid w:val="000938B0"/>
    <w:rsid w:val="00094850"/>
    <w:rsid w:val="00094D7A"/>
    <w:rsid w:val="00096150"/>
    <w:rsid w:val="00096ABA"/>
    <w:rsid w:val="00096F54"/>
    <w:rsid w:val="00097555"/>
    <w:rsid w:val="000A0F1C"/>
    <w:rsid w:val="000A1435"/>
    <w:rsid w:val="000A20CC"/>
    <w:rsid w:val="000A311F"/>
    <w:rsid w:val="000A31C4"/>
    <w:rsid w:val="000A3727"/>
    <w:rsid w:val="000A378F"/>
    <w:rsid w:val="000A49C1"/>
    <w:rsid w:val="000A799B"/>
    <w:rsid w:val="000B097D"/>
    <w:rsid w:val="000B0FD5"/>
    <w:rsid w:val="000B134A"/>
    <w:rsid w:val="000B1F67"/>
    <w:rsid w:val="000B3242"/>
    <w:rsid w:val="000B3392"/>
    <w:rsid w:val="000B362F"/>
    <w:rsid w:val="000B366A"/>
    <w:rsid w:val="000B3958"/>
    <w:rsid w:val="000B41E2"/>
    <w:rsid w:val="000B4D5A"/>
    <w:rsid w:val="000B54A2"/>
    <w:rsid w:val="000B6C50"/>
    <w:rsid w:val="000B6DD0"/>
    <w:rsid w:val="000B7166"/>
    <w:rsid w:val="000B7F8A"/>
    <w:rsid w:val="000C0FDF"/>
    <w:rsid w:val="000C15AF"/>
    <w:rsid w:val="000C1C74"/>
    <w:rsid w:val="000C26CA"/>
    <w:rsid w:val="000C3524"/>
    <w:rsid w:val="000C383E"/>
    <w:rsid w:val="000C3A1F"/>
    <w:rsid w:val="000C5071"/>
    <w:rsid w:val="000C55ED"/>
    <w:rsid w:val="000C5F8B"/>
    <w:rsid w:val="000C6555"/>
    <w:rsid w:val="000C6B1E"/>
    <w:rsid w:val="000C6F86"/>
    <w:rsid w:val="000C78AE"/>
    <w:rsid w:val="000D10E4"/>
    <w:rsid w:val="000D1613"/>
    <w:rsid w:val="000D19C1"/>
    <w:rsid w:val="000D1D95"/>
    <w:rsid w:val="000D27A3"/>
    <w:rsid w:val="000D4821"/>
    <w:rsid w:val="000D498D"/>
    <w:rsid w:val="000D4E69"/>
    <w:rsid w:val="000D5125"/>
    <w:rsid w:val="000D51DB"/>
    <w:rsid w:val="000D5894"/>
    <w:rsid w:val="000D6197"/>
    <w:rsid w:val="000D751E"/>
    <w:rsid w:val="000D7812"/>
    <w:rsid w:val="000D7971"/>
    <w:rsid w:val="000E1288"/>
    <w:rsid w:val="000E35FC"/>
    <w:rsid w:val="000E3784"/>
    <w:rsid w:val="000E37E0"/>
    <w:rsid w:val="000E47A0"/>
    <w:rsid w:val="000E56F6"/>
    <w:rsid w:val="000E597F"/>
    <w:rsid w:val="000E5BFC"/>
    <w:rsid w:val="000E6242"/>
    <w:rsid w:val="000E67B9"/>
    <w:rsid w:val="000E694F"/>
    <w:rsid w:val="000E7158"/>
    <w:rsid w:val="000E74D4"/>
    <w:rsid w:val="000F0A9C"/>
    <w:rsid w:val="000F2D05"/>
    <w:rsid w:val="000F2D29"/>
    <w:rsid w:val="000F2EEE"/>
    <w:rsid w:val="000F349B"/>
    <w:rsid w:val="000F3ED4"/>
    <w:rsid w:val="000F4234"/>
    <w:rsid w:val="000F5B22"/>
    <w:rsid w:val="000F6215"/>
    <w:rsid w:val="000F63C8"/>
    <w:rsid w:val="000F6581"/>
    <w:rsid w:val="00102417"/>
    <w:rsid w:val="001032CC"/>
    <w:rsid w:val="00105B0B"/>
    <w:rsid w:val="001062D8"/>
    <w:rsid w:val="00106A8B"/>
    <w:rsid w:val="001078E3"/>
    <w:rsid w:val="0011024E"/>
    <w:rsid w:val="001110C2"/>
    <w:rsid w:val="0011113E"/>
    <w:rsid w:val="00111480"/>
    <w:rsid w:val="00112163"/>
    <w:rsid w:val="00114579"/>
    <w:rsid w:val="0011463E"/>
    <w:rsid w:val="00114CA2"/>
    <w:rsid w:val="00114F49"/>
    <w:rsid w:val="00115BF1"/>
    <w:rsid w:val="00120292"/>
    <w:rsid w:val="0012032C"/>
    <w:rsid w:val="0012244B"/>
    <w:rsid w:val="001224B5"/>
    <w:rsid w:val="00122643"/>
    <w:rsid w:val="00122D22"/>
    <w:rsid w:val="00122E9B"/>
    <w:rsid w:val="0012425B"/>
    <w:rsid w:val="001244F8"/>
    <w:rsid w:val="001247F0"/>
    <w:rsid w:val="001252D8"/>
    <w:rsid w:val="001257C5"/>
    <w:rsid w:val="001257D4"/>
    <w:rsid w:val="001313C6"/>
    <w:rsid w:val="00131E0D"/>
    <w:rsid w:val="0013289C"/>
    <w:rsid w:val="0013359E"/>
    <w:rsid w:val="00137694"/>
    <w:rsid w:val="0014049E"/>
    <w:rsid w:val="001410EF"/>
    <w:rsid w:val="001411D8"/>
    <w:rsid w:val="00141EAC"/>
    <w:rsid w:val="00141EC4"/>
    <w:rsid w:val="001422E9"/>
    <w:rsid w:val="00142833"/>
    <w:rsid w:val="00142E62"/>
    <w:rsid w:val="00143652"/>
    <w:rsid w:val="0014470E"/>
    <w:rsid w:val="0014488E"/>
    <w:rsid w:val="00145021"/>
    <w:rsid w:val="0014627C"/>
    <w:rsid w:val="00146D60"/>
    <w:rsid w:val="00146E10"/>
    <w:rsid w:val="00147659"/>
    <w:rsid w:val="001504F4"/>
    <w:rsid w:val="001507FB"/>
    <w:rsid w:val="00150E43"/>
    <w:rsid w:val="0015142E"/>
    <w:rsid w:val="001532F0"/>
    <w:rsid w:val="00154FB3"/>
    <w:rsid w:val="001550F4"/>
    <w:rsid w:val="00155D60"/>
    <w:rsid w:val="00156F33"/>
    <w:rsid w:val="00157612"/>
    <w:rsid w:val="00157C74"/>
    <w:rsid w:val="00157D8E"/>
    <w:rsid w:val="00161678"/>
    <w:rsid w:val="00161D71"/>
    <w:rsid w:val="00162805"/>
    <w:rsid w:val="00164959"/>
    <w:rsid w:val="00164E13"/>
    <w:rsid w:val="00165014"/>
    <w:rsid w:val="0017180F"/>
    <w:rsid w:val="00172939"/>
    <w:rsid w:val="00172F97"/>
    <w:rsid w:val="001733C3"/>
    <w:rsid w:val="00173BFF"/>
    <w:rsid w:val="00173D06"/>
    <w:rsid w:val="00173DC3"/>
    <w:rsid w:val="00174749"/>
    <w:rsid w:val="00174764"/>
    <w:rsid w:val="00174FCA"/>
    <w:rsid w:val="001758A8"/>
    <w:rsid w:val="00175AFB"/>
    <w:rsid w:val="00176F12"/>
    <w:rsid w:val="001770BE"/>
    <w:rsid w:val="00177A3E"/>
    <w:rsid w:val="00181ADD"/>
    <w:rsid w:val="00181CFB"/>
    <w:rsid w:val="001839F8"/>
    <w:rsid w:val="00183E4B"/>
    <w:rsid w:val="00185E58"/>
    <w:rsid w:val="001871F8"/>
    <w:rsid w:val="00187B13"/>
    <w:rsid w:val="00187EB4"/>
    <w:rsid w:val="0019282C"/>
    <w:rsid w:val="001930DE"/>
    <w:rsid w:val="001933C5"/>
    <w:rsid w:val="0019360A"/>
    <w:rsid w:val="001952EC"/>
    <w:rsid w:val="00195570"/>
    <w:rsid w:val="0019618B"/>
    <w:rsid w:val="001963DD"/>
    <w:rsid w:val="00196FA0"/>
    <w:rsid w:val="00197710"/>
    <w:rsid w:val="001A282B"/>
    <w:rsid w:val="001A3B44"/>
    <w:rsid w:val="001A3BEB"/>
    <w:rsid w:val="001A3DFF"/>
    <w:rsid w:val="001A4172"/>
    <w:rsid w:val="001A5268"/>
    <w:rsid w:val="001A5B0B"/>
    <w:rsid w:val="001A5EEB"/>
    <w:rsid w:val="001A62A5"/>
    <w:rsid w:val="001A6980"/>
    <w:rsid w:val="001A7068"/>
    <w:rsid w:val="001B05CA"/>
    <w:rsid w:val="001B3B4C"/>
    <w:rsid w:val="001B4216"/>
    <w:rsid w:val="001B49A4"/>
    <w:rsid w:val="001B521B"/>
    <w:rsid w:val="001B5C9A"/>
    <w:rsid w:val="001B5CC8"/>
    <w:rsid w:val="001B6587"/>
    <w:rsid w:val="001C0582"/>
    <w:rsid w:val="001C058D"/>
    <w:rsid w:val="001C4E93"/>
    <w:rsid w:val="001C54C3"/>
    <w:rsid w:val="001C577E"/>
    <w:rsid w:val="001D027D"/>
    <w:rsid w:val="001D02E4"/>
    <w:rsid w:val="001D0412"/>
    <w:rsid w:val="001D3305"/>
    <w:rsid w:val="001D3D88"/>
    <w:rsid w:val="001D4A1E"/>
    <w:rsid w:val="001D4B5F"/>
    <w:rsid w:val="001D6C02"/>
    <w:rsid w:val="001D70E9"/>
    <w:rsid w:val="001D7354"/>
    <w:rsid w:val="001E181E"/>
    <w:rsid w:val="001E1955"/>
    <w:rsid w:val="001E1DCD"/>
    <w:rsid w:val="001E25CB"/>
    <w:rsid w:val="001E4481"/>
    <w:rsid w:val="001E44EF"/>
    <w:rsid w:val="001E4724"/>
    <w:rsid w:val="001E5225"/>
    <w:rsid w:val="001E5AD9"/>
    <w:rsid w:val="001E62FA"/>
    <w:rsid w:val="001E674E"/>
    <w:rsid w:val="001E6C1A"/>
    <w:rsid w:val="001E7629"/>
    <w:rsid w:val="001E7846"/>
    <w:rsid w:val="001E7E8B"/>
    <w:rsid w:val="001F02D8"/>
    <w:rsid w:val="001F0B08"/>
    <w:rsid w:val="001F20DA"/>
    <w:rsid w:val="001F2F0B"/>
    <w:rsid w:val="001F3130"/>
    <w:rsid w:val="001F325D"/>
    <w:rsid w:val="001F3E0A"/>
    <w:rsid w:val="001F48F3"/>
    <w:rsid w:val="001F5620"/>
    <w:rsid w:val="001F5903"/>
    <w:rsid w:val="001F6135"/>
    <w:rsid w:val="001F624A"/>
    <w:rsid w:val="001F7292"/>
    <w:rsid w:val="001F7B07"/>
    <w:rsid w:val="002001DC"/>
    <w:rsid w:val="002032B0"/>
    <w:rsid w:val="00203618"/>
    <w:rsid w:val="00203778"/>
    <w:rsid w:val="0020407A"/>
    <w:rsid w:val="00206B42"/>
    <w:rsid w:val="00207B86"/>
    <w:rsid w:val="00210AE7"/>
    <w:rsid w:val="0021140A"/>
    <w:rsid w:val="002123C7"/>
    <w:rsid w:val="002124BD"/>
    <w:rsid w:val="00213411"/>
    <w:rsid w:val="00214C91"/>
    <w:rsid w:val="0021518F"/>
    <w:rsid w:val="00215B2E"/>
    <w:rsid w:val="00216D4F"/>
    <w:rsid w:val="00216E43"/>
    <w:rsid w:val="00220866"/>
    <w:rsid w:val="00220E32"/>
    <w:rsid w:val="00220F85"/>
    <w:rsid w:val="00221DE5"/>
    <w:rsid w:val="00221E50"/>
    <w:rsid w:val="00222523"/>
    <w:rsid w:val="002231A4"/>
    <w:rsid w:val="00223245"/>
    <w:rsid w:val="00224447"/>
    <w:rsid w:val="00224A77"/>
    <w:rsid w:val="0022671D"/>
    <w:rsid w:val="0022758C"/>
    <w:rsid w:val="00230041"/>
    <w:rsid w:val="0023090E"/>
    <w:rsid w:val="00231C64"/>
    <w:rsid w:val="00232C22"/>
    <w:rsid w:val="002330C7"/>
    <w:rsid w:val="0023318A"/>
    <w:rsid w:val="00233ADF"/>
    <w:rsid w:val="00235F42"/>
    <w:rsid w:val="0023688B"/>
    <w:rsid w:val="00236A9B"/>
    <w:rsid w:val="00236C4A"/>
    <w:rsid w:val="0023715B"/>
    <w:rsid w:val="00237592"/>
    <w:rsid w:val="002402C0"/>
    <w:rsid w:val="0024141B"/>
    <w:rsid w:val="00242361"/>
    <w:rsid w:val="00244A0E"/>
    <w:rsid w:val="00244F73"/>
    <w:rsid w:val="00245783"/>
    <w:rsid w:val="00247E67"/>
    <w:rsid w:val="002501BB"/>
    <w:rsid w:val="002509CA"/>
    <w:rsid w:val="00250C1D"/>
    <w:rsid w:val="00251A29"/>
    <w:rsid w:val="00251B89"/>
    <w:rsid w:val="00252AAF"/>
    <w:rsid w:val="00252CD6"/>
    <w:rsid w:val="00253615"/>
    <w:rsid w:val="002537D1"/>
    <w:rsid w:val="00253950"/>
    <w:rsid w:val="00254F7E"/>
    <w:rsid w:val="0025569E"/>
    <w:rsid w:val="002564FE"/>
    <w:rsid w:val="00260276"/>
    <w:rsid w:val="002603EB"/>
    <w:rsid w:val="0026082E"/>
    <w:rsid w:val="00261FEB"/>
    <w:rsid w:val="00262619"/>
    <w:rsid w:val="00262A4F"/>
    <w:rsid w:val="00264327"/>
    <w:rsid w:val="002650F1"/>
    <w:rsid w:val="0026511C"/>
    <w:rsid w:val="002657C5"/>
    <w:rsid w:val="00266403"/>
    <w:rsid w:val="00266406"/>
    <w:rsid w:val="002679CA"/>
    <w:rsid w:val="00270373"/>
    <w:rsid w:val="00272722"/>
    <w:rsid w:val="0027355A"/>
    <w:rsid w:val="00273A60"/>
    <w:rsid w:val="002745E7"/>
    <w:rsid w:val="00275D57"/>
    <w:rsid w:val="002760AC"/>
    <w:rsid w:val="00276A3B"/>
    <w:rsid w:val="002770D8"/>
    <w:rsid w:val="00277935"/>
    <w:rsid w:val="00277E8E"/>
    <w:rsid w:val="002804D8"/>
    <w:rsid w:val="002807CC"/>
    <w:rsid w:val="00280DD6"/>
    <w:rsid w:val="002810E7"/>
    <w:rsid w:val="00281C51"/>
    <w:rsid w:val="002822AE"/>
    <w:rsid w:val="00282496"/>
    <w:rsid w:val="00283033"/>
    <w:rsid w:val="00283C83"/>
    <w:rsid w:val="00283F76"/>
    <w:rsid w:val="00284393"/>
    <w:rsid w:val="002854DC"/>
    <w:rsid w:val="002859A3"/>
    <w:rsid w:val="0028616B"/>
    <w:rsid w:val="002878D2"/>
    <w:rsid w:val="00290CDE"/>
    <w:rsid w:val="00290DE2"/>
    <w:rsid w:val="00291E35"/>
    <w:rsid w:val="00291E87"/>
    <w:rsid w:val="00294129"/>
    <w:rsid w:val="002941B7"/>
    <w:rsid w:val="002959CC"/>
    <w:rsid w:val="002968A8"/>
    <w:rsid w:val="00297ED3"/>
    <w:rsid w:val="002A0AA2"/>
    <w:rsid w:val="002A0C27"/>
    <w:rsid w:val="002A2315"/>
    <w:rsid w:val="002A2732"/>
    <w:rsid w:val="002A2D72"/>
    <w:rsid w:val="002A3153"/>
    <w:rsid w:val="002A3190"/>
    <w:rsid w:val="002A5529"/>
    <w:rsid w:val="002A6C9C"/>
    <w:rsid w:val="002A7668"/>
    <w:rsid w:val="002A7A68"/>
    <w:rsid w:val="002B06AA"/>
    <w:rsid w:val="002B14D3"/>
    <w:rsid w:val="002B17A6"/>
    <w:rsid w:val="002B36A1"/>
    <w:rsid w:val="002B38AB"/>
    <w:rsid w:val="002B64E4"/>
    <w:rsid w:val="002C05B8"/>
    <w:rsid w:val="002C0F6F"/>
    <w:rsid w:val="002C10AC"/>
    <w:rsid w:val="002C1F27"/>
    <w:rsid w:val="002C2AE8"/>
    <w:rsid w:val="002C2FF3"/>
    <w:rsid w:val="002C3A5A"/>
    <w:rsid w:val="002C4227"/>
    <w:rsid w:val="002C4ABE"/>
    <w:rsid w:val="002C672F"/>
    <w:rsid w:val="002C71EC"/>
    <w:rsid w:val="002C7548"/>
    <w:rsid w:val="002C780B"/>
    <w:rsid w:val="002C7DE6"/>
    <w:rsid w:val="002C7E47"/>
    <w:rsid w:val="002D1BA1"/>
    <w:rsid w:val="002D2C13"/>
    <w:rsid w:val="002D2FFB"/>
    <w:rsid w:val="002D4E0A"/>
    <w:rsid w:val="002D4E16"/>
    <w:rsid w:val="002D4F0F"/>
    <w:rsid w:val="002D505C"/>
    <w:rsid w:val="002D5DF8"/>
    <w:rsid w:val="002D728B"/>
    <w:rsid w:val="002D7759"/>
    <w:rsid w:val="002E127E"/>
    <w:rsid w:val="002E334D"/>
    <w:rsid w:val="002E486A"/>
    <w:rsid w:val="002E53C0"/>
    <w:rsid w:val="002E6B9E"/>
    <w:rsid w:val="002E766C"/>
    <w:rsid w:val="002E7A9E"/>
    <w:rsid w:val="002F02C8"/>
    <w:rsid w:val="002F0A07"/>
    <w:rsid w:val="002F2D5F"/>
    <w:rsid w:val="002F3072"/>
    <w:rsid w:val="002F3AF8"/>
    <w:rsid w:val="002F46DC"/>
    <w:rsid w:val="002F5145"/>
    <w:rsid w:val="002F539A"/>
    <w:rsid w:val="002F5CB9"/>
    <w:rsid w:val="002F659B"/>
    <w:rsid w:val="002F683C"/>
    <w:rsid w:val="00303EF8"/>
    <w:rsid w:val="00305764"/>
    <w:rsid w:val="00305F52"/>
    <w:rsid w:val="00310C52"/>
    <w:rsid w:val="0031140B"/>
    <w:rsid w:val="00312F1A"/>
    <w:rsid w:val="00314A4D"/>
    <w:rsid w:val="00314E3D"/>
    <w:rsid w:val="00317120"/>
    <w:rsid w:val="003171BB"/>
    <w:rsid w:val="0032100C"/>
    <w:rsid w:val="003212C2"/>
    <w:rsid w:val="0032144E"/>
    <w:rsid w:val="00321921"/>
    <w:rsid w:val="00321926"/>
    <w:rsid w:val="00322C1C"/>
    <w:rsid w:val="00322E43"/>
    <w:rsid w:val="003232E8"/>
    <w:rsid w:val="003238BD"/>
    <w:rsid w:val="00324EDC"/>
    <w:rsid w:val="00327707"/>
    <w:rsid w:val="00330334"/>
    <w:rsid w:val="0033060D"/>
    <w:rsid w:val="003318F3"/>
    <w:rsid w:val="00331A7D"/>
    <w:rsid w:val="00331ECA"/>
    <w:rsid w:val="00333153"/>
    <w:rsid w:val="00333919"/>
    <w:rsid w:val="00333D91"/>
    <w:rsid w:val="00334F3E"/>
    <w:rsid w:val="003379AF"/>
    <w:rsid w:val="00337C5C"/>
    <w:rsid w:val="00343299"/>
    <w:rsid w:val="00343E4C"/>
    <w:rsid w:val="0034565C"/>
    <w:rsid w:val="003466C4"/>
    <w:rsid w:val="0034779B"/>
    <w:rsid w:val="003478FB"/>
    <w:rsid w:val="00351ABD"/>
    <w:rsid w:val="00352BC8"/>
    <w:rsid w:val="00355D82"/>
    <w:rsid w:val="00356CAF"/>
    <w:rsid w:val="0035739A"/>
    <w:rsid w:val="0036041B"/>
    <w:rsid w:val="003608FE"/>
    <w:rsid w:val="00361177"/>
    <w:rsid w:val="003612A6"/>
    <w:rsid w:val="00363EC8"/>
    <w:rsid w:val="0036400E"/>
    <w:rsid w:val="00364B1F"/>
    <w:rsid w:val="00364C2D"/>
    <w:rsid w:val="003671F3"/>
    <w:rsid w:val="00367712"/>
    <w:rsid w:val="00367C88"/>
    <w:rsid w:val="00367DB2"/>
    <w:rsid w:val="00370155"/>
    <w:rsid w:val="00370B19"/>
    <w:rsid w:val="00371139"/>
    <w:rsid w:val="00371C8C"/>
    <w:rsid w:val="00372779"/>
    <w:rsid w:val="00373408"/>
    <w:rsid w:val="003748EB"/>
    <w:rsid w:val="003757F6"/>
    <w:rsid w:val="00375DCD"/>
    <w:rsid w:val="00375DEA"/>
    <w:rsid w:val="00376F36"/>
    <w:rsid w:val="003800A6"/>
    <w:rsid w:val="0038151E"/>
    <w:rsid w:val="00382FFA"/>
    <w:rsid w:val="003839DF"/>
    <w:rsid w:val="00383B0A"/>
    <w:rsid w:val="0038491D"/>
    <w:rsid w:val="00385E7A"/>
    <w:rsid w:val="00386A20"/>
    <w:rsid w:val="00387606"/>
    <w:rsid w:val="00387983"/>
    <w:rsid w:val="0039012C"/>
    <w:rsid w:val="0039056C"/>
    <w:rsid w:val="00391DD2"/>
    <w:rsid w:val="0039248C"/>
    <w:rsid w:val="003925E1"/>
    <w:rsid w:val="00393D74"/>
    <w:rsid w:val="00393ED9"/>
    <w:rsid w:val="003943A7"/>
    <w:rsid w:val="00396A66"/>
    <w:rsid w:val="00396F4F"/>
    <w:rsid w:val="003A0D00"/>
    <w:rsid w:val="003A0E06"/>
    <w:rsid w:val="003A1A69"/>
    <w:rsid w:val="003A27D9"/>
    <w:rsid w:val="003A2A5C"/>
    <w:rsid w:val="003A2B4E"/>
    <w:rsid w:val="003A3373"/>
    <w:rsid w:val="003A3460"/>
    <w:rsid w:val="003A37B8"/>
    <w:rsid w:val="003A582F"/>
    <w:rsid w:val="003A5F84"/>
    <w:rsid w:val="003A6B72"/>
    <w:rsid w:val="003A7B62"/>
    <w:rsid w:val="003B020F"/>
    <w:rsid w:val="003B0540"/>
    <w:rsid w:val="003B26A2"/>
    <w:rsid w:val="003B3917"/>
    <w:rsid w:val="003B41D9"/>
    <w:rsid w:val="003B4356"/>
    <w:rsid w:val="003B4CEF"/>
    <w:rsid w:val="003B5422"/>
    <w:rsid w:val="003B6694"/>
    <w:rsid w:val="003B7293"/>
    <w:rsid w:val="003C104D"/>
    <w:rsid w:val="003C2546"/>
    <w:rsid w:val="003C4C52"/>
    <w:rsid w:val="003C53B2"/>
    <w:rsid w:val="003C6422"/>
    <w:rsid w:val="003C6C9A"/>
    <w:rsid w:val="003C7950"/>
    <w:rsid w:val="003D079A"/>
    <w:rsid w:val="003D299F"/>
    <w:rsid w:val="003D352C"/>
    <w:rsid w:val="003D359E"/>
    <w:rsid w:val="003D4B1E"/>
    <w:rsid w:val="003D51FB"/>
    <w:rsid w:val="003D6575"/>
    <w:rsid w:val="003D6961"/>
    <w:rsid w:val="003D6BCD"/>
    <w:rsid w:val="003D6E2A"/>
    <w:rsid w:val="003E22FA"/>
    <w:rsid w:val="003E2C77"/>
    <w:rsid w:val="003E2C89"/>
    <w:rsid w:val="003E3C14"/>
    <w:rsid w:val="003E4F87"/>
    <w:rsid w:val="003E5EED"/>
    <w:rsid w:val="003E63BB"/>
    <w:rsid w:val="003E6516"/>
    <w:rsid w:val="003E6DEA"/>
    <w:rsid w:val="003E747A"/>
    <w:rsid w:val="003F0149"/>
    <w:rsid w:val="003F0992"/>
    <w:rsid w:val="003F11BD"/>
    <w:rsid w:val="003F17CA"/>
    <w:rsid w:val="003F4748"/>
    <w:rsid w:val="003F4DB3"/>
    <w:rsid w:val="003F61AC"/>
    <w:rsid w:val="00400A38"/>
    <w:rsid w:val="00401267"/>
    <w:rsid w:val="00401B70"/>
    <w:rsid w:val="00402836"/>
    <w:rsid w:val="0040298F"/>
    <w:rsid w:val="0040367C"/>
    <w:rsid w:val="00404B23"/>
    <w:rsid w:val="00405154"/>
    <w:rsid w:val="00405DA6"/>
    <w:rsid w:val="004064DA"/>
    <w:rsid w:val="004109B8"/>
    <w:rsid w:val="00412221"/>
    <w:rsid w:val="0041238C"/>
    <w:rsid w:val="00412524"/>
    <w:rsid w:val="00412829"/>
    <w:rsid w:val="0041314E"/>
    <w:rsid w:val="00414EDB"/>
    <w:rsid w:val="00415334"/>
    <w:rsid w:val="004164DF"/>
    <w:rsid w:val="00417107"/>
    <w:rsid w:val="00417EAE"/>
    <w:rsid w:val="00420C2B"/>
    <w:rsid w:val="0042141B"/>
    <w:rsid w:val="0042259C"/>
    <w:rsid w:val="00423F6F"/>
    <w:rsid w:val="004249CB"/>
    <w:rsid w:val="004257D5"/>
    <w:rsid w:val="00425DA4"/>
    <w:rsid w:val="00425ED5"/>
    <w:rsid w:val="00425FB2"/>
    <w:rsid w:val="004261AF"/>
    <w:rsid w:val="00426BB0"/>
    <w:rsid w:val="00427BE9"/>
    <w:rsid w:val="004317BA"/>
    <w:rsid w:val="004317F4"/>
    <w:rsid w:val="00433EEA"/>
    <w:rsid w:val="00433F68"/>
    <w:rsid w:val="00436CDF"/>
    <w:rsid w:val="00436D8A"/>
    <w:rsid w:val="0044052A"/>
    <w:rsid w:val="004408B0"/>
    <w:rsid w:val="004408EE"/>
    <w:rsid w:val="00441C7F"/>
    <w:rsid w:val="00441E5E"/>
    <w:rsid w:val="00443F3A"/>
    <w:rsid w:val="0044515D"/>
    <w:rsid w:val="0044524F"/>
    <w:rsid w:val="004460A0"/>
    <w:rsid w:val="0044654E"/>
    <w:rsid w:val="00446B2D"/>
    <w:rsid w:val="00447496"/>
    <w:rsid w:val="004504F2"/>
    <w:rsid w:val="00450C1F"/>
    <w:rsid w:val="00455240"/>
    <w:rsid w:val="0045705D"/>
    <w:rsid w:val="00457157"/>
    <w:rsid w:val="0045721F"/>
    <w:rsid w:val="00457AEF"/>
    <w:rsid w:val="00457B4E"/>
    <w:rsid w:val="00457FD7"/>
    <w:rsid w:val="0046046C"/>
    <w:rsid w:val="00461571"/>
    <w:rsid w:val="00462DE7"/>
    <w:rsid w:val="00463430"/>
    <w:rsid w:val="004634A3"/>
    <w:rsid w:val="004645F0"/>
    <w:rsid w:val="004653F6"/>
    <w:rsid w:val="004663F3"/>
    <w:rsid w:val="004673C5"/>
    <w:rsid w:val="00467553"/>
    <w:rsid w:val="0046779A"/>
    <w:rsid w:val="004704B7"/>
    <w:rsid w:val="00471F78"/>
    <w:rsid w:val="00473B94"/>
    <w:rsid w:val="00473DC2"/>
    <w:rsid w:val="0047547F"/>
    <w:rsid w:val="0047556E"/>
    <w:rsid w:val="00475991"/>
    <w:rsid w:val="00475B13"/>
    <w:rsid w:val="00476DBB"/>
    <w:rsid w:val="004801F5"/>
    <w:rsid w:val="00480D8D"/>
    <w:rsid w:val="004814E5"/>
    <w:rsid w:val="0048151D"/>
    <w:rsid w:val="00484641"/>
    <w:rsid w:val="004846F8"/>
    <w:rsid w:val="00484E7B"/>
    <w:rsid w:val="00485EFC"/>
    <w:rsid w:val="00486D14"/>
    <w:rsid w:val="00487DAC"/>
    <w:rsid w:val="00490080"/>
    <w:rsid w:val="0049045E"/>
    <w:rsid w:val="00490A94"/>
    <w:rsid w:val="004911E4"/>
    <w:rsid w:val="004912F4"/>
    <w:rsid w:val="00491574"/>
    <w:rsid w:val="00491D00"/>
    <w:rsid w:val="004922BC"/>
    <w:rsid w:val="00492522"/>
    <w:rsid w:val="00492673"/>
    <w:rsid w:val="00492CE8"/>
    <w:rsid w:val="00492FCC"/>
    <w:rsid w:val="00493558"/>
    <w:rsid w:val="00493B59"/>
    <w:rsid w:val="00493EC9"/>
    <w:rsid w:val="00494ECE"/>
    <w:rsid w:val="00495251"/>
    <w:rsid w:val="00495B0C"/>
    <w:rsid w:val="004962FC"/>
    <w:rsid w:val="004963A5"/>
    <w:rsid w:val="00497A42"/>
    <w:rsid w:val="004A05E5"/>
    <w:rsid w:val="004A06A6"/>
    <w:rsid w:val="004A09BD"/>
    <w:rsid w:val="004A160D"/>
    <w:rsid w:val="004A1759"/>
    <w:rsid w:val="004A2275"/>
    <w:rsid w:val="004A3872"/>
    <w:rsid w:val="004A3AC0"/>
    <w:rsid w:val="004A42D0"/>
    <w:rsid w:val="004A4ED0"/>
    <w:rsid w:val="004A5081"/>
    <w:rsid w:val="004A6F61"/>
    <w:rsid w:val="004B0706"/>
    <w:rsid w:val="004B0F5D"/>
    <w:rsid w:val="004B13ED"/>
    <w:rsid w:val="004B22B1"/>
    <w:rsid w:val="004B3467"/>
    <w:rsid w:val="004B46E5"/>
    <w:rsid w:val="004B6542"/>
    <w:rsid w:val="004B72A3"/>
    <w:rsid w:val="004C1E33"/>
    <w:rsid w:val="004C5E73"/>
    <w:rsid w:val="004C6870"/>
    <w:rsid w:val="004C7CBC"/>
    <w:rsid w:val="004D29A3"/>
    <w:rsid w:val="004D4D48"/>
    <w:rsid w:val="004D5250"/>
    <w:rsid w:val="004D6AD9"/>
    <w:rsid w:val="004E0517"/>
    <w:rsid w:val="004E0C12"/>
    <w:rsid w:val="004E0CFC"/>
    <w:rsid w:val="004E13F0"/>
    <w:rsid w:val="004E2C84"/>
    <w:rsid w:val="004E36F3"/>
    <w:rsid w:val="004E4838"/>
    <w:rsid w:val="004E4854"/>
    <w:rsid w:val="004E5FCE"/>
    <w:rsid w:val="004F036B"/>
    <w:rsid w:val="004F052D"/>
    <w:rsid w:val="004F0E54"/>
    <w:rsid w:val="004F21C3"/>
    <w:rsid w:val="004F4BEF"/>
    <w:rsid w:val="004F5B43"/>
    <w:rsid w:val="004F7B7E"/>
    <w:rsid w:val="00501785"/>
    <w:rsid w:val="00503724"/>
    <w:rsid w:val="00504E3C"/>
    <w:rsid w:val="0050520F"/>
    <w:rsid w:val="00506005"/>
    <w:rsid w:val="00506888"/>
    <w:rsid w:val="00507970"/>
    <w:rsid w:val="00507AD5"/>
    <w:rsid w:val="00513F7C"/>
    <w:rsid w:val="005149B8"/>
    <w:rsid w:val="005168FA"/>
    <w:rsid w:val="005169FC"/>
    <w:rsid w:val="005175C0"/>
    <w:rsid w:val="00520001"/>
    <w:rsid w:val="00521717"/>
    <w:rsid w:val="0052391C"/>
    <w:rsid w:val="0052393A"/>
    <w:rsid w:val="0052688F"/>
    <w:rsid w:val="00527C12"/>
    <w:rsid w:val="00530942"/>
    <w:rsid w:val="00530C3F"/>
    <w:rsid w:val="00530E5D"/>
    <w:rsid w:val="005322F7"/>
    <w:rsid w:val="00532B1D"/>
    <w:rsid w:val="00533524"/>
    <w:rsid w:val="00534347"/>
    <w:rsid w:val="005373CA"/>
    <w:rsid w:val="00540C55"/>
    <w:rsid w:val="0054145D"/>
    <w:rsid w:val="00542227"/>
    <w:rsid w:val="005422EB"/>
    <w:rsid w:val="00542C08"/>
    <w:rsid w:val="0054426F"/>
    <w:rsid w:val="0054508F"/>
    <w:rsid w:val="00546DE6"/>
    <w:rsid w:val="00546F3A"/>
    <w:rsid w:val="005475C6"/>
    <w:rsid w:val="00547EA1"/>
    <w:rsid w:val="00550C61"/>
    <w:rsid w:val="0055225A"/>
    <w:rsid w:val="00552FBA"/>
    <w:rsid w:val="005540D3"/>
    <w:rsid w:val="005547AE"/>
    <w:rsid w:val="00554D9D"/>
    <w:rsid w:val="00555A82"/>
    <w:rsid w:val="00556C52"/>
    <w:rsid w:val="00557EC6"/>
    <w:rsid w:val="0056008C"/>
    <w:rsid w:val="00560E97"/>
    <w:rsid w:val="0056170F"/>
    <w:rsid w:val="0056550E"/>
    <w:rsid w:val="005678CA"/>
    <w:rsid w:val="00570A8A"/>
    <w:rsid w:val="00571BE1"/>
    <w:rsid w:val="0057268E"/>
    <w:rsid w:val="00573C95"/>
    <w:rsid w:val="005744DE"/>
    <w:rsid w:val="005750B7"/>
    <w:rsid w:val="005806C7"/>
    <w:rsid w:val="00581D60"/>
    <w:rsid w:val="005825DD"/>
    <w:rsid w:val="00582CA5"/>
    <w:rsid w:val="00582FE9"/>
    <w:rsid w:val="00584703"/>
    <w:rsid w:val="0058511B"/>
    <w:rsid w:val="005852AF"/>
    <w:rsid w:val="00585E1D"/>
    <w:rsid w:val="00586027"/>
    <w:rsid w:val="005867FB"/>
    <w:rsid w:val="00586FF5"/>
    <w:rsid w:val="005873AC"/>
    <w:rsid w:val="00590048"/>
    <w:rsid w:val="00591FF8"/>
    <w:rsid w:val="00594CA9"/>
    <w:rsid w:val="00596ED3"/>
    <w:rsid w:val="005A0332"/>
    <w:rsid w:val="005A1634"/>
    <w:rsid w:val="005A1737"/>
    <w:rsid w:val="005A1914"/>
    <w:rsid w:val="005A1D6F"/>
    <w:rsid w:val="005A378B"/>
    <w:rsid w:val="005A3804"/>
    <w:rsid w:val="005A40B3"/>
    <w:rsid w:val="005A5CC0"/>
    <w:rsid w:val="005A6376"/>
    <w:rsid w:val="005A7536"/>
    <w:rsid w:val="005A7B43"/>
    <w:rsid w:val="005A7FAA"/>
    <w:rsid w:val="005B1361"/>
    <w:rsid w:val="005B177D"/>
    <w:rsid w:val="005B3074"/>
    <w:rsid w:val="005B3B4A"/>
    <w:rsid w:val="005B4C4C"/>
    <w:rsid w:val="005B71D2"/>
    <w:rsid w:val="005B7966"/>
    <w:rsid w:val="005C0202"/>
    <w:rsid w:val="005C0341"/>
    <w:rsid w:val="005C2193"/>
    <w:rsid w:val="005C3177"/>
    <w:rsid w:val="005C3CDD"/>
    <w:rsid w:val="005C46E4"/>
    <w:rsid w:val="005C6801"/>
    <w:rsid w:val="005D10C8"/>
    <w:rsid w:val="005D2B33"/>
    <w:rsid w:val="005D2FE9"/>
    <w:rsid w:val="005D3235"/>
    <w:rsid w:val="005D33EE"/>
    <w:rsid w:val="005D3437"/>
    <w:rsid w:val="005D43ED"/>
    <w:rsid w:val="005D4B36"/>
    <w:rsid w:val="005D5B37"/>
    <w:rsid w:val="005D5B5C"/>
    <w:rsid w:val="005D6021"/>
    <w:rsid w:val="005D6D35"/>
    <w:rsid w:val="005E0987"/>
    <w:rsid w:val="005E1062"/>
    <w:rsid w:val="005E12BD"/>
    <w:rsid w:val="005E12DB"/>
    <w:rsid w:val="005E132E"/>
    <w:rsid w:val="005E1F41"/>
    <w:rsid w:val="005E305E"/>
    <w:rsid w:val="005E3907"/>
    <w:rsid w:val="005E3ECC"/>
    <w:rsid w:val="005E4686"/>
    <w:rsid w:val="005E53A4"/>
    <w:rsid w:val="005E6254"/>
    <w:rsid w:val="005E7FE6"/>
    <w:rsid w:val="005F1F63"/>
    <w:rsid w:val="005F324D"/>
    <w:rsid w:val="005F42C9"/>
    <w:rsid w:val="005F4C0F"/>
    <w:rsid w:val="005F58B2"/>
    <w:rsid w:val="005F5BD6"/>
    <w:rsid w:val="005F60A0"/>
    <w:rsid w:val="006011F9"/>
    <w:rsid w:val="006016B0"/>
    <w:rsid w:val="00601C99"/>
    <w:rsid w:val="00602247"/>
    <w:rsid w:val="00602B16"/>
    <w:rsid w:val="006054AE"/>
    <w:rsid w:val="006061E9"/>
    <w:rsid w:val="006065BA"/>
    <w:rsid w:val="00606661"/>
    <w:rsid w:val="00612A91"/>
    <w:rsid w:val="006156AB"/>
    <w:rsid w:val="00615BD4"/>
    <w:rsid w:val="006167B3"/>
    <w:rsid w:val="00617367"/>
    <w:rsid w:val="006176D9"/>
    <w:rsid w:val="0062063C"/>
    <w:rsid w:val="00620ACB"/>
    <w:rsid w:val="00621EEA"/>
    <w:rsid w:val="00622049"/>
    <w:rsid w:val="00622333"/>
    <w:rsid w:val="00622866"/>
    <w:rsid w:val="00622E7C"/>
    <w:rsid w:val="00625082"/>
    <w:rsid w:val="00625736"/>
    <w:rsid w:val="00625BF4"/>
    <w:rsid w:val="006266E4"/>
    <w:rsid w:val="006267AC"/>
    <w:rsid w:val="00626E16"/>
    <w:rsid w:val="006275F8"/>
    <w:rsid w:val="006301A7"/>
    <w:rsid w:val="00630C8F"/>
    <w:rsid w:val="0063126C"/>
    <w:rsid w:val="006321D9"/>
    <w:rsid w:val="00633399"/>
    <w:rsid w:val="00635ACD"/>
    <w:rsid w:val="006364CD"/>
    <w:rsid w:val="006379BF"/>
    <w:rsid w:val="00640943"/>
    <w:rsid w:val="00641758"/>
    <w:rsid w:val="0064412E"/>
    <w:rsid w:val="00645F9B"/>
    <w:rsid w:val="006462F4"/>
    <w:rsid w:val="00646C7B"/>
    <w:rsid w:val="00650688"/>
    <w:rsid w:val="00650EEA"/>
    <w:rsid w:val="0065170C"/>
    <w:rsid w:val="00652109"/>
    <w:rsid w:val="00653EEF"/>
    <w:rsid w:val="00653F33"/>
    <w:rsid w:val="00654361"/>
    <w:rsid w:val="00655317"/>
    <w:rsid w:val="00656A74"/>
    <w:rsid w:val="00656DB1"/>
    <w:rsid w:val="0065706C"/>
    <w:rsid w:val="006570F3"/>
    <w:rsid w:val="006574CA"/>
    <w:rsid w:val="00661D58"/>
    <w:rsid w:val="00662D1D"/>
    <w:rsid w:val="00663087"/>
    <w:rsid w:val="00663681"/>
    <w:rsid w:val="00664A96"/>
    <w:rsid w:val="0066518E"/>
    <w:rsid w:val="00666E6E"/>
    <w:rsid w:val="00667926"/>
    <w:rsid w:val="00672097"/>
    <w:rsid w:val="00672312"/>
    <w:rsid w:val="00672A07"/>
    <w:rsid w:val="00672A3D"/>
    <w:rsid w:val="00673284"/>
    <w:rsid w:val="00673C56"/>
    <w:rsid w:val="0067463F"/>
    <w:rsid w:val="00674E3C"/>
    <w:rsid w:val="00675947"/>
    <w:rsid w:val="00675C7B"/>
    <w:rsid w:val="0067616B"/>
    <w:rsid w:val="00684218"/>
    <w:rsid w:val="00684A17"/>
    <w:rsid w:val="0068548A"/>
    <w:rsid w:val="006856A0"/>
    <w:rsid w:val="00686ACA"/>
    <w:rsid w:val="006875D7"/>
    <w:rsid w:val="00687A0D"/>
    <w:rsid w:val="006904AF"/>
    <w:rsid w:val="00692F01"/>
    <w:rsid w:val="00693DED"/>
    <w:rsid w:val="00695821"/>
    <w:rsid w:val="006959CB"/>
    <w:rsid w:val="0069607D"/>
    <w:rsid w:val="006960C5"/>
    <w:rsid w:val="0069704C"/>
    <w:rsid w:val="006A05F8"/>
    <w:rsid w:val="006A0897"/>
    <w:rsid w:val="006A17D4"/>
    <w:rsid w:val="006A27B1"/>
    <w:rsid w:val="006A4246"/>
    <w:rsid w:val="006A56B9"/>
    <w:rsid w:val="006A64A6"/>
    <w:rsid w:val="006A64EB"/>
    <w:rsid w:val="006A7750"/>
    <w:rsid w:val="006A7FD4"/>
    <w:rsid w:val="006B0E91"/>
    <w:rsid w:val="006B0EAB"/>
    <w:rsid w:val="006B1891"/>
    <w:rsid w:val="006B37AE"/>
    <w:rsid w:val="006B3A39"/>
    <w:rsid w:val="006B3C07"/>
    <w:rsid w:val="006B476E"/>
    <w:rsid w:val="006B5B6A"/>
    <w:rsid w:val="006B65AA"/>
    <w:rsid w:val="006B679D"/>
    <w:rsid w:val="006B7254"/>
    <w:rsid w:val="006B73B9"/>
    <w:rsid w:val="006C0F43"/>
    <w:rsid w:val="006C16FB"/>
    <w:rsid w:val="006C2D51"/>
    <w:rsid w:val="006C4B81"/>
    <w:rsid w:val="006C517C"/>
    <w:rsid w:val="006C55EF"/>
    <w:rsid w:val="006C5BA3"/>
    <w:rsid w:val="006C5CAA"/>
    <w:rsid w:val="006C6855"/>
    <w:rsid w:val="006C7F43"/>
    <w:rsid w:val="006D16F3"/>
    <w:rsid w:val="006D3332"/>
    <w:rsid w:val="006D341E"/>
    <w:rsid w:val="006D49E3"/>
    <w:rsid w:val="006D4C2C"/>
    <w:rsid w:val="006D4EFB"/>
    <w:rsid w:val="006D59BA"/>
    <w:rsid w:val="006D61D6"/>
    <w:rsid w:val="006D62FF"/>
    <w:rsid w:val="006D6854"/>
    <w:rsid w:val="006D68D1"/>
    <w:rsid w:val="006D7628"/>
    <w:rsid w:val="006D7B30"/>
    <w:rsid w:val="006E019F"/>
    <w:rsid w:val="006E18C4"/>
    <w:rsid w:val="006E2C10"/>
    <w:rsid w:val="006E3E50"/>
    <w:rsid w:val="006E402A"/>
    <w:rsid w:val="006E4B20"/>
    <w:rsid w:val="006E525F"/>
    <w:rsid w:val="006E5670"/>
    <w:rsid w:val="006E5D7B"/>
    <w:rsid w:val="006E6666"/>
    <w:rsid w:val="006E6EBA"/>
    <w:rsid w:val="006E74F5"/>
    <w:rsid w:val="006E7D27"/>
    <w:rsid w:val="006E7DCA"/>
    <w:rsid w:val="006F2035"/>
    <w:rsid w:val="006F28EE"/>
    <w:rsid w:val="006F42C2"/>
    <w:rsid w:val="006F5008"/>
    <w:rsid w:val="006F602A"/>
    <w:rsid w:val="006F63B1"/>
    <w:rsid w:val="006F7412"/>
    <w:rsid w:val="007008FB"/>
    <w:rsid w:val="007017FB"/>
    <w:rsid w:val="00704E65"/>
    <w:rsid w:val="0071025E"/>
    <w:rsid w:val="007102AC"/>
    <w:rsid w:val="007105A5"/>
    <w:rsid w:val="00710B8D"/>
    <w:rsid w:val="00712CF9"/>
    <w:rsid w:val="00713024"/>
    <w:rsid w:val="00713EA1"/>
    <w:rsid w:val="0071421C"/>
    <w:rsid w:val="00715D6B"/>
    <w:rsid w:val="0071772E"/>
    <w:rsid w:val="00717F6B"/>
    <w:rsid w:val="00720864"/>
    <w:rsid w:val="007212F0"/>
    <w:rsid w:val="007226CF"/>
    <w:rsid w:val="00722EC6"/>
    <w:rsid w:val="00723C5D"/>
    <w:rsid w:val="00723FF6"/>
    <w:rsid w:val="0072460B"/>
    <w:rsid w:val="00724FB9"/>
    <w:rsid w:val="00726876"/>
    <w:rsid w:val="007269B1"/>
    <w:rsid w:val="00727484"/>
    <w:rsid w:val="00730433"/>
    <w:rsid w:val="00730DF7"/>
    <w:rsid w:val="0073123A"/>
    <w:rsid w:val="007331F6"/>
    <w:rsid w:val="0073362F"/>
    <w:rsid w:val="00733A3E"/>
    <w:rsid w:val="00735C14"/>
    <w:rsid w:val="00736B54"/>
    <w:rsid w:val="00740605"/>
    <w:rsid w:val="00740FA5"/>
    <w:rsid w:val="00741E76"/>
    <w:rsid w:val="007423EC"/>
    <w:rsid w:val="00742FE2"/>
    <w:rsid w:val="007440A8"/>
    <w:rsid w:val="00744B41"/>
    <w:rsid w:val="00745807"/>
    <w:rsid w:val="00747B35"/>
    <w:rsid w:val="00747B97"/>
    <w:rsid w:val="00747DD4"/>
    <w:rsid w:val="00750912"/>
    <w:rsid w:val="00751413"/>
    <w:rsid w:val="00751598"/>
    <w:rsid w:val="00751820"/>
    <w:rsid w:val="00751B7E"/>
    <w:rsid w:val="00752AB2"/>
    <w:rsid w:val="00753A0F"/>
    <w:rsid w:val="00754193"/>
    <w:rsid w:val="007556C8"/>
    <w:rsid w:val="00756C9B"/>
    <w:rsid w:val="00756FA1"/>
    <w:rsid w:val="0075756F"/>
    <w:rsid w:val="00760466"/>
    <w:rsid w:val="007605DF"/>
    <w:rsid w:val="0076244A"/>
    <w:rsid w:val="00762D9D"/>
    <w:rsid w:val="00762FAD"/>
    <w:rsid w:val="00763FD6"/>
    <w:rsid w:val="0076431D"/>
    <w:rsid w:val="00765260"/>
    <w:rsid w:val="00766DE9"/>
    <w:rsid w:val="007678A5"/>
    <w:rsid w:val="00767CF9"/>
    <w:rsid w:val="007701BA"/>
    <w:rsid w:val="00770841"/>
    <w:rsid w:val="00771F67"/>
    <w:rsid w:val="00772012"/>
    <w:rsid w:val="00772112"/>
    <w:rsid w:val="0077294E"/>
    <w:rsid w:val="007739AB"/>
    <w:rsid w:val="00773CBE"/>
    <w:rsid w:val="00773E3F"/>
    <w:rsid w:val="0077418F"/>
    <w:rsid w:val="00774296"/>
    <w:rsid w:val="00774C01"/>
    <w:rsid w:val="007753DD"/>
    <w:rsid w:val="00777875"/>
    <w:rsid w:val="00777BD2"/>
    <w:rsid w:val="00781A87"/>
    <w:rsid w:val="00781BED"/>
    <w:rsid w:val="007823C9"/>
    <w:rsid w:val="00782CCA"/>
    <w:rsid w:val="007835B7"/>
    <w:rsid w:val="00784268"/>
    <w:rsid w:val="0078606D"/>
    <w:rsid w:val="00786373"/>
    <w:rsid w:val="007863E1"/>
    <w:rsid w:val="0078743C"/>
    <w:rsid w:val="00790B71"/>
    <w:rsid w:val="007910D3"/>
    <w:rsid w:val="00791574"/>
    <w:rsid w:val="007922B4"/>
    <w:rsid w:val="0079336C"/>
    <w:rsid w:val="0079336E"/>
    <w:rsid w:val="00793DA9"/>
    <w:rsid w:val="007A28AA"/>
    <w:rsid w:val="007A40C4"/>
    <w:rsid w:val="007A52CC"/>
    <w:rsid w:val="007A5BD0"/>
    <w:rsid w:val="007A64F8"/>
    <w:rsid w:val="007A6F24"/>
    <w:rsid w:val="007A7066"/>
    <w:rsid w:val="007B0A61"/>
    <w:rsid w:val="007B140A"/>
    <w:rsid w:val="007B17C5"/>
    <w:rsid w:val="007B351A"/>
    <w:rsid w:val="007B4027"/>
    <w:rsid w:val="007B4B46"/>
    <w:rsid w:val="007B55A4"/>
    <w:rsid w:val="007B5E5F"/>
    <w:rsid w:val="007B6CA0"/>
    <w:rsid w:val="007B6F71"/>
    <w:rsid w:val="007C06F8"/>
    <w:rsid w:val="007C13FE"/>
    <w:rsid w:val="007C27E5"/>
    <w:rsid w:val="007C28AC"/>
    <w:rsid w:val="007C2E24"/>
    <w:rsid w:val="007C323B"/>
    <w:rsid w:val="007C3279"/>
    <w:rsid w:val="007C3F78"/>
    <w:rsid w:val="007C4009"/>
    <w:rsid w:val="007C4B09"/>
    <w:rsid w:val="007C4C8A"/>
    <w:rsid w:val="007C4D09"/>
    <w:rsid w:val="007C6167"/>
    <w:rsid w:val="007C6EB8"/>
    <w:rsid w:val="007C7048"/>
    <w:rsid w:val="007C7809"/>
    <w:rsid w:val="007D0393"/>
    <w:rsid w:val="007D13B9"/>
    <w:rsid w:val="007D1E6D"/>
    <w:rsid w:val="007D2774"/>
    <w:rsid w:val="007D562C"/>
    <w:rsid w:val="007D62C5"/>
    <w:rsid w:val="007D6E28"/>
    <w:rsid w:val="007D71F7"/>
    <w:rsid w:val="007D7403"/>
    <w:rsid w:val="007E024C"/>
    <w:rsid w:val="007E160E"/>
    <w:rsid w:val="007E1BDD"/>
    <w:rsid w:val="007E290A"/>
    <w:rsid w:val="007E5B59"/>
    <w:rsid w:val="007E700C"/>
    <w:rsid w:val="007E7388"/>
    <w:rsid w:val="007E7C08"/>
    <w:rsid w:val="007F04FC"/>
    <w:rsid w:val="007F0C63"/>
    <w:rsid w:val="007F1BAF"/>
    <w:rsid w:val="007F1F1C"/>
    <w:rsid w:val="007F2277"/>
    <w:rsid w:val="007F433C"/>
    <w:rsid w:val="007F439F"/>
    <w:rsid w:val="007F4428"/>
    <w:rsid w:val="007F63B8"/>
    <w:rsid w:val="007F77FD"/>
    <w:rsid w:val="008004B0"/>
    <w:rsid w:val="0080133F"/>
    <w:rsid w:val="008045D9"/>
    <w:rsid w:val="00806645"/>
    <w:rsid w:val="00806C8A"/>
    <w:rsid w:val="0080702C"/>
    <w:rsid w:val="00807165"/>
    <w:rsid w:val="008073C9"/>
    <w:rsid w:val="00807FA2"/>
    <w:rsid w:val="0081164B"/>
    <w:rsid w:val="00812094"/>
    <w:rsid w:val="00812CEA"/>
    <w:rsid w:val="0081333B"/>
    <w:rsid w:val="008140D7"/>
    <w:rsid w:val="0081653B"/>
    <w:rsid w:val="00817ADA"/>
    <w:rsid w:val="00820CBE"/>
    <w:rsid w:val="00821026"/>
    <w:rsid w:val="00821DF6"/>
    <w:rsid w:val="00822FC5"/>
    <w:rsid w:val="0082358D"/>
    <w:rsid w:val="00823984"/>
    <w:rsid w:val="00823CCC"/>
    <w:rsid w:val="008270BA"/>
    <w:rsid w:val="00827179"/>
    <w:rsid w:val="0083029A"/>
    <w:rsid w:val="00830426"/>
    <w:rsid w:val="00830E02"/>
    <w:rsid w:val="00831C83"/>
    <w:rsid w:val="00831E0A"/>
    <w:rsid w:val="00833EC8"/>
    <w:rsid w:val="008343C4"/>
    <w:rsid w:val="00834418"/>
    <w:rsid w:val="0083496A"/>
    <w:rsid w:val="00835847"/>
    <w:rsid w:val="00835C6F"/>
    <w:rsid w:val="00836E8A"/>
    <w:rsid w:val="00836EAC"/>
    <w:rsid w:val="00837429"/>
    <w:rsid w:val="0083745B"/>
    <w:rsid w:val="00840252"/>
    <w:rsid w:val="00840420"/>
    <w:rsid w:val="00841AEA"/>
    <w:rsid w:val="00841F9D"/>
    <w:rsid w:val="00842DE3"/>
    <w:rsid w:val="00843A36"/>
    <w:rsid w:val="00843B85"/>
    <w:rsid w:val="00844F5E"/>
    <w:rsid w:val="008454FE"/>
    <w:rsid w:val="0084585B"/>
    <w:rsid w:val="00845978"/>
    <w:rsid w:val="00846701"/>
    <w:rsid w:val="00847C72"/>
    <w:rsid w:val="0085122C"/>
    <w:rsid w:val="00851892"/>
    <w:rsid w:val="0085232F"/>
    <w:rsid w:val="00854E2A"/>
    <w:rsid w:val="008550CD"/>
    <w:rsid w:val="00855A6E"/>
    <w:rsid w:val="00857A4E"/>
    <w:rsid w:val="00857E3A"/>
    <w:rsid w:val="00861135"/>
    <w:rsid w:val="00861C99"/>
    <w:rsid w:val="00862848"/>
    <w:rsid w:val="00862C19"/>
    <w:rsid w:val="0086330D"/>
    <w:rsid w:val="00863C12"/>
    <w:rsid w:val="00864495"/>
    <w:rsid w:val="0086449D"/>
    <w:rsid w:val="00864C3F"/>
    <w:rsid w:val="008651B2"/>
    <w:rsid w:val="008651BC"/>
    <w:rsid w:val="0086556B"/>
    <w:rsid w:val="00867059"/>
    <w:rsid w:val="00867A5A"/>
    <w:rsid w:val="0087019D"/>
    <w:rsid w:val="008711B1"/>
    <w:rsid w:val="00871C01"/>
    <w:rsid w:val="00871FBA"/>
    <w:rsid w:val="00872119"/>
    <w:rsid w:val="008722FB"/>
    <w:rsid w:val="00872598"/>
    <w:rsid w:val="00872906"/>
    <w:rsid w:val="008744BE"/>
    <w:rsid w:val="00875C37"/>
    <w:rsid w:val="00877A3A"/>
    <w:rsid w:val="00877EA2"/>
    <w:rsid w:val="008808CA"/>
    <w:rsid w:val="00882107"/>
    <w:rsid w:val="0088232A"/>
    <w:rsid w:val="0088251B"/>
    <w:rsid w:val="00882A71"/>
    <w:rsid w:val="00883F8C"/>
    <w:rsid w:val="008878E2"/>
    <w:rsid w:val="00887D93"/>
    <w:rsid w:val="00890912"/>
    <w:rsid w:val="00890D7D"/>
    <w:rsid w:val="00891548"/>
    <w:rsid w:val="008917B4"/>
    <w:rsid w:val="00892E7B"/>
    <w:rsid w:val="00892FC2"/>
    <w:rsid w:val="008933C7"/>
    <w:rsid w:val="008941B9"/>
    <w:rsid w:val="00894216"/>
    <w:rsid w:val="00894A76"/>
    <w:rsid w:val="008959F9"/>
    <w:rsid w:val="0089623F"/>
    <w:rsid w:val="00896786"/>
    <w:rsid w:val="00897413"/>
    <w:rsid w:val="008A08EB"/>
    <w:rsid w:val="008A118C"/>
    <w:rsid w:val="008A2319"/>
    <w:rsid w:val="008A2391"/>
    <w:rsid w:val="008A3618"/>
    <w:rsid w:val="008A3E97"/>
    <w:rsid w:val="008A46DC"/>
    <w:rsid w:val="008A4806"/>
    <w:rsid w:val="008A4BF4"/>
    <w:rsid w:val="008A510D"/>
    <w:rsid w:val="008A5EDE"/>
    <w:rsid w:val="008A7A4E"/>
    <w:rsid w:val="008A7C4F"/>
    <w:rsid w:val="008B2FA8"/>
    <w:rsid w:val="008B3253"/>
    <w:rsid w:val="008B33CF"/>
    <w:rsid w:val="008B73BA"/>
    <w:rsid w:val="008C020E"/>
    <w:rsid w:val="008C2F9E"/>
    <w:rsid w:val="008C4103"/>
    <w:rsid w:val="008C604C"/>
    <w:rsid w:val="008C74F5"/>
    <w:rsid w:val="008C76A6"/>
    <w:rsid w:val="008D03EA"/>
    <w:rsid w:val="008D16BD"/>
    <w:rsid w:val="008D17A7"/>
    <w:rsid w:val="008D21ED"/>
    <w:rsid w:val="008D2C15"/>
    <w:rsid w:val="008D2C51"/>
    <w:rsid w:val="008D2E91"/>
    <w:rsid w:val="008D3E9A"/>
    <w:rsid w:val="008D58E2"/>
    <w:rsid w:val="008D6283"/>
    <w:rsid w:val="008D6E37"/>
    <w:rsid w:val="008D7DD5"/>
    <w:rsid w:val="008D7FB0"/>
    <w:rsid w:val="008E050B"/>
    <w:rsid w:val="008E0FC2"/>
    <w:rsid w:val="008E1010"/>
    <w:rsid w:val="008E28BF"/>
    <w:rsid w:val="008E2C2E"/>
    <w:rsid w:val="008E33A9"/>
    <w:rsid w:val="008E712C"/>
    <w:rsid w:val="008E71A8"/>
    <w:rsid w:val="008E72A8"/>
    <w:rsid w:val="008E73EA"/>
    <w:rsid w:val="008F0611"/>
    <w:rsid w:val="008F0627"/>
    <w:rsid w:val="008F1FF1"/>
    <w:rsid w:val="008F2498"/>
    <w:rsid w:val="008F41FB"/>
    <w:rsid w:val="008F4B49"/>
    <w:rsid w:val="008F5977"/>
    <w:rsid w:val="008F5C9B"/>
    <w:rsid w:val="008F71D6"/>
    <w:rsid w:val="00901C83"/>
    <w:rsid w:val="00902206"/>
    <w:rsid w:val="0090330F"/>
    <w:rsid w:val="009039C8"/>
    <w:rsid w:val="0090481A"/>
    <w:rsid w:val="00904BCF"/>
    <w:rsid w:val="00905B77"/>
    <w:rsid w:val="009063B3"/>
    <w:rsid w:val="00906FD6"/>
    <w:rsid w:val="00907383"/>
    <w:rsid w:val="009079D0"/>
    <w:rsid w:val="00907DCD"/>
    <w:rsid w:val="009104AA"/>
    <w:rsid w:val="00910F16"/>
    <w:rsid w:val="00911EFF"/>
    <w:rsid w:val="0091288F"/>
    <w:rsid w:val="00912F00"/>
    <w:rsid w:val="00914466"/>
    <w:rsid w:val="0091486A"/>
    <w:rsid w:val="00915C17"/>
    <w:rsid w:val="00915D8A"/>
    <w:rsid w:val="00917609"/>
    <w:rsid w:val="00917746"/>
    <w:rsid w:val="009209A5"/>
    <w:rsid w:val="00920F98"/>
    <w:rsid w:val="00922448"/>
    <w:rsid w:val="009228BB"/>
    <w:rsid w:val="00922C75"/>
    <w:rsid w:val="00922E8D"/>
    <w:rsid w:val="00922FDA"/>
    <w:rsid w:val="0092336C"/>
    <w:rsid w:val="00923FF1"/>
    <w:rsid w:val="009244DF"/>
    <w:rsid w:val="009266E4"/>
    <w:rsid w:val="00926BBF"/>
    <w:rsid w:val="00927EF6"/>
    <w:rsid w:val="00930D45"/>
    <w:rsid w:val="00930E14"/>
    <w:rsid w:val="00933885"/>
    <w:rsid w:val="009338DA"/>
    <w:rsid w:val="009355D2"/>
    <w:rsid w:val="009356CE"/>
    <w:rsid w:val="00936E93"/>
    <w:rsid w:val="00937FDA"/>
    <w:rsid w:val="0094239A"/>
    <w:rsid w:val="00943E73"/>
    <w:rsid w:val="009444F2"/>
    <w:rsid w:val="00944736"/>
    <w:rsid w:val="00944FC5"/>
    <w:rsid w:val="00947632"/>
    <w:rsid w:val="0094786C"/>
    <w:rsid w:val="00947907"/>
    <w:rsid w:val="00947B9F"/>
    <w:rsid w:val="00947FB4"/>
    <w:rsid w:val="00947FE9"/>
    <w:rsid w:val="00952CF3"/>
    <w:rsid w:val="00952D2F"/>
    <w:rsid w:val="00952D60"/>
    <w:rsid w:val="00952E44"/>
    <w:rsid w:val="009535C0"/>
    <w:rsid w:val="00953733"/>
    <w:rsid w:val="00953ADD"/>
    <w:rsid w:val="009550C6"/>
    <w:rsid w:val="00955447"/>
    <w:rsid w:val="00955A17"/>
    <w:rsid w:val="009575A0"/>
    <w:rsid w:val="00957C50"/>
    <w:rsid w:val="00960E12"/>
    <w:rsid w:val="0096331F"/>
    <w:rsid w:val="00963914"/>
    <w:rsid w:val="00963A90"/>
    <w:rsid w:val="00963A94"/>
    <w:rsid w:val="00963D62"/>
    <w:rsid w:val="00964992"/>
    <w:rsid w:val="009679C3"/>
    <w:rsid w:val="009703AC"/>
    <w:rsid w:val="00971418"/>
    <w:rsid w:val="009729D8"/>
    <w:rsid w:val="0097354B"/>
    <w:rsid w:val="0097453F"/>
    <w:rsid w:val="00974577"/>
    <w:rsid w:val="00975045"/>
    <w:rsid w:val="00976670"/>
    <w:rsid w:val="00976BC3"/>
    <w:rsid w:val="00976CD1"/>
    <w:rsid w:val="00976E64"/>
    <w:rsid w:val="00977929"/>
    <w:rsid w:val="00982FAB"/>
    <w:rsid w:val="0098410B"/>
    <w:rsid w:val="0098426D"/>
    <w:rsid w:val="00986170"/>
    <w:rsid w:val="0098690E"/>
    <w:rsid w:val="00986AB6"/>
    <w:rsid w:val="00987D55"/>
    <w:rsid w:val="0099016E"/>
    <w:rsid w:val="009916BC"/>
    <w:rsid w:val="00993AC9"/>
    <w:rsid w:val="00993B1F"/>
    <w:rsid w:val="00993F70"/>
    <w:rsid w:val="0099428D"/>
    <w:rsid w:val="009942EF"/>
    <w:rsid w:val="00995932"/>
    <w:rsid w:val="00996586"/>
    <w:rsid w:val="00996D49"/>
    <w:rsid w:val="009A1C77"/>
    <w:rsid w:val="009A27D1"/>
    <w:rsid w:val="009A2A1C"/>
    <w:rsid w:val="009A3287"/>
    <w:rsid w:val="009A51E6"/>
    <w:rsid w:val="009A5BC5"/>
    <w:rsid w:val="009A61AA"/>
    <w:rsid w:val="009A6F3B"/>
    <w:rsid w:val="009A7153"/>
    <w:rsid w:val="009A747C"/>
    <w:rsid w:val="009A77EA"/>
    <w:rsid w:val="009A7DAC"/>
    <w:rsid w:val="009B0F4F"/>
    <w:rsid w:val="009B2B6E"/>
    <w:rsid w:val="009B3C1F"/>
    <w:rsid w:val="009B4070"/>
    <w:rsid w:val="009B4FCD"/>
    <w:rsid w:val="009B6063"/>
    <w:rsid w:val="009B70A2"/>
    <w:rsid w:val="009B7D7E"/>
    <w:rsid w:val="009C0814"/>
    <w:rsid w:val="009C10F7"/>
    <w:rsid w:val="009C11B1"/>
    <w:rsid w:val="009C1722"/>
    <w:rsid w:val="009C1A23"/>
    <w:rsid w:val="009C23EA"/>
    <w:rsid w:val="009C5448"/>
    <w:rsid w:val="009C6235"/>
    <w:rsid w:val="009C6482"/>
    <w:rsid w:val="009C6E76"/>
    <w:rsid w:val="009D00B8"/>
    <w:rsid w:val="009D1FA3"/>
    <w:rsid w:val="009D3E42"/>
    <w:rsid w:val="009D3E6C"/>
    <w:rsid w:val="009D4E11"/>
    <w:rsid w:val="009D5363"/>
    <w:rsid w:val="009D682E"/>
    <w:rsid w:val="009D724A"/>
    <w:rsid w:val="009E039D"/>
    <w:rsid w:val="009E0D88"/>
    <w:rsid w:val="009E1067"/>
    <w:rsid w:val="009E1FBC"/>
    <w:rsid w:val="009E3216"/>
    <w:rsid w:val="009E40F9"/>
    <w:rsid w:val="009E5844"/>
    <w:rsid w:val="009E5E63"/>
    <w:rsid w:val="009E5F4C"/>
    <w:rsid w:val="009E653F"/>
    <w:rsid w:val="009E7C9A"/>
    <w:rsid w:val="009F23AE"/>
    <w:rsid w:val="009F3EE2"/>
    <w:rsid w:val="009F4BBF"/>
    <w:rsid w:val="009F4C6D"/>
    <w:rsid w:val="009F5062"/>
    <w:rsid w:val="009F51C8"/>
    <w:rsid w:val="009F7746"/>
    <w:rsid w:val="00A000C1"/>
    <w:rsid w:val="00A01D25"/>
    <w:rsid w:val="00A021E4"/>
    <w:rsid w:val="00A02A23"/>
    <w:rsid w:val="00A03F2C"/>
    <w:rsid w:val="00A0500D"/>
    <w:rsid w:val="00A0624A"/>
    <w:rsid w:val="00A06830"/>
    <w:rsid w:val="00A0774A"/>
    <w:rsid w:val="00A11AE1"/>
    <w:rsid w:val="00A12892"/>
    <w:rsid w:val="00A14577"/>
    <w:rsid w:val="00A149DF"/>
    <w:rsid w:val="00A14F8B"/>
    <w:rsid w:val="00A14F9A"/>
    <w:rsid w:val="00A157A1"/>
    <w:rsid w:val="00A1634D"/>
    <w:rsid w:val="00A1707B"/>
    <w:rsid w:val="00A179BF"/>
    <w:rsid w:val="00A26247"/>
    <w:rsid w:val="00A3051B"/>
    <w:rsid w:val="00A31E66"/>
    <w:rsid w:val="00A32694"/>
    <w:rsid w:val="00A33A18"/>
    <w:rsid w:val="00A3415B"/>
    <w:rsid w:val="00A3442B"/>
    <w:rsid w:val="00A345D4"/>
    <w:rsid w:val="00A348F9"/>
    <w:rsid w:val="00A350BE"/>
    <w:rsid w:val="00A358B2"/>
    <w:rsid w:val="00A35C8A"/>
    <w:rsid w:val="00A36343"/>
    <w:rsid w:val="00A36638"/>
    <w:rsid w:val="00A36B9A"/>
    <w:rsid w:val="00A40131"/>
    <w:rsid w:val="00A40801"/>
    <w:rsid w:val="00A40946"/>
    <w:rsid w:val="00A4129F"/>
    <w:rsid w:val="00A4149B"/>
    <w:rsid w:val="00A41D58"/>
    <w:rsid w:val="00A507FF"/>
    <w:rsid w:val="00A50A4B"/>
    <w:rsid w:val="00A50C88"/>
    <w:rsid w:val="00A51030"/>
    <w:rsid w:val="00A51611"/>
    <w:rsid w:val="00A51ECF"/>
    <w:rsid w:val="00A5335D"/>
    <w:rsid w:val="00A5387A"/>
    <w:rsid w:val="00A53BA7"/>
    <w:rsid w:val="00A54462"/>
    <w:rsid w:val="00A55251"/>
    <w:rsid w:val="00A56524"/>
    <w:rsid w:val="00A610B8"/>
    <w:rsid w:val="00A61208"/>
    <w:rsid w:val="00A62660"/>
    <w:rsid w:val="00A62D2C"/>
    <w:rsid w:val="00A64D6A"/>
    <w:rsid w:val="00A66A0F"/>
    <w:rsid w:val="00A679FC"/>
    <w:rsid w:val="00A67FB0"/>
    <w:rsid w:val="00A700BE"/>
    <w:rsid w:val="00A7038D"/>
    <w:rsid w:val="00A70640"/>
    <w:rsid w:val="00A70DCD"/>
    <w:rsid w:val="00A71551"/>
    <w:rsid w:val="00A72CC2"/>
    <w:rsid w:val="00A73440"/>
    <w:rsid w:val="00A74B85"/>
    <w:rsid w:val="00A75908"/>
    <w:rsid w:val="00A75D01"/>
    <w:rsid w:val="00A762C8"/>
    <w:rsid w:val="00A76B01"/>
    <w:rsid w:val="00A807F0"/>
    <w:rsid w:val="00A8120E"/>
    <w:rsid w:val="00A813D7"/>
    <w:rsid w:val="00A824D3"/>
    <w:rsid w:val="00A82DD2"/>
    <w:rsid w:val="00A83BB1"/>
    <w:rsid w:val="00A83EE4"/>
    <w:rsid w:val="00A84857"/>
    <w:rsid w:val="00A85251"/>
    <w:rsid w:val="00A855F5"/>
    <w:rsid w:val="00A876A5"/>
    <w:rsid w:val="00A87807"/>
    <w:rsid w:val="00A90332"/>
    <w:rsid w:val="00A93936"/>
    <w:rsid w:val="00A94426"/>
    <w:rsid w:val="00A95D76"/>
    <w:rsid w:val="00A95DAC"/>
    <w:rsid w:val="00A9679A"/>
    <w:rsid w:val="00A96CD8"/>
    <w:rsid w:val="00A9734B"/>
    <w:rsid w:val="00A979E7"/>
    <w:rsid w:val="00A97D26"/>
    <w:rsid w:val="00AA0642"/>
    <w:rsid w:val="00AA06C5"/>
    <w:rsid w:val="00AA1669"/>
    <w:rsid w:val="00AA1BF8"/>
    <w:rsid w:val="00AA2C92"/>
    <w:rsid w:val="00AA398A"/>
    <w:rsid w:val="00AA3A8E"/>
    <w:rsid w:val="00AA3B38"/>
    <w:rsid w:val="00AA4352"/>
    <w:rsid w:val="00AA5BB8"/>
    <w:rsid w:val="00AA5D50"/>
    <w:rsid w:val="00AA6066"/>
    <w:rsid w:val="00AA6487"/>
    <w:rsid w:val="00AA7CED"/>
    <w:rsid w:val="00AB001E"/>
    <w:rsid w:val="00AB0FDA"/>
    <w:rsid w:val="00AB1A7B"/>
    <w:rsid w:val="00AB1C79"/>
    <w:rsid w:val="00AB245D"/>
    <w:rsid w:val="00AB24DF"/>
    <w:rsid w:val="00AB27BA"/>
    <w:rsid w:val="00AB29A5"/>
    <w:rsid w:val="00AB2AF0"/>
    <w:rsid w:val="00AB2D04"/>
    <w:rsid w:val="00AB2F70"/>
    <w:rsid w:val="00AB318B"/>
    <w:rsid w:val="00AB31C3"/>
    <w:rsid w:val="00AB781D"/>
    <w:rsid w:val="00AB7D6A"/>
    <w:rsid w:val="00AC03EE"/>
    <w:rsid w:val="00AC0A22"/>
    <w:rsid w:val="00AC1672"/>
    <w:rsid w:val="00AC2A24"/>
    <w:rsid w:val="00AC2F2D"/>
    <w:rsid w:val="00AC3A3F"/>
    <w:rsid w:val="00AC3B0B"/>
    <w:rsid w:val="00AC4131"/>
    <w:rsid w:val="00AC4A8B"/>
    <w:rsid w:val="00AC4D81"/>
    <w:rsid w:val="00AC61E4"/>
    <w:rsid w:val="00AC6A56"/>
    <w:rsid w:val="00AC7241"/>
    <w:rsid w:val="00AD06BF"/>
    <w:rsid w:val="00AD0A7D"/>
    <w:rsid w:val="00AD0DE6"/>
    <w:rsid w:val="00AD0EDE"/>
    <w:rsid w:val="00AD190D"/>
    <w:rsid w:val="00AD204D"/>
    <w:rsid w:val="00AD2389"/>
    <w:rsid w:val="00AD2A2D"/>
    <w:rsid w:val="00AD2DAB"/>
    <w:rsid w:val="00AD5CB1"/>
    <w:rsid w:val="00AD6237"/>
    <w:rsid w:val="00AD6726"/>
    <w:rsid w:val="00AD6AC1"/>
    <w:rsid w:val="00AD7599"/>
    <w:rsid w:val="00AE1BBB"/>
    <w:rsid w:val="00AE2141"/>
    <w:rsid w:val="00AE26C9"/>
    <w:rsid w:val="00AE2F4C"/>
    <w:rsid w:val="00AE3B4A"/>
    <w:rsid w:val="00AE4A87"/>
    <w:rsid w:val="00AE4E4F"/>
    <w:rsid w:val="00AE5591"/>
    <w:rsid w:val="00AE57FF"/>
    <w:rsid w:val="00AE673D"/>
    <w:rsid w:val="00AE749B"/>
    <w:rsid w:val="00AE7D3C"/>
    <w:rsid w:val="00AF0629"/>
    <w:rsid w:val="00AF1BF1"/>
    <w:rsid w:val="00AF211E"/>
    <w:rsid w:val="00AF32B8"/>
    <w:rsid w:val="00AF3AA4"/>
    <w:rsid w:val="00AF3CB3"/>
    <w:rsid w:val="00AF3CFF"/>
    <w:rsid w:val="00AF4F66"/>
    <w:rsid w:val="00AF531B"/>
    <w:rsid w:val="00AF5337"/>
    <w:rsid w:val="00AF53C2"/>
    <w:rsid w:val="00AF71F6"/>
    <w:rsid w:val="00AF7C60"/>
    <w:rsid w:val="00B005C5"/>
    <w:rsid w:val="00B018F5"/>
    <w:rsid w:val="00B02305"/>
    <w:rsid w:val="00B0250A"/>
    <w:rsid w:val="00B02E23"/>
    <w:rsid w:val="00B0372A"/>
    <w:rsid w:val="00B060D5"/>
    <w:rsid w:val="00B1175D"/>
    <w:rsid w:val="00B11981"/>
    <w:rsid w:val="00B12731"/>
    <w:rsid w:val="00B12AA5"/>
    <w:rsid w:val="00B146BC"/>
    <w:rsid w:val="00B14D7C"/>
    <w:rsid w:val="00B14DF1"/>
    <w:rsid w:val="00B153B3"/>
    <w:rsid w:val="00B15CD2"/>
    <w:rsid w:val="00B17CBB"/>
    <w:rsid w:val="00B204CB"/>
    <w:rsid w:val="00B20BBF"/>
    <w:rsid w:val="00B21481"/>
    <w:rsid w:val="00B21672"/>
    <w:rsid w:val="00B217CC"/>
    <w:rsid w:val="00B23531"/>
    <w:rsid w:val="00B24977"/>
    <w:rsid w:val="00B25447"/>
    <w:rsid w:val="00B264D8"/>
    <w:rsid w:val="00B271C9"/>
    <w:rsid w:val="00B30AEA"/>
    <w:rsid w:val="00B31BF4"/>
    <w:rsid w:val="00B31C57"/>
    <w:rsid w:val="00B32A34"/>
    <w:rsid w:val="00B32F09"/>
    <w:rsid w:val="00B33D96"/>
    <w:rsid w:val="00B33E36"/>
    <w:rsid w:val="00B3465A"/>
    <w:rsid w:val="00B34F0E"/>
    <w:rsid w:val="00B35F5F"/>
    <w:rsid w:val="00B36F78"/>
    <w:rsid w:val="00B3755E"/>
    <w:rsid w:val="00B404A6"/>
    <w:rsid w:val="00B40A63"/>
    <w:rsid w:val="00B40D70"/>
    <w:rsid w:val="00B44426"/>
    <w:rsid w:val="00B45C45"/>
    <w:rsid w:val="00B47277"/>
    <w:rsid w:val="00B4799D"/>
    <w:rsid w:val="00B51047"/>
    <w:rsid w:val="00B53B08"/>
    <w:rsid w:val="00B53D99"/>
    <w:rsid w:val="00B561BA"/>
    <w:rsid w:val="00B564D9"/>
    <w:rsid w:val="00B56FB7"/>
    <w:rsid w:val="00B57221"/>
    <w:rsid w:val="00B57619"/>
    <w:rsid w:val="00B577A6"/>
    <w:rsid w:val="00B5787D"/>
    <w:rsid w:val="00B607BE"/>
    <w:rsid w:val="00B61E09"/>
    <w:rsid w:val="00B6274D"/>
    <w:rsid w:val="00B62B63"/>
    <w:rsid w:val="00B632E5"/>
    <w:rsid w:val="00B64D41"/>
    <w:rsid w:val="00B66CB3"/>
    <w:rsid w:val="00B66D6E"/>
    <w:rsid w:val="00B67351"/>
    <w:rsid w:val="00B67D20"/>
    <w:rsid w:val="00B706C6"/>
    <w:rsid w:val="00B71A4A"/>
    <w:rsid w:val="00B734CB"/>
    <w:rsid w:val="00B739CF"/>
    <w:rsid w:val="00B7475F"/>
    <w:rsid w:val="00B7508D"/>
    <w:rsid w:val="00B76206"/>
    <w:rsid w:val="00B768D5"/>
    <w:rsid w:val="00B80B07"/>
    <w:rsid w:val="00B8178C"/>
    <w:rsid w:val="00B81BF0"/>
    <w:rsid w:val="00B82E33"/>
    <w:rsid w:val="00B82ECB"/>
    <w:rsid w:val="00B8310B"/>
    <w:rsid w:val="00B83C6B"/>
    <w:rsid w:val="00B83C8B"/>
    <w:rsid w:val="00B85BAF"/>
    <w:rsid w:val="00B90874"/>
    <w:rsid w:val="00B90BFA"/>
    <w:rsid w:val="00B91DA7"/>
    <w:rsid w:val="00B91E9A"/>
    <w:rsid w:val="00B93044"/>
    <w:rsid w:val="00B931B0"/>
    <w:rsid w:val="00B932C9"/>
    <w:rsid w:val="00B93ED9"/>
    <w:rsid w:val="00B947D6"/>
    <w:rsid w:val="00B9524C"/>
    <w:rsid w:val="00B95E2C"/>
    <w:rsid w:val="00BA18BD"/>
    <w:rsid w:val="00BA2C17"/>
    <w:rsid w:val="00BA2D53"/>
    <w:rsid w:val="00BA40F3"/>
    <w:rsid w:val="00BA55DE"/>
    <w:rsid w:val="00BA5F6B"/>
    <w:rsid w:val="00BA6BD0"/>
    <w:rsid w:val="00BA7ECF"/>
    <w:rsid w:val="00BB0589"/>
    <w:rsid w:val="00BB09D6"/>
    <w:rsid w:val="00BB1682"/>
    <w:rsid w:val="00BB1AF8"/>
    <w:rsid w:val="00BB26B1"/>
    <w:rsid w:val="00BB2E2A"/>
    <w:rsid w:val="00BB4B39"/>
    <w:rsid w:val="00BB5F65"/>
    <w:rsid w:val="00BB6F58"/>
    <w:rsid w:val="00BB7E40"/>
    <w:rsid w:val="00BC0A1A"/>
    <w:rsid w:val="00BC170A"/>
    <w:rsid w:val="00BC243B"/>
    <w:rsid w:val="00BC268A"/>
    <w:rsid w:val="00BC28A6"/>
    <w:rsid w:val="00BC3515"/>
    <w:rsid w:val="00BC4A64"/>
    <w:rsid w:val="00BC59C2"/>
    <w:rsid w:val="00BC6AAD"/>
    <w:rsid w:val="00BD02CC"/>
    <w:rsid w:val="00BD079D"/>
    <w:rsid w:val="00BD20FB"/>
    <w:rsid w:val="00BD22C7"/>
    <w:rsid w:val="00BD277B"/>
    <w:rsid w:val="00BD2C00"/>
    <w:rsid w:val="00BD530D"/>
    <w:rsid w:val="00BD7955"/>
    <w:rsid w:val="00BE01A0"/>
    <w:rsid w:val="00BE205B"/>
    <w:rsid w:val="00BE256C"/>
    <w:rsid w:val="00BE264E"/>
    <w:rsid w:val="00BE27B1"/>
    <w:rsid w:val="00BE3868"/>
    <w:rsid w:val="00BE3D81"/>
    <w:rsid w:val="00BE4952"/>
    <w:rsid w:val="00BE4E80"/>
    <w:rsid w:val="00BE4FAF"/>
    <w:rsid w:val="00BE52A4"/>
    <w:rsid w:val="00BE5DDE"/>
    <w:rsid w:val="00BE68B4"/>
    <w:rsid w:val="00BE70C9"/>
    <w:rsid w:val="00BF0BCC"/>
    <w:rsid w:val="00BF197F"/>
    <w:rsid w:val="00BF3999"/>
    <w:rsid w:val="00BF4B30"/>
    <w:rsid w:val="00BF523C"/>
    <w:rsid w:val="00BF5376"/>
    <w:rsid w:val="00BF6CBB"/>
    <w:rsid w:val="00C00497"/>
    <w:rsid w:val="00C029B6"/>
    <w:rsid w:val="00C03B0F"/>
    <w:rsid w:val="00C03E68"/>
    <w:rsid w:val="00C045E0"/>
    <w:rsid w:val="00C05139"/>
    <w:rsid w:val="00C058A5"/>
    <w:rsid w:val="00C07D8E"/>
    <w:rsid w:val="00C105E8"/>
    <w:rsid w:val="00C124B7"/>
    <w:rsid w:val="00C15CE7"/>
    <w:rsid w:val="00C15DD3"/>
    <w:rsid w:val="00C15F74"/>
    <w:rsid w:val="00C16AB3"/>
    <w:rsid w:val="00C17224"/>
    <w:rsid w:val="00C17685"/>
    <w:rsid w:val="00C20CBD"/>
    <w:rsid w:val="00C223A5"/>
    <w:rsid w:val="00C229EF"/>
    <w:rsid w:val="00C22D53"/>
    <w:rsid w:val="00C23A93"/>
    <w:rsid w:val="00C23BCF"/>
    <w:rsid w:val="00C2546E"/>
    <w:rsid w:val="00C2565E"/>
    <w:rsid w:val="00C2648A"/>
    <w:rsid w:val="00C26EA0"/>
    <w:rsid w:val="00C2711D"/>
    <w:rsid w:val="00C275B4"/>
    <w:rsid w:val="00C27616"/>
    <w:rsid w:val="00C310A0"/>
    <w:rsid w:val="00C351DB"/>
    <w:rsid w:val="00C36A88"/>
    <w:rsid w:val="00C36B0F"/>
    <w:rsid w:val="00C36E66"/>
    <w:rsid w:val="00C3720E"/>
    <w:rsid w:val="00C406DE"/>
    <w:rsid w:val="00C40C71"/>
    <w:rsid w:val="00C4111F"/>
    <w:rsid w:val="00C412D5"/>
    <w:rsid w:val="00C4150B"/>
    <w:rsid w:val="00C420E4"/>
    <w:rsid w:val="00C433A2"/>
    <w:rsid w:val="00C43DB8"/>
    <w:rsid w:val="00C44141"/>
    <w:rsid w:val="00C46039"/>
    <w:rsid w:val="00C47496"/>
    <w:rsid w:val="00C50B0E"/>
    <w:rsid w:val="00C51CC5"/>
    <w:rsid w:val="00C53EEF"/>
    <w:rsid w:val="00C54389"/>
    <w:rsid w:val="00C5542B"/>
    <w:rsid w:val="00C55A01"/>
    <w:rsid w:val="00C56A39"/>
    <w:rsid w:val="00C57DD6"/>
    <w:rsid w:val="00C607D5"/>
    <w:rsid w:val="00C61372"/>
    <w:rsid w:val="00C61780"/>
    <w:rsid w:val="00C62A8F"/>
    <w:rsid w:val="00C63263"/>
    <w:rsid w:val="00C634E0"/>
    <w:rsid w:val="00C664E7"/>
    <w:rsid w:val="00C671BC"/>
    <w:rsid w:val="00C67C67"/>
    <w:rsid w:val="00C67CFF"/>
    <w:rsid w:val="00C70919"/>
    <w:rsid w:val="00C7141B"/>
    <w:rsid w:val="00C71C68"/>
    <w:rsid w:val="00C759E4"/>
    <w:rsid w:val="00C75BEC"/>
    <w:rsid w:val="00C808AA"/>
    <w:rsid w:val="00C80D96"/>
    <w:rsid w:val="00C82B6B"/>
    <w:rsid w:val="00C83560"/>
    <w:rsid w:val="00C836E3"/>
    <w:rsid w:val="00C83A19"/>
    <w:rsid w:val="00C84D79"/>
    <w:rsid w:val="00C8527E"/>
    <w:rsid w:val="00C855C3"/>
    <w:rsid w:val="00C855D2"/>
    <w:rsid w:val="00C85E96"/>
    <w:rsid w:val="00C86140"/>
    <w:rsid w:val="00C86FBD"/>
    <w:rsid w:val="00C9128F"/>
    <w:rsid w:val="00C91666"/>
    <w:rsid w:val="00C916F0"/>
    <w:rsid w:val="00C91F93"/>
    <w:rsid w:val="00C9219D"/>
    <w:rsid w:val="00C923D5"/>
    <w:rsid w:val="00C92EB0"/>
    <w:rsid w:val="00C9406A"/>
    <w:rsid w:val="00C94D3C"/>
    <w:rsid w:val="00C94E84"/>
    <w:rsid w:val="00C9502B"/>
    <w:rsid w:val="00C96771"/>
    <w:rsid w:val="00CA0D9F"/>
    <w:rsid w:val="00CA18FB"/>
    <w:rsid w:val="00CA1A36"/>
    <w:rsid w:val="00CA1BD1"/>
    <w:rsid w:val="00CA1CEF"/>
    <w:rsid w:val="00CA1E6A"/>
    <w:rsid w:val="00CA5575"/>
    <w:rsid w:val="00CA65EF"/>
    <w:rsid w:val="00CB030A"/>
    <w:rsid w:val="00CB11E7"/>
    <w:rsid w:val="00CB125C"/>
    <w:rsid w:val="00CB26D4"/>
    <w:rsid w:val="00CB455B"/>
    <w:rsid w:val="00CB4D87"/>
    <w:rsid w:val="00CB53B6"/>
    <w:rsid w:val="00CB572C"/>
    <w:rsid w:val="00CB6748"/>
    <w:rsid w:val="00CB7AE4"/>
    <w:rsid w:val="00CC0EC9"/>
    <w:rsid w:val="00CC2188"/>
    <w:rsid w:val="00CC4E6E"/>
    <w:rsid w:val="00CC6E0A"/>
    <w:rsid w:val="00CC743D"/>
    <w:rsid w:val="00CC7617"/>
    <w:rsid w:val="00CC7935"/>
    <w:rsid w:val="00CD0342"/>
    <w:rsid w:val="00CD10A9"/>
    <w:rsid w:val="00CD1286"/>
    <w:rsid w:val="00CD17D1"/>
    <w:rsid w:val="00CD20F9"/>
    <w:rsid w:val="00CD33BC"/>
    <w:rsid w:val="00CD66FB"/>
    <w:rsid w:val="00CD67D5"/>
    <w:rsid w:val="00CE194C"/>
    <w:rsid w:val="00CE2EED"/>
    <w:rsid w:val="00CE6D2A"/>
    <w:rsid w:val="00CE6F5E"/>
    <w:rsid w:val="00CE70E4"/>
    <w:rsid w:val="00CF075B"/>
    <w:rsid w:val="00CF0889"/>
    <w:rsid w:val="00CF106A"/>
    <w:rsid w:val="00CF2156"/>
    <w:rsid w:val="00CF2F06"/>
    <w:rsid w:val="00CF3755"/>
    <w:rsid w:val="00CF3A91"/>
    <w:rsid w:val="00CF41C5"/>
    <w:rsid w:val="00CF4D7B"/>
    <w:rsid w:val="00CF6914"/>
    <w:rsid w:val="00CF7F30"/>
    <w:rsid w:val="00D003A3"/>
    <w:rsid w:val="00D003AF"/>
    <w:rsid w:val="00D0264B"/>
    <w:rsid w:val="00D049C3"/>
    <w:rsid w:val="00D0747E"/>
    <w:rsid w:val="00D07715"/>
    <w:rsid w:val="00D07F6D"/>
    <w:rsid w:val="00D106FE"/>
    <w:rsid w:val="00D10ED3"/>
    <w:rsid w:val="00D125E8"/>
    <w:rsid w:val="00D12D3B"/>
    <w:rsid w:val="00D14535"/>
    <w:rsid w:val="00D14699"/>
    <w:rsid w:val="00D14AA5"/>
    <w:rsid w:val="00D15FDA"/>
    <w:rsid w:val="00D161B7"/>
    <w:rsid w:val="00D20810"/>
    <w:rsid w:val="00D21ED8"/>
    <w:rsid w:val="00D22504"/>
    <w:rsid w:val="00D226F3"/>
    <w:rsid w:val="00D22A32"/>
    <w:rsid w:val="00D23012"/>
    <w:rsid w:val="00D23BC7"/>
    <w:rsid w:val="00D23F3B"/>
    <w:rsid w:val="00D24163"/>
    <w:rsid w:val="00D25D69"/>
    <w:rsid w:val="00D26EC1"/>
    <w:rsid w:val="00D2709A"/>
    <w:rsid w:val="00D302D1"/>
    <w:rsid w:val="00D30569"/>
    <w:rsid w:val="00D31027"/>
    <w:rsid w:val="00D31737"/>
    <w:rsid w:val="00D31F30"/>
    <w:rsid w:val="00D31F45"/>
    <w:rsid w:val="00D335BB"/>
    <w:rsid w:val="00D34B05"/>
    <w:rsid w:val="00D35259"/>
    <w:rsid w:val="00D35489"/>
    <w:rsid w:val="00D36236"/>
    <w:rsid w:val="00D37504"/>
    <w:rsid w:val="00D37996"/>
    <w:rsid w:val="00D37FDD"/>
    <w:rsid w:val="00D40E20"/>
    <w:rsid w:val="00D415EE"/>
    <w:rsid w:val="00D41D3D"/>
    <w:rsid w:val="00D42530"/>
    <w:rsid w:val="00D42B89"/>
    <w:rsid w:val="00D43AEE"/>
    <w:rsid w:val="00D4725F"/>
    <w:rsid w:val="00D5173F"/>
    <w:rsid w:val="00D54091"/>
    <w:rsid w:val="00D54B9A"/>
    <w:rsid w:val="00D54E39"/>
    <w:rsid w:val="00D54F2F"/>
    <w:rsid w:val="00D5552A"/>
    <w:rsid w:val="00D557F5"/>
    <w:rsid w:val="00D56637"/>
    <w:rsid w:val="00D61100"/>
    <w:rsid w:val="00D612CD"/>
    <w:rsid w:val="00D61C45"/>
    <w:rsid w:val="00D62AEF"/>
    <w:rsid w:val="00D62CE1"/>
    <w:rsid w:val="00D64DD6"/>
    <w:rsid w:val="00D65874"/>
    <w:rsid w:val="00D6587C"/>
    <w:rsid w:val="00D662D3"/>
    <w:rsid w:val="00D665BF"/>
    <w:rsid w:val="00D6730F"/>
    <w:rsid w:val="00D70C96"/>
    <w:rsid w:val="00D72563"/>
    <w:rsid w:val="00D72C4E"/>
    <w:rsid w:val="00D74B04"/>
    <w:rsid w:val="00D756CA"/>
    <w:rsid w:val="00D75A5B"/>
    <w:rsid w:val="00D75C81"/>
    <w:rsid w:val="00D76061"/>
    <w:rsid w:val="00D77713"/>
    <w:rsid w:val="00D7798A"/>
    <w:rsid w:val="00D80053"/>
    <w:rsid w:val="00D82AD7"/>
    <w:rsid w:val="00D82E02"/>
    <w:rsid w:val="00D82EDA"/>
    <w:rsid w:val="00D8307B"/>
    <w:rsid w:val="00D8327C"/>
    <w:rsid w:val="00D836F7"/>
    <w:rsid w:val="00D844A6"/>
    <w:rsid w:val="00D84645"/>
    <w:rsid w:val="00D84B55"/>
    <w:rsid w:val="00D864F8"/>
    <w:rsid w:val="00D86ACF"/>
    <w:rsid w:val="00D879A3"/>
    <w:rsid w:val="00D918A9"/>
    <w:rsid w:val="00D92BCC"/>
    <w:rsid w:val="00D93123"/>
    <w:rsid w:val="00D9320C"/>
    <w:rsid w:val="00D95878"/>
    <w:rsid w:val="00D96510"/>
    <w:rsid w:val="00DA154B"/>
    <w:rsid w:val="00DA527C"/>
    <w:rsid w:val="00DA5B6B"/>
    <w:rsid w:val="00DA5EEB"/>
    <w:rsid w:val="00DA603F"/>
    <w:rsid w:val="00DA700C"/>
    <w:rsid w:val="00DA75C7"/>
    <w:rsid w:val="00DB2EF0"/>
    <w:rsid w:val="00DB4640"/>
    <w:rsid w:val="00DB70DE"/>
    <w:rsid w:val="00DB72D0"/>
    <w:rsid w:val="00DB790F"/>
    <w:rsid w:val="00DC045F"/>
    <w:rsid w:val="00DC07F9"/>
    <w:rsid w:val="00DC08B7"/>
    <w:rsid w:val="00DC3269"/>
    <w:rsid w:val="00DC350C"/>
    <w:rsid w:val="00DC437A"/>
    <w:rsid w:val="00DC44F4"/>
    <w:rsid w:val="00DC45DF"/>
    <w:rsid w:val="00DC6605"/>
    <w:rsid w:val="00DD027E"/>
    <w:rsid w:val="00DD0447"/>
    <w:rsid w:val="00DD66BE"/>
    <w:rsid w:val="00DD67BF"/>
    <w:rsid w:val="00DD688C"/>
    <w:rsid w:val="00DD6E09"/>
    <w:rsid w:val="00DE07FB"/>
    <w:rsid w:val="00DE2607"/>
    <w:rsid w:val="00DE2783"/>
    <w:rsid w:val="00DE27B8"/>
    <w:rsid w:val="00DE340B"/>
    <w:rsid w:val="00DE3D55"/>
    <w:rsid w:val="00DE466D"/>
    <w:rsid w:val="00DE4C62"/>
    <w:rsid w:val="00DE55BC"/>
    <w:rsid w:val="00DE5707"/>
    <w:rsid w:val="00DE70C6"/>
    <w:rsid w:val="00DE7200"/>
    <w:rsid w:val="00DF07DB"/>
    <w:rsid w:val="00DF0DB1"/>
    <w:rsid w:val="00DF20FB"/>
    <w:rsid w:val="00DF21A8"/>
    <w:rsid w:val="00DF2DC3"/>
    <w:rsid w:val="00DF3A84"/>
    <w:rsid w:val="00DF4EB7"/>
    <w:rsid w:val="00DF5271"/>
    <w:rsid w:val="00DF70F6"/>
    <w:rsid w:val="00DF7939"/>
    <w:rsid w:val="00DF7C6E"/>
    <w:rsid w:val="00E0106C"/>
    <w:rsid w:val="00E01663"/>
    <w:rsid w:val="00E01A46"/>
    <w:rsid w:val="00E03F1C"/>
    <w:rsid w:val="00E0449A"/>
    <w:rsid w:val="00E04989"/>
    <w:rsid w:val="00E04FDE"/>
    <w:rsid w:val="00E070B6"/>
    <w:rsid w:val="00E07A39"/>
    <w:rsid w:val="00E104EF"/>
    <w:rsid w:val="00E125CB"/>
    <w:rsid w:val="00E12EE8"/>
    <w:rsid w:val="00E13C7D"/>
    <w:rsid w:val="00E13EBC"/>
    <w:rsid w:val="00E13EDF"/>
    <w:rsid w:val="00E146EE"/>
    <w:rsid w:val="00E15076"/>
    <w:rsid w:val="00E165C9"/>
    <w:rsid w:val="00E16DA8"/>
    <w:rsid w:val="00E17165"/>
    <w:rsid w:val="00E202E6"/>
    <w:rsid w:val="00E21B3E"/>
    <w:rsid w:val="00E21F7E"/>
    <w:rsid w:val="00E224C3"/>
    <w:rsid w:val="00E2288B"/>
    <w:rsid w:val="00E22B14"/>
    <w:rsid w:val="00E23B83"/>
    <w:rsid w:val="00E23FD1"/>
    <w:rsid w:val="00E24482"/>
    <w:rsid w:val="00E246D8"/>
    <w:rsid w:val="00E2486D"/>
    <w:rsid w:val="00E25D87"/>
    <w:rsid w:val="00E27377"/>
    <w:rsid w:val="00E300EC"/>
    <w:rsid w:val="00E305F5"/>
    <w:rsid w:val="00E30DEA"/>
    <w:rsid w:val="00E31E46"/>
    <w:rsid w:val="00E32594"/>
    <w:rsid w:val="00E3293B"/>
    <w:rsid w:val="00E332F5"/>
    <w:rsid w:val="00E341E1"/>
    <w:rsid w:val="00E34AE2"/>
    <w:rsid w:val="00E36A37"/>
    <w:rsid w:val="00E372F7"/>
    <w:rsid w:val="00E372FA"/>
    <w:rsid w:val="00E37601"/>
    <w:rsid w:val="00E417BF"/>
    <w:rsid w:val="00E42235"/>
    <w:rsid w:val="00E434B4"/>
    <w:rsid w:val="00E43B3E"/>
    <w:rsid w:val="00E4414C"/>
    <w:rsid w:val="00E443BA"/>
    <w:rsid w:val="00E450D5"/>
    <w:rsid w:val="00E454CC"/>
    <w:rsid w:val="00E45FB7"/>
    <w:rsid w:val="00E46BB5"/>
    <w:rsid w:val="00E470CE"/>
    <w:rsid w:val="00E478AC"/>
    <w:rsid w:val="00E5055F"/>
    <w:rsid w:val="00E50F94"/>
    <w:rsid w:val="00E515EB"/>
    <w:rsid w:val="00E528C9"/>
    <w:rsid w:val="00E53D40"/>
    <w:rsid w:val="00E5462E"/>
    <w:rsid w:val="00E61A5B"/>
    <w:rsid w:val="00E64BE9"/>
    <w:rsid w:val="00E65605"/>
    <w:rsid w:val="00E65AFF"/>
    <w:rsid w:val="00E6767D"/>
    <w:rsid w:val="00E71E5D"/>
    <w:rsid w:val="00E73327"/>
    <w:rsid w:val="00E7411A"/>
    <w:rsid w:val="00E76BD7"/>
    <w:rsid w:val="00E77A83"/>
    <w:rsid w:val="00E80977"/>
    <w:rsid w:val="00E82D1B"/>
    <w:rsid w:val="00E83645"/>
    <w:rsid w:val="00E84E98"/>
    <w:rsid w:val="00E85972"/>
    <w:rsid w:val="00E85C9A"/>
    <w:rsid w:val="00E85CB5"/>
    <w:rsid w:val="00E9034A"/>
    <w:rsid w:val="00E90E9C"/>
    <w:rsid w:val="00E94D3D"/>
    <w:rsid w:val="00E94FB0"/>
    <w:rsid w:val="00E9512C"/>
    <w:rsid w:val="00EA0077"/>
    <w:rsid w:val="00EA0E38"/>
    <w:rsid w:val="00EA1872"/>
    <w:rsid w:val="00EA22A9"/>
    <w:rsid w:val="00EA22F6"/>
    <w:rsid w:val="00EA477B"/>
    <w:rsid w:val="00EA604E"/>
    <w:rsid w:val="00EA6069"/>
    <w:rsid w:val="00EA6536"/>
    <w:rsid w:val="00EA6ED4"/>
    <w:rsid w:val="00EA714C"/>
    <w:rsid w:val="00EA7167"/>
    <w:rsid w:val="00EA78D0"/>
    <w:rsid w:val="00EB0026"/>
    <w:rsid w:val="00EB01A6"/>
    <w:rsid w:val="00EB0384"/>
    <w:rsid w:val="00EB0D56"/>
    <w:rsid w:val="00EB31BB"/>
    <w:rsid w:val="00EB39F8"/>
    <w:rsid w:val="00EB3AE8"/>
    <w:rsid w:val="00EB3DE5"/>
    <w:rsid w:val="00EB6196"/>
    <w:rsid w:val="00EB67F0"/>
    <w:rsid w:val="00EB6B0C"/>
    <w:rsid w:val="00EB6F46"/>
    <w:rsid w:val="00EC058C"/>
    <w:rsid w:val="00EC0B25"/>
    <w:rsid w:val="00EC1BDE"/>
    <w:rsid w:val="00EC1F4B"/>
    <w:rsid w:val="00EC311D"/>
    <w:rsid w:val="00EC3F67"/>
    <w:rsid w:val="00EC4F32"/>
    <w:rsid w:val="00EC5097"/>
    <w:rsid w:val="00EC53C0"/>
    <w:rsid w:val="00EC5A56"/>
    <w:rsid w:val="00ED1413"/>
    <w:rsid w:val="00ED1663"/>
    <w:rsid w:val="00ED230F"/>
    <w:rsid w:val="00ED23A4"/>
    <w:rsid w:val="00ED3A2D"/>
    <w:rsid w:val="00ED4106"/>
    <w:rsid w:val="00ED4499"/>
    <w:rsid w:val="00ED50F5"/>
    <w:rsid w:val="00ED5149"/>
    <w:rsid w:val="00ED6BE1"/>
    <w:rsid w:val="00ED7099"/>
    <w:rsid w:val="00ED7757"/>
    <w:rsid w:val="00EE009A"/>
    <w:rsid w:val="00EE027B"/>
    <w:rsid w:val="00EE0630"/>
    <w:rsid w:val="00EE13A1"/>
    <w:rsid w:val="00EE285F"/>
    <w:rsid w:val="00EE2893"/>
    <w:rsid w:val="00EE31DF"/>
    <w:rsid w:val="00EE3AE5"/>
    <w:rsid w:val="00EE3EBF"/>
    <w:rsid w:val="00EE5B77"/>
    <w:rsid w:val="00EE7702"/>
    <w:rsid w:val="00EE7916"/>
    <w:rsid w:val="00EF03F8"/>
    <w:rsid w:val="00EF13A0"/>
    <w:rsid w:val="00EF1C6E"/>
    <w:rsid w:val="00EF2AE5"/>
    <w:rsid w:val="00EF2C80"/>
    <w:rsid w:val="00EF4D3B"/>
    <w:rsid w:val="00EF52FD"/>
    <w:rsid w:val="00EF6A34"/>
    <w:rsid w:val="00EF7579"/>
    <w:rsid w:val="00EF75D5"/>
    <w:rsid w:val="00EF7B34"/>
    <w:rsid w:val="00F00BE0"/>
    <w:rsid w:val="00F016BD"/>
    <w:rsid w:val="00F026F0"/>
    <w:rsid w:val="00F04496"/>
    <w:rsid w:val="00F05814"/>
    <w:rsid w:val="00F0680A"/>
    <w:rsid w:val="00F06ED0"/>
    <w:rsid w:val="00F12013"/>
    <w:rsid w:val="00F126FC"/>
    <w:rsid w:val="00F12999"/>
    <w:rsid w:val="00F12C0D"/>
    <w:rsid w:val="00F12DA5"/>
    <w:rsid w:val="00F12F3A"/>
    <w:rsid w:val="00F13822"/>
    <w:rsid w:val="00F13E50"/>
    <w:rsid w:val="00F1410C"/>
    <w:rsid w:val="00F14565"/>
    <w:rsid w:val="00F14A70"/>
    <w:rsid w:val="00F175A5"/>
    <w:rsid w:val="00F176ED"/>
    <w:rsid w:val="00F1796C"/>
    <w:rsid w:val="00F17CC1"/>
    <w:rsid w:val="00F230F1"/>
    <w:rsid w:val="00F275C3"/>
    <w:rsid w:val="00F27B8D"/>
    <w:rsid w:val="00F304FB"/>
    <w:rsid w:val="00F313F8"/>
    <w:rsid w:val="00F31428"/>
    <w:rsid w:val="00F315AB"/>
    <w:rsid w:val="00F31DC0"/>
    <w:rsid w:val="00F33E41"/>
    <w:rsid w:val="00F33F07"/>
    <w:rsid w:val="00F3438B"/>
    <w:rsid w:val="00F34D85"/>
    <w:rsid w:val="00F35871"/>
    <w:rsid w:val="00F35D52"/>
    <w:rsid w:val="00F35F8C"/>
    <w:rsid w:val="00F360BF"/>
    <w:rsid w:val="00F36C93"/>
    <w:rsid w:val="00F373E1"/>
    <w:rsid w:val="00F410E0"/>
    <w:rsid w:val="00F42574"/>
    <w:rsid w:val="00F43AAC"/>
    <w:rsid w:val="00F43D37"/>
    <w:rsid w:val="00F45257"/>
    <w:rsid w:val="00F45805"/>
    <w:rsid w:val="00F459ED"/>
    <w:rsid w:val="00F45CA2"/>
    <w:rsid w:val="00F45D78"/>
    <w:rsid w:val="00F46154"/>
    <w:rsid w:val="00F462F3"/>
    <w:rsid w:val="00F46AD5"/>
    <w:rsid w:val="00F47178"/>
    <w:rsid w:val="00F47598"/>
    <w:rsid w:val="00F47DCD"/>
    <w:rsid w:val="00F47ED2"/>
    <w:rsid w:val="00F50813"/>
    <w:rsid w:val="00F50CA4"/>
    <w:rsid w:val="00F50CE7"/>
    <w:rsid w:val="00F51438"/>
    <w:rsid w:val="00F515D3"/>
    <w:rsid w:val="00F5301A"/>
    <w:rsid w:val="00F538BB"/>
    <w:rsid w:val="00F53EC3"/>
    <w:rsid w:val="00F549E7"/>
    <w:rsid w:val="00F54AA2"/>
    <w:rsid w:val="00F55237"/>
    <w:rsid w:val="00F5550D"/>
    <w:rsid w:val="00F55934"/>
    <w:rsid w:val="00F57CF3"/>
    <w:rsid w:val="00F60C92"/>
    <w:rsid w:val="00F60E82"/>
    <w:rsid w:val="00F618BB"/>
    <w:rsid w:val="00F62689"/>
    <w:rsid w:val="00F62FB3"/>
    <w:rsid w:val="00F6302F"/>
    <w:rsid w:val="00F64EF0"/>
    <w:rsid w:val="00F65518"/>
    <w:rsid w:val="00F65B3A"/>
    <w:rsid w:val="00F65E57"/>
    <w:rsid w:val="00F669E6"/>
    <w:rsid w:val="00F66F67"/>
    <w:rsid w:val="00F67625"/>
    <w:rsid w:val="00F70678"/>
    <w:rsid w:val="00F70AD4"/>
    <w:rsid w:val="00F71828"/>
    <w:rsid w:val="00F7191C"/>
    <w:rsid w:val="00F7197C"/>
    <w:rsid w:val="00F72032"/>
    <w:rsid w:val="00F73671"/>
    <w:rsid w:val="00F76B14"/>
    <w:rsid w:val="00F800C7"/>
    <w:rsid w:val="00F80938"/>
    <w:rsid w:val="00F81487"/>
    <w:rsid w:val="00F849F9"/>
    <w:rsid w:val="00F85F21"/>
    <w:rsid w:val="00F870DB"/>
    <w:rsid w:val="00F90CF5"/>
    <w:rsid w:val="00F90D68"/>
    <w:rsid w:val="00F90E69"/>
    <w:rsid w:val="00F91AD8"/>
    <w:rsid w:val="00F922B1"/>
    <w:rsid w:val="00FA06C9"/>
    <w:rsid w:val="00FA0E80"/>
    <w:rsid w:val="00FA1CBD"/>
    <w:rsid w:val="00FA28CF"/>
    <w:rsid w:val="00FA2C07"/>
    <w:rsid w:val="00FA32BE"/>
    <w:rsid w:val="00FA56EF"/>
    <w:rsid w:val="00FA5D99"/>
    <w:rsid w:val="00FA5F0B"/>
    <w:rsid w:val="00FA6505"/>
    <w:rsid w:val="00FA6F1C"/>
    <w:rsid w:val="00FA72F6"/>
    <w:rsid w:val="00FB0E58"/>
    <w:rsid w:val="00FB0FB6"/>
    <w:rsid w:val="00FB10A3"/>
    <w:rsid w:val="00FB179F"/>
    <w:rsid w:val="00FB25BD"/>
    <w:rsid w:val="00FB36D4"/>
    <w:rsid w:val="00FB3B0F"/>
    <w:rsid w:val="00FB510B"/>
    <w:rsid w:val="00FB5690"/>
    <w:rsid w:val="00FB5D1B"/>
    <w:rsid w:val="00FB68C8"/>
    <w:rsid w:val="00FB75F9"/>
    <w:rsid w:val="00FB76D2"/>
    <w:rsid w:val="00FB7C5A"/>
    <w:rsid w:val="00FC0449"/>
    <w:rsid w:val="00FC154B"/>
    <w:rsid w:val="00FC1C97"/>
    <w:rsid w:val="00FC26BF"/>
    <w:rsid w:val="00FC2D26"/>
    <w:rsid w:val="00FC423E"/>
    <w:rsid w:val="00FC523E"/>
    <w:rsid w:val="00FC5BB7"/>
    <w:rsid w:val="00FC6CE0"/>
    <w:rsid w:val="00FC7232"/>
    <w:rsid w:val="00FC7525"/>
    <w:rsid w:val="00FD02C5"/>
    <w:rsid w:val="00FD1A30"/>
    <w:rsid w:val="00FD418F"/>
    <w:rsid w:val="00FD4365"/>
    <w:rsid w:val="00FD4D39"/>
    <w:rsid w:val="00FD4F52"/>
    <w:rsid w:val="00FD532F"/>
    <w:rsid w:val="00FD53F2"/>
    <w:rsid w:val="00FD5E40"/>
    <w:rsid w:val="00FD5FED"/>
    <w:rsid w:val="00FD6485"/>
    <w:rsid w:val="00FD7589"/>
    <w:rsid w:val="00FE0BDF"/>
    <w:rsid w:val="00FE1CF6"/>
    <w:rsid w:val="00FE1EF3"/>
    <w:rsid w:val="00FE315D"/>
    <w:rsid w:val="00FE3182"/>
    <w:rsid w:val="00FE3707"/>
    <w:rsid w:val="00FE41E1"/>
    <w:rsid w:val="00FE55F1"/>
    <w:rsid w:val="00FE6567"/>
    <w:rsid w:val="00FF07E9"/>
    <w:rsid w:val="00FF213C"/>
    <w:rsid w:val="00FF2285"/>
    <w:rsid w:val="00FF2C66"/>
    <w:rsid w:val="00FF410C"/>
    <w:rsid w:val="00FF4D81"/>
    <w:rsid w:val="00FF57F9"/>
    <w:rsid w:val="00FF5E9F"/>
    <w:rsid w:val="00FF6152"/>
    <w:rsid w:val="00FF6CBD"/>
    <w:rsid w:val="00FF75F5"/>
    <w:rsid w:val="00FF7C3A"/>
    <w:rsid w:val="01592D24"/>
    <w:rsid w:val="01775986"/>
    <w:rsid w:val="01885E23"/>
    <w:rsid w:val="018E7ABF"/>
    <w:rsid w:val="01940E85"/>
    <w:rsid w:val="0198796C"/>
    <w:rsid w:val="019A0A09"/>
    <w:rsid w:val="01C133B8"/>
    <w:rsid w:val="01DC0480"/>
    <w:rsid w:val="020F2171"/>
    <w:rsid w:val="023B2AFC"/>
    <w:rsid w:val="02834CB7"/>
    <w:rsid w:val="02A27E2B"/>
    <w:rsid w:val="02A3645B"/>
    <w:rsid w:val="02B53906"/>
    <w:rsid w:val="02F778BD"/>
    <w:rsid w:val="03070BD7"/>
    <w:rsid w:val="030B2999"/>
    <w:rsid w:val="03121468"/>
    <w:rsid w:val="034E03AA"/>
    <w:rsid w:val="03566E99"/>
    <w:rsid w:val="03822C68"/>
    <w:rsid w:val="039F2BBC"/>
    <w:rsid w:val="03D96AC5"/>
    <w:rsid w:val="04883EB2"/>
    <w:rsid w:val="04BD7D66"/>
    <w:rsid w:val="05071955"/>
    <w:rsid w:val="050B36B6"/>
    <w:rsid w:val="051E3875"/>
    <w:rsid w:val="0533125B"/>
    <w:rsid w:val="054F4EE9"/>
    <w:rsid w:val="056B1EC6"/>
    <w:rsid w:val="056D1E95"/>
    <w:rsid w:val="05C42AA9"/>
    <w:rsid w:val="0650730D"/>
    <w:rsid w:val="06AB5586"/>
    <w:rsid w:val="06C41BC0"/>
    <w:rsid w:val="06CB44B7"/>
    <w:rsid w:val="06CC42F7"/>
    <w:rsid w:val="06EE20B1"/>
    <w:rsid w:val="06F3430C"/>
    <w:rsid w:val="073F4A62"/>
    <w:rsid w:val="075B63E2"/>
    <w:rsid w:val="07B1625B"/>
    <w:rsid w:val="07D96E9C"/>
    <w:rsid w:val="07E73E00"/>
    <w:rsid w:val="080612A7"/>
    <w:rsid w:val="08074BF6"/>
    <w:rsid w:val="08534B88"/>
    <w:rsid w:val="08996192"/>
    <w:rsid w:val="08D107D5"/>
    <w:rsid w:val="08F062C2"/>
    <w:rsid w:val="090A2990"/>
    <w:rsid w:val="090B19E1"/>
    <w:rsid w:val="0910646C"/>
    <w:rsid w:val="09774987"/>
    <w:rsid w:val="09920286"/>
    <w:rsid w:val="09AC6517"/>
    <w:rsid w:val="09BB48A6"/>
    <w:rsid w:val="09BE4894"/>
    <w:rsid w:val="09E15530"/>
    <w:rsid w:val="0A1B58FF"/>
    <w:rsid w:val="0A6D7B49"/>
    <w:rsid w:val="0AAA398C"/>
    <w:rsid w:val="0AD11D45"/>
    <w:rsid w:val="0AE903B8"/>
    <w:rsid w:val="0AF77D1D"/>
    <w:rsid w:val="0B1873A5"/>
    <w:rsid w:val="0B446AEB"/>
    <w:rsid w:val="0B7462A1"/>
    <w:rsid w:val="0BA16641"/>
    <w:rsid w:val="0BD374EE"/>
    <w:rsid w:val="0C994C14"/>
    <w:rsid w:val="0CAC6BB6"/>
    <w:rsid w:val="0CBB26FC"/>
    <w:rsid w:val="0CC34F37"/>
    <w:rsid w:val="0CDC3B9F"/>
    <w:rsid w:val="0CEA1C84"/>
    <w:rsid w:val="0CEC3980"/>
    <w:rsid w:val="0D197B03"/>
    <w:rsid w:val="0D244AD2"/>
    <w:rsid w:val="0D3606B5"/>
    <w:rsid w:val="0D7041A5"/>
    <w:rsid w:val="0D784644"/>
    <w:rsid w:val="0D864353"/>
    <w:rsid w:val="0DBC6828"/>
    <w:rsid w:val="0DD505F0"/>
    <w:rsid w:val="0DEA5E6A"/>
    <w:rsid w:val="0DF75996"/>
    <w:rsid w:val="0DFC36FB"/>
    <w:rsid w:val="0EB37705"/>
    <w:rsid w:val="0F0D26CC"/>
    <w:rsid w:val="0F184ADA"/>
    <w:rsid w:val="0F566293"/>
    <w:rsid w:val="0FA1669B"/>
    <w:rsid w:val="0FD0276C"/>
    <w:rsid w:val="104A5783"/>
    <w:rsid w:val="108958F5"/>
    <w:rsid w:val="10EF538B"/>
    <w:rsid w:val="10F00FEF"/>
    <w:rsid w:val="10F32A84"/>
    <w:rsid w:val="11312DC0"/>
    <w:rsid w:val="114701EB"/>
    <w:rsid w:val="118848CF"/>
    <w:rsid w:val="11B67DC6"/>
    <w:rsid w:val="11C11380"/>
    <w:rsid w:val="11D74C92"/>
    <w:rsid w:val="11DE1DC1"/>
    <w:rsid w:val="12092462"/>
    <w:rsid w:val="120F2891"/>
    <w:rsid w:val="121D403F"/>
    <w:rsid w:val="129F7C67"/>
    <w:rsid w:val="12C53BE4"/>
    <w:rsid w:val="12F86EFF"/>
    <w:rsid w:val="13380DD8"/>
    <w:rsid w:val="133B4C77"/>
    <w:rsid w:val="1344521A"/>
    <w:rsid w:val="135D4BC9"/>
    <w:rsid w:val="13645ACB"/>
    <w:rsid w:val="13E957B5"/>
    <w:rsid w:val="13F54664"/>
    <w:rsid w:val="14412BB2"/>
    <w:rsid w:val="146F2D0E"/>
    <w:rsid w:val="14942891"/>
    <w:rsid w:val="14972F2F"/>
    <w:rsid w:val="14D43335"/>
    <w:rsid w:val="151E215B"/>
    <w:rsid w:val="15516C03"/>
    <w:rsid w:val="156B5F7D"/>
    <w:rsid w:val="1571672E"/>
    <w:rsid w:val="15A078BC"/>
    <w:rsid w:val="15AE733A"/>
    <w:rsid w:val="15B31140"/>
    <w:rsid w:val="15BE3D91"/>
    <w:rsid w:val="15E50ECA"/>
    <w:rsid w:val="16133A9B"/>
    <w:rsid w:val="161F6D30"/>
    <w:rsid w:val="164C6D98"/>
    <w:rsid w:val="1661486F"/>
    <w:rsid w:val="16CF48C3"/>
    <w:rsid w:val="16F93153"/>
    <w:rsid w:val="1714775C"/>
    <w:rsid w:val="172A1253"/>
    <w:rsid w:val="17680005"/>
    <w:rsid w:val="176B41F6"/>
    <w:rsid w:val="17F43C69"/>
    <w:rsid w:val="18096F46"/>
    <w:rsid w:val="18904498"/>
    <w:rsid w:val="18A3471E"/>
    <w:rsid w:val="18DE057F"/>
    <w:rsid w:val="18FC6C57"/>
    <w:rsid w:val="19061883"/>
    <w:rsid w:val="190A23F2"/>
    <w:rsid w:val="192B2C0A"/>
    <w:rsid w:val="192B4DF7"/>
    <w:rsid w:val="194440D5"/>
    <w:rsid w:val="19881F8C"/>
    <w:rsid w:val="198A4D50"/>
    <w:rsid w:val="19BA6371"/>
    <w:rsid w:val="19E5256C"/>
    <w:rsid w:val="19F90D7B"/>
    <w:rsid w:val="1A0A7151"/>
    <w:rsid w:val="1A4964D8"/>
    <w:rsid w:val="1AF6583C"/>
    <w:rsid w:val="1B011B04"/>
    <w:rsid w:val="1B2A1722"/>
    <w:rsid w:val="1B7B66B5"/>
    <w:rsid w:val="1B990FB2"/>
    <w:rsid w:val="1C225F98"/>
    <w:rsid w:val="1C272EF4"/>
    <w:rsid w:val="1C534DE0"/>
    <w:rsid w:val="1CF64D1B"/>
    <w:rsid w:val="1D320A97"/>
    <w:rsid w:val="1D3541D9"/>
    <w:rsid w:val="1D3E6FE0"/>
    <w:rsid w:val="1D4F2685"/>
    <w:rsid w:val="1D570895"/>
    <w:rsid w:val="1DC4028C"/>
    <w:rsid w:val="1DE30A61"/>
    <w:rsid w:val="1E2F098E"/>
    <w:rsid w:val="1E3E2D25"/>
    <w:rsid w:val="1E4507E4"/>
    <w:rsid w:val="1E6210B8"/>
    <w:rsid w:val="1EAC7C60"/>
    <w:rsid w:val="1EC014EF"/>
    <w:rsid w:val="1EC664F8"/>
    <w:rsid w:val="1EDA6951"/>
    <w:rsid w:val="1EE04FE4"/>
    <w:rsid w:val="1EE77A61"/>
    <w:rsid w:val="1EF45F00"/>
    <w:rsid w:val="1F8261F3"/>
    <w:rsid w:val="1FA84089"/>
    <w:rsid w:val="1FF91559"/>
    <w:rsid w:val="20375D57"/>
    <w:rsid w:val="20703503"/>
    <w:rsid w:val="207A43B8"/>
    <w:rsid w:val="213319C9"/>
    <w:rsid w:val="21A3266E"/>
    <w:rsid w:val="21B5131F"/>
    <w:rsid w:val="22155EFF"/>
    <w:rsid w:val="2254242E"/>
    <w:rsid w:val="226006F6"/>
    <w:rsid w:val="22810B01"/>
    <w:rsid w:val="22BB44F7"/>
    <w:rsid w:val="23207452"/>
    <w:rsid w:val="234B1DF5"/>
    <w:rsid w:val="23627FFE"/>
    <w:rsid w:val="2364528E"/>
    <w:rsid w:val="2395665B"/>
    <w:rsid w:val="24EA2F6A"/>
    <w:rsid w:val="24F36825"/>
    <w:rsid w:val="24FC2019"/>
    <w:rsid w:val="25445D9E"/>
    <w:rsid w:val="25DA4F1A"/>
    <w:rsid w:val="261513AF"/>
    <w:rsid w:val="263D4A6F"/>
    <w:rsid w:val="269A0780"/>
    <w:rsid w:val="269B5967"/>
    <w:rsid w:val="26A10C53"/>
    <w:rsid w:val="26CF57CC"/>
    <w:rsid w:val="27007186"/>
    <w:rsid w:val="27022042"/>
    <w:rsid w:val="270F3FF9"/>
    <w:rsid w:val="276C29FF"/>
    <w:rsid w:val="27892CDE"/>
    <w:rsid w:val="27AE1D78"/>
    <w:rsid w:val="27B13177"/>
    <w:rsid w:val="27E47531"/>
    <w:rsid w:val="28855A7D"/>
    <w:rsid w:val="28902F18"/>
    <w:rsid w:val="2971760E"/>
    <w:rsid w:val="2990258A"/>
    <w:rsid w:val="29910649"/>
    <w:rsid w:val="29EB624B"/>
    <w:rsid w:val="2A10592D"/>
    <w:rsid w:val="2A472991"/>
    <w:rsid w:val="2AA1765E"/>
    <w:rsid w:val="2AB93EF7"/>
    <w:rsid w:val="2ABF25ED"/>
    <w:rsid w:val="2B2A3917"/>
    <w:rsid w:val="2BE95450"/>
    <w:rsid w:val="2C0440A1"/>
    <w:rsid w:val="2C136F28"/>
    <w:rsid w:val="2C2643AF"/>
    <w:rsid w:val="2C3D62FD"/>
    <w:rsid w:val="2C496214"/>
    <w:rsid w:val="2C97158D"/>
    <w:rsid w:val="2CC76232"/>
    <w:rsid w:val="2CF271A5"/>
    <w:rsid w:val="2D105839"/>
    <w:rsid w:val="2D177576"/>
    <w:rsid w:val="2D2F4F9F"/>
    <w:rsid w:val="2D395076"/>
    <w:rsid w:val="2D426A09"/>
    <w:rsid w:val="2D69305E"/>
    <w:rsid w:val="2D7A12FE"/>
    <w:rsid w:val="2D8400D7"/>
    <w:rsid w:val="2D851D9A"/>
    <w:rsid w:val="2D951634"/>
    <w:rsid w:val="2DCF73D0"/>
    <w:rsid w:val="2DDD1629"/>
    <w:rsid w:val="2DE163C7"/>
    <w:rsid w:val="2DF018E0"/>
    <w:rsid w:val="2E016CBA"/>
    <w:rsid w:val="2EB06A4C"/>
    <w:rsid w:val="2EC25D45"/>
    <w:rsid w:val="2EDE0726"/>
    <w:rsid w:val="2F4415F4"/>
    <w:rsid w:val="2F7B10A8"/>
    <w:rsid w:val="2FD023CF"/>
    <w:rsid w:val="2FE7396B"/>
    <w:rsid w:val="2FE778C1"/>
    <w:rsid w:val="2FEF1E6C"/>
    <w:rsid w:val="300D7D4A"/>
    <w:rsid w:val="304A4274"/>
    <w:rsid w:val="30575E5F"/>
    <w:rsid w:val="30750CB4"/>
    <w:rsid w:val="308976F1"/>
    <w:rsid w:val="309350C7"/>
    <w:rsid w:val="30D0318D"/>
    <w:rsid w:val="30E20088"/>
    <w:rsid w:val="30EA437C"/>
    <w:rsid w:val="312B5ED3"/>
    <w:rsid w:val="31FE7C49"/>
    <w:rsid w:val="324442AF"/>
    <w:rsid w:val="324463DD"/>
    <w:rsid w:val="32A30797"/>
    <w:rsid w:val="32C865AF"/>
    <w:rsid w:val="32E5584C"/>
    <w:rsid w:val="33524ECE"/>
    <w:rsid w:val="33590AD6"/>
    <w:rsid w:val="33DB2E25"/>
    <w:rsid w:val="346644D8"/>
    <w:rsid w:val="34895C73"/>
    <w:rsid w:val="34CC4AF9"/>
    <w:rsid w:val="34D84DA0"/>
    <w:rsid w:val="35766601"/>
    <w:rsid w:val="35B6520A"/>
    <w:rsid w:val="360607D9"/>
    <w:rsid w:val="36190C5C"/>
    <w:rsid w:val="361A1D9A"/>
    <w:rsid w:val="361C2037"/>
    <w:rsid w:val="363D616D"/>
    <w:rsid w:val="364B2ECB"/>
    <w:rsid w:val="366E65EA"/>
    <w:rsid w:val="3680580C"/>
    <w:rsid w:val="369E6599"/>
    <w:rsid w:val="36A8591D"/>
    <w:rsid w:val="36C37415"/>
    <w:rsid w:val="36DD4088"/>
    <w:rsid w:val="37146332"/>
    <w:rsid w:val="37254742"/>
    <w:rsid w:val="37497E2D"/>
    <w:rsid w:val="37F16728"/>
    <w:rsid w:val="385A07E5"/>
    <w:rsid w:val="38731510"/>
    <w:rsid w:val="389E008F"/>
    <w:rsid w:val="38A94C99"/>
    <w:rsid w:val="38D6246F"/>
    <w:rsid w:val="38F00189"/>
    <w:rsid w:val="39135500"/>
    <w:rsid w:val="395839AD"/>
    <w:rsid w:val="399B0D3D"/>
    <w:rsid w:val="39AA35E8"/>
    <w:rsid w:val="3A043FEA"/>
    <w:rsid w:val="3A3C70DA"/>
    <w:rsid w:val="3A6442C7"/>
    <w:rsid w:val="3A8E5D10"/>
    <w:rsid w:val="3AD81A2B"/>
    <w:rsid w:val="3AE11A4E"/>
    <w:rsid w:val="3B10495E"/>
    <w:rsid w:val="3B121111"/>
    <w:rsid w:val="3B2338B7"/>
    <w:rsid w:val="3B275C48"/>
    <w:rsid w:val="3B2A4FB6"/>
    <w:rsid w:val="3B7C326A"/>
    <w:rsid w:val="3B932D9C"/>
    <w:rsid w:val="3BD26834"/>
    <w:rsid w:val="3BFD2061"/>
    <w:rsid w:val="3C19288C"/>
    <w:rsid w:val="3C6329DE"/>
    <w:rsid w:val="3CBA43FC"/>
    <w:rsid w:val="3CCE5FE8"/>
    <w:rsid w:val="3D573AAE"/>
    <w:rsid w:val="3D76583D"/>
    <w:rsid w:val="3D9B4754"/>
    <w:rsid w:val="3DB35BA7"/>
    <w:rsid w:val="3DBB5D2E"/>
    <w:rsid w:val="3DDC6AF7"/>
    <w:rsid w:val="3E1521CA"/>
    <w:rsid w:val="3E2004CC"/>
    <w:rsid w:val="3E5F1E94"/>
    <w:rsid w:val="3EA6436B"/>
    <w:rsid w:val="3EEC1D93"/>
    <w:rsid w:val="3EF545D9"/>
    <w:rsid w:val="3EFE0737"/>
    <w:rsid w:val="3F022944"/>
    <w:rsid w:val="3F125943"/>
    <w:rsid w:val="3F817D6A"/>
    <w:rsid w:val="3FAA11A4"/>
    <w:rsid w:val="3FAF4912"/>
    <w:rsid w:val="3FB7625E"/>
    <w:rsid w:val="406A72FF"/>
    <w:rsid w:val="40A857C2"/>
    <w:rsid w:val="40CD787E"/>
    <w:rsid w:val="41822731"/>
    <w:rsid w:val="421B7832"/>
    <w:rsid w:val="42254A34"/>
    <w:rsid w:val="429462ED"/>
    <w:rsid w:val="42BC7DDF"/>
    <w:rsid w:val="42E5365A"/>
    <w:rsid w:val="43076C51"/>
    <w:rsid w:val="43251383"/>
    <w:rsid w:val="435A272F"/>
    <w:rsid w:val="437E2698"/>
    <w:rsid w:val="43903FBC"/>
    <w:rsid w:val="439B213E"/>
    <w:rsid w:val="43AD43B9"/>
    <w:rsid w:val="43F565F9"/>
    <w:rsid w:val="44201AAB"/>
    <w:rsid w:val="44227892"/>
    <w:rsid w:val="448A72D9"/>
    <w:rsid w:val="44BA3930"/>
    <w:rsid w:val="44EF1B82"/>
    <w:rsid w:val="45797C51"/>
    <w:rsid w:val="45A168B6"/>
    <w:rsid w:val="45E77275"/>
    <w:rsid w:val="45EE4E64"/>
    <w:rsid w:val="45EE6863"/>
    <w:rsid w:val="461B2714"/>
    <w:rsid w:val="463D4287"/>
    <w:rsid w:val="46492C2C"/>
    <w:rsid w:val="46F41301"/>
    <w:rsid w:val="46FC6C97"/>
    <w:rsid w:val="470C0561"/>
    <w:rsid w:val="473671FB"/>
    <w:rsid w:val="473D2DF8"/>
    <w:rsid w:val="474A7B5B"/>
    <w:rsid w:val="476741EB"/>
    <w:rsid w:val="47BB1907"/>
    <w:rsid w:val="47F66832"/>
    <w:rsid w:val="483E4CD6"/>
    <w:rsid w:val="48C021BD"/>
    <w:rsid w:val="492434DC"/>
    <w:rsid w:val="492A6366"/>
    <w:rsid w:val="4A934670"/>
    <w:rsid w:val="4ABE526B"/>
    <w:rsid w:val="4ABF5B70"/>
    <w:rsid w:val="4AC07CF5"/>
    <w:rsid w:val="4B0D30A6"/>
    <w:rsid w:val="4B653859"/>
    <w:rsid w:val="4B807D59"/>
    <w:rsid w:val="4B83098E"/>
    <w:rsid w:val="4B985D35"/>
    <w:rsid w:val="4BA72EF2"/>
    <w:rsid w:val="4BAD5A0B"/>
    <w:rsid w:val="4C005968"/>
    <w:rsid w:val="4C3E203F"/>
    <w:rsid w:val="4C4A2448"/>
    <w:rsid w:val="4C583BC9"/>
    <w:rsid w:val="4C9170DB"/>
    <w:rsid w:val="4CF6285E"/>
    <w:rsid w:val="4D516E2B"/>
    <w:rsid w:val="4D720271"/>
    <w:rsid w:val="4D7615F2"/>
    <w:rsid w:val="4DED52D5"/>
    <w:rsid w:val="4E1B0EA4"/>
    <w:rsid w:val="4E3B2540"/>
    <w:rsid w:val="4E3C1D9F"/>
    <w:rsid w:val="4E402FFB"/>
    <w:rsid w:val="4E545D2B"/>
    <w:rsid w:val="4ECF17A1"/>
    <w:rsid w:val="4F1A65F1"/>
    <w:rsid w:val="4F73779A"/>
    <w:rsid w:val="4FB97DFA"/>
    <w:rsid w:val="4FBD65B6"/>
    <w:rsid w:val="501A2699"/>
    <w:rsid w:val="504D144E"/>
    <w:rsid w:val="508F050A"/>
    <w:rsid w:val="50902684"/>
    <w:rsid w:val="50BA02B4"/>
    <w:rsid w:val="50C25AB5"/>
    <w:rsid w:val="50D6296C"/>
    <w:rsid w:val="50DF56DA"/>
    <w:rsid w:val="51693F36"/>
    <w:rsid w:val="516A1F01"/>
    <w:rsid w:val="51C0452D"/>
    <w:rsid w:val="51CA2205"/>
    <w:rsid w:val="51E05D03"/>
    <w:rsid w:val="52693681"/>
    <w:rsid w:val="527103FC"/>
    <w:rsid w:val="529A792F"/>
    <w:rsid w:val="52A4759B"/>
    <w:rsid w:val="52A51CE2"/>
    <w:rsid w:val="52B35629"/>
    <w:rsid w:val="52D32AFD"/>
    <w:rsid w:val="53481136"/>
    <w:rsid w:val="539F3171"/>
    <w:rsid w:val="53B8765E"/>
    <w:rsid w:val="542E5537"/>
    <w:rsid w:val="549D2B88"/>
    <w:rsid w:val="54C17E31"/>
    <w:rsid w:val="54C97D27"/>
    <w:rsid w:val="5580491C"/>
    <w:rsid w:val="559748D7"/>
    <w:rsid w:val="55992337"/>
    <w:rsid w:val="55D342C0"/>
    <w:rsid w:val="55E510BF"/>
    <w:rsid w:val="560066D7"/>
    <w:rsid w:val="561F1F50"/>
    <w:rsid w:val="56262AA1"/>
    <w:rsid w:val="562E2336"/>
    <w:rsid w:val="562F13A1"/>
    <w:rsid w:val="56381C23"/>
    <w:rsid w:val="565F1615"/>
    <w:rsid w:val="570B7257"/>
    <w:rsid w:val="57135117"/>
    <w:rsid w:val="57A06EFF"/>
    <w:rsid w:val="581F25C1"/>
    <w:rsid w:val="582A7B05"/>
    <w:rsid w:val="588747F1"/>
    <w:rsid w:val="58B77DDD"/>
    <w:rsid w:val="58C12619"/>
    <w:rsid w:val="58DF6CF4"/>
    <w:rsid w:val="5904132B"/>
    <w:rsid w:val="590579B7"/>
    <w:rsid w:val="59157827"/>
    <w:rsid w:val="592B3A1B"/>
    <w:rsid w:val="594400A5"/>
    <w:rsid w:val="59460EC7"/>
    <w:rsid w:val="5959747B"/>
    <w:rsid w:val="59610174"/>
    <w:rsid w:val="59961D8E"/>
    <w:rsid w:val="59BB5888"/>
    <w:rsid w:val="59C90F05"/>
    <w:rsid w:val="5A7C7A26"/>
    <w:rsid w:val="5A9410D3"/>
    <w:rsid w:val="5AB23A35"/>
    <w:rsid w:val="5AD87BF2"/>
    <w:rsid w:val="5AF413B3"/>
    <w:rsid w:val="5AF848DA"/>
    <w:rsid w:val="5B4F7AA0"/>
    <w:rsid w:val="5B9A2150"/>
    <w:rsid w:val="5C1734C7"/>
    <w:rsid w:val="5C2D4130"/>
    <w:rsid w:val="5C3914B8"/>
    <w:rsid w:val="5C6D68F5"/>
    <w:rsid w:val="5C85755D"/>
    <w:rsid w:val="5CA81224"/>
    <w:rsid w:val="5CEA4EE8"/>
    <w:rsid w:val="5D2827BE"/>
    <w:rsid w:val="5D5C72F2"/>
    <w:rsid w:val="5D7647EC"/>
    <w:rsid w:val="5DBA1FF8"/>
    <w:rsid w:val="5E1D3725"/>
    <w:rsid w:val="5E37668B"/>
    <w:rsid w:val="5E9C51FA"/>
    <w:rsid w:val="5EBA426F"/>
    <w:rsid w:val="5EC42D73"/>
    <w:rsid w:val="5ED54C52"/>
    <w:rsid w:val="5EE74938"/>
    <w:rsid w:val="5F1849E5"/>
    <w:rsid w:val="5F365D96"/>
    <w:rsid w:val="5F92436A"/>
    <w:rsid w:val="5FF26C90"/>
    <w:rsid w:val="60A6372F"/>
    <w:rsid w:val="60A94A40"/>
    <w:rsid w:val="60C346C6"/>
    <w:rsid w:val="60C73328"/>
    <w:rsid w:val="61141727"/>
    <w:rsid w:val="61614A30"/>
    <w:rsid w:val="61D41829"/>
    <w:rsid w:val="61EE2027"/>
    <w:rsid w:val="620D4350"/>
    <w:rsid w:val="622639C9"/>
    <w:rsid w:val="625E1FC6"/>
    <w:rsid w:val="627520DC"/>
    <w:rsid w:val="62B1554A"/>
    <w:rsid w:val="62EB763E"/>
    <w:rsid w:val="62F133AA"/>
    <w:rsid w:val="630048F7"/>
    <w:rsid w:val="63215DB8"/>
    <w:rsid w:val="632757F0"/>
    <w:rsid w:val="633E47F1"/>
    <w:rsid w:val="634525D5"/>
    <w:rsid w:val="63B77B8E"/>
    <w:rsid w:val="64204D90"/>
    <w:rsid w:val="64405216"/>
    <w:rsid w:val="645079A9"/>
    <w:rsid w:val="64BE130D"/>
    <w:rsid w:val="650417B4"/>
    <w:rsid w:val="650A4AEB"/>
    <w:rsid w:val="656E2D6F"/>
    <w:rsid w:val="65841C99"/>
    <w:rsid w:val="658F3B57"/>
    <w:rsid w:val="65ED2112"/>
    <w:rsid w:val="661105A8"/>
    <w:rsid w:val="66160A61"/>
    <w:rsid w:val="666E595E"/>
    <w:rsid w:val="667967BE"/>
    <w:rsid w:val="667C184F"/>
    <w:rsid w:val="668F7750"/>
    <w:rsid w:val="67224EF6"/>
    <w:rsid w:val="67907B2C"/>
    <w:rsid w:val="67FA2386"/>
    <w:rsid w:val="6849484D"/>
    <w:rsid w:val="6878082B"/>
    <w:rsid w:val="68F10571"/>
    <w:rsid w:val="692B0CE1"/>
    <w:rsid w:val="69F63A40"/>
    <w:rsid w:val="6A160FCF"/>
    <w:rsid w:val="6A296146"/>
    <w:rsid w:val="6A5F7FA8"/>
    <w:rsid w:val="6A601EDE"/>
    <w:rsid w:val="6A8F72B9"/>
    <w:rsid w:val="6AAB7F50"/>
    <w:rsid w:val="6AE05D7A"/>
    <w:rsid w:val="6AEC0A25"/>
    <w:rsid w:val="6AF20FCD"/>
    <w:rsid w:val="6B1D5CE2"/>
    <w:rsid w:val="6BB46349"/>
    <w:rsid w:val="6BDF5356"/>
    <w:rsid w:val="6C172D01"/>
    <w:rsid w:val="6C285D9C"/>
    <w:rsid w:val="6C310293"/>
    <w:rsid w:val="6C5D7FE5"/>
    <w:rsid w:val="6C9E5D5C"/>
    <w:rsid w:val="6CA561B5"/>
    <w:rsid w:val="6CC90D79"/>
    <w:rsid w:val="6D352759"/>
    <w:rsid w:val="6D407738"/>
    <w:rsid w:val="6D9956BA"/>
    <w:rsid w:val="6DD62D9A"/>
    <w:rsid w:val="6DD97399"/>
    <w:rsid w:val="6DEE0E0A"/>
    <w:rsid w:val="6DFC351E"/>
    <w:rsid w:val="6E1B6D1C"/>
    <w:rsid w:val="6E625129"/>
    <w:rsid w:val="6E91041D"/>
    <w:rsid w:val="6EA16987"/>
    <w:rsid w:val="6ECC76A7"/>
    <w:rsid w:val="6F484143"/>
    <w:rsid w:val="6F574271"/>
    <w:rsid w:val="6F626ABC"/>
    <w:rsid w:val="6F750F26"/>
    <w:rsid w:val="6F7B72E9"/>
    <w:rsid w:val="6F8445D4"/>
    <w:rsid w:val="6F8D5C1A"/>
    <w:rsid w:val="6F8E342E"/>
    <w:rsid w:val="6FA8133A"/>
    <w:rsid w:val="6FC4271A"/>
    <w:rsid w:val="6FD27139"/>
    <w:rsid w:val="6FF12841"/>
    <w:rsid w:val="70086198"/>
    <w:rsid w:val="703A6478"/>
    <w:rsid w:val="705D337D"/>
    <w:rsid w:val="70822EF1"/>
    <w:rsid w:val="70CD2B48"/>
    <w:rsid w:val="71126EE7"/>
    <w:rsid w:val="711F2F6E"/>
    <w:rsid w:val="71284CC5"/>
    <w:rsid w:val="715E5BE8"/>
    <w:rsid w:val="71654E27"/>
    <w:rsid w:val="719E73CE"/>
    <w:rsid w:val="71A02A13"/>
    <w:rsid w:val="71A67164"/>
    <w:rsid w:val="71F6500C"/>
    <w:rsid w:val="71FD0107"/>
    <w:rsid w:val="723713BB"/>
    <w:rsid w:val="72543BC8"/>
    <w:rsid w:val="72A97CC2"/>
    <w:rsid w:val="72AB1549"/>
    <w:rsid w:val="73006BF1"/>
    <w:rsid w:val="730442DE"/>
    <w:rsid w:val="737E24ED"/>
    <w:rsid w:val="73986296"/>
    <w:rsid w:val="73D72776"/>
    <w:rsid w:val="73E93BC3"/>
    <w:rsid w:val="74087220"/>
    <w:rsid w:val="740A2C53"/>
    <w:rsid w:val="742025C2"/>
    <w:rsid w:val="74203020"/>
    <w:rsid w:val="74F11F08"/>
    <w:rsid w:val="757C043C"/>
    <w:rsid w:val="76134845"/>
    <w:rsid w:val="76236D07"/>
    <w:rsid w:val="762E4008"/>
    <w:rsid w:val="763922F4"/>
    <w:rsid w:val="763B41A3"/>
    <w:rsid w:val="7691545E"/>
    <w:rsid w:val="77030301"/>
    <w:rsid w:val="774B075C"/>
    <w:rsid w:val="77896DD2"/>
    <w:rsid w:val="77FE6B23"/>
    <w:rsid w:val="782A7F03"/>
    <w:rsid w:val="7841648A"/>
    <w:rsid w:val="7862132D"/>
    <w:rsid w:val="788B6007"/>
    <w:rsid w:val="78966177"/>
    <w:rsid w:val="78B95140"/>
    <w:rsid w:val="79616DC4"/>
    <w:rsid w:val="79E820BE"/>
    <w:rsid w:val="7A062D22"/>
    <w:rsid w:val="7A3A404A"/>
    <w:rsid w:val="7A862644"/>
    <w:rsid w:val="7A894083"/>
    <w:rsid w:val="7AAC2154"/>
    <w:rsid w:val="7AEF2DA3"/>
    <w:rsid w:val="7B4128F5"/>
    <w:rsid w:val="7B5231E8"/>
    <w:rsid w:val="7B681A01"/>
    <w:rsid w:val="7B86410F"/>
    <w:rsid w:val="7BD3539E"/>
    <w:rsid w:val="7C47478B"/>
    <w:rsid w:val="7CB137EB"/>
    <w:rsid w:val="7CB42860"/>
    <w:rsid w:val="7CE63D38"/>
    <w:rsid w:val="7D021F92"/>
    <w:rsid w:val="7D9B726B"/>
    <w:rsid w:val="7DA513CC"/>
    <w:rsid w:val="7E0B4B18"/>
    <w:rsid w:val="7E235C52"/>
    <w:rsid w:val="7E6E2E4D"/>
    <w:rsid w:val="7EBE6F11"/>
    <w:rsid w:val="7EC40A46"/>
    <w:rsid w:val="7EE30DF1"/>
    <w:rsid w:val="7F523BE6"/>
    <w:rsid w:val="7F833D8D"/>
    <w:rsid w:val="7F83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3">
    <w:name w:val="heading 4"/>
    <w:basedOn w:val="1"/>
    <w:next w:val="1"/>
    <w:link w:val="191"/>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192"/>
    <w:qFormat/>
    <w:uiPriority w:val="0"/>
    <w:pPr>
      <w:keepNext/>
      <w:keepLines/>
      <w:spacing w:before="280" w:after="290" w:line="372" w:lineRule="auto"/>
      <w:outlineLvl w:val="4"/>
    </w:pPr>
    <w:rPr>
      <w:rFonts w:ascii="Calibri" w:hAnsi="Calibri"/>
      <w:b/>
      <w:sz w:val="28"/>
    </w:rPr>
  </w:style>
  <w:style w:type="paragraph" w:styleId="9">
    <w:name w:val="heading 6"/>
    <w:basedOn w:val="1"/>
    <w:next w:val="1"/>
    <w:link w:val="197"/>
    <w:qFormat/>
    <w:uiPriority w:val="0"/>
    <w:pPr>
      <w:keepNext/>
      <w:keepLines/>
      <w:spacing w:before="240" w:after="64" w:line="320" w:lineRule="auto"/>
      <w:outlineLvl w:val="5"/>
    </w:pPr>
    <w:rPr>
      <w:rFonts w:ascii="等线 Light" w:hAnsi="等线 Light" w:eastAsia="等线 Light"/>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toc 7"/>
    <w:basedOn w:val="1"/>
    <w:next w:val="1"/>
    <w:qFormat/>
    <w:uiPriority w:val="0"/>
    <w:pPr>
      <w:ind w:left="2520" w:leftChars="1200"/>
    </w:pPr>
  </w:style>
  <w:style w:type="paragraph" w:styleId="11">
    <w:name w:val="Document Map"/>
    <w:basedOn w:val="1"/>
    <w:link w:val="56"/>
    <w:qFormat/>
    <w:uiPriority w:val="0"/>
    <w:rPr>
      <w:rFonts w:ascii="宋体"/>
      <w:sz w:val="18"/>
      <w:szCs w:val="18"/>
    </w:rPr>
  </w:style>
  <w:style w:type="paragraph" w:styleId="12">
    <w:name w:val="annotation text"/>
    <w:basedOn w:val="1"/>
    <w:link w:val="57"/>
    <w:qFormat/>
    <w:uiPriority w:val="0"/>
    <w:pPr>
      <w:jc w:val="left"/>
    </w:pPr>
  </w:style>
  <w:style w:type="paragraph" w:styleId="13">
    <w:name w:val="Body Text Indent"/>
    <w:basedOn w:val="1"/>
    <w:link w:val="207"/>
    <w:qFormat/>
    <w:uiPriority w:val="0"/>
    <w:pPr>
      <w:spacing w:line="360" w:lineRule="auto"/>
      <w:ind w:firstLine="570"/>
    </w:pPr>
    <w:rPr>
      <w:sz w:val="24"/>
    </w:rPr>
  </w:style>
  <w:style w:type="paragraph" w:styleId="14">
    <w:name w:val="Block Text"/>
    <w:basedOn w:val="1"/>
    <w:qFormat/>
    <w:uiPriority w:val="0"/>
    <w:pPr>
      <w:spacing w:after="120"/>
      <w:ind w:left="1440" w:leftChars="700" w:right="1440" w:rightChars="700"/>
    </w:pPr>
    <w:rPr>
      <w:rFonts w:ascii="Calibri" w:hAnsi="Calibri"/>
      <w:szCs w:val="20"/>
    </w:rPr>
  </w:style>
  <w:style w:type="paragraph" w:styleId="15">
    <w:name w:val="HTML Address"/>
    <w:basedOn w:val="1"/>
    <w:link w:val="193"/>
    <w:qFormat/>
    <w:uiPriority w:val="0"/>
    <w:rPr>
      <w:rFonts w:ascii="Calibri" w:hAnsi="Calibri"/>
      <w:i/>
    </w:rPr>
  </w:style>
  <w:style w:type="paragraph" w:styleId="16">
    <w:name w:val="toc 5"/>
    <w:basedOn w:val="1"/>
    <w:next w:val="1"/>
    <w:qFormat/>
    <w:uiPriority w:val="0"/>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link w:val="58"/>
    <w:qFormat/>
    <w:uiPriority w:val="0"/>
    <w:rPr>
      <w:rFonts w:ascii="宋体" w:hAnsi="Courier New"/>
      <w:szCs w:val="20"/>
    </w:rPr>
  </w:style>
  <w:style w:type="paragraph" w:styleId="19">
    <w:name w:val="toc 8"/>
    <w:basedOn w:val="1"/>
    <w:next w:val="1"/>
    <w:qFormat/>
    <w:uiPriority w:val="0"/>
    <w:pPr>
      <w:ind w:left="2940" w:leftChars="1400"/>
    </w:pPr>
  </w:style>
  <w:style w:type="paragraph" w:styleId="20">
    <w:name w:val="Date"/>
    <w:basedOn w:val="1"/>
    <w:next w:val="1"/>
    <w:link w:val="59"/>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60"/>
    <w:qFormat/>
    <w:uiPriority w:val="0"/>
    <w:rPr>
      <w:sz w:val="18"/>
      <w:szCs w:val="18"/>
    </w:rPr>
  </w:style>
  <w:style w:type="paragraph" w:styleId="23">
    <w:name w:val="footer"/>
    <w:basedOn w:val="1"/>
    <w:link w:val="6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rPr>
      <w:szCs w:val="20"/>
    </w:rPr>
  </w:style>
  <w:style w:type="paragraph" w:styleId="33">
    <w:name w:val="Title"/>
    <w:basedOn w:val="1"/>
    <w:next w:val="1"/>
    <w:link w:val="63"/>
    <w:qFormat/>
    <w:uiPriority w:val="0"/>
    <w:pPr>
      <w:spacing w:before="240" w:after="60"/>
      <w:jc w:val="center"/>
      <w:outlineLvl w:val="0"/>
    </w:pPr>
    <w:rPr>
      <w:rFonts w:ascii="Cambria" w:hAnsi="Cambria"/>
      <w:b/>
      <w:bCs/>
      <w:sz w:val="32"/>
      <w:szCs w:val="32"/>
    </w:rPr>
  </w:style>
  <w:style w:type="paragraph" w:styleId="34">
    <w:name w:val="annotation subject"/>
    <w:basedOn w:val="12"/>
    <w:next w:val="12"/>
    <w:link w:val="64"/>
    <w:qFormat/>
    <w:uiPriority w:val="0"/>
    <w:rPr>
      <w:b/>
      <w:bCs/>
    </w:rPr>
  </w:style>
  <w:style w:type="paragraph" w:styleId="35">
    <w:name w:val="Body Text First Indent 2"/>
    <w:basedOn w:val="13"/>
    <w:link w:val="208"/>
    <w:qFormat/>
    <w:uiPriority w:val="0"/>
    <w:pPr>
      <w:spacing w:after="120" w:line="240" w:lineRule="auto"/>
      <w:ind w:left="420" w:leftChars="200" w:firstLine="420" w:firstLineChars="200"/>
    </w:pPr>
    <w:rPr>
      <w:sz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000000"/>
      <w:u w:val="none"/>
    </w:rPr>
  </w:style>
  <w:style w:type="character" w:styleId="42">
    <w:name w:val="Emphasis"/>
    <w:qFormat/>
    <w:uiPriority w:val="0"/>
  </w:style>
  <w:style w:type="character" w:styleId="43">
    <w:name w:val="HTML Definition"/>
    <w:qFormat/>
    <w:uiPriority w:val="0"/>
    <w:rPr>
      <w:i/>
      <w:iCs/>
    </w:rPr>
  </w:style>
  <w:style w:type="character" w:styleId="44">
    <w:name w:val="HTML Acronym"/>
    <w:qFormat/>
    <w:uiPriority w:val="0"/>
  </w:style>
  <w:style w:type="character" w:styleId="45">
    <w:name w:val="HTML Variable"/>
    <w:qFormat/>
    <w:uiPriority w:val="0"/>
  </w:style>
  <w:style w:type="character" w:styleId="46">
    <w:name w:val="Hyperlink"/>
    <w:qFormat/>
    <w:uiPriority w:val="99"/>
    <w:rPr>
      <w:color w:val="000000"/>
      <w:u w:val="none"/>
    </w:rPr>
  </w:style>
  <w:style w:type="character" w:styleId="47">
    <w:name w:val="HTML Code"/>
    <w:qFormat/>
    <w:uiPriority w:val="0"/>
    <w:rPr>
      <w:rFonts w:hint="default" w:ascii="Consolas" w:hAnsi="Consolas" w:eastAsia="Consolas" w:cs="Consolas"/>
      <w:color w:val="C7254E"/>
      <w:sz w:val="21"/>
      <w:szCs w:val="21"/>
      <w:shd w:val="clear" w:color="auto" w:fill="F9F2F4"/>
    </w:rPr>
  </w:style>
  <w:style w:type="character" w:styleId="48">
    <w:name w:val="annotation reference"/>
    <w:qFormat/>
    <w:uiPriority w:val="0"/>
    <w:rPr>
      <w:sz w:val="21"/>
      <w:szCs w:val="21"/>
    </w:rPr>
  </w:style>
  <w:style w:type="character" w:styleId="49">
    <w:name w:val="HTML Cite"/>
    <w:qFormat/>
    <w:uiPriority w:val="0"/>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ascii="Consolas" w:hAnsi="Consolas" w:eastAsia="Consolas" w:cs="Consolas"/>
      <w:sz w:val="21"/>
      <w:szCs w:val="21"/>
    </w:rPr>
  </w:style>
  <w:style w:type="character" w:customStyle="1" w:styleId="52">
    <w:name w:val="标题 1 字符"/>
    <w:link w:val="4"/>
    <w:qFormat/>
    <w:uiPriority w:val="0"/>
    <w:rPr>
      <w:rFonts w:ascii="宋体"/>
      <w:b/>
      <w:kern w:val="44"/>
      <w:sz w:val="32"/>
    </w:rPr>
  </w:style>
  <w:style w:type="character" w:customStyle="1" w:styleId="53">
    <w:name w:val="正文文本 字符1"/>
    <w:link w:val="2"/>
    <w:qFormat/>
    <w:uiPriority w:val="0"/>
    <w:rPr>
      <w:rFonts w:ascii="宋体" w:hAnsi="宋体"/>
      <w:kern w:val="2"/>
      <w:sz w:val="24"/>
      <w:szCs w:val="24"/>
    </w:rPr>
  </w:style>
  <w:style w:type="character" w:customStyle="1" w:styleId="54">
    <w:name w:val="标题 2 字符1"/>
    <w:link w:val="5"/>
    <w:qFormat/>
    <w:uiPriority w:val="0"/>
    <w:rPr>
      <w:rFonts w:ascii="Arial" w:hAnsi="Arial" w:eastAsia="黑体"/>
      <w:b/>
      <w:sz w:val="30"/>
    </w:rPr>
  </w:style>
  <w:style w:type="character" w:customStyle="1" w:styleId="55">
    <w:name w:val="标题 3 字符1"/>
    <w:link w:val="7"/>
    <w:qFormat/>
    <w:uiPriority w:val="0"/>
    <w:rPr>
      <w:rFonts w:ascii="宋体" w:hAnsi="宋体"/>
      <w:b/>
      <w:sz w:val="30"/>
      <w:szCs w:val="30"/>
    </w:rPr>
  </w:style>
  <w:style w:type="character" w:customStyle="1" w:styleId="56">
    <w:name w:val="文档结构图 字符"/>
    <w:link w:val="11"/>
    <w:qFormat/>
    <w:uiPriority w:val="0"/>
    <w:rPr>
      <w:rFonts w:ascii="宋体"/>
      <w:kern w:val="2"/>
      <w:sz w:val="18"/>
      <w:szCs w:val="18"/>
    </w:rPr>
  </w:style>
  <w:style w:type="character" w:customStyle="1" w:styleId="57">
    <w:name w:val="批注文字 字符"/>
    <w:link w:val="12"/>
    <w:qFormat/>
    <w:uiPriority w:val="0"/>
    <w:rPr>
      <w:kern w:val="2"/>
      <w:sz w:val="21"/>
      <w:szCs w:val="24"/>
    </w:rPr>
  </w:style>
  <w:style w:type="character" w:customStyle="1" w:styleId="58">
    <w:name w:val="纯文本 字符1"/>
    <w:link w:val="18"/>
    <w:qFormat/>
    <w:uiPriority w:val="0"/>
    <w:rPr>
      <w:rFonts w:ascii="宋体" w:hAnsi="Courier New"/>
      <w:kern w:val="2"/>
      <w:sz w:val="21"/>
    </w:rPr>
  </w:style>
  <w:style w:type="character" w:customStyle="1" w:styleId="59">
    <w:name w:val="日期 字符"/>
    <w:link w:val="20"/>
    <w:qFormat/>
    <w:uiPriority w:val="0"/>
    <w:rPr>
      <w:rFonts w:ascii="仿宋_GB2312" w:hAnsi="宋体" w:eastAsia="仿宋_GB2312"/>
      <w:color w:val="000000"/>
      <w:kern w:val="2"/>
      <w:sz w:val="24"/>
      <w:szCs w:val="24"/>
    </w:rPr>
  </w:style>
  <w:style w:type="character" w:customStyle="1" w:styleId="60">
    <w:name w:val="批注框文本 字符"/>
    <w:link w:val="22"/>
    <w:qFormat/>
    <w:uiPriority w:val="0"/>
    <w:rPr>
      <w:kern w:val="2"/>
      <w:sz w:val="18"/>
      <w:szCs w:val="18"/>
    </w:rPr>
  </w:style>
  <w:style w:type="character" w:customStyle="1" w:styleId="61">
    <w:name w:val="页脚 字符"/>
    <w:link w:val="23"/>
    <w:qFormat/>
    <w:uiPriority w:val="0"/>
    <w:rPr>
      <w:rFonts w:ascii="宋体"/>
      <w:sz w:val="18"/>
    </w:rPr>
  </w:style>
  <w:style w:type="character" w:customStyle="1" w:styleId="62">
    <w:name w:val="页眉 字符"/>
    <w:link w:val="24"/>
    <w:qFormat/>
    <w:uiPriority w:val="0"/>
    <w:rPr>
      <w:kern w:val="2"/>
      <w:sz w:val="18"/>
      <w:szCs w:val="18"/>
    </w:rPr>
  </w:style>
  <w:style w:type="character" w:customStyle="1" w:styleId="63">
    <w:name w:val="标题 字符1"/>
    <w:link w:val="33"/>
    <w:qFormat/>
    <w:uiPriority w:val="0"/>
    <w:rPr>
      <w:rFonts w:ascii="Cambria" w:hAnsi="Cambria" w:cs="Times New Roman"/>
      <w:b/>
      <w:bCs/>
      <w:kern w:val="2"/>
      <w:sz w:val="32"/>
      <w:szCs w:val="32"/>
    </w:rPr>
  </w:style>
  <w:style w:type="character" w:customStyle="1" w:styleId="64">
    <w:name w:val="批注主题 字符"/>
    <w:link w:val="34"/>
    <w:qFormat/>
    <w:uiPriority w:val="0"/>
    <w:rPr>
      <w:b/>
      <w:bCs/>
      <w:kern w:val="2"/>
      <w:sz w:val="21"/>
      <w:szCs w:val="24"/>
    </w:rPr>
  </w:style>
  <w:style w:type="character" w:customStyle="1" w:styleId="65">
    <w:name w:val="批注文字 Char1"/>
    <w:qFormat/>
    <w:uiPriority w:val="0"/>
    <w:rPr>
      <w:kern w:val="2"/>
      <w:sz w:val="21"/>
      <w:szCs w:val="24"/>
    </w:rPr>
  </w:style>
  <w:style w:type="character" w:customStyle="1" w:styleId="66">
    <w:name w:val="正文文本 字符"/>
    <w:qFormat/>
    <w:uiPriority w:val="0"/>
    <w:rPr>
      <w:rFonts w:ascii="宋体" w:hAnsi="宋体"/>
      <w:kern w:val="2"/>
      <w:sz w:val="24"/>
      <w:szCs w:val="24"/>
    </w:rPr>
  </w:style>
  <w:style w:type="character" w:customStyle="1" w:styleId="67">
    <w:name w:val="标题 2 字符"/>
    <w:qFormat/>
    <w:uiPriority w:val="0"/>
    <w:rPr>
      <w:rFonts w:ascii="Arial" w:hAnsi="Arial" w:eastAsia="黑体"/>
      <w:b/>
      <w:sz w:val="30"/>
    </w:rPr>
  </w:style>
  <w:style w:type="character" w:customStyle="1" w:styleId="68">
    <w:name w:val="正文缩进 Char1"/>
    <w:link w:val="69"/>
    <w:qFormat/>
    <w:uiPriority w:val="0"/>
    <w:rPr>
      <w:rFonts w:ascii="宋体"/>
      <w:sz w:val="24"/>
    </w:rPr>
  </w:style>
  <w:style w:type="paragraph" w:customStyle="1" w:styleId="69">
    <w:name w:val="正文缩进1"/>
    <w:basedOn w:val="1"/>
    <w:link w:val="68"/>
    <w:qFormat/>
    <w:uiPriority w:val="0"/>
    <w:pPr>
      <w:autoSpaceDE w:val="0"/>
      <w:autoSpaceDN w:val="0"/>
      <w:adjustRightInd w:val="0"/>
      <w:ind w:firstLine="420"/>
      <w:jc w:val="left"/>
    </w:pPr>
    <w:rPr>
      <w:rFonts w:ascii="宋体"/>
      <w:kern w:val="0"/>
      <w:sz w:val="24"/>
      <w:szCs w:val="20"/>
    </w:rPr>
  </w:style>
  <w:style w:type="character" w:customStyle="1" w:styleId="70">
    <w:name w:val="批注主题 Char1"/>
    <w:qFormat/>
    <w:uiPriority w:val="0"/>
    <w:rPr>
      <w:b/>
      <w:bCs/>
      <w:kern w:val="2"/>
      <w:sz w:val="21"/>
      <w:szCs w:val="24"/>
    </w:rPr>
  </w:style>
  <w:style w:type="character" w:customStyle="1" w:styleId="71">
    <w:name w:val="纯文本 Char1"/>
    <w:link w:val="72"/>
    <w:qFormat/>
    <w:uiPriority w:val="0"/>
    <w:rPr>
      <w:rFonts w:ascii="宋体" w:hAnsi="Courier New"/>
    </w:rPr>
  </w:style>
  <w:style w:type="paragraph" w:customStyle="1" w:styleId="72">
    <w:name w:val="纯文本1"/>
    <w:basedOn w:val="1"/>
    <w:link w:val="71"/>
    <w:qFormat/>
    <w:uiPriority w:val="0"/>
    <w:rPr>
      <w:rFonts w:ascii="宋体" w:hAnsi="Courier New"/>
      <w:kern w:val="0"/>
      <w:sz w:val="20"/>
      <w:szCs w:val="20"/>
    </w:rPr>
  </w:style>
  <w:style w:type="character" w:customStyle="1" w:styleId="73">
    <w:name w:val="标题 3 字符"/>
    <w:qFormat/>
    <w:uiPriority w:val="0"/>
    <w:rPr>
      <w:rFonts w:ascii="宋体"/>
      <w:b/>
      <w:sz w:val="24"/>
      <w:u w:val="single"/>
    </w:rPr>
  </w:style>
  <w:style w:type="character" w:customStyle="1" w:styleId="74">
    <w:name w:val="批注框文本 Char1"/>
    <w:qFormat/>
    <w:uiPriority w:val="0"/>
    <w:rPr>
      <w:kern w:val="2"/>
      <w:sz w:val="18"/>
      <w:szCs w:val="18"/>
    </w:rPr>
  </w:style>
  <w:style w:type="character" w:customStyle="1" w:styleId="75">
    <w:name w:val="纯文本 字符"/>
    <w:qFormat/>
    <w:uiPriority w:val="0"/>
    <w:rPr>
      <w:rFonts w:ascii="宋体" w:hAnsi="Courier New"/>
      <w:kern w:val="2"/>
      <w:sz w:val="21"/>
    </w:rPr>
  </w:style>
  <w:style w:type="character" w:customStyle="1" w:styleId="76">
    <w:name w:val="页眉 Char1"/>
    <w:qFormat/>
    <w:uiPriority w:val="0"/>
    <w:rPr>
      <w:kern w:val="2"/>
      <w:sz w:val="18"/>
      <w:szCs w:val="18"/>
    </w:rPr>
  </w:style>
  <w:style w:type="paragraph" w:customStyle="1" w:styleId="77">
    <w:name w:val="图"/>
    <w:basedOn w:val="1"/>
    <w:next w:val="1"/>
    <w:qFormat/>
    <w:uiPriority w:val="0"/>
    <w:pPr>
      <w:tabs>
        <w:tab w:val="left" w:pos="1755"/>
        <w:tab w:val="left" w:pos="3134"/>
        <w:tab w:val="left" w:pos="4834"/>
      </w:tabs>
      <w:adjustRightInd w:val="0"/>
      <w:spacing w:before="60" w:after="60" w:line="360" w:lineRule="atLeast"/>
      <w:ind w:left="4834" w:hanging="1290"/>
      <w:jc w:val="center"/>
      <w:textAlignment w:val="baseline"/>
    </w:pPr>
    <w:rPr>
      <w:rFonts w:eastAsia="黑体"/>
      <w:b/>
      <w:kern w:val="0"/>
      <w:sz w:val="24"/>
      <w:szCs w:val="20"/>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TOC 标题1"/>
    <w:basedOn w:val="4"/>
    <w:next w:val="1"/>
    <w:qFormat/>
    <w:uiPriority w:val="0"/>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paragraph" w:customStyle="1" w:styleId="80">
    <w:name w:val="title1"/>
    <w:basedOn w:val="1"/>
    <w:qFormat/>
    <w:uiPriority w:val="0"/>
    <w:pPr>
      <w:widowControl/>
      <w:jc w:val="left"/>
    </w:pPr>
    <w:rPr>
      <w:rFonts w:ascii="宋体" w:hAnsi="宋体" w:cs="宋体"/>
      <w:kern w:val="0"/>
      <w:sz w:val="24"/>
    </w:rPr>
  </w:style>
  <w:style w:type="paragraph" w:customStyle="1" w:styleId="81">
    <w:name w:val="Char"/>
    <w:basedOn w:val="1"/>
    <w:qFormat/>
    <w:uiPriority w:val="0"/>
    <w:pPr>
      <w:tabs>
        <w:tab w:val="left" w:pos="360"/>
      </w:tabs>
    </w:pPr>
    <w:rPr>
      <w:sz w:val="24"/>
    </w:rPr>
  </w:style>
  <w:style w:type="paragraph" w:styleId="82">
    <w:name w:val="List Paragraph"/>
    <w:basedOn w:val="1"/>
    <w:link w:val="210"/>
    <w:qFormat/>
    <w:uiPriority w:val="0"/>
    <w:pPr>
      <w:widowControl/>
      <w:ind w:firstLine="420" w:firstLineChars="200"/>
      <w:jc w:val="left"/>
    </w:pPr>
    <w:rPr>
      <w:kern w:val="0"/>
      <w:sz w:val="24"/>
    </w:rPr>
  </w:style>
  <w:style w:type="character" w:customStyle="1" w:styleId="83">
    <w:name w:val="next"/>
    <w:qFormat/>
    <w:uiPriority w:val="0"/>
    <w:rPr>
      <w:rFonts w:ascii="微软雅黑" w:hAnsi="微软雅黑" w:eastAsia="微软雅黑" w:cs="微软雅黑"/>
      <w:sz w:val="21"/>
      <w:szCs w:val="21"/>
    </w:rPr>
  </w:style>
  <w:style w:type="character" w:customStyle="1" w:styleId="84">
    <w:name w:val="next1"/>
    <w:qFormat/>
    <w:uiPriority w:val="0"/>
    <w:rPr>
      <w:color w:val="888888"/>
    </w:rPr>
  </w:style>
  <w:style w:type="character" w:customStyle="1" w:styleId="85">
    <w:name w:val="prev"/>
    <w:qFormat/>
    <w:uiPriority w:val="0"/>
    <w:rPr>
      <w:rFonts w:hint="eastAsia" w:ascii="微软雅黑" w:hAnsi="微软雅黑" w:eastAsia="微软雅黑" w:cs="微软雅黑"/>
      <w:sz w:val="21"/>
      <w:szCs w:val="21"/>
    </w:rPr>
  </w:style>
  <w:style w:type="character" w:customStyle="1" w:styleId="86">
    <w:name w:val="prev1"/>
    <w:qFormat/>
    <w:uiPriority w:val="0"/>
    <w:rPr>
      <w:color w:val="888888"/>
    </w:rPr>
  </w:style>
  <w:style w:type="character" w:customStyle="1" w:styleId="87">
    <w:name w:val="cfdate"/>
    <w:qFormat/>
    <w:uiPriority w:val="0"/>
    <w:rPr>
      <w:color w:val="333333"/>
      <w:sz w:val="18"/>
      <w:szCs w:val="18"/>
    </w:rPr>
  </w:style>
  <w:style w:type="character" w:customStyle="1" w:styleId="88">
    <w:name w:val="qxdate"/>
    <w:qFormat/>
    <w:uiPriority w:val="0"/>
    <w:rPr>
      <w:color w:val="333333"/>
      <w:sz w:val="18"/>
      <w:szCs w:val="18"/>
    </w:rPr>
  </w:style>
  <w:style w:type="character" w:customStyle="1" w:styleId="89">
    <w:name w:val="gjfg"/>
    <w:qFormat/>
    <w:uiPriority w:val="0"/>
  </w:style>
  <w:style w:type="character" w:customStyle="1" w:styleId="90">
    <w:name w:val="redfilefwwh"/>
    <w:qFormat/>
    <w:uiPriority w:val="0"/>
    <w:rPr>
      <w:color w:val="BA2636"/>
      <w:sz w:val="18"/>
      <w:szCs w:val="18"/>
    </w:rPr>
  </w:style>
  <w:style w:type="character" w:customStyle="1" w:styleId="91">
    <w:name w:val="displayarti"/>
    <w:qFormat/>
    <w:uiPriority w:val="0"/>
    <w:rPr>
      <w:color w:val="FFFFFF"/>
      <w:shd w:val="clear" w:color="auto" w:fill="A00000"/>
    </w:rPr>
  </w:style>
  <w:style w:type="character" w:customStyle="1" w:styleId="92">
    <w:name w:val="redfilenumber"/>
    <w:qFormat/>
    <w:uiPriority w:val="0"/>
    <w:rPr>
      <w:color w:val="BA2636"/>
      <w:sz w:val="18"/>
      <w:szCs w:val="18"/>
    </w:rPr>
  </w:style>
  <w:style w:type="character" w:customStyle="1" w:styleId="93">
    <w:name w:val="prev2"/>
    <w:qFormat/>
    <w:uiPriority w:val="0"/>
    <w:rPr>
      <w:rFonts w:hint="eastAsia" w:ascii="微软雅黑" w:hAnsi="微软雅黑" w:eastAsia="微软雅黑" w:cs="微软雅黑"/>
      <w:sz w:val="21"/>
      <w:szCs w:val="21"/>
    </w:rPr>
  </w:style>
  <w:style w:type="character" w:customStyle="1" w:styleId="94">
    <w:name w:val="prev3"/>
    <w:qFormat/>
    <w:uiPriority w:val="0"/>
    <w:rPr>
      <w:color w:val="888888"/>
    </w:rPr>
  </w:style>
  <w:style w:type="character" w:customStyle="1" w:styleId="95">
    <w:name w:val="next2"/>
    <w:qFormat/>
    <w:uiPriority w:val="0"/>
    <w:rPr>
      <w:color w:val="888888"/>
    </w:rPr>
  </w:style>
  <w:style w:type="character" w:customStyle="1" w:styleId="96">
    <w:name w:val="nth-of-type(8)"/>
    <w:qFormat/>
    <w:uiPriority w:val="0"/>
  </w:style>
  <w:style w:type="character" w:customStyle="1" w:styleId="97">
    <w:name w:val="lineshow"/>
    <w:qFormat/>
    <w:uiPriority w:val="0"/>
  </w:style>
  <w:style w:type="character" w:customStyle="1" w:styleId="98">
    <w:name w:val="lineshow1"/>
    <w:qFormat/>
    <w:uiPriority w:val="0"/>
  </w:style>
  <w:style w:type="character" w:customStyle="1" w:styleId="99">
    <w:name w:val="layui-laypage-curr"/>
    <w:qFormat/>
    <w:uiPriority w:val="0"/>
  </w:style>
  <w:style w:type="character" w:customStyle="1" w:styleId="100">
    <w:name w:val="nth-of-type(1)"/>
    <w:qFormat/>
    <w:uiPriority w:val="0"/>
  </w:style>
  <w:style w:type="character" w:customStyle="1" w:styleId="101">
    <w:name w:val="nth-of-type(1)1"/>
    <w:qFormat/>
    <w:uiPriority w:val="0"/>
  </w:style>
  <w:style w:type="character" w:customStyle="1" w:styleId="102">
    <w:name w:val="nth-of-type(1)2"/>
    <w:qFormat/>
    <w:uiPriority w:val="0"/>
  </w:style>
  <w:style w:type="character" w:customStyle="1" w:styleId="103">
    <w:name w:val="nth-of-type(1)3"/>
    <w:qFormat/>
    <w:uiPriority w:val="0"/>
  </w:style>
  <w:style w:type="character" w:customStyle="1" w:styleId="104">
    <w:name w:val="nth-of-type(1)4"/>
    <w:qFormat/>
    <w:uiPriority w:val="0"/>
  </w:style>
  <w:style w:type="character" w:customStyle="1" w:styleId="105">
    <w:name w:val="nth-of-type(1)5"/>
    <w:qFormat/>
    <w:uiPriority w:val="0"/>
  </w:style>
  <w:style w:type="character" w:customStyle="1" w:styleId="106">
    <w:name w:val="nth-of-type(1)6"/>
    <w:qFormat/>
    <w:uiPriority w:val="0"/>
  </w:style>
  <w:style w:type="character" w:customStyle="1" w:styleId="107">
    <w:name w:val="nth-of-type(1)7"/>
    <w:qFormat/>
    <w:uiPriority w:val="0"/>
    <w:rPr>
      <w:sz w:val="21"/>
      <w:szCs w:val="21"/>
    </w:rPr>
  </w:style>
  <w:style w:type="character" w:customStyle="1" w:styleId="108">
    <w:name w:val="nth-of-type(1)8"/>
    <w:qFormat/>
    <w:uiPriority w:val="0"/>
  </w:style>
  <w:style w:type="character" w:customStyle="1" w:styleId="109">
    <w:name w:val="nth-of-type(1)9"/>
    <w:qFormat/>
    <w:uiPriority w:val="0"/>
  </w:style>
  <w:style w:type="character" w:customStyle="1" w:styleId="110">
    <w:name w:val="nth-of-type(1)10"/>
    <w:qFormat/>
    <w:uiPriority w:val="0"/>
    <w:rPr>
      <w:rFonts w:ascii="SourceHanSansCN-Regular" w:hAnsi="SourceHanSansCN-Regular" w:eastAsia="SourceHanSansCN-Regular" w:cs="SourceHanSansCN-Regular"/>
      <w:color w:val="FB560A"/>
      <w:sz w:val="21"/>
      <w:szCs w:val="21"/>
    </w:rPr>
  </w:style>
  <w:style w:type="character" w:customStyle="1" w:styleId="111">
    <w:name w:val="nth-of-type(1)11"/>
    <w:qFormat/>
    <w:uiPriority w:val="0"/>
  </w:style>
  <w:style w:type="character" w:customStyle="1" w:styleId="112">
    <w:name w:val="nth-of-type(1)12"/>
    <w:qFormat/>
    <w:uiPriority w:val="0"/>
  </w:style>
  <w:style w:type="character" w:customStyle="1" w:styleId="113">
    <w:name w:val="nth-of-type(1)13"/>
    <w:qFormat/>
    <w:uiPriority w:val="0"/>
  </w:style>
  <w:style w:type="character" w:customStyle="1" w:styleId="114">
    <w:name w:val="nth-of-type(1)14"/>
    <w:qFormat/>
    <w:uiPriority w:val="0"/>
  </w:style>
  <w:style w:type="character" w:customStyle="1" w:styleId="115">
    <w:name w:val="nth-of-type(1)15"/>
    <w:qFormat/>
    <w:uiPriority w:val="0"/>
  </w:style>
  <w:style w:type="character" w:customStyle="1" w:styleId="116">
    <w:name w:val="nth-of-type(1)16"/>
    <w:qFormat/>
    <w:uiPriority w:val="0"/>
  </w:style>
  <w:style w:type="character" w:customStyle="1" w:styleId="117">
    <w:name w:val="nth-of-type(1)17"/>
    <w:qFormat/>
    <w:uiPriority w:val="0"/>
  </w:style>
  <w:style w:type="character" w:customStyle="1" w:styleId="118">
    <w:name w:val="nth-of-type(1)18"/>
    <w:qFormat/>
    <w:uiPriority w:val="0"/>
  </w:style>
  <w:style w:type="character" w:customStyle="1" w:styleId="119">
    <w:name w:val="nth-of-type(5)"/>
    <w:qFormat/>
    <w:uiPriority w:val="0"/>
  </w:style>
  <w:style w:type="character" w:customStyle="1" w:styleId="120">
    <w:name w:val="nth-of-type(5)1"/>
    <w:qFormat/>
    <w:uiPriority w:val="0"/>
    <w:rPr>
      <w:sz w:val="21"/>
      <w:szCs w:val="21"/>
    </w:rPr>
  </w:style>
  <w:style w:type="character" w:customStyle="1" w:styleId="121">
    <w:name w:val="nth-of-type(5)2"/>
    <w:qFormat/>
    <w:uiPriority w:val="0"/>
  </w:style>
  <w:style w:type="character" w:customStyle="1" w:styleId="122">
    <w:name w:val="nth-of-type(5)3"/>
    <w:qFormat/>
    <w:uiPriority w:val="0"/>
  </w:style>
  <w:style w:type="character" w:customStyle="1" w:styleId="123">
    <w:name w:val="nth-of-type(5)4"/>
    <w:qFormat/>
    <w:uiPriority w:val="0"/>
  </w:style>
  <w:style w:type="character" w:customStyle="1" w:styleId="124">
    <w:name w:val="nth-of-type(5)5"/>
    <w:qFormat/>
    <w:uiPriority w:val="0"/>
  </w:style>
  <w:style w:type="character" w:customStyle="1" w:styleId="125">
    <w:name w:val="nth-of-type(5)6"/>
    <w:qFormat/>
    <w:uiPriority w:val="0"/>
  </w:style>
  <w:style w:type="character" w:customStyle="1" w:styleId="126">
    <w:name w:val="nth-of-type(2)"/>
    <w:qFormat/>
    <w:uiPriority w:val="0"/>
  </w:style>
  <w:style w:type="character" w:customStyle="1" w:styleId="127">
    <w:name w:val="nth-of-type(2)1"/>
    <w:qFormat/>
    <w:uiPriority w:val="0"/>
  </w:style>
  <w:style w:type="character" w:customStyle="1" w:styleId="128">
    <w:name w:val="nth-of-type(2)2"/>
    <w:qFormat/>
    <w:uiPriority w:val="0"/>
  </w:style>
  <w:style w:type="character" w:customStyle="1" w:styleId="129">
    <w:name w:val="nth-of-type(2)3"/>
    <w:qFormat/>
    <w:uiPriority w:val="0"/>
  </w:style>
  <w:style w:type="character" w:customStyle="1" w:styleId="130">
    <w:name w:val="nth-of-type(2)4"/>
    <w:qFormat/>
    <w:uiPriority w:val="0"/>
  </w:style>
  <w:style w:type="character" w:customStyle="1" w:styleId="131">
    <w:name w:val="nth-of-type(2)5"/>
    <w:qFormat/>
    <w:uiPriority w:val="0"/>
    <w:rPr>
      <w:sz w:val="21"/>
      <w:szCs w:val="21"/>
    </w:rPr>
  </w:style>
  <w:style w:type="character" w:customStyle="1" w:styleId="132">
    <w:name w:val="nth-of-type(2)6"/>
    <w:qFormat/>
    <w:uiPriority w:val="0"/>
  </w:style>
  <w:style w:type="character" w:customStyle="1" w:styleId="133">
    <w:name w:val="nth-of-type(2)7"/>
    <w:qFormat/>
    <w:uiPriority w:val="0"/>
  </w:style>
  <w:style w:type="character" w:customStyle="1" w:styleId="134">
    <w:name w:val="nth-of-type(2)8"/>
    <w:qFormat/>
    <w:uiPriority w:val="0"/>
  </w:style>
  <w:style w:type="character" w:customStyle="1" w:styleId="135">
    <w:name w:val="nth-of-type(2)9"/>
    <w:qFormat/>
    <w:uiPriority w:val="0"/>
  </w:style>
  <w:style w:type="character" w:customStyle="1" w:styleId="136">
    <w:name w:val="nth-of-type(2)10"/>
    <w:qFormat/>
    <w:uiPriority w:val="0"/>
  </w:style>
  <w:style w:type="character" w:customStyle="1" w:styleId="137">
    <w:name w:val="nth-of-type(2)11"/>
    <w:qFormat/>
    <w:uiPriority w:val="0"/>
  </w:style>
  <w:style w:type="character" w:customStyle="1" w:styleId="138">
    <w:name w:val="nth-of-type(2)12"/>
    <w:qFormat/>
    <w:uiPriority w:val="0"/>
  </w:style>
  <w:style w:type="character" w:customStyle="1" w:styleId="139">
    <w:name w:val="nth-of-type(2)13"/>
    <w:qFormat/>
    <w:uiPriority w:val="0"/>
  </w:style>
  <w:style w:type="character" w:customStyle="1" w:styleId="140">
    <w:name w:val="nth-of-type(2)14"/>
    <w:qFormat/>
    <w:uiPriority w:val="0"/>
  </w:style>
  <w:style w:type="character" w:customStyle="1" w:styleId="141">
    <w:name w:val="nth-of-type(3)"/>
    <w:qFormat/>
    <w:uiPriority w:val="0"/>
  </w:style>
  <w:style w:type="character" w:customStyle="1" w:styleId="142">
    <w:name w:val="nth-of-type(3)1"/>
    <w:qFormat/>
    <w:uiPriority w:val="0"/>
    <w:rPr>
      <w:sz w:val="21"/>
      <w:szCs w:val="21"/>
    </w:rPr>
  </w:style>
  <w:style w:type="character" w:customStyle="1" w:styleId="143">
    <w:name w:val="nth-of-type(3)2"/>
    <w:qFormat/>
    <w:uiPriority w:val="0"/>
  </w:style>
  <w:style w:type="character" w:customStyle="1" w:styleId="144">
    <w:name w:val="nth-of-type(3)3"/>
    <w:qFormat/>
    <w:uiPriority w:val="0"/>
  </w:style>
  <w:style w:type="character" w:customStyle="1" w:styleId="145">
    <w:name w:val="nth-of-type(3)4"/>
    <w:qFormat/>
    <w:uiPriority w:val="0"/>
  </w:style>
  <w:style w:type="character" w:customStyle="1" w:styleId="146">
    <w:name w:val="nth-of-type(3)5"/>
    <w:qFormat/>
    <w:uiPriority w:val="0"/>
  </w:style>
  <w:style w:type="character" w:customStyle="1" w:styleId="147">
    <w:name w:val="nth-of-type(3)6"/>
    <w:qFormat/>
    <w:uiPriority w:val="0"/>
  </w:style>
  <w:style w:type="character" w:customStyle="1" w:styleId="148">
    <w:name w:val="nth-of-type(3)7"/>
    <w:qFormat/>
    <w:uiPriority w:val="0"/>
  </w:style>
  <w:style w:type="character" w:customStyle="1" w:styleId="149">
    <w:name w:val="nth-of-type(4)"/>
    <w:qFormat/>
    <w:uiPriority w:val="0"/>
  </w:style>
  <w:style w:type="character" w:customStyle="1" w:styleId="150">
    <w:name w:val="nth-of-type(4)1"/>
    <w:qFormat/>
    <w:uiPriority w:val="0"/>
    <w:rPr>
      <w:sz w:val="21"/>
      <w:szCs w:val="21"/>
    </w:rPr>
  </w:style>
  <w:style w:type="character" w:customStyle="1" w:styleId="151">
    <w:name w:val="nth-of-type(4)2"/>
    <w:qFormat/>
    <w:uiPriority w:val="0"/>
  </w:style>
  <w:style w:type="character" w:customStyle="1" w:styleId="152">
    <w:name w:val="nth-of-type(4)3"/>
    <w:qFormat/>
    <w:uiPriority w:val="0"/>
  </w:style>
  <w:style w:type="character" w:customStyle="1" w:styleId="153">
    <w:name w:val="nth-of-type(4)4"/>
    <w:qFormat/>
    <w:uiPriority w:val="0"/>
  </w:style>
  <w:style w:type="character" w:customStyle="1" w:styleId="154">
    <w:name w:val="nth-of-type(4)5"/>
    <w:qFormat/>
    <w:uiPriority w:val="0"/>
  </w:style>
  <w:style w:type="character" w:customStyle="1" w:styleId="155">
    <w:name w:val="nth-of-type(4)6"/>
    <w:qFormat/>
    <w:uiPriority w:val="0"/>
  </w:style>
  <w:style w:type="character" w:customStyle="1" w:styleId="156">
    <w:name w:val="nth-of-type(4)7"/>
    <w:qFormat/>
    <w:uiPriority w:val="0"/>
  </w:style>
  <w:style w:type="character" w:customStyle="1" w:styleId="157">
    <w:name w:val="nth-of-type(4)8"/>
    <w:qFormat/>
    <w:uiPriority w:val="0"/>
  </w:style>
  <w:style w:type="character" w:customStyle="1" w:styleId="158">
    <w:name w:val="nth-of-type(6)"/>
    <w:qFormat/>
    <w:uiPriority w:val="0"/>
  </w:style>
  <w:style w:type="character" w:customStyle="1" w:styleId="159">
    <w:name w:val="nth-of-type(6)1"/>
    <w:qFormat/>
    <w:uiPriority w:val="0"/>
  </w:style>
  <w:style w:type="character" w:customStyle="1" w:styleId="160">
    <w:name w:val="nth-of-type(6)2"/>
    <w:qFormat/>
    <w:uiPriority w:val="0"/>
  </w:style>
  <w:style w:type="character" w:customStyle="1" w:styleId="161">
    <w:name w:val="nth-of-type(6)3"/>
    <w:qFormat/>
    <w:uiPriority w:val="0"/>
  </w:style>
  <w:style w:type="character" w:customStyle="1" w:styleId="162">
    <w:name w:val="nth-of-type(6)4"/>
    <w:qFormat/>
    <w:uiPriority w:val="0"/>
  </w:style>
  <w:style w:type="character" w:customStyle="1" w:styleId="163">
    <w:name w:val="nth-of-type(6)5"/>
    <w:qFormat/>
    <w:uiPriority w:val="0"/>
    <w:rPr>
      <w:color w:val="0082DF"/>
    </w:rPr>
  </w:style>
  <w:style w:type="character" w:customStyle="1" w:styleId="164">
    <w:name w:val="nth-of-type(7)"/>
    <w:qFormat/>
    <w:uiPriority w:val="0"/>
  </w:style>
  <w:style w:type="character" w:customStyle="1" w:styleId="165">
    <w:name w:val="nth-of-type(7)1"/>
    <w:qFormat/>
    <w:uiPriority w:val="0"/>
  </w:style>
  <w:style w:type="character" w:customStyle="1" w:styleId="166">
    <w:name w:val="nth-of-type(7)2"/>
    <w:qFormat/>
    <w:uiPriority w:val="0"/>
  </w:style>
  <w:style w:type="character" w:customStyle="1" w:styleId="167">
    <w:name w:val="nth-of-type(9)"/>
    <w:qFormat/>
    <w:uiPriority w:val="0"/>
  </w:style>
  <w:style w:type="character" w:customStyle="1" w:styleId="168">
    <w:name w:val="nth-of-type(10)"/>
    <w:qFormat/>
    <w:uiPriority w:val="0"/>
  </w:style>
  <w:style w:type="character" w:customStyle="1" w:styleId="169">
    <w:name w:val="hover25"/>
    <w:qFormat/>
    <w:uiPriority w:val="0"/>
  </w:style>
  <w:style w:type="character" w:customStyle="1" w:styleId="170">
    <w:name w:val="hover26"/>
    <w:qFormat/>
    <w:uiPriority w:val="0"/>
    <w:rPr>
      <w:color w:val="167AE0"/>
    </w:rPr>
  </w:style>
  <w:style w:type="character" w:customStyle="1" w:styleId="171">
    <w:name w:val="nth-child(3)"/>
    <w:qFormat/>
    <w:uiPriority w:val="0"/>
  </w:style>
  <w:style w:type="character" w:customStyle="1" w:styleId="172">
    <w:name w:val="titleshow"/>
    <w:qFormat/>
    <w:uiPriority w:val="0"/>
    <w:rPr>
      <w:color w:val="3E464C"/>
    </w:rPr>
  </w:style>
  <w:style w:type="character" w:customStyle="1" w:styleId="173">
    <w:name w:val="nth-child(1)"/>
    <w:qFormat/>
    <w:uiPriority w:val="0"/>
  </w:style>
  <w:style w:type="character" w:customStyle="1" w:styleId="174">
    <w:name w:val="nth-child(2)"/>
    <w:qFormat/>
    <w:uiPriority w:val="0"/>
  </w:style>
  <w:style w:type="character" w:customStyle="1" w:styleId="175">
    <w:name w:val="last-child1"/>
    <w:qFormat/>
    <w:uiPriority w:val="0"/>
    <w:rPr>
      <w:color w:val="FFFFFF"/>
    </w:rPr>
  </w:style>
  <w:style w:type="character" w:customStyle="1" w:styleId="176">
    <w:name w:val="last-child2"/>
    <w:qFormat/>
    <w:uiPriority w:val="0"/>
  </w:style>
  <w:style w:type="character" w:customStyle="1" w:styleId="177">
    <w:name w:val="last-child3"/>
    <w:qFormat/>
    <w:uiPriority w:val="0"/>
  </w:style>
  <w:style w:type="character" w:customStyle="1" w:styleId="178">
    <w:name w:val="first-child"/>
    <w:qFormat/>
    <w:uiPriority w:val="0"/>
  </w:style>
  <w:style w:type="character" w:customStyle="1" w:styleId="179">
    <w:name w:val="first-child1"/>
    <w:qFormat/>
    <w:uiPriority w:val="0"/>
  </w:style>
  <w:style w:type="character" w:customStyle="1" w:styleId="180">
    <w:name w:val="first-child2"/>
    <w:qFormat/>
    <w:uiPriority w:val="0"/>
  </w:style>
  <w:style w:type="character" w:customStyle="1" w:styleId="181">
    <w:name w:val="first-child3"/>
    <w:qFormat/>
    <w:uiPriority w:val="0"/>
  </w:style>
  <w:style w:type="character" w:customStyle="1" w:styleId="182">
    <w:name w:val="before2"/>
    <w:qFormat/>
    <w:uiPriority w:val="0"/>
    <w:rPr>
      <w:shd w:val="clear" w:color="auto" w:fill="C20E0C"/>
    </w:rPr>
  </w:style>
  <w:style w:type="character" w:customStyle="1" w:styleId="183">
    <w:name w:val="layui-this4"/>
    <w:qFormat/>
    <w:uiPriority w:val="0"/>
    <w:rPr>
      <w:bdr w:val="single" w:color="EEEEEE" w:sz="6" w:space="0"/>
      <w:shd w:val="clear" w:color="auto" w:fill="FFFFFF"/>
    </w:rPr>
  </w:style>
  <w:style w:type="character" w:customStyle="1" w:styleId="184">
    <w:name w:val="titles"/>
    <w:qFormat/>
    <w:uiPriority w:val="0"/>
    <w:rPr>
      <w:b/>
      <w:bCs/>
      <w:color w:val="FFFFFF"/>
      <w:sz w:val="30"/>
      <w:szCs w:val="30"/>
    </w:rPr>
  </w:style>
  <w:style w:type="character" w:customStyle="1" w:styleId="185">
    <w:name w:val="yjs"/>
    <w:qFormat/>
    <w:uiPriority w:val="0"/>
    <w:rPr>
      <w:color w:val="14A900"/>
    </w:rPr>
  </w:style>
  <w:style w:type="character" w:customStyle="1" w:styleId="186">
    <w:name w:val="yjs1"/>
    <w:qFormat/>
    <w:uiPriority w:val="0"/>
    <w:rPr>
      <w:color w:val="14A900"/>
    </w:rPr>
  </w:style>
  <w:style w:type="character" w:customStyle="1" w:styleId="187">
    <w:name w:val="time"/>
    <w:qFormat/>
    <w:uiPriority w:val="0"/>
  </w:style>
  <w:style w:type="character" w:customStyle="1" w:styleId="188">
    <w:name w:val="jxz"/>
    <w:qFormat/>
    <w:uiPriority w:val="0"/>
    <w:rPr>
      <w:color w:val="FF5400"/>
    </w:rPr>
  </w:style>
  <w:style w:type="character" w:customStyle="1" w:styleId="189">
    <w:name w:val="jxz1"/>
    <w:qFormat/>
    <w:uiPriority w:val="0"/>
    <w:rPr>
      <w:color w:val="FF5400"/>
    </w:rPr>
  </w:style>
  <w:style w:type="character" w:customStyle="1" w:styleId="190">
    <w:name w:val="标题 字符"/>
    <w:qFormat/>
    <w:uiPriority w:val="0"/>
    <w:rPr>
      <w:rFonts w:ascii="Cambria" w:hAnsi="Cambria"/>
      <w:b/>
      <w:bCs/>
      <w:kern w:val="2"/>
      <w:sz w:val="32"/>
      <w:szCs w:val="32"/>
    </w:rPr>
  </w:style>
  <w:style w:type="character" w:customStyle="1" w:styleId="191">
    <w:name w:val="标题 4 字符"/>
    <w:link w:val="3"/>
    <w:qFormat/>
    <w:uiPriority w:val="9"/>
    <w:rPr>
      <w:rFonts w:ascii="Arial" w:hAnsi="Arial" w:eastAsia="黑体"/>
      <w:b/>
      <w:kern w:val="2"/>
      <w:sz w:val="28"/>
      <w:szCs w:val="24"/>
    </w:rPr>
  </w:style>
  <w:style w:type="character" w:customStyle="1" w:styleId="192">
    <w:name w:val="标题 5 字符"/>
    <w:link w:val="8"/>
    <w:qFormat/>
    <w:uiPriority w:val="0"/>
    <w:rPr>
      <w:rFonts w:ascii="Calibri" w:hAnsi="Calibri"/>
      <w:b/>
      <w:kern w:val="2"/>
      <w:sz w:val="28"/>
      <w:szCs w:val="24"/>
    </w:rPr>
  </w:style>
  <w:style w:type="character" w:customStyle="1" w:styleId="193">
    <w:name w:val="HTML 地址 字符"/>
    <w:link w:val="15"/>
    <w:qFormat/>
    <w:uiPriority w:val="0"/>
    <w:rPr>
      <w:rFonts w:ascii="Calibri" w:hAnsi="Calibri"/>
      <w:i/>
      <w:kern w:val="2"/>
      <w:sz w:val="21"/>
      <w:szCs w:val="24"/>
    </w:rPr>
  </w:style>
  <w:style w:type="character" w:customStyle="1" w:styleId="194">
    <w:name w:val="font11"/>
    <w:qFormat/>
    <w:uiPriority w:val="0"/>
    <w:rPr>
      <w:rFonts w:hint="eastAsia" w:ascii="宋体" w:hAnsi="宋体" w:eastAsia="宋体" w:cs="宋体"/>
      <w:b/>
      <w:color w:val="000000"/>
      <w:sz w:val="24"/>
      <w:szCs w:val="24"/>
      <w:u w:val="none"/>
    </w:rPr>
  </w:style>
  <w:style w:type="character" w:customStyle="1" w:styleId="195">
    <w:name w:val="font01"/>
    <w:qFormat/>
    <w:uiPriority w:val="0"/>
    <w:rPr>
      <w:rFonts w:hint="eastAsia" w:ascii="宋体" w:hAnsi="宋体" w:eastAsia="宋体" w:cs="宋体"/>
      <w:b/>
      <w:color w:val="000000"/>
      <w:sz w:val="24"/>
      <w:szCs w:val="24"/>
      <w:u w:val="none"/>
    </w:rPr>
  </w:style>
  <w:style w:type="character" w:customStyle="1" w:styleId="196">
    <w:name w:val="NormalCharacter"/>
    <w:qFormat/>
    <w:uiPriority w:val="0"/>
    <w:rPr>
      <w:rFonts w:ascii="Times New Roman" w:hAnsi="Times New Roman" w:eastAsia="宋体" w:cs="Times New Roman"/>
      <w:kern w:val="2"/>
      <w:sz w:val="21"/>
      <w:szCs w:val="24"/>
      <w:lang w:val="en-US" w:eastAsia="zh-CN" w:bidi="ar-SA"/>
    </w:rPr>
  </w:style>
  <w:style w:type="character" w:customStyle="1" w:styleId="197">
    <w:name w:val="标题 6 字符"/>
    <w:link w:val="9"/>
    <w:qFormat/>
    <w:uiPriority w:val="0"/>
    <w:rPr>
      <w:rFonts w:ascii="等线 Light" w:hAnsi="等线 Light" w:eastAsia="等线 Light" w:cs="Times New Roman"/>
      <w:b/>
      <w:bCs/>
      <w:kern w:val="2"/>
      <w:sz w:val="24"/>
      <w:szCs w:val="24"/>
    </w:rPr>
  </w:style>
  <w:style w:type="character" w:customStyle="1" w:styleId="198">
    <w:name w:val="noticegetfile-getbidfileaddress"/>
    <w:basedOn w:val="38"/>
    <w:qFormat/>
    <w:uiPriority w:val="0"/>
  </w:style>
  <w:style w:type="character" w:customStyle="1" w:styleId="199">
    <w:name w:val="noticepurchasetime-noticepurchasetime"/>
    <w:basedOn w:val="38"/>
    <w:qFormat/>
    <w:uiPriority w:val="0"/>
  </w:style>
  <w:style w:type="paragraph" w:customStyle="1" w:styleId="200">
    <w:name w:val="u-cont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201">
    <w:name w:val="u-content1"/>
    <w:basedOn w:val="38"/>
    <w:qFormat/>
    <w:uiPriority w:val="0"/>
  </w:style>
  <w:style w:type="character" w:customStyle="1" w:styleId="202">
    <w:name w:val="noticebidtime-bidaddress"/>
    <w:basedOn w:val="38"/>
    <w:qFormat/>
    <w:uiPriority w:val="0"/>
  </w:style>
  <w:style w:type="character" w:customStyle="1" w:styleId="203">
    <w:name w:val="标题 3 Char"/>
    <w:qFormat/>
    <w:uiPriority w:val="0"/>
    <w:rPr>
      <w:rFonts w:ascii="宋体" w:hAnsi="宋体"/>
      <w:b/>
      <w:sz w:val="30"/>
      <w:szCs w:val="30"/>
    </w:rPr>
  </w:style>
  <w:style w:type="character" w:customStyle="1" w:styleId="204">
    <w:name w:val="纯文本 Char"/>
    <w:qFormat/>
    <w:uiPriority w:val="0"/>
    <w:rPr>
      <w:rFonts w:ascii="宋体" w:hAnsi="Courier New"/>
      <w:kern w:val="2"/>
      <w:sz w:val="21"/>
    </w:rPr>
  </w:style>
  <w:style w:type="character" w:customStyle="1" w:styleId="205">
    <w:name w:val="页脚 Char"/>
    <w:qFormat/>
    <w:uiPriority w:val="0"/>
    <w:rPr>
      <w:rFonts w:ascii="宋体"/>
      <w:sz w:val="18"/>
    </w:rPr>
  </w:style>
  <w:style w:type="character" w:customStyle="1" w:styleId="206">
    <w:name w:val="标题 2 Char"/>
    <w:qFormat/>
    <w:uiPriority w:val="0"/>
    <w:rPr>
      <w:rFonts w:ascii="Arial" w:hAnsi="Arial" w:eastAsia="黑体"/>
      <w:b/>
      <w:sz w:val="30"/>
    </w:rPr>
  </w:style>
  <w:style w:type="character" w:customStyle="1" w:styleId="207">
    <w:name w:val="正文文本缩进 字符"/>
    <w:link w:val="13"/>
    <w:qFormat/>
    <w:uiPriority w:val="0"/>
    <w:rPr>
      <w:kern w:val="2"/>
      <w:sz w:val="24"/>
      <w:szCs w:val="24"/>
    </w:rPr>
  </w:style>
  <w:style w:type="character" w:customStyle="1" w:styleId="208">
    <w:name w:val="正文文本首行缩进 2 字符"/>
    <w:link w:val="35"/>
    <w:qFormat/>
    <w:uiPriority w:val="0"/>
    <w:rPr>
      <w:kern w:val="2"/>
      <w:sz w:val="21"/>
      <w:szCs w:val="24"/>
    </w:rPr>
  </w:style>
  <w:style w:type="paragraph" w:customStyle="1" w:styleId="209">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210">
    <w:name w:val="列表段落 字符"/>
    <w:link w:val="82"/>
    <w:qFormat/>
    <w:uiPriority w:val="0"/>
    <w:rPr>
      <w:sz w:val="24"/>
      <w:szCs w:val="24"/>
    </w:rPr>
  </w:style>
  <w:style w:type="paragraph" w:customStyle="1" w:styleId="211">
    <w:name w:val="正式正文"/>
    <w:basedOn w:val="6"/>
    <w:qFormat/>
    <w:uiPriority w:val="0"/>
    <w:pPr>
      <w:autoSpaceDE/>
      <w:autoSpaceDN/>
      <w:adjustRightInd/>
      <w:spacing w:line="360" w:lineRule="auto"/>
      <w:ind w:firstLine="480"/>
      <w:jc w:val="both"/>
    </w:pPr>
    <w:rPr>
      <w:rFonts w:ascii="Times New Roman"/>
      <w:kern w:val="2"/>
    </w:rPr>
  </w:style>
  <w:style w:type="character" w:customStyle="1" w:styleId="212">
    <w:name w:val="正文文本 Char"/>
    <w:qFormat/>
    <w:uiPriority w:val="0"/>
    <w:rPr>
      <w:rFonts w:ascii="宋体" w:hAnsi="宋体"/>
      <w:kern w:val="2"/>
      <w:sz w:val="24"/>
      <w:szCs w:val="24"/>
    </w:rPr>
  </w:style>
  <w:style w:type="paragraph" w:customStyle="1" w:styleId="213">
    <w:name w:val="样式2"/>
    <w:basedOn w:val="1"/>
    <w:link w:val="214"/>
    <w:qFormat/>
    <w:uiPriority w:val="0"/>
    <w:pPr>
      <w:spacing w:line="300" w:lineRule="auto"/>
      <w:jc w:val="center"/>
      <w:outlineLvl w:val="0"/>
    </w:pPr>
    <w:rPr>
      <w:rFonts w:eastAsia="Arial Unicode MS"/>
      <w:b/>
      <w:sz w:val="24"/>
    </w:rPr>
  </w:style>
  <w:style w:type="character" w:customStyle="1" w:styleId="214">
    <w:name w:val="样式2 Char Char"/>
    <w:link w:val="213"/>
    <w:qFormat/>
    <w:uiPriority w:val="0"/>
    <w:rPr>
      <w:rFonts w:eastAsia="Arial Unicode MS"/>
      <w:b/>
      <w:kern w:val="2"/>
      <w:sz w:val="24"/>
      <w:szCs w:val="24"/>
    </w:rPr>
  </w:style>
  <w:style w:type="paragraph" w:customStyle="1" w:styleId="215">
    <w:name w:val="纯文本2"/>
    <w:basedOn w:val="1"/>
    <w:qFormat/>
    <w:uiPriority w:val="0"/>
    <w:pPr>
      <w:adjustRightInd w:val="0"/>
      <w:textAlignment w:val="baseline"/>
    </w:pPr>
    <w:rPr>
      <w:rFonts w:ascii="宋体" w:hAnsi="Courier New" w:eastAsia="楷体_GB2312"/>
      <w:sz w:val="28"/>
      <w:szCs w:val="20"/>
    </w:rPr>
  </w:style>
  <w:style w:type="character" w:customStyle="1" w:styleId="216">
    <w:name w:val="Body text|4_"/>
    <w:link w:val="217"/>
    <w:qFormat/>
    <w:uiPriority w:val="0"/>
    <w:rPr>
      <w:rFonts w:ascii="宋体" w:hAnsi="宋体" w:cs="宋体"/>
      <w:sz w:val="30"/>
      <w:szCs w:val="30"/>
      <w:lang w:val="zh-TW" w:eastAsia="zh-TW" w:bidi="zh-TW"/>
    </w:rPr>
  </w:style>
  <w:style w:type="paragraph" w:customStyle="1" w:styleId="217">
    <w:name w:val="Body text|4"/>
    <w:basedOn w:val="1"/>
    <w:link w:val="216"/>
    <w:qFormat/>
    <w:uiPriority w:val="0"/>
    <w:pPr>
      <w:spacing w:after="480" w:line="504" w:lineRule="exact"/>
      <w:jc w:val="left"/>
    </w:pPr>
    <w:rPr>
      <w:rFonts w:ascii="宋体" w:hAnsi="宋体" w:cs="宋体"/>
      <w:kern w:val="0"/>
      <w:sz w:val="30"/>
      <w:szCs w:val="30"/>
      <w:lang w:val="zh-TW" w:eastAsia="zh-TW" w:bidi="zh-TW"/>
    </w:rPr>
  </w:style>
  <w:style w:type="character" w:customStyle="1" w:styleId="218">
    <w:name w:val="_notice_content_title-title"/>
    <w:basedOn w:val="38"/>
    <w:qFormat/>
    <w:uiPriority w:val="0"/>
  </w:style>
  <w:style w:type="character" w:customStyle="1" w:styleId="219">
    <w:name w:val="Unresolved Mention"/>
    <w:basedOn w:val="38"/>
    <w:semiHidden/>
    <w:unhideWhenUsed/>
    <w:qFormat/>
    <w:uiPriority w:val="99"/>
    <w:rPr>
      <w:color w:val="605E5C"/>
      <w:shd w:val="clear" w:color="auto" w:fill="E1DFDD"/>
    </w:rPr>
  </w:style>
  <w:style w:type="paragraph" w:customStyle="1" w:styleId="220">
    <w:name w:val="Revision"/>
    <w: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8AB5-156A-47F8-AD49-8C47676E68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77</Pages>
  <Words>6174</Words>
  <Characters>35196</Characters>
  <Lines>293</Lines>
  <Paragraphs>82</Paragraphs>
  <TotalTime>0</TotalTime>
  <ScaleCrop>false</ScaleCrop>
  <LinksUpToDate>false</LinksUpToDate>
  <CharactersWithSpaces>41288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2023-04-27T08:44:00Z</dcterms:created>
  <dc:creator>USER-</dc:creator>
  <cp:lastModifiedBy>j@x</cp:lastModifiedBy>
  <cp:lastPrinted>2023-09-05T08:06:39Z</cp:lastPrinted>
  <dcterms:modified xsi:type="dcterms:W3CDTF">2023-09-05T08:07:13Z</dcterms:modified>
  <dc:title>02年杜范本稿</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4321CDEB5BCF4ED99276C3038B7513E6</vt:lpwstr>
  </property>
</Properties>
</file>