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新城区环境提升综合治理PPP项目竣工财务决算审计</w:t>
      </w:r>
    </w:p>
    <w:p>
      <w:pPr>
        <w:pStyle w:val="null3"/>
        <w:jc w:val="center"/>
        <w:outlineLvl w:val="2"/>
      </w:pPr>
      <w:r>
        <w:rPr>
          <w:b/>
          <w:sz w:val="28"/>
        </w:rPr>
        <w:t>采购项目编号：</w:t>
      </w:r>
      <w:r>
        <w:rPr>
          <w:b/>
          <w:sz w:val="28"/>
        </w:rPr>
        <w:t>2023-ZYD-ZB-065</w:t>
      </w:r>
      <w:r>
        <w:br/>
      </w:r>
      <w:r>
        <w:br/>
      </w:r>
      <w:r>
        <w:br/>
      </w:r>
    </w:p>
    <w:p>
      <w:pPr>
        <w:pStyle w:val="null3"/>
        <w:jc w:val="center"/>
        <w:outlineLvl w:val="2"/>
      </w:pPr>
      <w:r>
        <w:rPr>
          <w:b/>
          <w:sz w:val="28"/>
        </w:rPr>
        <w:t>西安市新城区审计局</w:t>
      </w:r>
    </w:p>
    <w:p>
      <w:pPr>
        <w:pStyle w:val="null3"/>
        <w:jc w:val="center"/>
        <w:outlineLvl w:val="2"/>
      </w:pPr>
      <w:r>
        <w:rPr>
          <w:b/>
          <w:sz w:val="28"/>
        </w:rPr>
        <w:t>陕西中扬德项目管理有限公司</w:t>
      </w:r>
      <w:r>
        <w:rPr>
          <w:b/>
          <w:sz w:val="28"/>
        </w:rPr>
        <w:t>共同编制</w:t>
      </w:r>
    </w:p>
    <w:p>
      <w:pPr>
        <w:pStyle w:val="null3"/>
        <w:jc w:val="center"/>
        <w:outlineLvl w:val="2"/>
      </w:pPr>
      <w:r>
        <w:rPr>
          <w:b/>
          <w:sz w:val="28"/>
        </w:rPr>
        <w:t>2023年12月21日</w:t>
      </w:r>
    </w:p>
    <w:p>
      <w:pPr>
        <w:pStyle w:val="null3"/>
      </w:pPr>
      <w:r>
        <w:rPr/>
        <w:t xml:space="preserve"> </w:t>
      </w:r>
    </w:p>
    <w:p>
      <w:pPr>
        <w:pStyle w:val="null3"/>
        <w:jc w:val="center"/>
        <w:outlineLvl w:val="1"/>
      </w:pPr>
      <w:r>
        <w:rPr>
          <w:b/>
          <w:sz w:val="36"/>
        </w:rPr>
        <w:t>第一章 竞争性磋商邀请</w:t>
      </w:r>
    </w:p>
    <w:p>
      <w:pPr>
        <w:pStyle w:val="null3"/>
        <w:ind w:firstLine="480"/>
      </w:pPr>
      <w:r>
        <w:rPr/>
        <w:t>陕西中扬德项目管理有限公司</w:t>
      </w:r>
      <w:r>
        <w:rPr/>
        <w:t>（以下简称“代理机构”）受</w:t>
      </w:r>
      <w:r>
        <w:rPr/>
        <w:t>西安市新城区审计局</w:t>
      </w:r>
      <w:r>
        <w:rPr/>
        <w:t>委托，拟对</w:t>
      </w:r>
      <w:r>
        <w:rPr/>
        <w:t>新城区环境提升综合治理PPP项目竣工财务决算审计</w:t>
      </w:r>
      <w:r>
        <w:rPr/>
        <w:t>采用竞争性磋商采购方式进行采购，兹邀请供应商参加本项目的竞争性磋商。</w:t>
      </w:r>
    </w:p>
    <w:p>
      <w:pPr>
        <w:pStyle w:val="null3"/>
        <w:outlineLvl w:val="2"/>
      </w:pPr>
      <w:r>
        <w:rPr>
          <w:b/>
          <w:sz w:val="28"/>
        </w:rPr>
        <w:t>一、项目编号：</w:t>
      </w:r>
      <w:r>
        <w:rPr>
          <w:b/>
          <w:sz w:val="28"/>
        </w:rPr>
        <w:t>2023-ZYD-ZB-065</w:t>
      </w:r>
    </w:p>
    <w:p>
      <w:pPr>
        <w:pStyle w:val="null3"/>
        <w:outlineLvl w:val="2"/>
      </w:pPr>
      <w:r>
        <w:rPr>
          <w:b/>
          <w:sz w:val="28"/>
        </w:rPr>
        <w:t>二、项目名称：</w:t>
      </w:r>
      <w:r>
        <w:rPr>
          <w:b/>
          <w:sz w:val="28"/>
        </w:rPr>
        <w:t>新城区环境提升综合治理PPP项目竣工财务决算审计</w:t>
      </w:r>
    </w:p>
    <w:p>
      <w:pPr>
        <w:pStyle w:val="null3"/>
        <w:outlineLvl w:val="2"/>
      </w:pPr>
      <w:r>
        <w:rPr>
          <w:b/>
          <w:sz w:val="28"/>
        </w:rPr>
        <w:t>三、磋商项目简介</w:t>
      </w:r>
    </w:p>
    <w:p>
      <w:pPr>
        <w:pStyle w:val="null3"/>
        <w:ind w:firstLine="480"/>
      </w:pPr>
      <w:r>
        <w:rPr/>
        <w:t>新城区环境提升综合治理PPP项目作为中华人民共和国第十四届运动会的配套公共项目，是优化中心城区生态卫生环境的重点项目。总投资约为1.73亿元。 项目建设内容主要包括3项工程，分别为环卫工程、绿化工程以及城市治理工程。环卫工程主要包括：垃圾转运压缩站、垃圾桶、果皮箱、公厕、环卫专用车辆等。绿化工程主要包括：街头绿地绿化小广场建设及提升、行道树补栽等。城市治理工程主要包括：对新城区违法建设及违法户外广告牌匾标识进行拆除整治。项目运营内容主要包括：本项目的公厕维护、环卫设施维护、绿化维护、垃圾处理等。合作期16年，其中建设期3 年，运营期13年。 2018年5月30日，项目经西安市新城区人民政府同意实施，并授权西安市新城区城市管理和综合执法局为项目实施机构。</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采购包1（新城区环境提升综合治理PPP项目竣工财务决算审计）：属于专门面向中小企业采购。</w:t>
      </w:r>
    </w:p>
    <w:p>
      <w:pPr>
        <w:pStyle w:val="null3"/>
      </w:pPr>
      <w:r>
        <w:rPr/>
        <w:t>供应商以联合体形式参加本采购包的，联合体各方应当为中小企业。</w:t>
      </w:r>
    </w:p>
    <w:p>
      <w:pPr>
        <w:pStyle w:val="null3"/>
        <w:ind w:firstLine="480"/>
      </w:pPr>
      <w:r>
        <w:rPr/>
        <w:t>（三）本项目的特定资格要求：</w:t>
      </w:r>
    </w:p>
    <w:p>
      <w:pPr>
        <w:pStyle w:val="null3"/>
      </w:pPr>
      <w:r>
        <w:rPr/>
        <w:t>采购包1：</w:t>
      </w:r>
    </w:p>
    <w:p>
      <w:pPr>
        <w:pStyle w:val="null3"/>
      </w:pPr>
      <w:r>
        <w:rPr/>
        <w:t>1、法定代表人身份证明/法定代表人授权书：法定代表人授权书（附法定代表人、被授权人身份证复印件）及被授权人身份证（法定代表人直接参加磋商，须提供法定代表人身份证明及身份证原件）；</w:t>
      </w:r>
    </w:p>
    <w:p>
      <w:pPr>
        <w:pStyle w:val="null3"/>
      </w:pPr>
      <w:r>
        <w:rPr/>
        <w:t>2、项目负责人：会计事务所项目负责人具有注册会计师证书；造价咨询中介机构项目负责人具有国家一级注册造价工程师证书；</w:t>
      </w:r>
    </w:p>
    <w:p>
      <w:pPr>
        <w:pStyle w:val="null3"/>
      </w:pPr>
      <w:r>
        <w:rPr/>
        <w:t>3、承揽过本项目实施过程中相关工作的造价咨询中介机构和会计师事务所不得参与本次磋商：承揽过本项目实施过程中相关工作的造价咨询中介机构和会计师事务所不得参与本次磋商；</w:t>
      </w:r>
    </w:p>
    <w:p>
      <w:pPr>
        <w:pStyle w:val="null3"/>
      </w:pPr>
      <w:r>
        <w:rPr/>
        <w:t>4、“信用中国”截图证明：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w:t>
      </w:r>
    </w:p>
    <w:p>
      <w:pPr>
        <w:pStyle w:val="null3"/>
      </w:pPr>
      <w:r>
        <w:rPr/>
        <w:t>5、本项目接受联合体磋商：本项目接受联合体磋商。联合体磋商的，须满足以下要求:①联合体成员不超过2家，联合体各成员方不得再以自己名义独立或加入其他联合体参加本项目采购活动；②联合体各成员必须签订联合体协议，联合体牵头人须为工程造价咨询公司，联合体成员为会计师事务所，需提供联合体协议；明确联合体牵头方和各成员方的主要权利和义务，其成员构成、职责分工等；</w:t>
      </w:r>
    </w:p>
    <w:p>
      <w:pPr>
        <w:pStyle w:val="null3"/>
      </w:pPr>
      <w:r>
        <w:rPr/>
        <w:t>6、本项目专门面向中小企业采购（须提供中小企业声明函）：参与的供应商（联合体）单位全部为符合政策要求的中小企业。供应商应为中小型企业或监狱企业或残疾人福利性单位。 供应商为中小型企业的，提供《中小企业声明函》； 供应商为监狱企业的，应提供监狱企业的证明文件； 供应商为残疾人福利性单位的，应提供《残疾人福利性单位声明函》。</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西安市新城区审计局</w:t>
      </w:r>
    </w:p>
    <w:p>
      <w:pPr>
        <w:pStyle w:val="null3"/>
      </w:pPr>
      <w:r>
        <w:rPr/>
        <w:t xml:space="preserve"> 地址： </w:t>
      </w:r>
      <w:r>
        <w:rPr/>
        <w:t>新城区尚德路115号</w:t>
      </w:r>
    </w:p>
    <w:p>
      <w:pPr>
        <w:pStyle w:val="null3"/>
      </w:pPr>
      <w:r>
        <w:rPr/>
        <w:t xml:space="preserve"> 邮编： </w:t>
      </w:r>
      <w:r>
        <w:rPr/>
        <w:t>710000</w:t>
      </w:r>
    </w:p>
    <w:p>
      <w:pPr>
        <w:pStyle w:val="null3"/>
      </w:pPr>
      <w:r>
        <w:rPr/>
        <w:t xml:space="preserve"> 联系人： </w:t>
      </w:r>
      <w:r>
        <w:rPr/>
        <w:t>西安市新城区审计局经办</w:t>
      </w:r>
    </w:p>
    <w:p>
      <w:pPr>
        <w:pStyle w:val="null3"/>
      </w:pPr>
      <w:r>
        <w:rPr/>
        <w:t xml:space="preserve"> 联系电话： </w:t>
      </w:r>
      <w:r>
        <w:rPr/>
        <w:t>029-87423116</w:t>
      </w:r>
    </w:p>
    <w:p>
      <w:pPr>
        <w:pStyle w:val="null3"/>
        <w:outlineLvl w:val="3"/>
      </w:pPr>
      <w:r>
        <w:rPr>
          <w:b/>
          <w:sz w:val="24"/>
        </w:rPr>
        <w:t>代理机构：</w:t>
      </w:r>
      <w:r>
        <w:rPr>
          <w:b/>
          <w:sz w:val="24"/>
        </w:rPr>
        <w:t>陕西中扬德项目管理有限公司</w:t>
      </w:r>
    </w:p>
    <w:p>
      <w:pPr>
        <w:pStyle w:val="null3"/>
      </w:pPr>
      <w:r>
        <w:rPr/>
        <w:t xml:space="preserve"> 地址： </w:t>
      </w:r>
      <w:r>
        <w:rPr/>
        <w:t>西安市新城区石家街东元西路东岸国际2711室</w:t>
      </w:r>
    </w:p>
    <w:p>
      <w:pPr>
        <w:pStyle w:val="null3"/>
      </w:pPr>
      <w:r>
        <w:rPr/>
        <w:t xml:space="preserve"> 邮编： </w:t>
      </w:r>
      <w:r>
        <w:rPr/>
        <w:t>710000</w:t>
      </w:r>
    </w:p>
    <w:p>
      <w:pPr>
        <w:pStyle w:val="null3"/>
      </w:pPr>
      <w:r>
        <w:rPr/>
        <w:t xml:space="preserve"> 联系人： </w:t>
      </w:r>
      <w:r>
        <w:rPr/>
        <w:t>李工</w:t>
      </w:r>
    </w:p>
    <w:p>
      <w:pPr>
        <w:pStyle w:val="null3"/>
      </w:pPr>
      <w:r>
        <w:rPr/>
        <w:t xml:space="preserve"> 联系电话： </w:t>
      </w:r>
      <w:r>
        <w:rPr/>
        <w:t>029-82523355</w:t>
      </w:r>
    </w:p>
    <w:p>
      <w:pPr>
        <w:pStyle w:val="null3"/>
        <w:outlineLvl w:val="3"/>
      </w:pPr>
      <w:r>
        <w:rPr>
          <w:b/>
          <w:sz w:val="24"/>
        </w:rPr>
        <w:t>采购监督机构：</w:t>
      </w:r>
      <w:r>
        <w:rPr>
          <w:b/>
          <w:sz w:val="24"/>
        </w:rPr>
        <w:t>西安市新城区政府采购管理科</w:t>
      </w:r>
    </w:p>
    <w:p>
      <w:pPr>
        <w:pStyle w:val="null3"/>
        <w:ind w:firstLine="480"/>
      </w:pPr>
      <w:r>
        <w:rPr/>
        <w:t>联系人：</w:t>
      </w:r>
      <w:r>
        <w:rPr/>
        <w:t>刘婷</w:t>
      </w:r>
    </w:p>
    <w:p>
      <w:pPr>
        <w:pStyle w:val="null3"/>
        <w:ind w:firstLine="480"/>
      </w:pPr>
      <w:r>
        <w:rPr/>
        <w:t>联系电话：</w:t>
      </w:r>
      <w:r>
        <w:rPr/>
        <w:t>029-87438480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采购包1：350,000.00元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代理服务费收费标准：采购代理服务费的金额依据《招标代理服务收费管理暂行办法》 计价格[2002]1980 号文、《国家发展改革委关于降低部分建设项目收费标准规范收费行为等有关问题的通知》 发改价格 [2011]534 号文，以中标价为基数,按服务类标准计取代理服务费。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西安市新城区审计局</w:t>
      </w:r>
      <w:r>
        <w:rPr/>
        <w:t>和</w:t>
      </w:r>
      <w:r>
        <w:rPr/>
        <w:t>陕西中扬德项目管理有限公司</w:t>
      </w:r>
      <w:r>
        <w:rPr/>
        <w:t>享有。对磋商文件中供应商参加本次政府采购活动应当具备的条件，磋商项目技术、服务、商务及其他要求，评审细则及标准由</w:t>
      </w:r>
      <w:r>
        <w:rPr/>
        <w:t>西安市新城区审计局</w:t>
      </w:r>
      <w:r>
        <w:rPr/>
        <w:t>负责解释。除上述磋商文件内容，其他内容由</w:t>
      </w:r>
      <w:r>
        <w:rPr/>
        <w:t>陕西中扬德项目管理有限公司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西安市新城区审计局</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陕西中扬德项目管理有限公司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本次项目均以人民币报价。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2.6.7履约验收方案</w:t>
      </w:r>
    </w:p>
    <w:p>
      <w:pPr>
        <w:pStyle w:val="null3"/>
      </w:pPr>
      <w:r>
        <w:rPr/>
        <w:t>采购包1：</w:t>
      </w:r>
    </w:p>
    <w:p>
      <w:pPr>
        <w:pStyle w:val="null3"/>
      </w:pPr>
      <w:r>
        <w:rPr/>
        <w:t>达到国家现行法律法规及行业要求合格标准。</w:t>
      </w:r>
    </w:p>
    <w:p>
      <w:pPr>
        <w:pStyle w:val="null3"/>
        <w:outlineLvl w:val="3"/>
      </w:pPr>
      <w:r>
        <w:rPr>
          <w:b/>
          <w:sz w:val="24"/>
        </w:rPr>
        <w:t>2.6.8资金支付</w:t>
      </w:r>
    </w:p>
    <w:p>
      <w:pPr>
        <w:pStyle w:val="null3"/>
        <w:ind w:firstLine="480"/>
      </w:pPr>
      <w:r>
        <w:rPr/>
        <w:t>采购人按财政部门的相关规定及采购合同的约定进行支付。</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陕西中扬德项目管理有限公司</w:t>
      </w:r>
      <w:r>
        <w:rPr/>
        <w:t xml:space="preserve"> 负责答复；供应商对除采购需求外的采购文件的询问、质疑由</w:t>
      </w:r>
      <w:r>
        <w:rPr/>
        <w:t>陕西中扬德项目管理有限公司</w:t>
      </w:r>
      <w:r>
        <w:rPr/>
        <w:t xml:space="preserve"> 负责答复；供应商对采购过程、采购结果的询问、质疑由 </w:t>
      </w:r>
      <w:r>
        <w:rPr/>
        <w:t>陕西中扬德项目管理有限公司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联系人：李工</w:t>
      </w:r>
    </w:p>
    <w:p>
      <w:pPr>
        <w:pStyle w:val="null3"/>
      </w:pPr>
      <w:r>
        <w:rPr/>
        <w:t>联系电话：029-82523355</w:t>
      </w:r>
    </w:p>
    <w:p>
      <w:pPr>
        <w:pStyle w:val="null3"/>
      </w:pPr>
      <w:r>
        <w:rPr/>
        <w:t>地址：西安市新城区石家街东元西路东岸国际2711室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r>
        <w:rPr/>
        <w:t>新城区环境提升综合治理PPP项目作为中华人民共和国第十四届运动会的配套公共项目，是优化中心城区生态卫生环境的重点项目。总投资约为1.73亿元。 项目建设内容主要包括3项工程，分别为环卫工程、绿化工程以及城市治理工程。环卫工程主要包括：垃圾转运压缩站、垃圾桶、果皮箱、公厕、环卫专用车辆等。绿化工程主要包括：街头绿地绿化小广场建设及提升、行道树补栽等。城市治理工程主要包括：对新城区违法建设及违法户外广告牌匾标识进行拆除整治。项目运营内容主要包括：本项目的公厕维护、环卫设施维护、绿化维护、垃圾处理等。合作期16年，其中建设期3 年，运营期13年。 2018年5月30日，项目经西安市新城区人民政府同意实施，并授权西安市新城区城市管理和综合执法局为项目实施机构。</w:t>
      </w:r>
    </w:p>
    <w:p>
      <w:pPr>
        <w:pStyle w:val="null3"/>
        <w:outlineLvl w:val="2"/>
      </w:pPr>
      <w:r>
        <w:rPr>
          <w:b/>
          <w:sz w:val="28"/>
        </w:rPr>
        <w:t>3.2服务内容及服务要求</w:t>
      </w:r>
    </w:p>
    <w:p>
      <w:pPr>
        <w:pStyle w:val="null3"/>
        <w:outlineLvl w:val="3"/>
      </w:pPr>
      <w:r>
        <w:rPr>
          <w:b/>
          <w:sz w:val="24"/>
        </w:rPr>
        <w:t>3.2.1服务内容</w:t>
      </w:r>
    </w:p>
    <w:p>
      <w:pPr>
        <w:pStyle w:val="null3"/>
      </w:pPr>
      <w:r>
        <w:rPr/>
        <w:t>采购包1：</w:t>
      </w:r>
    </w:p>
    <w:p>
      <w:pPr>
        <w:pStyle w:val="null3"/>
      </w:pPr>
      <w:r>
        <w:rPr/>
        <w:t>采购包预算金额（元）: 350,000.00</w:t>
      </w:r>
    </w:p>
    <w:p>
      <w:pPr>
        <w:pStyle w:val="null3"/>
      </w:pPr>
      <w:r>
        <w:rPr/>
        <w:t>采购包最高限价（元）: 350,000.00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新城区环境提升综合治理PPP项目竣工财务决算审计</w:t>
            </w:r>
          </w:p>
        </w:tc>
        <w:tc>
          <w:tcPr>
            <w:tcW w:type="dxa" w:w="831"/>
          </w:tcPr>
          <w:p>
            <w:pPr>
              <w:pStyle w:val="null3"/>
              <w:jc w:val="right"/>
            </w:pPr>
            <w:r>
              <w:rPr/>
              <w:t>1.00</w:t>
            </w:r>
          </w:p>
        </w:tc>
        <w:tc>
          <w:tcPr>
            <w:tcW w:type="dxa" w:w="831"/>
          </w:tcPr>
          <w:p>
            <w:pPr>
              <w:pStyle w:val="null3"/>
              <w:jc w:val="right"/>
            </w:pPr>
            <w:r>
              <w:rPr/>
              <w:t>350,000.00</w:t>
            </w:r>
          </w:p>
        </w:tc>
        <w:tc>
          <w:tcPr>
            <w:tcW w:type="dxa" w:w="831"/>
          </w:tcPr>
          <w:p>
            <w:pPr>
              <w:pStyle w:val="null3"/>
            </w:pPr>
            <w:r>
              <w:rPr/>
              <w:t>项</w:t>
            </w:r>
          </w:p>
        </w:tc>
        <w:tc>
          <w:tcPr>
            <w:tcW w:type="dxa" w:w="831"/>
          </w:tcPr>
          <w:p>
            <w:pPr>
              <w:pStyle w:val="null3"/>
            </w:pPr>
            <w:r>
              <w:rPr/>
              <w:t>其他未列明行业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b/>
          <w:sz w:val="28"/>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标的名称：新城区环境提升综合治理PPP项目竣工财务决算审计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jc w:val="both"/>
            </w:pPr>
            <w:r>
              <w:rPr>
                <w:b/>
              </w:rPr>
              <w:t>一、项目概况</w:t>
            </w:r>
          </w:p>
          <w:p>
            <w:pPr>
              <w:pStyle w:val="null3"/>
              <w:ind w:firstLine="560"/>
              <w:jc w:val="both"/>
            </w:pPr>
            <w:r>
              <w:rPr/>
              <w:t>新城区环境提升综合治理PPP项目作为中华人民共和国第十四届运动会的配套公共项目，是优化中心城区生态卫生环境的重点项目。</w:t>
            </w:r>
            <w:r>
              <w:rPr/>
              <w:t>总投资约为1.73亿元。</w:t>
            </w:r>
          </w:p>
          <w:p>
            <w:pPr>
              <w:pStyle w:val="null3"/>
              <w:ind w:firstLine="560"/>
              <w:jc w:val="both"/>
            </w:pPr>
            <w:r>
              <w:rPr/>
              <w:t>项目建设内容主要包括3项工程，分别为环卫工程、绿化工程以及城市治理工程。环卫工程主要包括：垃圾转运压缩站、垃圾桶、果皮箱、公厕、环卫专用车辆等。绿化工程主要包括：街头绿地绿化小广场建设及提升、行道树补栽等。城市治理工程主要包括：对新城区违法建设及违法户外广告牌匾标识进行拆除整治。项目运营内容主要包括：本项目的公厕维护、环卫设施维护、绿化维护、垃圾处理等。合作期16年，其中建设期3 年，运营期13年。</w:t>
            </w:r>
          </w:p>
          <w:p>
            <w:pPr>
              <w:pStyle w:val="null3"/>
              <w:ind w:firstLine="560"/>
              <w:jc w:val="both"/>
            </w:pPr>
            <w:r>
              <w:rPr/>
              <w:t>2018年5月30日，</w:t>
            </w:r>
            <w:r>
              <w:rPr/>
              <w:t>项目</w:t>
            </w:r>
            <w:r>
              <w:rPr/>
              <w:t>经西安市新城区人民政府同意实施，并授权西安市新城区城市管理和综合执法局为项目实施机构。</w:t>
            </w:r>
          </w:p>
          <w:p>
            <w:pPr>
              <w:pStyle w:val="null3"/>
              <w:jc w:val="both"/>
            </w:pPr>
            <w:r>
              <w:rPr>
                <w:b/>
              </w:rPr>
              <w:t>二、商务要求</w:t>
            </w:r>
          </w:p>
          <w:p>
            <w:pPr>
              <w:pStyle w:val="null3"/>
              <w:ind w:firstLine="560"/>
              <w:jc w:val="both"/>
            </w:pPr>
            <w:r>
              <w:rPr/>
              <w:t>1、服务</w:t>
            </w:r>
            <w:r>
              <w:rPr/>
              <w:t>期限</w:t>
            </w:r>
            <w:r>
              <w:rPr/>
              <w:t>：</w:t>
            </w:r>
            <w:r>
              <w:rPr>
                <w:u w:val="single"/>
              </w:rPr>
              <w:t>90</w:t>
            </w:r>
            <w:r>
              <w:rPr/>
              <w:t>天</w:t>
            </w:r>
            <w:r>
              <w:rPr/>
              <w:t>。</w:t>
            </w:r>
          </w:p>
          <w:p>
            <w:pPr>
              <w:pStyle w:val="null3"/>
              <w:ind w:firstLine="560"/>
              <w:jc w:val="both"/>
            </w:pPr>
            <w:r>
              <w:rPr/>
              <w:t>2、质量标准：达到国家现行法律法规及行业要求合格标准。</w:t>
            </w:r>
          </w:p>
          <w:p>
            <w:pPr>
              <w:pStyle w:val="null3"/>
              <w:ind w:firstLine="560"/>
              <w:jc w:val="both"/>
            </w:pPr>
            <w:r>
              <w:rPr/>
              <w:t>3、付款方式：</w:t>
            </w:r>
          </w:p>
          <w:p>
            <w:pPr>
              <w:pStyle w:val="null3"/>
              <w:ind w:firstLine="560"/>
              <w:jc w:val="both"/>
            </w:pPr>
            <w:r>
              <w:rPr/>
              <w:t>（1）出具成果文件后一次性支付。</w:t>
            </w:r>
          </w:p>
          <w:p>
            <w:pPr>
              <w:pStyle w:val="null3"/>
              <w:ind w:firstLine="560"/>
              <w:jc w:val="both"/>
            </w:pPr>
            <w:r>
              <w:rPr/>
              <w:t>（</w:t>
            </w:r>
            <w:r>
              <w:rPr/>
              <w:t>2）</w:t>
            </w:r>
            <w:r>
              <w:rPr/>
              <w:t>如有特殊情况，付款方式与采购人协商解决。</w:t>
            </w:r>
          </w:p>
          <w:p>
            <w:pPr>
              <w:pStyle w:val="null3"/>
              <w:ind w:firstLine="560"/>
              <w:jc w:val="both"/>
            </w:pPr>
            <w:r>
              <w:rPr/>
              <w:t>（</w:t>
            </w:r>
            <w:r>
              <w:rPr/>
              <w:t>3</w:t>
            </w:r>
            <w:r>
              <w:rPr/>
              <w:t>）支付方式：银行转账</w:t>
            </w:r>
          </w:p>
          <w:p>
            <w:pPr>
              <w:pStyle w:val="null3"/>
              <w:ind w:firstLine="560"/>
              <w:jc w:val="both"/>
            </w:pPr>
            <w:r>
              <w:rPr/>
              <w:t>（</w:t>
            </w:r>
            <w:r>
              <w:rPr/>
              <w:t>4</w:t>
            </w:r>
            <w:r>
              <w:rPr/>
              <w:t>）结算方式：乙方持发票、</w:t>
            </w:r>
            <w:r>
              <w:rPr/>
              <w:t>成交</w:t>
            </w:r>
            <w:r>
              <w:rPr/>
              <w:t>通知书、合同与甲方结算；甲方支付价款前，乙方应向甲方提供正式等额、合法合规并符合甲方要求的增值税普通发票，否则，甲方有权拒绝付款并不承担任何逾期付款的违约责任。</w:t>
            </w:r>
          </w:p>
          <w:p>
            <w:pPr>
              <w:pStyle w:val="null3"/>
              <w:jc w:val="both"/>
            </w:pPr>
            <w:r>
              <w:rPr>
                <w:b/>
              </w:rPr>
              <w:t>三</w:t>
            </w:r>
            <w:r>
              <w:rPr>
                <w:b/>
              </w:rPr>
              <w:t>、审计目标</w:t>
            </w:r>
          </w:p>
          <w:p>
            <w:pPr>
              <w:pStyle w:val="null3"/>
              <w:ind w:firstLine="560"/>
              <w:jc w:val="both"/>
            </w:pPr>
            <w:r>
              <w:rPr/>
              <w:t>通过审计，全面了解新城区环境提升综合治理PPP项目建设的实际情况。审查项目建设资金筹措、到位、管理和使用情况；核实项目竣工决算和交付资产的真实、合法、有效性；揭示项目在基本建设程序、建设管理和建设资金使用等方面存在的问题，进一步强化审计监督在“健全制度，强化监督，促进管理，提高效能”等方面的作用。</w:t>
            </w:r>
          </w:p>
          <w:p>
            <w:pPr>
              <w:pStyle w:val="null3"/>
              <w:jc w:val="both"/>
            </w:pPr>
            <w:r>
              <w:rPr>
                <w:b/>
              </w:rPr>
              <w:t>四、</w:t>
            </w:r>
            <w:r>
              <w:rPr>
                <w:b/>
              </w:rPr>
              <w:t>审计范围</w:t>
            </w:r>
          </w:p>
          <w:p>
            <w:pPr>
              <w:pStyle w:val="null3"/>
              <w:ind w:firstLine="560"/>
              <w:jc w:val="both"/>
            </w:pPr>
            <w:r>
              <w:rPr/>
              <w:t>对项目资金到位、使用，基本建设程序、项目管理、工程结算及竣工决算，完成投资和</w:t>
            </w:r>
            <w:r>
              <w:rPr/>
              <w:t>交付使用资产</w:t>
            </w:r>
            <w:r>
              <w:rPr/>
              <w:t>等进行审计。</w:t>
            </w:r>
          </w:p>
          <w:p>
            <w:pPr>
              <w:pStyle w:val="null3"/>
              <w:ind w:firstLine="560"/>
              <w:jc w:val="both"/>
            </w:pPr>
            <w:r>
              <w:rPr/>
              <w:t>对</w:t>
            </w:r>
            <w:r>
              <w:rPr/>
              <w:t>建设程序履行情况、概算执行情况、建设资金来源及使用情况、项目竣工决算编制及财务收支情况、项目招标投标及合同执行情况、工程结算价款的真实性、合法性，相关单位履职情况、工程建设管理情况、内部控制制度建设执行情况等</w:t>
            </w:r>
            <w:r>
              <w:rPr/>
              <w:t>进行审计。</w:t>
            </w:r>
          </w:p>
          <w:p>
            <w:pPr>
              <w:pStyle w:val="null3"/>
              <w:ind w:firstLine="560"/>
              <w:jc w:val="both"/>
            </w:pPr>
            <w:r>
              <w:rPr/>
              <w:t>根据工作需要可对直接有关的设计、施工、供货等责任主体单位取得建设项目资金的真实性、合法性进行调查</w:t>
            </w:r>
            <w:r>
              <w:rPr/>
              <w:t>。</w:t>
            </w:r>
          </w:p>
          <w:p>
            <w:pPr>
              <w:pStyle w:val="null3"/>
              <w:jc w:val="both"/>
            </w:pPr>
            <w:r>
              <w:rPr>
                <w:b/>
              </w:rPr>
              <w:t>五、</w:t>
            </w:r>
            <w:r>
              <w:rPr>
                <w:b/>
              </w:rPr>
              <w:t>审计内容</w:t>
            </w:r>
          </w:p>
          <w:p>
            <w:pPr>
              <w:pStyle w:val="null3"/>
              <w:ind w:firstLine="560"/>
              <w:jc w:val="both"/>
            </w:pPr>
            <w:r>
              <w:rPr/>
              <w:t>（一）基本建设程序执行情况。</w:t>
            </w:r>
          </w:p>
          <w:p>
            <w:pPr>
              <w:pStyle w:val="null3"/>
              <w:ind w:firstLine="560"/>
              <w:jc w:val="both"/>
            </w:pPr>
            <w:r>
              <w:rPr/>
              <w:t>（二）建设资金管理使用情况。</w:t>
            </w:r>
          </w:p>
          <w:p>
            <w:pPr>
              <w:pStyle w:val="null3"/>
              <w:ind w:firstLine="560"/>
              <w:jc w:val="both"/>
            </w:pPr>
            <w:r>
              <w:rPr/>
              <w:t>（三）概算执行情况。</w:t>
            </w:r>
          </w:p>
          <w:p>
            <w:pPr>
              <w:pStyle w:val="null3"/>
              <w:ind w:firstLine="560"/>
              <w:jc w:val="both"/>
            </w:pPr>
            <w:r>
              <w:rPr/>
              <w:t>（四）项目建设管理情况。</w:t>
            </w:r>
          </w:p>
          <w:p>
            <w:pPr>
              <w:pStyle w:val="null3"/>
              <w:ind w:firstLine="560"/>
              <w:jc w:val="both"/>
            </w:pPr>
            <w:r>
              <w:rPr/>
              <w:t>（五）项目竣工决算编制及建设成本等情况。</w:t>
            </w:r>
          </w:p>
          <w:p>
            <w:pPr>
              <w:pStyle w:val="null3"/>
              <w:ind w:firstLine="560"/>
              <w:jc w:val="both"/>
            </w:pPr>
            <w:r>
              <w:rPr/>
              <w:t>（六）项目招标投标及合同执行情况。</w:t>
            </w:r>
          </w:p>
          <w:p>
            <w:pPr>
              <w:pStyle w:val="null3"/>
              <w:ind w:firstLine="560"/>
              <w:jc w:val="both"/>
            </w:pPr>
            <w:r>
              <w:rPr/>
              <w:t>（七）</w:t>
            </w:r>
            <w:r>
              <w:rPr/>
              <w:t>工程价款结算管理情况</w:t>
            </w:r>
            <w:r>
              <w:rPr/>
              <w:t>。</w:t>
            </w:r>
          </w:p>
          <w:p>
            <w:pPr>
              <w:pStyle w:val="null3"/>
              <w:ind w:firstLine="560"/>
              <w:jc w:val="both"/>
            </w:pPr>
            <w:r>
              <w:rPr/>
              <w:t>（八）</w:t>
            </w:r>
            <w:r>
              <w:rPr/>
              <w:t>排查有无违纪违规等行为。</w:t>
            </w:r>
          </w:p>
          <w:p>
            <w:pPr>
              <w:pStyle w:val="null3"/>
              <w:jc w:val="both"/>
            </w:pPr>
            <w:r>
              <w:rPr>
                <w:b/>
              </w:rPr>
              <w:t>六、成果要求</w:t>
            </w:r>
          </w:p>
          <w:p>
            <w:pPr>
              <w:pStyle w:val="null3"/>
              <w:ind w:firstLine="560"/>
              <w:jc w:val="both"/>
            </w:pPr>
            <w:r>
              <w:rPr/>
              <w:t>乙方应于规定的期限内向审计局提交最终版审核报告。在服务期结束之前出具符合标准的书面审核报告一式6份（上述电子文档一份）至审计局指定地点，并保证其真实性、准确性、合法性，承担相关法律责任。</w:t>
            </w:r>
          </w:p>
        </w:tc>
      </w:tr>
    </w:tbl>
    <w:p>
      <w:pPr>
        <w:pStyle w:val="null3"/>
        <w:outlineLvl w:val="2"/>
      </w:pPr>
      <w:r>
        <w:rPr>
          <w:b/>
          <w:sz w:val="28"/>
        </w:rPr>
        <w:t>3.2.3人员配置要求</w:t>
      </w:r>
    </w:p>
    <w:p>
      <w:pPr>
        <w:pStyle w:val="null3"/>
      </w:pPr>
      <w:r>
        <w:rPr/>
        <w:t>采购包1：</w:t>
      </w:r>
    </w:p>
    <w:p>
      <w:pPr>
        <w:pStyle w:val="null3"/>
      </w:pPr>
      <w:r>
        <w:rPr/>
        <w:t>根据采购文件要求</w:t>
      </w:r>
    </w:p>
    <w:p>
      <w:pPr>
        <w:pStyle w:val="null3"/>
        <w:outlineLvl w:val="2"/>
      </w:pPr>
      <w:r>
        <w:rPr>
          <w:b/>
          <w:sz w:val="28"/>
        </w:rPr>
        <w:t>3.2.4设施设备要求</w:t>
      </w:r>
    </w:p>
    <w:p>
      <w:pPr>
        <w:pStyle w:val="null3"/>
      </w:pPr>
      <w:r>
        <w:rPr/>
        <w:t>采购包1：</w:t>
      </w:r>
    </w:p>
    <w:p>
      <w:pPr>
        <w:pStyle w:val="null3"/>
      </w:pPr>
      <w:r>
        <w:rPr/>
        <w:t>无</w:t>
      </w:r>
    </w:p>
    <w:p>
      <w:pPr>
        <w:pStyle w:val="null3"/>
        <w:outlineLvl w:val="2"/>
      </w:pPr>
      <w:r>
        <w:rPr>
          <w:b/>
          <w:sz w:val="28"/>
        </w:rPr>
        <w:t>3.2.5其他要求</w:t>
      </w:r>
    </w:p>
    <w:p>
      <w:pPr>
        <w:pStyle w:val="null3"/>
      </w:pPr>
      <w:r>
        <w:rPr/>
        <w:t>采购包1：</w:t>
      </w:r>
    </w:p>
    <w:p>
      <w:pPr>
        <w:pStyle w:val="null3"/>
      </w:pPr>
      <w:r>
        <w:rPr/>
        <w:t>无</w:t>
      </w:r>
    </w:p>
    <w:p>
      <w:pPr>
        <w:pStyle w:val="null3"/>
        <w:outlineLvl w:val="2"/>
      </w:pPr>
      <w:r>
        <w:rPr>
          <w:b/>
          <w:sz w:val="28"/>
        </w:rPr>
        <w:t>3.3商务要求</w:t>
      </w:r>
    </w:p>
    <w:p>
      <w:pPr>
        <w:pStyle w:val="null3"/>
        <w:outlineLvl w:val="3"/>
      </w:pPr>
      <w:r>
        <w:rPr>
          <w:b/>
          <w:sz w:val="24"/>
        </w:rPr>
        <w:t>3.3.1服务期限</w:t>
      </w:r>
    </w:p>
    <w:p>
      <w:pPr>
        <w:pStyle w:val="null3"/>
      </w:pPr>
      <w:r>
        <w:rPr/>
        <w:t>采购包1：</w:t>
      </w:r>
    </w:p>
    <w:p>
      <w:pPr>
        <w:pStyle w:val="null3"/>
      </w:pPr>
      <w:r>
        <w:rPr/>
        <w:t>90天</w:t>
      </w:r>
    </w:p>
    <w:p>
      <w:pPr>
        <w:pStyle w:val="null3"/>
        <w:outlineLvl w:val="3"/>
      </w:pPr>
      <w:r>
        <w:rPr>
          <w:b/>
          <w:sz w:val="24"/>
        </w:rPr>
        <w:t>3.3.2服务地点</w:t>
      </w:r>
    </w:p>
    <w:p>
      <w:pPr>
        <w:pStyle w:val="null3"/>
      </w:pPr>
      <w:r>
        <w:rPr/>
        <w:t>采购包1：</w:t>
      </w:r>
    </w:p>
    <w:p>
      <w:pPr>
        <w:pStyle w:val="null3"/>
      </w:pPr>
      <w:r>
        <w:rPr/>
        <w:t>甲方指定地点</w:t>
      </w:r>
    </w:p>
    <w:p>
      <w:pPr>
        <w:pStyle w:val="null3"/>
        <w:outlineLvl w:val="3"/>
      </w:pPr>
      <w:r>
        <w:rPr>
          <w:b/>
          <w:sz w:val="24"/>
        </w:rPr>
        <w:t>3.3.3考核（验收）标准和方法</w:t>
      </w:r>
    </w:p>
    <w:p>
      <w:pPr>
        <w:pStyle w:val="null3"/>
      </w:pPr>
      <w:r>
        <w:rPr/>
        <w:t>采购包1：</w:t>
      </w:r>
    </w:p>
    <w:p>
      <w:pPr>
        <w:pStyle w:val="null3"/>
      </w:pPr>
      <w:r>
        <w:rPr/>
        <w:t>达到国家现行法律法规及行业要求合格标准。</w:t>
      </w:r>
    </w:p>
    <w:p>
      <w:pPr>
        <w:pStyle w:val="null3"/>
        <w:outlineLvl w:val="3"/>
      </w:pPr>
      <w:r>
        <w:rPr>
          <w:b/>
          <w:sz w:val="24"/>
        </w:rPr>
        <w:t>3.3.4支付方式</w:t>
      </w:r>
    </w:p>
    <w:p>
      <w:pPr>
        <w:pStyle w:val="null3"/>
      </w:pPr>
      <w:r>
        <w:rPr/>
        <w:t>采购包1：</w:t>
      </w:r>
    </w:p>
    <w:p>
      <w:pPr>
        <w:pStyle w:val="null3"/>
      </w:pPr>
      <w:r>
        <w:rPr/>
        <w:t>一次付清</w:t>
      </w:r>
    </w:p>
    <w:p>
      <w:pPr>
        <w:pStyle w:val="null3"/>
        <w:outlineLvl w:val="3"/>
      </w:pPr>
      <w:r>
        <w:rPr>
          <w:b/>
          <w:sz w:val="24"/>
        </w:rPr>
        <w:t>3.3.5支付约定</w:t>
      </w:r>
    </w:p>
    <w:p>
      <w:pPr>
        <w:pStyle w:val="null3"/>
      </w:pPr>
      <w:r>
        <w:rPr/>
        <w:t>采购包1：</w:t>
      </w:r>
      <w:r>
        <w:rPr/>
        <w:t xml:space="preserve"> 付款条件说明： </w:t>
      </w:r>
      <w:r>
        <w:rPr/>
        <w:t>（1）出具成果文件后一次性支付。 （2）如有特殊情况，付款方式与采购人协商解决。 （3）支付方式：银行转账 （4）结算方式：乙方持发票、成交通知书、合同与甲方结算；甲方支付价款前，乙方应向甲方提供正式等额、合法合规并符合甲方要求的增值税普通发票，否则，甲方有权拒绝付款并不承担任何逾期付款的违约责任</w:t>
      </w:r>
      <w:r>
        <w:rPr/>
        <w:t xml:space="preserve"> ，达到付款条件起 </w:t>
      </w:r>
      <w:r>
        <w:rPr/>
        <w:t>30</w:t>
      </w:r>
      <w:r>
        <w:rPr/>
        <w:t xml:space="preserve"> 日内，支付合同总金额的 </w:t>
      </w:r>
      <w:r>
        <w:rPr/>
        <w:t>100.00</w:t>
      </w:r>
      <w:r>
        <w:rPr/>
        <w:t>%。</w:t>
      </w:r>
    </w:p>
    <w:p>
      <w:pPr>
        <w:pStyle w:val="null3"/>
        <w:outlineLvl w:val="3"/>
      </w:pPr>
      <w:r>
        <w:rPr>
          <w:b/>
          <w:sz w:val="24"/>
        </w:rPr>
        <w:t>3.3.6违约责任及解决争议的方法</w:t>
      </w:r>
    </w:p>
    <w:p>
      <w:pPr>
        <w:pStyle w:val="null3"/>
      </w:pPr>
      <w:r>
        <w:rPr/>
        <w:t>采购包1：</w:t>
      </w:r>
    </w:p>
    <w:p>
      <w:pPr>
        <w:pStyle w:val="null3"/>
      </w:pPr>
      <w:r>
        <w:rPr/>
        <w:t>甲乙双方所有争议应先采取友好协商的解决方式。协商未达成一致意见的，甲乙双方均可向甲方所在地有管辖权的人民法院提起诉讼。</w:t>
      </w:r>
    </w:p>
    <w:p>
      <w:pPr>
        <w:pStyle w:val="null3"/>
        <w:outlineLvl w:val="2"/>
      </w:pPr>
      <w:r>
        <w:rPr>
          <w:b/>
          <w:sz w:val="28"/>
        </w:rPr>
        <w:t>3.4其他要求</w:t>
      </w:r>
    </w:p>
    <w:p>
      <w:pPr>
        <w:pStyle w:val="null3"/>
      </w:pPr>
      <w:r>
        <w:rPr/>
        <w:t>无</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1.供应商应是独立承担民事责任能力的法人、其他组织或自然人，法人、其他组织须提供合法有效的营业执照（或事业单位法人证书）等证明资料，自然人须提供身份证明； 2.供应商提供2020年至今任意一年度经审计的财务报告或提供磋商截止时间前六个月内其基本开户银行出具的资信证明（复印件直接装订，并加盖供应商单位章）。 3.磋商公告发布时间前六个月内任意一个月供应商纳税凭证，依法免税的供应商，应提供相应文件证明其依法免税。 4.磋商公告发布时间前六个月内任意一个月供应商缴纳社会保险的凭证（专用收据或社会保险缴纳清单）。依法不需要缴纳社会保障资金的供应商，应提供相应文件证明其依法不需要缴纳社会保障资金。 5.提供具有履行合同所必需的设备和专业技术能力的承诺。 6.出具参加政府采购活动前3年内在经营活动中没有重大违法记录的书面声明。</w:t>
            </w:r>
          </w:p>
        </w:tc>
        <w:tc>
          <w:tcPr>
            <w:tcW w:type="dxa" w:w="1661"/>
          </w:tcPr>
          <w:p>
            <w:pPr>
              <w:pStyle w:val="null3"/>
            </w:pPr>
            <w:r>
              <w:rPr/>
              <w:t>资格证明文件 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供应商需在项目电子化交易系统中按要求上传相应证明文件并进行电子签章。</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供应商承诺书 响应函</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落实政府采购政策需满足的资格要求如下: 1.《政府采购促进中小企业发展管理办法》（财库〔2020〕46号）； 2.《财政部司法部关于政府采购支持监狱企业发展有关问题的通知》（财库〔2014〕68号）； 3.《财政部 民政部 中国残疾人联合会关于促进残疾人就业政府采购政策的通知》（财库〔2017〕141号）； 4.《财政部国家发展改革委关于印发(节能产品政府采购实施意见)的通知》(财库〔2004〕185号)； 5.《国务院办公厅关于建立政府强制采购节能产品制度的通知》(国办发〔2007〕51号)； 6.《财政部环保总局关于环境标志产品政府采购实施的意见》(财库〔2006〕90号) 7.《财政部发展改革委生态环境部 市场监管总局关于调整优化节能产品、环境标志产品政府采购执行机制的通知》（财库〔2019〕9号）； 8.《关于印发环境标志产品政府采购品目清单的通知》（财库〔2019〕18号） 9.《关于印发节能产品政府采购品目清单的通知》（财库〔2019〕19号）； 10.《财政部农业农村部 国家乡村振兴局关于运用政府采购政策支持乡村产业振兴的通知》（财库〔2021〕19号）； 11.《陕西省财政厅关于印发陕西省中小企业政府采购信用融资办法》（陕财办采〔2019〕23号）； 12.《陕西省财政厅关于加快推进我省中小企业政府采购信用融资工作的通知》（陕财办采〔2020〕15号）。 本项目为专门面向中小企业。</w:t>
            </w:r>
          </w:p>
        </w:tc>
        <w:tc>
          <w:tcPr>
            <w:tcW w:type="dxa" w:w="1661"/>
          </w:tcPr>
          <w:p>
            <w:pPr>
              <w:pStyle w:val="null3"/>
            </w:pPr>
            <w:r>
              <w:rPr/>
              <w:t>资格证明文件 响应函</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法定代表人身份证明/法定代表人授权书</w:t>
            </w:r>
          </w:p>
        </w:tc>
        <w:tc>
          <w:tcPr>
            <w:tcW w:type="dxa" w:w="3322"/>
          </w:tcPr>
          <w:p>
            <w:pPr>
              <w:pStyle w:val="null3"/>
            </w:pPr>
            <w:r>
              <w:rPr/>
              <w:t>法定代表人授权书（附法定代表人、被授权人身份证复印件）及被授权人身份证（法定代表人直接参加磋商，须提供法定代表人身份证明及身份证原件）；</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项目负责人</w:t>
            </w:r>
          </w:p>
        </w:tc>
        <w:tc>
          <w:tcPr>
            <w:tcW w:type="dxa" w:w="3322"/>
          </w:tcPr>
          <w:p>
            <w:pPr>
              <w:pStyle w:val="null3"/>
            </w:pPr>
            <w:r>
              <w:rPr/>
              <w:t>会计事务所项目负责人具有注册会计师证书；造价咨询中介机构项目负责人具有国家一级注册造价工程师证书；</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承揽过本项目实施过程中相关工作的造价咨询中介机构和会计师事务所不得参与本次磋商</w:t>
            </w:r>
          </w:p>
        </w:tc>
        <w:tc>
          <w:tcPr>
            <w:tcW w:type="dxa" w:w="3322"/>
          </w:tcPr>
          <w:p>
            <w:pPr>
              <w:pStyle w:val="null3"/>
            </w:pPr>
            <w:r>
              <w:rPr/>
              <w:t>承揽过本项目实施过程中相关工作的造价咨询中介机构和会计师事务所不得参与本次磋商；</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“信用中国”截图证明</w:t>
            </w:r>
          </w:p>
        </w:tc>
        <w:tc>
          <w:tcPr>
            <w:tcW w:type="dxa" w:w="3322"/>
          </w:tcPr>
          <w:p>
            <w:pPr>
              <w:pStyle w:val="null3"/>
            </w:pPr>
            <w:r>
              <w:rPr/>
              <w:t>供应商不得为“信用中国”网站（www.creditchina.gov.cn）中列入“失信被执行人”（中国执行信息公开网http://zxgk.court.gov.cn/shixin/）和“重大税收违法失信主体”当事人名单的供应商，不得为中国政府采购网（www.ccgp.gov.cn）政府采购“严重违法失信行为记录名单”中被财政部门禁止参加政府采购活动的供应商；</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本项目接受联合体磋商</w:t>
            </w:r>
          </w:p>
        </w:tc>
        <w:tc>
          <w:tcPr>
            <w:tcW w:type="dxa" w:w="3322"/>
          </w:tcPr>
          <w:p>
            <w:pPr>
              <w:pStyle w:val="null3"/>
            </w:pPr>
            <w:r>
              <w:rPr/>
              <w:t>本项目接受联合体磋商。联合体磋商的，须满足以下要求:①联合体成员不超过2家，联合体各成员方不得再以自己名义独立或加入其他联合体参加本项目采购活动；②联合体各成员必须签订联合体协议，联合体牵头人须为工程造价咨询公司，联合体成员为会计师事务所，需提供联合体协议；明确联合体牵头方和各成员方的主要权利和义务，其成员构成、职责分工等；</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本项目专门面向中小企业采购（须提供中小企业声明函）</w:t>
            </w:r>
          </w:p>
        </w:tc>
        <w:tc>
          <w:tcPr>
            <w:tcW w:type="dxa" w:w="3322"/>
          </w:tcPr>
          <w:p>
            <w:pPr>
              <w:pStyle w:val="null3"/>
            </w:pPr>
            <w:r>
              <w:rPr/>
              <w:t>参与的供应商（联合体）单位全部为符合政策要求的中小企业。供应商应为中小型企业或监狱企业或残疾人福利性单位。 供应商为中小型企业的，提供《中小企业声明函》； 供应商为监狱企业的，应提供监狱企业的证明文件； 供应商为残疾人福利性单位的，应提供《残疾人福利性单位声明函》。</w:t>
            </w:r>
          </w:p>
        </w:tc>
        <w:tc>
          <w:tcPr>
            <w:tcW w:type="dxa" w:w="1661"/>
          </w:tcPr>
          <w:p>
            <w:pPr>
              <w:pStyle w:val="null3"/>
            </w:pPr>
            <w:r>
              <w:rPr/>
              <w:t>资格证明文件</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标的清单 报价表</w:t>
            </w:r>
          </w:p>
        </w:tc>
      </w:tr>
      <w:tr>
        <w:tc>
          <w:tcPr>
            <w:tcW w:type="dxa" w:w="831"/>
          </w:tcPr>
          <w:p>
            <w:pPr>
              <w:pStyle w:val="null3"/>
            </w:pPr>
            <w:r>
              <w:rPr/>
              <w:t>2</w:t>
            </w:r>
          </w:p>
        </w:tc>
        <w:tc>
          <w:tcPr>
            <w:tcW w:type="dxa" w:w="2492"/>
          </w:tcPr>
          <w:p>
            <w:pPr>
              <w:pStyle w:val="null3"/>
            </w:pPr>
            <w:r>
              <w:rPr/>
              <w:t>响应性审查</w:t>
            </w:r>
          </w:p>
        </w:tc>
        <w:tc>
          <w:tcPr>
            <w:tcW w:type="dxa" w:w="3322"/>
          </w:tcPr>
          <w:p>
            <w:pPr>
              <w:pStyle w:val="null3"/>
            </w:pPr>
            <w:r>
              <w:rPr/>
              <w:t>1.磋商响应文件的签署盖章：磋商响应文件上法定代表人或其授权代表人的签字齐全并加盖公章 2.磋商响应文件格式：应符合“磋商响应文件格式”要求 3.报价唯一：只能有一个有效报价，不得提交选择性报价，按要求提交二次或多次报价，且每轮报价不超过采购预算金额或最高限价或磋商小组认为低于成本价的报价 4.磋商响应文件内容：磋商响应文件内容符合磋商文件要求 5.对磋商文件响应程度：要求商务条款全部响应，不能有采购人不能接受的附加条件 6.服务期：应满足磋商文件中要求的服务期 7.磋商有效期：应满足磋商文件中的规定</w:t>
            </w:r>
          </w:p>
        </w:tc>
        <w:tc>
          <w:tcPr>
            <w:tcW w:type="dxa" w:w="1661"/>
          </w:tcPr>
          <w:p>
            <w:pPr>
              <w:pStyle w:val="null3"/>
            </w:pPr>
            <w:r>
              <w:rPr/>
              <w:t>响应文件封面 报价表 商务条款偏离表</w:t>
            </w:r>
          </w:p>
        </w:tc>
      </w:tr>
    </w:tbl>
    <w:p>
      <w:pPr>
        <w:pStyle w:val="null3"/>
        <w:outlineLvl w:val="3"/>
      </w:pPr>
      <w:r>
        <w:rPr>
          <w:b/>
          <w:sz w:val="24"/>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详细评审90.00分</w:t>
            </w:r>
          </w:p>
          <w:p>
            <w:pPr>
              <w:pStyle w:val="null3"/>
            </w:pPr>
            <w:r>
              <w:rPr/>
              <w:t>报价得分10.00分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审计实施方案</w:t>
            </w:r>
          </w:p>
        </w:tc>
        <w:tc>
          <w:tcPr>
            <w:tcW w:type="dxa" w:w="2492"/>
          </w:tcPr>
          <w:p>
            <w:pPr>
              <w:pStyle w:val="null3"/>
            </w:pPr>
            <w:r>
              <w:rPr/>
              <w:t xml:space="preserve"> 供应商须针对本项目的审计内容阐述具体实施方案。包括但不限于：审计工作的目的、范围、内容等。 方案全面具体，内容完整，条理清晰计6.1-10分； 方案较全面具体，内容较完整，条理较清晰计3.1-6分； 方案不具体，内容有缺失，条理不清晰计1-3分； 未提供不计分。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审计工作制度</w:t>
            </w:r>
          </w:p>
        </w:tc>
        <w:tc>
          <w:tcPr>
            <w:tcW w:type="dxa" w:w="2492"/>
          </w:tcPr>
          <w:p>
            <w:pPr>
              <w:pStyle w:val="null3"/>
            </w:pPr>
            <w:r>
              <w:rPr/>
              <w:t>审计工作制度阐述完整，符合国家相关规范标准，供应商对审计工作全过程的关键环节有着重描述。由评标委员会按其响应程度自主赋分，缺项不得分。 制度描述详细、全面，满足采购需求的，计6.1-10分； 制度描述较详细、全面，基本满足采购需求的，计3.1-6分 制度描述不详细，考虑不全面的，计1-3分； 不提供不计分。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计划与实施方案</w:t>
            </w:r>
          </w:p>
        </w:tc>
        <w:tc>
          <w:tcPr>
            <w:tcW w:type="dxa" w:w="2492"/>
          </w:tcPr>
          <w:p>
            <w:pPr>
              <w:pStyle w:val="null3"/>
            </w:pPr>
            <w:r>
              <w:rPr/>
              <w:t>供应商须提供完整的工作大纲、工作计划、工作时效、关键节点安排及人力保障。针对上述要求提供的方案说明描述详细、全面，逻辑清晰，满足采购人要求，对于工作大纲、工作计划、工作时效、关键节点安排及人力保障均有完整详细的方案说明；由评标委员会按其响应程度进行自主赋，缺项不得分。 方案说明描述非常全面、合理，逻辑清晰，能完全满足上述要求的，计6.1-10分； 方案说明描述较为全面、合理，逻辑较为清晰，能满足上述要求的，计3.1-6分； 方案说明描述不全面，逻辑混乱，仅能基本满足上述要求的，计1-3分； 不提供不计分。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质量保证措施</w:t>
            </w:r>
          </w:p>
        </w:tc>
        <w:tc>
          <w:tcPr>
            <w:tcW w:type="dxa" w:w="2492"/>
          </w:tcPr>
          <w:p>
            <w:pPr>
              <w:pStyle w:val="null3"/>
            </w:pPr>
            <w:r>
              <w:rPr/>
              <w:t>供应商须按照采购人的质量要求出具成果，要求对审计工作及审计报告建立健全的质量控制体系。质量保证措施得当、合理、可行，质量控制体系健全，由评委由评标委员会按其响应程度进行自主赋，缺项不得分。 措施得当、合理、可行，完全满足采购人质量要求的，计6.1-10分； 措施较为得当，基本满足采购人质量要求的，计3.1-6分； 措施一般，仅能满足采购人质量要求的，计1-3分； 不提供不计分。</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进度保证措施</w:t>
            </w:r>
          </w:p>
        </w:tc>
        <w:tc>
          <w:tcPr>
            <w:tcW w:type="dxa" w:w="2492"/>
          </w:tcPr>
          <w:p>
            <w:pPr>
              <w:pStyle w:val="null3"/>
            </w:pPr>
            <w:r>
              <w:rPr/>
              <w:t>供应商须提供针对本项目的对审计工作及审计报告的进度保证措施。措施得当、合理、可行，能够按照规定时间完成任务，制定具有可操作性的审计进度控制措施等，并附跟踪审计的阶段进行计划等；由评标委员会按其响应程度进行自主赋分，缺项不得分。 措施得当、合理、可行的，计3.1-6分； 措施可行性不高，计划不够详细的，计1-3分； 不提供不计分。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保密服务保证措施</w:t>
            </w:r>
          </w:p>
        </w:tc>
        <w:tc>
          <w:tcPr>
            <w:tcW w:type="dxa" w:w="2492"/>
          </w:tcPr>
          <w:p>
            <w:pPr>
              <w:pStyle w:val="null3"/>
            </w:pPr>
            <w:r>
              <w:rPr/>
              <w:t>供应商应保证所有与本项目有关资料严格保密，由评标委员会横向对比后赋分，缺项不得分。 措施得当、合理、可行的，计3.1-6分； 措施可行性不高，计划不够详细的，计1-3分； 不提供不计分。</w:t>
            </w:r>
          </w:p>
        </w:tc>
        <w:tc>
          <w:tcPr>
            <w:tcW w:type="dxa" w:w="831"/>
          </w:tcPr>
          <w:p>
            <w:pPr>
              <w:pStyle w:val="null3"/>
              <w:jc w:val="right"/>
            </w:pPr>
            <w:r>
              <w:rPr/>
              <w:t>6.00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供应商须提供本项目审计中的重点和难点分析</w:t>
            </w:r>
          </w:p>
        </w:tc>
        <w:tc>
          <w:tcPr>
            <w:tcW w:type="dxa" w:w="2492"/>
          </w:tcPr>
          <w:p>
            <w:pPr>
              <w:pStyle w:val="null3"/>
            </w:pPr>
            <w:r>
              <w:rPr/>
              <w:t>对项目实施过程中的重点和难点提出切实可行的方案及解决措施。 方案可行性高，解决措施得当、合理的，计7.1-11分； 方案可行性较高，解决措施较得当、合理的，计3.1-7分； 措施可行性不高，解决措施不太合理的，计1-3分； 不提供不计分。</w:t>
            </w:r>
          </w:p>
        </w:tc>
        <w:tc>
          <w:tcPr>
            <w:tcW w:type="dxa" w:w="831"/>
          </w:tcPr>
          <w:p>
            <w:pPr>
              <w:pStyle w:val="null3"/>
              <w:jc w:val="right"/>
            </w:pPr>
            <w:r>
              <w:rPr/>
              <w:t>11.00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服务承诺</w:t>
            </w:r>
          </w:p>
        </w:tc>
        <w:tc>
          <w:tcPr>
            <w:tcW w:type="dxa" w:w="2492"/>
          </w:tcPr>
          <w:p>
            <w:pPr>
              <w:pStyle w:val="null3"/>
            </w:pPr>
            <w:r>
              <w:rPr/>
              <w:t>针对本项目的采购内容、合同条款、服务期限、进度、人员到位情况、项目廉洁以及参与本项目审计人员对项目质量情况作出实质性承诺（应包含不能完全履行承诺时愿意接受相关处罚的承诺）。 能够针对上述要求作出完整实质性的承诺计3.1-8分； 基本满足上述要求且能做出相关对应的承诺计1-3分； 未提供不计分。</w:t>
            </w:r>
          </w:p>
        </w:tc>
        <w:tc>
          <w:tcPr>
            <w:tcW w:type="dxa" w:w="831"/>
          </w:tcPr>
          <w:p>
            <w:pPr>
              <w:pStyle w:val="null3"/>
              <w:jc w:val="right"/>
            </w:pPr>
            <w:r>
              <w:rPr/>
              <w:t>8.00</w:t>
            </w:r>
          </w:p>
        </w:tc>
        <w:tc>
          <w:tcPr>
            <w:tcW w:type="dxa" w:w="831"/>
          </w:tcPr>
          <w:p>
            <w:pPr>
              <w:pStyle w:val="null3"/>
            </w:pPr>
            <w:r>
              <w:rPr/>
              <w:t>主观</w:t>
            </w:r>
          </w:p>
        </w:tc>
        <w:tc>
          <w:tcPr>
            <w:tcW w:type="dxa" w:w="1661"/>
          </w:tcPr>
          <w:p>
            <w:pPr>
              <w:pStyle w:val="null3"/>
            </w:pPr>
            <w:r>
              <w:rPr/>
              <w:t>服务方案</w:t>
            </w:r>
          </w:p>
        </w:tc>
      </w:tr>
      <w:tr>
        <w:tc>
          <w:tcPr>
            <w:tcW w:type="dxa" w:w="831"/>
            <w:vMerge/>
          </w:tcPr>
          <w:p/>
        </w:tc>
        <w:tc>
          <w:tcPr>
            <w:tcW w:type="dxa" w:w="1661"/>
          </w:tcPr>
          <w:p>
            <w:pPr>
              <w:pStyle w:val="null3"/>
            </w:pPr>
            <w:r>
              <w:rPr/>
              <w:t>业绩</w:t>
            </w:r>
          </w:p>
        </w:tc>
        <w:tc>
          <w:tcPr>
            <w:tcW w:type="dxa" w:w="2492"/>
          </w:tcPr>
          <w:p>
            <w:pPr>
              <w:pStyle w:val="null3"/>
            </w:pPr>
            <w:r>
              <w:rPr/>
              <w:t>投标人近三年（2020 年 1 月 1 日至今） 完成的类似项目业绩（时间以合同签订时间为准），有 1 项得 2 分，最高得 10分。 备注：业绩以合同的复印件并加盖投标人公章为计分依据。</w:t>
            </w:r>
          </w:p>
        </w:tc>
        <w:tc>
          <w:tcPr>
            <w:tcW w:type="dxa" w:w="831"/>
          </w:tcPr>
          <w:p>
            <w:pPr>
              <w:pStyle w:val="null3"/>
              <w:jc w:val="right"/>
            </w:pPr>
            <w:r>
              <w:rPr/>
              <w:t>10.00</w:t>
            </w:r>
          </w:p>
        </w:tc>
        <w:tc>
          <w:tcPr>
            <w:tcW w:type="dxa" w:w="831"/>
          </w:tcPr>
          <w:p>
            <w:pPr>
              <w:pStyle w:val="null3"/>
            </w:pPr>
            <w:r>
              <w:rPr/>
              <w:t>主观</w:t>
            </w:r>
          </w:p>
        </w:tc>
        <w:tc>
          <w:tcPr>
            <w:tcW w:type="dxa" w:w="1661"/>
          </w:tcPr>
          <w:p>
            <w:pPr>
              <w:pStyle w:val="null3"/>
            </w:pPr>
            <w:r>
              <w:rPr/>
              <w:t>业绩证明材料</w:t>
            </w:r>
          </w:p>
        </w:tc>
      </w:tr>
      <w:tr>
        <w:tc>
          <w:tcPr>
            <w:tcW w:type="dxa" w:w="831"/>
            <w:vMerge/>
          </w:tcPr>
          <w:p/>
        </w:tc>
        <w:tc>
          <w:tcPr>
            <w:tcW w:type="dxa" w:w="1661"/>
          </w:tcPr>
          <w:p>
            <w:pPr>
              <w:pStyle w:val="null3"/>
            </w:pPr>
            <w:r>
              <w:rPr/>
              <w:t>项目人员配备</w:t>
            </w:r>
          </w:p>
        </w:tc>
        <w:tc>
          <w:tcPr>
            <w:tcW w:type="dxa" w:w="2492"/>
          </w:tcPr>
          <w:p>
            <w:pPr>
              <w:pStyle w:val="null3"/>
            </w:pPr>
            <w:r>
              <w:rPr/>
              <w:t>相关专业人员搭配合理，包括人员配备情况及业务水平、人员安排、专业配置、从业经历、参与工作经验等方面，均应满足本项目采购需求，项目团队人员配置合理，专业性强，岗位明确，其中： 1、要求拟派项目负责人（项目总负责人）具有5年以上从业经验的一级注册造价工程师（须提供证书复印件加盖公章）满足得1分； 2、造价负责人须具有注册造价工程师证书、财务负责人须具有注册会计师证书，（须提供证书复印件加盖公章），满足得2分； 3、要求拟派项目组成员最少配备具有国家一级注册造价工程师人员3名（须提供注册证书复印件加盖公章），满足得2分；每增加一名得0.5分，最多得1分。 4、要求拟派项目组成员最少配备注册会计师3名，提供证书复印件加盖公章），满足得2分；每增加一名得0.5分，最多得1分。 备注：相关人员须是本公司在职人员，提供相关证明材料。</w:t>
            </w:r>
          </w:p>
        </w:tc>
        <w:tc>
          <w:tcPr>
            <w:tcW w:type="dxa" w:w="831"/>
          </w:tcPr>
          <w:p>
            <w:pPr>
              <w:pStyle w:val="null3"/>
              <w:jc w:val="right"/>
            </w:pPr>
            <w:r>
              <w:rPr/>
              <w:t>9.00</w:t>
            </w:r>
          </w:p>
        </w:tc>
        <w:tc>
          <w:tcPr>
            <w:tcW w:type="dxa" w:w="831"/>
          </w:tcPr>
          <w:p>
            <w:pPr>
              <w:pStyle w:val="null3"/>
            </w:pPr>
            <w:r>
              <w:rPr/>
              <w:t>主观</w:t>
            </w:r>
          </w:p>
        </w:tc>
        <w:tc>
          <w:tcPr>
            <w:tcW w:type="dxa" w:w="1661"/>
          </w:tcPr>
          <w:p>
            <w:pPr>
              <w:pStyle w:val="null3"/>
            </w:pPr>
            <w:r>
              <w:rPr/>
              <w:t>服务方案</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采用低价优先法计算，即满足磋商文件要求且最后报价最低的供应商的价格为磋商基准价，其价格分为满分。 磋商报价得分＝（磋商基准价/最后磋商报价）×10</w:t>
            </w:r>
          </w:p>
        </w:tc>
        <w:tc>
          <w:tcPr>
            <w:tcW w:type="dxa" w:w="831"/>
          </w:tcPr>
          <w:p>
            <w:pPr>
              <w:pStyle w:val="null3"/>
              <w:jc w:val="right"/>
            </w:pPr>
            <w:r>
              <w:rPr/>
              <w:t>10.00</w:t>
            </w:r>
          </w:p>
        </w:tc>
        <w:tc>
          <w:tcPr>
            <w:tcW w:type="dxa" w:w="831"/>
          </w:tcPr>
          <w:p>
            <w:pPr>
              <w:pStyle w:val="null3"/>
            </w:pPr>
            <w:r>
              <w:rPr/>
              <w:t>客观</w:t>
            </w:r>
          </w:p>
        </w:tc>
        <w:tc>
          <w:tcPr>
            <w:tcW w:type="dxa" w:w="1661"/>
          </w:tcPr>
          <w:p>
            <w:pPr>
              <w:pStyle w:val="null3"/>
            </w:pPr>
            <w:r>
              <w:rPr/>
              <w:t>标的清单</w:t>
            </w:r>
          </w:p>
          <w:p>
            <w:pPr>
              <w:pStyle w:val="null3"/>
            </w:pPr>
            <w:r>
              <w:rPr/>
              <w:t>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详见附件：报价表</w:t>
      </w:r>
    </w:p>
    <w:p>
      <w:pPr>
        <w:pStyle w:val="null3"/>
        <w:ind w:firstLine="960"/>
      </w:pPr>
      <w:r>
        <w:rPr/>
        <w:t>详见附件：商务条款偏离表</w:t>
      </w:r>
    </w:p>
    <w:p>
      <w:pPr>
        <w:pStyle w:val="null3"/>
        <w:ind w:firstLine="960"/>
      </w:pPr>
      <w:r>
        <w:rPr/>
        <w:t>详见附件：供应商承诺书</w:t>
      </w:r>
    </w:p>
    <w:p>
      <w:pPr>
        <w:pStyle w:val="null3"/>
        <w:ind w:firstLine="960"/>
      </w:pPr>
      <w:r>
        <w:rPr/>
        <w:t>详见附件：资格证明文件</w:t>
      </w:r>
    </w:p>
    <w:p>
      <w:pPr>
        <w:pStyle w:val="null3"/>
        <w:ind w:firstLine="960"/>
      </w:pPr>
      <w:r>
        <w:rPr/>
        <w:t>详见附件：业绩证明材料</w:t>
      </w:r>
    </w:p>
    <w:p>
      <w:pPr>
        <w:pStyle w:val="null3"/>
        <w:ind w:firstLine="960"/>
      </w:pPr>
      <w:r>
        <w:rPr/>
        <w:t>详见附件：标的清单</w:t>
      </w:r>
    </w:p>
    <w:p>
      <w:pPr>
        <w:pStyle w:val="null3"/>
        <w:ind w:firstLine="960"/>
      </w:pPr>
      <w:r>
        <w:rPr/>
        <w:t>详见附件：服务方案</w:t>
      </w:r>
    </w:p>
    <w:p>
      <w:pPr>
        <w:pStyle w:val="null3"/>
      </w:pPr>
      <w:r>
        <w:rPr/>
        <w:t xml:space="preserve"> </w:t>
      </w:r>
    </w:p>
    <w:p>
      <w:pPr>
        <w:pStyle w:val="null3"/>
        <w:jc w:val="center"/>
        <w:outlineLvl w:val="1"/>
      </w:pPr>
      <w:r>
        <w:rPr>
          <w:b/>
          <w:sz w:val="36"/>
        </w:rPr>
        <w:t>第八章 拟签订采购合同文本</w:t>
      </w:r>
    </w:p>
    <w:p>
      <w:pPr>
        <w:pStyle w:val="null3"/>
      </w:pPr>
      <w:r>
        <w:rPr/>
        <w:t>详见附件：合同.docx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