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outlineLvl w:val="1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四、商务条款偏离表</w:t>
      </w:r>
    </w:p>
    <w:bookmarkEnd w:id="0"/>
    <w:p>
      <w:pPr>
        <w:pStyle w:val="2"/>
        <w:widowControl w:val="0"/>
        <w:spacing w:before="0" w:beforeAutospacing="0" w:after="0" w:afterAutospacing="0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>
      <w:pPr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highlight w:val="none"/>
        </w:rPr>
        <w:t>项目名称：</w:t>
      </w:r>
    </w:p>
    <w:p>
      <w:pPr>
        <w:pStyle w:val="2"/>
        <w:widowControl w:val="0"/>
        <w:spacing w:beforeLines="50" w:beforeAutospacing="0" w:afterLines="50" w:afterAutospacing="0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项目</w:t>
      </w:r>
      <w:r>
        <w:rPr>
          <w:rFonts w:hint="eastAsia" w:ascii="仿宋" w:hAnsi="仿宋" w:eastAsia="仿宋" w:cs="仿宋"/>
          <w:color w:val="auto"/>
          <w:highlight w:val="none"/>
        </w:rPr>
        <w:t xml:space="preserve">编号： 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 xml:space="preserve">                                    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磋商文件条目号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磋商文件的商务条款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磋商响应文件的商务条款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>
      <w:pPr>
        <w:pStyle w:val="2"/>
        <w:widowControl w:val="0"/>
        <w:spacing w:before="0" w:beforeAutospacing="0" w:after="0" w:afterAutospacing="0" w:line="560" w:lineRule="exac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说明：</w:t>
      </w:r>
    </w:p>
    <w:p>
      <w:pPr>
        <w:pStyle w:val="2"/>
        <w:widowControl w:val="0"/>
        <w:spacing w:before="0" w:beforeAutospacing="0" w:after="0" w:afterAutospacing="0" w:line="56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>
      <w:pPr>
        <w:pStyle w:val="2"/>
        <w:widowControl w:val="0"/>
        <w:spacing w:before="0" w:beforeAutospacing="0" w:after="0" w:afterAutospacing="0" w:line="560" w:lineRule="exact"/>
        <w:ind w:firstLine="48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2.供应商必须据实填写，不得虚假响应，否则将取消其磋商或成交资格，并按有关规定进处罚。</w:t>
      </w:r>
    </w:p>
    <w:p>
      <w:pPr>
        <w:pStyle w:val="2"/>
        <w:widowControl w:val="0"/>
        <w:spacing w:before="0" w:beforeAutospacing="0" w:after="0" w:afterAutospacing="0" w:line="560" w:lineRule="exact"/>
        <w:rPr>
          <w:rFonts w:hint="eastAsia" w:ascii="仿宋" w:hAnsi="仿宋" w:eastAsia="仿宋" w:cs="仿宋"/>
          <w:color w:val="auto"/>
          <w:highlight w:val="none"/>
        </w:rPr>
      </w:pPr>
    </w:p>
    <w:p>
      <w:pPr>
        <w:spacing w:line="280" w:lineRule="exact"/>
        <w:ind w:right="617" w:rightChars="257" w:firstLine="2400" w:firstLineChars="1000"/>
        <w:jc w:val="left"/>
        <w:rPr>
          <w:rFonts w:hint="eastAsia" w:ascii="仿宋" w:hAnsi="仿宋" w:eastAsia="仿宋" w:cs="仿宋"/>
          <w:color w:val="auto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highlight w:val="none"/>
        </w:rPr>
        <w:t>（加盖单位公章）</w:t>
      </w:r>
    </w:p>
    <w:p>
      <w:pPr>
        <w:spacing w:line="280" w:lineRule="exact"/>
        <w:ind w:right="617" w:rightChars="257"/>
        <w:jc w:val="left"/>
        <w:rPr>
          <w:rFonts w:hint="eastAsia" w:ascii="仿宋" w:hAnsi="仿宋" w:eastAsia="仿宋" w:cs="仿宋"/>
          <w:color w:val="auto"/>
          <w:highlight w:val="none"/>
        </w:rPr>
      </w:pPr>
    </w:p>
    <w:p>
      <w:pPr>
        <w:spacing w:line="500" w:lineRule="exact"/>
        <w:ind w:firstLine="2480" w:firstLineChars="1000"/>
        <w:jc w:val="left"/>
        <w:rPr>
          <w:rFonts w:hint="eastAsia" w:ascii="仿宋" w:hAnsi="仿宋" w:eastAsia="仿宋" w:cs="仿宋"/>
          <w:color w:val="auto"/>
          <w:spacing w:val="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highlight w:val="none"/>
        </w:rPr>
        <w:t>法定代表人或被授权人：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pacing w:val="4"/>
          <w:highlight w:val="none"/>
        </w:rPr>
        <w:t>（签字或盖章）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k0M2Q4ZTg0YzdlY2ZjMmFjY2ViYmQ5OTQ1N2FkM2YifQ=="/>
  </w:docVars>
  <w:rsids>
    <w:rsidRoot w:val="00000000"/>
    <w:rsid w:val="00953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Calibri" w:eastAsia="宋体" w:cs="Times New Roman"/>
      <w:sz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2023-12-20T07:46:29Z</dcterms:created>
  <dc:creator>Administrator</dc:creator>
  <cp:lastModifiedBy>艳儿</cp:lastModifiedBy>
  <dcterms:modified xsi:type="dcterms:W3CDTF">2023-12-20T07:46:34Z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67686A52EB264B8DA36F27EB365643E2_12</vt:lpwstr>
  </property>
</Properties>
</file>