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 xml:space="preserve">采购需求：新城区西农社区及周边区域棚改项目现场实施数字化服务，1项，围绕提高项目管理水平，促进阳光征收，保障项目平稳有序实施的总体目标，做到互联互通、信息共享、高效运作。 </w:t>
      </w:r>
    </w:p>
    <w:tbl>
      <w:tblPr>
        <w:tblStyle w:val="5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75"/>
        <w:gridCol w:w="1879"/>
        <w:gridCol w:w="968"/>
        <w:gridCol w:w="1639"/>
        <w:gridCol w:w="162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品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目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(单位)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技术规格、参数及要求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品目预算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最高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数字化服务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西农社区及周边区域棚改项目征收管理系统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  <w:t>1(项)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  <w:t>详见采购文件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450000.00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450000.00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YWI4YTBmMzJlNWI0MWY2MjZmNzg1N2ViZDE5MWUifQ=="/>
  </w:docVars>
  <w:rsids>
    <w:rsidRoot w:val="1E5511A2"/>
    <w:rsid w:val="1E5511A2"/>
    <w:rsid w:val="75D2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2024-01-16T08:13:00Z</dcterms:created>
  <dc:creator>李蹊</dc:creator>
  <cp:lastModifiedBy>李蹊</cp:lastModifiedBy>
  <dcterms:modified xsi:type="dcterms:W3CDTF">2024-01-16T08:14:07Z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2FD0FDE4423D4104BB22F613D4F1A7B2_11</vt:lpwstr>
  </property>
</Properties>
</file>