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center"/>
        <w:textAlignment w:val="auto"/>
        <w:outlineLvl w:val="0"/>
        <w:rPr>
          <w:rFonts w:hint="eastAsia" w:ascii="宋体" w:hAnsi="宋体" w:eastAsia="宋体" w:cs="宋体"/>
          <w:b/>
          <w:bCs/>
          <w:color w:val="auto"/>
          <w:sz w:val="44"/>
          <w:szCs w:val="44"/>
          <w:lang w:val="zh-CN"/>
        </w:rPr>
      </w:pPr>
      <w:bookmarkStart w:id="0" w:name="_Toc456623123"/>
      <w:r>
        <w:rPr>
          <w:rFonts w:hint="eastAsia" w:ascii="宋体" w:hAnsi="宋体" w:eastAsia="宋体" w:cs="宋体"/>
          <w:b/>
          <w:bCs/>
          <w:color w:val="auto"/>
          <w:sz w:val="32"/>
          <w:szCs w:val="32"/>
          <w:highlight w:val="none"/>
        </w:rPr>
        <w:t>采购内容及要求</w:t>
      </w:r>
    </w:p>
    <w:bookmarkEnd w:id="0"/>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本次招标内容主要为西安市碑林区南院门27号院机关餐厅、东门市民服务中心及标新街应急局餐厅食材供应配送服务采购，供应商需根据采购人要求提供其食堂所需的主副食品，主要内容包括米面油、干货副食、调料、蛋奶、肉制品、蔬菜、禽类、水产品、豆制品、水果等。</w:t>
      </w:r>
    </w:p>
    <w:p>
      <w:pPr>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bCs/>
          <w:color w:val="auto"/>
          <w:sz w:val="24"/>
          <w:szCs w:val="24"/>
          <w:highlight w:val="none"/>
          <w:lang w:val="zh-CN" w:eastAsia="zh-CN"/>
        </w:rPr>
        <w:t>本项目所属行业为餐饮业。</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本项目分</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zh-CN"/>
        </w:rPr>
        <w:t>个包：</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3583"/>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w:t>
            </w:r>
            <w:r>
              <w:rPr>
                <w:rFonts w:hint="eastAsia" w:ascii="宋体" w:hAnsi="宋体" w:eastAsia="宋体" w:cs="宋体"/>
                <w:sz w:val="24"/>
                <w:szCs w:val="24"/>
              </w:rPr>
              <w:t>包</w:t>
            </w:r>
            <w:r>
              <w:rPr>
                <w:rFonts w:hint="eastAsia" w:ascii="宋体" w:hAnsi="宋体" w:eastAsia="宋体" w:cs="宋体"/>
                <w:sz w:val="24"/>
                <w:szCs w:val="24"/>
                <w:lang w:eastAsia="zh-CN"/>
              </w:rPr>
              <w:t>号</w:t>
            </w:r>
          </w:p>
        </w:tc>
        <w:tc>
          <w:tcPr>
            <w:tcW w:w="210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sz w:val="24"/>
                <w:szCs w:val="24"/>
              </w:rPr>
              <w:t>服务地点</w:t>
            </w:r>
          </w:p>
        </w:tc>
        <w:tc>
          <w:tcPr>
            <w:tcW w:w="244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sz w:val="24"/>
                <w:szCs w:val="24"/>
              </w:rPr>
              <w:t>配送内容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合同包1</w:t>
            </w:r>
          </w:p>
        </w:tc>
        <w:tc>
          <w:tcPr>
            <w:tcW w:w="210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sz w:val="24"/>
                <w:szCs w:val="24"/>
                <w:lang w:val="zh-CN"/>
              </w:rPr>
              <w:t>西安市碑林区南院门27号院机关餐厅</w:t>
            </w:r>
          </w:p>
        </w:tc>
        <w:tc>
          <w:tcPr>
            <w:tcW w:w="244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lang w:eastAsia="zh-CN"/>
              </w:rPr>
              <w:t>米面油、干货调料、蛋类、水果、奶制品等</w:t>
            </w:r>
            <w:r>
              <w:rPr>
                <w:rFonts w:hint="eastAsia" w:ascii="宋体" w:hAnsi="宋体" w:eastAsia="宋体" w:cs="宋体"/>
                <w:sz w:val="24"/>
                <w:szCs w:val="24"/>
              </w:rPr>
              <w:t>食材配送服务等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eastAsia="宋体" w:cs="宋体"/>
                <w:sz w:val="24"/>
                <w:szCs w:val="24"/>
                <w:lang w:val="en-US"/>
              </w:rPr>
            </w:pPr>
            <w:r>
              <w:rPr>
                <w:rFonts w:hint="eastAsia" w:ascii="宋体" w:hAnsi="宋体" w:eastAsia="宋体" w:cs="宋体"/>
                <w:sz w:val="24"/>
                <w:szCs w:val="24"/>
                <w:lang w:val="en-US" w:eastAsia="zh-CN"/>
              </w:rPr>
              <w:t>合同包2</w:t>
            </w:r>
          </w:p>
        </w:tc>
        <w:tc>
          <w:tcPr>
            <w:tcW w:w="210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sz w:val="24"/>
                <w:szCs w:val="24"/>
                <w:lang w:val="zh-CN"/>
              </w:rPr>
              <w:t>西安市碑林区南院门27号院机关餐厅</w:t>
            </w:r>
          </w:p>
        </w:tc>
        <w:tc>
          <w:tcPr>
            <w:tcW w:w="244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蔬菜、禽类、</w:t>
            </w:r>
            <w:r>
              <w:rPr>
                <w:rFonts w:hint="eastAsia" w:ascii="宋体" w:hAnsi="宋体" w:eastAsia="宋体" w:cs="宋体"/>
                <w:sz w:val="24"/>
                <w:szCs w:val="24"/>
                <w:lang w:val="en-US" w:eastAsia="zh-CN"/>
              </w:rPr>
              <w:t>肉制品、</w:t>
            </w:r>
            <w:r>
              <w:rPr>
                <w:rFonts w:hint="eastAsia" w:ascii="宋体" w:hAnsi="宋体" w:eastAsia="宋体" w:cs="宋体"/>
                <w:sz w:val="24"/>
                <w:szCs w:val="24"/>
              </w:rPr>
              <w:t>水产品、豆制品等食材配送服务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eastAsia="宋体" w:cs="宋体"/>
                <w:sz w:val="24"/>
                <w:szCs w:val="24"/>
                <w:lang w:val="en-US"/>
              </w:rPr>
            </w:pPr>
            <w:r>
              <w:rPr>
                <w:rFonts w:hint="eastAsia" w:ascii="宋体" w:hAnsi="宋体" w:eastAsia="宋体" w:cs="宋体"/>
                <w:sz w:val="24"/>
                <w:szCs w:val="24"/>
                <w:lang w:val="en-US" w:eastAsia="zh-CN"/>
              </w:rPr>
              <w:t>合同包3</w:t>
            </w:r>
          </w:p>
        </w:tc>
        <w:tc>
          <w:tcPr>
            <w:tcW w:w="210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sz w:val="24"/>
                <w:szCs w:val="24"/>
                <w:lang w:val="zh-CN"/>
              </w:rPr>
            </w:pPr>
            <w:r>
              <w:rPr>
                <w:rFonts w:hint="eastAsia" w:ascii="宋体" w:hAnsi="宋体" w:eastAsia="宋体" w:cs="宋体"/>
                <w:sz w:val="24"/>
                <w:szCs w:val="24"/>
              </w:rPr>
              <w:t>西安市碑林区东门市民服务中心及标新街应急局餐厅</w:t>
            </w:r>
          </w:p>
        </w:tc>
        <w:tc>
          <w:tcPr>
            <w:tcW w:w="2444" w:type="pct"/>
            <w:noWrap w:val="0"/>
            <w:vAlign w:val="center"/>
          </w:tcPr>
          <w:p>
            <w:pPr>
              <w:keepNext/>
              <w:keepLines/>
              <w:pageBreakBefore w:val="0"/>
              <w:widowControl w:val="0"/>
              <w:numPr>
                <w:ilvl w:val="3"/>
                <w:numId w:val="0"/>
              </w:numPr>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米面油、干货副食、调料、蛋奶、肉制品</w:t>
            </w:r>
            <w:r>
              <w:rPr>
                <w:rFonts w:hint="eastAsia" w:ascii="宋体" w:hAnsi="宋体" w:eastAsia="宋体" w:cs="宋体"/>
                <w:sz w:val="24"/>
                <w:szCs w:val="24"/>
                <w:lang w:eastAsia="zh-CN"/>
              </w:rPr>
              <w:t>、</w:t>
            </w:r>
            <w:r>
              <w:rPr>
                <w:rFonts w:hint="eastAsia" w:ascii="宋体" w:hAnsi="宋体" w:eastAsia="宋体" w:cs="宋体"/>
                <w:sz w:val="24"/>
                <w:szCs w:val="24"/>
              </w:rPr>
              <w:t>蔬菜、禽类、水产品</w:t>
            </w:r>
            <w:r>
              <w:rPr>
                <w:rFonts w:hint="eastAsia" w:ascii="宋体" w:hAnsi="宋体" w:eastAsia="宋体" w:cs="宋体"/>
                <w:sz w:val="24"/>
                <w:szCs w:val="24"/>
                <w:lang w:eastAsia="zh-CN"/>
              </w:rPr>
              <w:t>、</w:t>
            </w:r>
            <w:r>
              <w:rPr>
                <w:rFonts w:hint="eastAsia" w:ascii="宋体" w:hAnsi="宋体" w:eastAsia="宋体" w:cs="宋体"/>
                <w:sz w:val="24"/>
                <w:szCs w:val="24"/>
              </w:rPr>
              <w:t>豆制品等食材配送服务</w:t>
            </w:r>
          </w:p>
        </w:tc>
      </w:tr>
    </w:tbl>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二、服务</w:t>
      </w:r>
      <w:r>
        <w:rPr>
          <w:rFonts w:hint="eastAsia" w:ascii="宋体" w:hAnsi="宋体" w:eastAsia="宋体" w:cs="宋体"/>
          <w:b/>
          <w:bCs/>
          <w:sz w:val="24"/>
          <w:szCs w:val="24"/>
        </w:rPr>
        <w:t>要求</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供应商根据采购人要求将采购的主副食品定时送至指定地点。</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交货期：接到采购人通知第二日送达，或按采购人要求。</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送货地址:采购人指定地点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rPr>
        <w:t>三、</w:t>
      </w:r>
      <w:r>
        <w:rPr>
          <w:rFonts w:hint="eastAsia" w:ascii="宋体" w:hAnsi="宋体" w:eastAsia="宋体" w:cs="宋体"/>
          <w:b/>
          <w:bCs/>
          <w:sz w:val="24"/>
          <w:szCs w:val="24"/>
          <w:lang w:val="zh-CN"/>
        </w:rPr>
        <w:t>包装与质量要求</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1、货物包装应完好无破漏，可视的内容物无腐败霉变或影响使用的变型，不存在危及人身、财产安全的不合理危险。</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2、食品包装标签应符合《食品安全国家标准预包装食品标签通则》（GB 7718-2011）要求，包括食品名称、配料表、净含量、规格、制造商（或）经销者的名称、地址和联系方式、生产日期和保质期、贮存条件、食品生产许可证编号、产品标准代号等内容。</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3、供应商配送的食品应当符合《产品质量法》和《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 被有毒有害物质污染，可能对人体健康有害的物品。</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4、不得提供未经检疫或者检疫不合格的肉类品(含熟制品)、蔬菜制品，对带骨头肉制品按要求切块，须当批次《肉类卫生防疫证明》和蔬菜农药残留检测报告供采购人随时抽查，抽查发现供应商提供的物资合格证明材料与本批次物资不符时，每次给予1000元处罚。</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5、不得提供来历不明、不能提供相应产品标签的散装物品。</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6、当天送达食品，在检查过程中发现存在变质腐败、油脂酸败、霉变、生虫、污秽不洁、混有异物或者其他感官性状异常、含有毒有害物质或者被有毒有害物质污染，可能对人体健康有害的物品，供应商必须在当天及时免费更换货物，如有造成的损失由供应商承担。</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7、供应商提供的物资必须达到国家规定的卫生安全标准，蔬菜、禽蛋、畜禽肉类等食品能够按有相应的质量检疫检验报告供采购人随时抽查，抽查发现供应商提供的报告与本批次物资不符时，采购人按本批物资量合同价值的3倍给予处罚。</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8、物资产品在送达采购人指定地点时保质期剩余时间应在三分之二以上。</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9、如因供应商提供的物资，因质量等问题而使采购人人员发生食物中毒等食品安全责任事件的，供应商将承担相应的法律责任。</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10、供应商配送的食品应无毒、无害，具有完好的形、色、香、味等性状，并符合下述质量要求:</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（1）干货、调味品及其他类供货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产品无发霉、无变质、无变味、不掺杂、不掺假、不掺水、干货无受潮；</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产品包装应该有产品名称、厂名、厂址或出产地等，应有产品质量合格证明；</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产品生产厂家应持有卫生许可证；产品应符合国家食品卫生法规规定的标准。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（2）大米供货：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包装要求:独立包装；每袋25KG,质量符合国家标准GB1354-2009一级粳米标准要求（须提供产品的检验报告或其他证明材料）；原料为100%非转基因水稻，便于运输，储存，外包装上必须标明生产日期，保质期，执行标准，储存条件，生产厂家，产地等。</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（3）面粉供货: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面粉:应符合《馒头用小麦粉》(LS/T 3204-1993)标准指标要求(遇国家修改标准，自新标准施行之日起采用新标 准)；水分≤14.0%;灰分(以干基计)≤0.70%；粗细度:全部通过 GB36 号筛；湿面筋 25.0%~30.0%；粉质曲线稳定时间≥3.0min;降落数值≥250s；含砂量≤0.02%；磁性金属物≤0.003g/Kg；气味、口感:正常。</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（4）食用油供货: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食用油为非转基因食用油，品牌必须由采购人指定，应符合“国家标准一级”产品质量标准。</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食用油应外包装完好，有SC标志，标明品名、厂名、重量、生产日期、保质期或保存期、执行标准，剩余保存期不少于保质期的三分之二，具有产品合格证。具有正常植物油的色泽、透明度、气味和滋味，无焦臭、酸败及其他异味。</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（5）豆制品供货：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豆腐、豆腐干、绿豆芽、黄豆芽、红豆等；须保证食材干净、不含非食品用化学物质、按统一标准加工、码放整齐、无须二次处理可以直接进行熟加工。</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（6）蔬菜供货: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供应商销售给采购人的蔬菜应当是新鲜、青嫩、干净、无腐烂、无杂质、无杂草、无黄叶、无老叶、无浸水泡水或注水，并提供农药残留检测报告。</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新鲜指各类蔬菜无腐烂、变质、无臭水伤味、无糟软状态，尤其是黄、绿豆芽鲜菌类应保持应有的新鲜度；</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青嫩是指绝大多数蔬菜(除冬瓜、南瓜等外)不但青而且嫩; 豆角类及葫芦瓜等要保持青色，外壳不能呈白色;青菜类和白菜类的外叶折断时不能有丝相连不断连的现象;丝瓜、苦瓜等折而易断;鲜蒜叶子不黄，头部与杆部一般大小相同;干净、无杂质、无杂草泛指各类蔬菜，特别是根(块)茎类的蔬菜不能有泥巴，鲜蒜、香葱、香菜、洋葱等的根部要干净；</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无黄叶、老叶主要指青菜、白菜类不能有老叶，鲜蒜、香葱等的杆部应当见白；</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无浸水、泡水或注水主要指白菜类(含花菜)、瓜果类、鲜 菌类及根(块)茎类蔬菜不能浸水、泡水或注水；</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净菜率须在 95%以上。</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（7）肉制品类、禽类供货: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产品为在政府规定的屠宰场所屠杀的生鲜禽畜肉；</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产品应符合国家食品安全标准；</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产品非病死禽畜肉；</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产品非“注水”禽畜肉、母猪肉、老猪肉；</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产品应经检验、检疫合格，有相应的检验、检疫证明，有当地卫生主管部门出具的动物检疫合格证明、有当地政府部门定点屠宰厂“瘦肉精”残留检测合格证明和肉品品质检验合格证供采购人随时抽查，抽查发现供应商提供的证明材料与鲜肉不符时，采购人按本批鲜肉量合同价值的3倍给予处罚。</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新鲜的肉类，表面有光泽，颜色均匀，有弹性，不得呈现青紫色死斑。</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（8）水产品供货：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鱼类要求体表光滑无病灶，有鲜鱼鳞片完整，无鳞鱼无浑浊粘液，肉质干燥，紧密，呈白色或淡黄色眼球外突饱满透明，鳃丝清晰鲜红或暗红，保持活体状态固有本色，无异味，鱼类肌肉紧密有弹性，内脏清晰可辨无腐烂。</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（9）水果类供货:</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果形完整、质地好、新鲜，无影响消费的腐烂变质;清洁，基本不含可见异物，无坏死斑块，无明显的机械伤，基本无虫害，无冷害，无异常的外部水分，但冷藏取出后的冷凝水除外;无异常气味和味道，发育充分，达到适当的成熟度；带柄时，其长度不能超过1cm。</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r>
        <w:rPr>
          <w:rFonts w:hint="eastAsia" w:ascii="宋体" w:hAnsi="宋体" w:eastAsia="宋体" w:cs="宋体"/>
          <w:b/>
          <w:bCs/>
          <w:sz w:val="24"/>
          <w:szCs w:val="24"/>
        </w:rPr>
        <w:t>四、</w:t>
      </w:r>
      <w:r>
        <w:rPr>
          <w:rFonts w:hint="eastAsia" w:ascii="宋体" w:hAnsi="宋体" w:eastAsia="宋体" w:cs="宋体"/>
          <w:b/>
          <w:bCs/>
          <w:sz w:val="24"/>
          <w:szCs w:val="24"/>
          <w:lang w:val="zh-CN"/>
        </w:rPr>
        <w:t>运输要求</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服务、产品（如有）执行的标准、规范：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（1）国家标准、规范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（2）行业标准、规范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（3）地方标准、规范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（4）企业标准、规范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条款未明确服务执行标准、规范的，则按下列方法进行选择：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顺序执行：国家标准→行业标准→地方标准→企业标准（有国家标准按国家标准执行，没有国家标准按行业标准，以此类推）；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最高标准执行：国家标准，行业标准，地方标准，企业标准（那个标准高执行那个标准）；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必须执行：国家、行业强制性标准。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商务要求</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服务期限：自合同签订之日起1年</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（2）服务地点：按采购人指定地点</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（3）询价方式</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（一）每个月询价一至二次。</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二）以不少于三家同等规模大型批发市场或超市，同品牌，同规格食材挂牌价价格的算术平均值为准。该价格为本询价周期的单价，各供应商在此基础上填报各自折扣率，折扣后实际产生的费用为各供应商完成本次招标所要求的货物、服务且验收合格的所有费用，包括但不限于产品费、包装费、运输费、储存费、人工费、保险费、税费及其它可能产生的所有费用，并承担送货途中的一切风险。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合同款的支付：</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zh-CN"/>
        </w:rPr>
        <w:t>由采购人负责款项结算，采购人根据月检查考核结果于次月20日前向供应商支付上一月服务费。如遇重大节日或不确定因素，酌情顺延。在采购人付款前3日，供应商须开具等额发票。</w:t>
      </w:r>
    </w:p>
    <w:p>
      <w:pPr>
        <w:spacing w:line="360" w:lineRule="auto"/>
        <w:ind w:firstLine="480" w:firstLineChars="200"/>
        <w:rPr>
          <w:rFonts w:hint="eastAsia" w:ascii="宋体" w:hAnsi="宋体" w:eastAsia="宋体" w:cs="宋体"/>
          <w:b/>
          <w:sz w:val="24"/>
          <w:szCs w:val="24"/>
          <w:highlight w:val="yellow"/>
        </w:rPr>
      </w:pPr>
      <w:r>
        <w:rPr>
          <w:rFonts w:hint="eastAsia" w:ascii="宋体" w:hAnsi="宋体" w:eastAsia="宋体" w:cs="宋体"/>
          <w:b w:val="0"/>
          <w:bCs w:val="0"/>
          <w:color w:val="auto"/>
          <w:sz w:val="24"/>
          <w:szCs w:val="24"/>
          <w:highlight w:val="none"/>
          <w:lang w:val="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rPr>
        <w:t>支付方式：银行转账。</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七、中标候选人推荐方式：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由3个合同包组成，各投标人可同时参与3个合同包的投标及评审，按照合同包1、合同包2、合同包3的顺序进行评审，合同包1、合同包2、合同包3的中标人不能为同一投标人，由评标委员会按综合评分法分别确定中标候选人，其中每一合同包的第一中标候选人都可参与其他合同包的评审但不能成为其他合同包的第一中标候选人。</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DQyNGFjYzdhM2MxYTRiNDAwYzJkODhhZDJmZWUifQ=="/>
  </w:docVars>
  <w:rsids>
    <w:rsidRoot w:val="52944A8C"/>
    <w:rsid w:val="5294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widowControl w:val="0"/>
      <w:spacing w:line="600" w:lineRule="exact"/>
      <w:jc w:val="center"/>
      <w:outlineLvl w:val="3"/>
    </w:pPr>
    <w:rPr>
      <w:rFonts w:ascii="楷体_GB2312" w:eastAsia="楷体_GB2312"/>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2023-10-08T14:26:00Z</dcterms:created>
  <dc:creator>爽爽</dc:creator>
  <cp:lastModifiedBy>爽爽</cp:lastModifiedBy>
  <dcterms:modified xsi:type="dcterms:W3CDTF">2023-10-08T14:27:22Z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38529DC461504D57A2EEA6FAF71DB901_11</vt:lpwstr>
  </property>
</Properties>
</file>