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碑林区通义巷西段、交大街南段绿化道路提升改造项目</w:t>
      </w:r>
    </w:p>
    <w:p>
      <w:pPr>
        <w:pStyle w:val="null3"/>
        <w:jc w:val="center"/>
        <w:outlineLvl w:val="2"/>
      </w:pPr>
      <w:r>
        <w:rPr>
          <w:b/>
          <w:sz w:val="28"/>
        </w:rPr>
        <w:t>采购项目编号：</w:t>
      </w:r>
      <w:r>
        <w:rPr>
          <w:b/>
          <w:sz w:val="28"/>
        </w:rPr>
        <w:t>ZYZB2023-CS1245</w:t>
      </w:r>
      <w:r>
        <w:br/>
      </w:r>
      <w:r>
        <w:br/>
      </w:r>
      <w:r>
        <w:br/>
      </w:r>
    </w:p>
    <w:p>
      <w:pPr>
        <w:pStyle w:val="null3"/>
        <w:jc w:val="center"/>
        <w:outlineLvl w:val="2"/>
      </w:pPr>
      <w:r>
        <w:rPr>
          <w:b/>
          <w:sz w:val="28"/>
        </w:rPr>
        <w:t>西安市碑林区城市管理局（本级）</w:t>
      </w:r>
    </w:p>
    <w:p>
      <w:pPr>
        <w:pStyle w:val="null3"/>
        <w:jc w:val="center"/>
        <w:outlineLvl w:val="2"/>
      </w:pPr>
      <w:r>
        <w:rPr>
          <w:b/>
          <w:sz w:val="28"/>
        </w:rPr>
        <w:t>陕西正翼项目管理咨询有限公司</w:t>
      </w:r>
      <w:r>
        <w:rPr>
          <w:b/>
          <w:sz w:val="28"/>
        </w:rPr>
        <w:t>共同编制</w:t>
      </w:r>
    </w:p>
    <w:p>
      <w:pPr>
        <w:pStyle w:val="null3"/>
        <w:jc w:val="center"/>
        <w:outlineLvl w:val="2"/>
      </w:pPr>
      <w:r>
        <w:rPr>
          <w:b/>
          <w:sz w:val="28"/>
        </w:rPr>
        <w:t>2023年12月25日</w:t>
      </w:r>
    </w:p>
    <w:p>
      <w:pPr>
        <w:pStyle w:val="null3"/>
      </w:pPr>
      <w:r>
        <w:rPr/>
        <w:t xml:space="preserve"> </w:t>
      </w:r>
    </w:p>
    <w:p>
      <w:pPr>
        <w:pStyle w:val="null3"/>
        <w:jc w:val="center"/>
        <w:outlineLvl w:val="1"/>
      </w:pPr>
      <w:r>
        <w:rPr>
          <w:b/>
          <w:sz w:val="36"/>
        </w:rPr>
        <w:t>第一章 竞争性磋商邀请</w:t>
      </w:r>
    </w:p>
    <w:p>
      <w:pPr>
        <w:pStyle w:val="null3"/>
        <w:ind w:firstLine="480"/>
      </w:pPr>
      <w:r>
        <w:rPr/>
        <w:t>陕西正翼项目管理咨询有限公司</w:t>
      </w:r>
      <w:r>
        <w:rPr/>
        <w:t>（以下简称“代理机构”）受</w:t>
      </w:r>
      <w:r>
        <w:rPr/>
        <w:t>西安市碑林区城市管理局（本级）</w:t>
      </w:r>
      <w:r>
        <w:rPr/>
        <w:t>委托，拟对</w:t>
      </w:r>
      <w:r>
        <w:rPr/>
        <w:t>碑林区通义巷西段、交大街南段绿化道路提升改造项目</w:t>
      </w:r>
      <w:r>
        <w:rPr/>
        <w:t>采用竞争性磋商采购方式进行采购，兹邀请供应商参加本项目的竞争性磋商。</w:t>
      </w:r>
    </w:p>
    <w:p>
      <w:pPr>
        <w:pStyle w:val="null3"/>
        <w:outlineLvl w:val="2"/>
      </w:pPr>
      <w:r>
        <w:rPr>
          <w:b/>
          <w:sz w:val="28"/>
        </w:rPr>
        <w:t>一、采购项目编号：</w:t>
      </w:r>
      <w:r>
        <w:rPr>
          <w:b/>
          <w:sz w:val="28"/>
        </w:rPr>
        <w:t>ZYZB2023-CS1245</w:t>
      </w:r>
    </w:p>
    <w:p>
      <w:pPr>
        <w:pStyle w:val="null3"/>
        <w:outlineLvl w:val="2"/>
      </w:pPr>
      <w:r>
        <w:rPr>
          <w:b/>
          <w:sz w:val="28"/>
        </w:rPr>
        <w:t>二、采购项目名称：</w:t>
      </w:r>
      <w:r>
        <w:rPr>
          <w:b/>
          <w:sz w:val="28"/>
        </w:rPr>
        <w:t>碑林区通义巷西段、交大街南段绿化道路提升改造项目</w:t>
      </w:r>
    </w:p>
    <w:p>
      <w:pPr>
        <w:pStyle w:val="null3"/>
        <w:outlineLvl w:val="2"/>
      </w:pPr>
      <w:r>
        <w:rPr>
          <w:b/>
          <w:sz w:val="28"/>
        </w:rPr>
        <w:t>三、磋商项目简介</w:t>
      </w:r>
    </w:p>
    <w:p>
      <w:pPr>
        <w:pStyle w:val="null3"/>
        <w:ind w:firstLine="480"/>
      </w:pPr>
      <w:r>
        <w:rPr/>
        <w:t>对碑林区通义巷西段、交大街南段绿化道路进行提升改造。</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采购包1（碑林区通义巷西段、交大街南段绿化道路提升改造项目）：属于专门面向中小企业采购。</w:t>
      </w:r>
    </w:p>
    <w:p>
      <w:pPr>
        <w:pStyle w:val="null3"/>
        <w:ind w:firstLine="480"/>
      </w:pPr>
      <w:r>
        <w:rPr/>
        <w:t>（三）本项目的特定资格要求：</w:t>
      </w:r>
    </w:p>
    <w:p>
      <w:pPr>
        <w:pStyle w:val="null3"/>
      </w:pPr>
      <w:r>
        <w:rPr/>
        <w:t>采购包1：</w:t>
      </w:r>
    </w:p>
    <w:p>
      <w:pPr>
        <w:pStyle w:val="null3"/>
      </w:pPr>
      <w:r>
        <w:rPr/>
        <w:t>1、营业执照：提供有效合格的具有社会统一信用代码的营业执照，其他组织经营的须提供合法凭证，自然人提供身份证明文件;</w:t>
      </w:r>
    </w:p>
    <w:p>
      <w:pPr>
        <w:pStyle w:val="null3"/>
      </w:pPr>
      <w:r>
        <w:rPr/>
        <w:t>2、财务状况报告：提供2022年度经审计的完整财务报告或磋商日期前三个月内其基本存款账户开户银行出具的资信证明。（如提供资信证明，须同时提供基本存款账户开户许可证或基本账户信息表）；</w:t>
      </w:r>
    </w:p>
    <w:p>
      <w:pPr>
        <w:pStyle w:val="null3"/>
      </w:pPr>
      <w:r>
        <w:rPr/>
        <w:t>3、税收缴纳证明：提供2023年1月至今已缴纳的至少一个月的纳税证明，依法免税的单位应提供相关证明材料</w:t>
      </w:r>
    </w:p>
    <w:p>
      <w:pPr>
        <w:pStyle w:val="null3"/>
      </w:pPr>
      <w:r>
        <w:rPr/>
        <w:t>4、社会保障资金缴纳证明：提供2023年1月至今已缴存的至少一个月的社会保障资金缴存单据或社保机构开具的社会保险参保缴费情况证明，依法不需要缴纳社会保障资金的单位应提供相关证明材料；</w:t>
      </w:r>
    </w:p>
    <w:p>
      <w:pPr>
        <w:pStyle w:val="null3"/>
      </w:pPr>
      <w:r>
        <w:rPr/>
        <w:t>5、具备履行合同所必须的设备和专业技术能力的书面声明：见格式</w:t>
      </w:r>
    </w:p>
    <w:p>
      <w:pPr>
        <w:pStyle w:val="null3"/>
      </w:pPr>
      <w:r>
        <w:rPr/>
        <w:t>6、参加政府采购活动前三年内，在经营活动中没有重大违法记录的书面声明：见格式</w:t>
      </w:r>
    </w:p>
    <w:p>
      <w:pPr>
        <w:pStyle w:val="null3"/>
      </w:pPr>
      <w:r>
        <w:rPr/>
        <w:t>7、信用查询：投标人未被列入信用中国网站(www.creditchina.gov.cn)“失信被执行人、重大税收违法失信主体”；不处于中国政府采购网(www.ccgp.gov.cn)“政府采购严重违法失信行为信息记录”中的禁止参加政府采购活动期间；</w:t>
      </w:r>
    </w:p>
    <w:p>
      <w:pPr>
        <w:pStyle w:val="null3"/>
      </w:pPr>
      <w:r>
        <w:rPr/>
        <w:t>8、授权委托书：法定代表人授权委托书、被授权人身份证（法定代表人参加磋商时,只需提供法定代表人身份证）；</w:t>
      </w:r>
    </w:p>
    <w:p>
      <w:pPr>
        <w:pStyle w:val="null3"/>
      </w:pPr>
      <w:r>
        <w:rPr/>
        <w:t>9、供应商资质要求：供应商须具备建设部门颁发的市政公用工程施工总承包三级及以上资质，具备有效的安全生产许可证；</w:t>
      </w:r>
    </w:p>
    <w:p>
      <w:pPr>
        <w:pStyle w:val="null3"/>
      </w:pPr>
      <w:r>
        <w:rPr/>
        <w:t>10、拟派项目负责人资质要求：具有市政公用工程专业二级及以上注册建造师证，且具备有效的安全生产考核合格证书（B证），且无在建工程（提供承诺书）；</w:t>
      </w:r>
    </w:p>
    <w:p>
      <w:pPr>
        <w:pStyle w:val="null3"/>
      </w:pPr>
      <w:r>
        <w:rPr/>
        <w:t>11、供应商及项目负责人基本信息在“陕西省住房和城乡建设厅”和“全国建筑市场监管公共服务平台”可查询；：供应商及项目负责人基本信息在“陕西省住房和城乡建设厅”和“全国建筑市场监管公共服务平台”可查询（提供截图）；</w:t>
      </w:r>
    </w:p>
    <w:p>
      <w:pPr>
        <w:pStyle w:val="null3"/>
      </w:pPr>
      <w:r>
        <w:rPr/>
        <w:t>12、供应商须为中小微企业或监狱企业或残疾人福利性单位：中小企业声明函（工程、服务）或残疾人福利性单位声明函或监狱企业证明文件。</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西安市碑林区城市管理局（本级）</w:t>
      </w:r>
    </w:p>
    <w:p>
      <w:pPr>
        <w:pStyle w:val="null3"/>
      </w:pPr>
      <w:r>
        <w:rPr/>
        <w:t xml:space="preserve"> 地址： </w:t>
      </w:r>
      <w:r>
        <w:rPr/>
        <w:t>雁塔北路23号</w:t>
      </w:r>
    </w:p>
    <w:p>
      <w:pPr>
        <w:pStyle w:val="null3"/>
      </w:pPr>
      <w:r>
        <w:rPr/>
        <w:t xml:space="preserve"> 邮编： </w:t>
      </w:r>
      <w:r>
        <w:rPr/>
        <w:t>710000</w:t>
      </w:r>
    </w:p>
    <w:p>
      <w:pPr>
        <w:pStyle w:val="null3"/>
      </w:pPr>
      <w:r>
        <w:rPr/>
        <w:t xml:space="preserve"> 联系人： </w:t>
      </w:r>
      <w:r>
        <w:rPr/>
        <w:t>西安市碑林区城市管理和综合执法局经办</w:t>
      </w:r>
    </w:p>
    <w:p>
      <w:pPr>
        <w:pStyle w:val="null3"/>
      </w:pPr>
      <w:r>
        <w:rPr/>
        <w:t xml:space="preserve"> 联系电话： </w:t>
      </w:r>
      <w:r>
        <w:rPr/>
        <w:t>029-62651335</w:t>
      </w:r>
    </w:p>
    <w:p>
      <w:pPr>
        <w:pStyle w:val="null3"/>
        <w:outlineLvl w:val="3"/>
      </w:pPr>
      <w:r>
        <w:rPr>
          <w:b/>
          <w:sz w:val="24"/>
        </w:rPr>
        <w:t>代理机构：</w:t>
      </w:r>
      <w:r>
        <w:rPr>
          <w:b/>
          <w:sz w:val="24"/>
        </w:rPr>
        <w:t>陕西正翼项目管理咨询有限公司</w:t>
      </w:r>
    </w:p>
    <w:p>
      <w:pPr>
        <w:pStyle w:val="null3"/>
      </w:pPr>
      <w:r>
        <w:rPr/>
        <w:t xml:space="preserve"> 地址： </w:t>
      </w:r>
      <w:r>
        <w:rPr/>
        <w:t>陕西省西安市未央区西安经济技术开发区凤城一路6号利君V时代B座901、912室</w:t>
      </w:r>
    </w:p>
    <w:p>
      <w:pPr>
        <w:pStyle w:val="null3"/>
      </w:pPr>
      <w:r>
        <w:rPr/>
        <w:t xml:space="preserve"> 邮编： </w:t>
      </w:r>
      <w:r>
        <w:rPr/>
        <w:t>710000</w:t>
      </w:r>
    </w:p>
    <w:p>
      <w:pPr>
        <w:pStyle w:val="null3"/>
      </w:pPr>
      <w:r>
        <w:rPr/>
        <w:t xml:space="preserve"> 联系人： </w:t>
      </w:r>
      <w:r>
        <w:rPr/>
        <w:t>冯丹</w:t>
      </w:r>
    </w:p>
    <w:p>
      <w:pPr>
        <w:pStyle w:val="null3"/>
      </w:pPr>
      <w:r>
        <w:rPr/>
        <w:t xml:space="preserve"> 联系电话： </w:t>
      </w:r>
      <w:r>
        <w:rPr/>
        <w:t>029-86210100转802</w:t>
      </w:r>
    </w:p>
    <w:p>
      <w:pPr>
        <w:pStyle w:val="null3"/>
        <w:outlineLvl w:val="3"/>
      </w:pPr>
      <w:r>
        <w:rPr>
          <w:b/>
          <w:sz w:val="24"/>
        </w:rPr>
        <w:t>采购监督机构：</w:t>
      </w:r>
      <w:r>
        <w:rPr>
          <w:b/>
          <w:sz w:val="24"/>
        </w:rPr>
        <w:t>西安市碑林区政府采购管理股</w:t>
      </w:r>
    </w:p>
    <w:p>
      <w:pPr>
        <w:pStyle w:val="null3"/>
        <w:ind w:firstLine="480"/>
      </w:pPr>
      <w:r>
        <w:rPr/>
        <w:t>联系人：</w:t>
      </w:r>
      <w:r>
        <w:rPr/>
        <w:t>郝天峰</w:t>
      </w:r>
    </w:p>
    <w:p>
      <w:pPr>
        <w:pStyle w:val="null3"/>
        <w:ind w:firstLine="480"/>
      </w:pPr>
      <w:r>
        <w:rPr/>
        <w:t>联系电话：</w:t>
      </w:r>
      <w:r>
        <w:rPr/>
        <w:t>029-89625302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以成交金额为基数，参照国家计委颁布《招标代理服务收费管理暂行办法》（计价格[2002]1980号）和国家发展改革委员会办公厅颁发的《关于招标代理服务收费有关问题的通知》（发改办价格[2003]857号）文件规定执行；造价咨询费按照陕西省物价局陕西省住房和城乡建设厅《关于我省工程造价咨询服务收费标准有关问题的通知》（陕价行发【2014】88号）的有关规定按标准收取，不足2000元的按2000元收取。</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西安市碑林区城市管理局（本级）</w:t>
      </w:r>
      <w:r>
        <w:rPr/>
        <w:t>和</w:t>
      </w:r>
      <w:r>
        <w:rPr/>
        <w:t>陕西正翼项目管理咨询有限公司</w:t>
      </w:r>
      <w:r>
        <w:rPr/>
        <w:t>享有。对磋商文件中供应商参加本次政府采购活动应当具备的条件，磋商项目技术、服务、商务及其他要求，评审细则及标准由</w:t>
      </w:r>
      <w:r>
        <w:rPr/>
        <w:t>西安市碑林区城市管理局（本级）</w:t>
      </w:r>
      <w:r>
        <w:rPr/>
        <w:t>负责解释。除上述磋商文件内容，其他内容由</w:t>
      </w:r>
      <w:r>
        <w:rPr/>
        <w:t>陕西正翼项目管理咨询有限公司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西安市碑林区城市管理局（本级）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陕西正翼项目管理咨询有限公司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一、《城镇道路养护技术规范》CJJ36-2016 《公路沥青路面养护技术规范》JTJ073.2-2017 《道路施工安全设施设置示例》GB5768-2009 《城市道路养护作业安全设施设置技术规程》DBJ13/T－149－2012</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陕西正翼项目管理咨询有限公司</w:t>
      </w:r>
      <w:r>
        <w:rPr/>
        <w:t xml:space="preserve"> 负责答复；供应商对采购过程的询问、质疑由</w:t>
      </w:r>
      <w:r>
        <w:rPr/>
        <w:t>陕西正翼项目管理咨询有限公司</w:t>
      </w:r>
      <w:r>
        <w:rPr/>
        <w:t xml:space="preserve"> 负责答复；供应商对采购结果的询问、质疑由 </w:t>
      </w:r>
      <w:r>
        <w:rPr/>
        <w:t>陕西正翼项目管理咨询有限公司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联系人：冯丹</w:t>
      </w:r>
    </w:p>
    <w:p>
      <w:pPr>
        <w:pStyle w:val="null3"/>
      </w:pPr>
      <w:r>
        <w:rPr/>
        <w:t>联系电话：029-86210100转802</w:t>
      </w:r>
    </w:p>
    <w:p>
      <w:pPr>
        <w:pStyle w:val="null3"/>
      </w:pPr>
      <w:r>
        <w:rPr/>
        <w:t>地址：西安经济技术开发区凤城一路6号利君V时代B座9F901室陕西正翼项目管理咨询有限公司</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1,400,000.00</w:t>
      </w:r>
    </w:p>
    <w:p>
      <w:pPr>
        <w:pStyle w:val="null3"/>
      </w:pPr>
      <w:r>
        <w:rPr/>
        <w:t>采购包最高限价（元）: 1,395,985.74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为进一步落实市委、市政府、市城管委有关工作要求，我单位拟开展碑林区通义巷西段、交大街南段绿化道路提升改造项目。</w:t>
            </w:r>
          </w:p>
        </w:tc>
        <w:tc>
          <w:tcPr>
            <w:tcW w:type="dxa" w:w="1384"/>
          </w:tcPr>
          <w:p>
            <w:pPr>
              <w:pStyle w:val="null3"/>
              <w:jc w:val="right"/>
            </w:pPr>
            <w:r>
              <w:rPr/>
              <w:t>1.00</w:t>
            </w:r>
          </w:p>
        </w:tc>
        <w:tc>
          <w:tcPr>
            <w:tcW w:type="dxa" w:w="1384"/>
          </w:tcPr>
          <w:p>
            <w:pPr>
              <w:pStyle w:val="null3"/>
              <w:jc w:val="right"/>
            </w:pPr>
            <w:r>
              <w:rPr/>
              <w:t>1,400,000.00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标的名称：为进一步落实市委、市政府、市城管委有关工作要求，我单位拟开展碑林区通义巷西段、交大街南段绿化道路提升改造项目。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b/>
                <w:color w:val="000000"/>
              </w:rPr>
              <w:t>一、项目概况</w:t>
            </w:r>
          </w:p>
          <w:p>
            <w:pPr>
              <w:pStyle w:val="null3"/>
              <w:ind w:firstLine="480"/>
              <w:jc w:val="both"/>
            </w:pPr>
            <w:r>
              <w:rPr>
                <w:color w:val="000000"/>
              </w:rPr>
              <w:t>对碑林区通义巷西段、交大街南段绿化道路进行提升改造。</w:t>
            </w:r>
          </w:p>
          <w:p>
            <w:pPr>
              <w:pStyle w:val="null3"/>
              <w:ind w:firstLine="482"/>
              <w:jc w:val="both"/>
            </w:pPr>
            <w:r>
              <w:rPr>
                <w:b/>
                <w:color w:val="000000"/>
              </w:rPr>
              <w:t>二、工程内容和施工地点、计划工期、缺陷责任期、质量保</w:t>
            </w:r>
            <w:r>
              <w:rPr>
                <w:b/>
              </w:rPr>
              <w:t>修期</w:t>
            </w:r>
          </w:p>
          <w:p>
            <w:pPr>
              <w:pStyle w:val="null3"/>
              <w:ind w:firstLine="480"/>
              <w:jc w:val="left"/>
            </w:pPr>
            <w:r>
              <w:rPr/>
              <w:t>(一)工程内容：</w:t>
            </w:r>
            <w:r>
              <w:rPr>
                <w:color w:val="000000"/>
              </w:rPr>
              <w:t>对碑林区通义巷西段、交大街南段绿化道路进行提升改造。</w:t>
            </w:r>
          </w:p>
          <w:p>
            <w:pPr>
              <w:pStyle w:val="null3"/>
              <w:ind w:firstLine="480"/>
              <w:jc w:val="both"/>
            </w:pPr>
            <w:r>
              <w:rPr/>
              <w:t>(二)工程地点：西安市碑林区</w:t>
            </w:r>
          </w:p>
          <w:p>
            <w:pPr>
              <w:pStyle w:val="null3"/>
              <w:ind w:firstLine="480"/>
              <w:jc w:val="both"/>
            </w:pPr>
            <w:r>
              <w:rPr/>
              <w:t>(三)计划工期：自合同签订之日起</w:t>
            </w:r>
            <w:r>
              <w:rPr>
                <w:color w:val="000000"/>
              </w:rPr>
              <w:t>60</w:t>
            </w:r>
            <w:r>
              <w:rPr/>
              <w:t>个日历日。</w:t>
            </w:r>
          </w:p>
          <w:p>
            <w:pPr>
              <w:pStyle w:val="null3"/>
              <w:ind w:firstLine="480"/>
              <w:jc w:val="both"/>
            </w:pPr>
            <w:r>
              <w:rPr/>
              <w:t>(四)缺陷责任期:本工程缺陷责任期为12个月，缺陷责任期自工程通过竣工验收之日计算。</w:t>
            </w:r>
          </w:p>
          <w:p>
            <w:pPr>
              <w:pStyle w:val="null3"/>
              <w:ind w:firstLine="480"/>
              <w:jc w:val="both"/>
            </w:pPr>
            <w:r>
              <w:rPr/>
              <w:t>(五)质量保修期:按照国家质量保修相关条例执行。</w:t>
            </w:r>
          </w:p>
          <w:p>
            <w:pPr>
              <w:pStyle w:val="null3"/>
              <w:ind w:firstLine="482"/>
              <w:jc w:val="both"/>
            </w:pPr>
            <w:r>
              <w:rPr>
                <w:b/>
                <w:color w:val="000000"/>
              </w:rPr>
              <w:t>三</w:t>
            </w:r>
            <w:r>
              <w:rPr>
                <w:b/>
                <w:color w:val="000000"/>
              </w:rPr>
              <w:t>、施工要求</w:t>
            </w:r>
          </w:p>
          <w:p>
            <w:pPr>
              <w:pStyle w:val="null3"/>
              <w:ind w:firstLine="480"/>
              <w:jc w:val="both"/>
            </w:pPr>
            <w:r>
              <w:rPr>
                <w:color w:val="000000"/>
              </w:rPr>
              <w:t>1、办公场所要求：</w:t>
            </w:r>
          </w:p>
          <w:p>
            <w:pPr>
              <w:pStyle w:val="null3"/>
              <w:ind w:firstLine="480"/>
              <w:jc w:val="both"/>
            </w:pPr>
            <w:r>
              <w:rPr>
                <w:color w:val="000000"/>
              </w:rPr>
              <w:t>为保证服务的质量及便捷性，乙方应在碑林区辖区设置固定项目管理部，必须配备满足项目开展的办公室、物资材料仓储室、机械设备停放场以及相应的生活区。</w:t>
            </w:r>
          </w:p>
          <w:p>
            <w:pPr>
              <w:pStyle w:val="null3"/>
              <w:ind w:firstLine="480"/>
              <w:jc w:val="both"/>
            </w:pPr>
            <w:r>
              <w:rPr>
                <w:color w:val="000000"/>
              </w:rPr>
              <w:t>2、项目团队成员配备要求：</w:t>
            </w:r>
          </w:p>
          <w:p>
            <w:pPr>
              <w:pStyle w:val="null3"/>
              <w:ind w:firstLine="480"/>
              <w:jc w:val="both"/>
            </w:pPr>
            <w:r>
              <w:rPr>
                <w:color w:val="000000"/>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pPr>
              <w:pStyle w:val="null3"/>
              <w:ind w:firstLine="480"/>
              <w:jc w:val="both"/>
            </w:pPr>
            <w:r>
              <w:rPr>
                <w:color w:val="000000"/>
              </w:rPr>
              <w:t>3、安全文明施工要求：</w:t>
            </w:r>
          </w:p>
          <w:p>
            <w:pPr>
              <w:pStyle w:val="null3"/>
              <w:ind w:firstLine="480"/>
              <w:jc w:val="both"/>
            </w:pPr>
            <w:r>
              <w:rPr>
                <w:color w:val="000000"/>
              </w:rPr>
              <w:t>必须作好施工现场组织管理、文明施工，维护现场秩序，做到工完场清、道路畅通。根据施工现场采取不同的围挡方式进行围挡作业，严禁用土头垃圾堆做防护。改造过程中土堆、废渣、垃圾等应在结束后清理完毕，做到工完料尽场地清。建筑垃圾不得随意倾倒，由乙方自行联系运至碑林辖区地以外的建筑垃圾堆放场所并承担相应的费用。夜间应尽量减少噪音对周边居民以及企业的影响。</w:t>
            </w:r>
          </w:p>
          <w:p>
            <w:pPr>
              <w:pStyle w:val="null3"/>
              <w:ind w:firstLine="480"/>
              <w:jc w:val="both"/>
            </w:pPr>
            <w:r>
              <w:rPr>
                <w:color w:val="000000"/>
              </w:rPr>
              <w:t>乙方对自有的施工人员人身及财产安全负责，对自己的人和机械设备购买保险及相应的劳保用具。维修作业人员需穿有印制统一样式的橘色醒目制服，并根据实际情况穿戴反光服、高温鞋、安全帽等安全防护用品。施工人员均应严格按照相关技术规范进行施工，做到安全施工且不影响交通。</w:t>
            </w:r>
          </w:p>
          <w:p>
            <w:pPr>
              <w:pStyle w:val="null3"/>
              <w:ind w:firstLine="482"/>
              <w:jc w:val="both"/>
            </w:pPr>
            <w:r>
              <w:rPr>
                <w:b/>
                <w:color w:val="000000"/>
              </w:rPr>
              <w:t>四</w:t>
            </w:r>
            <w:r>
              <w:rPr>
                <w:b/>
                <w:color w:val="000000"/>
              </w:rPr>
              <w:t>、商务要求</w:t>
            </w:r>
          </w:p>
          <w:p>
            <w:pPr>
              <w:pStyle w:val="null3"/>
              <w:ind w:firstLine="480"/>
              <w:jc w:val="both"/>
            </w:pPr>
            <w:r>
              <w:rPr>
                <w:color w:val="000000"/>
              </w:rPr>
              <w:t>本工程在施工合同签订后、每日汇总完成情况，经监理及甲方确认完成工程量。合同签订后，采购人7个工作日内支付成交供应商合同价的40%作为工程预付款；本工程竣工结算审计后，且竣工资料交清审定后15个工作日内支付至最终决算价款。质保期</w:t>
            </w:r>
            <w:r>
              <w:rPr/>
              <w:t>按照国家质量保修相关条例执行</w:t>
            </w:r>
            <w:r>
              <w:rPr>
                <w:color w:val="000000"/>
              </w:rPr>
              <w:t>。在付款前，供应商应当先开具符合采购人要求的全额发票给采购人。（附详细清单）。</w:t>
            </w:r>
          </w:p>
          <w:p>
            <w:pPr>
              <w:pStyle w:val="null3"/>
              <w:ind w:firstLine="482"/>
              <w:jc w:val="both"/>
            </w:pPr>
            <w:r>
              <w:rPr>
                <w:b/>
                <w:color w:val="000000"/>
              </w:rPr>
              <w:t>五</w:t>
            </w:r>
            <w:r>
              <w:rPr>
                <w:b/>
                <w:color w:val="000000"/>
              </w:rPr>
              <w:t>、质量保证</w:t>
            </w:r>
          </w:p>
          <w:p>
            <w:pPr>
              <w:pStyle w:val="null3"/>
              <w:ind w:firstLine="480"/>
              <w:jc w:val="both"/>
            </w:pPr>
            <w:r>
              <w:rPr>
                <w:color w:val="000000"/>
              </w:rPr>
              <w:t>5</w:t>
            </w:r>
            <w:r>
              <w:rPr>
                <w:color w:val="000000"/>
              </w:rPr>
              <w:t>.1供应商必须依据磋商要求，按照有关规范施工，确保工程优良，一次性验收交接。</w:t>
            </w:r>
          </w:p>
          <w:p>
            <w:pPr>
              <w:pStyle w:val="null3"/>
              <w:ind w:firstLine="480"/>
              <w:jc w:val="both"/>
            </w:pPr>
            <w:r>
              <w:rPr>
                <w:color w:val="000000"/>
              </w:rPr>
              <w:t>5</w:t>
            </w:r>
            <w:r>
              <w:rPr>
                <w:color w:val="000000"/>
              </w:rPr>
              <w:t>.2选用的主材、设备、辅材必须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ind w:firstLine="480"/>
              <w:jc w:val="both"/>
            </w:pPr>
            <w:r>
              <w:rPr>
                <w:color w:val="000000"/>
              </w:rPr>
              <w:t>5.</w:t>
            </w:r>
            <w:r>
              <w:rPr>
                <w:color w:val="000000"/>
              </w:rPr>
              <w:t>3供应商必须向采购人及时提供合格证及材料检验单。在征得有关方面认可后，方可进行施工，并做好相应的检验环节。</w:t>
            </w:r>
          </w:p>
          <w:p>
            <w:pPr>
              <w:pStyle w:val="null3"/>
              <w:ind w:firstLine="480"/>
              <w:jc w:val="both"/>
            </w:pPr>
            <w:r>
              <w:rPr>
                <w:color w:val="000000"/>
              </w:rPr>
              <w:t>5</w:t>
            </w:r>
            <w:r>
              <w:rPr>
                <w:color w:val="000000"/>
              </w:rPr>
              <w:t>.4质量保证期为各供应商承诺的期限。施工单位的售后服务要完善、可靠、及时，并派遣相关技术人员配合采购人检查、维修。</w:t>
            </w:r>
          </w:p>
          <w:p>
            <w:pPr>
              <w:pStyle w:val="null3"/>
              <w:ind w:firstLine="480"/>
              <w:jc w:val="both"/>
            </w:pPr>
            <w:r>
              <w:rPr>
                <w:color w:val="000000"/>
              </w:rPr>
              <w:t>5</w:t>
            </w:r>
            <w:r>
              <w:rPr>
                <w:color w:val="000000"/>
              </w:rPr>
              <w:t>.5质量验收标准或规范</w:t>
            </w:r>
          </w:p>
          <w:p>
            <w:pPr>
              <w:pStyle w:val="null3"/>
              <w:ind w:firstLine="480"/>
              <w:jc w:val="both"/>
            </w:pPr>
            <w:r>
              <w:rPr>
                <w:color w:val="000000"/>
              </w:rPr>
              <w:t>《城镇道路养护技术规范》CJJ36-2016</w:t>
            </w:r>
          </w:p>
          <w:p>
            <w:pPr>
              <w:pStyle w:val="null3"/>
              <w:ind w:firstLine="480"/>
              <w:jc w:val="both"/>
            </w:pPr>
            <w:r>
              <w:rPr>
                <w:color w:val="000000"/>
              </w:rPr>
              <w:t>《公路沥青路面养护技术规范》JTJ073.2-2017</w:t>
            </w:r>
          </w:p>
          <w:p>
            <w:pPr>
              <w:pStyle w:val="null3"/>
              <w:ind w:firstLine="480"/>
              <w:jc w:val="both"/>
            </w:pPr>
            <w:r>
              <w:rPr>
                <w:color w:val="000000"/>
              </w:rPr>
              <w:t>《道路施工安全设施设置示例》GB5768-2009</w:t>
            </w:r>
          </w:p>
          <w:p>
            <w:pPr>
              <w:pStyle w:val="null3"/>
              <w:ind w:firstLine="480"/>
              <w:jc w:val="both"/>
            </w:pPr>
            <w:r>
              <w:rPr>
                <w:color w:val="000000"/>
              </w:rPr>
              <w:t>《城市道路养护作业安全设施设置技术规程》DBJ13/T－149－2012</w:t>
            </w:r>
          </w:p>
          <w:p>
            <w:pPr>
              <w:pStyle w:val="null3"/>
              <w:ind w:firstLine="482"/>
              <w:jc w:val="both"/>
            </w:pPr>
            <w:r>
              <w:rPr>
                <w:b/>
                <w:color w:val="000000"/>
              </w:rPr>
              <w:t>六</w:t>
            </w:r>
            <w:r>
              <w:rPr>
                <w:b/>
                <w:color w:val="000000"/>
              </w:rPr>
              <w:t>、其他</w:t>
            </w:r>
          </w:p>
          <w:p>
            <w:pPr>
              <w:pStyle w:val="null3"/>
              <w:ind w:firstLine="480"/>
              <w:jc w:val="left"/>
            </w:pPr>
            <w:r>
              <w:rPr/>
              <w:t>(一)质量验收标准或规范</w:t>
            </w:r>
          </w:p>
          <w:p>
            <w:pPr>
              <w:pStyle w:val="null3"/>
              <w:ind w:firstLine="480"/>
              <w:jc w:val="left"/>
            </w:pPr>
            <w:r>
              <w:rPr/>
              <w:t>《城镇道路养护技术规范》CJJ36-2016</w:t>
            </w:r>
          </w:p>
          <w:p>
            <w:pPr>
              <w:pStyle w:val="null3"/>
              <w:ind w:firstLine="480"/>
              <w:jc w:val="left"/>
            </w:pPr>
            <w:r>
              <w:rPr/>
              <w:t>《公路沥青路面养护技术规范》JTJ073.2-2017</w:t>
            </w:r>
          </w:p>
          <w:p>
            <w:pPr>
              <w:pStyle w:val="null3"/>
              <w:ind w:firstLine="480"/>
              <w:jc w:val="left"/>
            </w:pPr>
            <w:r>
              <w:rPr/>
              <w:t>《道路施工安全设施设置示例》GB5768-2009</w:t>
            </w:r>
          </w:p>
          <w:p>
            <w:pPr>
              <w:pStyle w:val="null3"/>
              <w:ind w:firstLine="480"/>
              <w:jc w:val="left"/>
            </w:pPr>
            <w:r>
              <w:rPr/>
              <w:t>《城市道路养护作业安全设施设置技术规程》DBJ13/T－149－2012</w:t>
            </w:r>
          </w:p>
          <w:p>
            <w:pPr>
              <w:pStyle w:val="null3"/>
              <w:ind w:firstLine="480"/>
              <w:jc w:val="left"/>
            </w:pPr>
            <w:r>
              <w:rPr/>
              <w:t xml:space="preserve"> (二)违约责任</w:t>
            </w:r>
          </w:p>
          <w:p>
            <w:pPr>
              <w:pStyle w:val="null3"/>
              <w:ind w:firstLine="480"/>
              <w:jc w:val="left"/>
            </w:pPr>
            <w:r>
              <w:rPr/>
              <w:t>依据《中华人民共和国民法典》、《中华人民共和国政府采购法》的相关条款约定执行。</w:t>
            </w:r>
          </w:p>
          <w:p>
            <w:pPr>
              <w:pStyle w:val="null3"/>
              <w:ind w:firstLine="480"/>
              <w:jc w:val="left"/>
            </w:pPr>
            <w:r>
              <w:rPr/>
              <w:t>1、发包人违约。当发生下列情况时：</w:t>
            </w:r>
          </w:p>
          <w:p>
            <w:pPr>
              <w:pStyle w:val="null3"/>
              <w:ind w:firstLine="480"/>
              <w:jc w:val="left"/>
            </w:pPr>
            <w:r>
              <w:rPr/>
              <w:t>（1）发包人不按合同约定支付工程款，导致施工无法进行；</w:t>
            </w:r>
          </w:p>
          <w:p>
            <w:pPr>
              <w:pStyle w:val="null3"/>
              <w:ind w:firstLine="480"/>
              <w:jc w:val="left"/>
            </w:pPr>
            <w:r>
              <w:rPr/>
              <w:t>（2）发包人不履行合同义务或不按合同约定履行义务的其他情况。</w:t>
            </w:r>
          </w:p>
          <w:p>
            <w:pPr>
              <w:pStyle w:val="null3"/>
              <w:ind w:firstLine="480"/>
              <w:jc w:val="left"/>
            </w:pPr>
            <w:r>
              <w:rPr/>
              <w:t>发包人承担违约责任，赔偿因其违约给承包人造成的经济损失，顺延延误的工期。双方在专用条款内约定发包人赔偿承包人损失的计算方法或者发包人应当支付违约金的数额和计算方法。</w:t>
            </w:r>
          </w:p>
          <w:p>
            <w:pPr>
              <w:pStyle w:val="null3"/>
              <w:ind w:firstLine="480"/>
              <w:jc w:val="left"/>
            </w:pPr>
            <w:r>
              <w:rPr/>
              <w:t>2、承包人违约。当发生下列情况时：</w:t>
            </w:r>
          </w:p>
          <w:p>
            <w:pPr>
              <w:pStyle w:val="null3"/>
              <w:ind w:firstLine="480"/>
              <w:jc w:val="left"/>
            </w:pPr>
            <w:r>
              <w:rPr/>
              <w:t>（1）因承包人原因不能按照协议书约定的竣工日期或工程师同意顺延的工期竣工；</w:t>
            </w:r>
          </w:p>
          <w:p>
            <w:pPr>
              <w:pStyle w:val="null3"/>
              <w:ind w:firstLine="480"/>
              <w:jc w:val="left"/>
            </w:pPr>
            <w:r>
              <w:rPr/>
              <w:t>（2）因承包人原因工程质量达不到协议书约定的质量标准；</w:t>
            </w:r>
          </w:p>
          <w:p>
            <w:pPr>
              <w:pStyle w:val="null3"/>
              <w:ind w:firstLine="480"/>
              <w:jc w:val="left"/>
            </w:pPr>
            <w:r>
              <w:rPr/>
              <w:t>（3）承包人不履行合同义务或不按合同约定履行义务的其他情况。</w:t>
            </w:r>
          </w:p>
          <w:p>
            <w:pPr>
              <w:pStyle w:val="null3"/>
              <w:jc w:val="left"/>
            </w:pPr>
            <w:r>
              <w:rPr/>
              <w:t>承包人承担违约责任，赔偿因其违约给发包人造成的损失。双方在专用条款内约定承包人赔偿发包人损失的计算方法或者承包人应当支付违约金的数额和计算方法。</w:t>
            </w:r>
          </w:p>
          <w:p>
            <w:pPr>
              <w:pStyle w:val="null3"/>
              <w:ind w:firstLine="480"/>
              <w:jc w:val="left"/>
            </w:pPr>
            <w:r>
              <w:rPr/>
              <w:t>3、一方违约后，另一方要求违约方继续履行合同时，违约方承担上述违约责任后仍应继续履行合同。</w:t>
            </w:r>
          </w:p>
          <w:p>
            <w:pPr>
              <w:pStyle w:val="null3"/>
              <w:jc w:val="left"/>
            </w:pPr>
            <w:r>
              <w:rPr>
                <w:b/>
              </w:rPr>
              <w:t>七、</w:t>
            </w:r>
            <w:r>
              <w:rPr>
                <w:b/>
                <w:color w:val="000000"/>
              </w:rPr>
              <w:t>说明：</w:t>
            </w:r>
          </w:p>
          <w:p>
            <w:pPr>
              <w:pStyle w:val="null3"/>
              <w:ind w:firstLine="480"/>
              <w:jc w:val="left"/>
            </w:pPr>
            <w:r>
              <w:rPr>
                <w:color w:val="000000"/>
              </w:rPr>
              <w:t>本项目施工过程和成果必须符合国家有关本项目建设标准强制性条文和国家或有关部门关于本项目施工方面现行的标准、规范、规程、定额、办法、示例，以及陕西省关于工程施工方面的文件、规定。</w:t>
            </w:r>
          </w:p>
          <w:p>
            <w:pPr>
              <w:pStyle w:val="null3"/>
              <w:ind w:firstLine="480"/>
              <w:jc w:val="left"/>
            </w:pPr>
            <w:r>
              <w:rPr>
                <w:color w:val="000000"/>
              </w:rPr>
              <w:t>承包人在施工过程中使用或参考上述标准、规范以外的技术标准、规范时，应征得发包人或发包人指定代表人的同意。</w:t>
            </w:r>
          </w:p>
          <w:p>
            <w:pPr>
              <w:pStyle w:val="null3"/>
              <w:ind w:firstLine="480"/>
              <w:jc w:val="left"/>
            </w:pPr>
            <w:r>
              <w:rPr>
                <w:color w:val="000000"/>
              </w:rPr>
              <w:t>在施工过程中，如果国家或有关部门颁布了新的技术标准或规范，则承包人应采用新的标准或规范进行施工。</w:t>
            </w:r>
          </w:p>
          <w:p>
            <w:pPr>
              <w:pStyle w:val="null3"/>
              <w:jc w:val="left"/>
            </w:pPr>
            <w:r>
              <w:rPr>
                <w:b/>
                <w:color w:val="000000"/>
              </w:rPr>
              <w:t>八</w:t>
            </w:r>
            <w:r>
              <w:rPr>
                <w:b/>
                <w:color w:val="000000"/>
              </w:rPr>
              <w:t>、</w:t>
            </w:r>
            <w:r>
              <w:rPr>
                <w:b/>
                <w:color w:val="000000"/>
              </w:rPr>
              <w:t>工程量清单</w:t>
            </w:r>
            <w:r>
              <w:rPr>
                <w:b/>
                <w:color w:val="000000"/>
              </w:rPr>
              <w:t>（见附件）</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符合国家相关规范及一下规范 《城镇道路养护技术规范》CJJ36-2016 《公路沥青路面养护技术规范》JTJ073.2-2017 《道路施工安全设施设置示例》GB5768-2009 《城市道路养护作业安全设施设置技术规程》DBJ13/T－149－2012</w:t>
      </w:r>
    </w:p>
    <w:p>
      <w:pPr>
        <w:pStyle w:val="null3"/>
        <w:ind w:firstLine="480"/>
      </w:pPr>
      <w:r>
        <w:rPr/>
        <w:t>三、针对本项目的其他技术服务要求：</w:t>
      </w:r>
    </w:p>
    <w:p>
      <w:pPr>
        <w:pStyle w:val="null3"/>
      </w:pPr>
      <w:r>
        <w:rPr/>
        <w:t>满足采购人要求</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采购包1：</w:t>
            </w:r>
          </w:p>
          <w:p>
            <w:pPr>
              <w:pStyle w:val="null3"/>
            </w:pPr>
            <w:r>
              <w:rPr/>
              <w:t>职称：二级注册建造师</w:t>
            </w:r>
          </w:p>
          <w:p>
            <w:pPr>
              <w:pStyle w:val="null3"/>
            </w:pPr>
            <w:r>
              <w:rPr/>
              <w:t>专业：市政公用工程</w:t>
            </w:r>
          </w:p>
          <w:p>
            <w:pPr>
              <w:pStyle w:val="null3"/>
            </w:pPr>
            <w:r>
              <w:rPr/>
              <w:t>补充说明：拟派项目负责人具有市政公用工程专业二级及以上注册建造师证，且具备有效的安全生产考核合格证书（B证），且无在建工程（提供承诺书）</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1、本项目采用电子化投标与纸质投标并行的方式，供应商需要于磋商响应文件递交截止时间前在线提交电子响应文件，同时线下提交一正一副纸质版响应文件，电子响应文件与纸质响应文件不一致的，以纸质版响应文件为准（提交地点：西安经济技术开发区凤城一路6号利君V时代B座12F1212陕西正翼项目管理咨询有限公司开标室）。 2、逾期送达的纸质版响应文件按无效磋商处理。3、本项目所属行业为建筑业。4、质量标准：工程质量必须达到国家建设工程验收标准的合格。5、供应商根据附件工程量清单在编制磋商响应文件时须提供已标价工程量清单。</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t>其他附件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具备市政公用工程专业二级注册建造师或以上建造师执业资格。拟派项目负责人具有市政公用工程专业二级及以上注册建造师证，且具备有效的安全生产考核合格证书（B证），且无在建工程（提供承诺书）</w:t>
            </w:r>
          </w:p>
        </w:tc>
        <w:tc>
          <w:tcPr>
            <w:tcW w:type="dxa" w:w="1661"/>
          </w:tcPr>
          <w:p>
            <w:pPr>
              <w:pStyle w:val="null3"/>
            </w:pPr>
            <w:r>
              <w:rPr/>
              <w:t>其他附件</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提供有效合格的具有社会统一信用代码的营业执照，其他组织经营的须提供合法凭证，自然人提供身份证明文件;</w:t>
            </w:r>
          </w:p>
        </w:tc>
        <w:tc>
          <w:tcPr>
            <w:tcW w:type="dxa" w:w="1661"/>
          </w:tcPr>
          <w:p>
            <w:pPr>
              <w:pStyle w:val="null3"/>
            </w:pPr>
            <w:r>
              <w:rPr/>
              <w:t>其他附件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t>其他附件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提供2023年1月至今已缴纳的至少一个月的纳税证明，依法免税的单位应提供相关证明材料</w:t>
            </w:r>
          </w:p>
        </w:tc>
        <w:tc>
          <w:tcPr>
            <w:tcW w:type="dxa" w:w="1661"/>
          </w:tcPr>
          <w:p>
            <w:pPr>
              <w:pStyle w:val="null3"/>
            </w:pPr>
            <w:r>
              <w:rPr/>
              <w:t>其他附件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提供2023年1月至今已缴存的至少一个月的社会保障资金缴存单据或社保机构开具的社会保险参保缴费情况证明，依法不需要缴纳社会保障资金的单位应提供相关证明材料；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其他附件</w:t>
            </w:r>
          </w:p>
        </w:tc>
      </w:tr>
      <w:tr>
        <w:tc>
          <w:tcPr>
            <w:tcW w:type="dxa" w:w="831"/>
          </w:tcPr>
          <w:p>
            <w:pPr>
              <w:pStyle w:val="null3"/>
            </w:pPr>
            <w:r>
              <w:rPr/>
              <w:t>5</w:t>
            </w:r>
          </w:p>
        </w:tc>
        <w:tc>
          <w:tcPr>
            <w:tcW w:type="dxa" w:w="2492"/>
          </w:tcPr>
          <w:p>
            <w:pPr>
              <w:pStyle w:val="null3"/>
            </w:pPr>
            <w:r>
              <w:rPr/>
              <w:t>具备履行合同所必须的设备和专业技术能力的书面声明</w:t>
            </w:r>
          </w:p>
        </w:tc>
        <w:tc>
          <w:tcPr>
            <w:tcW w:type="dxa" w:w="3322"/>
          </w:tcPr>
          <w:p>
            <w:pPr>
              <w:pStyle w:val="null3"/>
            </w:pPr>
            <w:r>
              <w:rPr/>
              <w:t>见格式</w:t>
            </w:r>
          </w:p>
        </w:tc>
        <w:tc>
          <w:tcPr>
            <w:tcW w:type="dxa" w:w="1661"/>
          </w:tcPr>
          <w:p>
            <w:pPr>
              <w:pStyle w:val="null3"/>
            </w:pPr>
            <w:r>
              <w:rPr/>
              <w:t>其他附件</w:t>
            </w:r>
          </w:p>
        </w:tc>
      </w:tr>
      <w:tr>
        <w:tc>
          <w:tcPr>
            <w:tcW w:type="dxa" w:w="831"/>
          </w:tcPr>
          <w:p>
            <w:pPr>
              <w:pStyle w:val="null3"/>
            </w:pPr>
            <w:r>
              <w:rPr/>
              <w:t>6</w:t>
            </w:r>
          </w:p>
        </w:tc>
        <w:tc>
          <w:tcPr>
            <w:tcW w:type="dxa" w:w="2492"/>
          </w:tcPr>
          <w:p>
            <w:pPr>
              <w:pStyle w:val="null3"/>
            </w:pPr>
            <w:r>
              <w:rPr/>
              <w:t>参加政府采购活动前三年内，在经营活动中没有重大违法记录的书面声明</w:t>
            </w:r>
          </w:p>
        </w:tc>
        <w:tc>
          <w:tcPr>
            <w:tcW w:type="dxa" w:w="3322"/>
          </w:tcPr>
          <w:p>
            <w:pPr>
              <w:pStyle w:val="null3"/>
            </w:pPr>
            <w:r>
              <w:rPr/>
              <w:t>见格式</w:t>
            </w:r>
          </w:p>
        </w:tc>
        <w:tc>
          <w:tcPr>
            <w:tcW w:type="dxa" w:w="1661"/>
          </w:tcPr>
          <w:p>
            <w:pPr>
              <w:pStyle w:val="null3"/>
            </w:pPr>
            <w:r>
              <w:rPr/>
              <w:t>其他附件</w:t>
            </w:r>
          </w:p>
        </w:tc>
      </w:tr>
      <w:tr>
        <w:tc>
          <w:tcPr>
            <w:tcW w:type="dxa" w:w="831"/>
          </w:tcPr>
          <w:p>
            <w:pPr>
              <w:pStyle w:val="null3"/>
            </w:pPr>
            <w:r>
              <w:rPr/>
              <w:t>7</w:t>
            </w:r>
          </w:p>
        </w:tc>
        <w:tc>
          <w:tcPr>
            <w:tcW w:type="dxa" w:w="2492"/>
          </w:tcPr>
          <w:p>
            <w:pPr>
              <w:pStyle w:val="null3"/>
            </w:pPr>
            <w:r>
              <w:rPr/>
              <w:t>信用查询</w:t>
            </w:r>
          </w:p>
        </w:tc>
        <w:tc>
          <w:tcPr>
            <w:tcW w:type="dxa" w:w="3322"/>
          </w:tcPr>
          <w:p>
            <w:pPr>
              <w:pStyle w:val="null3"/>
            </w:pPr>
            <w:r>
              <w:rPr/>
              <w:t>投标人未被列入信用中国网站(www.creditchina.gov.cn)“失信被执行人、重大税收违法失信主体”；不处于中国政府采购网(www.ccgp.gov.cn)“政府采购严重违法失信行为信息记录”中的禁止参加政府采购活动期间；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t>其他附件</w:t>
            </w:r>
          </w:p>
        </w:tc>
      </w:tr>
      <w:tr>
        <w:tc>
          <w:tcPr>
            <w:tcW w:type="dxa" w:w="831"/>
          </w:tcPr>
          <w:p>
            <w:pPr>
              <w:pStyle w:val="null3"/>
            </w:pPr>
            <w:r>
              <w:rPr/>
              <w:t>8</w:t>
            </w:r>
          </w:p>
        </w:tc>
        <w:tc>
          <w:tcPr>
            <w:tcW w:type="dxa" w:w="2492"/>
          </w:tcPr>
          <w:p>
            <w:pPr>
              <w:pStyle w:val="null3"/>
            </w:pPr>
            <w:r>
              <w:rPr/>
              <w:t>授权委托书</w:t>
            </w:r>
          </w:p>
        </w:tc>
        <w:tc>
          <w:tcPr>
            <w:tcW w:type="dxa" w:w="3322"/>
          </w:tcPr>
          <w:p>
            <w:pPr>
              <w:pStyle w:val="null3"/>
            </w:pPr>
            <w:r>
              <w:rPr/>
              <w:t>法定代表人授权委托书、被授权人身份证（法定代表人参加磋商时,只需提供法定代表人身份证）；</w:t>
            </w:r>
          </w:p>
        </w:tc>
        <w:tc>
          <w:tcPr>
            <w:tcW w:type="dxa" w:w="1661"/>
          </w:tcPr>
          <w:p>
            <w:pPr>
              <w:pStyle w:val="null3"/>
            </w:pPr>
            <w:r>
              <w:rPr/>
              <w:t>其他附件</w:t>
            </w:r>
          </w:p>
        </w:tc>
      </w:tr>
      <w:tr>
        <w:tc>
          <w:tcPr>
            <w:tcW w:type="dxa" w:w="831"/>
          </w:tcPr>
          <w:p>
            <w:pPr>
              <w:pStyle w:val="null3"/>
            </w:pPr>
            <w:r>
              <w:rPr/>
              <w:t>9</w:t>
            </w:r>
          </w:p>
        </w:tc>
        <w:tc>
          <w:tcPr>
            <w:tcW w:type="dxa" w:w="2492"/>
          </w:tcPr>
          <w:p>
            <w:pPr>
              <w:pStyle w:val="null3"/>
            </w:pPr>
            <w:r>
              <w:rPr/>
              <w:t>供应商资质要求</w:t>
            </w:r>
          </w:p>
        </w:tc>
        <w:tc>
          <w:tcPr>
            <w:tcW w:type="dxa" w:w="3322"/>
          </w:tcPr>
          <w:p>
            <w:pPr>
              <w:pStyle w:val="null3"/>
            </w:pPr>
            <w:r>
              <w:rPr/>
              <w:t>供应商须具备建设部门颁发的市政公用工程施工总承包三级及以上资质，具备有效的安全生产许可证；</w:t>
            </w:r>
          </w:p>
        </w:tc>
        <w:tc>
          <w:tcPr>
            <w:tcW w:type="dxa" w:w="1661"/>
          </w:tcPr>
          <w:p>
            <w:pPr>
              <w:pStyle w:val="null3"/>
            </w:pPr>
            <w:r>
              <w:rPr/>
              <w:t>其他附件</w:t>
            </w:r>
          </w:p>
        </w:tc>
      </w:tr>
      <w:tr>
        <w:tc>
          <w:tcPr>
            <w:tcW w:type="dxa" w:w="831"/>
          </w:tcPr>
          <w:p>
            <w:pPr>
              <w:pStyle w:val="null3"/>
            </w:pPr>
            <w:r>
              <w:rPr/>
              <w:t>10</w:t>
            </w:r>
          </w:p>
        </w:tc>
        <w:tc>
          <w:tcPr>
            <w:tcW w:type="dxa" w:w="2492"/>
          </w:tcPr>
          <w:p>
            <w:pPr>
              <w:pStyle w:val="null3"/>
            </w:pPr>
            <w:r>
              <w:rPr/>
              <w:t>拟派项目负责人资质要求</w:t>
            </w:r>
          </w:p>
        </w:tc>
        <w:tc>
          <w:tcPr>
            <w:tcW w:type="dxa" w:w="3322"/>
          </w:tcPr>
          <w:p>
            <w:pPr>
              <w:pStyle w:val="null3"/>
            </w:pPr>
            <w:r>
              <w:rPr/>
              <w:t>具有市政公用工程专业二级及以上注册建造师证，且具备有效的安全生产考核合格证书（B证），且无在建工程（提供承诺书）；</w:t>
            </w:r>
          </w:p>
        </w:tc>
        <w:tc>
          <w:tcPr>
            <w:tcW w:type="dxa" w:w="1661"/>
          </w:tcPr>
          <w:p>
            <w:pPr>
              <w:pStyle w:val="null3"/>
            </w:pPr>
            <w:r>
              <w:rPr/>
              <w:t>其他附件</w:t>
            </w:r>
          </w:p>
        </w:tc>
      </w:tr>
      <w:tr>
        <w:tc>
          <w:tcPr>
            <w:tcW w:type="dxa" w:w="831"/>
          </w:tcPr>
          <w:p>
            <w:pPr>
              <w:pStyle w:val="null3"/>
            </w:pPr>
            <w:r>
              <w:rPr/>
              <w:t>11</w:t>
            </w:r>
          </w:p>
        </w:tc>
        <w:tc>
          <w:tcPr>
            <w:tcW w:type="dxa" w:w="2492"/>
          </w:tcPr>
          <w:p>
            <w:pPr>
              <w:pStyle w:val="null3"/>
            </w:pPr>
            <w:r>
              <w:rPr/>
              <w:t>供应商及项目负责人基本信息在“陕西省住房和城乡建设厅”和“全国建筑市场监管公共服务平台”可查询；</w:t>
            </w:r>
          </w:p>
        </w:tc>
        <w:tc>
          <w:tcPr>
            <w:tcW w:type="dxa" w:w="3322"/>
          </w:tcPr>
          <w:p>
            <w:pPr>
              <w:pStyle w:val="null3"/>
            </w:pPr>
            <w:r>
              <w:rPr/>
              <w:t>供应商及项目负责人基本信息在“陕西省住房和城乡建设厅”和“全国建筑市场监管公共服务平台”可查询（提供截图）；</w:t>
            </w:r>
          </w:p>
        </w:tc>
        <w:tc>
          <w:tcPr>
            <w:tcW w:type="dxa" w:w="1661"/>
          </w:tcPr>
          <w:p>
            <w:pPr>
              <w:pStyle w:val="null3"/>
            </w:pPr>
            <w:r>
              <w:rPr/>
              <w:t>其他附件</w:t>
            </w:r>
          </w:p>
        </w:tc>
      </w:tr>
      <w:tr>
        <w:tc>
          <w:tcPr>
            <w:tcW w:type="dxa" w:w="831"/>
          </w:tcPr>
          <w:p>
            <w:pPr>
              <w:pStyle w:val="null3"/>
            </w:pPr>
            <w:r>
              <w:rPr/>
              <w:t>12</w:t>
            </w:r>
          </w:p>
        </w:tc>
        <w:tc>
          <w:tcPr>
            <w:tcW w:type="dxa" w:w="2492"/>
          </w:tcPr>
          <w:p>
            <w:pPr>
              <w:pStyle w:val="null3"/>
            </w:pPr>
            <w:r>
              <w:rPr/>
              <w:t>供应商须为中小微企业或监狱企业或残疾人福利性单位</w:t>
            </w:r>
          </w:p>
        </w:tc>
        <w:tc>
          <w:tcPr>
            <w:tcW w:type="dxa" w:w="3322"/>
          </w:tcPr>
          <w:p>
            <w:pPr>
              <w:pStyle w:val="null3"/>
            </w:pPr>
            <w:r>
              <w:rPr/>
              <w:t>中小企业声明函（工程、服务）或残疾人福利性单位声明函或监狱企业证明文件。</w:t>
            </w:r>
          </w:p>
        </w:tc>
        <w:tc>
          <w:tcPr>
            <w:tcW w:type="dxa" w:w="1661"/>
          </w:tcPr>
          <w:p>
            <w:pPr>
              <w:pStyle w:val="null3"/>
            </w:pPr>
            <w:r>
              <w:rPr/>
              <w:t>中小企业声明函</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磋商响应文件完整性</w:t>
            </w:r>
          </w:p>
        </w:tc>
        <w:tc>
          <w:tcPr>
            <w:tcW w:type="dxa" w:w="3322"/>
          </w:tcPr>
          <w:p>
            <w:pPr>
              <w:pStyle w:val="null3"/>
            </w:pPr>
            <w:r>
              <w:rPr/>
              <w:t>磋商响应文件构成无重大缺项，按照磋商文件要求的格式编写磋商响应文件；</w:t>
            </w:r>
          </w:p>
        </w:tc>
        <w:tc>
          <w:tcPr>
            <w:tcW w:type="dxa" w:w="1661"/>
          </w:tcPr>
          <w:p>
            <w:pPr>
              <w:pStyle w:val="null3"/>
            </w:pPr>
            <w:r>
              <w:rPr/>
              <w:t>其他附件 响应文件封面 已标价工程量清单 项目管理机构组成表 中小企业声明函 报价函 技术服务合同条款及其他商务要求应答表 标的清单 供应商类似项目业绩一览表 响应函 主要人员简历表</w:t>
            </w:r>
          </w:p>
        </w:tc>
      </w:tr>
      <w:tr>
        <w:tc>
          <w:tcPr>
            <w:tcW w:type="dxa" w:w="831"/>
          </w:tcPr>
          <w:p>
            <w:pPr>
              <w:pStyle w:val="null3"/>
            </w:pPr>
            <w:r>
              <w:rPr/>
              <w:t>3</w:t>
            </w:r>
          </w:p>
        </w:tc>
        <w:tc>
          <w:tcPr>
            <w:tcW w:type="dxa" w:w="2492"/>
          </w:tcPr>
          <w:p>
            <w:pPr>
              <w:pStyle w:val="null3"/>
            </w:pPr>
            <w:r>
              <w:rPr/>
              <w:t>磋商响应文件报价</w:t>
            </w:r>
          </w:p>
        </w:tc>
        <w:tc>
          <w:tcPr>
            <w:tcW w:type="dxa" w:w="3322"/>
          </w:tcPr>
          <w:p>
            <w:pPr>
              <w:pStyle w:val="null3"/>
            </w:pPr>
            <w:r>
              <w:rPr/>
              <w:t>磋商报价高于最高限价的；</w:t>
            </w:r>
          </w:p>
        </w:tc>
        <w:tc>
          <w:tcPr>
            <w:tcW w:type="dxa" w:w="1661"/>
          </w:tcPr>
          <w:p>
            <w:pPr>
              <w:pStyle w:val="null3"/>
            </w:pPr>
            <w:r>
              <w:rPr/>
              <w:t>响应文件封面</w:t>
            </w:r>
          </w:p>
        </w:tc>
      </w:tr>
      <w:tr>
        <w:tc>
          <w:tcPr>
            <w:tcW w:type="dxa" w:w="831"/>
          </w:tcPr>
          <w:p>
            <w:pPr>
              <w:pStyle w:val="null3"/>
            </w:pPr>
            <w:r>
              <w:rPr/>
              <w:t>4</w:t>
            </w:r>
          </w:p>
        </w:tc>
        <w:tc>
          <w:tcPr>
            <w:tcW w:type="dxa" w:w="2492"/>
          </w:tcPr>
          <w:p>
            <w:pPr>
              <w:pStyle w:val="null3"/>
            </w:pPr>
            <w:r>
              <w:rPr/>
              <w:t>磋商响应文件有效性</w:t>
            </w:r>
          </w:p>
        </w:tc>
        <w:tc>
          <w:tcPr>
            <w:tcW w:type="dxa" w:w="3322"/>
          </w:tcPr>
          <w:p>
            <w:pPr>
              <w:pStyle w:val="null3"/>
            </w:pPr>
            <w:r>
              <w:rPr/>
              <w:t>磋商响应文件的签署、盖章符合磋商文件要求，供应商递交的磋商响应文件与本项目名称一致；</w:t>
            </w:r>
          </w:p>
        </w:tc>
        <w:tc>
          <w:tcPr>
            <w:tcW w:type="dxa" w:w="1661"/>
          </w:tcPr>
          <w:p>
            <w:pPr>
              <w:pStyle w:val="null3"/>
            </w:pPr>
            <w:r>
              <w:rPr/>
              <w:t>响应文件封面</w:t>
            </w:r>
          </w:p>
        </w:tc>
      </w:tr>
      <w:tr>
        <w:tc>
          <w:tcPr>
            <w:tcW w:type="dxa" w:w="831"/>
          </w:tcPr>
          <w:p>
            <w:pPr>
              <w:pStyle w:val="null3"/>
            </w:pPr>
            <w:r>
              <w:rPr/>
              <w:t>5</w:t>
            </w:r>
          </w:p>
        </w:tc>
        <w:tc>
          <w:tcPr>
            <w:tcW w:type="dxa" w:w="2492"/>
          </w:tcPr>
          <w:p>
            <w:pPr>
              <w:pStyle w:val="null3"/>
            </w:pPr>
            <w:r>
              <w:rPr/>
              <w:t>磋商有效期、授权有效期</w:t>
            </w:r>
          </w:p>
        </w:tc>
        <w:tc>
          <w:tcPr>
            <w:tcW w:type="dxa" w:w="3322"/>
          </w:tcPr>
          <w:p>
            <w:pPr>
              <w:pStyle w:val="null3"/>
            </w:pPr>
            <w:r>
              <w:rPr/>
              <w:t>文件递交截止之日起90日历日；</w:t>
            </w:r>
          </w:p>
        </w:tc>
        <w:tc>
          <w:tcPr>
            <w:tcW w:type="dxa" w:w="1661"/>
          </w:tcPr>
          <w:p>
            <w:pPr>
              <w:pStyle w:val="null3"/>
            </w:pPr>
            <w:r>
              <w:rPr/>
              <w:t>响应文件封面</w:t>
            </w:r>
          </w:p>
        </w:tc>
      </w:tr>
      <w:tr>
        <w:tc>
          <w:tcPr>
            <w:tcW w:type="dxa" w:w="831"/>
          </w:tcPr>
          <w:p>
            <w:pPr>
              <w:pStyle w:val="null3"/>
            </w:pPr>
            <w:r>
              <w:rPr/>
              <w:t>6</w:t>
            </w:r>
          </w:p>
        </w:tc>
        <w:tc>
          <w:tcPr>
            <w:tcW w:type="dxa" w:w="2492"/>
          </w:tcPr>
          <w:p>
            <w:pPr>
              <w:pStyle w:val="null3"/>
            </w:pPr>
            <w:r>
              <w:rPr/>
              <w:t>磋商响应文件响应性</w:t>
            </w:r>
          </w:p>
        </w:tc>
        <w:tc>
          <w:tcPr>
            <w:tcW w:type="dxa" w:w="3322"/>
          </w:tcPr>
          <w:p>
            <w:pPr>
              <w:pStyle w:val="null3"/>
            </w:pPr>
            <w:r>
              <w:rPr/>
              <w:t>工期、质量保修期、缺陷责任期响应磋商文件要求；</w:t>
            </w:r>
          </w:p>
        </w:tc>
        <w:tc>
          <w:tcPr>
            <w:tcW w:type="dxa" w:w="1661"/>
          </w:tcPr>
          <w:p>
            <w:pPr>
              <w:pStyle w:val="null3"/>
            </w:pPr>
            <w:r>
              <w:rPr/>
              <w:t>响应文件封面</w:t>
            </w:r>
          </w:p>
        </w:tc>
      </w:tr>
      <w:tr>
        <w:tc>
          <w:tcPr>
            <w:tcW w:type="dxa" w:w="831"/>
          </w:tcPr>
          <w:p>
            <w:pPr>
              <w:pStyle w:val="null3"/>
            </w:pPr>
            <w:r>
              <w:rPr/>
              <w:t>7</w:t>
            </w:r>
          </w:p>
        </w:tc>
        <w:tc>
          <w:tcPr>
            <w:tcW w:type="dxa" w:w="2492"/>
          </w:tcPr>
          <w:p>
            <w:pPr>
              <w:pStyle w:val="null3"/>
            </w:pPr>
            <w:r>
              <w:rPr/>
              <w:t>其他</w:t>
            </w:r>
          </w:p>
        </w:tc>
        <w:tc>
          <w:tcPr>
            <w:tcW w:type="dxa" w:w="3322"/>
          </w:tcPr>
          <w:p>
            <w:pPr>
              <w:pStyle w:val="null3"/>
            </w:pPr>
            <w:r>
              <w:rPr/>
              <w:t>无磋商文件中规定的无效情形。</w:t>
            </w:r>
          </w:p>
        </w:tc>
        <w:tc>
          <w:tcPr>
            <w:tcW w:type="dxa" w:w="1661"/>
          </w:tcPr>
          <w:p>
            <w:pPr>
              <w:pStyle w:val="null3"/>
            </w:pPr>
            <w:r>
              <w:rPr/>
              <w:t>响应文件封面</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评审得分相同的，按照最后报价由低到高的顺序推荐。评审得分且最后报价相同的，按照技术指标优劣顺序推荐。评审得分且最后报价且技术指标得分均相同的，由采购人确定排名。</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施工方法及技术措施</w:t>
            </w:r>
          </w:p>
        </w:tc>
        <w:tc>
          <w:tcPr>
            <w:tcW w:type="dxa" w:w="2492"/>
          </w:tcPr>
          <w:p>
            <w:pPr>
              <w:pStyle w:val="null3"/>
            </w:pPr>
            <w:r>
              <w:rPr/>
              <w:t>施工方法及技术措施科学合理、可行性强，并有针对性的计7-10分； 施工方法及技术措施基本合理可行，但内容不全得4-7分； 施工方法及技术措施欠缺、不利于实施得0-4分。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施工进度计划及工期保证措施</w:t>
            </w:r>
          </w:p>
        </w:tc>
        <w:tc>
          <w:tcPr>
            <w:tcW w:type="dxa" w:w="2492"/>
          </w:tcPr>
          <w:p>
            <w:pPr>
              <w:pStyle w:val="null3"/>
            </w:pPr>
            <w:r>
              <w:rPr/>
              <w:t>施工进度计划及工期保证措施科学合理、可行性强，并有针对性的计7-10分； 施工进度计划及工期保证措施基本合理可行，但内容不全计4-7分； 施工进度计划及工期保证措施欠缺、不利于实施计0-4分。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项目经理及组织机构等人员配备</w:t>
            </w:r>
          </w:p>
        </w:tc>
        <w:tc>
          <w:tcPr>
            <w:tcW w:type="dxa" w:w="2492"/>
          </w:tcPr>
          <w:p>
            <w:pPr>
              <w:pStyle w:val="null3"/>
            </w:pPr>
            <w:r>
              <w:rPr/>
              <w:t>项目经理及组织机构等人员配备合理、科学且完全满足磋商文件要求计7-10分； 项目经理及组织机构等人员配备较合理、科学且基本满足磋商文件要求计4-7分； 项目经理及组织机构等人员配备不合理、不科学且不满足磋商文件要求计0-4分。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工程质量保证措施</w:t>
            </w:r>
          </w:p>
        </w:tc>
        <w:tc>
          <w:tcPr>
            <w:tcW w:type="dxa" w:w="2492"/>
          </w:tcPr>
          <w:p>
            <w:pPr>
              <w:pStyle w:val="null3"/>
            </w:pPr>
            <w:r>
              <w:rPr/>
              <w:t>按照本项目采购内容提供详细完善的工程质量保证措施。 措施科学合理、可行性强，并有针对性的计3-5分； 措施基本合理可行，但内容不全计1-3分； 措施欠缺、不利于实施计0-1分。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安全施工保证措施</w:t>
            </w:r>
          </w:p>
        </w:tc>
        <w:tc>
          <w:tcPr>
            <w:tcW w:type="dxa" w:w="2492"/>
          </w:tcPr>
          <w:p>
            <w:pPr>
              <w:pStyle w:val="null3"/>
            </w:pPr>
            <w:r>
              <w:rPr/>
              <w:t>按照本项目采购内容提供详细完善的安全施工保证措施。 措施科学合理、可行性强，并有针对性的计3-5分； 措施基本合理可行，但内容不全计1-3分； 措施欠缺、不利于实施计0-1分。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文明、环保措施</w:t>
            </w:r>
          </w:p>
        </w:tc>
        <w:tc>
          <w:tcPr>
            <w:tcW w:type="dxa" w:w="2492"/>
          </w:tcPr>
          <w:p>
            <w:pPr>
              <w:pStyle w:val="null3"/>
            </w:pPr>
            <w:r>
              <w:rPr/>
              <w:t>按照本项目采购内容提供详细完善的文明、环保措施。 措施科学合理、可行性强，并有针对性的计3-5分； 措施基本合理可行，但内容不全得1-3分； 措施欠缺、不利于实施得0-1分。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施工机械配备情况</w:t>
            </w:r>
          </w:p>
        </w:tc>
        <w:tc>
          <w:tcPr>
            <w:tcW w:type="dxa" w:w="2492"/>
          </w:tcPr>
          <w:p>
            <w:pPr>
              <w:pStyle w:val="null3"/>
            </w:pPr>
            <w:r>
              <w:rPr/>
              <w:t>供应商针对本项目有具体的施工机械配备安排，详细的人员、设备统一调配方案。 方案科学合理、可行、全面计3-5分； 方案基本合理可行，但内容不全得1-3分； 方案欠缺、不利于实施得0-1分。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售后服务承诺</w:t>
            </w:r>
          </w:p>
        </w:tc>
        <w:tc>
          <w:tcPr>
            <w:tcW w:type="dxa" w:w="2492"/>
          </w:tcPr>
          <w:p>
            <w:pPr>
              <w:pStyle w:val="null3"/>
            </w:pPr>
            <w:r>
              <w:rPr/>
              <w:t>供应商针对本项目提出具体可行并符合国家相关保修规范的售后服务方案及其它承诺，磋商小组按响应情况赋分。 有详细、合理、可行且符合国家相关保修规范的售后服务，并提供了对本项目合理可行的其他服务承诺赋7-10分； 售后服务和其他承诺一般赋4-7分； 售后服务和其他承诺较差赋0-4分。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其他附件</w:t>
            </w:r>
          </w:p>
        </w:tc>
      </w:tr>
      <w:tr>
        <w:tc>
          <w:tcPr>
            <w:tcW w:type="dxa" w:w="831"/>
            <w:vMerge/>
          </w:tcPr>
          <w:p/>
        </w:tc>
        <w:tc>
          <w:tcPr>
            <w:tcW w:type="dxa" w:w="1661"/>
          </w:tcPr>
          <w:p>
            <w:pPr>
              <w:pStyle w:val="null3"/>
            </w:pPr>
            <w:r>
              <w:rPr/>
              <w:t>类似业绩</w:t>
            </w:r>
          </w:p>
        </w:tc>
        <w:tc>
          <w:tcPr>
            <w:tcW w:type="dxa" w:w="2492"/>
          </w:tcPr>
          <w:p>
            <w:pPr>
              <w:pStyle w:val="null3"/>
            </w:pPr>
            <w:r>
              <w:rPr/>
              <w:t>供应商提供2020年1月1日至今承接类似项目业绩合同复印件并加盖单位公章（以合同签订时间为准）作为证明文件。每提供一个类似业绩得2分，满分10分。</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其他附件</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1.经初审合格的磋商响应文件，其磋商报价为有效磋商报价价，对其行价格评审。 2.满足磋商文件实质性要求且最终报价最低的供应商的价格为磋商基准价，其价格分为满分30分。 3.磋商报价得分=（磋商基准价/最终磋商报价）×30的公式计算得分。 4.磋商报价不完整的，不进入评标标准价的计算，本项得0分。 5.经磋商小组一致认定，供应商的磋商最终总报价低于公认市场成本，或超过采购预算,其响应将被拒绝。</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详见附件：标的清单</w:t>
      </w:r>
    </w:p>
    <w:p>
      <w:pPr>
        <w:pStyle w:val="null3"/>
        <w:ind w:firstLine="960"/>
      </w:pPr>
      <w:r>
        <w:rPr/>
        <w:t>详见附件：其他附件</w:t>
      </w:r>
    </w:p>
    <w:p>
      <w:pPr>
        <w:pStyle w:val="null3"/>
      </w:pPr>
      <w:r>
        <w:rPr/>
        <w:t xml:space="preserve"> </w:t>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