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校园保洁服务项目</w:t>
      </w:r>
    </w:p>
    <w:p>
      <w:pPr>
        <w:pStyle w:val="null3"/>
        <w:jc w:val="center"/>
        <w:outlineLvl w:val="2"/>
      </w:pPr>
      <w:r>
        <w:rPr>
          <w:b/>
          <w:sz w:val="28"/>
        </w:rPr>
        <w:t>采购项目编号：</w:t>
      </w:r>
      <w:r>
        <w:rPr>
          <w:b/>
          <w:sz w:val="28"/>
        </w:rPr>
        <w:t>HYTH-202312102</w:t>
      </w:r>
      <w:r>
        <w:br/>
      </w:r>
      <w:r>
        <w:br/>
      </w:r>
      <w:r>
        <w:br/>
      </w:r>
    </w:p>
    <w:p>
      <w:pPr>
        <w:pStyle w:val="null3"/>
        <w:jc w:val="center"/>
        <w:outlineLvl w:val="2"/>
      </w:pPr>
      <w:r>
        <w:rPr>
          <w:b/>
          <w:sz w:val="28"/>
        </w:rPr>
        <w:t>西安市含光中学</w:t>
      </w:r>
    </w:p>
    <w:p>
      <w:pPr>
        <w:pStyle w:val="null3"/>
        <w:jc w:val="center"/>
        <w:outlineLvl w:val="2"/>
      </w:pPr>
      <w:r>
        <w:rPr>
          <w:b/>
          <w:sz w:val="28"/>
        </w:rPr>
        <w:t>陕西四方衡裕项目管理有限公司</w:t>
      </w:r>
      <w:r>
        <w:rPr>
          <w:b/>
          <w:sz w:val="28"/>
        </w:rPr>
        <w:t>共同编制</w:t>
      </w:r>
    </w:p>
    <w:p>
      <w:pPr>
        <w:pStyle w:val="null3"/>
        <w:jc w:val="center"/>
        <w:outlineLvl w:val="2"/>
      </w:pPr>
      <w:r>
        <w:rPr>
          <w:b/>
          <w:sz w:val="28"/>
        </w:rPr>
        <w:t>2023年12月27日</w:t>
      </w:r>
    </w:p>
    <w:p>
      <w:pPr>
        <w:pStyle w:val="null3"/>
      </w:pPr>
      <w:r>
        <w:rPr/>
        <w:t xml:space="preserve"> </w:t>
      </w:r>
    </w:p>
    <w:p>
      <w:pPr>
        <w:pStyle w:val="null3"/>
        <w:jc w:val="center"/>
        <w:outlineLvl w:val="1"/>
      </w:pPr>
      <w:r>
        <w:rPr>
          <w:b/>
          <w:sz w:val="36"/>
        </w:rPr>
        <w:t>第一章 竞争性磋商邀请</w:t>
      </w:r>
    </w:p>
    <w:p>
      <w:pPr>
        <w:pStyle w:val="null3"/>
        <w:ind w:firstLine="480"/>
      </w:pPr>
      <w:r>
        <w:rPr/>
        <w:t>陕西四方衡裕项目管理有限公司</w:t>
      </w:r>
      <w:r>
        <w:rPr/>
        <w:t>（以下简称“代理机构”）受</w:t>
      </w:r>
      <w:r>
        <w:rPr/>
        <w:t>西安市含光中学</w:t>
      </w:r>
      <w:r>
        <w:rPr/>
        <w:t>委托，拟对</w:t>
      </w:r>
      <w:r>
        <w:rPr/>
        <w:t>校园保洁服务项目</w:t>
      </w:r>
      <w:r>
        <w:rPr/>
        <w:t>采用竞争性磋商采购方式进行采购，兹邀请供应商参加本项目的竞争性磋商。</w:t>
      </w:r>
    </w:p>
    <w:p>
      <w:pPr>
        <w:pStyle w:val="null3"/>
        <w:outlineLvl w:val="2"/>
      </w:pPr>
      <w:r>
        <w:rPr>
          <w:b/>
          <w:sz w:val="28"/>
        </w:rPr>
        <w:t>一、项目编号：</w:t>
      </w:r>
      <w:r>
        <w:rPr>
          <w:b/>
          <w:sz w:val="28"/>
        </w:rPr>
        <w:t>HYTH-202312102</w:t>
      </w:r>
    </w:p>
    <w:p>
      <w:pPr>
        <w:pStyle w:val="null3"/>
        <w:outlineLvl w:val="2"/>
      </w:pPr>
      <w:r>
        <w:rPr>
          <w:b/>
          <w:sz w:val="28"/>
        </w:rPr>
        <w:t>二、项目名称：</w:t>
      </w:r>
      <w:r>
        <w:rPr>
          <w:b/>
          <w:sz w:val="28"/>
        </w:rPr>
        <w:t>校园保洁服务项目</w:t>
      </w:r>
    </w:p>
    <w:p>
      <w:pPr>
        <w:pStyle w:val="null3"/>
        <w:outlineLvl w:val="2"/>
      </w:pPr>
      <w:r>
        <w:rPr>
          <w:b/>
          <w:sz w:val="28"/>
        </w:rPr>
        <w:t>三、磋商项目简介</w:t>
      </w:r>
    </w:p>
    <w:p>
      <w:pPr>
        <w:pStyle w:val="null3"/>
        <w:ind w:firstLine="480"/>
      </w:pPr>
      <w:r>
        <w:rPr/>
        <w:t>西安市含光中学校园保洁服务项目，服务期1年。</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采购包1（西安市含光中学校园保洁服务项目）：属于专门面向中小企业采购。</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1、营业执照等主体资格证明文件：提供有效存续的企业营业执照/事业单位法人证书/专业服务机构执业许可证/民办非企业单位登记证书，自然人投标的提供其身份证明；</w:t>
      </w:r>
    </w:p>
    <w:p>
      <w:pPr>
        <w:pStyle w:val="null3"/>
      </w:pPr>
      <w:r>
        <w:rPr/>
        <w:t>2、财务状况报告：提供2022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t>3、税收缴纳证明：提供2023年6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t>4、社保缴纳证明：提供2023年6月至今已缴存任意一个月社会保障资金缴存单据或社保机构开具的社会保险参保缴费证明，依法不需要缴纳社会保障资金的单位应提供相应证明文件；</w:t>
      </w:r>
    </w:p>
    <w:p>
      <w:pPr>
        <w:pStyle w:val="null3"/>
      </w:pPr>
      <w:r>
        <w:rPr/>
        <w:t>5、履行合同所必需的设备和专业技术能力：具备履行合同所必需的设备和专业技术能力的证明材料或书面声明；</w:t>
      </w:r>
    </w:p>
    <w:p>
      <w:pPr>
        <w:pStyle w:val="null3"/>
      </w:pPr>
      <w:r>
        <w:rPr/>
        <w:t>6、采购活动前三年内在经营活动中没有重大违法记录：参加政府采购活动前三年内在经营活动中没有重大违法记录的书面声明；</w:t>
      </w:r>
    </w:p>
    <w:p>
      <w:pPr>
        <w:pStyle w:val="null3"/>
      </w:pPr>
      <w:r>
        <w:rPr/>
        <w:t>7、法律、行政法规规定的其他条件的证明材料：具备法律、行政法规规定的其他条件的证明材料。</w:t>
      </w:r>
    </w:p>
    <w:p>
      <w:pPr>
        <w:pStyle w:val="null3"/>
      </w:pPr>
      <w:r>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或劳动合同）。 法人的分支机构参与磋商时，除提供《法定代表人授权委托书》外，还须同时提供法人给分支机构出具的授权书。</w:t>
      </w:r>
    </w:p>
    <w:p>
      <w:pPr>
        <w:pStyle w:val="null3"/>
      </w:pPr>
      <w:r>
        <w:rPr/>
        <w:t>10、本项目不接受联合体投标，不允许分包：本项目不接受联合体投标，不允许分包。供应商提供《非联合体不分包投标声明》，视为独立投标，不分包。</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西安市含光中学</w:t>
      </w:r>
    </w:p>
    <w:p>
      <w:pPr>
        <w:pStyle w:val="null3"/>
      </w:pPr>
      <w:r>
        <w:rPr/>
        <w:t xml:space="preserve"> 地址： </w:t>
      </w:r>
      <w:r>
        <w:rPr/>
        <w:t>西安市含光北路152号</w:t>
      </w:r>
    </w:p>
    <w:p>
      <w:pPr>
        <w:pStyle w:val="null3"/>
      </w:pPr>
      <w:r>
        <w:rPr/>
        <w:t xml:space="preserve"> 邮编： </w:t>
      </w:r>
      <w:r>
        <w:rPr/>
        <w:t>710068</w:t>
      </w:r>
    </w:p>
    <w:p>
      <w:pPr>
        <w:pStyle w:val="null3"/>
      </w:pPr>
      <w:r>
        <w:rPr/>
        <w:t xml:space="preserve"> 联系人： </w:t>
      </w:r>
      <w:r>
        <w:rPr/>
        <w:t>郝老师</w:t>
      </w:r>
    </w:p>
    <w:p>
      <w:pPr>
        <w:pStyle w:val="null3"/>
      </w:pPr>
      <w:r>
        <w:rPr/>
        <w:t xml:space="preserve"> 联系电话： </w:t>
      </w:r>
      <w:r>
        <w:rPr/>
        <w:t>029-88429427</w:t>
      </w:r>
    </w:p>
    <w:p>
      <w:pPr>
        <w:pStyle w:val="null3"/>
        <w:outlineLvl w:val="3"/>
      </w:pPr>
      <w:r>
        <w:rPr>
          <w:b/>
          <w:sz w:val="24"/>
        </w:rPr>
        <w:t>代理机构：</w:t>
      </w:r>
      <w:r>
        <w:rPr>
          <w:b/>
          <w:sz w:val="24"/>
        </w:rPr>
        <w:t>陕西四方衡裕项目管理有限公司</w:t>
      </w:r>
    </w:p>
    <w:p>
      <w:pPr>
        <w:pStyle w:val="null3"/>
      </w:pPr>
      <w:r>
        <w:rPr/>
        <w:t xml:space="preserve"> 地址： </w:t>
      </w:r>
      <w:r>
        <w:rPr/>
        <w:t>西安市高新区沣惠路16号泰华金贸国际8号楼28层</w:t>
      </w:r>
    </w:p>
    <w:p>
      <w:pPr>
        <w:pStyle w:val="null3"/>
      </w:pPr>
      <w:r>
        <w:rPr/>
        <w:t xml:space="preserve"> 邮编： </w:t>
      </w:r>
      <w:r>
        <w:rPr/>
        <w:t>710000</w:t>
      </w:r>
    </w:p>
    <w:p>
      <w:pPr>
        <w:pStyle w:val="null3"/>
      </w:pPr>
      <w:r>
        <w:rPr/>
        <w:t xml:space="preserve"> 联系人： </w:t>
      </w:r>
      <w:r>
        <w:rPr/>
        <w:t>李亚容、王维、赵维</w:t>
      </w:r>
    </w:p>
    <w:p>
      <w:pPr>
        <w:pStyle w:val="null3"/>
      </w:pPr>
      <w:r>
        <w:rPr/>
        <w:t xml:space="preserve"> 联系电话： </w:t>
      </w:r>
      <w:r>
        <w:rPr/>
        <w:t>029-89284433-603</w:t>
      </w:r>
    </w:p>
    <w:p>
      <w:pPr>
        <w:pStyle w:val="null3"/>
        <w:outlineLvl w:val="3"/>
      </w:pPr>
      <w:r>
        <w:rPr>
          <w:b/>
          <w:sz w:val="24"/>
        </w:rPr>
        <w:t>采购监督机构：</w:t>
      </w:r>
      <w:r>
        <w:rPr>
          <w:b/>
          <w:sz w:val="24"/>
        </w:rPr>
        <w:t>西安市碑林区政府采购管理股</w:t>
      </w:r>
    </w:p>
    <w:p>
      <w:pPr>
        <w:pStyle w:val="null3"/>
        <w:ind w:firstLine="480"/>
      </w:pPr>
      <w:r>
        <w:rPr/>
        <w:t>联系人：</w:t>
      </w:r>
      <w:r>
        <w:rPr/>
        <w:t>郝老师</w:t>
      </w:r>
    </w:p>
    <w:p>
      <w:pPr>
        <w:pStyle w:val="null3"/>
        <w:ind w:firstLine="480"/>
      </w:pPr>
      <w:r>
        <w:rPr/>
        <w:t>联系电话：</w:t>
      </w:r>
      <w:r>
        <w:rPr/>
        <w:t>029-89625302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采购包1：532,800.00元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西安市含光中学</w:t>
      </w:r>
      <w:r>
        <w:rPr/>
        <w:t>和</w:t>
      </w:r>
      <w:r>
        <w:rPr/>
        <w:t>陕西四方衡裕项目管理有限公司</w:t>
      </w:r>
      <w:r>
        <w:rPr/>
        <w:t>享有。对磋商文件中供应商参加本次政府采购活动应当具备的条件，磋商项目技术、服务、商务及其他要求，评审细则及标准由</w:t>
      </w:r>
      <w:r>
        <w:rPr/>
        <w:t>西安市含光中学</w:t>
      </w:r>
      <w:r>
        <w:rPr/>
        <w:t>负责解释。除上述磋商文件内容，其他内容由</w:t>
      </w:r>
      <w:r>
        <w:rPr/>
        <w:t>陕西四方衡裕项目管理有限公司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西安市含光中学</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陕西四方衡裕项目管理有限公司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釆购代理机构一份。 （二）乙方向甲方提交服务实施过程中的所有资料。以便甲方日后管理和维护。 （三）验收依据： 1、竞争性磋商文件、响应文件、澄清表（函）； 2、本合同及附件文本； 3、国家相应的标准、规范。</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陕西四方衡裕项目管理有限公司</w:t>
      </w:r>
      <w:r>
        <w:rPr/>
        <w:t xml:space="preserve"> 负责答复；供应商对除采购需求外的采购文件的询问、质疑由</w:t>
      </w:r>
      <w:r>
        <w:rPr/>
        <w:t>陕西四方衡裕项目管理有限公司</w:t>
      </w:r>
      <w:r>
        <w:rPr/>
        <w:t xml:space="preserve"> 负责答复；供应商对采购过程、采购结果的询问、质疑由 </w:t>
      </w:r>
      <w:r>
        <w:rPr/>
        <w:t>陕西四方衡裕项目管理有限公司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联系人：赵维、王维</w:t>
      </w:r>
    </w:p>
    <w:p>
      <w:pPr>
        <w:pStyle w:val="null3"/>
      </w:pPr>
      <w:r>
        <w:rPr/>
        <w:t>联系电话：029-89284433-603</w:t>
      </w:r>
    </w:p>
    <w:p>
      <w:pPr>
        <w:pStyle w:val="null3"/>
      </w:pPr>
      <w:r>
        <w:rPr/>
        <w:t>地址：西安市高新区沣惠路16号泰华金贸国际8号楼28层</w:t>
      </w:r>
    </w:p>
    <w:p>
      <w:pPr>
        <w:pStyle w:val="null3"/>
      </w:pPr>
      <w:r>
        <w:rPr/>
        <w:t>邮编：710075</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西安市含光中学校园保洁服务，服务期1年。</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532,800.00</w:t>
      </w:r>
    </w:p>
    <w:p>
      <w:pPr>
        <w:pStyle w:val="null3"/>
      </w:pPr>
      <w:r>
        <w:rPr/>
        <w:t>采购包最高限价（元）: 532,800.00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保洁服务</w:t>
            </w:r>
          </w:p>
        </w:tc>
        <w:tc>
          <w:tcPr>
            <w:tcW w:type="dxa" w:w="831"/>
          </w:tcPr>
          <w:p>
            <w:pPr>
              <w:pStyle w:val="null3"/>
              <w:jc w:val="right"/>
            </w:pPr>
            <w:r>
              <w:rPr/>
              <w:t>1.00</w:t>
            </w:r>
          </w:p>
        </w:tc>
        <w:tc>
          <w:tcPr>
            <w:tcW w:type="dxa" w:w="831"/>
          </w:tcPr>
          <w:p>
            <w:pPr>
              <w:pStyle w:val="null3"/>
              <w:jc w:val="right"/>
            </w:pPr>
            <w:r>
              <w:rPr/>
              <w:t>532,800.00</w:t>
            </w:r>
          </w:p>
        </w:tc>
        <w:tc>
          <w:tcPr>
            <w:tcW w:type="dxa" w:w="831"/>
          </w:tcPr>
          <w:p>
            <w:pPr>
              <w:pStyle w:val="null3"/>
            </w:pPr>
            <w:r>
              <w:rPr/>
              <w:t>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20"/>
              <w:jc w:val="both"/>
            </w:pPr>
            <w:r>
              <w:rPr>
                <w:rFonts w:ascii="仿宋" w:hAnsi="仿宋" w:cs="仿宋" w:eastAsia="仿宋"/>
                <w:sz w:val="21"/>
              </w:rPr>
              <w:t>一、项目概况</w:t>
            </w:r>
          </w:p>
          <w:p>
            <w:pPr>
              <w:pStyle w:val="null3"/>
              <w:ind w:firstLine="420"/>
              <w:jc w:val="both"/>
            </w:pPr>
            <w:r>
              <w:rPr>
                <w:rFonts w:ascii="仿宋" w:hAnsi="仿宋" w:cs="仿宋" w:eastAsia="仿宋"/>
                <w:color w:val="000000"/>
                <w:sz w:val="21"/>
              </w:rPr>
              <w:t>西安市含光中学</w:t>
            </w:r>
            <w:r>
              <w:rPr>
                <w:rFonts w:ascii="仿宋" w:hAnsi="仿宋" w:cs="仿宋" w:eastAsia="仿宋"/>
                <w:sz w:val="21"/>
              </w:rPr>
              <w:t>现有教</w:t>
            </w:r>
            <w:r>
              <w:rPr>
                <w:rFonts w:ascii="仿宋" w:hAnsi="仿宋" w:cs="仿宋" w:eastAsia="仿宋"/>
                <w:sz w:val="21"/>
              </w:rPr>
              <w:t>职工</w:t>
            </w:r>
            <w:r>
              <w:rPr>
                <w:rFonts w:ascii="仿宋" w:hAnsi="仿宋" w:cs="仿宋" w:eastAsia="仿宋"/>
                <w:sz w:val="21"/>
              </w:rPr>
              <w:t>131人，学生2000多名，学校占地41亩。目前有教学楼3栋（南教学楼5层、北教学楼3层、新教学楼6层），实验楼1栋（4层），大礼堂1栋，室外学生运动场2处，学生餐厅1处，自行车棚1处，室外公共卫生间1处。建筑面积24007平方米，操场、道路、绿地等面积15118.2平方米，共计服务面积39125.2平方米。</w:t>
            </w:r>
          </w:p>
          <w:p>
            <w:pPr>
              <w:pStyle w:val="null3"/>
              <w:ind w:firstLine="422"/>
              <w:jc w:val="both"/>
            </w:pPr>
            <w:r>
              <w:rPr>
                <w:rFonts w:ascii="仿宋" w:hAnsi="仿宋" w:cs="仿宋" w:eastAsia="仿宋"/>
                <w:b/>
                <w:color w:val="000000"/>
                <w:sz w:val="21"/>
              </w:rPr>
              <w:t>二、服务内容</w:t>
            </w:r>
          </w:p>
          <w:p>
            <w:pPr>
              <w:pStyle w:val="null3"/>
              <w:ind w:firstLine="422"/>
              <w:jc w:val="both"/>
            </w:pPr>
            <w:r>
              <w:rPr>
                <w:rFonts w:ascii="仿宋" w:hAnsi="仿宋" w:cs="仿宋" w:eastAsia="仿宋"/>
                <w:b/>
                <w:color w:val="000000"/>
                <w:sz w:val="21"/>
              </w:rPr>
              <w:t>1、保洁服务：</w:t>
            </w:r>
          </w:p>
          <w:p>
            <w:pPr>
              <w:pStyle w:val="null3"/>
              <w:ind w:firstLine="420"/>
              <w:jc w:val="both"/>
            </w:pPr>
            <w:r>
              <w:rPr>
                <w:rFonts w:ascii="仿宋" w:hAnsi="仿宋" w:cs="仿宋" w:eastAsia="仿宋"/>
                <w:color w:val="000000"/>
                <w:sz w:val="21"/>
              </w:rPr>
              <w:t>室内保洁：包括南教学楼（</w:t>
            </w:r>
            <w:r>
              <w:rPr>
                <w:rFonts w:ascii="仿宋" w:hAnsi="仿宋" w:cs="仿宋" w:eastAsia="仿宋"/>
                <w:color w:val="000000"/>
                <w:sz w:val="21"/>
              </w:rPr>
              <w:t>4层）、新教学楼（6层）、北教学楼（3层）、实验楼（4层）、大礼堂、北厕所、学生车棚的所有室内区域的保洁工作。</w:t>
            </w:r>
          </w:p>
          <w:p>
            <w:pPr>
              <w:pStyle w:val="null3"/>
              <w:ind w:firstLine="420"/>
              <w:jc w:val="both"/>
            </w:pPr>
            <w:r>
              <w:rPr>
                <w:rFonts w:ascii="仿宋" w:hAnsi="仿宋" w:cs="仿宋" w:eastAsia="仿宋"/>
                <w:color w:val="000000"/>
                <w:sz w:val="21"/>
              </w:rPr>
              <w:t>室外保洁：包括学校南北操场、升旗台、学校大门口、校内主干道、新教学楼门前绿化带、北平房门前、实验楼北侧运动场等。</w:t>
            </w:r>
          </w:p>
          <w:p>
            <w:pPr>
              <w:pStyle w:val="null3"/>
              <w:ind w:firstLine="420"/>
              <w:jc w:val="both"/>
            </w:pPr>
            <w:r>
              <w:rPr>
                <w:rFonts w:ascii="仿宋" w:hAnsi="仿宋" w:cs="仿宋" w:eastAsia="仿宋"/>
                <w:color w:val="000000"/>
                <w:sz w:val="21"/>
              </w:rPr>
              <w:t>电器保洁：对公共区域的电梯、饮水机、空调、通风换气设备、消防设备等的日常保养及保洁工作。</w:t>
            </w:r>
          </w:p>
          <w:p>
            <w:pPr>
              <w:pStyle w:val="null3"/>
              <w:ind w:firstLine="420"/>
              <w:jc w:val="both"/>
            </w:pPr>
            <w:r>
              <w:rPr>
                <w:rFonts w:ascii="仿宋" w:hAnsi="仿宋" w:cs="仿宋" w:eastAsia="仿宋"/>
                <w:color w:val="000000"/>
                <w:sz w:val="21"/>
              </w:rPr>
              <w:t>其他保洁：每周集中保洁对操场、升旗台、学校大门口、垃圾房进行冲洗；每学期对公区玻璃进行全面擦拭；大型会议、活动、社会考试等需要对会议室、报告厅、教室内部装饰覆盖等的临时性保洁任务。</w:t>
            </w:r>
          </w:p>
          <w:p>
            <w:pPr>
              <w:pStyle w:val="null3"/>
              <w:ind w:firstLine="422"/>
              <w:jc w:val="both"/>
            </w:pPr>
            <w:r>
              <w:rPr>
                <w:rFonts w:ascii="仿宋" w:hAnsi="仿宋" w:cs="仿宋" w:eastAsia="仿宋"/>
                <w:b/>
                <w:color w:val="000000"/>
                <w:sz w:val="21"/>
              </w:rPr>
              <w:t>2、其他服务</w:t>
            </w:r>
            <w:r>
              <w:rPr>
                <w:rFonts w:ascii="仿宋" w:hAnsi="仿宋" w:cs="仿宋" w:eastAsia="仿宋"/>
                <w:color w:val="000000"/>
                <w:sz w:val="21"/>
              </w:rPr>
              <w:t>：</w:t>
            </w:r>
          </w:p>
          <w:p>
            <w:pPr>
              <w:pStyle w:val="null3"/>
              <w:ind w:firstLine="420"/>
              <w:jc w:val="both"/>
            </w:pPr>
            <w:r>
              <w:rPr>
                <w:rFonts w:ascii="仿宋" w:hAnsi="仿宋" w:cs="仿宋" w:eastAsia="仿宋"/>
                <w:color w:val="000000"/>
                <w:sz w:val="21"/>
              </w:rPr>
              <w:t>车棚管理：主要负责校内学生停放自行车的日常管理工作。</w:t>
            </w:r>
          </w:p>
          <w:p>
            <w:pPr>
              <w:pStyle w:val="null3"/>
              <w:ind w:firstLine="420"/>
              <w:jc w:val="both"/>
            </w:pPr>
            <w:r>
              <w:rPr>
                <w:rFonts w:ascii="仿宋" w:hAnsi="仿宋" w:cs="仿宋" w:eastAsia="仿宋"/>
                <w:color w:val="000000"/>
                <w:sz w:val="21"/>
              </w:rPr>
              <w:t>水电维修：校内所有水电相关的简单维修。</w:t>
            </w:r>
          </w:p>
          <w:p>
            <w:pPr>
              <w:pStyle w:val="null3"/>
              <w:ind w:firstLine="420"/>
              <w:jc w:val="both"/>
            </w:pPr>
            <w:r>
              <w:rPr>
                <w:rFonts w:ascii="仿宋" w:hAnsi="仿宋" w:cs="仿宋" w:eastAsia="仿宋"/>
                <w:color w:val="000000"/>
                <w:sz w:val="21"/>
              </w:rPr>
              <w:t>垃圾管理：负责校内垃圾池、垃圾台的垃圾分类、管理以及垃圾清运任务。</w:t>
            </w:r>
          </w:p>
          <w:p>
            <w:pPr>
              <w:pStyle w:val="null3"/>
              <w:ind w:firstLine="422"/>
              <w:jc w:val="both"/>
            </w:pPr>
            <w:r>
              <w:rPr>
                <w:rFonts w:ascii="仿宋" w:hAnsi="仿宋" w:cs="仿宋" w:eastAsia="仿宋"/>
                <w:b/>
                <w:color w:val="000000"/>
                <w:sz w:val="21"/>
              </w:rPr>
              <w:t>三、服务要求</w:t>
            </w:r>
          </w:p>
          <w:p>
            <w:pPr>
              <w:pStyle w:val="null3"/>
              <w:ind w:firstLine="420"/>
              <w:jc w:val="both"/>
            </w:pPr>
            <w:r>
              <w:rPr>
                <w:rFonts w:ascii="仿宋" w:hAnsi="仿宋" w:cs="仿宋" w:eastAsia="仿宋"/>
                <w:color w:val="000000"/>
                <w:sz w:val="21"/>
              </w:rPr>
              <w:t>1、人员配置：专职保洁员9人，周末单休（轮休制）；自行车管理员1人（兼做部分卫生区域）、垃圾管理员1人（兼做部分卫生区域）、水电维修1人，负责校内电气设备的保洁及维护。节假日至少配备4名保洁人员。</w:t>
            </w:r>
          </w:p>
          <w:p>
            <w:pPr>
              <w:pStyle w:val="null3"/>
              <w:ind w:firstLine="420"/>
              <w:jc w:val="both"/>
            </w:pPr>
            <w:r>
              <w:rPr>
                <w:rFonts w:ascii="仿宋" w:hAnsi="仿宋" w:cs="仿宋" w:eastAsia="仿宋"/>
                <w:color w:val="000000"/>
                <w:sz w:val="21"/>
              </w:rPr>
              <w:t>2、专业设备：由</w:t>
            </w:r>
            <w:r>
              <w:rPr>
                <w:rFonts w:ascii="仿宋" w:hAnsi="仿宋" w:cs="仿宋" w:eastAsia="仿宋"/>
                <w:color w:val="000000"/>
                <w:sz w:val="21"/>
              </w:rPr>
              <w:t>供应商</w:t>
            </w:r>
            <w:r>
              <w:rPr>
                <w:rFonts w:ascii="仿宋" w:hAnsi="仿宋" w:cs="仿宋" w:eastAsia="仿宋"/>
                <w:color w:val="000000"/>
                <w:sz w:val="21"/>
              </w:rPr>
              <w:t>配备各项保洁设备、保洁材料。</w:t>
            </w:r>
          </w:p>
          <w:p>
            <w:pPr>
              <w:pStyle w:val="null3"/>
              <w:ind w:firstLine="420"/>
              <w:jc w:val="both"/>
            </w:pPr>
            <w:r>
              <w:rPr>
                <w:rFonts w:ascii="仿宋" w:hAnsi="仿宋" w:cs="仿宋" w:eastAsia="仿宋"/>
                <w:color w:val="000000"/>
                <w:sz w:val="21"/>
              </w:rPr>
              <w:t>3、服务标准：</w:t>
            </w:r>
          </w:p>
          <w:p>
            <w:pPr>
              <w:pStyle w:val="null3"/>
              <w:ind w:firstLine="422"/>
              <w:jc w:val="center"/>
            </w:pPr>
            <w:r>
              <w:rPr>
                <w:rFonts w:ascii="仿宋" w:hAnsi="仿宋" w:cs="仿宋" w:eastAsia="仿宋"/>
                <w:b/>
                <w:color w:val="000000"/>
                <w:sz w:val="21"/>
              </w:rPr>
              <w:t>保洁服务工作标准</w:t>
            </w:r>
          </w:p>
          <w:tbl>
            <w:tblPr>
              <w:tblBorders>
                <w:top w:val="none" w:color="000000" w:sz="4"/>
                <w:left w:val="none" w:color="000000" w:sz="4"/>
                <w:bottom w:val="none" w:color="000000" w:sz="4"/>
                <w:right w:val="none" w:color="000000" w:sz="4"/>
                <w:insideH w:val="none"/>
                <w:insideV w:val="none"/>
              </w:tblBorders>
            </w:tblPr>
            <w:tblGrid>
              <w:gridCol w:w="188"/>
              <w:gridCol w:w="603"/>
              <w:gridCol w:w="858"/>
              <w:gridCol w:w="904"/>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区域</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保洁内容</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质量标准</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作业频率</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室外</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公共绿地</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草坪整洁、无杂物及纸屑。</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1次/天清理</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操场、道路地面</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无烟蒂、果皮纸屑及杂物，无积雪和积水。</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1次/清扫；不断巡回。</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柱灯、花钵（盆）等</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洁净、无粘附物、无积尘、无乱张贴、无污迹。</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1次/月擦拭；每天巡视。</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沟渠</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沟槽明渠通畅无杂物。</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1次/周清理；每天巡视。</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雨棚</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目视无垃圾、淤泥。</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1次/月清理</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垃圾筒、果皮箱</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及时倾倒垃圾，外壳洁净无污渍、无粘附物，垃圾日产日清。</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1次/天清理收集，巡检。</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垃圾中转站</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及时清运，确保中转站内无大量垃圾堆积；垃圾桶摆放整齐，表面干净。</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1次/天清理擦拭；1次/周刷洗。</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室内</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石材地面</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洁净光亮，无尘、无杂物。</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2次/天拖扫；</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地砖地面</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洁净光亮，无尘、无杂物。</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2次/天拖扫；1次/半年清洗。</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涂料墙面</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无浮灰、无污迹。</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1次/周掸扫</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石材墙面</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洁净有光泽、无灰尘和污渍。</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1次/周掸扫。</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天花板</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无明显浮灰、无蜘蛛网。</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1次/月扫尘</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灯罩、烟感器、排风口、标牌等</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无明显灰尘和污渍。</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1次/月擦拭、除尘。</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玻璃、门窗、踢脚线</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无灰尘、污渍，光洁明亮。</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1次/周擦拭</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扶手、栏杆、开关面板、消防栓</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无灰尘、污渍，洁净。</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1次/天擦拭</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楼梯、走廊</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地面洁净、无尘、无杂物。</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1次/天拖扫、推尘。</w:t>
                  </w:r>
                </w:p>
              </w:tc>
            </w:tr>
            <w:tr>
              <w:tc>
                <w:tcPr>
                  <w:tcW w:type="dxa" w:w="188"/>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卫生间</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洁无积水、杂物；手纸篓内垃圾不超过</w:t>
                  </w:r>
                  <w:r>
                    <w:rPr>
                      <w:rFonts w:ascii="仿宋" w:hAnsi="仿宋" w:cs="仿宋" w:eastAsia="仿宋"/>
                      <w:sz w:val="21"/>
                    </w:rPr>
                    <w:t>2/3处；墙壁、门窗、隔断无污迹、无乱贴乱画；镜面、玻璃光亮洁净无水渍、手印；洁具、台面光亮洁净、无水迹、霉斑、污渍、锈渍；便池洁净无污垢，下水及地漏畅通无堵塞，水槽池壁洁净无粘附物；天花板、灯具洁净、无尘、无蜘蛛网；空气清新无异味。</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2次/天全面清洁；1次/30分钟巡视保洁。</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消杀除虫</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保洁区域、洗手间、卫生死角及阴暗潮湿处</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无鼠害、无虫害，无卫生死角，消除蚊蝇孳生源。夏季蚊蝇密度控制在卫生标准要求范围内。</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根据季节变化和卫生防疫要求，采取集中突击和定期相结合的方式喷洒药剂，投放鼠饵，除虫灭害，全面消杀。并提前告知用户注意，安全规范实施消杀作业。</w:t>
                  </w:r>
                </w:p>
              </w:tc>
            </w:tr>
          </w:tbl>
          <w:p>
            <w:pPr>
              <w:pStyle w:val="null3"/>
              <w:ind w:firstLine="422"/>
              <w:jc w:val="both"/>
            </w:pPr>
            <w:r>
              <w:rPr>
                <w:rFonts w:ascii="仿宋" w:hAnsi="仿宋" w:cs="仿宋" w:eastAsia="仿宋"/>
                <w:b/>
                <w:color w:val="000000"/>
                <w:sz w:val="21"/>
              </w:rPr>
              <w:t>四、商务要求（如服务期限、款项结算等）</w:t>
            </w:r>
          </w:p>
          <w:p>
            <w:pPr>
              <w:pStyle w:val="null3"/>
              <w:ind w:firstLine="420"/>
              <w:jc w:val="both"/>
            </w:pPr>
            <w:r>
              <w:rPr>
                <w:rFonts w:ascii="宋体" w:hAnsi="宋体" w:cs="宋体" w:eastAsia="宋体"/>
                <w:color w:val="000000"/>
                <w:sz w:val="22"/>
              </w:rPr>
              <w:t>（一）服务期限：自合同签订之日起一年。</w:t>
            </w:r>
          </w:p>
          <w:p>
            <w:pPr>
              <w:pStyle w:val="null3"/>
            </w:pPr>
            <w:r>
              <w:rPr>
                <w:rFonts w:ascii="宋体" w:hAnsi="宋体" w:cs="宋体" w:eastAsia="宋体"/>
                <w:color w:val="000000"/>
                <w:sz w:val="22"/>
              </w:rPr>
              <w:t xml:space="preserve">  （二）款项结算：合同签订后，次月10日前结算上一个月的服务费用。由采购人负责结算，供应商开具付款所需等额有效的增值税发票交予采购人。</w:t>
            </w:r>
          </w:p>
        </w:tc>
      </w:tr>
    </w:tbl>
    <w:p>
      <w:pPr>
        <w:pStyle w:val="null3"/>
        <w:outlineLvl w:val="2"/>
      </w:pPr>
      <w:r>
        <w:rPr>
          <w:b/>
          <w:sz w:val="28"/>
        </w:rPr>
        <w:t>3.2.3人员配置要求</w:t>
      </w:r>
    </w:p>
    <w:p>
      <w:pPr>
        <w:pStyle w:val="null3"/>
      </w:pPr>
      <w:r>
        <w:rPr/>
        <w:t>采购包1：</w:t>
      </w:r>
    </w:p>
    <w:p>
      <w:pPr>
        <w:pStyle w:val="null3"/>
      </w:pPr>
      <w:r>
        <w:rPr/>
        <w:t>专职保洁员9人，周末单休（轮休制）；自行车管理员1人（兼做部分卫生区域）、垃圾管理员1人（兼做部分卫生区域）、水电维修1人，负责校内电气设备的保洁及维护。节假日至少配备4名保洁人员。</w:t>
      </w:r>
    </w:p>
    <w:p>
      <w:pPr>
        <w:pStyle w:val="null3"/>
        <w:outlineLvl w:val="2"/>
      </w:pPr>
      <w:r>
        <w:rPr>
          <w:b/>
          <w:sz w:val="28"/>
        </w:rPr>
        <w:t>3.2.4设施设备要求</w:t>
      </w:r>
    </w:p>
    <w:p>
      <w:pPr>
        <w:pStyle w:val="null3"/>
      </w:pPr>
      <w:r>
        <w:rPr/>
        <w:t>采购包1：</w:t>
      </w:r>
    </w:p>
    <w:p>
      <w:pPr>
        <w:pStyle w:val="null3"/>
      </w:pPr>
      <w:r>
        <w:rPr/>
        <w:t>专业设备：由供应商配备各项保洁设备、保洁材料。</w:t>
      </w:r>
    </w:p>
    <w:p>
      <w:pPr>
        <w:pStyle w:val="null3"/>
        <w:outlineLvl w:val="2"/>
      </w:pPr>
      <w:r>
        <w:rPr>
          <w:b/>
          <w:sz w:val="28"/>
        </w:rPr>
        <w:t>3.2.5其他要求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自合同签订之日起一年。</w:t>
      </w:r>
    </w:p>
    <w:p>
      <w:pPr>
        <w:pStyle w:val="null3"/>
        <w:outlineLvl w:val="3"/>
      </w:pPr>
      <w:r>
        <w:rPr>
          <w:b/>
          <w:sz w:val="24"/>
        </w:rPr>
        <w:t>3.3.2服务地点</w:t>
      </w:r>
    </w:p>
    <w:p>
      <w:pPr>
        <w:pStyle w:val="null3"/>
      </w:pPr>
      <w:r>
        <w:rPr/>
        <w:t>采购包1：</w:t>
      </w:r>
    </w:p>
    <w:p>
      <w:pPr>
        <w:pStyle w:val="null3"/>
      </w:pPr>
      <w:r>
        <w:rPr/>
        <w:t>西安市含光中学指定地点</w:t>
      </w:r>
    </w:p>
    <w:p>
      <w:pPr>
        <w:pStyle w:val="null3"/>
        <w:outlineLvl w:val="3"/>
      </w:pPr>
      <w:r>
        <w:rPr>
          <w:b/>
          <w:sz w:val="24"/>
        </w:rPr>
        <w:t>3.3.3考核（验收）标准和方法</w:t>
      </w:r>
    </w:p>
    <w:p>
      <w:pPr>
        <w:pStyle w:val="null3"/>
      </w:pPr>
      <w:r>
        <w:rPr/>
        <w:t>采购包1：</w:t>
      </w:r>
    </w:p>
    <w:p>
      <w:pPr>
        <w:pStyle w:val="null3"/>
      </w:pPr>
      <w:r>
        <w:rPr/>
        <w:t>详见服务合同</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8.00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10.00</w:t>
      </w:r>
      <w:r>
        <w:rPr/>
        <w:t>%。</w:t>
      </w:r>
    </w:p>
    <w:p>
      <w:pPr>
        <w:pStyle w:val="null3"/>
      </w:pPr>
      <w:r>
        <w:rPr/>
        <w:t>采购包1：</w:t>
      </w:r>
      <w:r>
        <w:rPr/>
        <w:t xml:space="preserve"> 付款条件说明： </w:t>
      </w:r>
      <w:r>
        <w:rPr/>
        <w:t>合同签订后，次月10日前结算上一个月的服务费用。由采购人负责结算，供应商开具付款所需等额有效的增值税发票交予采购人</w:t>
      </w:r>
      <w:r>
        <w:rPr/>
        <w:t xml:space="preserve"> ，达到付款条件起 </w:t>
      </w:r>
      <w:r>
        <w:rPr/>
        <w:t>10</w:t>
      </w:r>
      <w:r>
        <w:rPr/>
        <w:t xml:space="preserve"> 日内，支付合同总金额的 </w:t>
      </w:r>
      <w:r>
        <w:rPr/>
        <w:t>10.00</w:t>
      </w:r>
      <w:r>
        <w:rPr/>
        <w:t>%。</w:t>
      </w:r>
    </w:p>
    <w:p>
      <w:pPr>
        <w:pStyle w:val="null3"/>
        <w:outlineLvl w:val="3"/>
      </w:pPr>
      <w:r>
        <w:rPr>
          <w:b/>
          <w:sz w:val="24"/>
        </w:rPr>
        <w:t>3.3.6违约责任及解决争议的方法</w:t>
      </w:r>
    </w:p>
    <w:p>
      <w:pPr>
        <w:pStyle w:val="null3"/>
      </w:pPr>
      <w:r>
        <w:rPr/>
        <w:t>采购包1：</w:t>
      </w:r>
    </w:p>
    <w:p>
      <w:pPr>
        <w:pStyle w:val="null3"/>
      </w:pPr>
      <w:r>
        <w:rPr/>
        <w:t>1、双方必须遵守本合同并执行合同中的各项规定，保证服务合同的正常履行。 2、合同签订后双方不得单方终止合同，如有违约，应支付对方相当于一个月服务费的违约金。 3、服务期满后是否续约或终止合同，双方均应提前壹个月通知对方。 4、如因供应商未全面履行合同义务或者发生违约，采购人有权终止合同，依法向供应商进行经济索赔，并报请政府采购监督管理机关进行相应的行政处罚。采购人违约的，应当赔偿给乙方造成的直接经济损失。 5、供应商工作人员在履行职务过程中的疏忽、失职、过错等故意或者过失原因给校方造成损失或侵害，供应商对此均应承担相应的赔偿责任。</w:t>
      </w:r>
    </w:p>
    <w:p>
      <w:pPr>
        <w:pStyle w:val="null3"/>
        <w:outlineLvl w:val="2"/>
      </w:pPr>
      <w:r>
        <w:rPr>
          <w:b/>
          <w:sz w:val="28"/>
        </w:rPr>
        <w:t>3.4其他要求</w:t>
      </w:r>
    </w:p>
    <w:p>
      <w:pPr>
        <w:pStyle w:val="null3"/>
      </w:pPr>
      <w:r>
        <w:rPr/>
        <w:t>1、因系统原因，付款方式以技术参数第四项中“款项结算”为准。2、本项目采购内容“西安市含光中学校园保洁服务项目”对应的中小企业划分标准所属行业为：物业管理。3、为顺利推进政府采购电子化交易平台试点应用工作，供应商需要在线提交所有通过电子化交易平台实施的政府采购项目的响应文件，同时，线下提交纸质响应文件正本壹份、副本贰份、电子版本壹份（以U盘形式提供，U盘标明供应商名称，随正本密封。U盘内含响应文件正本的Word版本及盖章扫描后的PDF版本）。若电子响应文件与纸质响应文件不一致的，以电子响应文件为准；若正本和副本不符，以正本为准。响应文件正、副本分别各自装订成册密封。在封口处加盖供应商公章。 4、递交截止时间同在线递交电子响应文件截止时间一致 5、线下递交文件地点：西安市高新区沣惠路16号泰华金贸国际8号楼29层开标一室</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承诺书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提供有效存续的企业营业执照/事业单位法人证书/专业服务机构执业许可证/民办非企业单位登记证书，自然人投标的提供其身份证明；</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提供2023年6月至今已缴纳任意一个月纳税证明或税务机关开具的完税证明（时间以税款所属日期为准，凭据应有税务机关或代收机关的公章或业务专用章。）依法免税或无须缴纳税收的单位应提供相应证明文件；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社保缴纳证明</w:t>
            </w:r>
          </w:p>
        </w:tc>
        <w:tc>
          <w:tcPr>
            <w:tcW w:type="dxa" w:w="3322"/>
          </w:tcPr>
          <w:p>
            <w:pPr>
              <w:pStyle w:val="null3"/>
            </w:pPr>
            <w:r>
              <w:rPr/>
              <w:t>提供2023年6月至今已缴存任意一个月社会保障资金缴存单据或社保机构开具的社会保险参保缴费证明，依法不需要缴纳社会保障资金的单位应提供相应证明文件；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履行合同所必需的设备和专业技术能力</w:t>
            </w:r>
          </w:p>
        </w:tc>
        <w:tc>
          <w:tcPr>
            <w:tcW w:type="dxa" w:w="3322"/>
          </w:tcPr>
          <w:p>
            <w:pPr>
              <w:pStyle w:val="null3"/>
            </w:pPr>
            <w:r>
              <w:rPr/>
              <w:t>具备履行合同所必需的设备和专业技术能力的证明材料或书面声明；</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采购活动前三年内在经营活动中没有重大违法记录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法律、行政法规规定的其他条件的证明材料</w:t>
            </w:r>
          </w:p>
        </w:tc>
        <w:tc>
          <w:tcPr>
            <w:tcW w:type="dxa" w:w="3322"/>
          </w:tcPr>
          <w:p>
            <w:pPr>
              <w:pStyle w:val="null3"/>
            </w:pPr>
            <w:r>
              <w:rPr/>
              <w:t>具备法律、行政法规规定的其他条件的证明材料。</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企业信用查询</w:t>
            </w:r>
          </w:p>
        </w:tc>
        <w:tc>
          <w:tcPr>
            <w:tcW w:type="dxa" w:w="3322"/>
          </w:tcPr>
          <w:p>
            <w:pPr>
              <w:pStyle w:val="null3"/>
            </w:pPr>
            <w:r>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法定代表人授权委托书</w:t>
            </w:r>
          </w:p>
        </w:tc>
        <w:tc>
          <w:tcPr>
            <w:tcW w:type="dxa" w:w="3322"/>
          </w:tcPr>
          <w:p>
            <w:pPr>
              <w:pStyle w:val="null3"/>
            </w:pPr>
            <w:r>
              <w:rPr/>
              <w:t>法定代表人直接参加磋商的，须出具法人身份证，并与营业执照上信息一致。法定代表人授权代表参加磋商的，须出具法定代表人授权书及授权代表身份证、授权代表本单位证明（磋商前的个人养老保险缴纳证明或劳动合同）。 法人的分支机构参与磋商时，除提供《法定代表人授权委托书》外，还须同时提供法人给分支机构出具的授权书。</w:t>
            </w:r>
          </w:p>
        </w:tc>
        <w:tc>
          <w:tcPr>
            <w:tcW w:type="dxa" w:w="1661"/>
          </w:tcPr>
          <w:p>
            <w:pPr>
              <w:pStyle w:val="null3"/>
            </w:pPr>
            <w:r>
              <w:rPr/>
              <w:t>资格证明材料</w:t>
            </w:r>
          </w:p>
        </w:tc>
      </w:tr>
      <w:tr>
        <w:tc>
          <w:tcPr>
            <w:tcW w:type="dxa" w:w="831"/>
          </w:tcPr>
          <w:p>
            <w:pPr>
              <w:pStyle w:val="null3"/>
            </w:pPr>
            <w:r>
              <w:rPr/>
              <w:t>10</w:t>
            </w:r>
          </w:p>
        </w:tc>
        <w:tc>
          <w:tcPr>
            <w:tcW w:type="dxa" w:w="2492"/>
          </w:tcPr>
          <w:p>
            <w:pPr>
              <w:pStyle w:val="null3"/>
            </w:pPr>
            <w:r>
              <w:rPr/>
              <w:t>本项目不接受联合体投标，不允许分包</w:t>
            </w:r>
          </w:p>
        </w:tc>
        <w:tc>
          <w:tcPr>
            <w:tcW w:type="dxa" w:w="3322"/>
          </w:tcPr>
          <w:p>
            <w:pPr>
              <w:pStyle w:val="null3"/>
            </w:pPr>
            <w:r>
              <w:rPr/>
              <w:t>本项目不接受联合体投标，不允许分包。供应商提供《非联合体不分包投标声明》，视为独立投标，不分包。</w:t>
            </w:r>
          </w:p>
        </w:tc>
        <w:tc>
          <w:tcPr>
            <w:tcW w:type="dxa" w:w="1661"/>
          </w:tcPr>
          <w:p>
            <w:pPr>
              <w:pStyle w:val="null3"/>
            </w:pPr>
            <w:r>
              <w:rPr/>
              <w:t>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偏离表 报价一览表及报价明细表 中小企业声明函 资格证明材料 承诺书 报价表 响应文件封面 其他资料 残疾人福利性单位声明函 服务方案 标的清单 响应函 监狱企业的证明文件</w:t>
            </w:r>
          </w:p>
        </w:tc>
      </w:tr>
      <w:tr>
        <w:tc>
          <w:tcPr>
            <w:tcW w:type="dxa" w:w="831"/>
          </w:tcPr>
          <w:p>
            <w:pPr>
              <w:pStyle w:val="null3"/>
            </w:pPr>
            <w:r>
              <w:rPr/>
              <w:t>2</w:t>
            </w:r>
          </w:p>
        </w:tc>
        <w:tc>
          <w:tcPr>
            <w:tcW w:type="dxa" w:w="2492"/>
          </w:tcPr>
          <w:p>
            <w:pPr>
              <w:pStyle w:val="null3"/>
            </w:pPr>
            <w:r>
              <w:rPr/>
              <w:t>签署、盖章</w:t>
            </w:r>
          </w:p>
        </w:tc>
        <w:tc>
          <w:tcPr>
            <w:tcW w:type="dxa" w:w="3322"/>
          </w:tcPr>
          <w:p>
            <w:pPr>
              <w:pStyle w:val="null3"/>
            </w:pPr>
            <w:r>
              <w:rPr/>
              <w:t>按照磋商文件规定要求签署、盖章</w:t>
            </w:r>
          </w:p>
        </w:tc>
        <w:tc>
          <w:tcPr>
            <w:tcW w:type="dxa" w:w="1661"/>
          </w:tcPr>
          <w:p>
            <w:pPr>
              <w:pStyle w:val="null3"/>
            </w:pPr>
            <w:r>
              <w:rPr/>
              <w:t>响应文件封面</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报价一览表及报价明细表 标的清单 报价表</w:t>
            </w:r>
          </w:p>
        </w:tc>
      </w:tr>
      <w:tr>
        <w:tc>
          <w:tcPr>
            <w:tcW w:type="dxa" w:w="831"/>
          </w:tcPr>
          <w:p>
            <w:pPr>
              <w:pStyle w:val="null3"/>
            </w:pPr>
            <w:r>
              <w:rPr/>
              <w:t>4</w:t>
            </w:r>
          </w:p>
        </w:tc>
        <w:tc>
          <w:tcPr>
            <w:tcW w:type="dxa" w:w="2492"/>
          </w:tcPr>
          <w:p>
            <w:pPr>
              <w:pStyle w:val="null3"/>
            </w:pPr>
            <w:r>
              <w:rPr/>
              <w:t>磋商响应文件内容</w:t>
            </w:r>
          </w:p>
        </w:tc>
        <w:tc>
          <w:tcPr>
            <w:tcW w:type="dxa" w:w="3322"/>
          </w:tcPr>
          <w:p>
            <w:pPr>
              <w:pStyle w:val="null3"/>
            </w:pPr>
            <w:r>
              <w:rPr/>
              <w:t>磋商响应文件内容齐全、无遗漏</w:t>
            </w:r>
          </w:p>
        </w:tc>
        <w:tc>
          <w:tcPr>
            <w:tcW w:type="dxa" w:w="1661"/>
          </w:tcPr>
          <w:p>
            <w:pPr>
              <w:pStyle w:val="null3"/>
            </w:pPr>
            <w:r>
              <w:rPr/>
              <w:t>响应文件封面 偏离表</w:t>
            </w:r>
          </w:p>
        </w:tc>
      </w:tr>
      <w:tr>
        <w:tc>
          <w:tcPr>
            <w:tcW w:type="dxa" w:w="831"/>
          </w:tcPr>
          <w:p>
            <w:pPr>
              <w:pStyle w:val="null3"/>
            </w:pPr>
            <w:r>
              <w:rPr/>
              <w:t>5</w:t>
            </w:r>
          </w:p>
        </w:tc>
        <w:tc>
          <w:tcPr>
            <w:tcW w:type="dxa" w:w="2492"/>
          </w:tcPr>
          <w:p>
            <w:pPr>
              <w:pStyle w:val="null3"/>
            </w:pPr>
            <w:r>
              <w:rPr/>
              <w:t>对磋商文件响应程度</w:t>
            </w:r>
          </w:p>
        </w:tc>
        <w:tc>
          <w:tcPr>
            <w:tcW w:type="dxa" w:w="3322"/>
          </w:tcPr>
          <w:p>
            <w:pPr>
              <w:pStyle w:val="null3"/>
            </w:pPr>
            <w:r>
              <w:rPr/>
              <w:t>要求全面响应，不能有任何采购人不能接受的附加条件</w:t>
            </w:r>
          </w:p>
        </w:tc>
        <w:tc>
          <w:tcPr>
            <w:tcW w:type="dxa" w:w="1661"/>
          </w:tcPr>
          <w:p>
            <w:pPr>
              <w:pStyle w:val="null3"/>
            </w:pPr>
            <w:r>
              <w:rPr/>
              <w:t>响应文件封面 偏离表</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应满足磋商文件中要求的服务期</w:t>
            </w:r>
          </w:p>
        </w:tc>
        <w:tc>
          <w:tcPr>
            <w:tcW w:type="dxa" w:w="1661"/>
          </w:tcPr>
          <w:p>
            <w:pPr>
              <w:pStyle w:val="null3"/>
            </w:pPr>
            <w:r>
              <w:rPr/>
              <w:t>报价一览表及报价明细表</w:t>
            </w:r>
          </w:p>
        </w:tc>
      </w:tr>
      <w:tr>
        <w:tc>
          <w:tcPr>
            <w:tcW w:type="dxa" w:w="831"/>
          </w:tcPr>
          <w:p>
            <w:pPr>
              <w:pStyle w:val="null3"/>
            </w:pPr>
            <w:r>
              <w:rPr/>
              <w:t>7</w:t>
            </w:r>
          </w:p>
        </w:tc>
        <w:tc>
          <w:tcPr>
            <w:tcW w:type="dxa" w:w="2492"/>
          </w:tcPr>
          <w:p>
            <w:pPr>
              <w:pStyle w:val="null3"/>
            </w:pPr>
            <w:r>
              <w:rPr/>
              <w:t>响应有效期</w:t>
            </w:r>
          </w:p>
        </w:tc>
        <w:tc>
          <w:tcPr>
            <w:tcW w:type="dxa" w:w="3322"/>
          </w:tcPr>
          <w:p>
            <w:pPr>
              <w:pStyle w:val="null3"/>
            </w:pPr>
            <w:r>
              <w:rPr/>
              <w:t>响应有效期满足磋商文件要求</w:t>
            </w:r>
          </w:p>
        </w:tc>
        <w:tc>
          <w:tcPr>
            <w:tcW w:type="dxa" w:w="1661"/>
          </w:tcPr>
          <w:p>
            <w:pPr>
              <w:pStyle w:val="null3"/>
            </w:pPr>
            <w:r>
              <w:rPr/>
              <w:t>响应文件封面 响应函</w:t>
            </w:r>
          </w:p>
        </w:tc>
      </w:tr>
      <w:tr>
        <w:tc>
          <w:tcPr>
            <w:tcW w:type="dxa" w:w="831"/>
          </w:tcPr>
          <w:p>
            <w:pPr>
              <w:pStyle w:val="null3"/>
            </w:pPr>
            <w:r>
              <w:rPr/>
              <w:t>8</w:t>
            </w:r>
          </w:p>
        </w:tc>
        <w:tc>
          <w:tcPr>
            <w:tcW w:type="dxa" w:w="2492"/>
          </w:tcPr>
          <w:p>
            <w:pPr>
              <w:pStyle w:val="null3"/>
            </w:pPr>
            <w:r>
              <w:rPr/>
              <w:t>报价</w:t>
            </w:r>
          </w:p>
        </w:tc>
        <w:tc>
          <w:tcPr>
            <w:tcW w:type="dxa" w:w="3322"/>
          </w:tcPr>
          <w:p>
            <w:pPr>
              <w:pStyle w:val="null3"/>
            </w:pPr>
            <w:r>
              <w:rPr/>
              <w:t>报价未超过磋商文件中规定的预算金额</w:t>
            </w:r>
          </w:p>
        </w:tc>
        <w:tc>
          <w:tcPr>
            <w:tcW w:type="dxa" w:w="1661"/>
          </w:tcPr>
          <w:p>
            <w:pPr>
              <w:pStyle w:val="null3"/>
            </w:pPr>
            <w:r>
              <w:rPr/>
              <w:t>响应文件封面 报价一览表及报价明细表 标的清单 报价表</w:t>
            </w:r>
          </w:p>
        </w:tc>
      </w:tr>
      <w:tr>
        <w:tc>
          <w:tcPr>
            <w:tcW w:type="dxa" w:w="831"/>
          </w:tcPr>
          <w:p>
            <w:pPr>
              <w:pStyle w:val="null3"/>
            </w:pPr>
            <w:r>
              <w:rPr/>
              <w:t>9</w:t>
            </w:r>
          </w:p>
        </w:tc>
        <w:tc>
          <w:tcPr>
            <w:tcW w:type="dxa" w:w="2492"/>
          </w:tcPr>
          <w:p>
            <w:pPr>
              <w:pStyle w:val="null3"/>
            </w:pPr>
            <w:r>
              <w:rPr/>
              <w:t>实质性条款</w:t>
            </w:r>
          </w:p>
        </w:tc>
        <w:tc>
          <w:tcPr>
            <w:tcW w:type="dxa" w:w="3322"/>
          </w:tcPr>
          <w:p>
            <w:pPr>
              <w:pStyle w:val="null3"/>
            </w:pPr>
            <w:r>
              <w:rPr/>
              <w:t>满足本磋商文件中的实质性条款（服务期、服 务地点、付款方式）要求</w:t>
            </w:r>
          </w:p>
        </w:tc>
        <w:tc>
          <w:tcPr>
            <w:tcW w:type="dxa" w:w="1661"/>
          </w:tcPr>
          <w:p>
            <w:pPr>
              <w:pStyle w:val="null3"/>
            </w:pPr>
            <w:r>
              <w:rPr/>
              <w:t>响应文件封面 偏离表 报价一览表及报价明细表</w:t>
            </w:r>
          </w:p>
        </w:tc>
      </w:tr>
      <w:tr>
        <w:tc>
          <w:tcPr>
            <w:tcW w:type="dxa" w:w="831"/>
          </w:tcPr>
          <w:p>
            <w:pPr>
              <w:pStyle w:val="null3"/>
            </w:pPr>
            <w:r>
              <w:rPr/>
              <w:t>10</w:t>
            </w:r>
          </w:p>
        </w:tc>
        <w:tc>
          <w:tcPr>
            <w:tcW w:type="dxa" w:w="2492"/>
          </w:tcPr>
          <w:p>
            <w:pPr>
              <w:pStyle w:val="null3"/>
            </w:pPr>
            <w:r>
              <w:rPr/>
              <w:t>其他情形</w:t>
            </w:r>
          </w:p>
        </w:tc>
        <w:tc>
          <w:tcPr>
            <w:tcW w:type="dxa" w:w="3322"/>
          </w:tcPr>
          <w:p>
            <w:pPr>
              <w:pStyle w:val="null3"/>
            </w:pPr>
            <w:r>
              <w:rPr/>
              <w:t>无法律、规章、规范性文件和磋商文件规定的 其他无效情形</w:t>
            </w:r>
          </w:p>
        </w:tc>
        <w:tc>
          <w:tcPr>
            <w:tcW w:type="dxa" w:w="1661"/>
          </w:tcPr>
          <w:p>
            <w:pPr>
              <w:pStyle w:val="null3"/>
            </w:pPr>
            <w:r>
              <w:rPr/>
              <w:t>响应文件封面 其他资料 资格证明材料</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卫生保洁服务方案</w:t>
            </w:r>
          </w:p>
        </w:tc>
        <w:tc>
          <w:tcPr>
            <w:tcW w:type="dxa" w:w="2492"/>
          </w:tcPr>
          <w:p>
            <w:pPr>
              <w:pStyle w:val="null3"/>
            </w:pPr>
            <w:r>
              <w:rPr/>
              <w:t>供应商针对本项目制定卫生保洁服务方案。卫生保洁服务方案完整、工作内容描述全面、详尽、合理可行，满足项目需求计（7-10]分；卫生保洁服务方案可行，工作内容合理，基本满足项目需求计（4-7]分；卫生保洁服务方案空泛，无实质性内容计[0-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车棚管理服务方案</w:t>
            </w:r>
          </w:p>
        </w:tc>
        <w:tc>
          <w:tcPr>
            <w:tcW w:type="dxa" w:w="2492"/>
          </w:tcPr>
          <w:p>
            <w:pPr>
              <w:pStyle w:val="null3"/>
            </w:pPr>
            <w:r>
              <w:rPr/>
              <w:t>供应商针对本项目制定车棚管理服务方案。车棚管理服务方案完整、工作内容描述全面、详尽、合理可行，满足项目需求计（5-8]分；车棚管理服务方案可行，工作内容合理，基本满足项目需求计（3-5]分；车棚管理服务方案空泛，无实质性内容计[0-3]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水电维修服务方案</w:t>
            </w:r>
          </w:p>
        </w:tc>
        <w:tc>
          <w:tcPr>
            <w:tcW w:type="dxa" w:w="2492"/>
          </w:tcPr>
          <w:p>
            <w:pPr>
              <w:pStyle w:val="null3"/>
            </w:pPr>
            <w:r>
              <w:rPr/>
              <w:t>供应商针对本项目制定水电维修服务方案。水电维修服务方案完整、工作内容描述全面、详尽、合理可行，满足项目需求计（5-8]分；水电维修服务方案可行，工作内容合理，基本满足项目需求计（3-5]分；水电维修服务方案空泛，无实质性内容计[0-3]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垃圾管理服务方案</w:t>
            </w:r>
          </w:p>
        </w:tc>
        <w:tc>
          <w:tcPr>
            <w:tcW w:type="dxa" w:w="2492"/>
          </w:tcPr>
          <w:p>
            <w:pPr>
              <w:pStyle w:val="null3"/>
            </w:pPr>
            <w:r>
              <w:rPr/>
              <w:t>供应商针对本项目制定垃圾管理服务方案。垃圾管理服务方案完整、工作内容描述全面、详尽、合理可行，满足项目需求计（5-8]分；垃圾管理服务方案可行，工作内容合理，基本满足项目需求计（3-5]分；垃圾管理服务方案空泛，无实质性内容计[0-3]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消杀除虫服务方案</w:t>
            </w:r>
          </w:p>
        </w:tc>
        <w:tc>
          <w:tcPr>
            <w:tcW w:type="dxa" w:w="2492"/>
          </w:tcPr>
          <w:p>
            <w:pPr>
              <w:pStyle w:val="null3"/>
            </w:pPr>
            <w:r>
              <w:rPr/>
              <w:t>供应商针对本项目制定消杀除虫服务方案。消杀除虫服务方案完整、工作内容描述全面、详尽、合理可行，满足项目需求计（5-8]分；消杀除虫服务方案可行，工作内容合理，基本满足项目需求计（3-5]分；消杀除虫服务方案空泛，无实质性内容计[0-3]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服务质量保证措施</w:t>
            </w:r>
          </w:p>
        </w:tc>
        <w:tc>
          <w:tcPr>
            <w:tcW w:type="dxa" w:w="2492"/>
          </w:tcPr>
          <w:p>
            <w:pPr>
              <w:pStyle w:val="null3"/>
            </w:pPr>
            <w:r>
              <w:rPr/>
              <w:t>供应商针对本项目拟定服务质量保证措施。质量保证措施合理、可行，有针对性计（5-7]分；质量保证措施有一定的可行性，能够保障本项目实施计（3-5]分；质量保证措施无实操性或空泛计[0-3]分。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内部管理制度</w:t>
            </w:r>
          </w:p>
        </w:tc>
        <w:tc>
          <w:tcPr>
            <w:tcW w:type="dxa" w:w="2492"/>
          </w:tcPr>
          <w:p>
            <w:pPr>
              <w:pStyle w:val="null3"/>
            </w:pPr>
            <w:r>
              <w:rPr/>
              <w:t>供应商针对本项目具有清晰明确的内部管理架构、管理理念、激励机制、信息反馈渠道。内部管理架构合理、全面、完善，理念先进，机制、反馈渠道健全计（5-7]分；内部管理架构可行，有机制、反馈渠道计（3-5]分；内部管理架构混乱不清计[0-3]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配合措施</w:t>
            </w:r>
          </w:p>
        </w:tc>
        <w:tc>
          <w:tcPr>
            <w:tcW w:type="dxa" w:w="2492"/>
          </w:tcPr>
          <w:p>
            <w:pPr>
              <w:pStyle w:val="null3"/>
            </w:pPr>
            <w:r>
              <w:rPr/>
              <w:t>配合采购人工作制定的保障措施，满足采购人工作的执行、管理、检查、考核等要求。保障措施完整、科学、合理可行计（5-7]分；保障措施具有可行性，有一定的实操性计（3-5]分；保障措施空泛或无实质性内容计[0-3]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应急预案措施</w:t>
            </w:r>
          </w:p>
        </w:tc>
        <w:tc>
          <w:tcPr>
            <w:tcW w:type="dxa" w:w="2492"/>
          </w:tcPr>
          <w:p>
            <w:pPr>
              <w:pStyle w:val="null3"/>
            </w:pPr>
            <w:r>
              <w:rPr/>
              <w:t>针对本项目制定的应急预案措施，不限于突发情况、雨雪恶劣天气等方面。保障措施得当、全面、详尽、合理可行计（5-7]分；保障措施具有可行性，有一定的实操性计（3-5]分；保障措施空泛或无实质性内容计[0-3]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项目团队人员配置</w:t>
            </w:r>
          </w:p>
        </w:tc>
        <w:tc>
          <w:tcPr>
            <w:tcW w:type="dxa" w:w="2492"/>
          </w:tcPr>
          <w:p>
            <w:pPr>
              <w:pStyle w:val="null3"/>
            </w:pPr>
            <w:r>
              <w:rPr/>
              <w:t>根据本项目特点制定岗位职责分工与人员配置计划，人员稳定。人员配置科学合理、齐全、方案全面详细，有明确的职责安排和人员分工计(7-10]分；人员配置职责安排及方案描述一般得(4-7]分；人员配置职责安排混乱、不清[0-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培训方案</w:t>
            </w:r>
          </w:p>
        </w:tc>
        <w:tc>
          <w:tcPr>
            <w:tcW w:type="dxa" w:w="2492"/>
          </w:tcPr>
          <w:p>
            <w:pPr>
              <w:pStyle w:val="null3"/>
            </w:pPr>
            <w:r>
              <w:rPr/>
              <w:t>针对本项目，提供服务人员的岗前培训计划、基本法律知识、设备维护保养、保洁管理的学习及掌握保洁、设备维护保养所需的相关技能等培训方案。内容完整，描述清晰，且有针对性计（2-4]分；内容混乱不清计[0-2]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服务方案</w:t>
            </w:r>
          </w:p>
          <w:p>
            <w:pPr>
              <w:pStyle w:val="null3"/>
            </w:pPr>
            <w:r>
              <w:rPr/>
              <w:t>其他资料</w:t>
            </w:r>
          </w:p>
        </w:tc>
      </w:tr>
      <w:tr>
        <w:tc>
          <w:tcPr>
            <w:tcW w:type="dxa" w:w="831"/>
            <w:vMerge/>
          </w:tcPr>
          <w:p/>
        </w:tc>
        <w:tc>
          <w:tcPr>
            <w:tcW w:type="dxa" w:w="1661"/>
          </w:tcPr>
          <w:p>
            <w:pPr>
              <w:pStyle w:val="null3"/>
            </w:pPr>
            <w:r>
              <w:rPr/>
              <w:t>业绩</w:t>
            </w:r>
          </w:p>
        </w:tc>
        <w:tc>
          <w:tcPr>
            <w:tcW w:type="dxa" w:w="2492"/>
          </w:tcPr>
          <w:p>
            <w:pPr>
              <w:pStyle w:val="null3"/>
            </w:pPr>
            <w:r>
              <w:rPr/>
              <w:t>提供2020年1月1日（以合同签订日期为准）至今类似项目业绩合同，每提供一份业绩合同得2分，满分6分（响应文件中附业绩合同复印件加盖公章，内容须清晰可辨）。</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服务方案</w:t>
            </w:r>
          </w:p>
          <w:p>
            <w:pPr>
              <w:pStyle w:val="null3"/>
            </w:pPr>
            <w:r>
              <w:rPr/>
              <w:t>其他资料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ind w:firstLine="960"/>
      </w:pPr>
      <w:r>
        <w:rPr/>
        <w:t>详见附件：报价一览表及报价明细表</w:t>
      </w:r>
    </w:p>
    <w:p>
      <w:pPr>
        <w:pStyle w:val="null3"/>
        <w:ind w:firstLine="960"/>
      </w:pPr>
      <w:r>
        <w:rPr/>
        <w:t>详见附件：承诺书</w:t>
      </w:r>
    </w:p>
    <w:p>
      <w:pPr>
        <w:pStyle w:val="null3"/>
        <w:ind w:firstLine="960"/>
      </w:pPr>
      <w:r>
        <w:rPr/>
        <w:t>详见附件：服务方案</w:t>
      </w:r>
    </w:p>
    <w:p>
      <w:pPr>
        <w:pStyle w:val="null3"/>
        <w:ind w:firstLine="960"/>
      </w:pPr>
      <w:r>
        <w:rPr/>
        <w:t>详见附件：偏离表</w:t>
      </w:r>
    </w:p>
    <w:p>
      <w:pPr>
        <w:pStyle w:val="null3"/>
        <w:ind w:firstLine="960"/>
      </w:pPr>
      <w:r>
        <w:rPr/>
        <w:t>详见附件：其他资料</w:t>
      </w:r>
    </w:p>
    <w:p>
      <w:pPr>
        <w:pStyle w:val="null3"/>
        <w:ind w:firstLine="960"/>
      </w:pPr>
      <w:r>
        <w:rPr/>
        <w:t>详见附件：资格证明材料</w:t>
      </w:r>
    </w:p>
    <w:p>
      <w:pPr>
        <w:pStyle w:val="null3"/>
      </w:pPr>
      <w:r>
        <w:rPr/>
        <w:t xml:space="preserve"> </w:t>
      </w:r>
    </w:p>
    <w:p>
      <w:pPr>
        <w:pStyle w:val="null3"/>
        <w:jc w:val="center"/>
        <w:outlineLvl w:val="1"/>
      </w:pPr>
      <w:r>
        <w:rPr>
          <w:b/>
          <w:sz w:val="36"/>
        </w:rPr>
        <w:t>第八章 拟签订采购合同文本</w:t>
      </w:r>
    </w:p>
    <w:p>
      <w:pPr>
        <w:pStyle w:val="null3"/>
      </w:pPr>
      <w:r>
        <w:rPr/>
        <w:t>详见附件：拟签订的合同文本.docx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