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hint="eastAsia" w:ascii="宋体" w:hAnsi="宋体" w:cs="宋体"/>
          <w:b/>
          <w:bCs/>
          <w:color w:val="000000"/>
          <w:kern w:val="2"/>
          <w:sz w:val="44"/>
          <w:szCs w:val="44"/>
        </w:rPr>
      </w:pPr>
    </w:p>
    <w:p>
      <w:pPr>
        <w:pStyle w:val="11"/>
        <w:jc w:val="center"/>
        <w:rPr>
          <w:rFonts w:hint="eastAsia" w:ascii="宋体" w:hAnsi="宋体" w:cs="宋体"/>
          <w:b/>
          <w:bCs/>
          <w:color w:val="000000"/>
          <w:sz w:val="44"/>
          <w:szCs w:val="44"/>
        </w:rPr>
      </w:pPr>
      <w:r>
        <w:rPr>
          <w:rFonts w:hint="eastAsia" w:ascii="宋体" w:hAnsi="宋体" w:cs="宋体"/>
          <w:b/>
          <w:bCs/>
          <w:color w:val="000000"/>
          <w:sz w:val="40"/>
          <w:szCs w:val="40"/>
        </w:rPr>
        <w:t>西安市第八十二中学学生发展中心、智慧图书馆、云机房及安全体验室改造工程</w:t>
      </w:r>
    </w:p>
    <w:p>
      <w:pPr>
        <w:pStyle w:val="11"/>
        <w:rPr>
          <w:rFonts w:hint="eastAsia" w:ascii="宋体" w:hAnsi="宋体" w:cs="宋体"/>
          <w:b/>
          <w:bCs/>
          <w:color w:val="000000"/>
          <w:sz w:val="44"/>
          <w:szCs w:val="44"/>
        </w:rPr>
      </w:pPr>
    </w:p>
    <w:p>
      <w:pPr>
        <w:spacing w:line="360" w:lineRule="auto"/>
        <w:jc w:val="center"/>
        <w:rPr>
          <w:rFonts w:hint="eastAsia" w:ascii="宋体" w:hAnsi="宋体" w:cs="仿宋_GB2312"/>
          <w:b/>
          <w:bCs/>
          <w:sz w:val="72"/>
          <w:szCs w:val="72"/>
        </w:rPr>
      </w:pPr>
    </w:p>
    <w:p>
      <w:pPr>
        <w:spacing w:line="360" w:lineRule="auto"/>
        <w:jc w:val="center"/>
        <w:rPr>
          <w:rFonts w:hint="eastAsia" w:ascii="宋体" w:hAnsi="宋体" w:cs="仿宋_GB2312"/>
          <w:b/>
          <w:bCs/>
          <w:sz w:val="72"/>
          <w:szCs w:val="72"/>
        </w:rPr>
      </w:pPr>
    </w:p>
    <w:p>
      <w:pPr>
        <w:spacing w:line="360" w:lineRule="auto"/>
        <w:jc w:val="center"/>
        <w:rPr>
          <w:rFonts w:hint="eastAsia" w:ascii="宋体" w:hAnsi="宋体" w:cs="仿宋_GB2312"/>
          <w:b/>
          <w:bCs/>
          <w:sz w:val="72"/>
          <w:szCs w:val="72"/>
        </w:rPr>
      </w:pPr>
      <w:r>
        <w:rPr>
          <w:rFonts w:hint="eastAsia" w:ascii="宋体" w:hAnsi="宋体" w:cs="仿宋_GB2312"/>
          <w:b/>
          <w:bCs/>
          <w:sz w:val="72"/>
          <w:szCs w:val="72"/>
        </w:rPr>
        <w:t>施 工 合 同</w:t>
      </w:r>
    </w:p>
    <w:p>
      <w:pPr>
        <w:spacing w:line="360" w:lineRule="auto"/>
        <w:rPr>
          <w:rFonts w:hint="eastAsia" w:ascii="宋体" w:hAnsi="宋体" w:cs="仿宋_GB2312"/>
          <w:b/>
          <w:bCs/>
          <w:sz w:val="28"/>
          <w:szCs w:val="28"/>
        </w:rPr>
      </w:pPr>
    </w:p>
    <w:p>
      <w:pPr>
        <w:spacing w:line="360" w:lineRule="auto"/>
        <w:rPr>
          <w:rFonts w:hint="eastAsia" w:ascii="宋体" w:hAnsi="宋体" w:cs="仿宋_GB2312"/>
          <w:b/>
          <w:bCs/>
          <w:sz w:val="28"/>
          <w:szCs w:val="28"/>
        </w:rPr>
      </w:pPr>
    </w:p>
    <w:p>
      <w:pPr>
        <w:spacing w:line="360" w:lineRule="auto"/>
        <w:rPr>
          <w:rFonts w:hint="eastAsia" w:ascii="宋体" w:hAnsi="宋体" w:cs="仿宋_GB2312"/>
          <w:b/>
          <w:bCs/>
          <w:sz w:val="28"/>
          <w:szCs w:val="28"/>
        </w:rPr>
      </w:pPr>
    </w:p>
    <w:p>
      <w:pPr>
        <w:spacing w:line="360" w:lineRule="auto"/>
        <w:rPr>
          <w:rFonts w:hint="eastAsia" w:ascii="宋体" w:hAnsi="宋体" w:cs="仿宋_GB2312"/>
          <w:b/>
          <w:bCs/>
          <w:sz w:val="28"/>
          <w:szCs w:val="28"/>
        </w:rPr>
      </w:pPr>
    </w:p>
    <w:p>
      <w:pPr>
        <w:pStyle w:val="8"/>
        <w:rPr>
          <w:rFonts w:hint="eastAsia"/>
        </w:rPr>
      </w:pPr>
    </w:p>
    <w:p>
      <w:pPr>
        <w:pStyle w:val="8"/>
        <w:rPr>
          <w:rFonts w:hint="eastAsia"/>
        </w:rPr>
      </w:pPr>
    </w:p>
    <w:p>
      <w:pPr>
        <w:pStyle w:val="8"/>
        <w:rPr>
          <w:rFonts w:hint="eastAsia"/>
        </w:rPr>
      </w:pPr>
    </w:p>
    <w:p>
      <w:pPr>
        <w:pStyle w:val="8"/>
        <w:rPr>
          <w:rFonts w:hint="eastAsia"/>
        </w:rPr>
      </w:pPr>
    </w:p>
    <w:p>
      <w:pPr>
        <w:spacing w:line="360" w:lineRule="auto"/>
        <w:ind w:firstLine="1405" w:firstLineChars="500"/>
        <w:rPr>
          <w:rFonts w:hint="eastAsia" w:ascii="宋体" w:hAnsi="宋体" w:cs="仿宋_GB2312"/>
          <w:b/>
          <w:bCs/>
          <w:sz w:val="28"/>
          <w:szCs w:val="28"/>
        </w:rPr>
      </w:pPr>
    </w:p>
    <w:p>
      <w:pPr>
        <w:spacing w:line="360" w:lineRule="auto"/>
        <w:ind w:firstLine="1405" w:firstLineChars="500"/>
        <w:rPr>
          <w:rFonts w:hint="eastAsia" w:ascii="宋体" w:hAnsi="宋体" w:cs="仿宋_GB2312"/>
          <w:b/>
          <w:bCs/>
          <w:sz w:val="28"/>
          <w:szCs w:val="28"/>
        </w:rPr>
      </w:pPr>
    </w:p>
    <w:p>
      <w:pPr>
        <w:spacing w:line="360" w:lineRule="auto"/>
        <w:rPr>
          <w:rFonts w:hint="eastAsia" w:ascii="宋体" w:hAnsi="宋体" w:cs="仿宋_GB2312"/>
          <w:b/>
          <w:bCs/>
          <w:sz w:val="28"/>
          <w:szCs w:val="28"/>
        </w:rPr>
      </w:pPr>
    </w:p>
    <w:p>
      <w:pPr>
        <w:spacing w:line="360" w:lineRule="auto"/>
        <w:ind w:firstLine="281" w:firstLineChars="100"/>
        <w:rPr>
          <w:rFonts w:hint="eastAsia" w:ascii="宋体" w:hAnsi="宋体" w:cs="仿宋_GB2312"/>
          <w:b/>
          <w:bCs/>
          <w:sz w:val="28"/>
          <w:szCs w:val="28"/>
        </w:rPr>
      </w:pPr>
      <w:r>
        <w:rPr>
          <w:rFonts w:hint="eastAsia" w:ascii="宋体" w:hAnsi="宋体" w:cs="仿宋_GB2312"/>
          <w:b/>
          <w:bCs/>
          <w:sz w:val="28"/>
          <w:szCs w:val="28"/>
        </w:rPr>
        <w:t>发包方：</w:t>
      </w:r>
      <w:r>
        <w:rPr>
          <w:rFonts w:hint="eastAsia" w:ascii="宋体" w:hAnsi="宋体" w:cs="仿宋_GB2312"/>
          <w:b/>
          <w:bCs/>
          <w:sz w:val="28"/>
          <w:szCs w:val="28"/>
          <w:u w:val="single"/>
        </w:rPr>
        <w:t xml:space="preserve">                                          </w:t>
      </w:r>
    </w:p>
    <w:p>
      <w:pPr>
        <w:spacing w:line="360" w:lineRule="auto"/>
        <w:ind w:firstLine="281" w:firstLineChars="100"/>
        <w:rPr>
          <w:rFonts w:hint="eastAsia"/>
        </w:rPr>
      </w:pPr>
      <w:r>
        <w:rPr>
          <w:rFonts w:hint="eastAsia" w:ascii="宋体" w:hAnsi="宋体" w:cs="仿宋_GB2312"/>
          <w:b/>
          <w:bCs/>
          <w:sz w:val="28"/>
          <w:szCs w:val="28"/>
        </w:rPr>
        <w:t>承包方：</w:t>
      </w:r>
      <w:r>
        <w:rPr>
          <w:rFonts w:hint="eastAsia" w:ascii="宋体" w:hAnsi="宋体" w:cs="仿宋_GB2312"/>
          <w:b/>
          <w:bCs/>
          <w:sz w:val="28"/>
          <w:szCs w:val="28"/>
          <w:u w:val="single"/>
        </w:rPr>
        <w:t xml:space="preserve">                                          </w:t>
      </w:r>
    </w:p>
    <w:p>
      <w:pPr>
        <w:spacing w:line="360" w:lineRule="auto"/>
        <w:ind w:firstLine="281" w:firstLineChars="100"/>
        <w:rPr>
          <w:rFonts w:hint="eastAsia" w:ascii="宋体" w:hAnsi="宋体" w:cs="仿宋_GB2312"/>
          <w:b/>
          <w:bCs/>
          <w:sz w:val="28"/>
          <w:szCs w:val="28"/>
        </w:rPr>
      </w:pPr>
      <w:r>
        <w:rPr>
          <w:rFonts w:hint="eastAsia" w:ascii="宋体" w:hAnsi="宋体" w:cs="仿宋_GB2312"/>
          <w:b/>
          <w:bCs/>
          <w:sz w:val="28"/>
          <w:szCs w:val="28"/>
        </w:rPr>
        <w:t>签订日期：</w:t>
      </w:r>
      <w:r>
        <w:rPr>
          <w:rFonts w:hint="eastAsia" w:ascii="宋体" w:hAnsi="宋体" w:cs="仿宋_GB2312"/>
          <w:b/>
          <w:bCs/>
          <w:sz w:val="28"/>
          <w:szCs w:val="28"/>
          <w:u w:val="single"/>
        </w:rPr>
        <w:t xml:space="preserve">                                        </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ascii="宋体" w:hAnsi="宋体" w:cs="宋体"/>
          <w:b/>
          <w:bCs/>
          <w:szCs w:val="21"/>
        </w:rPr>
        <w:br w:type="page"/>
      </w:r>
      <w:r>
        <w:rPr>
          <w:rFonts w:hint="eastAsia" w:ascii="宋体" w:hAnsi="宋体" w:cs="宋体"/>
          <w:b/>
          <w:bCs/>
          <w:szCs w:val="21"/>
        </w:rPr>
        <w:t>发包方：</w:t>
      </w:r>
      <w:r>
        <w:rPr>
          <w:rFonts w:hint="eastAsia" w:ascii="宋体" w:hAnsi="宋体" w:cs="宋体"/>
          <w:b/>
          <w:bCs/>
          <w:szCs w:val="21"/>
          <w:u w:val="single"/>
        </w:rPr>
        <w:t xml:space="preserve">                                        </w:t>
      </w:r>
    </w:p>
    <w:p>
      <w:pPr>
        <w:keepNext/>
        <w:keepLines/>
        <w:pageBreakBefore w:val="0"/>
        <w:widowControl w:val="0"/>
        <w:kinsoku/>
        <w:wordWrap/>
        <w:overflowPunct/>
        <w:topLinePunct w:val="0"/>
        <w:bidi w:val="0"/>
        <w:snapToGrid/>
        <w:spacing w:line="360" w:lineRule="auto"/>
        <w:rPr>
          <w:rFonts w:hint="eastAsia" w:ascii="宋体" w:hAnsi="宋体" w:cs="宋体"/>
          <w:b/>
          <w:bCs/>
          <w:szCs w:val="21"/>
          <w:u w:val="single"/>
        </w:rPr>
      </w:pPr>
      <w:r>
        <w:rPr>
          <w:rFonts w:hint="eastAsia" w:ascii="宋体" w:hAnsi="宋体" w:cs="宋体"/>
          <w:b/>
          <w:bCs/>
          <w:szCs w:val="21"/>
        </w:rPr>
        <w:t>承包方：</w:t>
      </w:r>
      <w:r>
        <w:rPr>
          <w:rFonts w:hint="eastAsia" w:ascii="宋体" w:hAnsi="宋体" w:cs="宋体"/>
          <w:b/>
          <w:bCs/>
          <w:szCs w:val="21"/>
          <w:u w:val="single"/>
        </w:rPr>
        <w:t xml:space="preserve">                                        </w:t>
      </w:r>
    </w:p>
    <w:p>
      <w:pPr>
        <w:keepNext/>
        <w:keepLines/>
        <w:pageBreakBefore w:val="0"/>
        <w:widowControl w:val="0"/>
        <w:kinsoku/>
        <w:wordWrap/>
        <w:overflowPunct/>
        <w:topLinePunct w:val="0"/>
        <w:autoSpaceDE w:val="0"/>
        <w:autoSpaceDN w:val="0"/>
        <w:bidi w:val="0"/>
        <w:snapToGrid/>
        <w:spacing w:line="360" w:lineRule="auto"/>
        <w:ind w:firstLine="404" w:firstLineChars="200"/>
        <w:rPr>
          <w:rFonts w:hint="eastAsia" w:ascii="宋体" w:hAnsi="宋体" w:cs="宋体"/>
          <w:szCs w:val="21"/>
        </w:rPr>
      </w:pPr>
      <w:bookmarkStart w:id="0" w:name="_Toc445821147"/>
      <w:r>
        <w:rPr>
          <w:rFonts w:hint="eastAsia" w:ascii="宋体" w:hAnsi="宋体" w:cs="宋体"/>
          <w:color w:val="000000"/>
          <w:spacing w:val="-4"/>
          <w:szCs w:val="21"/>
        </w:rPr>
        <w:t>根据《中华人民共和国民法典</w:t>
      </w:r>
      <w:r>
        <w:rPr>
          <w:rFonts w:hint="eastAsia" w:ascii="宋体" w:hAnsi="宋体" w:cs="宋体"/>
          <w:color w:val="000000"/>
          <w:spacing w:val="-7"/>
          <w:szCs w:val="21"/>
        </w:rPr>
        <w:t>》</w:t>
      </w:r>
      <w:r>
        <w:rPr>
          <w:rFonts w:hint="eastAsia" w:ascii="宋体" w:hAnsi="宋体" w:cs="宋体"/>
          <w:color w:val="000000"/>
          <w:spacing w:val="-4"/>
          <w:szCs w:val="21"/>
        </w:rPr>
        <w:t>、</w:t>
      </w:r>
      <w:r>
        <w:rPr>
          <w:rFonts w:hint="eastAsia" w:ascii="宋体" w:hAnsi="宋体" w:cs="宋体"/>
          <w:color w:val="000000"/>
          <w:spacing w:val="-5"/>
          <w:szCs w:val="21"/>
        </w:rPr>
        <w:t>《中华人</w:t>
      </w:r>
      <w:r>
        <w:rPr>
          <w:rFonts w:hint="eastAsia" w:ascii="宋体" w:hAnsi="宋体" w:cs="宋体"/>
          <w:color w:val="000000"/>
          <w:spacing w:val="-4"/>
          <w:szCs w:val="21"/>
        </w:rPr>
        <w:t>民共和国政府采购法》等法律法规，本着平</w:t>
      </w:r>
      <w:r>
        <w:rPr>
          <w:rFonts w:hint="eastAsia" w:ascii="宋体" w:hAnsi="宋体" w:cs="宋体"/>
          <w:color w:val="000000"/>
          <w:szCs w:val="21"/>
        </w:rPr>
        <w:t>等、自愿、公平、互利和诚实信用的原则，经双方协商一致，同意签订本合同</w:t>
      </w:r>
      <w:r>
        <w:rPr>
          <w:rFonts w:hint="eastAsia" w:ascii="宋体" w:hAnsi="宋体" w:cs="宋体"/>
          <w:color w:val="000000"/>
          <w:spacing w:val="-4"/>
          <w:szCs w:val="21"/>
        </w:rPr>
        <w:t>。</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一、</w:t>
      </w:r>
      <w:bookmarkEnd w:id="0"/>
      <w:r>
        <w:rPr>
          <w:rFonts w:hint="eastAsia" w:ascii="宋体" w:hAnsi="宋体" w:cs="宋体"/>
          <w:b/>
          <w:bCs/>
          <w:szCs w:val="21"/>
        </w:rPr>
        <w:t>项目基本信息</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eastAsia="宋体" w:cs="宋体"/>
          <w:szCs w:val="21"/>
          <w:u w:val="single"/>
          <w:lang w:eastAsia="zh-CN"/>
        </w:rPr>
      </w:pPr>
      <w:r>
        <w:rPr>
          <w:rFonts w:hint="eastAsia" w:ascii="宋体" w:hAnsi="宋体" w:cs="宋体"/>
          <w:szCs w:val="21"/>
        </w:rPr>
        <w:t>1.项目名称：</w:t>
      </w:r>
      <w:r>
        <w:rPr>
          <w:rFonts w:hint="eastAsia" w:ascii="宋体" w:hAnsi="宋体" w:cs="宋体"/>
          <w:szCs w:val="21"/>
          <w:u w:val="single"/>
        </w:rPr>
        <w:t>西安市第八十二中学学生发展中心、智慧图书馆、云机房及安全体验室改造工程</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2.建设地点：</w:t>
      </w:r>
      <w:r>
        <w:rPr>
          <w:rFonts w:hint="eastAsia" w:ascii="宋体" w:hAnsi="宋体" w:cs="宋体"/>
          <w:color w:val="000000"/>
          <w:kern w:val="0"/>
          <w:szCs w:val="21"/>
          <w:u w:val="single"/>
        </w:rPr>
        <w:t>西安市碑林区</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3.项目概况：</w:t>
      </w:r>
      <w:r>
        <w:rPr>
          <w:rFonts w:hint="eastAsia" w:ascii="宋体" w:hAnsi="宋体" w:cs="宋体"/>
          <w:b/>
          <w:bCs/>
          <w:szCs w:val="21"/>
          <w:u w:val="single"/>
        </w:rPr>
        <w:t xml:space="preserve">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u w:val="single"/>
        </w:rPr>
      </w:pPr>
      <w:r>
        <w:rPr>
          <w:rFonts w:hint="eastAsia" w:ascii="宋体" w:hAnsi="宋体" w:cs="宋体"/>
          <w:szCs w:val="21"/>
        </w:rPr>
        <w:t xml:space="preserve">4.承包范围： </w:t>
      </w:r>
      <w:r>
        <w:rPr>
          <w:rFonts w:hint="eastAsia" w:ascii="宋体" w:hAnsi="宋体" w:cs="宋体"/>
          <w:b/>
          <w:bCs/>
          <w:szCs w:val="21"/>
          <w:u w:val="single"/>
        </w:rPr>
        <w:t xml:space="preserve">                                         </w:t>
      </w:r>
      <w:r>
        <w:rPr>
          <w:rFonts w:hint="eastAsia" w:ascii="宋体" w:hAnsi="宋体" w:cs="宋体"/>
          <w:szCs w:val="21"/>
        </w:rPr>
        <w:t xml:space="preserve">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kern w:val="0"/>
          <w:szCs w:val="21"/>
        </w:rPr>
        <w:t>工期</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 xml:space="preserve">                   </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1" w:name="_Toc445821148"/>
      <w:r>
        <w:rPr>
          <w:rFonts w:hint="eastAsia" w:ascii="宋体" w:hAnsi="宋体" w:cs="宋体"/>
          <w:b/>
          <w:bCs/>
          <w:szCs w:val="21"/>
        </w:rPr>
        <w:t>二、合同价款及支付</w:t>
      </w:r>
      <w:bookmarkEnd w:id="1"/>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bookmarkStart w:id="2" w:name="_Toc445821149"/>
      <w:r>
        <w:rPr>
          <w:rFonts w:hint="eastAsia" w:ascii="宋体" w:hAnsi="宋体" w:cs="宋体"/>
          <w:szCs w:val="21"/>
        </w:rPr>
        <w:t>1.合同价款确定</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本项目的中标金额￥：</w:t>
      </w:r>
      <w:r>
        <w:rPr>
          <w:rFonts w:hint="eastAsia" w:ascii="宋体" w:hAnsi="宋体" w:cs="宋体"/>
          <w:szCs w:val="21"/>
          <w:u w:val="single"/>
        </w:rPr>
        <w:t xml:space="preserve">        </w:t>
      </w:r>
      <w:r>
        <w:rPr>
          <w:rFonts w:hint="eastAsia" w:ascii="宋体" w:hAnsi="宋体" w:cs="宋体"/>
          <w:szCs w:val="21"/>
        </w:rPr>
        <w:t>元，大写：</w:t>
      </w:r>
      <w:r>
        <w:rPr>
          <w:rFonts w:hint="eastAsia" w:ascii="宋体" w:hAnsi="宋体" w:cs="宋体"/>
          <w:szCs w:val="21"/>
          <w:u w:val="single"/>
        </w:rPr>
        <w:t xml:space="preserve">        </w:t>
      </w:r>
      <w:r>
        <w:rPr>
          <w:rFonts w:hint="eastAsia" w:ascii="宋体" w:hAnsi="宋体" w:cs="宋体"/>
          <w:szCs w:val="21"/>
        </w:rPr>
        <w:t>元。</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2.合同价款支付</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2.1本项目为交钥匙工程。</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2.2付款方式：</w:t>
      </w:r>
    </w:p>
    <w:p>
      <w:pPr>
        <w:keepNext/>
        <w:keepLines/>
        <w:pageBreakBefore w:val="0"/>
        <w:widowControl w:val="0"/>
        <w:kinsoku/>
        <w:wordWrap/>
        <w:overflowPunct/>
        <w:topLinePunct w:val="0"/>
        <w:bidi w:val="0"/>
        <w:snapToGrid/>
        <w:spacing w:line="360" w:lineRule="auto"/>
        <w:ind w:left="420" w:leftChars="200"/>
        <w:rPr>
          <w:rFonts w:ascii="宋体" w:hAnsi="宋体" w:cs="宋体"/>
          <w:szCs w:val="21"/>
        </w:rPr>
      </w:pPr>
      <w:r>
        <w:rPr>
          <w:rFonts w:hint="eastAsia" w:ascii="宋体" w:hAnsi="宋体" w:cs="宋体"/>
          <w:szCs w:val="21"/>
        </w:rPr>
        <w:t>2.2.1. 合同签订后</w:t>
      </w:r>
      <w:r>
        <w:rPr>
          <w:rFonts w:hint="eastAsia" w:ascii="宋体" w:hAnsi="宋体" w:cs="宋体"/>
          <w:szCs w:val="21"/>
          <w:u w:val="single"/>
        </w:rPr>
        <w:t xml:space="preserve"> </w:t>
      </w:r>
      <w:r>
        <w:rPr>
          <w:rFonts w:ascii="宋体" w:hAnsi="宋体" w:cs="宋体"/>
          <w:szCs w:val="21"/>
          <w:u w:val="single"/>
        </w:rPr>
        <w:t>1</w:t>
      </w:r>
      <w:r>
        <w:rPr>
          <w:rFonts w:hint="eastAsia" w:ascii="宋体" w:hAnsi="宋体" w:cs="宋体"/>
          <w:szCs w:val="21"/>
          <w:u w:val="single"/>
          <w:lang w:val="en-US" w:eastAsia="zh-CN"/>
        </w:rPr>
        <w:t>5</w:t>
      </w:r>
      <w:r>
        <w:rPr>
          <w:rFonts w:hint="eastAsia" w:ascii="宋体" w:hAnsi="宋体" w:cs="宋体"/>
          <w:szCs w:val="21"/>
        </w:rPr>
        <w:t>日内，预付合同总价</w:t>
      </w:r>
      <w:r>
        <w:rPr>
          <w:rFonts w:hint="eastAsia" w:ascii="宋体" w:hAnsi="宋体" w:cs="宋体"/>
          <w:szCs w:val="21"/>
          <w:u w:val="single"/>
        </w:rPr>
        <w:t xml:space="preserve"> </w:t>
      </w:r>
      <w:r>
        <w:rPr>
          <w:rFonts w:ascii="宋体" w:hAnsi="宋体" w:cs="宋体"/>
          <w:szCs w:val="21"/>
          <w:u w:val="single"/>
        </w:rPr>
        <w:t>30</w:t>
      </w:r>
      <w:r>
        <w:rPr>
          <w:rFonts w:hint="eastAsia" w:ascii="宋体" w:hAnsi="宋体" w:cs="宋体"/>
          <w:szCs w:val="21"/>
          <w:u w:val="single"/>
        </w:rPr>
        <w:t xml:space="preserve"> </w:t>
      </w:r>
      <w:r>
        <w:rPr>
          <w:rFonts w:hint="eastAsia" w:ascii="宋体" w:hAnsi="宋体" w:cs="宋体"/>
          <w:szCs w:val="21"/>
        </w:rPr>
        <w:t>%预付款；</w:t>
      </w:r>
      <w:r>
        <w:rPr>
          <w:rFonts w:hint="eastAsia" w:ascii="宋体" w:hAnsi="宋体" w:cs="宋体"/>
          <w:szCs w:val="21"/>
        </w:rPr>
        <w:br w:type="textWrapping"/>
      </w:r>
      <w:r>
        <w:rPr>
          <w:rFonts w:hint="eastAsia" w:ascii="宋体" w:hAnsi="宋体" w:cs="宋体"/>
          <w:szCs w:val="21"/>
        </w:rPr>
        <w:t>2.2.2.</w:t>
      </w:r>
      <w:r>
        <w:rPr>
          <w:rFonts w:hint="eastAsia" w:ascii="仿宋_GB2312" w:hAnsi="仿宋" w:eastAsia="仿宋_GB2312" w:cs="仿宋"/>
          <w:color w:val="000000"/>
          <w:sz w:val="28"/>
          <w:szCs w:val="28"/>
          <w:lang w:bidi="zh-TW"/>
        </w:rPr>
        <w:t xml:space="preserve"> </w:t>
      </w:r>
      <w:r>
        <w:rPr>
          <w:rFonts w:hint="eastAsia" w:ascii="宋体" w:hAnsi="宋体" w:cs="宋体"/>
          <w:szCs w:val="21"/>
        </w:rPr>
        <w:t>工程竣工验收合格后，支付至合同总价的</w:t>
      </w:r>
      <w:r>
        <w:rPr>
          <w:rFonts w:hint="eastAsia" w:ascii="宋体" w:hAnsi="宋体" w:cs="宋体"/>
          <w:szCs w:val="21"/>
          <w:u w:val="single"/>
        </w:rPr>
        <w:t xml:space="preserve"> </w:t>
      </w:r>
      <w:r>
        <w:rPr>
          <w:rFonts w:ascii="宋体" w:hAnsi="宋体" w:cs="宋体"/>
          <w:szCs w:val="21"/>
          <w:u w:val="single"/>
        </w:rPr>
        <w:t>80</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rPr>
        <w:br w:type="textWrapping"/>
      </w:r>
      <w:r>
        <w:rPr>
          <w:rFonts w:hint="eastAsia" w:ascii="宋体" w:hAnsi="宋体" w:cs="宋体"/>
          <w:szCs w:val="21"/>
        </w:rPr>
        <w:t>2.2.3.</w:t>
      </w:r>
      <w:r>
        <w:rPr>
          <w:rFonts w:hint="eastAsia" w:ascii="仿宋_GB2312" w:hAnsi="仿宋" w:eastAsia="仿宋_GB2312" w:cs="仿宋"/>
          <w:color w:val="000000"/>
          <w:sz w:val="28"/>
          <w:szCs w:val="28"/>
          <w:lang w:bidi="zh-TW"/>
        </w:rPr>
        <w:t xml:space="preserve"> </w:t>
      </w:r>
      <w:r>
        <w:rPr>
          <w:rFonts w:hint="eastAsia" w:ascii="宋体" w:hAnsi="宋体" w:cs="宋体"/>
          <w:szCs w:val="21"/>
        </w:rPr>
        <w:t>审计结算后支付至审定价格的</w:t>
      </w:r>
      <w:r>
        <w:rPr>
          <w:rFonts w:hint="eastAsia" w:ascii="宋体" w:hAnsi="宋体" w:cs="宋体"/>
          <w:szCs w:val="21"/>
          <w:u w:val="single"/>
        </w:rPr>
        <w:t xml:space="preserve"> </w:t>
      </w:r>
      <w:r>
        <w:rPr>
          <w:rFonts w:ascii="宋体" w:hAnsi="宋体" w:cs="宋体"/>
          <w:szCs w:val="21"/>
          <w:u w:val="single"/>
        </w:rPr>
        <w:t>97</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rPr>
        <w:br w:type="textWrapping"/>
      </w:r>
      <w:r>
        <w:rPr>
          <w:rFonts w:hint="eastAsia" w:ascii="宋体" w:hAnsi="宋体" w:cs="宋体"/>
          <w:szCs w:val="21"/>
        </w:rPr>
        <w:t>2.2.4.</w:t>
      </w:r>
      <w:r>
        <w:rPr>
          <w:rFonts w:hint="eastAsia" w:ascii="仿宋_GB2312" w:hAnsi="仿宋" w:eastAsia="仿宋_GB2312" w:cs="仿宋"/>
          <w:color w:val="000000"/>
          <w:sz w:val="28"/>
          <w:szCs w:val="28"/>
          <w:lang w:bidi="zh-TW"/>
        </w:rPr>
        <w:t xml:space="preserve"> </w:t>
      </w:r>
      <w:r>
        <w:rPr>
          <w:rFonts w:hint="eastAsia" w:ascii="宋体" w:hAnsi="宋体" w:cs="宋体"/>
          <w:szCs w:val="21"/>
        </w:rPr>
        <w:t>剩余3%为质保金。</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承包人在领取工程款的同时应将符合发包人要求的等额发票交予发包人，工程竣工结算审定后应提供含保修金在内的发票。</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color w:val="000000"/>
          <w:szCs w:val="21"/>
        </w:rPr>
      </w:pPr>
      <w:r>
        <w:rPr>
          <w:rFonts w:hint="eastAsia" w:ascii="宋体" w:hAnsi="宋体" w:cs="宋体"/>
          <w:szCs w:val="21"/>
        </w:rPr>
        <w:t>3.质保期:</w:t>
      </w:r>
      <w:r>
        <w:rPr>
          <w:rFonts w:hint="eastAsia" w:ascii="仿宋_GB2312" w:hAnsi="仿宋" w:eastAsia="仿宋_GB2312" w:cs="仿宋"/>
          <w:color w:val="000000"/>
          <w:sz w:val="28"/>
          <w:szCs w:val="28"/>
          <w:lang w:bidi="zh-TW"/>
        </w:rPr>
        <w:t xml:space="preserve"> </w:t>
      </w:r>
      <w:r>
        <w:rPr>
          <w:rFonts w:hint="eastAsia" w:ascii="宋体" w:hAnsi="宋体" w:cs="宋体"/>
          <w:kern w:val="0"/>
          <w:szCs w:val="21"/>
        </w:rPr>
        <w:t>本工程整体保修期为2年，分部分项工程质量保修期按《建设工程质量管理条例》及国家有关规定执行。</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三、发包方责任</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开工前发包方负责向承包方提供必要的施工条件。</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四、承包方责任</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1、承包方施工过程中造成的工程、财产和人身伤害，由承包方承担全部法律责任。</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2、遵守地方政府和有关部门对施工场地交通管理规定，经发包方同意后办理有关手续，甲、承包方按规定承担相应的费用，因承包方责任造成的罚款，由承包方承担。</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3、保证施工现场清洁符合有关规定，现场无建筑垃圾，垃圾必须及时清理，日产日清，所产生垃圾渣土堆放不得超过2日。承担因违反有关规定造成的损失和罚款（非承包方造成的损失和罚款除外）。</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4、承包方施工及管理期间用电自行解决，费用自付。</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kern w:val="22"/>
          <w:szCs w:val="21"/>
        </w:rPr>
        <w:t>5、</w:t>
      </w:r>
      <w:r>
        <w:rPr>
          <w:rFonts w:hint="eastAsia" w:ascii="宋体" w:hAnsi="宋体" w:cs="宋体"/>
          <w:szCs w:val="21"/>
        </w:rPr>
        <w:t>承包方负责自行协调各种关系，不得产生任何矛盾。</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6、承包方要在合同签订后3日内制定完成本项目施工方案和施工组织设计，施工方案内须包含详细的施工图,8日内完成施工方案和施工组织设计全部报审工作。</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7、承包方不履行上述各项义务，造成工期延误和工程损失，应对发包方的损失给予赔偿。</w:t>
      </w:r>
    </w:p>
    <w:bookmarkEnd w:id="2"/>
    <w:p>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3" w:name="_Toc445821153"/>
      <w:r>
        <w:rPr>
          <w:rFonts w:hint="eastAsia" w:ascii="宋体" w:hAnsi="宋体" w:cs="宋体"/>
          <w:b/>
          <w:bCs/>
          <w:szCs w:val="21"/>
        </w:rPr>
        <w:t>五、施工要求：</w:t>
      </w:r>
    </w:p>
    <w:p>
      <w:pPr>
        <w:pStyle w:val="26"/>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1.施工注意事项：</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1）在施工期间，成交供应商必须注意院内人员安全，加强安全措施，并对施工人员进行安全教育。特种施工人员必须持证上岗。因采购人工作的特殊性，要求成交供应商在施工中做到封闭性施工。发包人应遵守安全防护和文明施工的规定，督促承包人落实安全防护、文明施工措施。</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（2）装修设计要充分考虑建筑结构体系和承载能力，不得影响结构安全。</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（3）室内装修设计要严格执行防火规范，不得以造型需要为由大面积使用木材，推广不燃材料在装饰工程的应用。</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（4）凡涉及建筑主体或承重结构变动或在主体结构上吊挂检修马道、过渡钢结构等问题，须经原设计单位或具有和原设计单位相同资质的设计单位认可后方可施工。</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（5）室内装修材料需编制“装修材料选用表”，交代装修材料名称、规格、使用地点、燃烧性能等、为预算报价、工程备料、消防审批提供方便。</w:t>
      </w:r>
    </w:p>
    <w:p>
      <w:pPr>
        <w:pStyle w:val="26"/>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2.施工技术要求：</w:t>
      </w:r>
    </w:p>
    <w:p>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（1）施工前应对施工现场进行核查。</w:t>
      </w:r>
    </w:p>
    <w:p>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（2）建筑物轴线、标高线和内外装修出位线以及各层楼面地面面层以上50cm水平线准确无误。</w:t>
      </w:r>
    </w:p>
    <w:p>
      <w:pPr>
        <w:keepNext/>
        <w:keepLines/>
        <w:pageBreakBefore w:val="0"/>
        <w:widowControl w:val="0"/>
        <w:kinsoku/>
        <w:wordWrap/>
        <w:overflowPunct/>
        <w:topLinePunct w:val="0"/>
        <w:bidi w:val="0"/>
        <w:snapToGrid/>
        <w:spacing w:line="360" w:lineRule="auto"/>
        <w:ind w:firstLine="420" w:firstLineChars="200"/>
        <w:jc w:val="left"/>
        <w:outlineLvl w:val="0"/>
        <w:rPr>
          <w:rFonts w:hint="eastAsia" w:ascii="宋体" w:hAnsi="宋体" w:cs="宋体"/>
          <w:szCs w:val="21"/>
        </w:rPr>
      </w:pPr>
      <w:bookmarkStart w:id="4" w:name="_Toc24369"/>
      <w:bookmarkStart w:id="5" w:name="_Toc28184"/>
      <w:bookmarkStart w:id="6" w:name="_Toc16665"/>
      <w:r>
        <w:rPr>
          <w:rFonts w:hint="eastAsia" w:ascii="宋体" w:hAnsi="宋体" w:cs="宋体"/>
          <w:szCs w:val="21"/>
        </w:rPr>
        <w:t>（3）墙体位置与设计图纸是否相符；</w:t>
      </w:r>
      <w:bookmarkEnd w:id="4"/>
      <w:bookmarkEnd w:id="5"/>
      <w:bookmarkEnd w:id="6"/>
    </w:p>
    <w:p>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（4）吊顶标高与已经施工完成的水管，风管等隐蔽工程及建筑净空高度是否有矛盾。</w:t>
      </w:r>
    </w:p>
    <w:p>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（5）各种饰面工程宜先做样板件，样板件经业主、设计单位和监理公司验收认可后，方可大面积施工。</w:t>
      </w:r>
    </w:p>
    <w:p>
      <w:pPr>
        <w:pStyle w:val="26"/>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3.成品保护：</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（1）各工种在施工中不得污染、损坏其它工种的半成品和成品。</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（2）材料表面保护膜应在工程竣工时拆除。</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（3）乙方在竣工交付前对成品负有完全的保护责任，应按如下要求做好成品保护工作；</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（4）乙方应合理安排施工工序，避免倒工序施工，影响成品保护、破坏成品。成品与半成品必须有专门的场所放置，并派专人管理。</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（5）乙方必须提供产品安装后详细的保护措施和方案，并派专人负责，常住现场配合甲方进行监督和保护，直至本项工程验 收通过为止。</w:t>
      </w:r>
    </w:p>
    <w:p>
      <w:pPr>
        <w:pStyle w:val="26"/>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 xml:space="preserve"> 4.设备材料采购要求：</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1）采购相关材料设备时间要确保各项施工按照节点时间进行执行与施工进度保障。在生产过程中，必须严格控制各项主材的质量与生产环节与细节的把控。以及能确保在完成成品中各项主材能充分发挥其质感与物理特性。</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2）订货及选用前，乙方必须送样品或产品资料给甲方、监理，经甲方、监理认可后，方能订货。设备和材料运抵工地时，必须报请甲方工程师检查验收，签证认可后才能进行施工安装，若发现所用产品与样品不符造成的返工，费用由乙方承担。材料、制品、设备和五金配件应符合现行国家质量标准的要求，并具有出厂合格证和试验记录。</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（3）乙方购买与供应的所有材料、设备，应与甲方提供的样板相符或在产品质量、装修效果方面更优于样板。</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（4）所选择的内墙及吊顶乳胶漆（涂料）必须符合国家强制性标准中对内墙涂料中有害物质限量的规定，并通过中国环境标志认证。所有进场涂料必须为优等品，耐擦洗次数&gt;1000次。</w:t>
      </w:r>
    </w:p>
    <w:p>
      <w:pPr>
        <w:pStyle w:val="26"/>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5）所选择的石材及角线必须符合国家强制性标准中对石材放射性核素限量的规定；乙供石材、面砖进场后，甲方、监理检查石材厚度、表面光度、颜色是否与样品一致，不一致的乙方必需进行更换，若由此给甲方带来损失，则由乙方承担全部责任及费用，且工期不得拖延。</w:t>
      </w:r>
    </w:p>
    <w:p>
      <w:pPr>
        <w:pStyle w:val="26"/>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5.材料技术要求：</w:t>
      </w:r>
    </w:p>
    <w:p>
      <w:pPr>
        <w:pStyle w:val="26"/>
        <w:keepNext/>
        <w:keepLines/>
        <w:pageBreakBefore w:val="0"/>
        <w:widowControl w:val="0"/>
        <w:kinsoku/>
        <w:wordWrap/>
        <w:overflowPunct/>
        <w:topLinePunct w:val="0"/>
        <w:bidi w:val="0"/>
        <w:snapToGrid/>
        <w:spacing w:line="360" w:lineRule="auto"/>
        <w:ind w:left="-420" w:firstLine="840" w:firstLineChars="400"/>
        <w:rPr>
          <w:rFonts w:hint="eastAsia" w:ascii="宋体" w:hAnsi="宋体" w:cs="宋体"/>
          <w:bCs/>
          <w:sz w:val="21"/>
          <w:szCs w:val="21"/>
        </w:rPr>
      </w:pPr>
      <w:r>
        <w:rPr>
          <w:rFonts w:hint="eastAsia" w:ascii="宋体" w:hAnsi="宋体" w:cs="宋体"/>
          <w:bCs/>
          <w:sz w:val="21"/>
          <w:szCs w:val="21"/>
        </w:rPr>
        <w:t>（1）装饰装修材料</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1、装饰装修工程所用材料的品种、规格、性能应符合设计要求及国家有关标准的规定</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2、室内装饰装修材料的选用应符合室内装饰装修材料有害物质限量10项强制性国家标准：</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1）《室内装饰装修材料人造板及其制品中甲醛释放限量》（GB18580-2001）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2)《室内装饰装修材料溶剂型木器涂料中有害物质限量》（GB18581-2009）</w:t>
      </w:r>
    </w:p>
    <w:p>
      <w:pPr>
        <w:keepNext/>
        <w:keepLines/>
        <w:pageBreakBefore w:val="0"/>
        <w:widowControl w:val="0"/>
        <w:kinsoku/>
        <w:wordWrap/>
        <w:overflowPunct/>
        <w:topLinePunct w:val="0"/>
        <w:bidi w:val="0"/>
        <w:snapToGrid/>
        <w:spacing w:line="360" w:lineRule="auto"/>
        <w:ind w:firstLine="420" w:firstLineChars="200"/>
        <w:outlineLvl w:val="0"/>
        <w:rPr>
          <w:rFonts w:hint="eastAsia" w:ascii="宋体" w:hAnsi="宋体" w:cs="宋体"/>
          <w:szCs w:val="21"/>
        </w:rPr>
      </w:pPr>
      <w:bookmarkStart w:id="7" w:name="_Toc1299"/>
      <w:bookmarkStart w:id="8" w:name="_Toc9125"/>
      <w:bookmarkStart w:id="9" w:name="_Toc8149"/>
      <w:r>
        <w:rPr>
          <w:rFonts w:hint="eastAsia" w:ascii="宋体" w:hAnsi="宋体" w:cs="宋体"/>
          <w:szCs w:val="21"/>
        </w:rPr>
        <w:t>3)《室内装饰装修材料内墙涂料中有害物质限量》（GB18582-2008）</w:t>
      </w:r>
      <w:bookmarkEnd w:id="7"/>
      <w:bookmarkEnd w:id="8"/>
      <w:bookmarkEnd w:id="9"/>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4）《室内装饰装修材料胶粘剂中有害物质限量》（GB18583-2008）</w:t>
      </w:r>
    </w:p>
    <w:p>
      <w:pPr>
        <w:keepNext/>
        <w:keepLines/>
        <w:pageBreakBefore w:val="0"/>
        <w:widowControl w:val="0"/>
        <w:kinsoku/>
        <w:wordWrap/>
        <w:overflowPunct/>
        <w:topLinePunct w:val="0"/>
        <w:bidi w:val="0"/>
        <w:snapToGrid/>
        <w:spacing w:line="360" w:lineRule="auto"/>
        <w:ind w:firstLine="420" w:firstLineChars="200"/>
        <w:outlineLvl w:val="0"/>
        <w:rPr>
          <w:rFonts w:hint="eastAsia" w:ascii="宋体" w:hAnsi="宋体" w:cs="宋体"/>
          <w:szCs w:val="21"/>
        </w:rPr>
      </w:pPr>
      <w:bookmarkStart w:id="10" w:name="_Toc8893"/>
      <w:bookmarkStart w:id="11" w:name="_Toc27582"/>
      <w:bookmarkStart w:id="12" w:name="_Toc30126"/>
      <w:r>
        <w:rPr>
          <w:rFonts w:hint="eastAsia" w:ascii="宋体" w:hAnsi="宋体" w:cs="宋体"/>
          <w:szCs w:val="21"/>
        </w:rPr>
        <w:t>5）《室内装饰装修材料木家具中有害物质限量》（GB18584-2001）</w:t>
      </w:r>
      <w:bookmarkEnd w:id="10"/>
      <w:bookmarkEnd w:id="11"/>
      <w:bookmarkEnd w:id="12"/>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6）《室内装饰装修材料壁纸中有害物质限量》（GB18585-2001）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7）《室内装饰装修材料聚氯乙烯卷材地板中有害物质限量》（GB18586-2001）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8）《室内装饰装修材料材料地毯、地毯衬垫及地毯胶粘剂有害物质限量》（GB18587-2001）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9）《混凝土外加剂中释放氨的限量》（GB18588-2001）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10)《建筑材料放射性核素限量》（GB6566-2010）</w:t>
      </w:r>
    </w:p>
    <w:p>
      <w:pPr>
        <w:pStyle w:val="26"/>
        <w:keepNext/>
        <w:keepLines/>
        <w:pageBreakBefore w:val="0"/>
        <w:widowControl w:val="0"/>
        <w:kinsoku/>
        <w:wordWrap/>
        <w:overflowPunct/>
        <w:topLinePunct w:val="0"/>
        <w:bidi w:val="0"/>
        <w:snapToGrid/>
        <w:spacing w:line="360" w:lineRule="auto"/>
        <w:ind w:left="-420" w:firstLine="840" w:firstLineChars="400"/>
        <w:rPr>
          <w:rFonts w:hint="eastAsia" w:ascii="宋体" w:hAnsi="宋体" w:cs="宋体"/>
          <w:bCs/>
          <w:sz w:val="21"/>
          <w:szCs w:val="21"/>
        </w:rPr>
      </w:pPr>
      <w:r>
        <w:rPr>
          <w:rFonts w:hint="eastAsia" w:ascii="宋体" w:hAnsi="宋体" w:cs="宋体"/>
          <w:bCs/>
          <w:sz w:val="21"/>
          <w:szCs w:val="21"/>
        </w:rPr>
        <w:t>（2）石材材料</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1）花岗岩的产品质量应符合《天然花岗岩石建筑板材》（GB/T18601-2009）的规定、大理石的产品质量要符合《天然大理石建筑板材》（GB/T19766-2005）的规定，地面石材厚度需δ≥20mm、干挂石材内墙厚度需δ≥25mm。</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2）石材防护剂：必须对装饰装修用石材进行防护、结晶、防腐，石材防护剂应符合《建筑装饰用天然石材防护剂》（JC/T973-2005）的要求。</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4、墙地砖：品种、级别、规格、形状、集合尺寸、光洁度、颜色和图案及其他的产品质量符合设计要求，色泽均匀一致，无裂纹，无水线或污染，表面方正平整，此工程选用同体瓷质砖。</w:t>
      </w:r>
    </w:p>
    <w:p>
      <w:pPr>
        <w:pStyle w:val="26"/>
        <w:keepNext/>
        <w:keepLines/>
        <w:pageBreakBefore w:val="0"/>
        <w:widowControl w:val="0"/>
        <w:kinsoku/>
        <w:wordWrap/>
        <w:overflowPunct/>
        <w:topLinePunct w:val="0"/>
        <w:bidi w:val="0"/>
        <w:snapToGrid/>
        <w:spacing w:line="360" w:lineRule="auto"/>
        <w:ind w:left="-420" w:firstLine="630" w:firstLineChars="300"/>
        <w:rPr>
          <w:rFonts w:hint="eastAsia" w:ascii="宋体" w:hAnsi="宋体" w:cs="宋体"/>
          <w:sz w:val="21"/>
          <w:szCs w:val="21"/>
        </w:rPr>
      </w:pPr>
      <w:r>
        <w:rPr>
          <w:rFonts w:hint="eastAsia" w:ascii="宋体" w:hAnsi="宋体" w:cs="宋体"/>
          <w:sz w:val="21"/>
          <w:szCs w:val="21"/>
        </w:rPr>
        <w:t>（3）木材制品</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本工程所用木饰面板材必须成品外加工，现场不允许加工，所有装修用木材应进行防火处理。</w:t>
      </w:r>
    </w:p>
    <w:p>
      <w:pPr>
        <w:pStyle w:val="26"/>
        <w:keepNext/>
        <w:keepLines/>
        <w:pageBreakBefore w:val="0"/>
        <w:widowControl w:val="0"/>
        <w:kinsoku/>
        <w:wordWrap/>
        <w:overflowPunct/>
        <w:topLinePunct w:val="0"/>
        <w:bidi w:val="0"/>
        <w:snapToGrid/>
        <w:spacing w:line="360" w:lineRule="auto"/>
        <w:ind w:left="-420" w:firstLine="630" w:firstLineChars="300"/>
        <w:rPr>
          <w:rFonts w:hint="eastAsia" w:ascii="宋体" w:hAnsi="宋体" w:cs="宋体"/>
          <w:sz w:val="21"/>
          <w:szCs w:val="21"/>
        </w:rPr>
      </w:pPr>
      <w:r>
        <w:rPr>
          <w:rFonts w:hint="eastAsia" w:ascii="宋体" w:hAnsi="宋体" w:cs="宋体"/>
          <w:sz w:val="21"/>
          <w:szCs w:val="21"/>
        </w:rPr>
        <w:t>（4）涂料</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1）本工程木饰面油漆面不允许现场施工；易受潮部位应采用耐水腻子，防水乳胶漆。</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2）饰面性木材防火涂料，主要用于木材的防火处理。其性能应满足《饰面型防火涂料》（GB 12441-2005）的规定。</w:t>
      </w:r>
    </w:p>
    <w:p>
      <w:pPr>
        <w:pStyle w:val="26"/>
        <w:keepNext/>
        <w:keepLines/>
        <w:pageBreakBefore w:val="0"/>
        <w:widowControl w:val="0"/>
        <w:kinsoku/>
        <w:wordWrap/>
        <w:overflowPunct/>
        <w:topLinePunct w:val="0"/>
        <w:bidi w:val="0"/>
        <w:snapToGrid/>
        <w:spacing w:line="360" w:lineRule="auto"/>
        <w:ind w:firstLine="210" w:firstLineChars="100"/>
        <w:rPr>
          <w:rFonts w:hint="eastAsia" w:ascii="宋体" w:hAnsi="宋体" w:cs="宋体"/>
          <w:sz w:val="21"/>
          <w:szCs w:val="21"/>
        </w:rPr>
      </w:pPr>
      <w:r>
        <w:rPr>
          <w:rFonts w:hint="eastAsia" w:ascii="宋体" w:hAnsi="宋体" w:cs="宋体"/>
          <w:sz w:val="21"/>
          <w:szCs w:val="21"/>
        </w:rPr>
        <w:t>（5）安全玻璃</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安全玻璃的使用应符合《建筑用安全玻璃》（GB15763.1-2009、GB15763.2-2005、GB15763.3-2009、GB15763.4-2009）。</w:t>
      </w:r>
    </w:p>
    <w:p>
      <w:pPr>
        <w:keepNext/>
        <w:keepLines/>
        <w:pageBreakBefore w:val="0"/>
        <w:widowControl w:val="0"/>
        <w:kinsoku/>
        <w:wordWrap/>
        <w:overflowPunct/>
        <w:topLinePunct w:val="0"/>
        <w:bidi w:val="0"/>
        <w:snapToGrid/>
        <w:spacing w:line="360" w:lineRule="auto"/>
        <w:rPr>
          <w:rFonts w:hint="eastAsia" w:ascii="宋体" w:hAnsi="宋体"/>
          <w:b/>
          <w:szCs w:val="21"/>
        </w:rPr>
      </w:pPr>
      <w:r>
        <w:rPr>
          <w:rFonts w:hint="eastAsia" w:ascii="宋体" w:hAnsi="宋体"/>
          <w:b/>
          <w:szCs w:val="21"/>
        </w:rPr>
        <w:t>六、质量验收标准或规范</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1、本装饰装修设计施工图、装饰施工图；</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2、与本装饰装修工程相关的建筑设计规范；</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3、主要规范、标准</w:t>
      </w:r>
    </w:p>
    <w:p>
      <w:pPr>
        <w:keepNext/>
        <w:keepLines/>
        <w:pageBreakBefore w:val="0"/>
        <w:widowControl w:val="0"/>
        <w:kinsoku/>
        <w:wordWrap/>
        <w:overflowPunct/>
        <w:topLinePunct w:val="0"/>
        <w:bidi w:val="0"/>
        <w:snapToGrid/>
        <w:spacing w:line="360" w:lineRule="auto"/>
        <w:ind w:firstLine="420" w:firstLineChars="200"/>
        <w:rPr>
          <w:rFonts w:ascii="宋体" w:hAnsi="宋体" w:cs="宋体"/>
          <w:szCs w:val="21"/>
        </w:rPr>
      </w:pPr>
      <w:r>
        <w:rPr>
          <w:rFonts w:hint="eastAsia" w:ascii="宋体" w:hAnsi="宋体" w:cs="宋体"/>
          <w:szCs w:val="21"/>
        </w:rPr>
        <w:t>1）《政府采购促进中小企业发展管理办法》</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2）《工程测量规范》（GB50026—93）</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3）《砌体工程施工质量及验收规范》（GB50203—2002）</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4）《施工现场临时用电安全技术规范》(JGJ46-88)</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5）《建筑施工安全检查标准》(JGJ59-99)</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6)《民用建筑工程室内环境污染控制规范（GB50325-2010）(2013版)</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7)《公共建筑节能设计标准》（GB50189-2015）</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8)《建筑工程施工质量验收统一标准》（GB50300-2013）</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9)《建筑装饰装修工程质量验收规范》（GB50210-2001）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10）《建筑电气工程质量验收规范》（GB 50303-2015）</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11)《建筑给排水工程施工质量验收规范》（GB50242-2002）</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12)《建筑地面工程施工质量验收规范》（GB50209-2010）</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13）《建筑内部装修防火施工及验收规范》（GB50354-2005）</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14)《通风与空调工程施工质量验收规范》（GB50243-2016）</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15）《综合布线系统工程验收规范》（GB50312-2016）</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16）《安全防范工程技术标准》（GB 50348-2018）</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17)《智能建筑工程质量验收规范》（GB 50339-2013）</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18)《视频安防监控系统技术要求》（GA/T367-2001）</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19)《信息安全技术网络基础安全技术要求》（GB/T20270-2006）</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20)《建筑工程文件归档整理规范》（GB/T50328—2001）</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13" w:name="_Toc445821154"/>
      <w:r>
        <w:rPr>
          <w:rFonts w:hint="eastAsia" w:ascii="宋体" w:hAnsi="宋体" w:cs="宋体"/>
          <w:b/>
          <w:bCs/>
          <w:szCs w:val="21"/>
        </w:rPr>
        <w:t>七、违约责任</w:t>
      </w:r>
      <w:bookmarkEnd w:id="13"/>
    </w:p>
    <w:bookmarkEnd w:id="3"/>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bookmarkStart w:id="14" w:name="_Toc445821156"/>
      <w:r>
        <w:rPr>
          <w:rFonts w:hint="eastAsia" w:ascii="宋体" w:hAnsi="宋体" w:cs="宋体"/>
          <w:szCs w:val="21"/>
        </w:rPr>
        <w:t xml:space="preserve">1、视为甲方违约：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（1）甲方无合理理由而不配合乙方工作致使工程延误的。</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（2）甲方不履行合同义务或不按合同约定履行义务的其他情况。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2、当发生下列情况时，视为乙方违约：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（1）乙方原因不能按照协议书约定的工期或甲方、监理同意顺延的工期完工或竣工的，每延误一日，乙方应向甲方支付合同总价款的0.2%作为违约金；</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 因乙方原因工程质量达不到合同约定的质量标准；</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（3）乙方不履行合同义务或不按合同约定履行义务的其他情况。</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（4）一方违约后，另一方要求违约方继续履行合同时，违约方承担相应的违约责任后仍应继续履行合同。 </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（5）如果乙方履行合同义务行为达不到国家有关规定及合同约定的标准和条件，并经书面要求改正后， 3 日内仍无实质性改进的，甲方有权单方解除合同，并书面通知乙方后收回工程，由此造成的经济损失，甲方有权在支付给乙方的任何款项中扣款补偿，不足抵扣的，乙方应按甲方要求支付给甲方。</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（6）因乙方原因解除合同时，甲方将对乙方处以合同价款 3 %的违约金，乙方承担由此给甲方损失的赔偿责任，甲方有权在支付给乙方的任何款项中扣款补偿，不足抵扣的，甲方有权追偿。</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（7）因乙方原因或乙方施工内容未在约定工期内通过消防验收合格，即视为乙方违约。因此造成的返工及甲方直接和间接损失等损失，均由乙方承担。</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（8）如乙方违约或造成甲方经济损失，甲方有权在任何一笔应付款项中扣除违约金和赔偿金。</w:t>
      </w:r>
    </w:p>
    <w:p>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八、争议解决</w:t>
      </w:r>
      <w:bookmarkEnd w:id="14"/>
    </w:p>
    <w:p>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1、在执行本合同中发生的或与本合同有关的争端，双方应通过友好协商解决，经协商在</w:t>
      </w:r>
      <w:r>
        <w:rPr>
          <w:rFonts w:hint="eastAsia" w:ascii="宋体" w:hAnsi="宋体" w:cs="宋体"/>
          <w:color w:val="000000"/>
          <w:szCs w:val="21"/>
          <w:u w:val="single"/>
        </w:rPr>
        <w:t xml:space="preserve">    </w:t>
      </w:r>
      <w:r>
        <w:rPr>
          <w:rFonts w:hint="eastAsia" w:ascii="宋体" w:hAnsi="宋体" w:cs="宋体"/>
          <w:color w:val="000000"/>
          <w:szCs w:val="21"/>
        </w:rPr>
        <w:t>天内不能达成协议时，则采取以下第</w:t>
      </w:r>
      <w:r>
        <w:rPr>
          <w:rFonts w:hint="eastAsia" w:ascii="宋体" w:hAnsi="宋体" w:cs="宋体"/>
          <w:color w:val="000000"/>
          <w:szCs w:val="21"/>
          <w:u w:val="single"/>
        </w:rPr>
        <w:t xml:space="preserve"> （1） </w:t>
      </w:r>
      <w:r>
        <w:rPr>
          <w:rFonts w:hint="eastAsia" w:ascii="宋体" w:hAnsi="宋体" w:cs="宋体"/>
          <w:color w:val="000000"/>
          <w:szCs w:val="21"/>
        </w:rPr>
        <w:t>种方式解决争议：</w:t>
      </w:r>
    </w:p>
    <w:p>
      <w:pPr>
        <w:keepNext/>
        <w:keepLines/>
        <w:pageBreakBefore w:val="0"/>
        <w:widowControl w:val="0"/>
        <w:kinsoku/>
        <w:wordWrap/>
        <w:overflowPunct/>
        <w:topLinePunct w:val="0"/>
        <w:autoSpaceDE w:val="0"/>
        <w:autoSpaceDN w:val="0"/>
        <w:bidi w:val="0"/>
        <w:snapToGrid/>
        <w:spacing w:line="360" w:lineRule="auto"/>
        <w:ind w:firstLine="210" w:firstLineChars="100"/>
        <w:rPr>
          <w:rFonts w:hint="eastAsia" w:ascii="宋体" w:hAnsi="宋体" w:cs="宋体"/>
          <w:color w:val="000000"/>
          <w:szCs w:val="21"/>
        </w:rPr>
        <w:sectPr>
          <w:footerReference r:id="rId5" w:type="default"/>
          <w:pgSz w:w="11906" w:h="16838"/>
          <w:pgMar w:top="1440" w:right="1800" w:bottom="1440" w:left="1800" w:header="0" w:footer="0" w:gutter="0"/>
          <w:pgNumType w:start="1"/>
          <w:cols w:space="720" w:num="1"/>
        </w:sectPr>
      </w:pPr>
      <w:r>
        <w:rPr>
          <w:rFonts w:hint="eastAsia" w:ascii="宋体" w:hAnsi="宋体" w:cs="宋体"/>
          <w:color w:val="000000"/>
          <w:szCs w:val="21"/>
        </w:rPr>
        <w:t>（1）向</w:t>
      </w:r>
      <w:r>
        <w:rPr>
          <w:rFonts w:hint="eastAsia" w:ascii="宋体" w:hAnsi="宋体" w:cs="宋体"/>
          <w:color w:val="000000"/>
          <w:szCs w:val="21"/>
          <w:u w:val="single"/>
        </w:rPr>
        <w:t>发包方</w:t>
      </w:r>
      <w:r>
        <w:rPr>
          <w:rFonts w:hint="eastAsia" w:ascii="宋体" w:hAnsi="宋体" w:cs="宋体"/>
          <w:color w:val="000000"/>
          <w:szCs w:val="21"/>
        </w:rPr>
        <w:t>所在地有管辖权的人民法院提起诉讼；</w:t>
      </w:r>
    </w:p>
    <w:p>
      <w:pPr>
        <w:keepNext/>
        <w:keepLines/>
        <w:pageBreakBefore w:val="0"/>
        <w:widowControl w:val="0"/>
        <w:kinsoku/>
        <w:wordWrap/>
        <w:overflowPunct/>
        <w:topLinePunct w:val="0"/>
        <w:autoSpaceDE w:val="0"/>
        <w:autoSpaceDN w:val="0"/>
        <w:bidi w:val="0"/>
        <w:snapToGrid/>
        <w:spacing w:line="360" w:lineRule="auto"/>
        <w:ind w:firstLine="210" w:firstLineChars="100"/>
        <w:rPr>
          <w:rFonts w:hint="eastAsia" w:ascii="宋体" w:hAnsi="宋体" w:cs="宋体"/>
          <w:color w:val="000000"/>
          <w:szCs w:val="21"/>
        </w:rPr>
        <w:sectPr>
          <w:type w:val="continuous"/>
          <w:pgSz w:w="11906" w:h="16838"/>
          <w:pgMar w:top="1440" w:right="1800" w:bottom="1440" w:left="1800" w:header="0" w:footer="0" w:gutter="0"/>
          <w:cols w:space="720" w:num="1"/>
        </w:sectPr>
      </w:pPr>
      <w:r>
        <w:rPr>
          <w:rFonts w:hint="eastAsia" w:ascii="宋体" w:hAnsi="宋体" w:cs="宋体"/>
          <w:color w:val="000000"/>
          <w:szCs w:val="21"/>
        </w:rPr>
        <w:t>（2）向</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仲裁委员会按其仲裁规则申请仲裁。</w:t>
      </w:r>
    </w:p>
    <w:p>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2、在仲裁期间，本合同应继续履行。</w:t>
      </w:r>
    </w:p>
    <w:p>
      <w:pPr>
        <w:keepNext/>
        <w:keepLines/>
        <w:pageBreakBefore w:val="0"/>
        <w:widowControl w:val="0"/>
        <w:kinsoku/>
        <w:wordWrap/>
        <w:overflowPunct/>
        <w:topLinePunct w:val="0"/>
        <w:autoSpaceDE w:val="0"/>
        <w:autoSpaceDN w:val="0"/>
        <w:bidi w:val="0"/>
        <w:snapToGrid/>
        <w:spacing w:line="360" w:lineRule="auto"/>
        <w:rPr>
          <w:rFonts w:hint="eastAsia" w:ascii="宋体" w:hAnsi="宋体" w:cs="宋体"/>
          <w:b/>
          <w:bCs/>
          <w:color w:val="000000"/>
          <w:szCs w:val="21"/>
        </w:rPr>
      </w:pPr>
      <w:r>
        <w:rPr>
          <w:rFonts w:hint="eastAsia" w:ascii="宋体" w:hAnsi="宋体" w:cs="宋体"/>
          <w:b/>
          <w:bCs/>
          <w:szCs w:val="21"/>
        </w:rPr>
        <w:t>九、</w:t>
      </w:r>
      <w:r>
        <w:rPr>
          <w:rFonts w:hint="eastAsia" w:ascii="宋体" w:hAnsi="宋体" w:cs="宋体"/>
          <w:b/>
          <w:bCs/>
          <w:color w:val="000000"/>
          <w:szCs w:val="21"/>
        </w:rPr>
        <w:t>合同生效及其他</w:t>
      </w:r>
    </w:p>
    <w:p>
      <w:pPr>
        <w:keepNext/>
        <w:keepLines/>
        <w:pageBreakBefore w:val="0"/>
        <w:widowControl w:val="0"/>
        <w:kinsoku/>
        <w:wordWrap/>
        <w:overflowPunct/>
        <w:topLinePunct w:val="0"/>
        <w:autoSpaceDE w:val="0"/>
        <w:autoSpaceDN w:val="0"/>
        <w:bidi w:val="0"/>
        <w:snapToGrid/>
        <w:spacing w:line="360" w:lineRule="auto"/>
        <w:rPr>
          <w:rFonts w:hint="eastAsia" w:ascii="宋体" w:hAnsi="宋体" w:cs="宋体"/>
          <w:color w:val="000000"/>
          <w:szCs w:val="21"/>
        </w:rPr>
        <w:sectPr>
          <w:type w:val="continuous"/>
          <w:pgSz w:w="11906" w:h="16838"/>
          <w:pgMar w:top="1440" w:right="1800" w:bottom="1440" w:left="1800" w:header="0" w:footer="0" w:gutter="0"/>
          <w:cols w:space="720" w:num="1"/>
        </w:sectPr>
      </w:pPr>
    </w:p>
    <w:p>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1、合同经双方法定代表人或委托代理人签字并加盖单位章后生效。</w:t>
      </w:r>
    </w:p>
    <w:p>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2、合同执行中涉及采购资金和采购内容修改或补充的，须经政府采购监管部门审批，并签书面补充协议报政府采购监督管理部门备案，方可作为主合同不可分割的一部分。</w:t>
      </w:r>
    </w:p>
    <w:p>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3、本合同一式</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份，自双方签章之日起起效。甲方</w:t>
      </w:r>
      <w:r>
        <w:rPr>
          <w:rFonts w:hint="eastAsia" w:ascii="宋体" w:hAnsi="宋体" w:cs="宋体"/>
          <w:color w:val="000000"/>
          <w:szCs w:val="21"/>
          <w:u w:val="single"/>
        </w:rPr>
        <w:tab/>
      </w:r>
      <w:r>
        <w:rPr>
          <w:rFonts w:hint="eastAsia" w:ascii="宋体" w:hAnsi="宋体" w:cs="宋体"/>
          <w:color w:val="000000"/>
          <w:szCs w:val="21"/>
        </w:rPr>
        <w:t>份，乙方</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份，政府采购代理机构</w:t>
      </w:r>
      <w:r>
        <w:rPr>
          <w:rFonts w:hint="eastAsia" w:ascii="宋体" w:hAnsi="宋体" w:cs="宋体"/>
          <w:color w:val="000000"/>
          <w:szCs w:val="21"/>
          <w:u w:val="single"/>
        </w:rPr>
        <w:t>壹</w:t>
      </w:r>
      <w:r>
        <w:rPr>
          <w:rFonts w:hint="eastAsia" w:ascii="宋体" w:hAnsi="宋体" w:cs="宋体"/>
          <w:color w:val="000000"/>
          <w:szCs w:val="21"/>
        </w:rPr>
        <w:t>份，具有同等法律效力。</w:t>
      </w:r>
    </w:p>
    <w:p>
      <w:pPr>
        <w:pStyle w:val="11"/>
        <w:keepNext/>
        <w:keepLines/>
        <w:pageBreakBefore w:val="0"/>
        <w:widowControl w:val="0"/>
        <w:kinsoku/>
        <w:wordWrap/>
        <w:overflowPunct/>
        <w:topLinePunct w:val="0"/>
        <w:bidi w:val="0"/>
        <w:snapToGrid/>
        <w:rPr>
          <w:rFonts w:hint="eastAsia" w:ascii="宋体" w:hAnsi="宋体" w:cs="宋体"/>
          <w:sz w:val="21"/>
          <w:szCs w:val="21"/>
        </w:rPr>
      </w:pP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发包方（盖章）：</w:t>
      </w:r>
      <w:r>
        <w:rPr>
          <w:rFonts w:hint="eastAsia" w:ascii="宋体" w:hAnsi="宋体" w:cs="宋体"/>
          <w:kern w:val="22"/>
          <w:szCs w:val="21"/>
          <w:u w:val="single"/>
        </w:rPr>
        <w:t xml:space="preserve">                    </w:t>
      </w:r>
      <w:r>
        <w:rPr>
          <w:rFonts w:hint="eastAsia" w:ascii="宋体" w:hAnsi="宋体" w:cs="宋体"/>
          <w:kern w:val="22"/>
          <w:szCs w:val="21"/>
        </w:rPr>
        <w:t xml:space="preserve">      承包方（盖章）：</w:t>
      </w:r>
      <w:r>
        <w:rPr>
          <w:rFonts w:hint="eastAsia" w:ascii="宋体" w:hAnsi="宋体" w:cs="宋体"/>
          <w:kern w:val="22"/>
          <w:szCs w:val="21"/>
          <w:u w:val="single"/>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法定代表人（签字或盖章）：</w:t>
      </w:r>
      <w:r>
        <w:rPr>
          <w:rFonts w:hint="eastAsia" w:ascii="宋体" w:hAnsi="宋体" w:cs="宋体"/>
          <w:kern w:val="22"/>
          <w:szCs w:val="21"/>
          <w:u w:val="single"/>
        </w:rPr>
        <w:t xml:space="preserve">          </w:t>
      </w:r>
      <w:r>
        <w:rPr>
          <w:rFonts w:hint="eastAsia" w:ascii="宋体" w:hAnsi="宋体" w:cs="宋体"/>
          <w:kern w:val="22"/>
          <w:szCs w:val="21"/>
        </w:rPr>
        <w:t xml:space="preserve">      法定代表人（签字或盖章）：</w:t>
      </w:r>
      <w:r>
        <w:rPr>
          <w:rFonts w:hint="eastAsia" w:ascii="宋体" w:hAnsi="宋体" w:cs="宋体"/>
          <w:kern w:val="22"/>
          <w:szCs w:val="21"/>
          <w:u w:val="single"/>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地址：</w:t>
      </w:r>
      <w:r>
        <w:rPr>
          <w:rFonts w:hint="eastAsia" w:ascii="宋体" w:hAnsi="宋体" w:cs="宋体"/>
          <w:kern w:val="22"/>
          <w:szCs w:val="21"/>
          <w:u w:val="single"/>
        </w:rPr>
        <w:t xml:space="preserve">                        </w:t>
      </w:r>
      <w:r>
        <w:rPr>
          <w:rFonts w:hint="eastAsia" w:ascii="宋体" w:hAnsi="宋体" w:cs="宋体"/>
          <w:kern w:val="22"/>
          <w:szCs w:val="21"/>
        </w:rPr>
        <w:t xml:space="preserve">            地址：</w:t>
      </w:r>
      <w:r>
        <w:rPr>
          <w:rFonts w:hint="eastAsia" w:ascii="宋体" w:hAnsi="宋体" w:cs="宋体"/>
          <w:kern w:val="22"/>
          <w:szCs w:val="21"/>
          <w:u w:val="single"/>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联系电话：</w:t>
      </w:r>
      <w:r>
        <w:rPr>
          <w:rFonts w:hint="eastAsia" w:ascii="宋体" w:hAnsi="宋体" w:cs="宋体"/>
          <w:kern w:val="22"/>
          <w:szCs w:val="21"/>
          <w:u w:val="single"/>
        </w:rPr>
        <w:t xml:space="preserve">                    </w:t>
      </w:r>
      <w:r>
        <w:rPr>
          <w:rFonts w:hint="eastAsia" w:ascii="宋体" w:hAnsi="宋体" w:cs="宋体"/>
          <w:kern w:val="22"/>
          <w:szCs w:val="21"/>
        </w:rPr>
        <w:t xml:space="preserve">            联系电话：</w:t>
      </w:r>
      <w:r>
        <w:rPr>
          <w:rFonts w:hint="eastAsia" w:ascii="宋体" w:hAnsi="宋体" w:cs="宋体"/>
          <w:kern w:val="22"/>
          <w:szCs w:val="21"/>
          <w:u w:val="single"/>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开户银行：</w:t>
      </w:r>
      <w:r>
        <w:rPr>
          <w:rFonts w:hint="eastAsia" w:ascii="宋体" w:hAnsi="宋体" w:cs="宋体"/>
          <w:kern w:val="22"/>
          <w:szCs w:val="21"/>
          <w:u w:val="single"/>
        </w:rPr>
        <w:t xml:space="preserve">                    </w:t>
      </w:r>
      <w:r>
        <w:rPr>
          <w:rFonts w:hint="eastAsia" w:ascii="宋体" w:hAnsi="宋体" w:cs="宋体"/>
          <w:kern w:val="22"/>
          <w:szCs w:val="21"/>
        </w:rPr>
        <w:t xml:space="preserve">            开户银行：</w:t>
      </w:r>
      <w:r>
        <w:rPr>
          <w:rFonts w:hint="eastAsia" w:ascii="宋体" w:hAnsi="宋体" w:cs="宋体"/>
          <w:kern w:val="22"/>
          <w:szCs w:val="21"/>
          <w:u w:val="single"/>
        </w:rPr>
        <w:t xml:space="preserve">                     </w:t>
      </w:r>
    </w:p>
    <w:p>
      <w:pPr>
        <w:pStyle w:val="6"/>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银行帐号：</w:t>
      </w:r>
      <w:r>
        <w:rPr>
          <w:rFonts w:hint="eastAsia" w:ascii="宋体" w:hAnsi="宋体" w:cs="宋体"/>
          <w:kern w:val="22"/>
          <w:szCs w:val="21"/>
          <w:u w:val="single"/>
        </w:rPr>
        <w:t xml:space="preserve">                    </w:t>
      </w:r>
      <w:r>
        <w:rPr>
          <w:rFonts w:hint="eastAsia" w:ascii="宋体" w:hAnsi="宋体" w:cs="宋体"/>
          <w:kern w:val="22"/>
          <w:szCs w:val="21"/>
        </w:rPr>
        <w:t xml:space="preserve">            银行帐号：</w:t>
      </w:r>
      <w:r>
        <w:rPr>
          <w:rFonts w:hint="eastAsia" w:ascii="宋体" w:hAnsi="宋体" w:cs="宋体"/>
          <w:kern w:val="22"/>
          <w:szCs w:val="21"/>
          <w:u w:val="single"/>
        </w:rPr>
        <w:t xml:space="preserve">                     </w:t>
      </w:r>
    </w:p>
    <w:p>
      <w:pPr>
        <w:keepNext/>
        <w:keepLines/>
        <w:pageBreakBefore w:val="0"/>
        <w:widowControl w:val="0"/>
        <w:kinsoku/>
        <w:wordWrap/>
        <w:overflowPunct/>
        <w:topLinePunct w:val="0"/>
        <w:bidi w:val="0"/>
        <w:snapToGrid/>
        <w:ind w:firstLine="420"/>
      </w:pPr>
      <w:r>
        <w:rPr>
          <w:rFonts w:hint="eastAsia" w:ascii="宋体" w:hAnsi="宋体" w:cs="宋体"/>
          <w:kern w:val="22"/>
          <w:szCs w:val="21"/>
        </w:rPr>
        <w:t>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                     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w:t>
      </w:r>
    </w:p>
    <w:p>
      <w:pPr>
        <w:keepNext/>
        <w:keepLines/>
        <w:pageBreakBefore w:val="0"/>
        <w:widowControl w:val="0"/>
        <w:kinsoku/>
        <w:wordWrap/>
        <w:overflowPunct/>
        <w:topLinePunct w:val="0"/>
        <w:bidi w:val="0"/>
        <w:snapToGrid/>
        <w:ind w:firstLine="420"/>
      </w:pPr>
      <w:bookmarkStart w:id="15" w:name="_GoBack"/>
      <w:bookmarkEnd w:id="1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宋体" w:cs="宋体"/>
        <w:sz w:val="18"/>
        <w:szCs w:val="18"/>
      </w:rPr>
    </w:pPr>
    <w:r>
      <w:rPr>
        <w:sz w:val="18"/>
      </w:rPr>
      <w:pict>
        <v:shape id="文本框 9"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rPr>
                    <w:lang w:val="en-US" w:eastAsia="zh-CN"/>
                  </w:rP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JiZWNiMmE2ZThlNzQxZWQ4MWY5Yzg4NzMyN2IwZTkifQ=="/>
  </w:docVars>
  <w:rsids>
    <w:rsidRoot w:val="0005653A"/>
    <w:rsid w:val="0001295A"/>
    <w:rsid w:val="00047424"/>
    <w:rsid w:val="0005653A"/>
    <w:rsid w:val="000E679E"/>
    <w:rsid w:val="005E6A2B"/>
    <w:rsid w:val="00760AEC"/>
    <w:rsid w:val="00B04D9C"/>
    <w:rsid w:val="00B63C71"/>
    <w:rsid w:val="00C97D15"/>
    <w:rsid w:val="00ED334A"/>
    <w:rsid w:val="00F66ECB"/>
    <w:rsid w:val="00FA5ADF"/>
    <w:rsid w:val="3F4513C5"/>
    <w:rsid w:val="68231887"/>
    <w:rsid w:val="6AB44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ind w:firstLine="0" w:firstLineChars="0"/>
      <w:jc w:val="both"/>
    </w:pPr>
    <w:rPr>
      <w:rFonts w:ascii="Times New Roman" w:hAnsi="Times New Roman" w:eastAsia="宋体" w:cs="Times New Roman"/>
      <w:kern w:val="2"/>
      <w:sz w:val="21"/>
      <w:lang w:val="en-US" w:eastAsia="zh-CN" w:bidi="ar-SA"/>
    </w:rPr>
  </w:style>
  <w:style w:type="paragraph" w:styleId="3">
    <w:name w:val="heading 1"/>
    <w:basedOn w:val="1"/>
    <w:next w:val="1"/>
    <w:link w:val="21"/>
    <w:qFormat/>
    <w:uiPriority w:val="0"/>
    <w:pPr>
      <w:keepNext/>
      <w:keepLines/>
      <w:spacing w:before="340" w:after="330" w:line="578" w:lineRule="auto"/>
      <w:ind w:firstLine="200" w:firstLineChars="200"/>
      <w:outlineLvl w:val="0"/>
    </w:pPr>
    <w:rPr>
      <w:b/>
      <w:bCs/>
      <w:kern w:val="44"/>
      <w:sz w:val="44"/>
      <w:szCs w:val="44"/>
    </w:rPr>
  </w:style>
  <w:style w:type="paragraph" w:styleId="4">
    <w:name w:val="heading 2"/>
    <w:basedOn w:val="1"/>
    <w:next w:val="1"/>
    <w:link w:val="16"/>
    <w:semiHidden/>
    <w:unhideWhenUsed/>
    <w:qFormat/>
    <w:uiPriority w:val="0"/>
    <w:pPr>
      <w:keepNext/>
      <w:keepLines/>
      <w:spacing w:before="260" w:after="260" w:line="416" w:lineRule="auto"/>
      <w:ind w:firstLine="200" w:firstLineChars="200"/>
      <w:outlineLvl w:val="1"/>
    </w:pPr>
    <w:rPr>
      <w:rFonts w:asciiTheme="majorHAnsi" w:hAnsiTheme="majorHAnsi" w:eastAsiaTheme="majorEastAsia" w:cstheme="majorBidi"/>
      <w:b/>
      <w:bCs/>
      <w:sz w:val="32"/>
      <w:szCs w:val="32"/>
    </w:rPr>
  </w:style>
  <w:style w:type="paragraph" w:styleId="2">
    <w:name w:val="heading 3"/>
    <w:basedOn w:val="1"/>
    <w:next w:val="1"/>
    <w:link w:val="17"/>
    <w:semiHidden/>
    <w:unhideWhenUsed/>
    <w:qFormat/>
    <w:uiPriority w:val="0"/>
    <w:pPr>
      <w:keepNext/>
      <w:keepLines/>
      <w:spacing w:before="260" w:after="260" w:line="416" w:lineRule="auto"/>
      <w:ind w:firstLine="200" w:firstLineChars="200"/>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qFormat/>
    <w:uiPriority w:val="0"/>
    <w:pPr>
      <w:spacing w:line="360" w:lineRule="auto"/>
      <w:ind w:firstLine="200" w:firstLineChars="200"/>
      <w:jc w:val="left"/>
    </w:pPr>
    <w:rPr>
      <w:szCs w:val="24"/>
    </w:rPr>
  </w:style>
  <w:style w:type="paragraph" w:styleId="6">
    <w:name w:val="Body Text"/>
    <w:basedOn w:val="1"/>
    <w:link w:val="15"/>
    <w:unhideWhenUsed/>
    <w:qFormat/>
    <w:uiPriority w:val="0"/>
    <w:pPr>
      <w:spacing w:after="120" w:line="360" w:lineRule="auto"/>
      <w:ind w:firstLine="200" w:firstLineChars="200"/>
    </w:pPr>
    <w:rPr>
      <w:szCs w:val="24"/>
    </w:rPr>
  </w:style>
  <w:style w:type="paragraph" w:styleId="7">
    <w:name w:val="toc 3"/>
    <w:basedOn w:val="1"/>
    <w:next w:val="1"/>
    <w:unhideWhenUsed/>
    <w:qFormat/>
    <w:uiPriority w:val="39"/>
    <w:pPr>
      <w:spacing w:line="360" w:lineRule="auto"/>
      <w:ind w:left="420" w:firstLine="200" w:firstLineChars="200"/>
      <w:jc w:val="left"/>
    </w:pPr>
    <w:rPr>
      <w:rFonts w:ascii="Calibri" w:hAnsi="Calibri"/>
      <w:i/>
      <w:iCs/>
      <w:sz w:val="20"/>
    </w:rPr>
  </w:style>
  <w:style w:type="paragraph" w:styleId="8">
    <w:name w:val="footer"/>
    <w:basedOn w:val="1"/>
    <w:link w:val="23"/>
    <w:qFormat/>
    <w:uiPriority w:val="99"/>
    <w:pPr>
      <w:tabs>
        <w:tab w:val="center" w:pos="4153"/>
        <w:tab w:val="right" w:pos="8306"/>
      </w:tabs>
      <w:snapToGrid w:val="0"/>
      <w:jc w:val="left"/>
    </w:pPr>
    <w:rPr>
      <w:sz w:val="18"/>
    </w:rPr>
  </w:style>
  <w:style w:type="paragraph" w:styleId="9">
    <w:name w:val="toc 1"/>
    <w:basedOn w:val="1"/>
    <w:next w:val="1"/>
    <w:unhideWhenUsed/>
    <w:qFormat/>
    <w:uiPriority w:val="39"/>
    <w:pPr>
      <w:tabs>
        <w:tab w:val="right" w:leader="dot" w:pos="8965"/>
      </w:tabs>
      <w:spacing w:before="120" w:after="120" w:line="360" w:lineRule="auto"/>
      <w:ind w:firstLine="200" w:firstLineChars="200"/>
      <w:jc w:val="left"/>
    </w:pPr>
    <w:rPr>
      <w:rFonts w:ascii="宋体" w:hAnsi="宋体"/>
      <w:bCs/>
      <w:caps/>
      <w:sz w:val="28"/>
      <w:szCs w:val="28"/>
    </w:rPr>
  </w:style>
  <w:style w:type="paragraph" w:styleId="10">
    <w:name w:val="toc 2"/>
    <w:basedOn w:val="1"/>
    <w:next w:val="1"/>
    <w:unhideWhenUsed/>
    <w:qFormat/>
    <w:uiPriority w:val="39"/>
    <w:pPr>
      <w:spacing w:line="360" w:lineRule="auto"/>
      <w:ind w:left="210" w:firstLine="200" w:firstLineChars="200"/>
      <w:jc w:val="left"/>
    </w:pPr>
    <w:rPr>
      <w:rFonts w:ascii="Calibri" w:hAnsi="Calibri"/>
      <w:smallCaps/>
      <w:sz w:val="20"/>
    </w:rPr>
  </w:style>
  <w:style w:type="paragraph" w:styleId="11">
    <w:name w:val="Body Text First Indent"/>
    <w:basedOn w:val="6"/>
    <w:link w:val="24"/>
    <w:qFormat/>
    <w:uiPriority w:val="0"/>
    <w:pPr>
      <w:adjustRightInd w:val="0"/>
      <w:spacing w:after="0" w:line="240" w:lineRule="auto"/>
      <w:ind w:firstLine="420" w:firstLineChars="0"/>
      <w:jc w:val="left"/>
      <w:textAlignment w:val="baseline"/>
    </w:pPr>
    <w:rPr>
      <w:color w:val="993300"/>
      <w:kern w:val="0"/>
      <w:sz w:val="24"/>
      <w:szCs w:val="20"/>
    </w:rPr>
  </w:style>
  <w:style w:type="character" w:styleId="14">
    <w:name w:val="Strong"/>
    <w:basedOn w:val="13"/>
    <w:qFormat/>
    <w:uiPriority w:val="0"/>
    <w:rPr>
      <w:b/>
    </w:rPr>
  </w:style>
  <w:style w:type="character" w:customStyle="1" w:styleId="15">
    <w:name w:val="正文文本 Char"/>
    <w:basedOn w:val="13"/>
    <w:link w:val="6"/>
    <w:qFormat/>
    <w:uiPriority w:val="0"/>
    <w:rPr>
      <w:rFonts w:ascii="Times New Roman" w:hAnsi="Times New Roman" w:eastAsia="宋体"/>
      <w:szCs w:val="24"/>
    </w:rPr>
  </w:style>
  <w:style w:type="character" w:customStyle="1" w:styleId="16">
    <w:name w:val="标题 2 Char"/>
    <w:basedOn w:val="13"/>
    <w:link w:val="4"/>
    <w:semiHidden/>
    <w:qFormat/>
    <w:uiPriority w:val="0"/>
    <w:rPr>
      <w:rFonts w:asciiTheme="majorHAnsi" w:hAnsiTheme="majorHAnsi" w:eastAsiaTheme="majorEastAsia" w:cstheme="majorBidi"/>
      <w:b/>
      <w:bCs/>
      <w:kern w:val="2"/>
      <w:sz w:val="32"/>
      <w:szCs w:val="32"/>
    </w:rPr>
  </w:style>
  <w:style w:type="character" w:customStyle="1" w:styleId="17">
    <w:name w:val="标题 3 Char"/>
    <w:basedOn w:val="13"/>
    <w:link w:val="2"/>
    <w:semiHidden/>
    <w:qFormat/>
    <w:uiPriority w:val="0"/>
    <w:rPr>
      <w:b/>
      <w:bCs/>
      <w:kern w:val="2"/>
      <w:sz w:val="32"/>
      <w:szCs w:val="32"/>
    </w:rPr>
  </w:style>
  <w:style w:type="character" w:customStyle="1" w:styleId="18">
    <w:name w:val="批注文字 Char"/>
    <w:basedOn w:val="13"/>
    <w:link w:val="5"/>
    <w:qFormat/>
    <w:uiPriority w:val="0"/>
    <w:rPr>
      <w:rFonts w:ascii="Times New Roman" w:hAnsi="Times New Roman" w:eastAsia="宋体" w:cs="Times New Roman"/>
      <w:szCs w:val="24"/>
    </w:rPr>
  </w:style>
  <w:style w:type="paragraph" w:customStyle="1" w:styleId="19">
    <w:name w:val="专用标题2"/>
    <w:basedOn w:val="4"/>
    <w:next w:val="1"/>
    <w:qFormat/>
    <w:uiPriority w:val="0"/>
    <w:pPr>
      <w:keepNext w:val="0"/>
      <w:keepLines w:val="0"/>
      <w:tabs>
        <w:tab w:val="left" w:pos="993"/>
      </w:tabs>
      <w:spacing w:line="360" w:lineRule="auto"/>
    </w:pPr>
    <w:rPr>
      <w:rFonts w:ascii="宋体" w:hAnsi="宋体" w:eastAsia="宋体" w:cs="Times"/>
    </w:rPr>
  </w:style>
  <w:style w:type="paragraph" w:customStyle="1" w:styleId="20">
    <w:name w:val="列表段落1"/>
    <w:basedOn w:val="1"/>
    <w:qFormat/>
    <w:uiPriority w:val="0"/>
    <w:pPr>
      <w:ind w:left="151"/>
    </w:pPr>
  </w:style>
  <w:style w:type="character" w:customStyle="1" w:styleId="21">
    <w:name w:val="标题 1 Char"/>
    <w:link w:val="3"/>
    <w:qFormat/>
    <w:uiPriority w:val="0"/>
    <w:rPr>
      <w:b/>
      <w:bCs/>
      <w:kern w:val="44"/>
      <w:sz w:val="44"/>
      <w:szCs w:val="44"/>
    </w:rPr>
  </w:style>
  <w:style w:type="paragraph" w:customStyle="1" w:styleId="22">
    <w:name w:val="TOC Heading"/>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3">
    <w:name w:val="页脚 Char"/>
    <w:basedOn w:val="13"/>
    <w:link w:val="8"/>
    <w:qFormat/>
    <w:uiPriority w:val="99"/>
    <w:rPr>
      <w:kern w:val="2"/>
      <w:sz w:val="18"/>
    </w:rPr>
  </w:style>
  <w:style w:type="character" w:customStyle="1" w:styleId="24">
    <w:name w:val="正文首行缩进 Char"/>
    <w:basedOn w:val="15"/>
    <w:link w:val="11"/>
    <w:qFormat/>
    <w:uiPriority w:val="0"/>
    <w:rPr>
      <w:color w:val="993300"/>
      <w:sz w:val="24"/>
    </w:rPr>
  </w:style>
  <w:style w:type="character" w:customStyle="1" w:styleId="25">
    <w:name w:val="List Paragraph Char1"/>
    <w:link w:val="26"/>
    <w:qFormat/>
    <w:locked/>
    <w:uiPriority w:val="0"/>
    <w:rPr>
      <w:sz w:val="24"/>
    </w:rPr>
  </w:style>
  <w:style w:type="paragraph" w:customStyle="1" w:styleId="26">
    <w:name w:val="List Paragraph"/>
    <w:basedOn w:val="1"/>
    <w:link w:val="25"/>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851</Words>
  <Characters>4853</Characters>
  <Lines>40</Lines>
  <Paragraphs>11</Paragraphs>
  <TotalTime>0</TotalTime>
  <ScaleCrop>false</ScaleCrop>
  <LinksUpToDate>false</LinksUpToDate>
  <CharactersWithSpaces>5693</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2023-06-08T07:32:00Z</dcterms:created>
  <dc:creator>Administrator</dc:creator>
  <cp:lastModifiedBy>vous</cp:lastModifiedBy>
  <dcterms:modified xsi:type="dcterms:W3CDTF">2023-08-10T09:01:44Z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875AA9B3967B44EABD1F8B6ADDB04D9A_12</vt:lpwstr>
  </property>
</Properties>
</file>