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default" w:ascii="宋体" w:hAnsi="宋体" w:eastAsia="宋体" w:cs="宋体"/>
          <w:b/>
          <w:sz w:val="30"/>
          <w:lang w:val="en-US" w:eastAsia="zh-CN"/>
        </w:rPr>
      </w:pPr>
      <w:bookmarkStart w:id="0" w:name="OLE_LINK9"/>
      <w:r>
        <w:rPr>
          <w:rFonts w:hint="eastAsia" w:ascii="宋体" w:hAnsi="宋体" w:eastAsia="宋体" w:cs="宋体"/>
          <w:b/>
          <w:sz w:val="30"/>
          <w:lang w:val="en-US" w:eastAsia="zh-CN"/>
        </w:rPr>
        <w:t>政府采购项目</w:t>
      </w:r>
    </w:p>
    <w:p>
      <w:pPr>
        <w:adjustRightInd w:val="0"/>
        <w:snapToGrid w:val="0"/>
        <w:spacing w:line="360" w:lineRule="auto"/>
        <w:jc w:val="left"/>
        <w:rPr>
          <w:rFonts w:hint="default" w:ascii="宋体" w:hAnsi="宋体" w:eastAsia="宋体" w:cs="宋体"/>
          <w:b/>
          <w:sz w:val="30"/>
          <w:lang w:val="en-US"/>
        </w:rPr>
      </w:pPr>
      <w:r>
        <w:rPr>
          <w:rFonts w:hint="eastAsia" w:ascii="宋体" w:hAnsi="宋体" w:eastAsia="宋体" w:cs="宋体"/>
          <w:b/>
          <w:sz w:val="30"/>
        </w:rPr>
        <w:t>项目编号：</w:t>
      </w:r>
      <w:r>
        <w:rPr>
          <w:rFonts w:hint="eastAsia" w:ascii="宋体" w:hAnsi="宋体" w:eastAsia="宋体" w:cs="宋体"/>
          <w:b/>
          <w:sz w:val="30"/>
          <w:lang w:eastAsia="zh-CN"/>
        </w:rPr>
        <w:t>ZMZB2023QAXX-251</w:t>
      </w:r>
    </w:p>
    <w:p>
      <w:pPr>
        <w:tabs>
          <w:tab w:val="left" w:pos="0"/>
        </w:tabs>
        <w:adjustRightInd w:val="0"/>
        <w:snapToGrid w:val="0"/>
        <w:spacing w:line="360" w:lineRule="auto"/>
        <w:jc w:val="left"/>
        <w:rPr>
          <w:rFonts w:hint="eastAsia" w:ascii="宋体" w:hAnsi="宋体" w:eastAsia="宋体" w:cs="宋体"/>
          <w:b/>
          <w:sz w:val="56"/>
          <w:szCs w:val="56"/>
          <w:lang w:val="en-US" w:eastAsia="zh-CN"/>
        </w:rPr>
      </w:pPr>
    </w:p>
    <w:p>
      <w:pPr>
        <w:tabs>
          <w:tab w:val="left" w:pos="0"/>
        </w:tabs>
        <w:adjustRightInd w:val="0"/>
        <w:snapToGrid w:val="0"/>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西安市莲湖区庆安小学</w:t>
      </w:r>
    </w:p>
    <w:p>
      <w:pPr>
        <w:tabs>
          <w:tab w:val="left" w:pos="0"/>
        </w:tabs>
        <w:adjustRightInd w:val="0"/>
        <w:snapToGrid w:val="0"/>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信息化建设（智慧黑板采购）项目</w:t>
      </w:r>
    </w:p>
    <w:p>
      <w:pPr>
        <w:tabs>
          <w:tab w:val="left" w:pos="0"/>
        </w:tabs>
        <w:adjustRightInd w:val="0"/>
        <w:snapToGrid w:val="0"/>
        <w:spacing w:line="360" w:lineRule="auto"/>
        <w:jc w:val="left"/>
        <w:rPr>
          <w:rFonts w:ascii="宋体" w:hAnsi="宋体" w:eastAsia="宋体" w:cs="宋体"/>
          <w:b/>
          <w:sz w:val="72"/>
          <w:szCs w:val="72"/>
        </w:rPr>
      </w:pPr>
      <w:r>
        <w:drawing>
          <wp:anchor distT="0" distB="0" distL="114300" distR="114300" simplePos="0" relativeHeight="251665408" behindDoc="0" locked="0" layoutInCell="1" allowOverlap="1">
            <wp:simplePos x="0" y="0"/>
            <wp:positionH relativeFrom="column">
              <wp:posOffset>2202180</wp:posOffset>
            </wp:positionH>
            <wp:positionV relativeFrom="paragraph">
              <wp:posOffset>528955</wp:posOffset>
            </wp:positionV>
            <wp:extent cx="2095500" cy="1087120"/>
            <wp:effectExtent l="0" t="0" r="0" b="177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2" cstate="print"/>
                    <a:stretch>
                      <a:fillRect/>
                    </a:stretch>
                  </pic:blipFill>
                  <pic:spPr>
                    <a:xfrm>
                      <a:off x="0" y="0"/>
                      <a:ext cx="2095500" cy="1087120"/>
                    </a:xfrm>
                    <a:prstGeom prst="rect">
                      <a:avLst/>
                    </a:prstGeom>
                    <a:noFill/>
                    <a:ln>
                      <a:noFill/>
                    </a:ln>
                  </pic:spPr>
                </pic:pic>
              </a:graphicData>
            </a:graphic>
          </wp:anchor>
        </w:drawing>
      </w:r>
    </w:p>
    <w:p>
      <w:pPr>
        <w:tabs>
          <w:tab w:val="left" w:pos="0"/>
        </w:tabs>
        <w:adjustRightInd w:val="0"/>
        <w:snapToGrid w:val="0"/>
        <w:spacing w:line="360" w:lineRule="auto"/>
        <w:jc w:val="both"/>
        <w:rPr>
          <w:rFonts w:hint="eastAsia" w:ascii="宋体" w:hAnsi="宋体" w:eastAsia="宋体" w:cs="宋体"/>
          <w:b/>
          <w:sz w:val="72"/>
          <w:szCs w:val="72"/>
        </w:rPr>
      </w:pPr>
    </w:p>
    <w:p>
      <w:pPr>
        <w:pStyle w:val="8"/>
        <w:rPr>
          <w:rFonts w:hint="eastAsia"/>
        </w:rPr>
      </w:pPr>
    </w:p>
    <w:p>
      <w:pPr>
        <w:tabs>
          <w:tab w:val="left" w:pos="0"/>
        </w:tabs>
        <w:adjustRightInd w:val="0"/>
        <w:snapToGrid w:val="0"/>
        <w:spacing w:line="360" w:lineRule="auto"/>
        <w:jc w:val="center"/>
        <w:rPr>
          <w:rFonts w:hint="eastAsia" w:ascii="宋体" w:hAnsi="宋体" w:eastAsia="宋体" w:cs="宋体"/>
          <w:b/>
          <w:sz w:val="72"/>
          <w:szCs w:val="72"/>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adjustRightInd w:val="0"/>
        <w:snapToGrid w:val="0"/>
        <w:spacing w:line="360" w:lineRule="auto"/>
        <w:jc w:val="center"/>
        <w:rPr>
          <w:rFonts w:ascii="宋体" w:hAnsi="宋体" w:eastAsia="宋体" w:cs="宋体"/>
          <w:b/>
          <w:sz w:val="30"/>
        </w:rPr>
      </w:pPr>
    </w:p>
    <w:p/>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陕西卓佲项目管理有限公司</w:t>
      </w:r>
    </w:p>
    <w:p>
      <w:pPr>
        <w:adjustRightInd w:val="0"/>
        <w:snapToGrid w:val="0"/>
        <w:spacing w:line="600" w:lineRule="auto"/>
        <w:jc w:val="center"/>
        <w:rPr>
          <w:rFonts w:ascii="宋体" w:hAnsi="宋体" w:eastAsia="宋体" w:cs="宋体"/>
          <w:b/>
          <w:sz w:val="32"/>
          <w:szCs w:val="32"/>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3</w:t>
      </w:r>
      <w:r>
        <w:rPr>
          <w:rFonts w:hint="eastAsia" w:ascii="宋体" w:hAnsi="宋体" w:eastAsia="宋体" w:cs="宋体"/>
          <w:b/>
          <w:sz w:val="32"/>
          <w:szCs w:val="32"/>
        </w:rPr>
        <w:t>年</w:t>
      </w:r>
      <w:r>
        <w:rPr>
          <w:rFonts w:hint="eastAsia" w:ascii="宋体" w:hAnsi="宋体" w:eastAsia="宋体" w:cs="宋体"/>
          <w:b/>
          <w:sz w:val="32"/>
          <w:szCs w:val="32"/>
          <w:lang w:val="en-US" w:eastAsia="zh-CN"/>
        </w:rPr>
        <w:t>8</w:t>
      </w:r>
      <w:r>
        <w:rPr>
          <w:rFonts w:hint="eastAsia" w:ascii="宋体" w:hAnsi="宋体" w:eastAsia="宋体" w:cs="宋体"/>
          <w:b/>
          <w:sz w:val="32"/>
          <w:szCs w:val="32"/>
        </w:rPr>
        <w:t>月</w:t>
      </w:r>
    </w:p>
    <w:p>
      <w:pPr>
        <w:pStyle w:val="16"/>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目录</w:t>
      </w:r>
    </w:p>
    <w:p>
      <w:pPr>
        <w:pStyle w:val="16"/>
        <w:tabs>
          <w:tab w:val="right" w:leader="dot" w:pos="9746"/>
        </w:tabs>
      </w:pPr>
      <w:r>
        <w:rPr>
          <w:rFonts w:hint="eastAsia" w:asciiTheme="minorEastAsia" w:hAnsiTheme="minorEastAsia" w:cstheme="minorEastAsia"/>
          <w:sz w:val="96"/>
          <w:szCs w:val="96"/>
        </w:rPr>
        <w:fldChar w:fldCharType="begin"/>
      </w:r>
      <w:r>
        <w:rPr>
          <w:rFonts w:hint="eastAsia" w:asciiTheme="minorEastAsia" w:hAnsiTheme="minorEastAsia" w:cstheme="minorEastAsia"/>
          <w:sz w:val="96"/>
          <w:szCs w:val="96"/>
        </w:rPr>
        <w:instrText xml:space="preserve">TOC \o "1-2" \h \u </w:instrText>
      </w:r>
      <w:r>
        <w:rPr>
          <w:rFonts w:hint="eastAsia" w:asciiTheme="minorEastAsia" w:hAnsiTheme="minorEastAsia" w:cstheme="minorEastAsia"/>
          <w:sz w:val="96"/>
          <w:szCs w:val="96"/>
        </w:rPr>
        <w:fldChar w:fldCharType="separate"/>
      </w:r>
      <w:r>
        <w:rPr>
          <w:rFonts w:hint="eastAsia" w:asciiTheme="minorEastAsia" w:hAnsiTheme="minorEastAsia" w:cstheme="minorEastAsia"/>
          <w:szCs w:val="96"/>
        </w:rPr>
        <w:fldChar w:fldCharType="begin"/>
      </w:r>
      <w:r>
        <w:rPr>
          <w:rFonts w:hint="eastAsia" w:asciiTheme="minorEastAsia" w:hAnsiTheme="minorEastAsia" w:cstheme="minorEastAsia"/>
          <w:szCs w:val="96"/>
        </w:rPr>
        <w:instrText xml:space="preserve"> HYPERLINK \l _Toc5988 </w:instrText>
      </w:r>
      <w:r>
        <w:rPr>
          <w:rFonts w:hint="eastAsia" w:asciiTheme="minorEastAsia" w:hAnsiTheme="minorEastAsia" w:cstheme="minorEastAsia"/>
          <w:szCs w:val="96"/>
        </w:rPr>
        <w:fldChar w:fldCharType="separate"/>
      </w:r>
      <w:r>
        <w:rPr>
          <w:rFonts w:hint="eastAsia" w:ascii="宋体" w:hAnsi="宋体" w:cs="宋体"/>
          <w:szCs w:val="36"/>
        </w:rPr>
        <w:t>第一部分  竞争性谈判公告</w:t>
      </w:r>
      <w:r>
        <w:tab/>
      </w:r>
      <w:r>
        <w:fldChar w:fldCharType="begin"/>
      </w:r>
      <w:r>
        <w:instrText xml:space="preserve"> PAGEREF _Toc5988 \h </w:instrText>
      </w:r>
      <w:r>
        <w:fldChar w:fldCharType="separate"/>
      </w:r>
      <w:r>
        <w:t>3</w:t>
      </w:r>
      <w:r>
        <w:fldChar w:fldCharType="end"/>
      </w:r>
      <w:r>
        <w:rPr>
          <w:rFonts w:hint="eastAsia" w:asciiTheme="minorEastAsia" w:hAnsi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_Toc11680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  供应商须知前附表</w:t>
      </w:r>
      <w:r>
        <w:tab/>
      </w:r>
      <w:r>
        <w:fldChar w:fldCharType="begin"/>
      </w:r>
      <w:r>
        <w:instrText xml:space="preserve"> PAGEREF _Toc11680 \h </w:instrText>
      </w:r>
      <w:r>
        <w:fldChar w:fldCharType="separate"/>
      </w:r>
      <w:r>
        <w:t>7</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_Toc29223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供应商须知</w:t>
      </w:r>
      <w:r>
        <w:tab/>
      </w:r>
      <w:r>
        <w:fldChar w:fldCharType="begin"/>
      </w:r>
      <w:r>
        <w:instrText xml:space="preserve"> PAGEREF _Toc29223 \h </w:instrText>
      </w:r>
      <w:r>
        <w:fldChar w:fldCharType="separate"/>
      </w:r>
      <w:r>
        <w:t>12</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_Toc7054 </w:instrText>
      </w:r>
      <w:r>
        <w:rPr>
          <w:rFonts w:hint="eastAsia" w:asciiTheme="minorEastAsia" w:hAnsiTheme="minorEastAsia" w:eastAsiaTheme="minorEastAsia" w:cstheme="minorEastAsia"/>
          <w:szCs w:val="96"/>
        </w:rPr>
        <w:fldChar w:fldCharType="separate"/>
      </w:r>
      <w:r>
        <w:rPr>
          <w:rFonts w:hint="eastAsia" w:ascii="宋体" w:hAnsi="宋体" w:cs="宋体"/>
        </w:rPr>
        <w:t>一、 总 则</w:t>
      </w:r>
      <w:r>
        <w:tab/>
      </w:r>
      <w:r>
        <w:fldChar w:fldCharType="begin"/>
      </w:r>
      <w:r>
        <w:instrText xml:space="preserve"> PAGEREF _Toc7054 \h </w:instrText>
      </w:r>
      <w:r>
        <w:fldChar w:fldCharType="separate"/>
      </w:r>
      <w:r>
        <w:t>12</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_Toc21586 </w:instrText>
      </w:r>
      <w:r>
        <w:rPr>
          <w:rFonts w:hint="eastAsia" w:asciiTheme="minorEastAsia" w:hAnsiTheme="minorEastAsia" w:eastAsiaTheme="minorEastAsia" w:cstheme="minorEastAsia"/>
          <w:szCs w:val="96"/>
        </w:rPr>
        <w:fldChar w:fldCharType="separate"/>
      </w:r>
      <w:r>
        <w:rPr>
          <w:rFonts w:hint="eastAsia" w:ascii="宋体" w:hAnsi="宋体" w:cs="宋体"/>
        </w:rPr>
        <w:t>二、 竞争性谈判文件</w:t>
      </w:r>
      <w:r>
        <w:tab/>
      </w:r>
      <w:r>
        <w:fldChar w:fldCharType="begin"/>
      </w:r>
      <w:r>
        <w:instrText xml:space="preserve"> PAGEREF _Toc21586 \h </w:instrText>
      </w:r>
      <w:r>
        <w:fldChar w:fldCharType="separate"/>
      </w:r>
      <w:r>
        <w:t>14</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_Toc32082 </w:instrText>
      </w:r>
      <w:r>
        <w:rPr>
          <w:rFonts w:hint="eastAsia" w:asciiTheme="minorEastAsia" w:hAnsiTheme="minorEastAsia" w:eastAsiaTheme="minorEastAsia" w:cstheme="minorEastAsia"/>
          <w:szCs w:val="96"/>
        </w:rPr>
        <w:fldChar w:fldCharType="separate"/>
      </w:r>
      <w:r>
        <w:rPr>
          <w:rFonts w:hint="eastAsia" w:ascii="宋体" w:hAnsi="宋体" w:cs="宋体"/>
        </w:rPr>
        <w:t>三、 响应文件</w:t>
      </w:r>
      <w:r>
        <w:tab/>
      </w:r>
      <w:r>
        <w:fldChar w:fldCharType="begin"/>
      </w:r>
      <w:r>
        <w:instrText xml:space="preserve"> PAGEREF _Toc32082 \h </w:instrText>
      </w:r>
      <w:r>
        <w:fldChar w:fldCharType="separate"/>
      </w:r>
      <w:r>
        <w:t>17</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_Toc18754 </w:instrText>
      </w:r>
      <w:r>
        <w:rPr>
          <w:rFonts w:hint="eastAsia" w:asciiTheme="minorEastAsia" w:hAnsiTheme="minorEastAsia" w:eastAsiaTheme="minorEastAsia" w:cstheme="minorEastAsia"/>
          <w:szCs w:val="96"/>
        </w:rPr>
        <w:fldChar w:fldCharType="separate"/>
      </w:r>
      <w:r>
        <w:rPr>
          <w:rFonts w:hint="eastAsia" w:ascii="宋体" w:hAnsi="宋体" w:cs="宋体"/>
        </w:rPr>
        <w:t>四、 响应文件的递交</w:t>
      </w:r>
      <w:r>
        <w:tab/>
      </w:r>
      <w:r>
        <w:fldChar w:fldCharType="begin"/>
      </w:r>
      <w:r>
        <w:instrText xml:space="preserve"> PAGEREF _Toc18754 \h </w:instrText>
      </w:r>
      <w:r>
        <w:fldChar w:fldCharType="separate"/>
      </w:r>
      <w:r>
        <w:t>18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_Toc22766 </w:instrText>
      </w:r>
      <w:r>
        <w:rPr>
          <w:rFonts w:hint="eastAsia" w:asciiTheme="minorEastAsia" w:hAnsiTheme="minorEastAsia" w:eastAsiaTheme="minorEastAsia" w:cstheme="minorEastAsia"/>
          <w:szCs w:val="96"/>
        </w:rPr>
        <w:fldChar w:fldCharType="separate"/>
      </w:r>
      <w:r>
        <w:rPr>
          <w:rFonts w:hint="eastAsia" w:ascii="宋体" w:hAnsi="宋体" w:cs="宋体"/>
        </w:rPr>
        <w:t>五、 谈判、评审、定标</w:t>
      </w:r>
      <w:r>
        <w:tab/>
      </w:r>
      <w:r>
        <w:fldChar w:fldCharType="begin"/>
      </w:r>
      <w:r>
        <w:instrText xml:space="preserve"> PAGEREF _Toc22766 \h </w:instrText>
      </w:r>
      <w:r>
        <w:fldChar w:fldCharType="separate"/>
      </w:r>
      <w:r>
        <w:t>18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_Toc2454 </w:instrText>
      </w:r>
      <w:r>
        <w:rPr>
          <w:rFonts w:hint="eastAsia" w:asciiTheme="minorEastAsia" w:hAnsiTheme="minorEastAsia" w:eastAsiaTheme="minorEastAsia" w:cstheme="minorEastAsia"/>
          <w:szCs w:val="96"/>
        </w:rPr>
        <w:fldChar w:fldCharType="separate"/>
      </w:r>
      <w:r>
        <w:rPr>
          <w:rFonts w:hint="eastAsia" w:ascii="宋体" w:hAnsi="宋体" w:cs="宋体"/>
        </w:rPr>
        <w:t>六、 签订合同</w:t>
      </w:r>
      <w:r>
        <w:tab/>
      </w:r>
      <w:r>
        <w:fldChar w:fldCharType="begin"/>
      </w:r>
      <w:r>
        <w:instrText xml:space="preserve"> PAGEREF _Toc2454 \h </w:instrText>
      </w:r>
      <w:r>
        <w:fldChar w:fldCharType="separate"/>
      </w:r>
      <w:r>
        <w:t>21</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_Toc13575 </w:instrText>
      </w:r>
      <w:r>
        <w:rPr>
          <w:rFonts w:hint="eastAsia" w:asciiTheme="minorEastAsia" w:hAnsiTheme="minorEastAsia" w:eastAsiaTheme="minorEastAsia" w:cstheme="minorEastAsia"/>
          <w:szCs w:val="96"/>
        </w:rPr>
        <w:fldChar w:fldCharType="separate"/>
      </w:r>
      <w:r>
        <w:rPr>
          <w:rFonts w:hint="eastAsia" w:ascii="宋体" w:hAnsi="宋体" w:cs="宋体"/>
        </w:rPr>
        <w:t>七、 质疑和投诉</w:t>
      </w:r>
      <w:r>
        <w:tab/>
      </w:r>
      <w:r>
        <w:fldChar w:fldCharType="begin"/>
      </w:r>
      <w:r>
        <w:instrText xml:space="preserve"> PAGEREF _Toc13575 \h </w:instrText>
      </w:r>
      <w:r>
        <w:fldChar w:fldCharType="separate"/>
      </w:r>
      <w:r>
        <w:t>22</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_Toc9508 </w:instrText>
      </w:r>
      <w:r>
        <w:rPr>
          <w:rFonts w:hint="eastAsia" w:asciiTheme="minorEastAsia" w:hAnsiTheme="minorEastAsia" w:eastAsiaTheme="minorEastAsia" w:cstheme="minorEastAsia"/>
          <w:szCs w:val="96"/>
        </w:rPr>
        <w:fldChar w:fldCharType="separate"/>
      </w:r>
      <w:r>
        <w:rPr>
          <w:rFonts w:hint="eastAsia" w:ascii="宋体" w:hAnsi="宋体" w:eastAsia="宋体" w:cs="宋体"/>
          <w:bCs w:val="0"/>
          <w:kern w:val="2"/>
          <w:szCs w:val="22"/>
          <w:highlight w:val="none"/>
          <w:lang w:val="en-US" w:eastAsia="zh-CN" w:bidi="ar-SA"/>
        </w:rPr>
        <w:t>八、其他</w:t>
      </w:r>
      <w:r>
        <w:tab/>
      </w:r>
      <w:r>
        <w:fldChar w:fldCharType="begin"/>
      </w:r>
      <w:r>
        <w:instrText xml:space="preserve"> PAGEREF _Toc9508 \h </w:instrText>
      </w:r>
      <w:r>
        <w:fldChar w:fldCharType="separate"/>
      </w:r>
      <w:r>
        <w:t>24</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_Toc15729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评审标准</w:t>
      </w:r>
      <w:r>
        <w:tab/>
      </w:r>
      <w:r>
        <w:fldChar w:fldCharType="begin"/>
      </w:r>
      <w:r>
        <w:instrText xml:space="preserve"> PAGEREF _Toc15729 \h </w:instrText>
      </w:r>
      <w:r>
        <w:fldChar w:fldCharType="separate"/>
      </w:r>
      <w:r>
        <w:t>25</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_Toc15058 </w:instrText>
      </w:r>
      <w:r>
        <w:rPr>
          <w:rFonts w:hint="eastAsia" w:asciiTheme="minorEastAsia" w:hAnsiTheme="minorEastAsia" w:eastAsiaTheme="minorEastAsia" w:cstheme="minorEastAsia"/>
          <w:szCs w:val="96"/>
        </w:rPr>
        <w:fldChar w:fldCharType="separate"/>
      </w:r>
      <w:r>
        <w:rPr>
          <w:rFonts w:hint="eastAsia" w:ascii="宋体" w:hAnsi="宋体" w:cs="宋体"/>
        </w:rPr>
        <w:t>第五部分 采购要求</w:t>
      </w:r>
      <w:r>
        <w:tab/>
      </w:r>
      <w:r>
        <w:fldChar w:fldCharType="begin"/>
      </w:r>
      <w:r>
        <w:instrText xml:space="preserve"> PAGEREF _Toc15058 \h </w:instrText>
      </w:r>
      <w:r>
        <w:fldChar w:fldCharType="separate"/>
      </w:r>
      <w:r>
        <w:t>26</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_Toc12100 </w:instrText>
      </w:r>
      <w:r>
        <w:rPr>
          <w:rFonts w:hint="eastAsia" w:asciiTheme="minorEastAsia" w:hAnsiTheme="minorEastAsia" w:eastAsiaTheme="minorEastAsia" w:cstheme="minorEastAsia"/>
          <w:szCs w:val="96"/>
        </w:rPr>
        <w:fldChar w:fldCharType="separate"/>
      </w:r>
      <w:r>
        <w:rPr>
          <w:rFonts w:hint="eastAsia" w:ascii="宋体" w:hAnsi="宋体" w:cs="宋体"/>
          <w:szCs w:val="36"/>
          <w:lang w:eastAsia="zh-CN"/>
        </w:rPr>
        <w:t>第六部分</w:t>
      </w:r>
      <w:r>
        <w:rPr>
          <w:rFonts w:hint="eastAsia" w:ascii="宋体" w:hAnsi="宋体" w:cs="宋体"/>
          <w:szCs w:val="36"/>
          <w:lang w:val="en-US" w:eastAsia="zh-CN"/>
        </w:rPr>
        <w:t xml:space="preserve"> </w:t>
      </w:r>
      <w:r>
        <w:rPr>
          <w:rFonts w:hint="eastAsia" w:ascii="宋体" w:hAnsi="宋体" w:cs="宋体"/>
          <w:szCs w:val="36"/>
        </w:rPr>
        <w:t>合同条款</w:t>
      </w:r>
      <w:r>
        <w:tab/>
      </w:r>
      <w:r>
        <w:fldChar w:fldCharType="begin"/>
      </w:r>
      <w:r>
        <w:instrText xml:space="preserve"> PAGEREF _Toc12100 \h </w:instrText>
      </w:r>
      <w:r>
        <w:fldChar w:fldCharType="separate"/>
      </w:r>
      <w:r>
        <w:t>47</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_Toc3552 </w:instrText>
      </w:r>
      <w:r>
        <w:rPr>
          <w:rFonts w:hint="eastAsia" w:asciiTheme="minorEastAsia" w:hAnsiTheme="minorEastAsia" w:eastAsiaTheme="minorEastAsia" w:cstheme="minorEastAsia"/>
          <w:szCs w:val="96"/>
        </w:rPr>
        <w:fldChar w:fldCharType="separate"/>
      </w:r>
      <w:r>
        <w:rPr>
          <w:rFonts w:hint="eastAsia" w:ascii="宋体" w:hAnsi="宋体" w:cs="宋体"/>
        </w:rPr>
        <w:t>第七部分  响应文件格式</w:t>
      </w:r>
      <w:r>
        <w:tab/>
      </w:r>
      <w:r>
        <w:fldChar w:fldCharType="begin"/>
      </w:r>
      <w:r>
        <w:instrText xml:space="preserve"> PAGEREF _Toc3552 \h </w:instrText>
      </w:r>
      <w:r>
        <w:fldChar w:fldCharType="separate"/>
      </w:r>
      <w:r>
        <w:t>51</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_Toc31014 </w:instrText>
      </w:r>
      <w:r>
        <w:rPr>
          <w:rFonts w:hint="eastAsia" w:asciiTheme="minorEastAsia" w:hAnsiTheme="minorEastAsia" w:eastAsiaTheme="minorEastAsia" w:cstheme="minorEastAsia"/>
          <w:szCs w:val="96"/>
        </w:rPr>
        <w:fldChar w:fldCharType="separate"/>
      </w:r>
      <w:r>
        <w:rPr>
          <w:rFonts w:hint="eastAsia" w:ascii="宋体" w:hAnsi="宋体" w:cs="宋体"/>
        </w:rPr>
        <w:t>第一部分响应函</w:t>
      </w:r>
      <w:r>
        <w:tab/>
      </w:r>
      <w:r>
        <w:fldChar w:fldCharType="begin"/>
      </w:r>
      <w:r>
        <w:instrText xml:space="preserve"> PAGEREF _Toc31014 \h </w:instrText>
      </w:r>
      <w:r>
        <w:fldChar w:fldCharType="separate"/>
      </w:r>
      <w:r>
        <w:t>53</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_Toc12598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第二部分响应一览表</w:t>
      </w:r>
      <w:r>
        <w:tab/>
      </w:r>
      <w:r>
        <w:fldChar w:fldCharType="begin"/>
      </w:r>
      <w:r>
        <w:instrText xml:space="preserve"> PAGEREF _Toc12598 \h </w:instrText>
      </w:r>
      <w:r>
        <w:fldChar w:fldCharType="separate"/>
      </w:r>
      <w:r>
        <w:t>54</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_Toc11728 </w:instrText>
      </w:r>
      <w:r>
        <w:rPr>
          <w:rFonts w:hint="eastAsia" w:asciiTheme="minorEastAsia" w:hAnsiTheme="minorEastAsia" w:eastAsiaTheme="minorEastAsia" w:cstheme="minorEastAsia"/>
          <w:szCs w:val="96"/>
        </w:rPr>
        <w:fldChar w:fldCharType="separate"/>
      </w:r>
      <w:r>
        <w:rPr>
          <w:rFonts w:hint="eastAsia"/>
          <w:szCs w:val="36"/>
        </w:rPr>
        <w:t>分项报价表</w:t>
      </w:r>
      <w:r>
        <w:tab/>
      </w:r>
      <w:r>
        <w:fldChar w:fldCharType="begin"/>
      </w:r>
      <w:r>
        <w:instrText xml:space="preserve"> PAGEREF _Toc11728 \h </w:instrText>
      </w:r>
      <w:r>
        <w:fldChar w:fldCharType="separate"/>
      </w:r>
      <w:r>
        <w:t>55</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_Toc21073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商务及技术响应说明</w:t>
      </w:r>
      <w:r>
        <w:tab/>
      </w:r>
      <w:r>
        <w:fldChar w:fldCharType="begin"/>
      </w:r>
      <w:r>
        <w:instrText xml:space="preserve"> PAGEREF _Toc21073 \h </w:instrText>
      </w:r>
      <w:r>
        <w:fldChar w:fldCharType="separate"/>
      </w:r>
      <w:r>
        <w:t>56</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_Toc15308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供应商资格要求</w:t>
      </w:r>
      <w:r>
        <w:tab/>
      </w:r>
      <w:r>
        <w:fldChar w:fldCharType="begin"/>
      </w:r>
      <w:r>
        <w:instrText xml:space="preserve"> PAGEREF _Toc15308 \h </w:instrText>
      </w:r>
      <w:r>
        <w:fldChar w:fldCharType="separate"/>
      </w:r>
      <w:r>
        <w:t>58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_Toc18580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第五部分 技术与服务方案</w:t>
      </w:r>
      <w:r>
        <w:tab/>
      </w:r>
      <w:r>
        <w:fldChar w:fldCharType="begin"/>
      </w:r>
      <w:r>
        <w:instrText xml:space="preserve"> PAGEREF _Toc18580 \h </w:instrText>
      </w:r>
      <w:r>
        <w:fldChar w:fldCharType="separate"/>
      </w:r>
      <w:r>
        <w:t>68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_Toc7176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第六部分 服务承诺</w:t>
      </w:r>
      <w:r>
        <w:tab/>
      </w:r>
      <w:r>
        <w:fldChar w:fldCharType="begin"/>
      </w:r>
      <w:r>
        <w:instrText xml:space="preserve"> PAGEREF _Toc7176 \h </w:instrText>
      </w:r>
      <w:r>
        <w:fldChar w:fldCharType="separate"/>
      </w:r>
      <w:r>
        <w:t>69</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_Toc29685 </w:instrText>
      </w:r>
      <w:r>
        <w:rPr>
          <w:rFonts w:hint="eastAsia" w:asciiTheme="minorEastAsia" w:hAnsiTheme="minorEastAsia" w:eastAsiaTheme="minorEastAsia" w:cstheme="minorEastAsia"/>
          <w:szCs w:val="96"/>
        </w:rPr>
        <w:fldChar w:fldCharType="separate"/>
      </w:r>
      <w:r>
        <w:rPr>
          <w:rFonts w:hint="eastAsia" w:ascii="宋体" w:hAnsi="宋体" w:eastAsia="宋体" w:cs="宋体"/>
        </w:rPr>
        <w:t>第七部分 供应商认为有必要说明的其他问题</w:t>
      </w:r>
      <w:r>
        <w:tab/>
      </w:r>
      <w:r>
        <w:fldChar w:fldCharType="begin"/>
      </w:r>
      <w:r>
        <w:instrText xml:space="preserve"> PAGEREF _Toc29685 \h </w:instrText>
      </w:r>
      <w:r>
        <w:fldChar w:fldCharType="separate"/>
      </w:r>
      <w:r>
        <w:t>70</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_Toc30268 </w:instrText>
      </w:r>
      <w:r>
        <w:rPr>
          <w:rFonts w:hint="eastAsia" w:asciiTheme="minorEastAsia" w:hAnsiTheme="minorEastAsia" w:eastAsiaTheme="minorEastAsia" w:cstheme="minorEastAsia"/>
          <w:szCs w:val="96"/>
        </w:rPr>
        <w:fldChar w:fldCharType="separate"/>
      </w:r>
      <w:r>
        <w:rPr>
          <w:rFonts w:hint="eastAsia" w:ascii="宋体" w:hAnsi="宋体" w:cs="宋体"/>
        </w:rPr>
        <w:t>附件一、封袋正面标识式样</w:t>
      </w:r>
      <w:r>
        <w:tab/>
      </w:r>
      <w:r>
        <w:fldChar w:fldCharType="begin"/>
      </w:r>
      <w:r>
        <w:instrText xml:space="preserve"> PAGEREF _Toc30268 \h </w:instrText>
      </w:r>
      <w:r>
        <w:fldChar w:fldCharType="separate"/>
      </w:r>
      <w:r>
        <w:t>71</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_Toc3697 </w:instrText>
      </w:r>
      <w:r>
        <w:rPr>
          <w:rFonts w:hint="eastAsia" w:asciiTheme="minorEastAsia" w:hAnsiTheme="minorEastAsia" w:eastAsiaTheme="minorEastAsia" w:cstheme="minorEastAsia"/>
          <w:szCs w:val="96"/>
        </w:rPr>
        <w:fldChar w:fldCharType="separate"/>
      </w:r>
      <w:r>
        <w:rPr>
          <w:rFonts w:hint="eastAsia" w:ascii="宋体" w:hAnsi="宋体" w:cs="宋体"/>
        </w:rPr>
        <w:t>附件二、中小企业</w:t>
      </w:r>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r>
        <w:tab/>
      </w:r>
      <w:r>
        <w:fldChar w:fldCharType="begin"/>
      </w:r>
      <w:r>
        <w:instrText xml:space="preserve"> PAGEREF _Toc3697 \h </w:instrText>
      </w:r>
      <w:r>
        <w:fldChar w:fldCharType="separate"/>
      </w:r>
      <w:r>
        <w:t>73</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_Toc28971 </w:instrText>
      </w:r>
      <w:r>
        <w:rPr>
          <w:rFonts w:hint="eastAsia" w:asciiTheme="minorEastAsia" w:hAnsiTheme="minorEastAsia" w:eastAsiaTheme="minorEastAsia" w:cstheme="minorEastAsia"/>
          <w:szCs w:val="96"/>
        </w:rPr>
        <w:fldChar w:fldCharType="separate"/>
      </w:r>
      <w:r>
        <w:rPr>
          <w:rFonts w:hint="eastAsia" w:ascii="宋体" w:hAnsi="宋体" w:cs="宋体"/>
        </w:rPr>
        <w:t>附件三、残疾人福利性单位声明</w:t>
      </w:r>
      <w:r>
        <w:tab/>
      </w:r>
      <w:r>
        <w:fldChar w:fldCharType="begin"/>
      </w:r>
      <w:r>
        <w:instrText xml:space="preserve"> PAGEREF _Toc28971 \h </w:instrText>
      </w:r>
      <w:r>
        <w:fldChar w:fldCharType="separate"/>
      </w:r>
      <w:r>
        <w:t>78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_Toc28063 </w:instrText>
      </w:r>
      <w:r>
        <w:rPr>
          <w:rFonts w:hint="eastAsia" w:asciiTheme="minorEastAsia" w:hAnsiTheme="minorEastAsia" w:eastAsiaTheme="minorEastAsia" w:cstheme="minorEastAsia"/>
          <w:szCs w:val="96"/>
        </w:rPr>
        <w:fldChar w:fldCharType="separate"/>
      </w:r>
      <w:r>
        <w:rPr>
          <w:rFonts w:hint="eastAsia" w:ascii="宋体" w:hAnsi="宋体" w:cs="宋体"/>
        </w:rPr>
        <w:t>附件四、监狱企业证明文件</w:t>
      </w:r>
      <w:r>
        <w:tab/>
      </w:r>
      <w:r>
        <w:fldChar w:fldCharType="begin"/>
      </w:r>
      <w:r>
        <w:instrText xml:space="preserve"> PAGEREF _Toc28063 \h </w:instrText>
      </w:r>
      <w:r>
        <w:fldChar w:fldCharType="separate"/>
      </w:r>
      <w:r>
        <w:t>78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_Toc22091 </w:instrText>
      </w:r>
      <w:r>
        <w:rPr>
          <w:rFonts w:hint="eastAsia" w:asciiTheme="minorEastAsia" w:hAnsiTheme="minorEastAsia" w:eastAsiaTheme="minorEastAsia" w:cstheme="minorEastAsia"/>
          <w:szCs w:val="96"/>
        </w:rPr>
        <w:fldChar w:fldCharType="separate"/>
      </w:r>
      <w:r>
        <w:rPr>
          <w:rFonts w:hint="eastAsia" w:ascii="宋体" w:hAnsi="宋体" w:cs="宋体"/>
        </w:rPr>
        <w:t>附件五、“节能产品”，“环境标志产品”证明材料</w:t>
      </w:r>
      <w:r>
        <w:tab/>
      </w:r>
      <w:r>
        <w:fldChar w:fldCharType="begin"/>
      </w:r>
      <w:r>
        <w:instrText xml:space="preserve"> PAGEREF _Toc22091 \h </w:instrText>
      </w:r>
      <w:r>
        <w:fldChar w:fldCharType="separate"/>
      </w:r>
      <w:r>
        <w:t>78</w:t>
      </w:r>
      <w:r>
        <w:fldChar w:fldCharType="end"/>
      </w:r>
      <w:r>
        <w:rPr>
          <w:rFonts w:hint="eastAsia" w:asciiTheme="minorEastAsia" w:hAnsiTheme="minorEastAsia" w:eastAsiaTheme="minorEastAsia" w:cstheme="minorEastAsia"/>
          <w:szCs w:val="96"/>
        </w:rPr>
        <w:fldChar w:fldCharType="end"/>
      </w:r>
    </w:p>
    <w:p>
      <w:pPr>
        <w:pStyle w:val="18"/>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_Toc24156 </w:instrText>
      </w:r>
      <w:r>
        <w:rPr>
          <w:rFonts w:hint="eastAsia" w:asciiTheme="minorEastAsia" w:hAnsiTheme="minorEastAsia" w:eastAsiaTheme="minorEastAsia" w:cstheme="minorEastAsia"/>
          <w:szCs w:val="96"/>
        </w:rPr>
        <w:fldChar w:fldCharType="separate"/>
      </w:r>
      <w:r>
        <w:rPr>
          <w:rFonts w:hint="eastAsia" w:ascii="宋体" w:hAnsi="宋体" w:cs="宋体"/>
        </w:rPr>
        <w:t>附件六、质疑函范本</w:t>
      </w:r>
      <w:r>
        <w:tab/>
      </w:r>
      <w:r>
        <w:fldChar w:fldCharType="begin"/>
      </w:r>
      <w:r>
        <w:instrText xml:space="preserve"> PAGEREF _Toc24156 \h </w:instrText>
      </w:r>
      <w:r>
        <w:fldChar w:fldCharType="separate"/>
      </w:r>
      <w:r>
        <w:t>79</w:t>
      </w:r>
      <w:r>
        <w:fldChar w:fldCharType="end"/>
      </w:r>
      <w:r>
        <w:rPr>
          <w:rFonts w:hint="eastAsia" w:asciiTheme="minorEastAsia" w:hAnsiTheme="minorEastAsia" w:eastAsiaTheme="minorEastAsia" w:cstheme="minorEastAsia"/>
          <w:szCs w:val="96"/>
        </w:rPr>
        <w:fldChar w:fldCharType="end"/>
      </w:r>
    </w:p>
    <w:p>
      <w:pPr>
        <w:pStyle w:val="3"/>
        <w:spacing w:line="312" w:lineRule="auto"/>
        <w:ind w:firstLine="643" w:firstLineChars="200"/>
        <w:rPr>
          <w:rFonts w:asciiTheme="minorEastAsia" w:hAnsiTheme="minorEastAsia" w:eastAsiaTheme="minorEastAsia" w:cstheme="minorEastAsia"/>
          <w:sz w:val="24"/>
          <w:szCs w:val="24"/>
        </w:rPr>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pPr>
      <w:r>
        <w:rPr>
          <w:rFonts w:hint="eastAsia" w:asciiTheme="minorEastAsia" w:hAnsiTheme="minorEastAsia" w:eastAsiaTheme="minorEastAsia" w:cstheme="minorEastAsia"/>
          <w:szCs w:val="96"/>
        </w:rPr>
        <w:fldChar w:fldCharType="end"/>
      </w:r>
    </w:p>
    <w:p>
      <w:pPr>
        <w:pStyle w:val="3"/>
        <w:rPr>
          <w:rFonts w:ascii="宋体" w:cs="宋体"/>
        </w:rPr>
      </w:pPr>
      <w:bookmarkStart w:id="1" w:name="_Toc5988"/>
      <w:bookmarkStart w:id="2" w:name="_Toc30089"/>
      <w:bookmarkStart w:id="3" w:name="_Toc438048787"/>
      <w:r>
        <w:rPr>
          <w:rFonts w:hint="eastAsia" w:ascii="宋体" w:hAnsi="宋体" w:cs="宋体"/>
          <w:sz w:val="36"/>
          <w:szCs w:val="36"/>
        </w:rPr>
        <w:t>第一部分  竞争性谈判公告</w:t>
      </w:r>
      <w:bookmarkEnd w:id="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项目概况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lang w:val="en-US" w:eastAsia="zh-CN"/>
        </w:rPr>
        <w:t>庆安小学信息化建设（智慧黑板采购）项目</w:t>
      </w:r>
      <w:r>
        <w:rPr>
          <w:rFonts w:hint="eastAsia"/>
          <w:color w:val="auto"/>
          <w:sz w:val="24"/>
          <w:szCs w:val="28"/>
        </w:rPr>
        <w:t>的潜在供应商应在西安市雁塔区科技路10号华奥大厦A座20层2002室获取采购文件，并于202</w:t>
      </w:r>
      <w:r>
        <w:rPr>
          <w:rFonts w:hint="eastAsia"/>
          <w:color w:val="auto"/>
          <w:sz w:val="24"/>
          <w:szCs w:val="28"/>
          <w:lang w:val="en-US" w:eastAsia="zh-CN"/>
        </w:rPr>
        <w:t>3</w:t>
      </w:r>
      <w:r>
        <w:rPr>
          <w:rFonts w:hint="eastAsia"/>
          <w:color w:val="auto"/>
          <w:sz w:val="24"/>
          <w:szCs w:val="28"/>
        </w:rPr>
        <w:t>年</w:t>
      </w:r>
      <w:r>
        <w:rPr>
          <w:rFonts w:hint="eastAsia"/>
          <w:color w:val="auto"/>
          <w:sz w:val="24"/>
          <w:szCs w:val="28"/>
          <w:lang w:val="en-US" w:eastAsia="zh-CN"/>
        </w:rPr>
        <w:t>08</w:t>
      </w:r>
      <w:r>
        <w:rPr>
          <w:rFonts w:hint="eastAsia"/>
          <w:color w:val="auto"/>
          <w:sz w:val="24"/>
          <w:szCs w:val="28"/>
        </w:rPr>
        <w:t>月</w:t>
      </w:r>
      <w:r>
        <w:rPr>
          <w:rFonts w:hint="eastAsia"/>
          <w:color w:val="auto"/>
          <w:sz w:val="24"/>
          <w:szCs w:val="28"/>
          <w:lang w:val="en-US" w:eastAsia="zh-CN"/>
        </w:rPr>
        <w:t>28</w:t>
      </w:r>
      <w:r>
        <w:rPr>
          <w:rFonts w:hint="eastAsia"/>
          <w:color w:val="auto"/>
          <w:sz w:val="24"/>
          <w:szCs w:val="28"/>
        </w:rPr>
        <w:t>日</w:t>
      </w:r>
      <w:r>
        <w:rPr>
          <w:rFonts w:hint="eastAsia"/>
          <w:color w:val="auto"/>
          <w:sz w:val="24"/>
          <w:szCs w:val="28"/>
          <w:lang w:val="en-US" w:eastAsia="zh-CN"/>
        </w:rPr>
        <w:t xml:space="preserve">14 </w:t>
      </w:r>
      <w:r>
        <w:rPr>
          <w:rFonts w:hint="eastAsia"/>
          <w:color w:val="auto"/>
          <w:sz w:val="24"/>
          <w:szCs w:val="28"/>
        </w:rPr>
        <w:t>时</w:t>
      </w:r>
      <w:r>
        <w:rPr>
          <w:rFonts w:hint="eastAsia"/>
          <w:color w:val="auto"/>
          <w:sz w:val="24"/>
          <w:szCs w:val="28"/>
          <w:lang w:val="en-US" w:eastAsia="zh-CN"/>
        </w:rPr>
        <w:t>30</w:t>
      </w:r>
      <w:r>
        <w:rPr>
          <w:rFonts w:hint="eastAsia"/>
          <w:color w:val="auto"/>
          <w:sz w:val="24"/>
          <w:szCs w:val="28"/>
        </w:rPr>
        <w:t>分 （北京时间）前提交响应文件。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一、项目基本情况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lang w:eastAsia="zh-CN"/>
        </w:rPr>
      </w:pPr>
      <w:r>
        <w:rPr>
          <w:rFonts w:hint="eastAsia"/>
          <w:color w:val="auto"/>
          <w:sz w:val="24"/>
          <w:szCs w:val="28"/>
        </w:rPr>
        <w:t>项目编号：</w:t>
      </w:r>
      <w:r>
        <w:rPr>
          <w:rFonts w:hint="eastAsia"/>
          <w:color w:val="auto"/>
          <w:sz w:val="24"/>
          <w:szCs w:val="28"/>
          <w:lang w:eastAsia="zh-CN"/>
        </w:rPr>
        <w:t>ZMZB2023QAXX-251</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lang w:eastAsia="zh-CN"/>
        </w:rPr>
      </w:pPr>
      <w:r>
        <w:rPr>
          <w:rFonts w:hint="eastAsia"/>
          <w:color w:val="auto"/>
          <w:sz w:val="24"/>
          <w:szCs w:val="28"/>
        </w:rPr>
        <w:t>项目名称：</w:t>
      </w:r>
      <w:r>
        <w:rPr>
          <w:rFonts w:hint="eastAsia"/>
          <w:color w:val="auto"/>
          <w:sz w:val="24"/>
          <w:szCs w:val="28"/>
          <w:lang w:val="en-US" w:eastAsia="zh-CN"/>
        </w:rPr>
        <w:t>庆安小学信息化建设（智慧黑板采购）项目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采购方式：竞争性谈判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lang w:eastAsia="zh-CN"/>
        </w:rPr>
      </w:pPr>
      <w:r>
        <w:rPr>
          <w:rFonts w:hint="eastAsia"/>
          <w:color w:val="auto"/>
          <w:sz w:val="24"/>
          <w:szCs w:val="28"/>
        </w:rPr>
        <w:t>预算金额：</w:t>
      </w:r>
      <w:r>
        <w:rPr>
          <w:rFonts w:hint="eastAsia"/>
          <w:color w:val="auto"/>
          <w:sz w:val="24"/>
          <w:szCs w:val="28"/>
          <w:lang w:val="en-US" w:eastAsia="zh-CN"/>
        </w:rPr>
        <w:t>50</w:t>
      </w:r>
      <w:r>
        <w:rPr>
          <w:rFonts w:hint="eastAsia"/>
          <w:color w:val="auto"/>
          <w:sz w:val="24"/>
          <w:szCs w:val="28"/>
          <w:lang w:eastAsia="zh-CN"/>
        </w:rPr>
        <w:t>0000.00元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合同包1(</w:t>
      </w:r>
      <w:r>
        <w:rPr>
          <w:rFonts w:hint="eastAsia"/>
          <w:color w:val="auto"/>
          <w:sz w:val="24"/>
          <w:szCs w:val="28"/>
          <w:lang w:val="en-US" w:eastAsia="zh-CN"/>
        </w:rPr>
        <w:t>庆安小学信息化建设（智慧黑板采购）项目</w:t>
      </w:r>
      <w:r>
        <w:rPr>
          <w:rFonts w:hint="eastAsia"/>
          <w:color w:val="auto"/>
          <w:sz w:val="24"/>
          <w:szCs w:val="28"/>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lang w:eastAsia="zh-CN"/>
        </w:rPr>
      </w:pPr>
      <w:r>
        <w:rPr>
          <w:rFonts w:hint="eastAsia"/>
          <w:color w:val="auto"/>
          <w:sz w:val="24"/>
          <w:szCs w:val="28"/>
        </w:rPr>
        <w:t>合同包预算金额：</w:t>
      </w:r>
      <w:r>
        <w:rPr>
          <w:rFonts w:hint="eastAsia"/>
          <w:color w:val="auto"/>
          <w:sz w:val="24"/>
          <w:szCs w:val="28"/>
          <w:lang w:val="en-US" w:eastAsia="zh-CN"/>
        </w:rPr>
        <w:t>50</w:t>
      </w:r>
      <w:r>
        <w:rPr>
          <w:rFonts w:hint="eastAsia"/>
          <w:color w:val="auto"/>
          <w:sz w:val="24"/>
          <w:szCs w:val="28"/>
          <w:lang w:eastAsia="zh-CN"/>
        </w:rPr>
        <w:t>0000.00元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lang w:eastAsia="zh-CN"/>
        </w:rPr>
      </w:pPr>
      <w:r>
        <w:rPr>
          <w:rFonts w:hint="eastAsia"/>
          <w:color w:val="auto"/>
          <w:sz w:val="24"/>
          <w:szCs w:val="28"/>
        </w:rPr>
        <w:t>合同包最高限价：</w:t>
      </w:r>
      <w:r>
        <w:rPr>
          <w:rFonts w:hint="eastAsia"/>
          <w:color w:val="auto"/>
          <w:sz w:val="24"/>
          <w:szCs w:val="28"/>
          <w:lang w:val="en-US" w:eastAsia="zh-CN"/>
        </w:rPr>
        <w:t>50</w:t>
      </w:r>
      <w:r>
        <w:rPr>
          <w:rFonts w:hint="eastAsia"/>
          <w:color w:val="auto"/>
          <w:sz w:val="24"/>
          <w:szCs w:val="28"/>
          <w:lang w:eastAsia="zh-CN"/>
        </w:rPr>
        <w:t>0000.00元</w:t>
      </w:r>
    </w:p>
    <w:tbl>
      <w:tblPr>
        <w:tblStyle w:val="23"/>
        <w:tblW w:w="9796"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6"/>
        <w:gridCol w:w="1270"/>
        <w:gridCol w:w="2265"/>
        <w:gridCol w:w="1322"/>
        <w:gridCol w:w="1065"/>
        <w:gridCol w:w="1629"/>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3" w:hRule="atLeast"/>
          <w:tblHeader/>
        </w:trPr>
        <w:tc>
          <w:tcPr>
            <w:tcW w:w="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品目号</w:t>
            </w:r>
          </w:p>
        </w:tc>
        <w:tc>
          <w:tcPr>
            <w:tcW w:w="1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品目名称</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color w:val="auto"/>
                <w:sz w:val="24"/>
                <w:szCs w:val="28"/>
              </w:rPr>
            </w:pPr>
            <w:r>
              <w:rPr>
                <w:rFonts w:hint="eastAsia"/>
                <w:color w:val="auto"/>
                <w:sz w:val="24"/>
                <w:szCs w:val="28"/>
                <w:lang w:val="en-US" w:eastAsia="zh-CN"/>
              </w:rPr>
              <w:t>采购标的</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数量</w:t>
            </w:r>
          </w:p>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（单位）</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技术规格、参数及要求</w:t>
            </w:r>
          </w:p>
        </w:tc>
        <w:tc>
          <w:tcPr>
            <w:tcW w:w="16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品目预算(元)</w:t>
            </w:r>
          </w:p>
        </w:tc>
        <w:tc>
          <w:tcPr>
            <w:tcW w:w="16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8" w:hRule="atLeast"/>
        </w:trPr>
        <w:tc>
          <w:tcPr>
            <w:tcW w:w="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1-1</w:t>
            </w:r>
          </w:p>
        </w:tc>
        <w:tc>
          <w:tcPr>
            <w:tcW w:w="1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其他信息化设备</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8"/>
                <w:lang w:val="en-US" w:eastAsia="zh-CN"/>
              </w:rPr>
            </w:pPr>
            <w:r>
              <w:rPr>
                <w:rFonts w:hint="eastAsia"/>
                <w:color w:val="auto"/>
                <w:sz w:val="24"/>
                <w:szCs w:val="28"/>
                <w:lang w:val="en-US" w:eastAsia="zh-CN"/>
              </w:rPr>
              <w:t>庆安小学信息化建设（智慧黑板采购）项目</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1(批)</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详见采购文件</w:t>
            </w:r>
          </w:p>
        </w:tc>
        <w:tc>
          <w:tcPr>
            <w:tcW w:w="16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50</w:t>
            </w:r>
            <w:r>
              <w:rPr>
                <w:rFonts w:hint="eastAsia"/>
                <w:color w:val="auto"/>
                <w:sz w:val="24"/>
                <w:szCs w:val="28"/>
                <w:lang w:eastAsia="zh-CN"/>
              </w:rPr>
              <w:t>0000.00</w:t>
            </w:r>
          </w:p>
        </w:tc>
        <w:tc>
          <w:tcPr>
            <w:tcW w:w="16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50</w:t>
            </w:r>
            <w:r>
              <w:rPr>
                <w:rFonts w:hint="eastAsia"/>
                <w:color w:val="auto"/>
                <w:sz w:val="24"/>
                <w:szCs w:val="28"/>
                <w:lang w:eastAsia="zh-CN"/>
              </w:rPr>
              <w:t>0000.00</w:t>
            </w:r>
          </w:p>
        </w:tc>
      </w:tr>
    </w:tbl>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本合同包不接受联合体投标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 xml:space="preserve">合同履行期限：自合同签订后到该项目质保期结束（具体服务起止日期可随合同签订时间相应顺延）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二、申请人的资格要求：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1.满足《中华人民共和国政府采购法》第二十二条规定;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2.落实政府采购政策需满足的资格要求：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合同包1</w:t>
      </w:r>
      <w:r>
        <w:rPr>
          <w:rFonts w:hint="eastAsia"/>
          <w:color w:val="auto"/>
          <w:sz w:val="24"/>
          <w:szCs w:val="28"/>
          <w:lang w:eastAsia="zh-CN"/>
        </w:rPr>
        <w:t>（</w:t>
      </w:r>
      <w:r>
        <w:rPr>
          <w:rFonts w:hint="eastAsia"/>
          <w:color w:val="auto"/>
          <w:sz w:val="24"/>
          <w:szCs w:val="28"/>
          <w:lang w:val="en-US" w:eastAsia="zh-CN"/>
        </w:rPr>
        <w:t>庆安小学信息化建设（智慧黑板采购）项目</w:t>
      </w:r>
      <w:r>
        <w:rPr>
          <w:rFonts w:hint="eastAsia"/>
          <w:color w:val="auto"/>
          <w:sz w:val="24"/>
          <w:szCs w:val="28"/>
          <w:lang w:eastAsia="zh-CN"/>
        </w:rPr>
        <w:t>））</w:t>
      </w:r>
      <w:r>
        <w:rPr>
          <w:rFonts w:hint="eastAsia"/>
          <w:color w:val="auto"/>
          <w:sz w:val="24"/>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（8）陕西省财政厅关于印发《陕西省中小企业政府采购信用融资办法》（陕财办采〔2018〕23号）。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3.本项目的特定资格要求：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合同包1</w:t>
      </w:r>
      <w:r>
        <w:rPr>
          <w:rFonts w:hint="eastAsia"/>
          <w:color w:val="auto"/>
          <w:sz w:val="24"/>
          <w:szCs w:val="28"/>
          <w:lang w:eastAsia="zh-CN"/>
        </w:rPr>
        <w:t>（</w:t>
      </w:r>
      <w:r>
        <w:rPr>
          <w:rFonts w:hint="eastAsia"/>
          <w:color w:val="auto"/>
          <w:sz w:val="24"/>
          <w:szCs w:val="28"/>
          <w:lang w:val="en-US" w:eastAsia="zh-CN"/>
        </w:rPr>
        <w:t>庆安小学信息化建设（智慧黑板采购）项目</w:t>
      </w:r>
      <w:r>
        <w:rPr>
          <w:rFonts w:hint="eastAsia"/>
          <w:color w:val="auto"/>
          <w:sz w:val="24"/>
          <w:szCs w:val="28"/>
          <w:lang w:eastAsia="zh-CN"/>
        </w:rPr>
        <w:t>）</w:t>
      </w:r>
      <w:r>
        <w:rPr>
          <w:rFonts w:hint="eastAsia"/>
          <w:color w:val="auto"/>
          <w:sz w:val="24"/>
          <w:szCs w:val="28"/>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财务状况证明：供应商提供</w:t>
      </w:r>
      <w:r>
        <w:rPr>
          <w:rFonts w:hint="eastAsia"/>
          <w:color w:val="auto"/>
          <w:sz w:val="24"/>
          <w:szCs w:val="28"/>
          <w:lang w:eastAsia="zh-CN"/>
        </w:rPr>
        <w:t>2022年度</w:t>
      </w:r>
      <w:r>
        <w:rPr>
          <w:rFonts w:hint="eastAsia"/>
          <w:color w:val="auto"/>
          <w:sz w:val="24"/>
          <w:szCs w:val="28"/>
        </w:rPr>
        <w:t>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具有履行合同所必需的设备和专业技术能力的书面声明；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税收缴纳证明：提供 202</w:t>
      </w:r>
      <w:r>
        <w:rPr>
          <w:rFonts w:hint="eastAsia"/>
          <w:color w:val="auto"/>
          <w:sz w:val="24"/>
          <w:szCs w:val="28"/>
          <w:lang w:val="en-US" w:eastAsia="zh-CN"/>
        </w:rPr>
        <w:t>3</w:t>
      </w:r>
      <w:r>
        <w:rPr>
          <w:rFonts w:hint="eastAsia"/>
          <w:color w:val="auto"/>
          <w:sz w:val="24"/>
          <w:szCs w:val="28"/>
        </w:rPr>
        <w:t>年 </w:t>
      </w:r>
      <w:r>
        <w:rPr>
          <w:rFonts w:hint="eastAsia"/>
          <w:color w:val="auto"/>
          <w:sz w:val="24"/>
          <w:szCs w:val="28"/>
          <w:lang w:val="en-US" w:eastAsia="zh-CN"/>
        </w:rPr>
        <w:t>1</w:t>
      </w:r>
      <w:r>
        <w:rPr>
          <w:rFonts w:hint="eastAsia"/>
          <w:color w:val="auto"/>
          <w:sz w:val="24"/>
          <w:szCs w:val="28"/>
        </w:rPr>
        <w:t>月以来至少一个月的纳税证明或完税证明，依法免税的单位应提供相关证明材料；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社会保障资金缴纳证明：提供 202</w:t>
      </w:r>
      <w:r>
        <w:rPr>
          <w:rFonts w:hint="eastAsia"/>
          <w:color w:val="auto"/>
          <w:sz w:val="24"/>
          <w:szCs w:val="28"/>
          <w:lang w:val="en-US" w:eastAsia="zh-CN"/>
        </w:rPr>
        <w:t>3</w:t>
      </w:r>
      <w:r>
        <w:rPr>
          <w:rFonts w:hint="eastAsia"/>
          <w:color w:val="auto"/>
          <w:sz w:val="24"/>
          <w:szCs w:val="28"/>
        </w:rPr>
        <w:t> 年 </w:t>
      </w:r>
      <w:r>
        <w:rPr>
          <w:rFonts w:hint="eastAsia"/>
          <w:color w:val="auto"/>
          <w:sz w:val="24"/>
          <w:szCs w:val="28"/>
          <w:lang w:val="en-US" w:eastAsia="zh-CN"/>
        </w:rPr>
        <w:t>1</w:t>
      </w:r>
      <w:r>
        <w:rPr>
          <w:rFonts w:hint="eastAsia"/>
          <w:color w:val="auto"/>
          <w:sz w:val="24"/>
          <w:szCs w:val="28"/>
        </w:rPr>
        <w:t>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参加政府采购活动前 3 年内在经营活动中没有重大违法记录的书面声明；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非法定代表人参加</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的，须提供法定代表人委托授权书及被授权人身份证，法定代表人参加</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时,</w:t>
      </w:r>
      <w:r>
        <w:rPr>
          <w:rFonts w:hint="eastAsia" w:ascii="宋体" w:hAnsi="宋体" w:cs="宋体"/>
          <w:sz w:val="24"/>
          <w:szCs w:val="24"/>
          <w:highlight w:val="none"/>
          <w:lang w:eastAsia="zh-CN"/>
        </w:rPr>
        <w:t>只需</w:t>
      </w:r>
      <w:r>
        <w:rPr>
          <w:rFonts w:hint="eastAsia" w:ascii="宋体" w:hAnsi="宋体" w:eastAsia="宋体" w:cs="宋体"/>
          <w:sz w:val="24"/>
          <w:szCs w:val="24"/>
          <w:highlight w:val="none"/>
        </w:rPr>
        <w:t>提供法定代表人身份证；</w:t>
      </w:r>
    </w:p>
    <w:p>
      <w:pPr>
        <w:spacing w:line="500" w:lineRule="exact"/>
        <w:ind w:firstLine="720" w:firstLineChars="300"/>
        <w:rPr>
          <w:rFonts w:hint="eastAsia"/>
        </w:rPr>
      </w:pPr>
      <w:r>
        <w:rPr>
          <w:rFonts w:hint="eastAsia" w:ascii="宋体" w:hAnsi="宋体" w:eastAsia="宋体" w:cs="宋体"/>
          <w:sz w:val="24"/>
          <w:szCs w:val="24"/>
          <w:highlight w:val="none"/>
          <w:lang w:eastAsia="zh-CN"/>
        </w:rPr>
        <w:t>（8）本项目为专门面向中小企业采购项目，供应商应出具中小企业声明函；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color w:val="auto"/>
          <w:sz w:val="24"/>
          <w:szCs w:val="28"/>
        </w:rPr>
      </w:pPr>
      <w:r>
        <w:rPr>
          <w:rFonts w:hint="eastAsia"/>
          <w:color w:val="auto"/>
          <w:sz w:val="24"/>
          <w:szCs w:val="28"/>
          <w:lang w:val="en-US" w:eastAsia="zh-CN"/>
        </w:rPr>
        <w:t>（9）</w:t>
      </w:r>
      <w:r>
        <w:rPr>
          <w:rFonts w:hint="eastAsia"/>
          <w:color w:val="auto"/>
          <w:sz w:val="24"/>
          <w:szCs w:val="28"/>
        </w:rPr>
        <w:t>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三、获取采购文件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时间： 202</w:t>
      </w:r>
      <w:r>
        <w:rPr>
          <w:rFonts w:hint="eastAsia"/>
          <w:color w:val="auto"/>
          <w:sz w:val="24"/>
          <w:szCs w:val="28"/>
          <w:lang w:val="en-US" w:eastAsia="zh-CN"/>
        </w:rPr>
        <w:t>3</w:t>
      </w:r>
      <w:r>
        <w:rPr>
          <w:rFonts w:hint="eastAsia"/>
          <w:color w:val="auto"/>
          <w:sz w:val="24"/>
          <w:szCs w:val="28"/>
        </w:rPr>
        <w:t>年</w:t>
      </w:r>
      <w:r>
        <w:rPr>
          <w:rFonts w:hint="eastAsia"/>
          <w:color w:val="auto"/>
          <w:sz w:val="24"/>
          <w:szCs w:val="28"/>
          <w:lang w:val="en-US" w:eastAsia="zh-CN"/>
        </w:rPr>
        <w:t>08</w:t>
      </w:r>
      <w:r>
        <w:rPr>
          <w:rFonts w:hint="eastAsia"/>
          <w:color w:val="auto"/>
          <w:sz w:val="24"/>
          <w:szCs w:val="28"/>
        </w:rPr>
        <w:t>月</w:t>
      </w:r>
      <w:r>
        <w:rPr>
          <w:rFonts w:hint="eastAsia"/>
          <w:color w:val="auto"/>
          <w:sz w:val="24"/>
          <w:szCs w:val="28"/>
          <w:lang w:val="en-US" w:eastAsia="zh-CN"/>
        </w:rPr>
        <w:t>21</w:t>
      </w:r>
      <w:r>
        <w:rPr>
          <w:rFonts w:hint="eastAsia"/>
          <w:color w:val="auto"/>
          <w:sz w:val="24"/>
          <w:szCs w:val="28"/>
        </w:rPr>
        <w:t>日 至 202</w:t>
      </w:r>
      <w:r>
        <w:rPr>
          <w:rFonts w:hint="eastAsia"/>
          <w:color w:val="auto"/>
          <w:sz w:val="24"/>
          <w:szCs w:val="28"/>
          <w:lang w:val="en-US" w:eastAsia="zh-CN"/>
        </w:rPr>
        <w:t>3年08</w:t>
      </w:r>
      <w:r>
        <w:rPr>
          <w:rFonts w:hint="eastAsia"/>
          <w:color w:val="auto"/>
          <w:sz w:val="24"/>
          <w:szCs w:val="28"/>
        </w:rPr>
        <w:t>月</w:t>
      </w:r>
      <w:r>
        <w:rPr>
          <w:rFonts w:hint="eastAsia"/>
          <w:color w:val="auto"/>
          <w:sz w:val="24"/>
          <w:szCs w:val="28"/>
          <w:lang w:val="en-US" w:eastAsia="zh-CN"/>
        </w:rPr>
        <w:t>24</w:t>
      </w:r>
      <w:r>
        <w:rPr>
          <w:rFonts w:hint="eastAsia"/>
          <w:color w:val="auto"/>
          <w:sz w:val="24"/>
          <w:szCs w:val="28"/>
        </w:rPr>
        <w:t>日 ，每天上午 09:00:00 至 12:00:00 ，下午 13:30:00 至 17:00:00 （北京时间,法定节假日除外）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地点：西安市雁塔区科技路10号华奥大厦A座20层2002室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方式：现场获取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售价：免费赠送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四、响应文件提交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截止时间： 202</w:t>
      </w:r>
      <w:r>
        <w:rPr>
          <w:rFonts w:hint="eastAsia"/>
          <w:color w:val="auto"/>
          <w:sz w:val="24"/>
          <w:szCs w:val="28"/>
          <w:lang w:val="en-US" w:eastAsia="zh-CN"/>
        </w:rPr>
        <w:t>3</w:t>
      </w:r>
      <w:r>
        <w:rPr>
          <w:rFonts w:hint="eastAsia"/>
          <w:color w:val="auto"/>
          <w:sz w:val="24"/>
          <w:szCs w:val="28"/>
        </w:rPr>
        <w:t>年</w:t>
      </w:r>
      <w:r>
        <w:rPr>
          <w:rFonts w:hint="eastAsia"/>
          <w:color w:val="auto"/>
          <w:sz w:val="24"/>
          <w:szCs w:val="28"/>
          <w:u w:val="single"/>
          <w:lang w:val="en-US" w:eastAsia="zh-CN"/>
        </w:rPr>
        <w:t>08</w:t>
      </w:r>
      <w:r>
        <w:rPr>
          <w:rFonts w:hint="eastAsia"/>
          <w:color w:val="auto"/>
          <w:sz w:val="24"/>
          <w:szCs w:val="28"/>
        </w:rPr>
        <w:t>月</w:t>
      </w:r>
      <w:r>
        <w:rPr>
          <w:rFonts w:hint="eastAsia"/>
          <w:color w:val="auto"/>
          <w:sz w:val="24"/>
          <w:szCs w:val="28"/>
          <w:u w:val="single"/>
          <w:lang w:val="en-US" w:eastAsia="zh-CN"/>
        </w:rPr>
        <w:t>28</w:t>
      </w:r>
      <w:r>
        <w:rPr>
          <w:rFonts w:hint="eastAsia"/>
          <w:color w:val="auto"/>
          <w:sz w:val="24"/>
          <w:szCs w:val="28"/>
        </w:rPr>
        <w:t>日</w:t>
      </w:r>
      <w:r>
        <w:rPr>
          <w:rFonts w:hint="eastAsia"/>
          <w:color w:val="auto"/>
          <w:sz w:val="24"/>
          <w:szCs w:val="28"/>
          <w:lang w:val="en-US" w:eastAsia="zh-CN"/>
        </w:rPr>
        <w:t>14</w:t>
      </w:r>
      <w:r>
        <w:rPr>
          <w:rFonts w:hint="eastAsia"/>
          <w:color w:val="auto"/>
          <w:sz w:val="24"/>
          <w:szCs w:val="28"/>
        </w:rPr>
        <w:t>时</w:t>
      </w:r>
      <w:r>
        <w:rPr>
          <w:rFonts w:hint="eastAsia"/>
          <w:color w:val="auto"/>
          <w:sz w:val="24"/>
          <w:szCs w:val="28"/>
          <w:lang w:val="en-US" w:eastAsia="zh-CN"/>
        </w:rPr>
        <w:t>30</w:t>
      </w:r>
      <w:r>
        <w:rPr>
          <w:rFonts w:hint="eastAsia"/>
          <w:color w:val="auto"/>
          <w:sz w:val="24"/>
          <w:szCs w:val="28"/>
        </w:rPr>
        <w:t>分00秒 （北京时间）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地点：西安市雁塔区科技路10号华奥大厦A座20层2002室开标室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五、开启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时间： 202</w:t>
      </w:r>
      <w:r>
        <w:rPr>
          <w:rFonts w:hint="eastAsia"/>
          <w:color w:val="auto"/>
          <w:sz w:val="24"/>
          <w:szCs w:val="28"/>
          <w:lang w:val="en-US" w:eastAsia="zh-CN"/>
        </w:rPr>
        <w:t>3</w:t>
      </w:r>
      <w:r>
        <w:rPr>
          <w:rFonts w:hint="eastAsia"/>
          <w:color w:val="auto"/>
          <w:sz w:val="24"/>
          <w:szCs w:val="28"/>
        </w:rPr>
        <w:t>年</w:t>
      </w:r>
      <w:r>
        <w:rPr>
          <w:rFonts w:hint="eastAsia"/>
          <w:color w:val="auto"/>
          <w:sz w:val="24"/>
          <w:szCs w:val="28"/>
          <w:lang w:val="en-US" w:eastAsia="zh-CN"/>
        </w:rPr>
        <w:t>08</w:t>
      </w:r>
      <w:r>
        <w:rPr>
          <w:rFonts w:hint="eastAsia"/>
          <w:color w:val="auto"/>
          <w:sz w:val="24"/>
          <w:szCs w:val="28"/>
        </w:rPr>
        <w:t>月</w:t>
      </w:r>
      <w:r>
        <w:rPr>
          <w:rFonts w:hint="eastAsia"/>
          <w:color w:val="auto"/>
          <w:sz w:val="24"/>
          <w:szCs w:val="28"/>
          <w:u w:val="single"/>
          <w:lang w:val="en-US" w:eastAsia="zh-CN"/>
        </w:rPr>
        <w:t>28</w:t>
      </w:r>
      <w:r>
        <w:rPr>
          <w:rFonts w:hint="eastAsia"/>
          <w:color w:val="auto"/>
          <w:sz w:val="24"/>
          <w:szCs w:val="28"/>
        </w:rPr>
        <w:t>日</w:t>
      </w:r>
      <w:r>
        <w:rPr>
          <w:rFonts w:hint="eastAsia"/>
          <w:color w:val="auto"/>
          <w:sz w:val="24"/>
          <w:szCs w:val="28"/>
          <w:lang w:val="en-US" w:eastAsia="zh-CN"/>
        </w:rPr>
        <w:t xml:space="preserve"> 14</w:t>
      </w:r>
      <w:r>
        <w:rPr>
          <w:rFonts w:hint="eastAsia"/>
          <w:color w:val="auto"/>
          <w:sz w:val="24"/>
          <w:szCs w:val="28"/>
        </w:rPr>
        <w:t>时</w:t>
      </w:r>
      <w:r>
        <w:rPr>
          <w:rFonts w:hint="eastAsia"/>
          <w:color w:val="auto"/>
          <w:sz w:val="24"/>
          <w:szCs w:val="28"/>
          <w:lang w:val="en-US" w:eastAsia="zh-CN"/>
        </w:rPr>
        <w:t>30</w:t>
      </w:r>
      <w:r>
        <w:rPr>
          <w:rFonts w:hint="eastAsia"/>
          <w:color w:val="auto"/>
          <w:sz w:val="24"/>
          <w:szCs w:val="28"/>
        </w:rPr>
        <w:t>分00秒 （北京时间）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地点：西安市雁塔区科技路10号华奥大厦A座20层2002室开标室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六、公告期限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自本公告发布之日起3个工作日。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七、其他补充事宜</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（1）现场</w:t>
      </w:r>
      <w:r>
        <w:rPr>
          <w:rFonts w:hint="eastAsia"/>
          <w:color w:val="auto"/>
          <w:sz w:val="24"/>
          <w:szCs w:val="28"/>
          <w:lang w:val="en-US" w:eastAsia="zh-CN"/>
        </w:rPr>
        <w:t>获取</w:t>
      </w:r>
      <w:r>
        <w:rPr>
          <w:rFonts w:hint="eastAsia"/>
          <w:color w:val="auto"/>
          <w:sz w:val="24"/>
          <w:szCs w:val="28"/>
        </w:rPr>
        <w:t>竞争性谈判文件时请提供单位介绍信原件、身份证原件及复印件加盖公章；网上</w:t>
      </w:r>
      <w:r>
        <w:rPr>
          <w:rFonts w:hint="eastAsia"/>
          <w:color w:val="auto"/>
          <w:sz w:val="24"/>
          <w:szCs w:val="28"/>
          <w:lang w:val="en-US" w:eastAsia="zh-CN"/>
        </w:rPr>
        <w:t>获取</w:t>
      </w:r>
      <w:r>
        <w:rPr>
          <w:rFonts w:hint="eastAsia"/>
          <w:color w:val="auto"/>
          <w:sz w:val="24"/>
          <w:szCs w:val="28"/>
        </w:rPr>
        <w:t>请提供单位介绍信、身份证复印件加盖公章扫描件发送至shanxizhuoming_zb@163.com邮箱（邮件标题命名格式为“供应商名称+联系人+联系电话+项目名称”）。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（2）请供应商按照陕西省财政厅关于政府采购供应商注册登记有关事项的通知中的要求，通过陕西省政府采购网（http://www.ccgp-shaanxi.gov.cn/）注册登记加入陕西省政府采购供应商库。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八、凡对本次采购提出询问，请按以下方式联系。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rPr>
      </w:pPr>
      <w:r>
        <w:rPr>
          <w:rFonts w:hint="eastAsia"/>
          <w:color w:val="auto"/>
          <w:sz w:val="24"/>
          <w:szCs w:val="28"/>
          <w:highlight w:val="none"/>
        </w:rPr>
        <w:t>1.采购人信息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color w:val="auto"/>
          <w:sz w:val="24"/>
          <w:szCs w:val="28"/>
          <w:highlight w:val="none"/>
          <w:lang w:val="en-US" w:eastAsia="zh-CN"/>
        </w:rPr>
      </w:pPr>
      <w:r>
        <w:rPr>
          <w:rFonts w:hint="eastAsia"/>
          <w:color w:val="auto"/>
          <w:sz w:val="24"/>
          <w:szCs w:val="28"/>
          <w:highlight w:val="none"/>
        </w:rPr>
        <w:t>名称：</w:t>
      </w:r>
      <w:r>
        <w:rPr>
          <w:rFonts w:hint="eastAsia" w:ascii="宋体" w:hAnsi="宋体" w:eastAsia="宋体" w:cs="宋体"/>
          <w:sz w:val="24"/>
          <w:szCs w:val="24"/>
          <w:highlight w:val="none"/>
          <w:lang w:eastAsia="zh-CN"/>
        </w:rPr>
        <w:t>西安市莲湖区庆安小学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eastAsia="zh-CN"/>
        </w:rPr>
      </w:pPr>
      <w:r>
        <w:rPr>
          <w:rFonts w:hint="eastAsia"/>
          <w:color w:val="auto"/>
          <w:sz w:val="24"/>
          <w:szCs w:val="28"/>
          <w:highlight w:val="none"/>
        </w:rPr>
        <w:t>地址：西安市莲湖区团结一路5号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rPr>
      </w:pPr>
      <w:r>
        <w:rPr>
          <w:rFonts w:hint="eastAsia"/>
          <w:color w:val="auto"/>
          <w:sz w:val="24"/>
          <w:szCs w:val="28"/>
          <w:highlight w:val="none"/>
          <w:lang w:val="en-US" w:eastAsia="zh-CN"/>
        </w:rPr>
        <w:t>联系人：卫老师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eastAsia"/>
          <w:color w:val="auto"/>
          <w:sz w:val="24"/>
          <w:szCs w:val="28"/>
          <w:highlight w:val="none"/>
        </w:rPr>
        <w:t>联系方式：029-84243097</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2.采购代理机构信息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名称：陕西卓佲项目管理有限公司</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地址：西安市雁塔区科技路10号华奥大厦A座20层2002室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联系方式：</w:t>
      </w:r>
      <w:r>
        <w:rPr>
          <w:rFonts w:hint="eastAsia" w:ascii="宋体" w:hAnsi="宋体" w:eastAsia="宋体" w:cs="宋体"/>
          <w:sz w:val="24"/>
          <w:szCs w:val="24"/>
          <w:lang w:eastAsia="zh-CN"/>
        </w:rPr>
        <w:t>1777896606</w:t>
      </w:r>
      <w:r>
        <w:rPr>
          <w:rFonts w:hint="eastAsia" w:ascii="宋体" w:hAnsi="宋体" w:eastAsia="宋体" w:cs="宋体"/>
          <w:sz w:val="24"/>
          <w:szCs w:val="24"/>
          <w:lang w:val="en-US" w:eastAsia="zh-CN"/>
        </w:rPr>
        <w:t>3</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3.项目联系方式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 xml:space="preserve">项目联系人：米文佳 </w:t>
      </w:r>
      <w:r>
        <w:rPr>
          <w:rFonts w:hint="eastAsia"/>
          <w:color w:val="auto"/>
          <w:sz w:val="24"/>
          <w:szCs w:val="28"/>
          <w:lang w:val="en-US" w:eastAsia="zh-CN"/>
        </w:rPr>
        <w:t xml:space="preserve"> 李静</w:t>
      </w:r>
      <w:r>
        <w:rPr>
          <w:rFonts w:hint="eastAsia"/>
          <w:color w:val="auto"/>
          <w:sz w:val="24"/>
          <w:szCs w:val="28"/>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lang w:val="en-US"/>
        </w:rPr>
      </w:pPr>
      <w:r>
        <w:rPr>
          <w:rFonts w:hint="eastAsia"/>
          <w:color w:val="auto"/>
          <w:sz w:val="24"/>
          <w:szCs w:val="28"/>
        </w:rPr>
        <w:t>电话：</w:t>
      </w:r>
      <w:r>
        <w:rPr>
          <w:rFonts w:hint="eastAsia" w:ascii="宋体" w:hAnsi="宋体" w:eastAsia="宋体" w:cs="宋体"/>
          <w:sz w:val="24"/>
          <w:szCs w:val="24"/>
          <w:lang w:eastAsia="zh-CN"/>
        </w:rPr>
        <w:t>1777896606</w:t>
      </w:r>
      <w:r>
        <w:rPr>
          <w:rFonts w:hint="eastAsia" w:ascii="宋体" w:hAnsi="宋体" w:eastAsia="宋体" w:cs="宋体"/>
          <w:sz w:val="24"/>
          <w:szCs w:val="24"/>
          <w:lang w:val="en-US" w:eastAsia="zh-CN"/>
        </w:rPr>
        <w:t>3</w:t>
      </w:r>
    </w:p>
    <w:p>
      <w:pPr>
        <w:pStyle w:val="2"/>
        <w:rPr>
          <w:rFonts w:hint="eastAsia"/>
          <w:color w:val="auto"/>
          <w:sz w:val="24"/>
          <w:szCs w:val="28"/>
        </w:rPr>
      </w:pPr>
    </w:p>
    <w:p>
      <w:pPr>
        <w:rPr>
          <w:rFonts w:hint="eastAsia"/>
        </w:rPr>
      </w:pP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陕西卓佲项目管理有限公司</w:t>
      </w:r>
    </w:p>
    <w:p>
      <w:pPr>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2023年</w:t>
      </w:r>
      <w:r>
        <w:rPr>
          <w:rFonts w:hint="eastAsia" w:ascii="宋体" w:hAnsi="宋体" w:cs="宋体"/>
          <w:color w:val="auto"/>
          <w:sz w:val="24"/>
          <w:szCs w:val="24"/>
          <w:u w:val="single"/>
          <w:lang w:val="en-US" w:eastAsia="zh-CN"/>
        </w:rPr>
        <w:t>08</w:t>
      </w:r>
      <w:r>
        <w:rPr>
          <w:rFonts w:hint="eastAsia" w:ascii="宋体" w:hAnsi="宋体" w:cs="宋体"/>
          <w:color w:val="auto"/>
          <w:sz w:val="24"/>
          <w:szCs w:val="24"/>
          <w:lang w:val="en-US" w:eastAsia="zh-CN"/>
        </w:rPr>
        <w:t>月</w:t>
      </w:r>
      <w:r>
        <w:rPr>
          <w:rFonts w:hint="eastAsia" w:ascii="宋体" w:hAnsi="宋体" w:cs="宋体"/>
          <w:color w:val="auto"/>
          <w:sz w:val="24"/>
          <w:szCs w:val="24"/>
          <w:u w:val="single"/>
          <w:lang w:val="en-US" w:eastAsia="zh-CN"/>
        </w:rPr>
        <w:t>21</w:t>
      </w:r>
      <w:r>
        <w:rPr>
          <w:rFonts w:hint="eastAsia" w:ascii="宋体" w:hAnsi="宋体" w:cs="宋体"/>
          <w:color w:val="auto"/>
          <w:sz w:val="24"/>
          <w:szCs w:val="24"/>
          <w:lang w:val="en-US" w:eastAsia="zh-CN"/>
        </w:rPr>
        <w:t>日</w:t>
      </w:r>
    </w:p>
    <w:p>
      <w:pPr>
        <w:pStyle w:val="3"/>
        <w:rPr>
          <w:rFonts w:hint="eastAsia" w:ascii="宋体" w:hAnsi="宋体" w:cs="宋体"/>
        </w:rPr>
        <w:sectPr>
          <w:footerReference r:id="rId8" w:type="default"/>
          <w:pgSz w:w="11906" w:h="16838"/>
          <w:pgMar w:top="1440" w:right="1706" w:bottom="1440" w:left="1800" w:header="851" w:footer="992" w:gutter="0"/>
          <w:pgNumType w:fmt="decimal"/>
          <w:cols w:space="720" w:num="1"/>
          <w:docGrid w:type="lines" w:linePitch="312" w:charSpace="0"/>
        </w:sectPr>
      </w:pPr>
    </w:p>
    <w:p>
      <w:pPr>
        <w:pStyle w:val="3"/>
        <w:rPr>
          <w:rFonts w:ascii="宋体" w:hAnsi="宋体" w:cs="宋体"/>
        </w:rPr>
      </w:pPr>
      <w:bookmarkStart w:id="4" w:name="_Toc11680"/>
      <w:r>
        <w:rPr>
          <w:rFonts w:hint="eastAsia" w:ascii="宋体" w:hAnsi="宋体" w:cs="宋体"/>
        </w:rPr>
        <w:t>第二部分  供应商须知前附表</w:t>
      </w:r>
      <w:bookmarkEnd w:id="2"/>
      <w:bookmarkEnd w:id="3"/>
      <w:bookmarkEnd w:id="4"/>
    </w:p>
    <w:p>
      <w:pPr>
        <w:ind w:firstLine="240" w:firstLineChars="100"/>
        <w:rPr>
          <w:rFonts w:ascii="宋体" w:hAnsi="宋体" w:eastAsia="宋体" w:cs="宋体"/>
          <w:sz w:val="24"/>
          <w:szCs w:val="24"/>
        </w:rPr>
      </w:pPr>
    </w:p>
    <w:tbl>
      <w:tblPr>
        <w:tblStyle w:val="23"/>
        <w:tblpPr w:leftFromText="180" w:rightFromText="180" w:vertAnchor="text" w:horzAnchor="page" w:tblpX="1509" w:tblpY="309"/>
        <w:tblOverlap w:val="never"/>
        <w:tblW w:w="940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336"/>
        <w:gridCol w:w="75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36"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56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565"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（二）特定资格条件：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财务状况证明：供应商提供</w:t>
            </w:r>
            <w:r>
              <w:rPr>
                <w:rFonts w:hint="eastAsia" w:ascii="宋体" w:hAnsi="宋体" w:eastAsia="宋体" w:cs="宋体"/>
                <w:color w:val="auto"/>
                <w:sz w:val="24"/>
                <w:szCs w:val="28"/>
                <w:lang w:eastAsia="zh-CN"/>
              </w:rPr>
              <w:t>2022年度</w:t>
            </w:r>
            <w:r>
              <w:rPr>
                <w:rFonts w:hint="eastAsia" w:ascii="宋体" w:hAnsi="宋体" w:eastAsia="宋体" w:cs="宋体"/>
                <w:color w:val="auto"/>
                <w:sz w:val="24"/>
                <w:szCs w:val="28"/>
              </w:rPr>
              <w:t>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具有履行合同所必需的设备和专业技术能力的书面声明；</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税收缴纳证明：提供202</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月以来至少一个月的纳税证明或完税证明，依法免税的单位应提供相关证明材料；</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社会保障资金缴纳证明：提供202</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rPr>
              <w:t>参加政府采购活动前3年内在经营活动中没有重大违法记录的书面声明；</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非法定代表人参加</w:t>
            </w:r>
            <w:r>
              <w:rPr>
                <w:rFonts w:hint="eastAsia" w:ascii="宋体" w:hAnsi="宋体" w:eastAsia="宋体" w:cs="宋体"/>
                <w:color w:val="auto"/>
                <w:sz w:val="24"/>
                <w:szCs w:val="28"/>
                <w:lang w:eastAsia="zh-CN"/>
              </w:rPr>
              <w:t>谈判</w:t>
            </w:r>
            <w:r>
              <w:rPr>
                <w:rFonts w:hint="eastAsia" w:ascii="宋体" w:hAnsi="宋体" w:eastAsia="宋体" w:cs="宋体"/>
                <w:color w:val="auto"/>
                <w:sz w:val="24"/>
                <w:szCs w:val="28"/>
              </w:rPr>
              <w:t>的，须提供法定代表人委托授权书及被授权人身份证，法定代表人参加</w:t>
            </w:r>
            <w:r>
              <w:rPr>
                <w:rFonts w:hint="eastAsia" w:ascii="宋体" w:hAnsi="宋体" w:eastAsia="宋体" w:cs="宋体"/>
                <w:color w:val="auto"/>
                <w:sz w:val="24"/>
                <w:szCs w:val="28"/>
                <w:lang w:eastAsia="zh-CN"/>
              </w:rPr>
              <w:t>谈判</w:t>
            </w:r>
            <w:r>
              <w:rPr>
                <w:rFonts w:hint="eastAsia" w:ascii="宋体" w:hAnsi="宋体" w:eastAsia="宋体" w:cs="宋体"/>
                <w:color w:val="auto"/>
                <w:sz w:val="24"/>
                <w:szCs w:val="28"/>
              </w:rPr>
              <w:t>时,</w:t>
            </w:r>
            <w:r>
              <w:rPr>
                <w:rFonts w:hint="eastAsia" w:ascii="宋体" w:hAnsi="宋体" w:eastAsia="宋体" w:cs="宋体"/>
                <w:color w:val="auto"/>
                <w:sz w:val="24"/>
                <w:szCs w:val="28"/>
                <w:lang w:eastAsia="zh-CN"/>
              </w:rPr>
              <w:t>只需</w:t>
            </w:r>
            <w:r>
              <w:rPr>
                <w:rFonts w:hint="eastAsia" w:ascii="宋体" w:hAnsi="宋体" w:eastAsia="宋体" w:cs="宋体"/>
                <w:color w:val="auto"/>
                <w:sz w:val="24"/>
                <w:szCs w:val="28"/>
              </w:rPr>
              <w:t>提供法定代表人身份证；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8"/>
              </w:rPr>
            </w:pPr>
            <w:r>
              <w:rPr>
                <w:rFonts w:hint="eastAsia" w:ascii="宋体" w:hAnsi="宋体" w:eastAsia="宋体" w:cs="宋体"/>
                <w:sz w:val="24"/>
                <w:szCs w:val="24"/>
                <w:lang w:eastAsia="zh-CN"/>
              </w:rPr>
              <w:t>本项目专门面向中小企业采购，</w:t>
            </w:r>
            <w:r>
              <w:rPr>
                <w:rFonts w:hint="eastAsia" w:ascii="宋体" w:hAnsi="宋体" w:eastAsia="宋体" w:cs="宋体"/>
                <w:sz w:val="24"/>
                <w:szCs w:val="24"/>
              </w:rPr>
              <w:t>供应商应出具中小企业声明函</w:t>
            </w:r>
            <w:r>
              <w:rPr>
                <w:rFonts w:hint="eastAsia" w:ascii="宋体" w:hAnsi="宋体" w:eastAsia="宋体" w:cs="宋体"/>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本项目不接受联合体响应。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cs="宋体"/>
                <w:sz w:val="24"/>
                <w:szCs w:val="24"/>
              </w:rPr>
            </w:pPr>
            <w:r>
              <w:rPr>
                <w:rFonts w:hint="eastAsia" w:ascii="宋体" w:hAnsi="宋体" w:cs="宋体"/>
                <w:b/>
                <w:bCs/>
                <w:sz w:val="24"/>
                <w:szCs w:val="24"/>
                <w:lang w:eastAsia="zh-CN"/>
              </w:rPr>
              <w:t>以上项</w:t>
            </w:r>
            <w:r>
              <w:rPr>
                <w:rFonts w:hint="eastAsia" w:ascii="宋体" w:hAnsi="宋体" w:cs="宋体"/>
                <w:b/>
                <w:bCs/>
                <w:sz w:val="24"/>
                <w:szCs w:val="24"/>
              </w:rPr>
              <w:t>为资格审查必备资质。响应文件的正本和全部副本必须附上述资格证明文件，缺少其中一项或某项达不到采购文件要求，其响应文件按无效文件处理。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565" w:type="dxa"/>
          </w:tcPr>
          <w:p>
            <w:pPr>
              <w:pStyle w:val="9"/>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响应报价超过采购预算或者最高限价；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val="en-US" w:eastAsia="zh-CN"/>
              </w:rPr>
              <w:t>（2）交货期</w:t>
            </w:r>
            <w:r>
              <w:rPr>
                <w:rFonts w:hint="eastAsia" w:ascii="宋体" w:hAnsi="宋体" w:cs="宋体"/>
                <w:sz w:val="24"/>
                <w:szCs w:val="24"/>
                <w:highlight w:val="none"/>
              </w:rPr>
              <w:t>不满足竞争性谈判文件要求；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质保期</w:t>
            </w:r>
            <w:r>
              <w:rPr>
                <w:rFonts w:hint="eastAsia" w:ascii="宋体" w:hAnsi="宋体" w:cs="宋体"/>
                <w:sz w:val="24"/>
                <w:szCs w:val="24"/>
                <w:highlight w:val="none"/>
              </w:rPr>
              <w:t>不满足竞争性谈判文件要求；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响应文件的数量、签署、盖章、装订不符合竞争性谈判文件要求；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响应文件无投标有效期或有效期达不到竞争性谈判文件要求的；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供应商针对同一项目递交两份或多份内容不同的响应文件，未书面声明哪一份是有效的或出现选择性报价的；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响应文件标的数量不满足采购要求；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“★”符号标明的条款为实质性要求和条件，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文件对其中任何一条的负偏离，为实质性偏离，其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无效</w:t>
            </w:r>
            <w:r>
              <w:rPr>
                <w:rFonts w:hint="eastAsia" w:ascii="宋体" w:hAnsi="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cs="宋体"/>
                <w:sz w:val="24"/>
                <w:szCs w:val="24"/>
              </w:rPr>
              <w:t>响应文件含有采购人不能接受的附加条件的；</w:t>
            </w:r>
          </w:p>
          <w:p>
            <w:pPr>
              <w:spacing w:line="360" w:lineRule="auto"/>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10</w:t>
            </w:r>
            <w:r>
              <w:rPr>
                <w:rFonts w:hint="eastAsia" w:ascii="宋体" w:hAnsi="宋体" w:cs="宋体"/>
                <w:b/>
                <w:bCs/>
                <w:sz w:val="24"/>
                <w:szCs w:val="24"/>
                <w:highlight w:val="none"/>
              </w:rPr>
              <w:t>）</w:t>
            </w:r>
            <w:r>
              <w:rPr>
                <w:rFonts w:ascii="宋体" w:hAnsi="宋体" w:cs="宋体"/>
                <w:b/>
                <w:bCs/>
                <w:sz w:val="24"/>
                <w:szCs w:val="24"/>
                <w:highlight w:val="none"/>
              </w:rPr>
              <w:t>供应商</w:t>
            </w:r>
            <w:r>
              <w:rPr>
                <w:rFonts w:hint="eastAsia" w:ascii="宋体" w:hAnsi="宋体" w:cs="宋体"/>
                <w:b/>
                <w:bCs/>
                <w:sz w:val="24"/>
                <w:szCs w:val="24"/>
                <w:highlight w:val="none"/>
              </w:rPr>
              <w:t>提供赠品、回扣或者与采购无关的其他商品、服务（不包括采购项目本身所包括涉及的采购事项，</w:t>
            </w:r>
            <w:r>
              <w:rPr>
                <w:rFonts w:ascii="宋体" w:hAnsi="宋体" w:cs="宋体"/>
                <w:b/>
                <w:bCs/>
                <w:sz w:val="24"/>
                <w:szCs w:val="24"/>
                <w:highlight w:val="none"/>
              </w:rPr>
              <w:t>供应商</w:t>
            </w:r>
            <w:r>
              <w:rPr>
                <w:rFonts w:hint="eastAsia" w:ascii="宋体" w:hAnsi="宋体" w:cs="宋体"/>
                <w:b/>
                <w:bCs/>
                <w:sz w:val="24"/>
                <w:szCs w:val="24"/>
                <w:highlight w:val="none"/>
              </w:rPr>
              <w:t>不能以“赠送、赠予”等任何名义提供货物和服务以规避</w:t>
            </w:r>
            <w:r>
              <w:rPr>
                <w:rFonts w:hint="eastAsia" w:ascii="宋体" w:hAnsi="宋体" w:cs="宋体"/>
                <w:b/>
                <w:bCs/>
                <w:sz w:val="24"/>
                <w:szCs w:val="24"/>
                <w:highlight w:val="none"/>
                <w:lang w:eastAsia="zh-CN"/>
              </w:rPr>
              <w:t>竞争性谈判文件</w:t>
            </w:r>
            <w:r>
              <w:rPr>
                <w:rFonts w:hint="eastAsia" w:ascii="宋体" w:hAnsi="宋体" w:cs="宋体"/>
                <w:b/>
                <w:bCs/>
                <w:sz w:val="24"/>
                <w:szCs w:val="24"/>
                <w:highlight w:val="none"/>
              </w:rPr>
              <w:t>的约束）。否则，供应商的投标行为将作为以不正当手段排挤其他供应商认定；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11</w:t>
            </w:r>
            <w:r>
              <w:rPr>
                <w:rFonts w:hint="eastAsia" w:ascii="宋体" w:hAnsi="宋体" w:cs="宋体"/>
                <w:sz w:val="24"/>
                <w:szCs w:val="24"/>
              </w:rPr>
              <w:t>）法律、法规和竞争性谈判文件规定的其他无效情形。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7"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36"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商务条款</w:t>
            </w:r>
          </w:p>
        </w:tc>
        <w:tc>
          <w:tcPr>
            <w:tcW w:w="7565" w:type="dxa"/>
          </w:tcPr>
          <w:p>
            <w:pPr>
              <w:spacing w:line="360" w:lineRule="auto"/>
              <w:rPr>
                <w:rFonts w:hint="default" w:ascii="宋体" w:hAnsi="宋体" w:eastAsia="宋体" w:cs="宋体"/>
                <w:b w:val="0"/>
                <w:bCs w:val="0"/>
                <w:sz w:val="24"/>
                <w:szCs w:val="28"/>
                <w:highlight w:val="none"/>
                <w:lang w:val="en-US" w:eastAsia="zh-CN"/>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8"/>
                <w:highlight w:val="none"/>
              </w:rPr>
              <w:t>交货期：</w:t>
            </w:r>
            <w:r>
              <w:rPr>
                <w:rFonts w:hint="eastAsia" w:ascii="宋体" w:hAnsi="宋体" w:eastAsia="宋体" w:cs="宋体"/>
                <w:b w:val="0"/>
                <w:bCs w:val="0"/>
                <w:color w:val="000000"/>
                <w:sz w:val="24"/>
                <w:szCs w:val="24"/>
                <w:highlight w:val="none"/>
              </w:rPr>
              <w:t>合同签订后</w:t>
            </w:r>
            <w:r>
              <w:rPr>
                <w:rFonts w:hint="eastAsia" w:ascii="宋体" w:hAnsi="宋体" w:eastAsia="宋体" w:cs="宋体"/>
                <w:b w:val="0"/>
                <w:bCs w:val="0"/>
                <w:color w:val="000000"/>
                <w:sz w:val="24"/>
                <w:szCs w:val="24"/>
                <w:highlight w:val="none"/>
                <w:u w:val="single"/>
                <w:lang w:val="en-US" w:eastAsia="zh-CN"/>
              </w:rPr>
              <w:t>20个</w:t>
            </w:r>
            <w:r>
              <w:rPr>
                <w:rFonts w:hint="eastAsia" w:ascii="宋体" w:hAnsi="宋体" w:eastAsia="宋体" w:cs="宋体"/>
                <w:b w:val="0"/>
                <w:bCs w:val="0"/>
                <w:color w:val="000000"/>
                <w:sz w:val="24"/>
                <w:szCs w:val="24"/>
                <w:highlight w:val="none"/>
              </w:rPr>
              <w:t>日历天</w:t>
            </w:r>
            <w:r>
              <w:rPr>
                <w:rFonts w:hint="eastAsia" w:ascii="宋体" w:hAnsi="宋体" w:eastAsia="宋体" w:cs="宋体"/>
                <w:b w:val="0"/>
                <w:bCs w:val="0"/>
                <w:color w:val="000000"/>
                <w:sz w:val="24"/>
                <w:szCs w:val="24"/>
                <w:highlight w:val="none"/>
                <w:lang w:val="en-US" w:eastAsia="zh-CN"/>
              </w:rPr>
              <w:t>完成全部项目内容，并交付采购人验收合格。</w:t>
            </w:r>
          </w:p>
          <w:p>
            <w:pPr>
              <w:spacing w:line="360" w:lineRule="auto"/>
              <w:rPr>
                <w:rFonts w:hint="eastAsia" w:ascii="宋体" w:hAnsi="宋体" w:eastAsia="宋体" w:cs="宋体"/>
                <w:b w:val="0"/>
                <w:bCs w:val="0"/>
                <w:sz w:val="24"/>
                <w:szCs w:val="28"/>
                <w:highlight w:val="none"/>
                <w:lang w:eastAsia="zh-CN"/>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8"/>
                <w:highlight w:val="none"/>
              </w:rPr>
              <w:t>质保期：验收合格后</w:t>
            </w:r>
            <w:r>
              <w:rPr>
                <w:rFonts w:hint="eastAsia" w:ascii="宋体" w:hAnsi="宋体" w:eastAsia="宋体" w:cs="宋体"/>
                <w:b w:val="0"/>
                <w:bCs w:val="0"/>
                <w:color w:val="000000"/>
                <w:sz w:val="24"/>
                <w:szCs w:val="24"/>
                <w:highlight w:val="none"/>
                <w:u w:val="single"/>
                <w:lang w:val="en-US" w:eastAsia="zh-CN"/>
              </w:rPr>
              <w:t xml:space="preserve"> 1 </w:t>
            </w:r>
            <w:r>
              <w:rPr>
                <w:rFonts w:hint="eastAsia" w:ascii="宋体" w:hAnsi="宋体" w:eastAsia="宋体" w:cs="宋体"/>
                <w:b w:val="0"/>
                <w:bCs w:val="0"/>
                <w:sz w:val="24"/>
                <w:szCs w:val="28"/>
                <w:highlight w:val="none"/>
                <w:lang w:val="en-US" w:eastAsia="zh-CN"/>
              </w:rPr>
              <w:t>年</w:t>
            </w:r>
          </w:p>
          <w:p>
            <w:pPr>
              <w:pStyle w:val="2"/>
              <w:spacing w:line="360" w:lineRule="auto"/>
              <w:rPr>
                <w:rFonts w:hint="eastAsia" w:ascii="宋体" w:hAnsi="宋体" w:eastAsia="宋体" w:cs="宋体"/>
                <w:b w:val="0"/>
                <w:bCs w:val="0"/>
                <w:sz w:val="24"/>
                <w:szCs w:val="28"/>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8"/>
                <w:highlight w:val="none"/>
              </w:rPr>
              <w:t>3、交货地点：采购人指定地点</w:t>
            </w:r>
          </w:p>
          <w:p>
            <w:pPr>
              <w:spacing w:line="360" w:lineRule="auto"/>
              <w:rPr>
                <w:rFonts w:hint="eastAsia" w:ascii="宋体" w:hAnsi="宋体" w:eastAsia="宋体" w:cs="宋体"/>
                <w:b w:val="0"/>
                <w:bCs w:val="0"/>
                <w:sz w:val="24"/>
                <w:szCs w:val="28"/>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8"/>
                <w:highlight w:val="none"/>
              </w:rPr>
              <w:t>4、付款方式：</w:t>
            </w:r>
          </w:p>
          <w:p>
            <w:pPr>
              <w:pStyle w:val="2"/>
              <w:spacing w:line="360" w:lineRule="auto"/>
              <w:rPr>
                <w:rFonts w:hint="eastAsia" w:ascii="宋体" w:hAnsi="宋体" w:eastAsia="宋体" w:cs="宋体"/>
                <w:b w:val="0"/>
                <w:bCs w:val="0"/>
                <w:sz w:val="24"/>
                <w:szCs w:val="28"/>
                <w:highlight w:val="none"/>
                <w:lang w:eastAsia="zh-CN"/>
              </w:rPr>
            </w:pPr>
            <w:r>
              <w:rPr>
                <w:rFonts w:hint="eastAsia" w:ascii="宋体" w:hAnsi="宋体" w:eastAsia="宋体" w:cs="宋体"/>
                <w:b w:val="0"/>
                <w:bCs w:val="0"/>
                <w:sz w:val="24"/>
                <w:szCs w:val="28"/>
                <w:highlight w:val="none"/>
              </w:rPr>
              <w:t>全部设备到达采购人指定地点并验收合格后，如无质量等问题，15个工作日内一次付清</w:t>
            </w:r>
            <w:r>
              <w:rPr>
                <w:rFonts w:hint="eastAsia" w:ascii="宋体" w:hAnsi="宋体" w:eastAsia="宋体" w:cs="宋体"/>
                <w:b w:val="0"/>
                <w:bCs w:val="0"/>
                <w:sz w:val="24"/>
                <w:szCs w:val="2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ascii="宋体" w:hAnsi="宋体" w:cs="宋体"/>
                <w:b/>
                <w:bCs/>
                <w:sz w:val="24"/>
                <w:szCs w:val="24"/>
                <w:highlight w:val="none"/>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565"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5</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565"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6</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565"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w:t>
            </w:r>
            <w:r>
              <w:rPr>
                <w:rFonts w:hint="eastAsia" w:ascii="宋体" w:hAnsi="宋体" w:cs="宋体"/>
                <w:sz w:val="24"/>
                <w:szCs w:val="24"/>
                <w:lang w:val="en-US" w:eastAsia="zh-CN"/>
              </w:rPr>
              <w:t>9</w:t>
            </w:r>
            <w:r>
              <w:rPr>
                <w:rFonts w:hint="eastAsia" w:ascii="宋体" w:hAnsi="宋体" w:cs="宋体"/>
                <w:sz w:val="24"/>
                <w:szCs w:val="24"/>
              </w:rPr>
              <w:t>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7</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565" w:type="dxa"/>
            <w:vAlign w:val="center"/>
          </w:tcPr>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供应商应在响应文件中的响应一览表上</w:t>
            </w:r>
            <w:r>
              <w:rPr>
                <w:rFonts w:hint="eastAsia" w:ascii="宋体" w:hAnsi="宋体" w:cs="宋体"/>
                <w:sz w:val="24"/>
                <w:szCs w:val="24"/>
                <w:lang w:eastAsia="zh-CN"/>
              </w:rPr>
              <w:t>按照采购文件要求填写</w:t>
            </w:r>
            <w:r>
              <w:rPr>
                <w:rFonts w:hint="eastAsia" w:ascii="宋体" w:hAnsi="宋体" w:cs="宋体"/>
                <w:sz w:val="24"/>
                <w:szCs w:val="24"/>
              </w:rPr>
              <w:t>，并由法定代表人或被授权人代表签署；任何有选择的报价不予接受。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8</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565"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2、正、副本分别胶装装订成册，</w:t>
            </w:r>
            <w:r>
              <w:rPr>
                <w:rFonts w:hint="eastAsia" w:ascii="宋体" w:hAnsi="宋体" w:cs="宋体"/>
                <w:b/>
                <w:bCs/>
                <w:sz w:val="24"/>
                <w:szCs w:val="24"/>
                <w:highlight w:val="none"/>
              </w:rPr>
              <w:t>在书脊处标明项目名称、供应商名称（机打或手写均可）</w:t>
            </w:r>
            <w:r>
              <w:rPr>
                <w:rFonts w:hint="eastAsia" w:ascii="宋体" w:hAnsi="宋体" w:cs="宋体"/>
                <w:b/>
                <w:bCs/>
                <w:sz w:val="24"/>
                <w:szCs w:val="24"/>
                <w:highlight w:val="none"/>
                <w:lang w:eastAsia="zh-CN"/>
              </w:rPr>
              <w:t>，</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06"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9</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565" w:type="dxa"/>
            <w:vAlign w:val="center"/>
          </w:tcPr>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505" w:type="dxa"/>
            <w:vAlign w:val="center"/>
          </w:tcPr>
          <w:p>
            <w:pPr>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565" w:type="dxa"/>
            <w:vAlign w:val="center"/>
          </w:tcPr>
          <w:p>
            <w:pPr>
              <w:pStyle w:val="41"/>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1、装袋要求：</w:t>
            </w:r>
          </w:p>
          <w:p>
            <w:pPr>
              <w:pStyle w:val="41"/>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响应一览表密封单独装袋；</w:t>
            </w:r>
          </w:p>
          <w:p>
            <w:pPr>
              <w:pStyle w:val="41"/>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电子文档密封单独装袋；</w:t>
            </w:r>
          </w:p>
          <w:p>
            <w:pPr>
              <w:spacing w:line="360" w:lineRule="auto"/>
              <w:ind w:right="158" w:rightChars="75"/>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所有正本密封单独装袋，也可分册密封装袋；</w:t>
            </w:r>
          </w:p>
          <w:p>
            <w:pPr>
              <w:spacing w:line="360" w:lineRule="auto"/>
              <w:ind w:right="158" w:rightChars="75"/>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所有副本密封单独装袋，</w:t>
            </w:r>
            <w:r>
              <w:rPr>
                <w:rFonts w:hint="eastAsia" w:ascii="宋体" w:hAnsi="宋体" w:eastAsia="宋体" w:cs="宋体"/>
                <w:kern w:val="2"/>
                <w:sz w:val="24"/>
                <w:szCs w:val="24"/>
                <w:highlight w:val="none"/>
                <w:lang w:val="zh-CN" w:eastAsia="zh-CN" w:bidi="ar-SA"/>
              </w:rPr>
              <w:t>也可分册</w:t>
            </w:r>
            <w:r>
              <w:rPr>
                <w:rFonts w:hint="eastAsia" w:ascii="宋体" w:hAnsi="宋体" w:eastAsia="宋体" w:cs="宋体"/>
                <w:kern w:val="2"/>
                <w:sz w:val="24"/>
                <w:szCs w:val="24"/>
                <w:highlight w:val="none"/>
                <w:lang w:val="en-US" w:eastAsia="zh-CN" w:bidi="ar-SA"/>
              </w:rPr>
              <w:t>密封</w:t>
            </w:r>
            <w:r>
              <w:rPr>
                <w:rFonts w:hint="eastAsia" w:ascii="宋体" w:hAnsi="宋体" w:eastAsia="宋体" w:cs="宋体"/>
                <w:kern w:val="2"/>
                <w:sz w:val="24"/>
                <w:szCs w:val="24"/>
                <w:highlight w:val="none"/>
                <w:lang w:val="zh-CN" w:eastAsia="zh-CN" w:bidi="ar-SA"/>
              </w:rPr>
              <w:t>装袋；</w:t>
            </w:r>
          </w:p>
          <w:p>
            <w:pPr>
              <w:numPr>
                <w:ilvl w:val="0"/>
                <w:numId w:val="0"/>
              </w:numPr>
              <w:spacing w:line="336"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w:t>
            </w:r>
            <w:r>
              <w:rPr>
                <w:rFonts w:hint="eastAsia" w:ascii="宋体" w:hAnsi="宋体" w:cs="宋体"/>
                <w:sz w:val="24"/>
                <w:szCs w:val="24"/>
                <w:lang w:eastAsia="zh-CN"/>
              </w:rPr>
              <w:t>响应一览表</w:t>
            </w:r>
            <w:r>
              <w:rPr>
                <w:rFonts w:hint="eastAsia" w:ascii="宋体" w:hAnsi="宋体" w:cs="宋体"/>
                <w:sz w:val="24"/>
                <w:szCs w:val="24"/>
              </w:rPr>
              <w:t>”字样。封袋应密封完整</w:t>
            </w:r>
            <w:r>
              <w:rPr>
                <w:rFonts w:hint="eastAsia" w:ascii="宋体" w:hAnsi="宋体" w:cs="宋体"/>
                <w:sz w:val="24"/>
                <w:szCs w:val="24"/>
                <w:lang w:eastAsia="zh-CN"/>
              </w:rPr>
              <w:t>（密封以不泄露供应商商业机密、</w:t>
            </w:r>
            <w:r>
              <w:rPr>
                <w:rFonts w:hint="eastAsia" w:ascii="宋体" w:hAnsi="宋体" w:cs="宋体"/>
                <w:sz w:val="24"/>
                <w:szCs w:val="24"/>
                <w:lang w:val="en-US" w:eastAsia="zh-CN"/>
              </w:rPr>
              <w:t>响应文件</w:t>
            </w:r>
            <w:r>
              <w:rPr>
                <w:rFonts w:hint="eastAsia" w:ascii="宋体" w:hAnsi="宋体" w:cs="宋体"/>
                <w:sz w:val="24"/>
                <w:szCs w:val="24"/>
                <w:lang w:eastAsia="zh-CN"/>
              </w:rPr>
              <w:t>内容为标准，</w:t>
            </w:r>
            <w:r>
              <w:rPr>
                <w:rFonts w:hint="eastAsia" w:ascii="宋体" w:hAnsi="宋体" w:cs="宋体"/>
                <w:sz w:val="24"/>
                <w:szCs w:val="24"/>
              </w:rPr>
              <w:t>封面标识见</w:t>
            </w:r>
            <w:r>
              <w:rPr>
                <w:rFonts w:hint="eastAsia" w:ascii="宋体" w:hAnsi="宋体" w:cs="宋体"/>
                <w:sz w:val="24"/>
                <w:szCs w:val="24"/>
                <w:lang w:eastAsia="zh-CN"/>
              </w:rPr>
              <w:t>竞争性谈判文件</w:t>
            </w:r>
            <w:r>
              <w:rPr>
                <w:rFonts w:hint="eastAsia" w:ascii="宋体" w:hAnsi="宋体" w:cs="宋体"/>
                <w:sz w:val="24"/>
                <w:szCs w:val="24"/>
              </w:rPr>
              <w:t>附件一</w:t>
            </w:r>
            <w:r>
              <w:rPr>
                <w:rFonts w:hint="eastAsia" w:ascii="宋体" w:hAnsi="宋体" w:cs="宋体"/>
                <w:sz w:val="24"/>
                <w:szCs w:val="24"/>
                <w:lang w:eastAsia="zh-CN"/>
              </w:rPr>
              <w:t>）</w:t>
            </w:r>
            <w:r>
              <w:rPr>
                <w:rFonts w:hint="eastAsia" w:ascii="宋体" w:hAnsi="宋体" w:cs="宋体"/>
                <w:sz w:val="24"/>
                <w:szCs w:val="24"/>
              </w:rPr>
              <w:t>，如果未按上述规定进行密封，供应商的</w:t>
            </w:r>
            <w:r>
              <w:rPr>
                <w:rFonts w:hint="eastAsia" w:ascii="宋体" w:hAnsi="宋体" w:cs="宋体"/>
                <w:sz w:val="24"/>
                <w:szCs w:val="24"/>
                <w:lang w:eastAsia="zh-CN"/>
              </w:rPr>
              <w:t>响应文件</w:t>
            </w:r>
            <w:r>
              <w:rPr>
                <w:rFonts w:hint="eastAsia" w:ascii="宋体" w:hAnsi="宋体" w:cs="宋体"/>
                <w:sz w:val="24"/>
                <w:szCs w:val="24"/>
              </w:rPr>
              <w:t>有权被拒绝。</w:t>
            </w:r>
          </w:p>
          <w:p>
            <w:pPr>
              <w:numPr>
                <w:ilvl w:val="0"/>
                <w:numId w:val="0"/>
              </w:numPr>
              <w:spacing w:line="336" w:lineRule="auto"/>
              <w:ind w:leftChars="0"/>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如果供应商未按上述要求密封及加写标记，误投或过早启封的响应文件，将自行承担其响应文件被视为无效响应文件的风险。</w:t>
            </w:r>
          </w:p>
          <w:p>
            <w:pPr>
              <w:numPr>
                <w:ilvl w:val="0"/>
                <w:numId w:val="0"/>
              </w:numPr>
              <w:spacing w:line="336"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本次招标只接受简体中文文字的响应文件；如响应文件中出现外文资料，</w:t>
            </w:r>
            <w:r>
              <w:rPr>
                <w:rFonts w:hint="eastAsia" w:ascii="宋体" w:hAnsi="宋体" w:cs="宋体"/>
                <w:sz w:val="24"/>
                <w:szCs w:val="24"/>
                <w:lang w:eastAsia="zh-CN"/>
              </w:rPr>
              <w:t>需</w:t>
            </w:r>
            <w:r>
              <w:rPr>
                <w:rFonts w:hint="eastAsia" w:ascii="宋体" w:hAnsi="宋体" w:cs="宋体"/>
                <w:sz w:val="24"/>
                <w:szCs w:val="24"/>
              </w:rPr>
              <w:t>配以中文译文。否则，由此引发的一切责任由供应商自负</w:t>
            </w:r>
            <w:r>
              <w:rPr>
                <w:rFonts w:hint="eastAsia" w:ascii="宋体" w:hAnsi="宋体" w:cs="宋体"/>
                <w:sz w:val="24"/>
                <w:szCs w:val="24"/>
                <w:highlight w:val="none"/>
              </w:rPr>
              <w:t>。</w:t>
            </w:r>
          </w:p>
          <w:p>
            <w:pPr>
              <w:spacing w:line="360" w:lineRule="auto"/>
              <w:jc w:val="left"/>
              <w:rPr>
                <w:rFonts w:ascii="宋体" w:hAnsi="宋体" w:cs="宋体"/>
                <w:color w:val="FF0000"/>
                <w:sz w:val="24"/>
                <w:szCs w:val="24"/>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color w:val="FF0000"/>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336"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成交原则</w:t>
            </w:r>
          </w:p>
        </w:tc>
        <w:tc>
          <w:tcPr>
            <w:tcW w:w="7565"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color w:val="000000"/>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是否采购进口产品</w:t>
            </w:r>
          </w:p>
        </w:tc>
        <w:tc>
          <w:tcPr>
            <w:tcW w:w="7565"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现场勘查</w:t>
            </w:r>
          </w:p>
        </w:tc>
        <w:tc>
          <w:tcPr>
            <w:tcW w:w="7565"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14</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代理服务费</w:t>
            </w:r>
          </w:p>
        </w:tc>
        <w:tc>
          <w:tcPr>
            <w:tcW w:w="7565" w:type="dxa"/>
            <w:vAlign w:val="center"/>
          </w:tcPr>
          <w:p>
            <w:pPr>
              <w:spacing w:line="560" w:lineRule="exact"/>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参照国家计委颁布的《招标代理服务收费管理暂行办法》（计价格[2002]1980号）和发改办价格[2003]857号文件等法律法规规定的计价标准收取（含税），按照中标金额差额定率累进法计算，由中标/成交单位一次性支付</w:t>
            </w:r>
            <w:r>
              <w:rPr>
                <w:rFonts w:hint="eastAsia" w:ascii="宋体" w:hAnsi="宋体" w:cs="宋体"/>
                <w:sz w:val="24"/>
                <w:szCs w:val="24"/>
                <w:highlight w:val="none"/>
                <w:lang w:eastAsia="zh-CN"/>
              </w:rPr>
              <w:t>。</w:t>
            </w:r>
          </w:p>
          <w:p>
            <w:pPr>
              <w:spacing w:line="56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供应商将招标代理服务费计入响应报价但不单独列明，中标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供应商在领取中标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通知书前须向采购代理机构一次性支付招标代理服务费</w:t>
            </w:r>
            <w:r>
              <w:rPr>
                <w:rFonts w:hint="eastAsia" w:ascii="宋体" w:hAnsi="宋体" w:cs="宋体"/>
                <w:sz w:val="24"/>
                <w:szCs w:val="24"/>
                <w:lang w:eastAsia="zh-CN"/>
              </w:rPr>
              <w:t>。代理服务费以转账、电汇或现金等形式交纳。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5</w:t>
            </w:r>
          </w:p>
        </w:tc>
        <w:tc>
          <w:tcPr>
            <w:tcW w:w="1336"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是否专门面向中小企业</w:t>
            </w:r>
          </w:p>
        </w:tc>
        <w:tc>
          <w:tcPr>
            <w:tcW w:w="7565" w:type="dxa"/>
            <w:vAlign w:val="center"/>
          </w:tcPr>
          <w:p>
            <w:pPr>
              <w:spacing w:line="560" w:lineRule="exact"/>
              <w:jc w:val="both"/>
              <w:rPr>
                <w:rFonts w:hint="default"/>
                <w:lang w:val="en-US" w:eastAsia="zh-CN"/>
              </w:rPr>
            </w:pPr>
            <w:r>
              <w:rPr>
                <w:rFonts w:hint="eastAsia" w:ascii="宋体" w:hAnsi="宋体" w:cs="宋体"/>
                <w:b/>
                <w:bCs/>
                <w:sz w:val="24"/>
                <w:szCs w:val="24"/>
                <w:lang w:val="en-US" w:eastAsia="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16</w:t>
            </w:r>
          </w:p>
        </w:tc>
        <w:tc>
          <w:tcPr>
            <w:tcW w:w="1336" w:type="dxa"/>
            <w:vAlign w:val="center"/>
          </w:tcPr>
          <w:p>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供应商</w:t>
            </w:r>
          </w:p>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提出质疑的时间、形式</w:t>
            </w:r>
          </w:p>
        </w:tc>
        <w:tc>
          <w:tcPr>
            <w:tcW w:w="7565"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形式：书面；</w:t>
            </w:r>
          </w:p>
          <w:p>
            <w:pPr>
              <w:spacing w:line="360" w:lineRule="auto"/>
              <w:jc w:val="left"/>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cs="宋体"/>
                <w:sz w:val="24"/>
                <w:szCs w:val="24"/>
                <w:highlight w:val="none"/>
              </w:rPr>
              <w:t>环节：</w:t>
            </w:r>
            <w:r>
              <w:rPr>
                <w:rFonts w:hint="eastAsia" w:ascii="宋体" w:hAnsi="宋体" w:cs="宋体"/>
                <w:sz w:val="24"/>
                <w:szCs w:val="24"/>
                <w:highlight w:val="none"/>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17</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对供应商提出质疑答复时间、形式</w:t>
            </w:r>
          </w:p>
        </w:tc>
        <w:tc>
          <w:tcPr>
            <w:tcW w:w="7565"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时间：自收到供应商质疑函之日起7个工作日内</w:t>
            </w:r>
          </w:p>
          <w:p>
            <w:pPr>
              <w:spacing w:line="360" w:lineRule="auto"/>
              <w:jc w:val="left"/>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18</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供应商信用信息查询</w:t>
            </w:r>
            <w:r>
              <w:rPr>
                <w:rFonts w:hint="eastAsia" w:ascii="宋体" w:hAnsi="宋体" w:cs="宋体"/>
                <w:sz w:val="24"/>
                <w:szCs w:val="24"/>
                <w:highlight w:val="none"/>
                <w:lang w:val="en-US" w:eastAsia="zh-CN"/>
              </w:rPr>
              <w:t>截止</w:t>
            </w:r>
            <w:r>
              <w:rPr>
                <w:rFonts w:hint="eastAsia" w:ascii="宋体" w:hAnsi="宋体" w:cs="宋体"/>
                <w:sz w:val="24"/>
                <w:szCs w:val="24"/>
                <w:highlight w:val="none"/>
                <w:lang w:val="zh-CN"/>
              </w:rPr>
              <w:t>时点</w:t>
            </w:r>
          </w:p>
        </w:tc>
        <w:tc>
          <w:tcPr>
            <w:tcW w:w="7565" w:type="dxa"/>
            <w:vAlign w:val="center"/>
          </w:tcPr>
          <w:p>
            <w:pPr>
              <w:spacing w:line="360" w:lineRule="auto"/>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19</w:t>
            </w:r>
          </w:p>
        </w:tc>
        <w:tc>
          <w:tcPr>
            <w:tcW w:w="1336" w:type="dxa"/>
            <w:vAlign w:val="center"/>
          </w:tcPr>
          <w:p>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bidi="ar-SA"/>
              </w:rPr>
              <w:t>弃标须知</w:t>
            </w:r>
          </w:p>
        </w:tc>
        <w:tc>
          <w:tcPr>
            <w:tcW w:w="7565"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根据市财函〔2021〕431号文第16条规定：供应商登记免费领取采购文件的，如不参与项目投标，应在递交投标（或</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）文件截止时间前一日以书面形式告知采购代理机构。否则，采购代理机构可以向财政部门反应情况并提供佐证。供应商一年内累计出现三次该情形，将被监管部门记录为失信行为。</w:t>
            </w:r>
          </w:p>
          <w:p>
            <w:pPr>
              <w:pStyle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bidi="ar-SA"/>
              </w:rPr>
              <w:t>确认通知格式</w:t>
            </w:r>
            <w:r>
              <w:rPr>
                <w:rFonts w:hint="eastAsia" w:asciiTheme="minorEastAsia" w:hAnsiTheme="minorEastAsia" w:cstheme="minorEastAsia"/>
                <w:b/>
                <w:bCs/>
                <w:sz w:val="24"/>
                <w:szCs w:val="24"/>
                <w:lang w:val="en-US" w:eastAsia="zh-CN" w:bidi="ar-SA"/>
              </w:rPr>
              <w:t>下附</w:t>
            </w:r>
            <w:r>
              <w:rPr>
                <w:rFonts w:hint="eastAsia" w:asciiTheme="minorEastAsia" w:hAnsiTheme="minorEastAsia" w:eastAsiaTheme="minorEastAsia" w:cstheme="minorEastAsia"/>
                <w:b/>
                <w:bCs/>
                <w:sz w:val="24"/>
                <w:szCs w:val="24"/>
                <w:lang w:val="en-US" w:eastAsia="zh-CN" w:bidi="ar-SA"/>
              </w:rPr>
              <w:t>，供应商无论是否参与本项目投标，均需在递交响应文件</w:t>
            </w:r>
            <w:r>
              <w:rPr>
                <w:rFonts w:hint="eastAsia" w:asciiTheme="minorEastAsia" w:hAnsiTheme="minorEastAsia" w:eastAsiaTheme="minorEastAsia" w:cstheme="minorEastAsia"/>
                <w:b/>
                <w:bCs/>
                <w:sz w:val="24"/>
                <w:szCs w:val="24"/>
              </w:rPr>
              <w:t>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kern w:val="2"/>
                <w:sz w:val="24"/>
                <w:szCs w:val="24"/>
                <w:lang w:val="en-US" w:eastAsia="zh-CN" w:bidi="ar-SA"/>
              </w:rPr>
            </w:pPr>
            <w:bookmarkStart w:id="5" w:name="_Toc19272"/>
            <w:r>
              <w:rPr>
                <w:rFonts w:hint="eastAsia" w:ascii="宋体" w:cs="宋体"/>
                <w:kern w:val="2"/>
                <w:sz w:val="24"/>
                <w:szCs w:val="24"/>
                <w:lang w:val="en-US" w:eastAsia="zh-CN" w:bidi="ar-SA"/>
              </w:rPr>
              <w:t>20</w:t>
            </w:r>
          </w:p>
        </w:tc>
        <w:tc>
          <w:tcPr>
            <w:tcW w:w="1336" w:type="dxa"/>
            <w:vAlign w:val="center"/>
          </w:tcPr>
          <w:p>
            <w:pPr>
              <w:jc w:val="center"/>
              <w:rPr>
                <w:rFonts w:hint="eastAsia" w:ascii="宋体" w:cs="宋体" w:eastAsiaTheme="minorEastAsia"/>
                <w:sz w:val="24"/>
                <w:szCs w:val="24"/>
                <w:lang w:val="en-US" w:eastAsia="zh-CN" w:bidi="ar-SA"/>
              </w:rPr>
            </w:pPr>
            <w:r>
              <w:rPr>
                <w:rFonts w:hint="eastAsia" w:ascii="宋体" w:cs="宋体"/>
                <w:sz w:val="24"/>
                <w:szCs w:val="24"/>
                <w:lang w:val="en-US" w:eastAsia="zh-CN" w:bidi="ar-SA"/>
              </w:rPr>
              <w:t>确认通知</w:t>
            </w:r>
          </w:p>
        </w:tc>
        <w:tc>
          <w:tcPr>
            <w:tcW w:w="7565" w:type="dxa"/>
            <w:vAlign w:val="center"/>
          </w:tcPr>
          <w:tbl>
            <w:tblPr>
              <w:tblStyle w:val="23"/>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7" w:hRule="atLeast"/>
              </w:trPr>
              <w:tc>
                <w:tcPr>
                  <w:tcW w:w="7320" w:type="dxa"/>
                  <w:noWrap w:val="0"/>
                  <w:vAlign w:val="top"/>
                </w:tcPr>
                <w:p>
                  <w:pPr>
                    <w:spacing w:line="360" w:lineRule="auto"/>
                    <w:jc w:val="center"/>
                    <w:rPr>
                      <w:rFonts w:hint="eastAsia" w:hAnsi="宋体" w:cs="宋体"/>
                      <w:b/>
                      <w:kern w:val="2"/>
                      <w:sz w:val="24"/>
                      <w:szCs w:val="24"/>
                    </w:rPr>
                  </w:pPr>
                  <w:r>
                    <w:rPr>
                      <w:rFonts w:hint="eastAsia" w:hAnsi="宋体" w:cs="宋体"/>
                      <w:b/>
                      <w:kern w:val="2"/>
                      <w:sz w:val="24"/>
                      <w:szCs w:val="24"/>
                    </w:rPr>
                    <w:t>确认通知（格式）</w:t>
                  </w:r>
                </w:p>
                <w:p>
                  <w:pPr>
                    <w:spacing w:line="360" w:lineRule="auto"/>
                    <w:rPr>
                      <w:rFonts w:hint="default" w:hAnsi="宋体" w:cs="宋体" w:eastAsiaTheme="minorEastAsia"/>
                      <w:kern w:val="2"/>
                      <w:sz w:val="24"/>
                      <w:szCs w:val="24"/>
                      <w:u w:val="none"/>
                      <w:lang w:val="en-US" w:eastAsia="zh-CN"/>
                    </w:rPr>
                  </w:pPr>
                  <w:r>
                    <w:rPr>
                      <w:rFonts w:hint="eastAsia" w:hAnsi="宋体" w:cs="宋体"/>
                      <w:kern w:val="2"/>
                      <w:sz w:val="24"/>
                      <w:szCs w:val="24"/>
                      <w:u w:val="single"/>
                    </w:rPr>
                    <w:t xml:space="preserve">  </w:t>
                  </w:r>
                  <w:r>
                    <w:rPr>
                      <w:rFonts w:hint="eastAsia" w:hAnsi="宋体" w:cs="宋体"/>
                      <w:kern w:val="2"/>
                      <w:sz w:val="24"/>
                      <w:szCs w:val="24"/>
                      <w:u w:val="single"/>
                      <w:lang w:val="en-US" w:eastAsia="zh-CN"/>
                    </w:rPr>
                    <w:t xml:space="preserve">                       </w:t>
                  </w:r>
                  <w:r>
                    <w:rPr>
                      <w:rFonts w:hint="eastAsia" w:hAnsi="宋体" w:cs="宋体"/>
                      <w:kern w:val="2"/>
                      <w:sz w:val="24"/>
                      <w:szCs w:val="24"/>
                      <w:u w:val="none"/>
                      <w:lang w:val="en-US" w:eastAsia="zh-CN"/>
                    </w:rPr>
                    <w:t>（采购人/采购代理机构）</w:t>
                  </w:r>
                </w:p>
                <w:p>
                  <w:pPr>
                    <w:spacing w:line="360" w:lineRule="auto"/>
                    <w:ind w:firstLine="480" w:firstLineChars="200"/>
                    <w:rPr>
                      <w:rFonts w:hAnsi="宋体" w:cs="宋体"/>
                      <w:kern w:val="2"/>
                      <w:sz w:val="24"/>
                      <w:szCs w:val="24"/>
                    </w:rPr>
                  </w:pPr>
                  <w:r>
                    <w:rPr>
                      <w:rFonts w:hint="eastAsia" w:hAnsi="宋体" w:cs="宋体"/>
                      <w:kern w:val="2"/>
                      <w:sz w:val="24"/>
                      <w:szCs w:val="24"/>
                    </w:rPr>
                    <w:t>我方已于</w:t>
                  </w:r>
                  <w:r>
                    <w:rPr>
                      <w:rFonts w:hint="eastAsia" w:hAnsi="宋体" w:cs="宋体"/>
                      <w:kern w:val="2"/>
                      <w:sz w:val="24"/>
                      <w:szCs w:val="24"/>
                      <w:u w:val="single"/>
                    </w:rPr>
                    <w:t>202</w:t>
                  </w:r>
                  <w:r>
                    <w:rPr>
                      <w:rFonts w:hint="eastAsia" w:hAnsi="宋体" w:cs="宋体"/>
                      <w:kern w:val="2"/>
                      <w:sz w:val="24"/>
                      <w:szCs w:val="24"/>
                      <w:u w:val="single"/>
                      <w:lang w:val="en-US" w:eastAsia="zh-CN"/>
                    </w:rPr>
                    <w:t>3</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日收到你方</w:t>
                  </w:r>
                  <w:r>
                    <w:rPr>
                      <w:rFonts w:hint="eastAsia" w:hAnsi="宋体" w:cs="宋体"/>
                      <w:kern w:val="2"/>
                      <w:sz w:val="24"/>
                      <w:szCs w:val="24"/>
                      <w:u w:val="single"/>
                    </w:rPr>
                    <w:t>202</w:t>
                  </w:r>
                  <w:r>
                    <w:rPr>
                      <w:rFonts w:hint="eastAsia" w:hAnsi="宋体" w:cs="宋体"/>
                      <w:kern w:val="2"/>
                      <w:sz w:val="24"/>
                      <w:szCs w:val="24"/>
                      <w:u w:val="single"/>
                      <w:lang w:val="en-US" w:eastAsia="zh-CN"/>
                    </w:rPr>
                    <w:t>3</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日发出的</w:t>
                  </w:r>
                  <w:r>
                    <w:rPr>
                      <w:rFonts w:hint="eastAsia" w:hAnsi="宋体" w:cs="宋体"/>
                      <w:kern w:val="2"/>
                      <w:sz w:val="24"/>
                      <w:szCs w:val="24"/>
                      <w:u w:val="single"/>
                      <w:lang w:val="en-US" w:eastAsia="zh-CN"/>
                    </w:rPr>
                    <w:t>西安市莲湖区庆安小学信息化建设（智慧黑板采购）项目</w:t>
                  </w:r>
                  <w:r>
                    <w:rPr>
                      <w:rFonts w:hint="eastAsia" w:hAnsi="宋体" w:cs="宋体"/>
                      <w:kern w:val="2"/>
                      <w:sz w:val="24"/>
                      <w:szCs w:val="24"/>
                      <w:lang w:val="en-US" w:eastAsia="zh-CN"/>
                    </w:rPr>
                    <w:t>竞争性谈判</w:t>
                  </w:r>
                  <w:r>
                    <w:rPr>
                      <w:rFonts w:hint="eastAsia" w:hAnsi="宋体" w:cs="宋体"/>
                      <w:kern w:val="2"/>
                      <w:sz w:val="24"/>
                      <w:szCs w:val="24"/>
                    </w:rPr>
                    <w:t>文件，并确认</w:t>
                  </w:r>
                  <w:r>
                    <w:rPr>
                      <w:rFonts w:hint="eastAsia" w:hAnsi="宋体" w:cs="宋体"/>
                      <w:kern w:val="2"/>
                      <w:sz w:val="24"/>
                      <w:szCs w:val="24"/>
                      <w:u w:val="single"/>
                    </w:rPr>
                    <w:t>（参加/不参加）</w:t>
                  </w:r>
                  <w:r>
                    <w:rPr>
                      <w:rFonts w:hint="eastAsia" w:hAnsi="宋体" w:cs="宋体"/>
                      <w:kern w:val="2"/>
                      <w:sz w:val="24"/>
                      <w:szCs w:val="24"/>
                    </w:rPr>
                    <w:t>本项目投标。</w:t>
                  </w:r>
                </w:p>
                <w:p>
                  <w:pPr>
                    <w:spacing w:line="360" w:lineRule="auto"/>
                    <w:ind w:firstLine="480" w:firstLineChars="200"/>
                    <w:rPr>
                      <w:rFonts w:hAnsi="宋体" w:cs="宋体"/>
                      <w:kern w:val="2"/>
                      <w:sz w:val="24"/>
                      <w:szCs w:val="24"/>
                    </w:rPr>
                  </w:pPr>
                  <w:r>
                    <w:rPr>
                      <w:rFonts w:hint="eastAsia" w:hAnsi="宋体" w:cs="宋体"/>
                      <w:kern w:val="2"/>
                      <w:sz w:val="24"/>
                      <w:szCs w:val="24"/>
                    </w:rPr>
                    <w:t>特此确认。</w:t>
                  </w:r>
                </w:p>
                <w:p>
                  <w:pPr>
                    <w:spacing w:line="360" w:lineRule="auto"/>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供应商</w:t>
                  </w:r>
                  <w:r>
                    <w:rPr>
                      <w:rFonts w:hint="eastAsia" w:hAnsi="宋体" w:cs="宋体"/>
                      <w:kern w:val="2"/>
                      <w:sz w:val="24"/>
                      <w:szCs w:val="24"/>
                    </w:rPr>
                    <w:t>名称：（加盖公章）</w:t>
                  </w:r>
                </w:p>
                <w:p>
                  <w:pPr>
                    <w:spacing w:line="360" w:lineRule="auto"/>
                    <w:rPr>
                      <w:rFonts w:hAnsi="宋体" w:cs="宋体"/>
                      <w:kern w:val="2"/>
                      <w:sz w:val="24"/>
                      <w:szCs w:val="24"/>
                    </w:rPr>
                  </w:pPr>
                  <w:r>
                    <w:rPr>
                      <w:rFonts w:hint="eastAsia" w:hAnsi="宋体" w:cs="宋体"/>
                      <w:kern w:val="2"/>
                      <w:sz w:val="24"/>
                      <w:szCs w:val="24"/>
                    </w:rPr>
                    <w:t xml:space="preserve">                                 法定代表人：（签字或盖章）</w:t>
                  </w:r>
                </w:p>
                <w:p>
                  <w:pPr>
                    <w:spacing w:line="360" w:lineRule="auto"/>
                    <w:jc w:val="center"/>
                    <w:rPr>
                      <w:rFonts w:hint="eastAsia" w:hAnsi="宋体" w:cs="宋体"/>
                      <w:b/>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 xml:space="preserve">        </w:t>
                  </w:r>
                  <w:r>
                    <w:rPr>
                      <w:rFonts w:hint="eastAsia" w:hAnsi="宋体" w:cs="宋体"/>
                      <w:kern w:val="2"/>
                      <w:sz w:val="24"/>
                      <w:szCs w:val="24"/>
                    </w:rPr>
                    <w:t>日期：   年   月   日</w:t>
                  </w:r>
                </w:p>
              </w:tc>
            </w:tr>
          </w:tbl>
          <w:p>
            <w:pPr>
              <w:spacing w:line="360" w:lineRule="auto"/>
              <w:ind w:firstLine="480" w:firstLineChars="200"/>
              <w:jc w:val="left"/>
              <w:rPr>
                <w:rFonts w:hint="eastAsia" w:ascii="宋体" w:cs="宋体"/>
                <w:sz w:val="24"/>
                <w:szCs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21</w:t>
            </w:r>
          </w:p>
        </w:tc>
        <w:tc>
          <w:tcPr>
            <w:tcW w:w="1336" w:type="dxa"/>
            <w:vAlign w:val="center"/>
          </w:tcPr>
          <w:p>
            <w:pPr>
              <w:jc w:val="center"/>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政府采购信用融资</w:t>
            </w:r>
          </w:p>
        </w:tc>
        <w:tc>
          <w:tcPr>
            <w:tcW w:w="7565" w:type="dxa"/>
            <w:vAlign w:val="center"/>
          </w:tcPr>
          <w:p>
            <w:pPr>
              <w:spacing w:line="360" w:lineRule="auto"/>
              <w:ind w:firstLine="480" w:firstLineChars="200"/>
              <w:jc w:val="left"/>
              <w:rPr>
                <w:rFonts w:hint="eastAsia" w:ascii="宋体" w:cs="宋体"/>
                <w:sz w:val="24"/>
                <w:szCs w:val="24"/>
                <w:lang w:bidi="ar-SA"/>
              </w:rPr>
            </w:pPr>
            <w:r>
              <w:rPr>
                <w:rFonts w:hint="eastAsia" w:ascii="宋体" w:cs="宋体"/>
                <w:sz w:val="24"/>
                <w:szCs w:val="24"/>
                <w:lang w:bidi="ar-SA"/>
              </w:rPr>
              <w:t>成交供应商缴纳履约保证金时可自愿选择通过担保机构保函的形式缴纳；</w:t>
            </w:r>
            <w:r>
              <w:rPr>
                <w:rFonts w:hint="eastAsia" w:ascii="宋体" w:cs="宋体"/>
                <w:sz w:val="24"/>
                <w:szCs w:val="24"/>
                <w:lang w:val="en-US" w:eastAsia="zh-CN" w:bidi="ar-SA"/>
              </w:rPr>
              <w:t>成交</w:t>
            </w:r>
            <w:r>
              <w:rPr>
                <w:rFonts w:hint="eastAsia" w:ascii="宋体" w:cs="宋体"/>
                <w:sz w:val="24"/>
                <w:szCs w:val="24"/>
                <w:lang w:bidi="ar-SA"/>
              </w:rPr>
              <w:t>供应商如果需要融资贷款服务的，可凭</w:t>
            </w:r>
            <w:r>
              <w:rPr>
                <w:rFonts w:hint="eastAsia" w:ascii="宋体" w:cs="宋体"/>
                <w:sz w:val="24"/>
                <w:szCs w:val="24"/>
                <w:lang w:eastAsia="zh-CN" w:bidi="ar-SA"/>
              </w:rPr>
              <w:t>成交</w:t>
            </w:r>
            <w:r>
              <w:rPr>
                <w:rFonts w:hint="eastAsia" w:ascii="宋体" w:cs="宋体"/>
                <w:sz w:val="24"/>
                <w:szCs w:val="24"/>
                <w:lang w:bidi="ar-SA"/>
              </w:rPr>
              <w:t>通知书、政府采购合同等相关资料，按照实施方案规定的程序申请办理，具体规定可登陆西安市财政局网站(http://xaczj.xa.gov.cn/)政府采购专栏中西安市政府采购信用担保及信用融资合作机构联系名单</w:t>
            </w:r>
          </w:p>
          <w:p>
            <w:pPr>
              <w:spacing w:line="360" w:lineRule="auto"/>
              <w:ind w:firstLine="480" w:firstLineChars="200"/>
              <w:jc w:val="left"/>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（http://xaczj.xa.gov.cn/zfcg/cgfg/5db9054565cbd804f69e97e0.html）查询了解。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22</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其他</w:t>
            </w:r>
          </w:p>
        </w:tc>
        <w:tc>
          <w:tcPr>
            <w:tcW w:w="7565" w:type="dxa"/>
            <w:vAlign w:val="center"/>
          </w:tcPr>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本项目所属行业为软件和信息技术服务业。</w:t>
            </w:r>
          </w:p>
          <w:p>
            <w:pPr>
              <w:spacing w:line="560" w:lineRule="exact"/>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凡是需要法定代表人签字或盖章之处，非法人单位的负责人均参照执行。</w:t>
            </w:r>
          </w:p>
        </w:tc>
      </w:tr>
    </w:tbl>
    <w:p>
      <w:pPr>
        <w:pStyle w:val="3"/>
        <w:keepLines w:val="0"/>
        <w:ind w:firstLine="643" w:firstLineChars="200"/>
        <w:rPr>
          <w:rFonts w:ascii="宋体" w:hAnsi="宋体" w:cs="宋体"/>
        </w:rPr>
      </w:pPr>
      <w:bookmarkStart w:id="6" w:name="_Toc29223"/>
      <w:r>
        <w:rPr>
          <w:rFonts w:hint="eastAsia" w:ascii="宋体" w:hAnsi="宋体" w:cs="宋体"/>
        </w:rPr>
        <w:t>第三部分  供应商须知</w:t>
      </w:r>
      <w:bookmarkEnd w:id="5"/>
      <w:bookmarkEnd w:id="6"/>
    </w:p>
    <w:p>
      <w:pPr>
        <w:pStyle w:val="4"/>
        <w:numPr>
          <w:ilvl w:val="0"/>
          <w:numId w:val="6"/>
        </w:numPr>
        <w:rPr>
          <w:rFonts w:ascii="宋体" w:hAnsi="宋体" w:cs="宋体"/>
        </w:rPr>
      </w:pPr>
      <w:bookmarkStart w:id="7" w:name="_Toc15735"/>
      <w:bookmarkStart w:id="8" w:name="_Toc7054"/>
      <w:bookmarkStart w:id="9" w:name="_Toc26739"/>
      <w:r>
        <w:rPr>
          <w:rFonts w:hint="eastAsia" w:ascii="宋体" w:hAnsi="宋体" w:cs="宋体"/>
        </w:rPr>
        <w:t>总 则</w:t>
      </w:r>
      <w:bookmarkEnd w:id="7"/>
      <w:bookmarkEnd w:id="8"/>
      <w:bookmarkEnd w:id="9"/>
    </w:p>
    <w:p>
      <w:pPr>
        <w:pStyle w:val="5"/>
        <w:numPr>
          <w:ilvl w:val="0"/>
          <w:numId w:val="7"/>
        </w:numPr>
        <w:spacing w:line="500" w:lineRule="exact"/>
        <w:ind w:firstLine="643" w:firstLineChars="200"/>
        <w:rPr>
          <w:rFonts w:ascii="宋体" w:hAnsi="宋体" w:cs="宋体"/>
          <w:szCs w:val="28"/>
        </w:rPr>
      </w:pPr>
      <w:bookmarkStart w:id="10" w:name="_Toc9257"/>
      <w:bookmarkStart w:id="11" w:name="_Toc6742"/>
      <w:bookmarkStart w:id="12" w:name="_Toc380336725"/>
      <w:bookmarkStart w:id="13" w:name="_Toc358364319"/>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7"/>
        </w:numPr>
        <w:spacing w:line="500" w:lineRule="exact"/>
        <w:ind w:firstLine="643" w:firstLineChars="200"/>
        <w:rPr>
          <w:rFonts w:ascii="宋体" w:hAnsi="宋体" w:cs="宋体"/>
          <w:szCs w:val="28"/>
        </w:rPr>
      </w:pPr>
      <w:bookmarkStart w:id="14" w:name="_Toc380336727"/>
      <w:bookmarkStart w:id="15" w:name="_Toc17676"/>
      <w:bookmarkStart w:id="16" w:name="_Toc358364321"/>
      <w:bookmarkStart w:id="17" w:name="_Toc2378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7"/>
        </w:numPr>
        <w:spacing w:line="500" w:lineRule="exact"/>
        <w:ind w:firstLine="643" w:firstLineChars="200"/>
        <w:rPr>
          <w:rFonts w:ascii="宋体" w:hAnsi="宋体" w:cs="宋体"/>
          <w:szCs w:val="28"/>
        </w:rPr>
      </w:pPr>
      <w:bookmarkStart w:id="18" w:name="_Toc358364322"/>
      <w:bookmarkStart w:id="19" w:name="_Toc22444"/>
      <w:bookmarkStart w:id="20" w:name="_Toc540"/>
      <w:bookmarkStart w:id="21" w:name="_Toc380336728"/>
      <w:r>
        <w:rPr>
          <w:rFonts w:hint="eastAsia" w:ascii="宋体" w:hAnsi="宋体" w:cs="宋体"/>
          <w:szCs w:val="28"/>
        </w:rPr>
        <w:t>费用</w:t>
      </w:r>
      <w:bookmarkEnd w:id="18"/>
      <w:bookmarkEnd w:id="19"/>
      <w:bookmarkEnd w:id="20"/>
      <w:bookmarkEnd w:id="21"/>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bookmarkStart w:id="22" w:name="_Toc17817"/>
      <w:r>
        <w:rPr>
          <w:rFonts w:hint="eastAsia" w:ascii="宋体" w:hAnsi="宋体" w:cs="宋体"/>
          <w:sz w:val="24"/>
          <w:szCs w:val="24"/>
        </w:rPr>
        <w:t>供应商必须从代理机构</w:t>
      </w:r>
      <w:r>
        <w:rPr>
          <w:rFonts w:hint="eastAsia" w:ascii="宋体" w:hAnsi="宋体" w:cs="宋体"/>
          <w:sz w:val="24"/>
          <w:szCs w:val="24"/>
          <w:lang w:val="en-US" w:eastAsia="zh-CN"/>
        </w:rPr>
        <w:t>获取</w:t>
      </w:r>
      <w:r>
        <w:rPr>
          <w:rFonts w:hint="eastAsia" w:ascii="宋体" w:hAnsi="宋体" w:cs="宋体"/>
          <w:sz w:val="24"/>
          <w:szCs w:val="24"/>
        </w:rPr>
        <w:t>谈判文件，供应商自行转让或复制谈判文件视为无效。</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eastAsia="宋体" w:cs="宋体"/>
          <w:kern w:val="0"/>
          <w:sz w:val="24"/>
          <w:szCs w:val="24"/>
        </w:rPr>
      </w:pPr>
    </w:p>
    <w:p>
      <w:pPr>
        <w:pStyle w:val="5"/>
        <w:numPr>
          <w:ilvl w:val="0"/>
          <w:numId w:val="7"/>
        </w:numPr>
        <w:spacing w:line="500" w:lineRule="exact"/>
        <w:ind w:left="-142" w:leftChars="0" w:firstLine="562" w:firstLineChars="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文件应当对</w:t>
      </w:r>
      <w:r>
        <w:rPr>
          <w:rFonts w:hint="eastAsia" w:ascii="宋体" w:hAnsi="宋体" w:cs="宋体"/>
          <w:sz w:val="24"/>
          <w:szCs w:val="24"/>
          <w:lang w:eastAsia="zh-CN"/>
        </w:rPr>
        <w:t>竞争性谈判</w:t>
      </w:r>
      <w:r>
        <w:rPr>
          <w:rFonts w:hint="eastAsia" w:ascii="宋体" w:hAnsi="宋体" w:cs="宋体"/>
          <w:sz w:val="24"/>
          <w:szCs w:val="24"/>
        </w:rPr>
        <w:t>文件实质性要求和条件作出满足性或有利于采购人的响应，否则，供应商的</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w:t>
      </w:r>
      <w:r>
        <w:rPr>
          <w:rFonts w:hint="eastAsia" w:ascii="宋体" w:hAnsi="宋体" w:cs="宋体"/>
          <w:sz w:val="24"/>
          <w:szCs w:val="24"/>
          <w:lang w:eastAsia="zh-CN"/>
        </w:rPr>
        <w:t>竞争性谈判</w:t>
      </w:r>
      <w:r>
        <w:rPr>
          <w:rFonts w:hint="eastAsia" w:ascii="宋体" w:hAnsi="宋体" w:cs="宋体"/>
          <w:sz w:val="24"/>
          <w:szCs w:val="24"/>
        </w:rPr>
        <w:t>文件规定的其他</w:t>
      </w:r>
      <w:r>
        <w:rPr>
          <w:rFonts w:hint="eastAsia" w:ascii="宋体" w:hAnsi="宋体" w:cs="宋体"/>
          <w:sz w:val="24"/>
          <w:szCs w:val="24"/>
          <w:lang w:eastAsia="zh-CN"/>
        </w:rPr>
        <w:t>响应</w:t>
      </w:r>
      <w:r>
        <w:rPr>
          <w:rFonts w:hint="eastAsia" w:ascii="宋体" w:hAnsi="宋体" w:cs="宋体"/>
          <w:sz w:val="24"/>
          <w:szCs w:val="24"/>
        </w:rPr>
        <w:t>无效情形外，</w:t>
      </w:r>
      <w:r>
        <w:rPr>
          <w:rFonts w:hint="eastAsia" w:ascii="宋体" w:hAnsi="宋体" w:cs="宋体"/>
          <w:sz w:val="24"/>
          <w:szCs w:val="24"/>
          <w:lang w:eastAsia="zh-CN"/>
        </w:rPr>
        <w:t>谈判</w:t>
      </w:r>
      <w:r>
        <w:rPr>
          <w:rFonts w:hint="eastAsia" w:ascii="宋体" w:hAnsi="宋体" w:cs="宋体"/>
          <w:sz w:val="24"/>
          <w:szCs w:val="24"/>
        </w:rPr>
        <w:t>文件中用“★”符号标明的条款为实质性要求和条件，</w:t>
      </w:r>
      <w:r>
        <w:rPr>
          <w:rFonts w:hint="eastAsia" w:ascii="宋体" w:hAnsi="宋体" w:cs="宋体"/>
          <w:sz w:val="24"/>
          <w:szCs w:val="24"/>
          <w:lang w:eastAsia="zh-CN"/>
        </w:rPr>
        <w:t>响应</w:t>
      </w:r>
      <w:r>
        <w:rPr>
          <w:rFonts w:hint="eastAsia" w:ascii="宋体" w:hAnsi="宋体" w:cs="宋体"/>
          <w:sz w:val="24"/>
          <w:szCs w:val="24"/>
        </w:rPr>
        <w:t>文件对其中任何一条的偏离，为实质性偏离，其</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对</w:t>
      </w:r>
      <w:r>
        <w:rPr>
          <w:rFonts w:hint="eastAsia" w:ascii="宋体" w:hAnsi="宋体" w:cs="宋体"/>
          <w:sz w:val="24"/>
          <w:szCs w:val="24"/>
          <w:lang w:eastAsia="zh-CN"/>
        </w:rPr>
        <w:t>竞争性谈判文件</w:t>
      </w:r>
      <w:r>
        <w:rPr>
          <w:rFonts w:hint="eastAsia" w:ascii="宋体" w:hAnsi="宋体" w:cs="宋体"/>
          <w:sz w:val="24"/>
          <w:szCs w:val="24"/>
        </w:rPr>
        <w:t>的全部偏离，均应在</w:t>
      </w:r>
      <w:r>
        <w:rPr>
          <w:rFonts w:hint="eastAsia" w:ascii="宋体" w:hAnsi="宋体" w:cs="宋体"/>
          <w:sz w:val="24"/>
          <w:szCs w:val="24"/>
          <w:lang w:eastAsia="zh-CN"/>
        </w:rPr>
        <w:t>响应文件</w:t>
      </w:r>
      <w:r>
        <w:rPr>
          <w:rFonts w:hint="eastAsia" w:ascii="宋体" w:hAnsi="宋体" w:cs="宋体"/>
          <w:sz w:val="24"/>
          <w:szCs w:val="24"/>
        </w:rPr>
        <w:t>商务条款偏离表和技术参数偏离表中列明，除列明的内容外，视为供应商响应</w:t>
      </w:r>
      <w:r>
        <w:rPr>
          <w:rFonts w:hint="eastAsia" w:ascii="宋体" w:hAnsi="宋体" w:cs="宋体"/>
          <w:sz w:val="24"/>
          <w:szCs w:val="24"/>
          <w:lang w:eastAsia="zh-CN"/>
        </w:rPr>
        <w:t>竞争性谈判文件</w:t>
      </w:r>
      <w:r>
        <w:rPr>
          <w:rFonts w:hint="eastAsia" w:ascii="宋体" w:hAnsi="宋体" w:cs="宋体"/>
          <w:sz w:val="24"/>
          <w:szCs w:val="24"/>
        </w:rPr>
        <w:t>的全部要求。</w:t>
      </w:r>
    </w:p>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4"/>
        <w:numPr>
          <w:ilvl w:val="0"/>
          <w:numId w:val="6"/>
        </w:numPr>
        <w:rPr>
          <w:rFonts w:ascii="宋体" w:hAnsi="宋体" w:cs="宋体"/>
        </w:rPr>
      </w:pPr>
      <w:bookmarkStart w:id="23" w:name="_Toc21586"/>
      <w:r>
        <w:rPr>
          <w:rFonts w:hint="eastAsia" w:ascii="宋体" w:hAnsi="宋体" w:cs="宋体"/>
        </w:rPr>
        <w:t>竞争性谈判文件</w:t>
      </w:r>
      <w:bookmarkEnd w:id="23"/>
    </w:p>
    <w:p>
      <w:pPr>
        <w:pStyle w:val="5"/>
        <w:numPr>
          <w:ilvl w:val="0"/>
          <w:numId w:val="9"/>
        </w:numPr>
        <w:rPr>
          <w:rFonts w:ascii="宋体" w:hAnsi="宋体" w:eastAsia="宋体" w:cs="宋体"/>
        </w:rPr>
      </w:pPr>
      <w:bookmarkStart w:id="24" w:name="_Toc5801"/>
      <w:r>
        <w:rPr>
          <w:rFonts w:hint="eastAsia" w:ascii="宋体" w:hAnsi="宋体" w:eastAsia="宋体" w:cs="宋体"/>
        </w:rPr>
        <w:t>竞争性谈判文件的构成</w:t>
      </w:r>
      <w:bookmarkEnd w:id="24"/>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竞争性谈判文件是供应商准备响应文件和参加谈判的依据，同时也是评审的重要依据，具有准法律文件性质。本竞争性谈判文件包括以下内容：</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合同主要条款；</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eastAsia="宋体" w:cs="宋体"/>
          <w:sz w:val="24"/>
        </w:rPr>
        <w:t>。</w:t>
      </w:r>
    </w:p>
    <w:p>
      <w:pPr>
        <w:pStyle w:val="5"/>
        <w:numPr>
          <w:ilvl w:val="0"/>
          <w:numId w:val="9"/>
        </w:numPr>
        <w:rPr>
          <w:rFonts w:ascii="宋体" w:hAnsi="宋体" w:eastAsia="宋体" w:cs="宋体"/>
        </w:rPr>
      </w:pPr>
      <w:bookmarkStart w:id="25" w:name="_Toc19797"/>
      <w:r>
        <w:rPr>
          <w:rFonts w:hint="eastAsia" w:ascii="宋体" w:hAnsi="宋体" w:eastAsia="宋体" w:cs="宋体"/>
        </w:rPr>
        <w:t>竞争性谈判文件的澄清</w:t>
      </w:r>
      <w:bookmarkEnd w:id="25"/>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w:t>
      </w:r>
      <w:r>
        <w:rPr>
          <w:rFonts w:hint="eastAsia" w:ascii="宋体" w:hAnsi="宋体" w:cs="宋体"/>
          <w:sz w:val="24"/>
          <w:szCs w:val="24"/>
        </w:rPr>
        <w:t>自行承担</w:t>
      </w:r>
      <w:r>
        <w:rPr>
          <w:rFonts w:hint="eastAsia" w:ascii="宋体" w:hAnsi="宋体" w:eastAsia="宋体" w:cs="宋体"/>
          <w:sz w:val="24"/>
          <w:szCs w:val="24"/>
        </w:rPr>
        <w:t>。</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5"/>
        <w:numPr>
          <w:ilvl w:val="0"/>
          <w:numId w:val="9"/>
        </w:numPr>
        <w:rPr>
          <w:rFonts w:ascii="宋体" w:hAnsi="宋体" w:eastAsia="宋体" w:cs="宋体"/>
        </w:rPr>
      </w:pPr>
      <w:bookmarkStart w:id="26" w:name="_Toc6390"/>
      <w:r>
        <w:rPr>
          <w:rFonts w:hint="eastAsia" w:ascii="宋体" w:hAnsi="宋体" w:eastAsia="宋体" w:cs="宋体"/>
        </w:rPr>
        <w:t>竞争性谈判文件的修改</w:t>
      </w:r>
      <w:bookmarkEnd w:id="26"/>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5"/>
        <w:numPr>
          <w:ilvl w:val="0"/>
          <w:numId w:val="9"/>
        </w:numPr>
        <w:rPr>
          <w:rFonts w:ascii="宋体" w:hAnsi="宋体" w:eastAsia="宋体" w:cs="宋体"/>
        </w:rPr>
      </w:pPr>
      <w:bookmarkStart w:id="27" w:name="_Toc5095"/>
      <w:r>
        <w:rPr>
          <w:rFonts w:hint="eastAsia" w:ascii="宋体" w:hAnsi="宋体" w:eastAsia="宋体" w:cs="宋体"/>
        </w:rPr>
        <w:t>竞争性谈判文件的解释权归代理机构。</w:t>
      </w:r>
      <w:bookmarkEnd w:id="27"/>
    </w:p>
    <w:p>
      <w:pPr>
        <w:pStyle w:val="5"/>
        <w:numPr>
          <w:ilvl w:val="0"/>
          <w:numId w:val="0"/>
        </w:numPr>
        <w:spacing w:line="500" w:lineRule="exact"/>
        <w:ind w:leftChars="200"/>
        <w:rPr>
          <w:rFonts w:hint="eastAsia" w:ascii="宋体" w:hAnsi="宋体" w:cs="宋体"/>
          <w:szCs w:val="28"/>
          <w:highlight w:val="none"/>
        </w:rPr>
      </w:pPr>
      <w:r>
        <w:rPr>
          <w:rFonts w:hint="eastAsia" w:ascii="宋体" w:hAnsi="宋体" w:cs="宋体"/>
          <w:szCs w:val="28"/>
          <w:highlight w:val="none"/>
          <w:lang w:val="en-US" w:eastAsia="zh-CN"/>
        </w:rPr>
        <w:t>5、</w:t>
      </w:r>
      <w:r>
        <w:rPr>
          <w:rFonts w:hint="eastAsia" w:ascii="宋体" w:hAnsi="宋体" w:cs="宋体"/>
          <w:szCs w:val="28"/>
          <w:highlight w:val="none"/>
        </w:rPr>
        <w:t>落实的政府采购政策</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5.1节能产品、环境标志产品</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供应商可以提供所投产品经国家确定的认证机构出具的、处于有效期之内的节能产品、环境标志产品认证证书复印件。采购代理机构通过中国政府采购网（http：//www.ccgp.gov.cn/）对获证产品信息进行核对。</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5.2中小企业</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w:t>
      </w:r>
      <w:r>
        <w:rPr>
          <w:rFonts w:hint="eastAsia" w:ascii="宋体" w:hAnsi="宋体" w:eastAsia="宋体" w:cs="宋体"/>
          <w:sz w:val="24"/>
          <w:szCs w:val="24"/>
          <w:highlight w:val="none"/>
          <w:lang w:eastAsia="zh-CN"/>
        </w:rPr>
        <w:t>合同包</w:t>
      </w:r>
      <w:r>
        <w:rPr>
          <w:rFonts w:hint="eastAsia" w:ascii="宋体" w:hAnsi="宋体" w:eastAsia="宋体" w:cs="宋体"/>
          <w:sz w:val="24"/>
          <w:szCs w:val="24"/>
          <w:highlight w:val="none"/>
        </w:rPr>
        <w:t>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w:t>
      </w:r>
      <w:r>
        <w:rPr>
          <w:rFonts w:hint="eastAsia" w:ascii="宋体" w:hAnsi="宋体" w:eastAsia="宋体" w:cs="宋体"/>
          <w:sz w:val="24"/>
          <w:szCs w:val="24"/>
          <w:highlight w:val="none"/>
          <w:lang w:eastAsia="zh-CN"/>
        </w:rPr>
        <w:t>合同包</w:t>
      </w:r>
      <w:r>
        <w:rPr>
          <w:rFonts w:hint="eastAsia" w:ascii="宋体" w:hAnsi="宋体" w:eastAsia="宋体" w:cs="宋体"/>
          <w:sz w:val="24"/>
          <w:szCs w:val="24"/>
          <w:highlight w:val="none"/>
        </w:rPr>
        <w:t>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符合小微企业政策条件；在服务采购项目中，服务由小微企业承接，视为小微企业。符合中小企业政策条件的供应商参加政府采购活动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应当提供《中小企业声明函》（见附件二），不提供的在评标时不享受价格扣除优惠政策。货物和服务项目，对小型和微型企业的价格给予6%～10%的扣除，用扣除后的价格参与评审。</w:t>
      </w:r>
      <w:r>
        <w:rPr>
          <w:rFonts w:hint="eastAsia" w:ascii="宋体" w:hAnsi="宋体" w:eastAsia="宋体" w:cs="宋体"/>
          <w:b/>
          <w:bCs/>
          <w:sz w:val="24"/>
          <w:szCs w:val="24"/>
          <w:highlight w:val="none"/>
        </w:rPr>
        <w:t>本项目</w:t>
      </w:r>
      <w:r>
        <w:rPr>
          <w:rFonts w:hint="eastAsia" w:ascii="宋体" w:hAnsi="宋体" w:eastAsia="宋体" w:cs="宋体"/>
          <w:b/>
          <w:bCs/>
          <w:sz w:val="24"/>
          <w:szCs w:val="24"/>
          <w:highlight w:val="none"/>
          <w:lang w:val="en-US" w:eastAsia="zh-CN"/>
        </w:rPr>
        <w:t>面向中小企业，不给予价格扣除</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 xml:space="preserve">工程项目，对小型和微型企业的价格给予3%～5%的扣除，用扣除后的价格参与评审。 </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依据《财政部、司法部关于政府采购支持监狱企业发展有关问题的通知》（财库〔2014〕68号）之规定，监狱企业参加政府采购活动，视同小微企业。应当提供由省级以上监狱管理局、戒毒管理局出具的属于监狱企业的证明文件，在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eastAsia="zh-CN"/>
        </w:rPr>
        <w:t>享受小微企业</w:t>
      </w:r>
      <w:r>
        <w:rPr>
          <w:rFonts w:hint="eastAsia" w:ascii="宋体" w:hAnsi="宋体" w:eastAsia="宋体" w:cs="宋体"/>
          <w:sz w:val="24"/>
          <w:szCs w:val="24"/>
          <w:highlight w:val="none"/>
        </w:rPr>
        <w:t>政策。未提供或出具证明文件的单位不符合相关要求的，不视为小微企业</w:t>
      </w:r>
      <w:r>
        <w:rPr>
          <w:rFonts w:hint="eastAsia" w:ascii="宋体" w:hAnsi="宋体" w:eastAsia="宋体" w:cs="宋体"/>
          <w:sz w:val="24"/>
          <w:szCs w:val="24"/>
          <w:highlight w:val="none"/>
          <w:lang w:eastAsia="zh-CN"/>
        </w:rPr>
        <w:t>。</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依据《财政部、民政部、中国残疾人联合会关于促进残疾人就业政府采购政策的通知》（财库〔2017〕141号）之规定，残疾人福利性单位参加政府采购活动，视同小微企业，应当提供《残疾人福利性单位声明函》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时享受</w:t>
      </w:r>
      <w:r>
        <w:rPr>
          <w:rFonts w:hint="eastAsia" w:ascii="宋体" w:hAnsi="宋体" w:eastAsia="宋体" w:cs="宋体"/>
          <w:sz w:val="24"/>
          <w:szCs w:val="24"/>
          <w:highlight w:val="none"/>
          <w:lang w:eastAsia="zh-CN"/>
        </w:rPr>
        <w:t>小微企业</w:t>
      </w:r>
      <w:r>
        <w:rPr>
          <w:rFonts w:hint="eastAsia" w:ascii="宋体" w:hAnsi="宋体" w:eastAsia="宋体" w:cs="宋体"/>
          <w:sz w:val="24"/>
          <w:szCs w:val="24"/>
          <w:highlight w:val="none"/>
        </w:rPr>
        <w:t>政策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未提供的不视为小微企业</w:t>
      </w:r>
      <w:r>
        <w:rPr>
          <w:rFonts w:hint="eastAsia" w:ascii="宋体" w:hAnsi="宋体" w:eastAsia="宋体" w:cs="宋体"/>
          <w:sz w:val="24"/>
          <w:szCs w:val="24"/>
          <w:highlight w:val="none"/>
          <w:lang w:eastAsia="zh-CN"/>
        </w:rPr>
        <w:t>。</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残疾人福利性单位属于小微企业的，不重复享受政策。</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rFonts w:hint="eastAsia" w:ascii="宋体" w:hAnsi="宋体" w:eastAsia="宋体" w:cs="宋体"/>
          <w:sz w:val="24"/>
          <w:szCs w:val="24"/>
          <w:highlight w:val="none"/>
        </w:rPr>
        <w:sectPr>
          <w:pgSz w:w="11906" w:h="16838"/>
          <w:pgMar w:top="1440" w:right="1706" w:bottom="1440" w:left="1800" w:header="851" w:footer="992" w:gutter="0"/>
          <w:pgNumType w:fmt="decimal"/>
          <w:cols w:space="720" w:num="1"/>
          <w:docGrid w:type="lines" w:linePitch="312" w:charSpace="0"/>
        </w:sectPr>
      </w:pPr>
      <w:r>
        <w:rPr>
          <w:rFonts w:hint="eastAsia" w:ascii="宋体" w:hAnsi="宋体" w:eastAsia="宋体" w:cs="宋体"/>
          <w:sz w:val="24"/>
          <w:szCs w:val="24"/>
          <w:highlight w:val="none"/>
          <w:lang w:val="en-US" w:eastAsia="zh-CN"/>
        </w:rPr>
        <w:t>5.5供应商有融资、担保需求的：《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sz w:val="24"/>
          <w:szCs w:val="24"/>
          <w:highlight w:val="none"/>
        </w:rPr>
        <w:t>。</w:t>
      </w:r>
    </w:p>
    <w:p>
      <w:pPr>
        <w:pStyle w:val="4"/>
        <w:numPr>
          <w:ilvl w:val="0"/>
          <w:numId w:val="6"/>
        </w:numPr>
        <w:rPr>
          <w:rFonts w:ascii="宋体" w:hAnsi="宋体" w:cs="宋体"/>
        </w:rPr>
      </w:pPr>
      <w:bookmarkStart w:id="28" w:name="_Toc32082"/>
      <w:r>
        <w:rPr>
          <w:rFonts w:hint="eastAsia" w:ascii="宋体" w:hAnsi="宋体" w:cs="宋体"/>
        </w:rPr>
        <w:t>响应文件</w:t>
      </w:r>
      <w:bookmarkEnd w:id="28"/>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36" w:lineRule="auto"/>
        <w:ind w:firstLine="420"/>
        <w:textAlignment w:val="auto"/>
        <w:rPr>
          <w:rFonts w:ascii="宋体" w:hAnsi="宋体" w:eastAsia="宋体" w:cs="宋体"/>
        </w:rPr>
      </w:pPr>
      <w:bookmarkStart w:id="29" w:name="_Toc17549"/>
      <w:r>
        <w:rPr>
          <w:rFonts w:hint="eastAsia" w:ascii="宋体" w:hAnsi="宋体" w:eastAsia="宋体" w:cs="宋体"/>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bookmarkStart w:id="30" w:name="_Toc27646"/>
      <w:r>
        <w:rPr>
          <w:rFonts w:hint="eastAsia" w:ascii="宋体" w:hAnsi="宋体" w:eastAsia="宋体" w:cs="宋体"/>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r>
        <w:rPr>
          <w:rFonts w:hint="eastAsia" w:ascii="宋体" w:hAnsi="宋体" w:eastAsia="宋体" w:cs="宋体"/>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5"/>
        <w:keepNext/>
        <w:keepLines/>
        <w:pageBreakBefore w:val="0"/>
        <w:widowControl w:val="0"/>
        <w:numPr>
          <w:ilvl w:val="0"/>
          <w:numId w:val="11"/>
        </w:numPr>
        <w:kinsoku/>
        <w:wordWrap/>
        <w:overflowPunct/>
        <w:topLinePunct w:val="0"/>
        <w:autoSpaceDE/>
        <w:autoSpaceDN/>
        <w:bidi w:val="0"/>
        <w:adjustRightInd/>
        <w:snapToGrid/>
        <w:spacing w:before="100" w:after="100" w:line="413" w:lineRule="auto"/>
        <w:ind w:firstLine="420"/>
        <w:textAlignment w:val="auto"/>
        <w:rPr>
          <w:rFonts w:ascii="宋体" w:hAnsi="宋体" w:eastAsia="宋体" w:cs="宋体"/>
        </w:rPr>
      </w:pPr>
      <w:r>
        <w:rPr>
          <w:rFonts w:hint="eastAsia" w:ascii="宋体" w:hAnsi="宋体" w:eastAsia="宋体" w:cs="宋体"/>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szCs w:val="32"/>
        </w:rPr>
      </w:pPr>
      <w:r>
        <w:rPr>
          <w:rFonts w:hint="eastAsia" w:ascii="宋体" w:hAnsi="宋体" w:eastAsia="宋体" w:cs="宋体"/>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eastAsia="宋体" w:cs="宋体"/>
          <w:kern w:val="0"/>
          <w:sz w:val="24"/>
        </w:rPr>
      </w:pPr>
    </w:p>
    <w:p>
      <w:pPr>
        <w:pStyle w:val="4"/>
        <w:numPr>
          <w:ilvl w:val="0"/>
          <w:numId w:val="6"/>
        </w:numPr>
        <w:rPr>
          <w:rFonts w:ascii="宋体" w:hAnsi="宋体" w:cs="宋体"/>
        </w:rPr>
        <w:sectPr>
          <w:footerReference r:id="rId9" w:type="default"/>
          <w:pgSz w:w="11906" w:h="16838"/>
          <w:pgMar w:top="1440" w:right="1803" w:bottom="1440" w:left="1803" w:header="851" w:footer="992" w:gutter="0"/>
          <w:pgNumType w:fmt="decimal"/>
          <w:cols w:space="720" w:num="1"/>
          <w:docGrid w:type="lines" w:linePitch="319" w:charSpace="0"/>
        </w:sectPr>
      </w:pPr>
      <w:bookmarkStart w:id="34" w:name="_Toc3565"/>
      <w:bookmarkStart w:id="35" w:name="_Toc3736"/>
    </w:p>
    <w:p>
      <w:pPr>
        <w:pStyle w:val="4"/>
        <w:numPr>
          <w:ilvl w:val="0"/>
          <w:numId w:val="6"/>
        </w:numPr>
        <w:rPr>
          <w:rFonts w:ascii="宋体" w:hAnsi="宋体" w:cs="宋体"/>
        </w:rPr>
      </w:pPr>
      <w:bookmarkStart w:id="36" w:name="_Toc18754"/>
      <w:r>
        <w:rPr>
          <w:rFonts w:hint="eastAsia" w:ascii="宋体" w:hAnsi="宋体" w:cs="宋体"/>
        </w:rPr>
        <w:t>响应文件的递交</w:t>
      </w:r>
      <w:bookmarkEnd w:id="34"/>
      <w:bookmarkEnd w:id="36"/>
    </w:p>
    <w:bookmarkEnd w:id="35"/>
    <w:p>
      <w:pPr>
        <w:pStyle w:val="5"/>
        <w:numPr>
          <w:ilvl w:val="0"/>
          <w:numId w:val="12"/>
        </w:numPr>
        <w:rPr>
          <w:rFonts w:ascii="宋体" w:hAnsi="宋体" w:eastAsia="宋体" w:cs="宋体"/>
        </w:rPr>
      </w:pPr>
      <w:bookmarkStart w:id="37" w:name="_Toc3685"/>
      <w:r>
        <w:rPr>
          <w:rFonts w:hint="eastAsia" w:ascii="宋体" w:hAnsi="宋体" w:eastAsia="宋体" w:cs="宋体"/>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5"/>
        <w:numPr>
          <w:ilvl w:val="0"/>
          <w:numId w:val="12"/>
        </w:numPr>
        <w:rPr>
          <w:rFonts w:ascii="宋体" w:hAnsi="宋体" w:eastAsia="宋体" w:cs="宋体"/>
        </w:rPr>
      </w:pPr>
      <w:bookmarkStart w:id="38" w:name="_Toc12741"/>
      <w:r>
        <w:rPr>
          <w:rFonts w:hint="eastAsia" w:ascii="宋体" w:hAnsi="宋体" w:eastAsia="宋体" w:cs="宋体"/>
        </w:rPr>
        <w:t>响应文件的修改和撤回</w:t>
      </w:r>
      <w:bookmarkEnd w:id="38"/>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在谈判截止时间之后，供应商不得对其递交的响应文件做任何修改或撤回。</w:t>
      </w:r>
    </w:p>
    <w:p>
      <w:pPr>
        <w:pStyle w:val="4"/>
        <w:numPr>
          <w:ilvl w:val="0"/>
          <w:numId w:val="6"/>
        </w:numPr>
        <w:rPr>
          <w:rFonts w:ascii="宋体" w:hAnsi="宋体" w:cs="宋体"/>
        </w:rPr>
      </w:pPr>
      <w:bookmarkStart w:id="39" w:name="_Toc22766"/>
      <w:bookmarkStart w:id="40" w:name="_Toc14415"/>
      <w:bookmarkStart w:id="41" w:name="_Toc27066"/>
      <w:r>
        <w:rPr>
          <w:rFonts w:hint="eastAsia" w:ascii="宋体" w:hAnsi="宋体" w:cs="宋体"/>
        </w:rPr>
        <w:t>谈判、评审、定标</w:t>
      </w:r>
      <w:bookmarkEnd w:id="39"/>
      <w:bookmarkEnd w:id="40"/>
      <w:bookmarkEnd w:id="41"/>
    </w:p>
    <w:p>
      <w:pPr>
        <w:pStyle w:val="5"/>
        <w:numPr>
          <w:ilvl w:val="0"/>
          <w:numId w:val="13"/>
        </w:numPr>
        <w:ind w:left="420" w:leftChars="0" w:firstLineChars="0"/>
        <w:rPr>
          <w:rFonts w:ascii="宋体" w:hAnsi="宋体" w:eastAsia="宋体" w:cs="宋体"/>
        </w:rPr>
      </w:pPr>
      <w:r>
        <w:rPr>
          <w:rFonts w:hint="eastAsia" w:ascii="宋体" w:hAnsi="宋体" w:eastAsia="宋体" w:cs="宋体"/>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sz w:val="24"/>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1.3谈判时，响应文件中出现下列情况，修正原则为：</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numPr>
          <w:ilvl w:val="0"/>
          <w:numId w:val="13"/>
        </w:numPr>
        <w:ind w:left="420" w:leftChars="0" w:firstLineChars="0"/>
        <w:rPr>
          <w:rFonts w:ascii="宋体" w:hAnsi="宋体" w:eastAsia="宋体" w:cs="宋体"/>
        </w:rPr>
      </w:pPr>
      <w:r>
        <w:rPr>
          <w:rFonts w:hint="eastAsia" w:ascii="宋体" w:hAnsi="宋体" w:eastAsia="宋体" w:cs="宋体"/>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谈判小组对各供应商的响应文件进行审查、评估和比较，并推荐成交候选人。</w:t>
      </w:r>
    </w:p>
    <w:p>
      <w:pPr>
        <w:pStyle w:val="5"/>
        <w:numPr>
          <w:ilvl w:val="0"/>
          <w:numId w:val="13"/>
        </w:numPr>
        <w:ind w:left="420" w:leftChars="0" w:firstLineChars="0"/>
        <w:rPr>
          <w:rFonts w:ascii="宋体" w:hAnsi="宋体" w:eastAsia="宋体" w:cs="宋体"/>
        </w:rPr>
      </w:pPr>
      <w:bookmarkStart w:id="42" w:name="_Toc386129876"/>
      <w:bookmarkStart w:id="43" w:name="_Toc385958808"/>
      <w:bookmarkStart w:id="44" w:name="_Toc28085"/>
      <w:bookmarkStart w:id="45" w:name="_Toc27940"/>
      <w:r>
        <w:rPr>
          <w:rFonts w:hint="eastAsia" w:ascii="宋体" w:hAnsi="宋体" w:eastAsia="宋体" w:cs="宋体"/>
        </w:rPr>
        <w:t>响应文件初审</w:t>
      </w:r>
      <w:bookmarkEnd w:id="42"/>
      <w:bookmarkEnd w:id="43"/>
      <w:bookmarkEnd w:id="44"/>
      <w:bookmarkEnd w:id="45"/>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w:t>
      </w:r>
      <w:r>
        <w:rPr>
          <w:rFonts w:hint="eastAsia" w:ascii="宋体" w:hAnsi="宋体" w:eastAsia="宋体" w:cs="宋体"/>
          <w:kern w:val="0"/>
          <w:sz w:val="24"/>
          <w:lang w:eastAsia="zh-CN"/>
        </w:rPr>
        <w:t>采购人或采购代理机构</w:t>
      </w:r>
      <w:r>
        <w:rPr>
          <w:rFonts w:hint="eastAsia" w:ascii="宋体" w:hAnsi="宋体" w:eastAsia="宋体" w:cs="宋体"/>
          <w:kern w:val="0"/>
          <w:sz w:val="24"/>
        </w:rPr>
        <w:t>对响应文件中的资格证明文件等进行审查，以确保供应商是否具备相应资格。</w:t>
      </w:r>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响应文件符合性审查</w:t>
      </w:r>
    </w:p>
    <w:p>
      <w:pPr>
        <w:pStyle w:val="9"/>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19"/>
        <w:spacing w:after="210" w:afterAutospacing="0" w:line="27" w:lineRule="atLeast"/>
        <w:jc w:val="both"/>
      </w:pPr>
      <w:r>
        <w:rPr>
          <w:rFonts w:hint="eastAsia"/>
        </w:rPr>
        <w:t>　　（一）不同供应商的响应文件由同一单位或者个人编制；</w:t>
      </w:r>
    </w:p>
    <w:p>
      <w:pPr>
        <w:pStyle w:val="19"/>
        <w:spacing w:after="210" w:afterAutospacing="0" w:line="27" w:lineRule="atLeast"/>
        <w:jc w:val="both"/>
      </w:pPr>
      <w:r>
        <w:rPr>
          <w:rFonts w:hint="eastAsia"/>
        </w:rPr>
        <w:t>　　（二）不同供应商委托同一单位或者个人办理投标事宜；</w:t>
      </w:r>
    </w:p>
    <w:p>
      <w:pPr>
        <w:pStyle w:val="19"/>
        <w:spacing w:after="210" w:afterAutospacing="0" w:line="27" w:lineRule="atLeast"/>
        <w:jc w:val="both"/>
      </w:pPr>
      <w:r>
        <w:rPr>
          <w:rFonts w:hint="eastAsia"/>
        </w:rPr>
        <w:t>　　（三）不同供应商的响应文件载明的项目管理成员或者联系人员为同一人；</w:t>
      </w:r>
    </w:p>
    <w:p>
      <w:pPr>
        <w:pStyle w:val="19"/>
        <w:spacing w:after="210" w:afterAutospacing="0" w:line="27" w:lineRule="atLeast"/>
        <w:jc w:val="both"/>
      </w:pPr>
      <w:r>
        <w:rPr>
          <w:rFonts w:hint="eastAsia"/>
        </w:rPr>
        <w:t>　　（四）不同供应商的响应文件异常一致或者投标报价呈规律性差异；</w:t>
      </w:r>
    </w:p>
    <w:p>
      <w:pPr>
        <w:pStyle w:val="19"/>
        <w:spacing w:after="210" w:afterAutospacing="0" w:line="27" w:lineRule="atLeast"/>
        <w:jc w:val="both"/>
      </w:pPr>
      <w:r>
        <w:rPr>
          <w:rFonts w:hint="eastAsia"/>
        </w:rPr>
        <w:t>　　（五）不同供应商的响应文件相互混装；</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5"/>
        <w:numPr>
          <w:ilvl w:val="0"/>
          <w:numId w:val="13"/>
        </w:numPr>
        <w:ind w:left="420" w:leftChars="0" w:firstLineChars="0"/>
        <w:rPr>
          <w:rFonts w:ascii="宋体" w:hAnsi="宋体" w:eastAsia="宋体" w:cs="宋体"/>
        </w:rPr>
      </w:pPr>
      <w:bookmarkStart w:id="46" w:name="_Toc17705"/>
      <w:r>
        <w:rPr>
          <w:rFonts w:hint="eastAsia" w:ascii="宋体" w:hAnsi="宋体" w:eastAsia="宋体" w:cs="宋体"/>
        </w:rPr>
        <w:t>响应文件澄清</w:t>
      </w:r>
      <w:bookmarkEnd w:id="46"/>
    </w:p>
    <w:p>
      <w:pPr>
        <w:overflowPunct w:val="0"/>
        <w:adjustRightInd w:val="0"/>
        <w:snapToGrid w:val="0"/>
        <w:spacing w:line="360" w:lineRule="auto"/>
        <w:ind w:firstLine="480" w:firstLineChars="200"/>
        <w:rPr>
          <w:rFonts w:ascii="宋体" w:hAnsi="宋体" w:eastAsia="宋体" w:cs="宋体"/>
          <w:sz w:val="24"/>
        </w:rPr>
      </w:pPr>
      <w:bookmarkStart w:id="47" w:name="_Toc8353"/>
      <w:r>
        <w:rPr>
          <w:rFonts w:hint="eastAsia" w:ascii="宋体" w:hAnsi="宋体" w:eastAsia="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供应商应采用书面形式进行澄清或说明，但不得超出响应文件的范围或改变响应文件的实质性内容。</w:t>
      </w:r>
    </w:p>
    <w:p>
      <w:pPr>
        <w:pStyle w:val="5"/>
        <w:numPr>
          <w:ilvl w:val="0"/>
          <w:numId w:val="13"/>
        </w:numPr>
        <w:ind w:left="420" w:leftChars="0" w:firstLineChars="0"/>
        <w:rPr>
          <w:rFonts w:ascii="宋体" w:hAnsi="宋体" w:eastAsia="宋体" w:cs="宋体"/>
        </w:rPr>
      </w:pPr>
      <w:r>
        <w:rPr>
          <w:rFonts w:hint="eastAsia" w:ascii="宋体" w:hAnsi="宋体" w:eastAsia="宋体" w:cs="宋体"/>
        </w:rPr>
        <w:t>评</w:t>
      </w:r>
      <w:bookmarkEnd w:id="47"/>
      <w:r>
        <w:rPr>
          <w:rFonts w:hint="eastAsia" w:ascii="宋体" w:hAnsi="宋体" w:eastAsia="宋体" w:cs="宋体"/>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5.2、依据《中华人民共和国政府采购法》和《中华人民共和国政府采购法实施条例》的有关规定，落实政府采购“优先购买节能环保产品，扶持小微企业、监狱企业、福利企业”等相关政策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只有通过</w:t>
      </w:r>
      <w:r>
        <w:rPr>
          <w:rFonts w:hint="eastAsia" w:ascii="宋体" w:hAnsi="宋体" w:eastAsia="宋体" w:cs="宋体"/>
          <w:sz w:val="24"/>
          <w:lang w:eastAsia="zh-CN"/>
        </w:rPr>
        <w:t>资格性审查和</w:t>
      </w:r>
      <w:r>
        <w:rPr>
          <w:rFonts w:hint="eastAsia" w:ascii="宋体" w:hAnsi="宋体" w:eastAsia="宋体" w:cs="宋体"/>
          <w:sz w:val="24"/>
        </w:rPr>
        <w:t>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谈判轮次为一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eastAsia="宋体" w:cs="宋体"/>
          <w:sz w:val="24"/>
        </w:rPr>
      </w:pPr>
      <w:r>
        <w:rPr>
          <w:rFonts w:hint="eastAsia" w:ascii="宋体" w:hAnsi="宋体" w:eastAsia="宋体" w:cs="宋体"/>
          <w:sz w:val="24"/>
        </w:rPr>
        <w:t>5.4、</w:t>
      </w:r>
      <w:r>
        <w:rPr>
          <w:rFonts w:hint="eastAsia" w:ascii="宋体" w:hAnsi="宋体" w:eastAsia="宋体" w:cs="宋体"/>
          <w:color w:val="000000"/>
          <w:kern w:val="0"/>
          <w:sz w:val="24"/>
          <w:szCs w:val="24"/>
        </w:rPr>
        <w:t>谈判小组</w:t>
      </w:r>
      <w:r>
        <w:rPr>
          <w:rFonts w:hint="eastAsia" w:ascii="宋体" w:hAnsi="宋体" w:cs="宋体"/>
          <w:color w:val="000000"/>
          <w:kern w:val="0"/>
          <w:sz w:val="24"/>
          <w:szCs w:val="24"/>
        </w:rPr>
        <w:t>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5.7谈判小组按照采购需求、质量和服务相等且报价最低的原则确定成交候选供应商，若出现相同报价的，可再次报价，直至产生唯一最低报价。</w:t>
      </w:r>
    </w:p>
    <w:p>
      <w:pPr>
        <w:pStyle w:val="5"/>
        <w:numPr>
          <w:ilvl w:val="0"/>
          <w:numId w:val="13"/>
        </w:numPr>
        <w:ind w:left="420" w:leftChars="0" w:firstLineChars="0"/>
        <w:rPr>
          <w:rFonts w:ascii="宋体" w:hAnsi="宋体" w:eastAsia="宋体" w:cs="宋体"/>
        </w:rPr>
      </w:pPr>
      <w:bookmarkStart w:id="48" w:name="_Toc12947"/>
      <w:r>
        <w:rPr>
          <w:rFonts w:hint="eastAsia" w:ascii="宋体" w:hAnsi="宋体" w:eastAsia="宋体" w:cs="宋体"/>
        </w:rPr>
        <w:t>定标</w:t>
      </w:r>
      <w:bookmarkEnd w:id="4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w:t>
      </w:r>
      <w:r>
        <w:rPr>
          <w:rFonts w:hint="eastAsia" w:ascii="宋体" w:hAnsi="宋体" w:eastAsia="宋体" w:cs="宋体"/>
          <w:sz w:val="24"/>
          <w:lang w:val="en-US" w:eastAsia="zh-CN"/>
        </w:rPr>
        <w:t>1</w:t>
      </w:r>
      <w:r>
        <w:rPr>
          <w:rFonts w:hint="eastAsia" w:ascii="宋体" w:hAnsi="宋体" w:eastAsia="宋体" w:cs="宋体"/>
          <w:sz w:val="24"/>
        </w:rPr>
        <w:t>个工作日内将评审报告送达采购单位，采购单位在收到评审报告后</w:t>
      </w:r>
      <w:r>
        <w:rPr>
          <w:rFonts w:hint="eastAsia" w:ascii="宋体" w:hAnsi="宋体" w:eastAsia="宋体" w:cs="宋体"/>
          <w:sz w:val="24"/>
          <w:lang w:val="en-US" w:eastAsia="zh-CN"/>
        </w:rPr>
        <w:t>4</w:t>
      </w:r>
      <w:r>
        <w:rPr>
          <w:rFonts w:hint="eastAsia" w:ascii="宋体" w:hAnsi="宋体" w:eastAsia="宋体" w:cs="宋体"/>
          <w:sz w:val="24"/>
        </w:rPr>
        <w:t>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代理机构收到采购单位“定标复函”后</w:t>
      </w:r>
      <w:r>
        <w:rPr>
          <w:rFonts w:hint="eastAsia" w:ascii="宋体" w:hAnsi="宋体" w:eastAsia="宋体" w:cs="宋体"/>
          <w:sz w:val="24"/>
          <w:lang w:val="en-US" w:eastAsia="zh-CN"/>
        </w:rPr>
        <w:t>1</w:t>
      </w:r>
      <w:r>
        <w:rPr>
          <w:rFonts w:hint="eastAsia" w:ascii="宋体" w:hAnsi="宋体" w:eastAsia="宋体" w:cs="宋体"/>
          <w:sz w:val="24"/>
        </w:rPr>
        <w:t>日内，在财政部门指定的政府采购信息媒体上发布公告，并向成交供应商发出“成交通知书”。</w:t>
      </w:r>
    </w:p>
    <w:p>
      <w:pPr>
        <w:spacing w:line="360" w:lineRule="auto"/>
        <w:ind w:firstLine="420" w:firstLineChars="175"/>
        <w:jc w:val="left"/>
        <w:rPr>
          <w:rFonts w:ascii="宋体" w:hAnsi="宋体" w:eastAsia="宋体" w:cs="宋体"/>
          <w:sz w:val="24"/>
        </w:rPr>
      </w:pPr>
    </w:p>
    <w:p>
      <w:pPr>
        <w:pStyle w:val="4"/>
        <w:numPr>
          <w:ilvl w:val="0"/>
          <w:numId w:val="6"/>
        </w:numPr>
        <w:rPr>
          <w:rFonts w:ascii="宋体" w:hAnsi="宋体" w:cs="宋体"/>
        </w:rPr>
      </w:pPr>
      <w:bookmarkStart w:id="49" w:name="_Toc19972"/>
      <w:bookmarkStart w:id="50" w:name="_Toc25308"/>
      <w:bookmarkStart w:id="51" w:name="_Toc2454"/>
      <w:r>
        <w:rPr>
          <w:rFonts w:hint="eastAsia" w:ascii="宋体" w:hAnsi="宋体" w:cs="宋体"/>
        </w:rPr>
        <w:t>签订合同</w:t>
      </w:r>
      <w:bookmarkEnd w:id="49"/>
      <w:bookmarkEnd w:id="50"/>
      <w:bookmarkEnd w:id="51"/>
    </w:p>
    <w:p>
      <w:pPr>
        <w:pStyle w:val="8"/>
        <w:spacing w:line="360" w:lineRule="auto"/>
        <w:rPr>
          <w:rFonts w:ascii="宋体" w:hAnsi="宋体" w:cs="宋体"/>
          <w:sz w:val="24"/>
          <w:szCs w:val="24"/>
        </w:rPr>
      </w:pPr>
      <w:bookmarkStart w:id="52" w:name="_Toc28110"/>
      <w:bookmarkStart w:id="53" w:name="_Toc26132"/>
      <w:r>
        <w:rPr>
          <w:rFonts w:hint="eastAsia" w:ascii="宋体" w:hAnsi="宋体" w:cs="宋体"/>
          <w:sz w:val="24"/>
          <w:szCs w:val="24"/>
        </w:rPr>
        <w:t>采购人与中标、成交供应商应当在中标、成交通知书发出之日起</w:t>
      </w:r>
      <w:r>
        <w:rPr>
          <w:rFonts w:hint="eastAsia" w:ascii="宋体" w:hAnsi="宋体" w:cs="宋体"/>
          <w:sz w:val="24"/>
          <w:szCs w:val="24"/>
          <w:lang w:val="en-US" w:eastAsia="zh-CN"/>
        </w:rPr>
        <w:t>二十五</w:t>
      </w:r>
      <w:r>
        <w:rPr>
          <w:rFonts w:hint="eastAsia" w:ascii="宋体" w:hAnsi="宋体" w:cs="宋体"/>
          <w:sz w:val="24"/>
          <w:szCs w:val="24"/>
        </w:rPr>
        <w:t>日内，按照采购文件确定的事项签订政府采购合同。</w:t>
      </w:r>
    </w:p>
    <w:bookmarkEnd w:id="52"/>
    <w:bookmarkEnd w:id="53"/>
    <w:p>
      <w:pPr>
        <w:pStyle w:val="4"/>
        <w:numPr>
          <w:ilvl w:val="0"/>
          <w:numId w:val="6"/>
        </w:numPr>
        <w:rPr>
          <w:rFonts w:ascii="宋体" w:hAnsi="宋体" w:cs="宋体"/>
        </w:rPr>
      </w:pPr>
      <w:bookmarkStart w:id="54" w:name="_Toc13575"/>
      <w:bookmarkStart w:id="55" w:name="_Toc16019"/>
      <w:bookmarkStart w:id="56" w:name="_Toc7191"/>
      <w:bookmarkStart w:id="57" w:name="_Toc21950"/>
      <w:bookmarkStart w:id="58" w:name="_Toc27418"/>
      <w:bookmarkStart w:id="59" w:name="_Toc32056"/>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w:t>
      </w:r>
      <w:r>
        <w:rPr>
          <w:rFonts w:hint="eastAsia" w:ascii="宋体" w:hAnsi="宋体" w:cs="宋体"/>
          <w:sz w:val="24"/>
          <w:szCs w:val="24"/>
          <w:lang w:val="en-US" w:eastAsia="zh-CN"/>
        </w:rPr>
        <w:t>20层</w:t>
      </w:r>
      <w:r>
        <w:rPr>
          <w:rFonts w:hint="eastAsia" w:ascii="宋体" w:hAnsi="宋体" w:cs="宋体"/>
          <w:sz w:val="24"/>
          <w:szCs w:val="24"/>
        </w:rPr>
        <w:t>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r>
        <w:rPr>
          <w:rFonts w:hint="eastAsia"/>
        </w:rPr>
        <w:br w:type="page"/>
      </w:r>
    </w:p>
    <w:p>
      <w:pPr>
        <w:numPr>
          <w:ilvl w:val="0"/>
          <w:numId w:val="0"/>
        </w:numPr>
        <w:spacing w:line="360" w:lineRule="auto"/>
        <w:ind w:left="420" w:leftChars="0"/>
        <w:jc w:val="center"/>
        <w:outlineLvl w:val="1"/>
        <w:rPr>
          <w:rFonts w:hint="eastAsia" w:ascii="宋体" w:hAnsi="宋体" w:eastAsia="宋体" w:cs="宋体"/>
          <w:b/>
          <w:bCs w:val="0"/>
          <w:color w:val="auto"/>
          <w:kern w:val="2"/>
          <w:sz w:val="28"/>
          <w:szCs w:val="22"/>
          <w:highlight w:val="none"/>
          <w:lang w:val="en-US" w:eastAsia="zh-CN" w:bidi="ar-SA"/>
        </w:rPr>
      </w:pPr>
      <w:bookmarkStart w:id="61" w:name="_Toc9508"/>
      <w:bookmarkStart w:id="62" w:name="_Toc21415"/>
      <w:r>
        <w:rPr>
          <w:rFonts w:hint="eastAsia" w:ascii="宋体" w:hAnsi="宋体" w:eastAsia="宋体" w:cs="宋体"/>
          <w:b/>
          <w:bCs w:val="0"/>
          <w:color w:val="auto"/>
          <w:kern w:val="2"/>
          <w:sz w:val="28"/>
          <w:szCs w:val="22"/>
          <w:highlight w:val="none"/>
          <w:lang w:val="en-US" w:eastAsia="zh-CN" w:bidi="ar-SA"/>
        </w:rPr>
        <w:t>八、其他</w:t>
      </w:r>
      <w:bookmarkEnd w:id="61"/>
      <w:bookmarkEnd w:id="62"/>
    </w:p>
    <w:p>
      <w:pPr>
        <w:numPr>
          <w:ilvl w:val="0"/>
          <w:numId w:val="0"/>
        </w:numPr>
        <w:spacing w:line="360" w:lineRule="auto"/>
        <w:ind w:left="0" w:leftChars="0" w:firstLine="420" w:firstLineChars="175"/>
        <w:jc w:val="both"/>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投标文件递交截止时间后，提交投标文件的</w:t>
      </w:r>
      <w:r>
        <w:rPr>
          <w:rFonts w:hint="eastAsia" w:ascii="宋体" w:hAnsi="宋体" w:cs="宋体"/>
          <w:sz w:val="24"/>
          <w:szCs w:val="24"/>
          <w:lang w:eastAsia="zh-CN"/>
        </w:rPr>
        <w:t>供应商</w:t>
      </w:r>
      <w:r>
        <w:rPr>
          <w:rFonts w:hint="eastAsia" w:ascii="宋体" w:hAnsi="宋体" w:cs="宋体"/>
          <w:sz w:val="24"/>
          <w:szCs w:val="24"/>
        </w:rPr>
        <w:t>不足3家或者通过资格审查或符合性审查的</w:t>
      </w:r>
      <w:r>
        <w:rPr>
          <w:rFonts w:hint="eastAsia" w:ascii="宋体" w:hAnsi="宋体" w:cs="宋体"/>
          <w:sz w:val="24"/>
          <w:szCs w:val="24"/>
          <w:lang w:eastAsia="zh-CN"/>
        </w:rPr>
        <w:t>供应商</w:t>
      </w:r>
      <w:r>
        <w:rPr>
          <w:rFonts w:hint="eastAsia" w:ascii="宋体" w:hAnsi="宋体" w:cs="宋体"/>
          <w:sz w:val="24"/>
          <w:szCs w:val="24"/>
        </w:rPr>
        <w:t>不足3家的，根据《西安市财政局关于进一步规范市级预算单位变更政府采购方式审批管理的通知》</w:t>
      </w:r>
      <w:r>
        <w:rPr>
          <w:rFonts w:hint="eastAsia" w:ascii="宋体" w:hAnsi="宋体" w:cs="宋体"/>
          <w:kern w:val="0"/>
          <w:sz w:val="24"/>
          <w:szCs w:val="24"/>
        </w:rPr>
        <w:t>市财发〔2017〕186号</w:t>
      </w:r>
      <w:r>
        <w:rPr>
          <w:rFonts w:hint="eastAsia" w:ascii="宋体" w:hAnsi="宋体" w:cs="宋体"/>
          <w:sz w:val="24"/>
          <w:szCs w:val="24"/>
        </w:rPr>
        <w:t>、《西安市财政局关于进一步加强政府采购评审组织过程中变更采购方式管理的通知》（市财发〔2013〕333号）、《西安市财政局关于贯彻实施&lt;政府采购非招标采购方式管理办法&gt;的通知》（市财函〔2014〕120号）、《财政部关于印发政府采购竞争性磋商采购方式管理暂行办法的通知》（财库〔2014〕214号）及其补充通知（财库〔2015〕124号）执行由采购人自主选择以下其中一种方式：</w:t>
      </w:r>
    </w:p>
    <w:p>
      <w:pPr>
        <w:spacing w:line="360" w:lineRule="auto"/>
        <w:ind w:left="0" w:leftChars="0" w:firstLine="420" w:firstLineChars="175"/>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按废标处理；</w:t>
      </w:r>
    </w:p>
    <w:p>
      <w:pPr>
        <w:spacing w:line="360" w:lineRule="auto"/>
        <w:ind w:left="0" w:leftChars="0" w:firstLine="420" w:firstLineChars="175"/>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按照中华人民共和国财政部令第87号--《政府采购货物和服务招标投标管理办法》第43条规定，经采购人报财政部门批准后现场改变采购方式，继续采购活动。</w:t>
      </w:r>
    </w:p>
    <w:p>
      <w:pPr>
        <w:spacing w:line="360" w:lineRule="auto"/>
        <w:ind w:left="0" w:leftChars="0" w:firstLine="420" w:firstLineChars="175"/>
        <w:rPr>
          <w:rFonts w:ascii="宋体" w:hAnsi="宋体" w:cs="宋体"/>
          <w:sz w:val="24"/>
          <w:szCs w:val="24"/>
        </w:rPr>
      </w:pPr>
      <w:r>
        <w:rPr>
          <w:rFonts w:hint="eastAsia" w:ascii="宋体" w:hAnsi="宋体" w:cs="宋体"/>
          <w:sz w:val="24"/>
          <w:szCs w:val="24"/>
        </w:rPr>
        <w:t>如果采用竞争性磋商方式继续进行采购，则按照以下程序进行：</w:t>
      </w:r>
    </w:p>
    <w:p>
      <w:pPr>
        <w:spacing w:line="360" w:lineRule="auto"/>
        <w:ind w:left="0" w:leftChars="0" w:firstLine="420" w:firstLineChars="175"/>
        <w:rPr>
          <w:rFonts w:ascii="宋体" w:hAnsi="宋体" w:cs="宋体"/>
          <w:sz w:val="24"/>
          <w:szCs w:val="24"/>
        </w:rPr>
      </w:pPr>
      <w:r>
        <w:rPr>
          <w:rFonts w:hint="eastAsia" w:ascii="宋体" w:hAnsi="宋体" w:cs="宋体"/>
          <w:sz w:val="24"/>
          <w:szCs w:val="24"/>
        </w:rPr>
        <w:t xml:space="preserve">按照中华人民共和国财政部令第87号--《政府采购货物和服务招标投标管理办法》、《财政部关于印发政府采购竞争性磋商采购方式管理暂行办法的通知》（财库〔2014〕214号），本次评审采用多轮报价，综合评分的办法，即从质量和服务均能满足招标文件要求的供应商中，综合评分推荐成交候选人。  </w:t>
      </w:r>
    </w:p>
    <w:p>
      <w:pPr>
        <w:overflowPunct w:val="0"/>
        <w:adjustRightInd w:val="0"/>
        <w:snapToGrid w:val="0"/>
        <w:spacing w:line="500" w:lineRule="exact"/>
        <w:ind w:left="0" w:leftChars="0" w:firstLine="420" w:firstLineChars="175"/>
        <w:rPr>
          <w:rFonts w:ascii="宋体" w:hAnsi="宋体" w:cs="宋体"/>
          <w:kern w:val="0"/>
          <w:sz w:val="24"/>
          <w:szCs w:val="24"/>
        </w:rPr>
      </w:pPr>
      <w:r>
        <w:rPr>
          <w:rFonts w:hint="eastAsia" w:ascii="宋体" w:hAnsi="宋体" w:cs="宋体"/>
          <w:kern w:val="0"/>
          <w:sz w:val="24"/>
          <w:szCs w:val="24"/>
        </w:rPr>
        <w:t>如果采用竞争性谈判方式继续进行采购，则按照以下程序进行：</w:t>
      </w:r>
    </w:p>
    <w:p>
      <w:pPr>
        <w:overflowPunct w:val="0"/>
        <w:adjustRightInd w:val="0"/>
        <w:snapToGrid w:val="0"/>
        <w:spacing w:line="500" w:lineRule="exact"/>
        <w:ind w:left="0" w:leftChars="0" w:firstLine="420" w:firstLineChars="175"/>
        <w:rPr>
          <w:rFonts w:ascii="宋体" w:hAnsi="宋体" w:cs="宋体"/>
          <w:kern w:val="0"/>
          <w:sz w:val="24"/>
          <w:szCs w:val="24"/>
        </w:rPr>
      </w:pPr>
      <w:r>
        <w:rPr>
          <w:rFonts w:hint="eastAsia" w:ascii="宋体" w:hAnsi="宋体" w:cs="宋体"/>
          <w:kern w:val="0"/>
          <w:sz w:val="24"/>
          <w:szCs w:val="24"/>
        </w:rPr>
        <w:t>竞争性谈判遵循《政府采购非招标采购方式管理办法》（中华人民共和国财政部令第74号），根据质量和服务均能够满足采购文件实质性响应要求且最后报价最低的原则确定成交候选人。</w:t>
      </w:r>
    </w:p>
    <w:p>
      <w:pPr>
        <w:pStyle w:val="6"/>
        <w:ind w:left="0" w:leftChars="0" w:firstLine="562" w:firstLineChars="175"/>
        <w:rPr>
          <w:rFonts w:hint="default"/>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p>
    <w:p>
      <w:pPr>
        <w:pStyle w:val="3"/>
        <w:pageBreakBefore/>
        <w:numPr>
          <w:ilvl w:val="0"/>
          <w:numId w:val="16"/>
        </w:numPr>
        <w:rPr>
          <w:rFonts w:hint="eastAsia" w:ascii="宋体" w:hAnsi="宋体" w:cs="宋体"/>
        </w:rPr>
      </w:pPr>
      <w:r>
        <w:rPr>
          <w:rFonts w:hint="eastAsia" w:ascii="宋体" w:hAnsi="宋体" w:cs="宋体"/>
        </w:rPr>
        <w:t xml:space="preserve"> </w:t>
      </w:r>
      <w:bookmarkStart w:id="63" w:name="_Toc15729"/>
      <w:r>
        <w:rPr>
          <w:rFonts w:hint="eastAsia" w:ascii="宋体" w:hAnsi="宋体" w:cs="宋体"/>
        </w:rPr>
        <w:t>评审标准</w:t>
      </w:r>
      <w:bookmarkEnd w:id="60"/>
      <w:bookmarkEnd w:id="63"/>
    </w:p>
    <w:p>
      <w:pPr>
        <w:rPr>
          <w:rFonts w:ascii="宋体" w:hAnsi="宋体" w:eastAsia="宋体" w:cs="宋体"/>
          <w:sz w:val="24"/>
          <w:szCs w:val="28"/>
        </w:rPr>
      </w:pPr>
      <w:r>
        <w:rPr>
          <w:rFonts w:hint="eastAsia" w:ascii="宋体" w:hAnsi="宋体" w:eastAsia="宋体" w:cs="宋体"/>
          <w:sz w:val="24"/>
          <w:szCs w:val="28"/>
        </w:rPr>
        <w:t>根据符合需求、质量和服务相等且报价最低原则确定成交供应商。</w:t>
      </w:r>
    </w:p>
    <w:p/>
    <w:p>
      <w:pPr>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1、</w:t>
      </w:r>
      <w:r>
        <w:rPr>
          <w:rFonts w:hint="eastAsia" w:ascii="宋体" w:hAnsi="宋体" w:cs="宋体"/>
          <w:b/>
          <w:bCs/>
          <w:sz w:val="24"/>
        </w:rPr>
        <w:t>本</w:t>
      </w:r>
      <w:r>
        <w:rPr>
          <w:rFonts w:hint="eastAsia" w:ascii="宋体" w:hAnsi="宋体" w:cs="宋体"/>
          <w:b/>
          <w:bCs/>
          <w:sz w:val="24"/>
          <w:lang w:val="en-US" w:eastAsia="zh-CN"/>
        </w:rPr>
        <w:t>项目</w:t>
      </w:r>
      <w:r>
        <w:rPr>
          <w:rFonts w:hint="eastAsia" w:ascii="宋体" w:hAnsi="宋体" w:cs="宋体"/>
          <w:b/>
          <w:bCs/>
          <w:sz w:val="24"/>
        </w:rPr>
        <w:t>专门面向中小企业采购。中小企业参加政府采购活动，必须出具《政府采购促进中小企业发展管理办法》（财库〔2020〕46号）规定的《中小企业声明函》，否则按无效响应处理。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2、在政府采购活动中，监狱企业视同小型、微型企业。监狱企业参加政府采购活动时，须提供由省级以上监狱管理局、戒毒管理局（含新疆生产建设兵团）出具的属于监狱企业的证明文件，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3、在政府采购活动中，残疾人福利性单位视同小型、微型企业。残疾人福利性单位参加政府采购活动时，须出具三部门联合发布关于促进残疾人就业政府采购政策的通知财库〔2017〕141号规定的残疾人福利性单位声明函，否则按无效响应处理。</w:t>
      </w:r>
    </w:p>
    <w:p>
      <w:pPr>
        <w:spacing w:line="360" w:lineRule="auto"/>
        <w:ind w:firstLine="482" w:firstLineChars="200"/>
        <w:rPr>
          <w:rFonts w:hint="eastAsia" w:ascii="宋体" w:hAnsi="宋体" w:cs="宋体" w:eastAsiaTheme="minorEastAsia"/>
          <w:b/>
          <w:bCs/>
          <w:sz w:val="24"/>
          <w:lang w:eastAsia="zh-CN"/>
        </w:rPr>
      </w:pPr>
      <w:r>
        <w:rPr>
          <w:rFonts w:hint="eastAsia" w:ascii="宋体" w:hAnsi="宋体" w:cs="宋体"/>
          <w:b/>
          <w:bCs/>
          <w:sz w:val="24"/>
          <w:lang w:val="en-US" w:eastAsia="zh-CN"/>
        </w:rPr>
        <w:t>4.</w:t>
      </w:r>
      <w:r>
        <w:rPr>
          <w:rFonts w:hint="eastAsia" w:ascii="宋体" w:hAnsi="宋体" w:cs="宋体"/>
          <w:b/>
          <w:bCs/>
          <w:sz w:val="24"/>
        </w:rPr>
        <w:t>节能环保产品以节能产品、环境标志产品认证证书为准</w:t>
      </w:r>
      <w:r>
        <w:rPr>
          <w:rFonts w:hint="eastAsia" w:ascii="宋体" w:hAnsi="宋体" w:cs="宋体"/>
          <w:b/>
          <w:bCs/>
          <w:sz w:val="24"/>
          <w:lang w:eastAsia="zh-CN"/>
        </w:rPr>
        <w:t>。</w:t>
      </w:r>
    </w:p>
    <w:p>
      <w:pPr>
        <w:numPr>
          <w:ilvl w:val="0"/>
          <w:numId w:val="0"/>
        </w:numPr>
        <w:jc w:val="center"/>
        <w:rPr>
          <w:rFonts w:hint="eastAsia"/>
          <w:b/>
          <w:bCs/>
          <w:sz w:val="24"/>
          <w:szCs w:val="28"/>
          <w:lang w:eastAsia="zh-CN"/>
        </w:rPr>
        <w:sectPr>
          <w:pgSz w:w="11906" w:h="16838"/>
          <w:pgMar w:top="1440" w:right="1803" w:bottom="1440" w:left="1803" w:header="851" w:footer="992" w:gutter="0"/>
          <w:cols w:space="720" w:num="1"/>
          <w:docGrid w:type="lines" w:linePitch="319" w:charSpace="0"/>
        </w:sectPr>
      </w:pPr>
    </w:p>
    <w:p>
      <w:pPr>
        <w:pStyle w:val="3"/>
        <w:pageBreakBefore/>
        <w:numPr>
          <w:ilvl w:val="0"/>
          <w:numId w:val="17"/>
        </w:numPr>
        <w:jc w:val="center"/>
        <w:rPr>
          <w:rFonts w:hint="eastAsia" w:ascii="宋体" w:hAnsi="宋体" w:cs="宋体"/>
        </w:rPr>
      </w:pPr>
      <w:bookmarkStart w:id="64" w:name="_Toc17290"/>
      <w:bookmarkStart w:id="65" w:name="_Toc2234"/>
      <w:r>
        <w:rPr>
          <w:rFonts w:hint="eastAsia" w:ascii="宋体" w:hAnsi="宋体" w:cs="宋体"/>
        </w:rPr>
        <w:t xml:space="preserve"> </w:t>
      </w:r>
      <w:bookmarkStart w:id="66" w:name="_Toc15058"/>
      <w:r>
        <w:rPr>
          <w:rFonts w:hint="eastAsia" w:ascii="宋体" w:hAnsi="宋体" w:cs="宋体"/>
        </w:rPr>
        <w:t>采购要求</w:t>
      </w:r>
      <w:bookmarkEnd w:id="66"/>
    </w:p>
    <w:p>
      <w:pPr>
        <w:rPr>
          <w:rFonts w:hint="eastAsia" w:ascii="宋体" w:hAnsi="宋体" w:eastAsia="宋体" w:cs="宋体"/>
          <w:sz w:val="24"/>
          <w:szCs w:val="24"/>
        </w:rPr>
      </w:pPr>
      <w:r>
        <w:rPr>
          <w:rFonts w:hint="eastAsia" w:ascii="宋体" w:hAnsi="宋体" w:eastAsia="宋体" w:cs="宋体"/>
          <w:sz w:val="24"/>
          <w:szCs w:val="24"/>
        </w:rPr>
        <w:t>备注：1、技术参数中要求提供证明材料等而未按要求提供的，视为负偏离；</w:t>
      </w:r>
    </w:p>
    <w:p>
      <w:pPr>
        <w:ind w:left="870" w:leftChars="300" w:hanging="240" w:hangingChars="100"/>
        <w:rPr>
          <w:rFonts w:hint="eastAsia" w:ascii="宋体" w:hAnsi="宋体" w:eastAsia="宋体" w:cs="宋体"/>
          <w:sz w:val="24"/>
          <w:szCs w:val="24"/>
        </w:rPr>
      </w:pPr>
      <w:r>
        <w:rPr>
          <w:rFonts w:hint="eastAsia" w:ascii="宋体" w:hAnsi="宋体" w:eastAsia="宋体" w:cs="宋体"/>
          <w:sz w:val="24"/>
          <w:szCs w:val="24"/>
        </w:rPr>
        <w:t>2、“★”项参数为实质性要求，响应文件对其中任何一条“★”的</w:t>
      </w:r>
      <w:r>
        <w:rPr>
          <w:rFonts w:hint="eastAsia" w:ascii="宋体" w:hAnsi="宋体" w:eastAsia="宋体" w:cs="宋体"/>
          <w:sz w:val="24"/>
          <w:szCs w:val="24"/>
          <w:lang w:val="en-US" w:eastAsia="zh-CN"/>
        </w:rPr>
        <w:t>负</w:t>
      </w:r>
      <w:r>
        <w:rPr>
          <w:rFonts w:hint="eastAsia" w:ascii="宋体" w:hAnsi="宋体" w:eastAsia="宋体" w:cs="宋体"/>
          <w:sz w:val="24"/>
          <w:szCs w:val="24"/>
        </w:rPr>
        <w:t>偏离，为实质性偏离，其响应无效。</w:t>
      </w:r>
    </w:p>
    <w:p>
      <w:pPr>
        <w:pStyle w:val="14"/>
        <w:rPr>
          <w:rFonts w:hint="eastAsia"/>
          <w:highlight w:val="none"/>
        </w:rPr>
      </w:pPr>
    </w:p>
    <w:tbl>
      <w:tblPr>
        <w:tblStyle w:val="23"/>
        <w:tblW w:w="51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1"/>
        <w:gridCol w:w="660"/>
        <w:gridCol w:w="750"/>
        <w:gridCol w:w="6350"/>
        <w:gridCol w:w="499"/>
        <w:gridCol w:w="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284"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序号</w:t>
            </w:r>
          </w:p>
        </w:tc>
        <w:tc>
          <w:tcPr>
            <w:tcW w:w="360"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类别</w:t>
            </w:r>
          </w:p>
        </w:tc>
        <w:tc>
          <w:tcPr>
            <w:tcW w:w="410"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货物名称</w:t>
            </w:r>
          </w:p>
        </w:tc>
        <w:tc>
          <w:tcPr>
            <w:tcW w:w="347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参数</w:t>
            </w:r>
          </w:p>
        </w:tc>
        <w:tc>
          <w:tcPr>
            <w:tcW w:w="27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数量</w:t>
            </w:r>
          </w:p>
        </w:tc>
        <w:tc>
          <w:tcPr>
            <w:tcW w:w="197"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284"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360"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交互触摸屏</w:t>
            </w:r>
          </w:p>
        </w:tc>
        <w:tc>
          <w:tcPr>
            <w:tcW w:w="410"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86寸交互平板</w:t>
            </w:r>
          </w:p>
        </w:tc>
        <w:tc>
          <w:tcPr>
            <w:tcW w:w="3472" w:type="pct"/>
            <w:shd w:val="clear" w:color="auto" w:fill="auto"/>
            <w:vAlign w:val="top"/>
          </w:tcPr>
          <w:p>
            <w:pPr>
              <w:widowControl/>
              <w:spacing w:line="36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一、整机设计</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sz w:val="24"/>
                <w:szCs w:val="24"/>
              </w:rPr>
              <w:t>显示尺寸≥86英寸, 分辨率≥3840×2160，表面采用防眩光高安全系数钢化玻璃；支持红外≥20点触摸感应方式。</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2.采用LED背光源。屏前玻璃厚度≥3mm。</w:t>
            </w:r>
          </w:p>
          <w:p>
            <w:pPr>
              <w:pStyle w:val="52"/>
              <w:spacing w:line="360" w:lineRule="exact"/>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3．产品内置喇叭，功率不低于2x15W。</w:t>
            </w:r>
          </w:p>
          <w:p>
            <w:pPr>
              <w:pStyle w:val="46"/>
              <w:spacing w:line="360" w:lineRule="exact"/>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★4.具有不少于8个前置物理按键，至少包含电源键、菜单、主页、信号源、音量，按键具备明显标识；支持电源按键三合一功能，可选择关闭产品、节能等，具有供电保护功能。</w:t>
            </w:r>
            <w:r>
              <w:rPr>
                <w:rFonts w:hint="eastAsia" w:asciiTheme="minorEastAsia" w:hAnsiTheme="minorEastAsia" w:eastAsiaTheme="minorEastAsia" w:cstheme="minorEastAsia"/>
                <w:sz w:val="24"/>
                <w:szCs w:val="24"/>
                <w:lang w:val="en-US" w:eastAsia="zh-CN"/>
              </w:rPr>
              <w:t>(提供证明文件）</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5.具有触摸防遮挡功能，触摸屏具有防遮挡功能，触摸接收器在单点或单边遮挡后仍能正常触控书写和操作；触控连续响应无间断，有效识别≤2毫米，触控精准度32768x32768。</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sz w:val="24"/>
                <w:szCs w:val="24"/>
              </w:rPr>
              <w:t>.内置无线网络模块，采用全向信号接发设计，支持无线网络连接。</w:t>
            </w:r>
          </w:p>
          <w:p>
            <w:pPr>
              <w:pStyle w:val="46"/>
              <w:spacing w:line="360" w:lineRule="exact"/>
              <w:ind w:left="0" w:lef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sz w:val="24"/>
                <w:szCs w:val="24"/>
                <w:lang w:bidi="ar"/>
              </w:rPr>
              <w:t xml:space="preserve"> </w:t>
            </w:r>
            <w:r>
              <w:rPr>
                <w:rFonts w:hint="eastAsia" w:asciiTheme="minorEastAsia" w:hAnsiTheme="minorEastAsia" w:eastAsiaTheme="minorEastAsia" w:cstheme="minorEastAsia"/>
                <w:sz w:val="24"/>
                <w:szCs w:val="24"/>
              </w:rPr>
              <w:t>★具有五指熄屏功能，支持五指智能手势识别开关产品背光，操作者可在显示区域任意位置，任意信号下，通过五指按压屏幕实现对屏幕的开关，五指触控实现产品背光的关闭与开启。</w:t>
            </w:r>
            <w:r>
              <w:rPr>
                <w:rFonts w:hint="eastAsia" w:asciiTheme="minorEastAsia" w:hAnsiTheme="minorEastAsia" w:eastAsiaTheme="minorEastAsia" w:cstheme="minorEastAsia"/>
                <w:sz w:val="24"/>
                <w:szCs w:val="24"/>
                <w:lang w:val="en-US" w:eastAsia="zh-CN"/>
              </w:rPr>
              <w:t>(提供证明文件）</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sz w:val="24"/>
                <w:szCs w:val="24"/>
              </w:rPr>
              <w:t>采用智能电子产品一键式设计：同一物理按键完成Android、Windows系统的节能熄屏操作，通过按键实现节能熄屏/唤醒，并可与触摸菜单节能熄屏、遥控器熄屏、五指触控熄屏功能互通互用；产品在任意通道下，支持手势识别调出板擦工具擦除批注内容，支持调整板擦工具的大小。</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sz w:val="24"/>
                <w:szCs w:val="24"/>
              </w:rPr>
              <w:t>产品处于关机通电状态，外接电脑显示信号通过传输线连接至产品时，产品可智能识别外接电脑设备信号输入并自动开机；产品外接信号源时，支持自动跳转到外接信号源通道。</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需支持锁定屏幕触摸，可通过软件菜单（调试菜单）锁定屏幕触摸，锁定应用、锁定USB。</w:t>
            </w:r>
          </w:p>
          <w:p>
            <w:pPr>
              <w:pStyle w:val="46"/>
              <w:spacing w:line="360" w:lineRule="exact"/>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内置触摸中控菜单，支持信号源通道切换、背光、声音等，无须实体按键，在任意显示通道下均可通过手势在屏幕上调取触摸菜单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(提供证明文件）</w:t>
            </w:r>
          </w:p>
          <w:p>
            <w:pPr>
              <w:pStyle w:val="46"/>
              <w:spacing w:line="360" w:lineRule="exact"/>
              <w:ind w:left="0" w:lef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产品支持环境感光功能，能感应并自动调节屏幕亮度来达到在不同光照环境下的最佳显示效果；支持开启护眼模式。</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.支持安卓系统启动后可自动启动内置ops系统，支持无信号接收状态时能够自动熄屏，自动熄屏的时间间隔可选，支持定时开关机。</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.内置安卓系统，系统版本不低于9.0，内存不低于2G,存储不低于8G；</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.无PC状态下，内置互动白板支持书写及擦除，支持单点书写和多点书写切换。</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.支持网络共享功能（双系统单网口上网），单根网线接入产品，即可实现产品安卓系统和内置的电脑同时有线上网。</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.支持展板、会议功能，可快速完成欢迎界面和会议主题设置，全屏显示，支持不少于12种模板，支持会议签名功能，并可扫码带走签名及模板。</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.支持设置开机画面/动画，支持更换主题风格，包括会议主题、教育主题、科技主题等。</w:t>
            </w:r>
          </w:p>
          <w:p>
            <w:pPr>
              <w:pStyle w:val="46"/>
              <w:spacing w:line="36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.支持侧边栏功能，支持无操作自动隐藏；支持任意通道下使用批注，可选择二维码分享批注内容也可以以图片格式导入白板。</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.侧边栏需支持日历、童锁、节能、截屏（支持全屏和自由截屏）、护眼、聚光灯、幕布、亮度调节、声音调节等功能应用，支持快捷自定义程序应用。</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.整机内置非独立的高清摄像头，摄像头像素≥1300万，视角≥110°，支持阵列数字音频MIC，支持调用。</w:t>
            </w:r>
          </w:p>
          <w:p>
            <w:pPr>
              <w:widowControl/>
              <w:spacing w:line="36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二、白板软件</w:t>
            </w:r>
          </w:p>
          <w:p>
            <w:pPr>
              <w:spacing w:line="36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备课</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1.备课支持插入本地PPT，并保持原有格式无变化，动效动画无丢失，支持批注；支持显示保存在云端的课件信息，可接收或忽略其他用户分享的课件。</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2.支持对课件进行分享、下载、重命名、移动、删除操作，分享可按照手机号码及链接的方式进行分享，链接分享形式支持设置文件有效期、私密和公开的设置。</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3.课件支持自动同步至云端，支持设置课件自动保存时间。</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4.新建课件支持选择课件主题，提供预设课件主题，可在编辑课件的过程中更改。</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5.支持同时打开多个课件窗口，支持新建课件页面；支持课件页面切换；支持顺序调整，支持应用到全部。</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授课</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1.支持从备课状态一键进入授课状态，并可快速返回备课状态；支持交换底部索引栏；支持将软件最小化，可将软件缩至状态栏。</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2.工具栏包括菜单、选择、笔、橡皮、工具、学科等功能；云课件支持导出分享功能，支持生成二维码分享，可使用微信扫码可预览、保存课件。</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3.支持对象选择功能；支持书写功能，支持不低于十指同时书写。</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4.支持橡皮功能。</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5.提供小黑板、截图、录屏、撤销、还原、放大镜、计时器、形状、思维导图、幕布、分屏、漫游等通用工具。</w:t>
            </w:r>
          </w:p>
          <w:p>
            <w:pPr>
              <w:spacing w:line="36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6.支持语文、数学、英语、物理、化学、生物、历史、地理、道德与法治、科学、书法、音乐、美术、体育等不少于14种学科教学工具。</w:t>
            </w:r>
          </w:p>
          <w:p>
            <w:pPr>
              <w:spacing w:line="36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7.语文提供汉字、拼音工具；数学提供数学公式、函数、三角板、直尺、量角器、圆规、平面图形、立体图形工具；英语提供四线三格、音标、字母工具；科学提供各种动物卡通形象；书法提供兰亭集序、鹡鸰颂、九成宫醴泉铭、书法对联。</w:t>
            </w:r>
          </w:p>
          <w:p>
            <w:pPr>
              <w:pStyle w:val="46"/>
              <w:spacing w:line="36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lang w:val="en-US" w:eastAsia="zh-CN"/>
              </w:rPr>
              <w:t>供证明文件）</w:t>
            </w:r>
          </w:p>
          <w:p>
            <w:pPr>
              <w:widowControl/>
              <w:spacing w:line="36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三、同屏软件</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1.支持手机、笔记本电脑等移动端通过自动搜索接收端设备和六位识别码两种方式无线连接到产品。</w:t>
            </w:r>
          </w:p>
          <w:p>
            <w:pPr>
              <w:pStyle w:val="46"/>
              <w:spacing w:line="360" w:lineRule="exact"/>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★2.支持不少于6个投屏客户端图像画面对比展示，在产品上可以反向控制操作笔记本电脑上的内容,支持单击、双击、右键控制。</w:t>
            </w:r>
            <w:r>
              <w:rPr>
                <w:rFonts w:hint="eastAsia" w:asciiTheme="minorEastAsia" w:hAnsiTheme="minorEastAsia" w:eastAsiaTheme="minorEastAsia" w:cstheme="minorEastAsia"/>
                <w:sz w:val="24"/>
                <w:szCs w:val="24"/>
                <w:lang w:val="en-US" w:eastAsia="zh-CN"/>
              </w:rPr>
              <w:t>(提供证明文件）</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3.支持将手机中的音视频文件无线推送至产品 ,并能进行播放和进行音量大小调节。</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4.支持鼠标遥控器功能,通过软件一键进行鼠标左键、右键、上下滚轮滑动、触摸板操控等功能。</w:t>
            </w:r>
          </w:p>
          <w:p>
            <w:pPr>
              <w:widowControl/>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5.要求产品显示桌面可以实时同步到手机上,手机通过两个手指对产品桌面进行放大、缩小和漫游操作。</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kern w:val="0"/>
                <w:sz w:val="24"/>
                <w:szCs w:val="24"/>
              </w:rPr>
              <w:t>Windows客户端投屏至少支持桌面同步、镜像投屏和拓展投屏功能，点击功能会跳转至对应控制页面；Windows客户端进入控制页面，支持调节投屏清晰度，至少支持超清、高清等标准。</w:t>
            </w:r>
          </w:p>
          <w:p>
            <w:pPr>
              <w:spacing w:line="36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四、微课软件</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1.支持对音源、分辨率、录制区域进行设置；录制音源至少支持仅系统、仅麦克风、系统与麦克风。</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2.支持打开录课列表窗口，查看文件列表；支持打开云微课窗口，查看云端存储的文件列表。</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3.支持倒计时功能，开始录制倒计时3S后开始录制；支持录制过程中，录制工具条不影响录制画面。</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4.录制结束后，支持弹出视频预览画面，展示用户录制的整个视频，可任意拖动进度条查看内容，调整音量大小，全屏播放。</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5.支持将录制的视频内容保存至本地硬盘；并可将本地的录制文件上传到个人云端，数据存储更方便、更安全。</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6.支持对录制后的视频进行剪辑，剪辑包括视频合并、视频剪切、视频预览、并且可以添加水印；剪辑功能支持添加至少25字文字水印，支持字号选择、透明度调整，支持多种颜色，水印显示位置可选择。</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7.支持打开录课列表窗口，查看文件列表，在录课列表的任意目录下对文件或文件夹进行移动、删除、重命名等操作，可新建文件夹，快速搜索文件或文件夹。</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8.支持将视频文件上传至云端存储；支持在上传列表查看所有上传中的文件状态，可进行暂停、开始、取消等操作。</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pPr>
              <w:spacing w:line="36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五、教学管理软件</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软件可最小化至任务栏或退出应用。</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2.可快速打开平台查看对应的资源中心及个人云盘；教师的个人云盘存储空间不少于50G，教师可查看自己的个人资源、云微课、云课件；教师可将本地资源进行上传，也可将云端资源下载到本地。</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kern w:val="0"/>
                <w:sz w:val="24"/>
                <w:szCs w:val="24"/>
              </w:rPr>
              <w:t>支持查看课程列表，至少包括常规课程、互动课程、直播课程；课表以日历的形式呈现，可直接切换点击日期查看对应的课程数量及列表。</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4.支持常规课程创建，可设置课程名称、上课日期、时间，选择班级、关联课件，设置课件自动打开时间。</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5.支持远程互动课程创建。 </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6.支持直播课程创建，创建完成后，在平台端可观看直播。</w:t>
            </w:r>
          </w:p>
          <w:p>
            <w:pPr>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7.支持对云端资源的文件/文件夹的操作，可通过文件名、文件更新时间、文件大小进行排序。</w:t>
            </w:r>
          </w:p>
          <w:p>
            <w:pPr>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8.支持云微课功能，可自动获取该账号下使用微课软件录制并上传至云端的全部文件列表；支持云课件功能，可自动获取该账号下使用白板软件制作并上传至云端的全部文件列表。</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w:t>
            </w:r>
          </w:p>
          <w:p>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w:t>
            </w:r>
          </w:p>
          <w:p>
            <w:pPr>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12.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p>
          <w:p>
            <w:pPr>
              <w:spacing w:line="36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六、OPS电脑</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1．采用OPS插拔式架构，针脚数80pin，屏体与插拔式电脑无单独接线；</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2．处理器配置不低于Intel Core i5处理器；内存不低于8G；硬盘不低于256G-SSD 固态硬盘；</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3．具有独立非外扩展接口：HDMI out≥1 、Mic in≥1、 LINE-out≥1个、USB口≥6个，Rj45≥1个；</w:t>
            </w:r>
          </w:p>
          <w:p>
            <w:pPr>
              <w:pStyle w:val="51"/>
              <w:spacing w:line="320" w:lineRule="exact"/>
              <w:jc w:val="left"/>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sz w:val="24"/>
                <w:szCs w:val="24"/>
              </w:rPr>
              <w:t>4．内置有线网卡和无线网卡。</w:t>
            </w:r>
          </w:p>
        </w:tc>
        <w:tc>
          <w:tcPr>
            <w:tcW w:w="27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14</w:t>
            </w:r>
          </w:p>
        </w:tc>
        <w:tc>
          <w:tcPr>
            <w:tcW w:w="197"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284"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360"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两侧光能书写黑板</w:t>
            </w:r>
          </w:p>
        </w:tc>
        <w:tc>
          <w:tcPr>
            <w:tcW w:w="410"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光能黑板</w:t>
            </w:r>
          </w:p>
        </w:tc>
        <w:tc>
          <w:tcPr>
            <w:tcW w:w="3472" w:type="pct"/>
            <w:shd w:val="clear" w:color="auto" w:fill="auto"/>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一、硬件要求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整体结构上采取左、右光能黑板+中间触控一体机的组合方式（ABA放置样式）。单块光能教学板产品尺寸≥1290（长）*1158（高）mm。</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光能黑板依靠压力改变液晶分子排布，使用任何硬度适中的物体均可书写，书写压力50-300g，笔迹粗细大于4mm，书写延时≤7ms，无需任何耗材，杜绝粉尘污染，消除粉尘对老师和学生构成的健康危害。贴合教师使用习惯，每套光能黑板配备书写笔工具，单点书写10万次后无划痕。</w:t>
            </w:r>
            <w:r>
              <w:rPr>
                <w:rFonts w:hint="eastAsia" w:asciiTheme="minorEastAsia" w:hAnsiTheme="minorEastAsia" w:eastAsiaTheme="minorEastAsia" w:cstheme="minorEastAsia"/>
                <w:color w:val="auto"/>
                <w:sz w:val="24"/>
                <w:szCs w:val="24"/>
              </w:rPr>
              <w:t>（提供国家认可CMA &amp; CNAS资质的第三方检测报告）</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依靠反射外界自然光线，显示绿色字迹，无背光，长时间观看眼睛不易疲劳，呵护视力。书写笔迹可视距离40米，可视角度≥145°，对比度680:1。</w:t>
            </w:r>
            <w:r>
              <w:rPr>
                <w:rFonts w:hint="eastAsia" w:asciiTheme="minorEastAsia" w:hAnsiTheme="minorEastAsia" w:eastAsiaTheme="minorEastAsia" w:cstheme="minorEastAsia"/>
                <w:color w:val="auto"/>
                <w:sz w:val="24"/>
                <w:szCs w:val="24"/>
                <w:highlight w:val="none"/>
              </w:rPr>
              <w:t>（提供国家认可CMA &amp; CNAS资质的第三方检测报告）</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光能黑板应避免眩光，光泽度不高于26，透光率不低于87%，雾度不高于40%。（提供国家认可CMA &amp; CNAS资质的第三方检测报告）</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一键擦除：光能板正面配有一个擦除按键，按下瞬间清除黑板字迹，减少师生擦拭黑板负担。为提高教学效率，一键清除时间不大于0.2秒。</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局部擦除：可使用板擦和手势对错误字迹</w:t>
            </w:r>
            <w:r>
              <w:rPr>
                <w:rFonts w:hint="eastAsia" w:asciiTheme="minorEastAsia" w:hAnsiTheme="minorEastAsia" w:eastAsiaTheme="minorEastAsia" w:cstheme="minorEastAsia"/>
                <w:color w:val="auto"/>
                <w:sz w:val="24"/>
                <w:szCs w:val="24"/>
                <w:highlight w:val="none"/>
              </w:rPr>
              <w:t>进行局部擦除，擦除精度小于10mm*10mm，擦除延时＜60ms（提供国家认可的CNAS和CMA资质第三方检测报告）。光</w:t>
            </w:r>
            <w:r>
              <w:rPr>
                <w:rFonts w:hint="eastAsia" w:asciiTheme="minorEastAsia" w:hAnsiTheme="minorEastAsia" w:eastAsiaTheme="minorEastAsia" w:cstheme="minorEastAsia"/>
                <w:sz w:val="24"/>
                <w:szCs w:val="24"/>
              </w:rPr>
              <w:t>能板具有独立供电装置，可在液晶屏关机的情况下独立使用，不影响局部擦除功能。</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为保证停电情况下仍可正常使用，内置可拆卸18650型号充电锂电池，电池容量≥2600mAh，且通过电池</w:t>
            </w:r>
            <w:r>
              <w:rPr>
                <w:rFonts w:hint="eastAsia" w:asciiTheme="minorEastAsia" w:hAnsiTheme="minorEastAsia" w:eastAsiaTheme="minorEastAsia" w:cstheme="minorEastAsia"/>
                <w:color w:val="auto"/>
                <w:sz w:val="24"/>
                <w:szCs w:val="24"/>
                <w:highlight w:val="none"/>
              </w:rPr>
              <w:t>试验（提供国家认可的CNAS和CMA资质第三方检测报告）。</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光能黑板应符合GB/T17618-2015标准，防静电等级不小于B级，辐射抗扰等级不小于A级，防雷击等级不小于B级，突然断电安全等级不小于B级。</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光能黑板应符合GB 9254-2008标准，线缆辐射和空间辐射伤害均不小于B级。</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光能黑板运行时内部温度需经过温度试验，且最大温度不得高于65℃。（</w:t>
            </w:r>
            <w:r>
              <w:rPr>
                <w:rFonts w:hint="eastAsia" w:asciiTheme="minorEastAsia" w:hAnsiTheme="minorEastAsia" w:eastAsiaTheme="minorEastAsia" w:cstheme="minorEastAsia"/>
                <w:color w:val="auto"/>
                <w:sz w:val="24"/>
                <w:szCs w:val="24"/>
                <w:highlight w:val="none"/>
              </w:rPr>
              <w:t>提供国家认可CMA &amp; CNAS资质的第三方检测报告）</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抗UV强度：使用UVA340荧光紫外灯，辐照度（0.89±0.02）W/㎡@340nm）,板温度60℃,2个循环，24小时，产品无褪色、变色，表面无可见光泽度改变或阴影。（提供国家认可CMA &amp; CNAS资质的第三方检测报告）</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光能黑板通过低温-30℃，高温80℃，恒定湿热40℃、95%RH测试，产品外观无异样，功能正常。（提供国家认可CMA &amp; CNAS资质的第三方检测报告）</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边框采用铝合金材质，坚固耐用，具有较好</w:t>
            </w:r>
            <w:r>
              <w:rPr>
                <w:rFonts w:hint="eastAsia" w:asciiTheme="minorEastAsia" w:hAnsiTheme="minorEastAsia" w:eastAsiaTheme="minorEastAsia" w:cstheme="minorEastAsia"/>
                <w:sz w:val="24"/>
                <w:szCs w:val="24"/>
              </w:rPr>
              <w:t>的耐腐蚀特性，延长了产品使用寿命。为师生健康考虑，产品甲醛释放量不大于0.025mg/L。</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黑板表面可吸附磁贴、磁扣等教学工具，便于老师教学使用。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设计简洁，采用一体式按键指示灯，可通过不同颜色、闪烁等方式表示擦除、电量不足等工作状态。每块光能黑板具备DC接口*2和USB接口*2，方便用户使用。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光能板产品表面应光滑平整，不得有波纹、龟裂、针孔、斑痕、折痕及凹凸不平、气泡、剥落等缺陷，暴露在外在的部位，边缘不小于5mm的圆角。</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日常维护：使用日常洗涤剂或消毒剂温水，擦拭书写板的书写面后，书写面应不变色，表皮不脱落。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二、软件要求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同步互联：左、右光能黑板可与触控一体机进行互动，将光能黑板的内容与触控一体机无缝连接，教师在光能黑板上的书写内容可同步显示在触控一体机上。</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颜色切换：可设置不同的软件端笔迹颜色，可实现老师对于教学重点的标识及批注；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板书记录：可同步传输老师的板书到软件界面；按下清除键后，板面和软件端的笔迹均可以</w:t>
            </w:r>
            <w:bookmarkStart w:id="134" w:name="_GoBack"/>
            <w:bookmarkEnd w:id="134"/>
            <w:r>
              <w:rPr>
                <w:rFonts w:hint="eastAsia" w:asciiTheme="minorEastAsia" w:hAnsiTheme="minorEastAsia" w:eastAsiaTheme="minorEastAsia" w:cstheme="minorEastAsia"/>
                <w:sz w:val="24"/>
                <w:szCs w:val="24"/>
              </w:rPr>
              <w:t>被清除；点击“前一页”可找回清除掉的板书；</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单双页切换：两种光能黑板的书写记录模式，支持单板书写记录内容为一个单页面，也可以支持双板同时书写时记录在一个页面上；</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桌面切换：黑板书写内容和屏体显示内容可一键切换，不影响老师正常授课操作。</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一键保存：支持将板书内容保存为PDF文档，便于学校对课堂板书的管理和传递。无需花费时间找存储路径，点击“打开”，直接进入存储位置，快速找到存储文件。</w:t>
            </w:r>
          </w:p>
        </w:tc>
        <w:tc>
          <w:tcPr>
            <w:tcW w:w="27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14</w:t>
            </w:r>
          </w:p>
        </w:tc>
        <w:tc>
          <w:tcPr>
            <w:tcW w:w="197"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4"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360"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实物展台</w:t>
            </w:r>
          </w:p>
        </w:tc>
        <w:tc>
          <w:tcPr>
            <w:tcW w:w="410"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壁挂展台</w:t>
            </w:r>
          </w:p>
        </w:tc>
        <w:tc>
          <w:tcPr>
            <w:tcW w:w="3472" w:type="pct"/>
            <w:shd w:val="clear" w:color="auto" w:fill="auto"/>
            <w:vAlign w:val="top"/>
          </w:tcPr>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一、硬件参数：</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w:t>
            </w:r>
            <w:r>
              <w:rPr>
                <w:rFonts w:hint="eastAsia" w:asciiTheme="minorEastAsia" w:hAnsiTheme="minorEastAsia" w:eastAsiaTheme="minorEastAsia" w:cstheme="minorEastAsia"/>
                <w:bCs/>
                <w:kern w:val="0"/>
                <w:sz w:val="24"/>
                <w:szCs w:val="24"/>
              </w:rPr>
              <w:t>机身带有安全锁，无需使用时可以上锁，预防人为损坏。</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2.</w:t>
            </w:r>
            <w:r>
              <w:rPr>
                <w:rFonts w:hint="eastAsia" w:asciiTheme="minorEastAsia" w:hAnsiTheme="minorEastAsia" w:eastAsiaTheme="minorEastAsia" w:cstheme="minorEastAsia"/>
                <w:bCs/>
                <w:kern w:val="0"/>
                <w:sz w:val="24"/>
                <w:szCs w:val="24"/>
              </w:rPr>
              <w:t>托板上带有防滑书夹。</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3</w:t>
            </w:r>
            <w:r>
              <w:rPr>
                <w:rFonts w:hint="eastAsia" w:asciiTheme="minorEastAsia" w:hAnsiTheme="minorEastAsia" w:eastAsiaTheme="minorEastAsia" w:cstheme="minorEastAsia"/>
                <w:bCs/>
                <w:kern w:val="0"/>
                <w:sz w:val="24"/>
                <w:szCs w:val="24"/>
              </w:rPr>
              <w:t>.采用不小于800万像素，影像区域A4面积，焦距4.35mm，视场角80°，支持白平衡自动调节，传输速度30帧率/秒。</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4</w:t>
            </w:r>
            <w:r>
              <w:rPr>
                <w:rFonts w:hint="eastAsia" w:asciiTheme="minorEastAsia" w:hAnsiTheme="minorEastAsia" w:eastAsiaTheme="minorEastAsia" w:cstheme="minorEastAsia"/>
                <w:bCs/>
                <w:kern w:val="0"/>
                <w:sz w:val="24"/>
                <w:szCs w:val="24"/>
              </w:rPr>
              <w:t>.采用USB高速接口，单根USB线实现数据传输和供电。</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.分辨率至少支持3264x2448、2592×1944、2048×1536、1920×1080、640×480等。</w:t>
            </w:r>
          </w:p>
          <w:p>
            <w:pPr>
              <w:widowControl/>
              <w:spacing w:line="360" w:lineRule="exact"/>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.整机自带LED补光灯，可灯光调节。</w:t>
            </w:r>
          </w:p>
        </w:tc>
        <w:tc>
          <w:tcPr>
            <w:tcW w:w="27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14</w:t>
            </w:r>
          </w:p>
        </w:tc>
        <w:tc>
          <w:tcPr>
            <w:tcW w:w="197"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4"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360"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管控软件</w:t>
            </w:r>
          </w:p>
        </w:tc>
        <w:tc>
          <w:tcPr>
            <w:tcW w:w="410" w:type="pct"/>
            <w:shd w:val="clear" w:color="auto" w:fill="auto"/>
            <w:vAlign w:val="center"/>
          </w:tcPr>
          <w:p>
            <w:pPr>
              <w:widowControl/>
              <w:jc w:val="both"/>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集中管理控制软件</w:t>
            </w:r>
          </w:p>
        </w:tc>
        <w:tc>
          <w:tcPr>
            <w:tcW w:w="3472" w:type="pct"/>
            <w:shd w:val="clear" w:color="auto" w:fill="auto"/>
            <w:vAlign w:val="center"/>
          </w:tcPr>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w:t>
            </w:r>
            <w:r>
              <w:rPr>
                <w:rFonts w:hint="eastAsia" w:asciiTheme="minorEastAsia" w:hAnsiTheme="minorEastAsia" w:eastAsiaTheme="minorEastAsia" w:cstheme="minorEastAsia"/>
                <w:bCs/>
                <w:kern w:val="0"/>
                <w:sz w:val="24"/>
                <w:szCs w:val="24"/>
              </w:rPr>
              <w:t>支持根据楼层教室、班级、分组对设备进行筛选。</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2.</w:t>
            </w:r>
            <w:r>
              <w:rPr>
                <w:rFonts w:hint="eastAsia" w:asciiTheme="minorEastAsia" w:hAnsiTheme="minorEastAsia" w:eastAsiaTheme="minorEastAsia" w:cstheme="minorEastAsia"/>
                <w:bCs/>
                <w:kern w:val="0"/>
                <w:sz w:val="24"/>
                <w:szCs w:val="24"/>
              </w:rPr>
              <w:t>支持远程对设备发送锁屏指令，发送后设备自动锁屏；支持设置解锁密码，教师可在教室自主解除屏幕锁定；平台端可以远程对设备发送解锁指令，发送后设备自动解除锁屏状态。</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3.</w:t>
            </w:r>
            <w:r>
              <w:rPr>
                <w:rFonts w:hint="eastAsia" w:asciiTheme="minorEastAsia" w:hAnsiTheme="minorEastAsia" w:eastAsiaTheme="minorEastAsia" w:cstheme="minorEastAsia"/>
                <w:bCs/>
                <w:kern w:val="0"/>
                <w:sz w:val="24"/>
                <w:szCs w:val="24"/>
              </w:rPr>
              <w:t>支持远程对设备关机以及重启。</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4.</w:t>
            </w:r>
            <w:r>
              <w:rPr>
                <w:rFonts w:hint="eastAsia" w:asciiTheme="minorEastAsia" w:hAnsiTheme="minorEastAsia" w:eastAsiaTheme="minorEastAsia" w:cstheme="minorEastAsia"/>
                <w:bCs/>
                <w:kern w:val="0"/>
                <w:sz w:val="24"/>
                <w:szCs w:val="24"/>
              </w:rPr>
              <w:t xml:space="preserve"> 支持对设备设置打铃任务，可以按照设置的作息时间进行打铃，支持打铃音频的选择。</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可以对设备进行远程桌面控制，支持鼠标移动、鼠标左键、鼠标右键和快捷键指令。</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可以对设备进行远程控制，包括：远程启用和关闭设备热点并设置热点密码；远程执行设备清理操作，设备清理时将删除设备垃圾文件；远程启用和禁用USB接口，禁用后USB接口将无法识别存储型USB设备；远程修改设备解锁密码，修改后支持使用新密码进行解锁；远程修改设备显示亮度，支持远程开启和关闭护眼模式，支持远程修改护眼模式显示强度；远程调节设备扬声器的播放音量；远程更换桌面背景，平台默认提供5张背景图，支持自定义上传图片；远程启用和禁用倒计时显示，支持设置倒计时标题、截止时间，支持设置倒计时显示是否置顶，置顶后将显示于其他应用上方，支持实时预览倒计时样式。</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7.</w:t>
            </w:r>
            <w:r>
              <w:rPr>
                <w:rFonts w:hint="eastAsia" w:asciiTheme="minorEastAsia" w:hAnsiTheme="minorEastAsia" w:eastAsiaTheme="minorEastAsia" w:cstheme="minorEastAsia"/>
                <w:bCs/>
                <w:kern w:val="0"/>
                <w:sz w:val="24"/>
                <w:szCs w:val="24"/>
              </w:rPr>
              <w:t>支持批量安装软件，平台内置文香自研软件产品列表，可实现软件一键下发并安装。支持第三方软件安装，可自主上传应用。</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8.</w:t>
            </w:r>
            <w:r>
              <w:rPr>
                <w:rFonts w:hint="eastAsia" w:asciiTheme="minorEastAsia" w:hAnsiTheme="minorEastAsia" w:eastAsiaTheme="minorEastAsia" w:cstheme="minorEastAsia"/>
                <w:bCs/>
                <w:kern w:val="0"/>
                <w:sz w:val="24"/>
                <w:szCs w:val="24"/>
              </w:rPr>
              <w:t>支持批量卸载软件，可查看当前学校设备中安装的全部应用列表，包含设备名称、软件版本等信息。支持选择应用和设备后一键卸载，支持通过设备类型、所在教室等条件进行搜索。</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9.</w:t>
            </w:r>
            <w:r>
              <w:rPr>
                <w:rFonts w:hint="eastAsia" w:asciiTheme="minorEastAsia" w:hAnsiTheme="minorEastAsia" w:eastAsiaTheme="minorEastAsia" w:cstheme="minorEastAsia"/>
                <w:bCs/>
                <w:kern w:val="0"/>
                <w:sz w:val="24"/>
                <w:szCs w:val="24"/>
              </w:rPr>
              <w:t>支持弹窗拦截功能，可对指定软件的弹窗进行拦截，通过填写应用程序名、类名、窗口名等信息添加需要拦截的弹窗，支持对添加的窗口进行修改和删除。</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10.</w:t>
            </w:r>
            <w:r>
              <w:rPr>
                <w:rFonts w:hint="eastAsia" w:asciiTheme="minorEastAsia" w:hAnsiTheme="minorEastAsia" w:eastAsiaTheme="minorEastAsia" w:cstheme="minorEastAsia"/>
                <w:bCs/>
                <w:kern w:val="0"/>
                <w:sz w:val="24"/>
                <w:szCs w:val="24"/>
              </w:rPr>
              <w:t>支持查看已下发的安装和卸载的软件列表，可查看软件名称、所在教室、所在班级、设备名称、设备类型、下发人、下发时间、状态等信息。支持根据安装和卸载状态进行筛选，包括：全部、正在下载、正在安装、安装成功、正在卸载、卸载成功等。正在安装（卸载）的状态下支持手动安装（卸载），可远程控制桌面查看安装（卸载）进度并手动完成安装（卸载）。</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11.</w:t>
            </w:r>
            <w:r>
              <w:rPr>
                <w:rFonts w:hint="eastAsia" w:asciiTheme="minorEastAsia" w:hAnsiTheme="minorEastAsia" w:eastAsiaTheme="minorEastAsia" w:cstheme="minorEastAsia"/>
                <w:bCs/>
                <w:kern w:val="0"/>
                <w:sz w:val="24"/>
                <w:szCs w:val="24"/>
              </w:rPr>
              <w:t>支持信息发布功能，可编辑文字信息推送至设备，并以走马灯方式进行播放。支持设置推送方式，可选按时间播放和按次数播放，按时间播放支持设置开始时间和结束时间；按次数播放支持设置开始播放时间和播放次数。支持通过关键字和位置对设备进行搜索。支持查看推送记录，包括消息内容、播放时间、循环次数、执行状态等，已经推送的消息支持查看详情、再次推送、删除等操作。</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12.</w:t>
            </w:r>
            <w:r>
              <w:rPr>
                <w:rFonts w:hint="eastAsia" w:asciiTheme="minorEastAsia" w:hAnsiTheme="minorEastAsia" w:eastAsiaTheme="minorEastAsia" w:cstheme="minorEastAsia"/>
                <w:bCs/>
                <w:kern w:val="0"/>
                <w:sz w:val="24"/>
                <w:szCs w:val="24"/>
              </w:rPr>
              <w:t>支持文件推送功能，可将文件推送至设备端进行播放，推送的文件不限类型，推送文件时可选择三种推送方式，包括自动打开文件夹、手动打开文件夹、自动打开文件。支持选择推送日期和推送时间，可通过关键字搜索和位置筛选来选择设备。支持查看文件推送列表，可查看文件推送详情，支持文件再次推送，可对推送记录进行删除。</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13.</w:t>
            </w:r>
            <w:r>
              <w:rPr>
                <w:rFonts w:hint="eastAsia" w:asciiTheme="minorEastAsia" w:hAnsiTheme="minorEastAsia" w:eastAsiaTheme="minorEastAsia" w:cstheme="minorEastAsia"/>
                <w:bCs/>
                <w:kern w:val="0"/>
                <w:sz w:val="24"/>
                <w:szCs w:val="24"/>
              </w:rPr>
              <w:t>支持计划任务功能，可填写计划任务名称、选择设备组、设置计划任务执行周期等。</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支持设置定时锁屏、定时解锁、定时关机、定时开启护眼模式、定时关闭护眼模式、定时重启设备、定时清理设备。支持定时播放指定音视频，可设置音视频播放权限，包括允许大屏端操作（大屏端可调节播放进度、开始、暂停、关闭等）和不允许大屏端操作（大屏端将按照正常进度播放音视频，播放完毕后将自动关闭）。可查看已设定的全部计划任务，支持开启或关闭指定计划任务。</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14.</w:t>
            </w:r>
            <w:r>
              <w:rPr>
                <w:rFonts w:hint="eastAsia" w:asciiTheme="minorEastAsia" w:hAnsiTheme="minorEastAsia" w:eastAsiaTheme="minorEastAsia" w:cstheme="minorEastAsia"/>
                <w:bCs/>
                <w:kern w:val="0"/>
                <w:sz w:val="24"/>
                <w:szCs w:val="24"/>
              </w:rPr>
              <w:t>支持展厅模式，可设置开机自动播放音视频或PPT，并可随时停止播放。</w:t>
            </w:r>
          </w:p>
          <w:p>
            <w:pPr>
              <w:widowControl/>
              <w:spacing w:line="360" w:lineRule="exac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15.</w:t>
            </w:r>
            <w:r>
              <w:rPr>
                <w:rFonts w:hint="eastAsia" w:asciiTheme="minorEastAsia" w:hAnsiTheme="minorEastAsia" w:eastAsiaTheme="minorEastAsia" w:cstheme="minorEastAsia"/>
                <w:bCs/>
                <w:kern w:val="0"/>
                <w:sz w:val="24"/>
                <w:szCs w:val="24"/>
              </w:rPr>
              <w:t>支持预警设置，可设置开机和温度预警，在预设时间段内开机或温度达到预警值时会给管理员发送短信提醒。</w:t>
            </w:r>
          </w:p>
          <w:p>
            <w:pPr>
              <w:adjustRightInd w:val="0"/>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Cs/>
                <w:kern w:val="0"/>
                <w:sz w:val="24"/>
                <w:szCs w:val="24"/>
                <w:lang w:val="en-US" w:eastAsia="zh-CN"/>
              </w:rPr>
              <w:t>16.</w:t>
            </w:r>
            <w:r>
              <w:rPr>
                <w:rFonts w:hint="eastAsia" w:asciiTheme="minorEastAsia" w:hAnsiTheme="minorEastAsia" w:eastAsiaTheme="minorEastAsia" w:cstheme="minorEastAsia"/>
                <w:bCs/>
                <w:kern w:val="0"/>
                <w:sz w:val="24"/>
                <w:szCs w:val="24"/>
              </w:rPr>
              <w:t>支持设备分组，可按照教室位置对设备进行分组，支持设定多个管理员对设备组进行管理。</w:t>
            </w:r>
          </w:p>
        </w:tc>
        <w:tc>
          <w:tcPr>
            <w:tcW w:w="27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197"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4"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360" w:type="pct"/>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教师讲桌</w:t>
            </w:r>
          </w:p>
        </w:tc>
        <w:tc>
          <w:tcPr>
            <w:tcW w:w="410" w:type="pct"/>
            <w:shd w:val="clear" w:color="auto" w:fill="auto"/>
            <w:vAlign w:val="center"/>
          </w:tcPr>
          <w:p>
            <w:pPr>
              <w:spacing w:line="360" w:lineRule="auto"/>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讲桌</w:t>
            </w:r>
          </w:p>
        </w:tc>
        <w:tc>
          <w:tcPr>
            <w:tcW w:w="3472" w:type="pct"/>
            <w:shd w:val="clear" w:color="auto" w:fill="auto"/>
            <w:vAlign w:val="center"/>
          </w:tcPr>
          <w:p>
            <w:pPr>
              <w:numPr>
                <w:ilvl w:val="0"/>
                <w:numId w:val="0"/>
              </w:num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尺寸：长、宽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高1050mm*700mm*970mm</w:t>
            </w:r>
          </w:p>
          <w:p>
            <w:pPr>
              <w:numPr>
                <w:ilvl w:val="0"/>
                <w:numId w:val="0"/>
              </w:num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材料：实木扶手+优质三聚氰胺板+优质冷轧钢板，优质三聚氰胺板，钢制部分厚度1.0mm。</w:t>
            </w:r>
          </w:p>
          <w:p>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工艺：钣金件表面经过除油、除锈、磷化、酸洗、喷塑而成，坚固耐用，具有防腐蚀性强、防盗、防潮、耐磨等优点。</w:t>
            </w:r>
          </w:p>
          <w:p>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绿色环保：上台体长宽高11050mm*700mm*370mm，下台体长宽, 高1 850mm*600mm*600mm。</w:t>
            </w:r>
          </w:p>
          <w:p>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台面覆盖优质三聚氰胺板。讲台周边圆弧设计以最大限度减少对师生的伤害，柜体前后开门。</w:t>
            </w:r>
          </w:p>
          <w:p>
            <w:pPr>
              <w:spacing w:line="360" w:lineRule="auto"/>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上台体前端有凸出，凸出部分顶面以及前端覆盖三聚氰胺装饰板，两侧有圆形透气孔；讲台左右两边安装实木扶手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讲台安装一个抽屉。</w:t>
            </w:r>
          </w:p>
        </w:tc>
        <w:tc>
          <w:tcPr>
            <w:tcW w:w="27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14</w:t>
            </w:r>
          </w:p>
        </w:tc>
        <w:tc>
          <w:tcPr>
            <w:tcW w:w="197"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张</w:t>
            </w:r>
          </w:p>
        </w:tc>
      </w:tr>
    </w:tbl>
    <w:p>
      <w:pPr>
        <w:pStyle w:val="14"/>
        <w:rPr>
          <w:rFonts w:hint="eastAsia"/>
          <w:highlight w:val="none"/>
        </w:rPr>
        <w:sectPr>
          <w:footerReference r:id="rId12" w:type="default"/>
          <w:pgSz w:w="11906" w:h="16838"/>
          <w:pgMar w:top="1440" w:right="1483" w:bottom="1440" w:left="1803" w:header="851" w:footer="992" w:gutter="0"/>
          <w:pgNumType w:fmt="decimal"/>
          <w:cols w:space="720" w:num="1"/>
          <w:docGrid w:type="lines" w:linePitch="319" w:charSpace="0"/>
        </w:sectPr>
      </w:pPr>
    </w:p>
    <w:p>
      <w:pPr>
        <w:pStyle w:val="14"/>
        <w:rPr>
          <w:rFonts w:hint="eastAsia"/>
        </w:rPr>
      </w:pPr>
    </w:p>
    <w:p>
      <w:pPr>
        <w:pStyle w:val="3"/>
        <w:numPr>
          <w:ilvl w:val="0"/>
          <w:numId w:val="0"/>
        </w:numPr>
        <w:jc w:val="center"/>
        <w:rPr>
          <w:rFonts w:hint="eastAsia" w:ascii="华文中宋" w:hAnsi="华文中宋" w:eastAsia="华文中宋" w:cs="华文中宋"/>
          <w:spacing w:val="28"/>
          <w:kern w:val="0"/>
          <w:sz w:val="44"/>
          <w:szCs w:val="44"/>
          <w:lang w:eastAsia="zh-CN"/>
        </w:rPr>
      </w:pPr>
      <w:bookmarkStart w:id="67" w:name="_Toc12100"/>
      <w:r>
        <w:rPr>
          <w:rFonts w:hint="eastAsia" w:ascii="宋体" w:hAnsi="宋体" w:cs="宋体"/>
          <w:sz w:val="36"/>
          <w:szCs w:val="36"/>
          <w:lang w:eastAsia="zh-CN"/>
        </w:rPr>
        <w:t>第六部分</w:t>
      </w:r>
      <w:r>
        <w:rPr>
          <w:rFonts w:hint="eastAsia" w:ascii="宋体" w:hAnsi="宋体" w:cs="宋体"/>
          <w:sz w:val="36"/>
          <w:szCs w:val="36"/>
          <w:lang w:val="en-US" w:eastAsia="zh-CN"/>
        </w:rPr>
        <w:t xml:space="preserve"> </w:t>
      </w:r>
      <w:r>
        <w:rPr>
          <w:rFonts w:hint="eastAsia" w:ascii="宋体" w:hAnsi="宋体" w:cs="宋体"/>
          <w:sz w:val="36"/>
          <w:szCs w:val="36"/>
        </w:rPr>
        <w:t>合同条款</w:t>
      </w:r>
      <w:bookmarkEnd w:id="64"/>
      <w:bookmarkEnd w:id="67"/>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根据《中华人民共和国政府采购法》、《中华人民共和国民法典》等法律法规，甲方通过</w:t>
      </w:r>
      <w:r>
        <w:rPr>
          <w:rFonts w:hint="eastAsia" w:asciiTheme="minorEastAsia" w:hAnsiTheme="minorEastAsia" w:cstheme="minorEastAsia"/>
          <w:sz w:val="24"/>
          <w:szCs w:val="24"/>
          <w:highlight w:val="none"/>
          <w:lang w:eastAsia="zh-CN"/>
        </w:rPr>
        <w:t>竞争性谈判</w:t>
      </w:r>
      <w:r>
        <w:rPr>
          <w:rFonts w:hint="eastAsia" w:asciiTheme="minorEastAsia" w:hAnsiTheme="minorEastAsia" w:eastAsiaTheme="minorEastAsia" w:cstheme="minorEastAsia"/>
          <w:sz w:val="24"/>
          <w:szCs w:val="24"/>
          <w:highlight w:val="none"/>
        </w:rPr>
        <w:t>，选定乙方为</w:t>
      </w:r>
      <w:r>
        <w:rPr>
          <w:rFonts w:hint="eastAsia" w:asciiTheme="minorEastAsia" w:hAnsiTheme="minorEastAsia" w:cstheme="minorEastAsia"/>
          <w:sz w:val="24"/>
          <w:szCs w:val="24"/>
          <w:highlight w:val="none"/>
          <w:lang w:eastAsia="zh-CN"/>
        </w:rPr>
        <w:t>成交单位</w:t>
      </w:r>
      <w:r>
        <w:rPr>
          <w:rFonts w:hint="eastAsia" w:asciiTheme="minorEastAsia" w:hAnsiTheme="minorEastAsia" w:eastAsiaTheme="minorEastAsia" w:cstheme="minorEastAsia"/>
          <w:sz w:val="24"/>
          <w:szCs w:val="24"/>
          <w:highlight w:val="none"/>
        </w:rPr>
        <w:t>。甲、乙双方在平等基础上协商一致，达成如下合同条款：</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b/>
          <w:sz w:val="24"/>
          <w:szCs w:val="24"/>
          <w:highlight w:val="none"/>
        </w:rPr>
        <w:t>合同内容</w:t>
      </w:r>
    </w:p>
    <w:tbl>
      <w:tblPr>
        <w:tblStyle w:val="23"/>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162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设备名称</w:t>
            </w: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型号</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产地</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w:t>
            </w:r>
          </w:p>
        </w:tc>
        <w:tc>
          <w:tcPr>
            <w:tcW w:w="894"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w:t>
            </w:r>
          </w:p>
        </w:tc>
        <w:tc>
          <w:tcPr>
            <w:tcW w:w="839"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总计（人民币/元）</w:t>
            </w:r>
          </w:p>
        </w:tc>
        <w:tc>
          <w:tcPr>
            <w:tcW w:w="5693" w:type="dxa"/>
            <w:gridSpan w:val="6"/>
            <w:vAlign w:val="center"/>
          </w:tcPr>
          <w:p>
            <w:pPr>
              <w:keepNext w:val="0"/>
              <w:keepLines w:val="0"/>
              <w:pageBreakBefore w:val="0"/>
              <w:widowControl w:val="0"/>
              <w:wordWrap/>
              <w:overflowPunct/>
              <w:topLinePunct w:val="0"/>
              <w:autoSpaceDE/>
              <w:bidi w:val="0"/>
              <w:adjustRightInd w:val="0"/>
              <w:snapToGrid w:val="0"/>
              <w:spacing w:line="360" w:lineRule="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       （大写）</w:t>
            </w:r>
          </w:p>
        </w:tc>
      </w:tr>
    </w:tbl>
    <w:p>
      <w:pPr>
        <w:pStyle w:val="2"/>
        <w:keepNext w:val="0"/>
        <w:keepLines w:val="0"/>
        <w:pageBreakBefore w:val="0"/>
        <w:widowControl w:val="0"/>
        <w:wordWrap/>
        <w:overflowPunct/>
        <w:topLinePunct w:val="0"/>
        <w:autoSpaceDE/>
        <w:bidi w:val="0"/>
        <w:spacing w:before="2" w:line="360" w:lineRule="auto"/>
        <w:ind w:right="200" w:firstLine="48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乙方负责按合同中确定内容进行服务；按时完成甲方</w:t>
      </w:r>
      <w:r>
        <w:rPr>
          <w:rFonts w:hint="eastAsia" w:asciiTheme="minorEastAsia" w:hAnsiTheme="minorEastAsia" w:cstheme="minorEastAsia"/>
          <w:color w:val="auto"/>
          <w:kern w:val="2"/>
          <w:sz w:val="24"/>
          <w:szCs w:val="24"/>
          <w:highlight w:val="none"/>
          <w:lang w:eastAsia="zh-CN"/>
        </w:rPr>
        <w:t>西安市莲湖区庆安小学信息化建设（智慧黑板采购）项目</w:t>
      </w:r>
      <w:r>
        <w:rPr>
          <w:rFonts w:hint="eastAsia" w:asciiTheme="minorEastAsia" w:hAnsiTheme="minorEastAsia" w:eastAsiaTheme="minorEastAsia" w:cstheme="minorEastAsia"/>
          <w:color w:val="auto"/>
          <w:kern w:val="2"/>
          <w:sz w:val="24"/>
          <w:szCs w:val="24"/>
          <w:highlight w:val="none"/>
        </w:rPr>
        <w:t>工作，达到甲方要求；负责为甲方培训操作、维护人员，做好售后服务工作。</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二、合同价格</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合同总价：人民币大写：</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合同总价包括：技术培训费、人工费、税金及国家按现行税收政策征收的一切税费等。合同总价不可变更，不受市场价变化的影响，不受实际数量变化的影响。</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三</w:t>
      </w:r>
      <w:r>
        <w:rPr>
          <w:rFonts w:hint="eastAsia" w:asciiTheme="minorEastAsia" w:hAnsiTheme="minorEastAsia" w:eastAsiaTheme="minorEastAsia" w:cstheme="minorEastAsia"/>
          <w:b/>
          <w:sz w:val="24"/>
          <w:szCs w:val="24"/>
          <w:highlight w:val="none"/>
        </w:rPr>
        <w:t>、交货条件</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1、交货</w:t>
      </w:r>
      <w:r>
        <w:rPr>
          <w:rFonts w:hint="eastAsia" w:asciiTheme="minorEastAsia" w:hAnsiTheme="minorEastAsia" w:eastAsiaTheme="minorEastAsia" w:cstheme="minorEastAsia"/>
          <w:sz w:val="24"/>
          <w:szCs w:val="24"/>
          <w:highlight w:val="none"/>
        </w:rPr>
        <w:t>条件</w:t>
      </w:r>
      <w:r>
        <w:rPr>
          <w:rFonts w:hint="eastAsia" w:asciiTheme="minorEastAsia" w:hAnsiTheme="minorEastAsia" w:eastAsiaTheme="minorEastAsia" w:cstheme="minorEastAsia"/>
          <w:sz w:val="24"/>
          <w:szCs w:val="24"/>
          <w:highlight w:val="none"/>
          <w:lang w:val="zh-CN"/>
        </w:rPr>
        <w:t>：乙方负责按合同中确定内容进行服务；按时完成</w:t>
      </w:r>
      <w:r>
        <w:rPr>
          <w:rFonts w:hint="eastAsia" w:asciiTheme="minorEastAsia" w:hAnsiTheme="minorEastAsia" w:cstheme="minorEastAsia"/>
          <w:sz w:val="24"/>
          <w:szCs w:val="24"/>
          <w:highlight w:val="none"/>
          <w:lang w:val="en-US" w:eastAsia="zh-CN"/>
        </w:rPr>
        <w:t>甲方</w:t>
      </w:r>
      <w:r>
        <w:rPr>
          <w:rFonts w:hint="eastAsia" w:asciiTheme="minorEastAsia" w:hAnsiTheme="minorEastAsia" w:cstheme="minorEastAsia"/>
          <w:sz w:val="24"/>
          <w:szCs w:val="24"/>
          <w:highlight w:val="none"/>
          <w:lang w:val="zh-CN"/>
        </w:rPr>
        <w:t>西安市莲湖区庆安小学信息化建设（智慧黑板采购）项目</w:t>
      </w:r>
      <w:r>
        <w:rPr>
          <w:rFonts w:hint="eastAsia" w:asciiTheme="minorEastAsia" w:hAnsiTheme="minorEastAsia" w:eastAsiaTheme="minorEastAsia" w:cstheme="minorEastAsia"/>
          <w:sz w:val="24"/>
          <w:szCs w:val="24"/>
          <w:highlight w:val="none"/>
          <w:lang w:val="zh-CN"/>
        </w:rPr>
        <w:t>工作，达到甲方要求；负责为甲方培训操作、维护人员，做好售后服务工作。交付的货物、服务与</w:t>
      </w:r>
      <w:r>
        <w:rPr>
          <w:rFonts w:hint="eastAsia" w:asciiTheme="minorEastAsia" w:hAnsiTheme="minorEastAsia" w:cstheme="minorEastAsia"/>
          <w:sz w:val="24"/>
          <w:szCs w:val="24"/>
          <w:highlight w:val="none"/>
          <w:lang w:val="zh-CN"/>
        </w:rPr>
        <w:t>响应文件</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cstheme="minorEastAsia"/>
          <w:sz w:val="24"/>
          <w:szCs w:val="24"/>
          <w:highlight w:val="none"/>
          <w:lang w:val="zh-CN"/>
        </w:rPr>
        <w:t>竞争性谈判文件</w:t>
      </w:r>
      <w:r>
        <w:rPr>
          <w:rFonts w:hint="eastAsia" w:asciiTheme="minorEastAsia" w:hAnsiTheme="minorEastAsia" w:eastAsiaTheme="minorEastAsia" w:cstheme="minorEastAsia"/>
          <w:sz w:val="24"/>
          <w:szCs w:val="24"/>
          <w:highlight w:val="none"/>
          <w:lang w:val="zh-CN"/>
        </w:rPr>
        <w:t>等所指明的，或者与本合同所指明的内容相一致。</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2、交货日期：</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四</w:t>
      </w:r>
      <w:r>
        <w:rPr>
          <w:rFonts w:hint="eastAsia" w:asciiTheme="minorEastAsia" w:hAnsiTheme="minorEastAsia" w:eastAsiaTheme="minorEastAsia" w:cstheme="minorEastAsia"/>
          <w:b/>
          <w:sz w:val="24"/>
          <w:szCs w:val="24"/>
          <w:highlight w:val="none"/>
        </w:rPr>
        <w:t>、付款方式</w:t>
      </w:r>
    </w:p>
    <w:p>
      <w:pPr>
        <w:outlineLvl w:val="9"/>
        <w:rPr>
          <w:rFonts w:hint="default" w:eastAsiaTheme="minorEastAsia"/>
          <w:lang w:val="en-US" w:eastAsia="zh-CN"/>
        </w:rPr>
      </w:pPr>
      <w:r>
        <w:rPr>
          <w:rFonts w:hint="eastAsia" w:asciiTheme="minorEastAsia" w:hAnsiTheme="minorEastAsia" w:eastAsiaTheme="minorEastAsia" w:cstheme="minorEastAsia"/>
          <w:b/>
          <w:sz w:val="24"/>
          <w:szCs w:val="24"/>
          <w:highlight w:val="none"/>
          <w:lang w:val="en-US" w:eastAsia="zh-CN"/>
        </w:rPr>
        <w:t>_______________________________________________________________</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五</w:t>
      </w:r>
      <w:r>
        <w:rPr>
          <w:rFonts w:hint="eastAsia" w:asciiTheme="minorEastAsia" w:hAnsiTheme="minorEastAsia" w:eastAsiaTheme="minorEastAsia" w:cstheme="minorEastAsia"/>
          <w:b/>
          <w:sz w:val="24"/>
          <w:szCs w:val="24"/>
          <w:highlight w:val="none"/>
        </w:rPr>
        <w:t>、双方的权利和义务</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负责核准、认定本项目相关技术资料文档；监督、参与项目执行的整个过程为乙方提供必要的工作条件，并提供产品及服务所必需的运行环境；按照合同约定支付合同款项。</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项目的交接；按时完成本合同所涉及产品及服务项目的验收工作；协助配合甲方完成</w:t>
      </w:r>
      <w:r>
        <w:rPr>
          <w:rFonts w:hint="eastAsia" w:asciiTheme="minorEastAsia" w:hAnsiTheme="minorEastAsia" w:cstheme="minorEastAsia"/>
          <w:sz w:val="24"/>
          <w:szCs w:val="24"/>
          <w:highlight w:val="none"/>
          <w:lang w:val="en-US" w:eastAsia="zh-CN"/>
        </w:rPr>
        <w:t>该</w:t>
      </w:r>
      <w:r>
        <w:rPr>
          <w:rFonts w:hint="eastAsia" w:asciiTheme="minorEastAsia" w:hAnsiTheme="minorEastAsia" w:eastAsiaTheme="minorEastAsia" w:cstheme="minorEastAsia"/>
          <w:sz w:val="24"/>
          <w:szCs w:val="24"/>
          <w:highlight w:val="none"/>
          <w:lang w:eastAsia="zh-CN"/>
        </w:rPr>
        <w:t>项目</w:t>
      </w:r>
      <w:r>
        <w:rPr>
          <w:rFonts w:hint="eastAsia" w:asciiTheme="minorEastAsia" w:hAnsiTheme="minorEastAsia" w:eastAsiaTheme="minorEastAsia" w:cstheme="minorEastAsia"/>
          <w:sz w:val="24"/>
          <w:szCs w:val="24"/>
          <w:highlight w:val="none"/>
        </w:rPr>
        <w:t>；做好整个项目的售后服务技术支持工作。</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六</w:t>
      </w:r>
      <w:r>
        <w:rPr>
          <w:rFonts w:hint="eastAsia" w:asciiTheme="minorEastAsia" w:hAnsiTheme="minorEastAsia" w:eastAsiaTheme="minorEastAsia" w:cstheme="minorEastAsia"/>
          <w:b/>
          <w:sz w:val="24"/>
          <w:szCs w:val="24"/>
          <w:highlight w:val="none"/>
        </w:rPr>
        <w:t>、质量保证</w:t>
      </w:r>
    </w:p>
    <w:p>
      <w:pPr>
        <w:pStyle w:val="2"/>
        <w:keepNext w:val="0"/>
        <w:keepLines w:val="0"/>
        <w:pageBreakBefore w:val="0"/>
        <w:widowControl w:val="0"/>
        <w:wordWrap/>
        <w:overflowPunct/>
        <w:topLinePunct w:val="0"/>
        <w:autoSpaceDE/>
        <w:bidi w:val="0"/>
        <w:spacing w:before="172"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1、本次项目应符合国家有关规范， 确保达到最佳状态。</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2"/>
        <w:keepNext w:val="0"/>
        <w:keepLines w:val="0"/>
        <w:pageBreakBefore w:val="0"/>
        <w:widowControl w:val="0"/>
        <w:tabs>
          <w:tab w:val="left" w:pos="7560"/>
        </w:tabs>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3、在质保期内，如果发现服务范围、内容和服务质量等存在与合同中任何一项不符，采购人应在最短时间内，以书面形式向成交供应商提出索赔，同时通告采购代理机构。</w:t>
      </w:r>
    </w:p>
    <w:p>
      <w:pPr>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sz w:val="24"/>
          <w:szCs w:val="24"/>
          <w:highlight w:val="none"/>
          <w:lang w:bidi="zh-CN"/>
        </w:rPr>
      </w:pPr>
      <w:r>
        <w:rPr>
          <w:rFonts w:hint="eastAsia" w:asciiTheme="minorEastAsia" w:hAnsiTheme="minorEastAsia" w:cstheme="minorEastAsia"/>
          <w:b/>
          <w:sz w:val="24"/>
          <w:szCs w:val="24"/>
          <w:highlight w:val="none"/>
          <w:lang w:bidi="zh-CN"/>
        </w:rPr>
        <w:t>七</w:t>
      </w:r>
      <w:r>
        <w:rPr>
          <w:rFonts w:hint="eastAsia" w:asciiTheme="minorEastAsia" w:hAnsiTheme="minorEastAsia" w:eastAsiaTheme="minorEastAsia" w:cstheme="minorEastAsia"/>
          <w:b/>
          <w:sz w:val="24"/>
          <w:szCs w:val="24"/>
          <w:highlight w:val="none"/>
          <w:lang w:bidi="zh-CN"/>
        </w:rPr>
        <w:t>、售后服务</w:t>
      </w:r>
    </w:p>
    <w:p>
      <w:pPr>
        <w:keepNext w:val="0"/>
        <w:keepLines w:val="0"/>
        <w:pageBreakBefore w:val="0"/>
        <w:widowControl w:val="0"/>
        <w:wordWrap/>
        <w:overflowPunct/>
        <w:topLinePunct w:val="0"/>
        <w:autoSpaceDE/>
        <w:bidi w:val="0"/>
        <w:adjustRightInd w:val="0"/>
        <w:snapToGrid w:val="0"/>
        <w:spacing w:line="360" w:lineRule="auto"/>
        <w:ind w:firstLine="420" w:firstLineChars="175"/>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lang w:val="zh-CN" w:bidi="zh-CN"/>
        </w:rPr>
        <w:t>以</w:t>
      </w:r>
      <w:r>
        <w:rPr>
          <w:rFonts w:hint="eastAsia" w:asciiTheme="minorEastAsia" w:hAnsiTheme="minorEastAsia" w:cstheme="minorEastAsia"/>
          <w:sz w:val="24"/>
          <w:szCs w:val="24"/>
          <w:highlight w:val="none"/>
          <w:lang w:val="en-US" w:bidi="zh-CN"/>
        </w:rPr>
        <w:t>谈判文件</w:t>
      </w:r>
      <w:r>
        <w:rPr>
          <w:rFonts w:hint="eastAsia" w:asciiTheme="minorEastAsia" w:hAnsiTheme="minorEastAsia" w:eastAsiaTheme="minorEastAsia" w:cstheme="minorEastAsia"/>
          <w:sz w:val="24"/>
          <w:szCs w:val="24"/>
          <w:highlight w:val="none"/>
          <w:lang w:val="zh-CN" w:bidi="zh-CN"/>
        </w:rPr>
        <w:t>、</w:t>
      </w:r>
      <w:r>
        <w:rPr>
          <w:rFonts w:hint="eastAsia" w:asciiTheme="minorEastAsia" w:hAnsiTheme="minorEastAsia" w:cstheme="minorEastAsia"/>
          <w:sz w:val="24"/>
          <w:szCs w:val="24"/>
          <w:highlight w:val="none"/>
          <w:lang w:val="en-US" w:bidi="zh-CN"/>
        </w:rPr>
        <w:t>响应</w:t>
      </w:r>
      <w:r>
        <w:rPr>
          <w:rFonts w:hint="eastAsia" w:asciiTheme="minorEastAsia" w:hAnsiTheme="minorEastAsia" w:eastAsiaTheme="minorEastAsia" w:cstheme="minorEastAsia"/>
          <w:sz w:val="24"/>
          <w:szCs w:val="24"/>
          <w:highlight w:val="none"/>
          <w:lang w:val="zh-CN" w:bidi="zh-CN"/>
        </w:rPr>
        <w:t>文件、</w:t>
      </w:r>
      <w:r>
        <w:rPr>
          <w:rFonts w:hint="eastAsia" w:asciiTheme="minorEastAsia" w:hAnsiTheme="minorEastAsia" w:cstheme="minorEastAsia"/>
          <w:sz w:val="24"/>
          <w:szCs w:val="24"/>
          <w:highlight w:val="none"/>
          <w:lang w:val="en-US" w:bidi="zh-CN"/>
        </w:rPr>
        <w:t>成交</w:t>
      </w:r>
      <w:r>
        <w:rPr>
          <w:rFonts w:hint="eastAsia" w:asciiTheme="minorEastAsia" w:hAnsiTheme="minorEastAsia" w:eastAsiaTheme="minorEastAsia" w:cstheme="minorEastAsia"/>
          <w:sz w:val="24"/>
          <w:szCs w:val="24"/>
          <w:highlight w:val="none"/>
          <w:lang w:val="zh-CN" w:bidi="zh-CN"/>
        </w:rPr>
        <w:t>单位澄清表（函）为准。</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八</w:t>
      </w:r>
      <w:r>
        <w:rPr>
          <w:rFonts w:hint="eastAsia" w:asciiTheme="minorEastAsia" w:hAnsiTheme="minorEastAsia" w:eastAsiaTheme="minorEastAsia" w:cstheme="minorEastAsia"/>
          <w:b/>
          <w:bCs/>
          <w:color w:val="000000"/>
          <w:sz w:val="24"/>
          <w:szCs w:val="24"/>
          <w:highlight w:val="none"/>
          <w:lang w:val="zh-CN" w:bidi="zh-CN"/>
        </w:rPr>
        <w:t>、违约责任</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bidi="zh-CN"/>
        </w:rPr>
      </w:pPr>
      <w:r>
        <w:rPr>
          <w:rFonts w:hint="eastAsia" w:asciiTheme="minorEastAsia" w:hAnsiTheme="minorEastAsia" w:eastAsiaTheme="minorEastAsia" w:cstheme="minorEastAsia"/>
          <w:color w:val="000000"/>
          <w:sz w:val="24"/>
          <w:szCs w:val="24"/>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九</w:t>
      </w:r>
      <w:r>
        <w:rPr>
          <w:rFonts w:hint="eastAsia" w:asciiTheme="minorEastAsia" w:hAnsiTheme="minorEastAsia" w:eastAsiaTheme="minorEastAsia" w:cstheme="minorEastAsia"/>
          <w:b/>
          <w:bCs/>
          <w:color w:val="000000"/>
          <w:sz w:val="24"/>
          <w:szCs w:val="24"/>
          <w:highlight w:val="none"/>
          <w:lang w:val="zh-CN" w:bidi="zh-CN"/>
        </w:rPr>
        <w:t>、验收</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验收：验收须以合同、</w:t>
      </w:r>
      <w:r>
        <w:rPr>
          <w:rFonts w:hint="eastAsia" w:asciiTheme="minorEastAsia" w:hAnsiTheme="minorEastAsia" w:cstheme="minorEastAsia"/>
          <w:color w:val="000000"/>
          <w:sz w:val="24"/>
          <w:szCs w:val="24"/>
          <w:highlight w:val="none"/>
          <w:lang w:val="zh-CN" w:bidi="zh-CN"/>
        </w:rPr>
        <w:t>竞争性谈判文件</w:t>
      </w:r>
      <w:r>
        <w:rPr>
          <w:rFonts w:hint="eastAsia" w:asciiTheme="minorEastAsia" w:hAnsiTheme="minorEastAsia" w:eastAsiaTheme="minorEastAsia" w:cstheme="minorEastAsia"/>
          <w:color w:val="000000"/>
          <w:sz w:val="24"/>
          <w:szCs w:val="24"/>
          <w:highlight w:val="none"/>
          <w:lang w:val="zh-CN" w:bidi="zh-CN"/>
        </w:rPr>
        <w:t>、</w:t>
      </w:r>
      <w:r>
        <w:rPr>
          <w:rFonts w:hint="eastAsia" w:asciiTheme="minorEastAsia" w:hAnsiTheme="minorEastAsia" w:cstheme="minorEastAsia"/>
          <w:color w:val="000000"/>
          <w:sz w:val="24"/>
          <w:szCs w:val="24"/>
          <w:highlight w:val="none"/>
          <w:lang w:val="zh-CN" w:bidi="zh-CN"/>
        </w:rPr>
        <w:t>响应文件</w:t>
      </w:r>
      <w:r>
        <w:rPr>
          <w:rFonts w:hint="eastAsia" w:asciiTheme="minorEastAsia" w:hAnsiTheme="minorEastAsia" w:eastAsiaTheme="minorEastAsia" w:cstheme="minorEastAsia"/>
          <w:color w:val="000000"/>
          <w:sz w:val="24"/>
          <w:szCs w:val="24"/>
          <w:highlight w:val="none"/>
          <w:lang w:val="zh-CN" w:bidi="zh-CN"/>
        </w:rPr>
        <w:t>、澄清、及国家相应的标准、规范等为依据进行验收。</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十、合同争议解决的方式</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合同执行中发生争议的，当事人双方应协商解决，协商达不成一致时，可向人民法院提请诉讼。</w:t>
      </w:r>
    </w:p>
    <w:p>
      <w:pPr>
        <w:pStyle w:val="2"/>
        <w:keepNext w:val="0"/>
        <w:keepLines w:val="0"/>
        <w:pageBreakBefore w:val="0"/>
        <w:widowControl w:val="0"/>
        <w:wordWrap/>
        <w:overflowPunct/>
        <w:topLinePunct w:val="0"/>
        <w:autoSpaceDE/>
        <w:bidi w:val="0"/>
        <w:spacing w:before="1" w:line="360" w:lineRule="auto"/>
        <w:ind w:firstLine="482" w:firstLineChars="200"/>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w:t>
      </w:r>
      <w:r>
        <w:rPr>
          <w:rFonts w:hint="eastAsia" w:asciiTheme="minorEastAsia" w:hAnsiTheme="minorEastAsia" w:cstheme="minorEastAsia"/>
          <w:b/>
          <w:bCs/>
          <w:color w:val="000000"/>
          <w:sz w:val="24"/>
          <w:szCs w:val="24"/>
          <w:highlight w:val="none"/>
          <w:lang w:bidi="zh-CN"/>
        </w:rPr>
        <w:t>一</w:t>
      </w:r>
      <w:r>
        <w:rPr>
          <w:rFonts w:hint="eastAsia" w:asciiTheme="minorEastAsia" w:hAnsiTheme="minorEastAsia" w:eastAsiaTheme="minorEastAsia" w:cstheme="minorEastAsia"/>
          <w:b/>
          <w:bCs/>
          <w:color w:val="000000"/>
          <w:sz w:val="24"/>
          <w:szCs w:val="24"/>
          <w:highlight w:val="none"/>
          <w:lang w:val="zh-CN" w:bidi="zh-CN"/>
        </w:rPr>
        <w:t>、其他事项</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bookmarkStart w:id="68" w:name="第四章__竞争性磋商内容及服务要求"/>
      <w:bookmarkEnd w:id="68"/>
      <w:bookmarkStart w:id="69" w:name="_bookmark3"/>
      <w:bookmarkEnd w:id="69"/>
      <w:r>
        <w:rPr>
          <w:rFonts w:hint="eastAsia" w:asciiTheme="minorEastAsia" w:hAnsiTheme="minorEastAsia" w:eastAsiaTheme="minorEastAsia" w:cstheme="minorEastAsia"/>
          <w:color w:val="000000"/>
          <w:sz w:val="24"/>
          <w:szCs w:val="24"/>
          <w:highlight w:val="none"/>
          <w:lang w:bidi="zh-CN"/>
        </w:rPr>
        <w:t>1、</w:t>
      </w:r>
      <w:r>
        <w:rPr>
          <w:rFonts w:hint="eastAsia" w:asciiTheme="minorEastAsia" w:hAnsiTheme="minorEastAsia" w:eastAsiaTheme="minorEastAsia" w:cstheme="minorEastAsia"/>
          <w:color w:val="000000"/>
          <w:sz w:val="24"/>
          <w:szCs w:val="24"/>
          <w:highlight w:val="none"/>
          <w:lang w:val="zh-CN" w:bidi="zh-CN"/>
        </w:rPr>
        <w:t>本合同乙方在任何情况下都不得全部或部分转让其应履行的合同义务，乙方不得将本合同分包给他人。</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2、</w:t>
      </w:r>
      <w:r>
        <w:rPr>
          <w:rFonts w:hint="eastAsia" w:asciiTheme="minorEastAsia" w:hAnsiTheme="minorEastAsia" w:eastAsiaTheme="minorEastAsia" w:cstheme="minorEastAsia"/>
          <w:color w:val="000000"/>
          <w:sz w:val="24"/>
          <w:szCs w:val="24"/>
          <w:highlight w:val="none"/>
          <w:lang w:val="zh-CN" w:bidi="zh-CN"/>
        </w:rPr>
        <w:t>在执行本合同的过程中，所有经双方签署确认的文件（包括会议纪要、补充合同、合同修改书、往来信函等）均为本合同的有效组成部分，其生效日期为双方签字盖章或确认之日期。</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3、</w:t>
      </w:r>
      <w:r>
        <w:rPr>
          <w:rFonts w:hint="eastAsia" w:asciiTheme="minorEastAsia" w:hAnsiTheme="minorEastAsia" w:eastAsiaTheme="minorEastAsia" w:cstheme="minorEastAsia"/>
          <w:color w:val="000000"/>
          <w:sz w:val="24"/>
          <w:szCs w:val="24"/>
          <w:highlight w:val="none"/>
          <w:lang w:val="zh-CN" w:bidi="zh-CN"/>
        </w:rPr>
        <w:t>合同一式</w:t>
      </w:r>
      <w:r>
        <w:rPr>
          <w:rFonts w:hint="eastAsia" w:asciiTheme="minorEastAsia" w:hAnsiTheme="minorEastAsia" w:eastAsiaTheme="minorEastAsia" w:cstheme="minorEastAsia"/>
          <w:color w:val="000000"/>
          <w:sz w:val="24"/>
          <w:szCs w:val="24"/>
          <w:highlight w:val="none"/>
          <w:lang w:bidi="zh-CN"/>
        </w:rPr>
        <w:t>捌</w:t>
      </w:r>
      <w:r>
        <w:rPr>
          <w:rFonts w:hint="eastAsia" w:asciiTheme="minorEastAsia" w:hAnsiTheme="minorEastAsia" w:eastAsiaTheme="minorEastAsia" w:cstheme="minorEastAsia"/>
          <w:color w:val="000000"/>
          <w:sz w:val="24"/>
          <w:szCs w:val="24"/>
          <w:highlight w:val="none"/>
          <w:lang w:val="zh-CN" w:bidi="zh-CN"/>
        </w:rPr>
        <w:t>份，采购人肆份，中标供应商贰份、招标代理机构壹份；政府采购监管机构备案一份</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4、</w:t>
      </w:r>
      <w:r>
        <w:rPr>
          <w:rFonts w:hint="eastAsia" w:asciiTheme="minorEastAsia" w:hAnsiTheme="minorEastAsia" w:eastAsiaTheme="minorEastAsia" w:cstheme="minorEastAsia"/>
          <w:color w:val="000000"/>
          <w:sz w:val="24"/>
          <w:szCs w:val="24"/>
          <w:highlight w:val="none"/>
          <w:lang w:val="zh-CN" w:bidi="zh-CN"/>
        </w:rPr>
        <w:t>合同经双方授权代表签字、盖章后生效，生效日以签字日期为准。</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5、</w:t>
      </w:r>
      <w:r>
        <w:rPr>
          <w:rFonts w:hint="eastAsia" w:asciiTheme="minorEastAsia" w:hAnsiTheme="minorEastAsia" w:eastAsiaTheme="minorEastAsia" w:cstheme="minorEastAsia"/>
          <w:color w:val="000000"/>
          <w:sz w:val="24"/>
          <w:szCs w:val="24"/>
          <w:highlight w:val="none"/>
          <w:lang w:val="zh-CN" w:bidi="zh-CN"/>
        </w:rPr>
        <w:t>本合同页眉页脚标有页码，加盖骑缝章，缺页之合同为无效合同。</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6、</w:t>
      </w:r>
      <w:r>
        <w:rPr>
          <w:rFonts w:hint="eastAsia" w:asciiTheme="minorEastAsia" w:hAnsiTheme="minorEastAsia" w:eastAsiaTheme="minorEastAsia" w:cstheme="minorEastAsia"/>
          <w:color w:val="000000"/>
          <w:sz w:val="24"/>
          <w:szCs w:val="24"/>
          <w:highlight w:val="none"/>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7、</w:t>
      </w:r>
      <w:r>
        <w:rPr>
          <w:rFonts w:hint="eastAsia" w:asciiTheme="minorEastAsia" w:hAnsiTheme="minorEastAsia" w:eastAsiaTheme="minorEastAsia" w:cstheme="minorEastAsia"/>
          <w:color w:val="000000"/>
          <w:sz w:val="24"/>
          <w:szCs w:val="24"/>
          <w:highlight w:val="none"/>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8、</w:t>
      </w:r>
      <w:r>
        <w:rPr>
          <w:rFonts w:hint="eastAsia" w:asciiTheme="minorEastAsia" w:hAnsiTheme="minorEastAsia" w:eastAsiaTheme="minorEastAsia" w:cstheme="minorEastAsia"/>
          <w:color w:val="000000"/>
          <w:sz w:val="24"/>
          <w:szCs w:val="24"/>
          <w:highlight w:val="none"/>
          <w:lang w:val="zh-CN" w:bidi="zh-CN"/>
        </w:rPr>
        <w:t>未详尽之处双方协商解决。</w:t>
      </w:r>
    </w:p>
    <w:tbl>
      <w:tblPr>
        <w:tblStyle w:val="23"/>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甲  方</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西安市莲湖区庆安小学</w:t>
            </w:r>
            <w:r>
              <w:rPr>
                <w:rFonts w:hint="eastAsia" w:asciiTheme="minorEastAsia" w:hAnsiTheme="minorEastAsia" w:eastAsiaTheme="minorEastAsia" w:cstheme="minorEastAsia"/>
                <w:color w:val="000000"/>
                <w:sz w:val="24"/>
                <w:szCs w:val="24"/>
                <w:highlight w:val="none"/>
              </w:rPr>
              <w:t>（盖章）</w:t>
            </w:r>
          </w:p>
        </w:tc>
        <w:tc>
          <w:tcPr>
            <w:tcW w:w="5129" w:type="dxa"/>
            <w:vAlign w:val="center"/>
          </w:tcPr>
          <w:p>
            <w:pPr>
              <w:keepNext w:val="0"/>
              <w:keepLines w:val="0"/>
              <w:pageBreakBefore w:val="0"/>
              <w:widowControl w:val="0"/>
              <w:wordWrap/>
              <w:overflowPunct/>
              <w:topLinePunct w:val="0"/>
              <w:autoSpaceDE/>
              <w:bidi w:val="0"/>
              <w:spacing w:line="360" w:lineRule="auto"/>
              <w:jc w:val="righ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napToGrid w:val="0"/>
                <w:sz w:val="24"/>
                <w:szCs w:val="24"/>
                <w:highlight w:val="none"/>
              </w:rPr>
              <w:t xml:space="preserve">   </w:t>
            </w:r>
            <w:r>
              <w:rPr>
                <w:rFonts w:hint="eastAsia" w:asciiTheme="minorEastAsia" w:hAnsiTheme="minorEastAsia" w:eastAsiaTheme="minorEastAsia" w:cstheme="minorEastAsia"/>
                <w:color w:val="000000"/>
                <w:sz w:val="24"/>
                <w:szCs w:val="24"/>
                <w:highlight w:val="none"/>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c>
          <w:tcPr>
            <w:tcW w:w="5129"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账号:  </w:t>
            </w:r>
          </w:p>
        </w:tc>
        <w:tc>
          <w:tcPr>
            <w:tcW w:w="5129"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bookmarkStart w:id="70" w:name="_Toc30893"/>
            <w:r>
              <w:rPr>
                <w:rFonts w:hint="eastAsia" w:asciiTheme="minorEastAsia" w:hAnsiTheme="minorEastAsia" w:eastAsiaTheme="minorEastAsia" w:cstheme="minorEastAsia"/>
                <w:b/>
                <w:sz w:val="24"/>
                <w:szCs w:val="24"/>
                <w:highlight w:val="none"/>
              </w:rPr>
              <w:t>陕西卓佲项目管理有限公司</w:t>
            </w:r>
            <w:r>
              <w:rPr>
                <w:rFonts w:hint="eastAsia" w:asciiTheme="minorEastAsia" w:hAnsiTheme="minorEastAsia" w:eastAsiaTheme="minorEastAsia" w:cstheme="minorEastAsia"/>
                <w:sz w:val="24"/>
                <w:szCs w:val="24"/>
                <w:highlight w:val="none"/>
              </w:rPr>
              <w:t>（盖章）</w:t>
            </w:r>
            <w:bookmarkEnd w:id="7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传真：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keepNext w:val="0"/>
              <w:keepLines w:val="0"/>
              <w:pageBreakBefore w:val="0"/>
              <w:widowControl w:val="0"/>
              <w:wordWrap/>
              <w:overflowPunct/>
              <w:topLinePunct w:val="0"/>
              <w:autoSpaceDE/>
              <w:bidi w:val="0"/>
              <w:spacing w:line="360" w:lineRule="auto"/>
              <w:ind w:firstLine="5760" w:firstLineChars="2400"/>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日期：     年   月   日</w:t>
            </w:r>
          </w:p>
        </w:tc>
      </w:tr>
    </w:tbl>
    <w:p/>
    <w:p>
      <w:pPr>
        <w:rPr>
          <w:rFonts w:ascii="宋体" w:hAnsi="宋体" w:cs="宋体"/>
        </w:rPr>
      </w:pPr>
    </w:p>
    <w:p/>
    <w:p>
      <w:pPr>
        <w:pStyle w:val="3"/>
        <w:keepNext w:val="0"/>
        <w:pageBreakBefore/>
        <w:rPr>
          <w:rFonts w:ascii="宋体" w:hAnsi="宋体" w:cs="宋体"/>
        </w:rPr>
      </w:pPr>
      <w:bookmarkStart w:id="71" w:name="_Toc3552"/>
      <w:r>
        <w:rPr>
          <w:rFonts w:hint="eastAsia" w:ascii="宋体" w:hAnsi="宋体" w:cs="宋体"/>
        </w:rPr>
        <w:t>第七部分  响应文件格式</w:t>
      </w:r>
      <w:bookmarkEnd w:id="65"/>
      <w:bookmarkEnd w:id="71"/>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w:t>
      </w:r>
      <w:r>
        <w:rPr>
          <w:rFonts w:hint="eastAsia" w:ascii="宋体" w:hAnsi="宋体" w:eastAsia="宋体" w:cs="宋体"/>
          <w:b/>
          <w:w w:val="120"/>
          <w:sz w:val="28"/>
          <w:szCs w:val="28"/>
          <w:lang w:eastAsia="zh-CN"/>
        </w:rPr>
        <w:t>ZMZB2023QAXX-251</w:t>
      </w:r>
      <w:r>
        <w:rPr>
          <w:rFonts w:hint="eastAsia" w:ascii="宋体" w:hAnsi="宋体" w:eastAsia="宋体" w:cs="宋体"/>
          <w:b/>
          <w:w w:val="120"/>
          <w:sz w:val="28"/>
          <w:szCs w:val="28"/>
        </w:rPr>
        <w:t xml:space="preserve">    </w:t>
      </w:r>
      <w:r>
        <w:rPr>
          <w:rFonts w:hint="eastAsia" w:ascii="宋体" w:hAnsi="宋体" w:eastAsia="宋体" w:cs="宋体"/>
          <w:b/>
          <w:w w:val="120"/>
          <w:sz w:val="28"/>
          <w:szCs w:val="28"/>
          <w:lang w:val="en-US" w:eastAsia="zh-CN"/>
        </w:rPr>
        <w:t xml:space="preserve">     </w:t>
      </w:r>
      <w:r>
        <w:rPr>
          <w:rFonts w:hint="eastAsia" w:ascii="宋体" w:hAnsi="宋体" w:eastAsia="宋体" w:cs="宋体"/>
          <w:b/>
          <w:w w:val="120"/>
          <w:sz w:val="28"/>
          <w:szCs w:val="28"/>
        </w:rPr>
        <w:t>（正本或副本）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360" w:lineRule="auto"/>
        <w:ind w:firstLine="883" w:firstLineChars="200"/>
        <w:jc w:val="center"/>
        <w:rPr>
          <w:rFonts w:hint="eastAsia" w:ascii="宋体" w:hAnsi="宋体" w:eastAsia="宋体" w:cs="宋体"/>
          <w:b/>
          <w:sz w:val="44"/>
          <w:szCs w:val="44"/>
          <w:lang w:eastAsia="zh-CN"/>
        </w:rPr>
      </w:pPr>
    </w:p>
    <w:p>
      <w:pPr>
        <w:tabs>
          <w:tab w:val="left" w:pos="0"/>
        </w:tabs>
        <w:adjustRightInd w:val="0"/>
        <w:snapToGrid w:val="0"/>
        <w:spacing w:line="360" w:lineRule="auto"/>
        <w:jc w:val="center"/>
        <w:rPr>
          <w:rFonts w:hint="eastAsia" w:ascii="宋体" w:hAnsi="宋体" w:eastAsia="宋体" w:cs="宋体"/>
          <w:b/>
          <w:sz w:val="52"/>
          <w:szCs w:val="52"/>
          <w:lang w:val="en-US" w:eastAsia="zh-CN"/>
        </w:rPr>
      </w:pPr>
    </w:p>
    <w:p>
      <w:pPr>
        <w:adjustRightInd w:val="0"/>
        <w:snapToGrid w:val="0"/>
        <w:spacing w:line="48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西安市莲湖区庆安小学</w:t>
      </w:r>
    </w:p>
    <w:p>
      <w:pPr>
        <w:adjustRightInd w:val="0"/>
        <w:snapToGrid w:val="0"/>
        <w:spacing w:line="480" w:lineRule="auto"/>
        <w:jc w:val="center"/>
        <w:rPr>
          <w:rFonts w:hint="eastAsia" w:ascii="宋体" w:hAnsi="宋体" w:eastAsia="宋体" w:cs="宋体"/>
          <w:b/>
          <w:sz w:val="56"/>
          <w:szCs w:val="56"/>
        </w:rPr>
      </w:pPr>
      <w:r>
        <w:rPr>
          <w:rFonts w:hint="eastAsia" w:ascii="宋体" w:hAnsi="宋体" w:eastAsia="宋体" w:cs="宋体"/>
          <w:b/>
          <w:sz w:val="56"/>
          <w:szCs w:val="56"/>
          <w:lang w:eastAsia="zh-CN"/>
        </w:rPr>
        <w:t>信息化建设（智慧黑板采购）项目</w:t>
      </w:r>
    </w:p>
    <w:p>
      <w:pPr>
        <w:adjustRightInd w:val="0"/>
        <w:snapToGrid w:val="0"/>
        <w:spacing w:line="480" w:lineRule="auto"/>
        <w:jc w:val="center"/>
        <w:rPr>
          <w:rFonts w:ascii="宋体" w:hAnsi="宋体" w:eastAsia="宋体" w:cs="宋体"/>
          <w:b/>
          <w:sz w:val="56"/>
          <w:szCs w:val="56"/>
        </w:rPr>
      </w:pPr>
      <w:r>
        <w:rPr>
          <w:rFonts w:hint="eastAsia" w:ascii="宋体" w:hAnsi="宋体" w:eastAsia="宋体" w:cs="宋体"/>
          <w:b/>
          <w:sz w:val="56"/>
          <w:szCs w:val="56"/>
        </w:rPr>
        <w:t>响应文件</w:t>
      </w: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第一部分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第二部分   响应一览表 </w:t>
      </w:r>
    </w:p>
    <w:p>
      <w:pPr>
        <w:pStyle w:val="9"/>
        <w:snapToGrid w:val="0"/>
        <w:spacing w:line="480" w:lineRule="auto"/>
        <w:ind w:firstLine="1687" w:firstLineChars="600"/>
        <w:jc w:val="left"/>
        <w:rPr>
          <w:rFonts w:asciiTheme="minorEastAsia" w:hAnsiTheme="minorEastAsia" w:cstheme="minorEastAsia"/>
          <w:b/>
          <w:kern w:val="0"/>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
          <w:kern w:val="0"/>
          <w:sz w:val="28"/>
          <w:szCs w:val="28"/>
        </w:rPr>
        <w:t>分项报价表</w:t>
      </w:r>
    </w:p>
    <w:p>
      <w:pPr>
        <w:pStyle w:val="9"/>
        <w:snapToGrid w:val="0"/>
        <w:spacing w:line="480" w:lineRule="auto"/>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第三部分   商务及技术响应说明</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第四部分   </w:t>
      </w:r>
      <w:r>
        <w:rPr>
          <w:rFonts w:hint="eastAsia" w:asciiTheme="minorEastAsia" w:hAnsiTheme="minorEastAsia" w:cstheme="minorEastAsia"/>
          <w:b/>
          <w:sz w:val="28"/>
          <w:szCs w:val="28"/>
        </w:rPr>
        <w:t>供应商资格要求</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第五部分   技术与服务方案</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第六部分   服务承诺</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第七部分   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Theme="minorEastAsia" w:hAnsiTheme="minorEastAsia" w:cstheme="minorEastAsia"/>
          <w:b/>
          <w:bCs/>
          <w:sz w:val="28"/>
          <w:szCs w:val="28"/>
        </w:rPr>
        <w:t xml:space="preserve">  </w:t>
      </w:r>
    </w:p>
    <w:p>
      <w:pPr>
        <w:pStyle w:val="4"/>
        <w:pageBreakBefore/>
        <w:rPr>
          <w:rFonts w:ascii="宋体" w:hAnsi="宋体" w:cs="宋体"/>
        </w:rPr>
      </w:pPr>
      <w:bookmarkStart w:id="72" w:name="_Toc31014"/>
      <w:bookmarkStart w:id="73" w:name="_Toc2536"/>
      <w:r>
        <w:rPr>
          <w:rFonts w:hint="eastAsia" w:ascii="宋体" w:hAnsi="宋体" w:cs="宋体"/>
        </w:rPr>
        <w:t>第一部分响应函</w:t>
      </w:r>
      <w:bookmarkEnd w:id="72"/>
      <w:bookmarkEnd w:id="73"/>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陕西卓佲项目管理有限公司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lang w:eastAsia="zh-CN"/>
        </w:rPr>
        <w:t>ZMZB2023QAXX-251</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2、我方提交的响应文件正本____份、副本____份，电子文档____份、</w:t>
      </w:r>
      <w:r>
        <w:rPr>
          <w:rFonts w:hint="eastAsia" w:ascii="宋体" w:hAnsi="宋体" w:eastAsia="宋体" w:cs="宋体"/>
          <w:sz w:val="24"/>
          <w:szCs w:val="24"/>
        </w:rPr>
        <w:t>响应一览表_____份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、我方承诺响应有效期为谈判之日起</w:t>
      </w:r>
      <w:r>
        <w:rPr>
          <w:rFonts w:hint="eastAsia" w:ascii="宋体" w:hAnsi="宋体" w:eastAsia="宋体" w:cs="宋体"/>
          <w:sz w:val="24"/>
          <w:u w:val="single"/>
        </w:rPr>
        <w:t xml:space="preserve">         </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法定代表人或被授权人（签字或盖章）：______________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pStyle w:val="4"/>
        <w:rPr>
          <w:rFonts w:ascii="宋体" w:hAnsi="宋体" w:cs="宋体"/>
        </w:rPr>
        <w:sectPr>
          <w:pgSz w:w="11906" w:h="16838"/>
          <w:pgMar w:top="1440" w:right="1483" w:bottom="1440" w:left="1803" w:header="851" w:footer="992" w:gutter="0"/>
          <w:pgNumType w:fmt="decimal"/>
          <w:cols w:space="720" w:num="1"/>
          <w:docGrid w:type="lines" w:linePitch="319" w:charSpace="0"/>
        </w:sectPr>
      </w:pPr>
      <w:bookmarkStart w:id="74" w:name="_Toc28494"/>
    </w:p>
    <w:p>
      <w:pPr>
        <w:pStyle w:val="4"/>
        <w:pageBreakBefore/>
        <w:rPr>
          <w:rFonts w:ascii="宋体" w:hAnsi="宋体" w:cs="宋体"/>
        </w:rPr>
      </w:pPr>
      <w:bookmarkStart w:id="75" w:name="_Toc12598"/>
      <w:r>
        <w:rPr>
          <w:rFonts w:hint="eastAsia" w:ascii="宋体" w:hAnsi="宋体" w:cs="宋体"/>
        </w:rPr>
        <w:t>第二部分</w:t>
      </w:r>
      <w:bookmarkEnd w:id="74"/>
      <w:r>
        <w:rPr>
          <w:rFonts w:hint="eastAsia" w:ascii="宋体" w:hAnsi="宋体" w:cs="宋体"/>
        </w:rPr>
        <w:t>响应一览表</w:t>
      </w:r>
      <w:bookmarkEnd w:id="75"/>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西安市莲湖区庆安小学信息化建设（智慧黑板采购）项目</w:t>
      </w:r>
    </w:p>
    <w:p>
      <w:pPr>
        <w:pStyle w:val="2"/>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项目编号：ZMZB2023QAXX-251</w:t>
      </w:r>
    </w:p>
    <w:p>
      <w:pPr>
        <w:rPr>
          <w:rFonts w:hint="default"/>
          <w:lang w:val="en-US" w:eastAsia="zh-CN"/>
        </w:rPr>
      </w:pPr>
      <w:r>
        <w:rPr>
          <w:rFonts w:hint="eastAsia" w:ascii="宋体" w:hAnsi="宋体" w:eastAsia="宋体" w:cs="宋体"/>
          <w:kern w:val="2"/>
          <w:sz w:val="24"/>
          <w:szCs w:val="22"/>
          <w:lang w:val="en-US" w:eastAsia="zh-CN" w:bidi="ar-SA"/>
        </w:rPr>
        <w:t>合同包号：______________</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3"/>
        <w:tblpPr w:leftFromText="180" w:rightFromText="180" w:vertAnchor="text" w:horzAnchor="margin" w:tblpXSpec="center" w:tblpY="9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2258"/>
        <w:gridCol w:w="200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3058" w:type="dxa"/>
            <w:tcBorders>
              <w:tl2br w:val="single" w:color="auto" w:sz="4" w:space="0"/>
            </w:tcBorders>
          </w:tcPr>
          <w:p>
            <w:pPr>
              <w:kinsoku w:val="0"/>
              <w:spacing w:line="480" w:lineRule="auto"/>
              <w:ind w:right="-199" w:rightChars="-95" w:firstLine="1920" w:firstLineChars="8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2258"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报价（元）</w:t>
            </w:r>
          </w:p>
        </w:tc>
        <w:tc>
          <w:tcPr>
            <w:tcW w:w="2000" w:type="dxa"/>
            <w:vAlign w:val="center"/>
          </w:tcPr>
          <w:p>
            <w:pPr>
              <w:kinsoku w:val="0"/>
              <w:ind w:right="-199" w:rightChars="-95"/>
              <w:jc w:val="center"/>
            </w:pPr>
            <w:r>
              <w:rPr>
                <w:rFonts w:hint="eastAsia" w:ascii="宋体" w:hAnsi="宋体" w:eastAsia="宋体" w:cs="宋体"/>
                <w:sz w:val="24"/>
                <w:lang w:val="en-US" w:eastAsia="zh-CN"/>
              </w:rPr>
              <w:t>交货期</w:t>
            </w:r>
          </w:p>
        </w:tc>
        <w:tc>
          <w:tcPr>
            <w:tcW w:w="2071" w:type="dxa"/>
            <w:vAlign w:val="center"/>
          </w:tcPr>
          <w:p>
            <w:pPr>
              <w:kinsoku w:val="0"/>
              <w:ind w:right="-199" w:rightChars="-95"/>
              <w:jc w:val="center"/>
              <w:rPr>
                <w:rFonts w:hint="default" w:ascii="宋体" w:hAnsi="宋体" w:eastAsia="宋体" w:cs="宋体"/>
                <w:sz w:val="24"/>
                <w:lang w:val="en-US" w:eastAsia="zh-CN"/>
              </w:rPr>
            </w:pPr>
            <w:r>
              <w:rPr>
                <w:rFonts w:hint="eastAsia" w:ascii="宋体" w:hAnsi="宋体" w:eastAsia="宋体" w:cs="宋体"/>
                <w:sz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3058" w:type="dxa"/>
            <w:vAlign w:val="center"/>
          </w:tcPr>
          <w:p>
            <w:pPr>
              <w:kinsoku w:val="0"/>
              <w:ind w:right="59" w:rightChars="28"/>
              <w:jc w:val="center"/>
              <w:rPr>
                <w:rFonts w:hint="eastAsia" w:ascii="宋体" w:hAnsi="宋体" w:eastAsia="宋体" w:cs="宋体"/>
                <w:sz w:val="24"/>
                <w:lang w:eastAsia="zh-CN"/>
              </w:rPr>
            </w:pPr>
            <w:r>
              <w:rPr>
                <w:rFonts w:hint="eastAsia" w:ascii="宋体" w:hAnsi="宋体" w:eastAsia="宋体" w:cs="宋体"/>
                <w:sz w:val="24"/>
                <w:lang w:eastAsia="zh-CN"/>
              </w:rPr>
              <w:t>西安市莲湖区庆安小学信息化建设（智慧黑板采购）项目</w:t>
            </w:r>
          </w:p>
        </w:tc>
        <w:tc>
          <w:tcPr>
            <w:tcW w:w="2258" w:type="dxa"/>
            <w:vAlign w:val="center"/>
          </w:tcPr>
          <w:p>
            <w:pPr>
              <w:kinsoku w:val="0"/>
              <w:spacing w:line="480" w:lineRule="auto"/>
              <w:ind w:left="10" w:right="-199" w:rightChars="-95" w:firstLine="501" w:firstLineChars="209"/>
              <w:rPr>
                <w:rFonts w:ascii="宋体" w:hAnsi="宋体" w:cs="宋体"/>
                <w:sz w:val="24"/>
              </w:rPr>
            </w:pPr>
          </w:p>
        </w:tc>
        <w:tc>
          <w:tcPr>
            <w:tcW w:w="2000" w:type="dxa"/>
            <w:vAlign w:val="center"/>
          </w:tcPr>
          <w:p>
            <w:pPr>
              <w:kinsoku w:val="0"/>
              <w:spacing w:line="480" w:lineRule="auto"/>
              <w:ind w:left="10" w:right="-199" w:rightChars="-95" w:firstLine="501" w:firstLineChars="209"/>
              <w:jc w:val="center"/>
              <w:rPr>
                <w:rFonts w:ascii="宋体" w:hAnsi="宋体" w:cs="宋体"/>
                <w:sz w:val="24"/>
              </w:rPr>
            </w:pPr>
          </w:p>
        </w:tc>
        <w:tc>
          <w:tcPr>
            <w:tcW w:w="2071"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387" w:type="dxa"/>
            <w:gridSpan w:val="4"/>
            <w:vAlign w:val="center"/>
          </w:tcPr>
          <w:p>
            <w:pPr>
              <w:kinsoku w:val="0"/>
              <w:spacing w:line="480" w:lineRule="auto"/>
              <w:ind w:right="-199" w:rightChars="-95"/>
              <w:jc w:val="left"/>
              <w:rPr>
                <w:rFonts w:hint="eastAsia" w:ascii="宋体" w:hAnsi="宋体" w:cs="宋体"/>
                <w:sz w:val="24"/>
              </w:rPr>
            </w:pPr>
            <w:r>
              <w:rPr>
                <w:rFonts w:hint="eastAsia" w:ascii="宋体" w:hAnsi="宋体" w:cs="宋体"/>
                <w:sz w:val="24"/>
              </w:rPr>
              <w:t>报价：（大写）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r>
              <w:rPr>
                <w:rFonts w:hint="eastAsia" w:ascii="宋体" w:hAnsi="宋体" w:cs="宋体"/>
                <w:sz w:val="24"/>
                <w:u w:val="none"/>
              </w:rPr>
              <w:t xml:space="preserve">（小写）¥ </w:t>
            </w:r>
            <w:r>
              <w:rPr>
                <w:rFonts w:hint="eastAsia" w:ascii="宋体" w:hAnsi="宋体" w:cs="宋体"/>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387" w:type="dxa"/>
            <w:gridSpan w:val="4"/>
            <w:vAlign w:val="center"/>
          </w:tcPr>
          <w:p>
            <w:pPr>
              <w:kinsoku w:val="0"/>
              <w:ind w:right="-199" w:rightChars="-95"/>
              <w:rPr>
                <w:rFonts w:hint="eastAsia"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eastAsia="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法定代表人或被授权人（签字或盖章）：______________________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rPr>
          <w:rFonts w:ascii="宋体" w:hAnsi="宋体" w:eastAsia="宋体" w:cs="宋体"/>
        </w:rPr>
        <w:sectPr>
          <w:pgSz w:w="11906" w:h="16838"/>
          <w:pgMar w:top="1440" w:right="1803" w:bottom="1440" w:left="1803" w:header="851" w:footer="992" w:gutter="0"/>
          <w:pgNumType w:fmt="decimal"/>
          <w:cols w:space="720" w:num="1"/>
          <w:docGrid w:type="lines" w:linePitch="319" w:charSpace="0"/>
        </w:sectPr>
      </w:pPr>
    </w:p>
    <w:p>
      <w:pPr>
        <w:pStyle w:val="4"/>
        <w:rPr>
          <w:sz w:val="36"/>
          <w:szCs w:val="36"/>
        </w:rPr>
      </w:pPr>
      <w:bookmarkStart w:id="76" w:name="_Toc6064"/>
      <w:bookmarkStart w:id="77" w:name="_Toc14444"/>
      <w:bookmarkStart w:id="78" w:name="_Toc11728"/>
      <w:bookmarkStart w:id="79" w:name="_Toc11309"/>
      <w:r>
        <w:rPr>
          <w:rFonts w:hint="eastAsia"/>
          <w:sz w:val="36"/>
          <w:szCs w:val="36"/>
        </w:rPr>
        <w:t>分项报价表</w:t>
      </w:r>
      <w:bookmarkEnd w:id="76"/>
      <w:bookmarkEnd w:id="77"/>
      <w:bookmarkEnd w:id="78"/>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Theme="minorEastAsia" w:hAnsiTheme="minorEastAsia" w:cstheme="minorEastAsia"/>
          <w:color w:val="auto"/>
          <w:kern w:val="2"/>
          <w:sz w:val="24"/>
          <w:szCs w:val="24"/>
          <w:highlight w:val="none"/>
          <w:lang w:eastAsia="zh-CN"/>
        </w:rPr>
        <w:t>西安市莲湖区庆安小学信息化建设（智慧黑板采购）项目</w:t>
      </w:r>
    </w:p>
    <w:p>
      <w:pPr>
        <w:widowControl/>
        <w:wordWrap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项目编号：ZMZB2023QAXX-251</w:t>
      </w:r>
    </w:p>
    <w:p>
      <w:pPr>
        <w:rPr>
          <w:rFonts w:hint="default"/>
          <w:lang w:val="en-US" w:eastAsia="zh-CN"/>
        </w:rPr>
      </w:pPr>
      <w:r>
        <w:rPr>
          <w:rFonts w:hint="eastAsia" w:ascii="宋体" w:hAnsi="宋体" w:eastAsia="宋体" w:cs="宋体"/>
          <w:kern w:val="2"/>
          <w:sz w:val="24"/>
          <w:szCs w:val="22"/>
          <w:lang w:val="en-US" w:eastAsia="zh-CN" w:bidi="ar-SA"/>
        </w:rPr>
        <w:t>合同包号：______________</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3"/>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highlight w:val="none"/>
              </w:rPr>
            </w:pPr>
            <w:r>
              <w:rPr>
                <w:rFonts w:hint="eastAsia" w:ascii="宋体" w:cs="宋体"/>
                <w:sz w:val="22"/>
                <w:highlight w:val="none"/>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highlight w:val="none"/>
              </w:rPr>
            </w:pPr>
            <w:r>
              <w:rPr>
                <w:rFonts w:hint="eastAsia" w:ascii="宋体" w:cs="宋体"/>
                <w:sz w:val="22"/>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highlight w:val="none"/>
              </w:rPr>
            </w:pPr>
            <w:r>
              <w:rPr>
                <w:rFonts w:hint="eastAsia" w:ascii="宋体" w:cs="宋体"/>
                <w:sz w:val="22"/>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highlight w:val="none"/>
              </w:rPr>
            </w:pPr>
            <w:r>
              <w:rPr>
                <w:rFonts w:hint="eastAsia" w:ascii="宋体" w:cs="宋体"/>
                <w:sz w:val="22"/>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单价</w:t>
            </w:r>
          </w:p>
          <w:p>
            <w:pPr>
              <w:spacing w:after="120"/>
              <w:jc w:val="center"/>
              <w:rPr>
                <w:rFonts w:ascii="宋体" w:cs="宋体"/>
                <w:bCs/>
                <w:sz w:val="22"/>
                <w:highlight w:val="none"/>
              </w:rPr>
            </w:pPr>
            <w:r>
              <w:rPr>
                <w:rFonts w:hint="eastAsia" w:ascii="宋体" w:cs="宋体"/>
                <w:sz w:val="22"/>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highlight w:val="none"/>
              </w:rPr>
            </w:pPr>
            <w:r>
              <w:rPr>
                <w:rFonts w:hint="eastAsia" w:ascii="宋体" w:cs="宋体"/>
                <w:bCs/>
                <w:sz w:val="22"/>
                <w:highlight w:val="none"/>
              </w:rPr>
              <w:t>总价</w:t>
            </w:r>
          </w:p>
          <w:p>
            <w:pPr>
              <w:spacing w:after="120"/>
              <w:jc w:val="center"/>
              <w:rPr>
                <w:rFonts w:ascii="宋体" w:cs="宋体"/>
                <w:bCs/>
                <w:sz w:val="22"/>
                <w:highlight w:val="none"/>
              </w:rPr>
            </w:pPr>
            <w:r>
              <w:rPr>
                <w:rFonts w:hint="eastAsia" w:ascii="宋体" w:cs="宋体"/>
                <w:bCs/>
                <w:sz w:val="22"/>
                <w:highlight w:val="none"/>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highlight w:val="none"/>
              </w:rPr>
            </w:pPr>
            <w:r>
              <w:rPr>
                <w:rFonts w:hint="eastAsia" w:ascii="宋体" w:cs="宋体"/>
                <w:sz w:val="22"/>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highlight w:val="none"/>
              </w:rPr>
            </w:pPr>
            <w:r>
              <w:rPr>
                <w:rFonts w:hint="eastAsia" w:ascii="宋体" w:cs="宋体"/>
                <w:sz w:val="22"/>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highlight w:val="none"/>
              </w:rPr>
            </w:pPr>
            <w:r>
              <w:rPr>
                <w:rFonts w:hint="eastAsia" w:ascii="宋体" w:cs="宋体"/>
                <w:sz w:val="22"/>
                <w:highlight w:val="none"/>
              </w:rPr>
              <w:t>大写：</w:t>
            </w:r>
            <w:r>
              <w:rPr>
                <w:rFonts w:hint="eastAsia" w:ascii="宋体" w:cs="宋体"/>
                <w:sz w:val="22"/>
                <w:highlight w:val="none"/>
                <w:u w:val="single"/>
              </w:rPr>
              <w:t xml:space="preserve">                  </w:t>
            </w:r>
            <w:r>
              <w:rPr>
                <w:rFonts w:hint="eastAsia" w:ascii="宋体" w:cs="宋体"/>
                <w:sz w:val="22"/>
                <w:highlight w:val="none"/>
              </w:rPr>
              <w:t xml:space="preserve"> 小写：</w:t>
            </w:r>
            <w:r>
              <w:rPr>
                <w:rFonts w:hint="eastAsia" w:ascii="宋体" w:cs="宋体"/>
                <w:sz w:val="22"/>
                <w:highlight w:val="none"/>
                <w:u w:val="single"/>
              </w:rPr>
              <w:t xml:space="preserve">    </w:t>
            </w:r>
            <w:r>
              <w:rPr>
                <w:rFonts w:hint="eastAsia" w:ascii="宋体" w:cs="宋体"/>
                <w:sz w:val="22"/>
                <w:highlight w:val="none"/>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pacing w:val="-6"/>
                <w:sz w:val="22"/>
                <w:highlight w:val="none"/>
              </w:rPr>
              <w:t>保留小数点后两位。</w:t>
            </w:r>
          </w:p>
        </w:tc>
      </w:tr>
    </w:tbl>
    <w:p>
      <w:pPr>
        <w:adjustRightInd w:val="0"/>
        <w:snapToGrid w:val="0"/>
        <w:spacing w:line="480" w:lineRule="auto"/>
        <w:rPr>
          <w:rFonts w:ascii="宋体" w:hAnsi="宋体"/>
          <w:sz w:val="24"/>
          <w:szCs w:val="24"/>
        </w:rPr>
      </w:pP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供应商（单位名称及公章）：_______________</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法定代表人或被授权人（签字或盖章）：_______________</w:t>
      </w:r>
    </w:p>
    <w:p>
      <w:pPr>
        <w:adjustRightInd w:val="0"/>
        <w:snapToGrid w:val="0"/>
        <w:spacing w:line="360" w:lineRule="auto"/>
        <w:ind w:firstLine="480" w:firstLineChars="200"/>
        <w:jc w:val="left"/>
        <w:rPr>
          <w:sz w:val="36"/>
          <w:szCs w:val="36"/>
        </w:rPr>
        <w:sectPr>
          <w:pgSz w:w="11906" w:h="16838"/>
          <w:pgMar w:top="1440" w:right="1800" w:bottom="1440" w:left="1800" w:header="851" w:footer="992" w:gutter="0"/>
          <w:pgNumType w:fmt="decimal"/>
          <w:cols w:space="720" w:num="1"/>
          <w:docGrid w:type="lines" w:linePitch="319" w:charSpace="0"/>
        </w:sectPr>
      </w:pPr>
      <w:r>
        <w:rPr>
          <w:rFonts w:hint="eastAsia" w:asciiTheme="minorEastAsia" w:hAnsiTheme="minorEastAsia" w:cstheme="minorEastAsia"/>
          <w:sz w:val="24"/>
          <w:szCs w:val="24"/>
        </w:rPr>
        <w:t>日    期：_____年_____月_____日</w:t>
      </w:r>
    </w:p>
    <w:p>
      <w:pPr>
        <w:pStyle w:val="4"/>
        <w:rPr>
          <w:rFonts w:ascii="宋体" w:hAnsi="宋体" w:cs="宋体"/>
        </w:rPr>
      </w:pPr>
      <w:bookmarkStart w:id="80" w:name="_Toc21073"/>
      <w:bookmarkStart w:id="81" w:name="OLE_LINK1"/>
      <w:r>
        <w:rPr>
          <w:rFonts w:hint="eastAsia" w:ascii="宋体" w:hAnsi="宋体" w:cs="宋体"/>
        </w:rPr>
        <w:t>第三部分 商务及技术响应说明</w:t>
      </w:r>
      <w:bookmarkEnd w:id="80"/>
    </w:p>
    <w:p>
      <w:pPr>
        <w:pStyle w:val="8"/>
        <w:ind w:firstLine="0"/>
        <w:rPr>
          <w:rFonts w:ascii="宋体" w:hAnsi="宋体" w:eastAsia="宋体" w:cs="宋体"/>
        </w:rPr>
      </w:pPr>
    </w:p>
    <w:p>
      <w:pPr>
        <w:jc w:val="center"/>
        <w:rPr>
          <w:rFonts w:ascii="宋体" w:hAnsi="宋体" w:eastAsia="宋体" w:cs="宋体"/>
          <w:b/>
          <w:bCs/>
          <w:sz w:val="28"/>
          <w:szCs w:val="32"/>
        </w:rPr>
      </w:pPr>
      <w:r>
        <w:rPr>
          <w:rFonts w:hint="eastAsia" w:ascii="宋体" w:hAnsi="宋体" w:eastAsia="宋体" w:cs="宋体"/>
          <w:b/>
          <w:bCs/>
          <w:sz w:val="28"/>
          <w:szCs w:val="32"/>
        </w:rPr>
        <w:t>商务偏离表</w:t>
      </w: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商务条款</w:t>
            </w:r>
          </w:p>
        </w:tc>
        <w:tc>
          <w:tcPr>
            <w:tcW w:w="160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商务要求</w:t>
            </w:r>
          </w:p>
          <w:p>
            <w:pPr>
              <w:pStyle w:val="9"/>
              <w:spacing w:line="360" w:lineRule="auto"/>
              <w:jc w:val="center"/>
              <w:rPr>
                <w:rFonts w:hAnsi="宋体" w:eastAsia="宋体" w:cs="宋体"/>
                <w:sz w:val="24"/>
                <w:szCs w:val="24"/>
              </w:rPr>
            </w:pPr>
            <w:r>
              <w:rPr>
                <w:rFonts w:hint="eastAsia" w:hAnsi="宋体" w:eastAsia="宋体" w:cs="宋体"/>
                <w:sz w:val="24"/>
                <w:szCs w:val="24"/>
              </w:rPr>
              <w:t>内容</w:t>
            </w:r>
          </w:p>
        </w:tc>
        <w:tc>
          <w:tcPr>
            <w:tcW w:w="1938"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响应文件</w:t>
            </w:r>
          </w:p>
          <w:p>
            <w:pPr>
              <w:pStyle w:val="9"/>
              <w:spacing w:line="360" w:lineRule="auto"/>
              <w:jc w:val="center"/>
              <w:rPr>
                <w:rFonts w:hAnsi="宋体" w:eastAsia="宋体" w:cs="宋体"/>
                <w:sz w:val="24"/>
                <w:szCs w:val="24"/>
              </w:rPr>
            </w:pPr>
            <w:r>
              <w:rPr>
                <w:rFonts w:hint="eastAsia" w:hAnsi="宋体" w:eastAsia="宋体" w:cs="宋体"/>
                <w:sz w:val="24"/>
                <w:szCs w:val="24"/>
              </w:rPr>
              <w:t>响应商务内容</w:t>
            </w:r>
          </w:p>
        </w:tc>
        <w:tc>
          <w:tcPr>
            <w:tcW w:w="141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偏离情况</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vAlign w:val="center"/>
          </w:tcPr>
          <w:p>
            <w:pPr>
              <w:pStyle w:val="9"/>
              <w:spacing w:line="480" w:lineRule="auto"/>
              <w:ind w:firstLine="480" w:firstLineChars="200"/>
              <w:jc w:val="left"/>
              <w:rPr>
                <w:rFonts w:hAnsi="宋体" w:eastAsia="宋体" w:cs="宋体"/>
                <w:sz w:val="24"/>
                <w:szCs w:val="24"/>
              </w:rPr>
            </w:pPr>
          </w:p>
        </w:tc>
        <w:tc>
          <w:tcPr>
            <w:tcW w:w="1938"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numPr>
          <w:ilvl w:val="0"/>
          <w:numId w:val="18"/>
        </w:numPr>
        <w:spacing w:line="360" w:lineRule="auto"/>
        <w:rPr>
          <w:rFonts w:ascii="宋体" w:hAnsi="宋体" w:eastAsia="宋体" w:cs="宋体"/>
          <w:b/>
          <w:bCs/>
          <w:sz w:val="24"/>
          <w:szCs w:val="24"/>
        </w:rPr>
      </w:pPr>
      <w:r>
        <w:rPr>
          <w:rFonts w:hint="eastAsia" w:ascii="宋体" w:hAnsi="宋体" w:eastAsia="宋体" w:cs="宋体"/>
          <w:b/>
          <w:bCs/>
          <w:sz w:val="24"/>
          <w:szCs w:val="24"/>
        </w:rPr>
        <w:t>本表须按“供应商须知前附表”中所列商务条款进行比较和响应；</w:t>
      </w:r>
    </w:p>
    <w:p>
      <w:pPr>
        <w:pStyle w:val="8"/>
        <w:numPr>
          <w:ilvl w:val="0"/>
          <w:numId w:val="18"/>
        </w:numPr>
        <w:spacing w:line="360" w:lineRule="auto"/>
        <w:rPr>
          <w:rFonts w:ascii="宋体" w:hAnsi="宋体" w:eastAsia="宋体" w:cs="宋体"/>
          <w:b/>
          <w:bCs/>
          <w:sz w:val="24"/>
          <w:szCs w:val="24"/>
        </w:rPr>
      </w:pPr>
      <w:r>
        <w:rPr>
          <w:rFonts w:hint="eastAsia" w:ascii="宋体" w:hAnsi="宋体" w:eastAsia="宋体" w:cs="宋体"/>
          <w:b/>
          <w:bCs/>
          <w:sz w:val="24"/>
          <w:szCs w:val="24"/>
        </w:rPr>
        <w:t>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numPr>
          <w:ilvl w:val="0"/>
          <w:numId w:val="18"/>
        </w:numPr>
        <w:spacing w:line="360" w:lineRule="auto"/>
        <w:rPr>
          <w:rFonts w:ascii="宋体" w:hAnsi="宋体" w:eastAsia="宋体" w:cs="宋体"/>
          <w:b/>
          <w:bCs/>
          <w:sz w:val="24"/>
          <w:szCs w:val="24"/>
        </w:rPr>
      </w:pPr>
      <w:r>
        <w:rPr>
          <w:rFonts w:hint="eastAsia" w:ascii="宋体" w:hAnsi="宋体" w:eastAsia="宋体" w:cs="宋体"/>
          <w:b/>
          <w:bCs/>
          <w:sz w:val="24"/>
          <w:szCs w:val="24"/>
        </w:rPr>
        <w:t>该表可扩展。</w:t>
      </w:r>
    </w:p>
    <w:p>
      <w:pPr>
        <w:pStyle w:val="8"/>
        <w:spacing w:line="360" w:lineRule="auto"/>
        <w:ind w:left="140" w:firstLine="0"/>
        <w:rPr>
          <w:rFonts w:ascii="宋体" w:hAnsi="宋体" w:eastAsia="宋体" w:cs="宋体"/>
          <w:b/>
          <w:bCs/>
          <w:sz w:val="28"/>
          <w:szCs w:val="28"/>
        </w:rPr>
      </w:pPr>
      <w:r>
        <w:rPr>
          <w:rFonts w:hint="eastAsia" w:ascii="宋体" w:hAnsi="宋体" w:eastAsia="宋体" w:cs="宋体"/>
          <w:b/>
          <w:bCs/>
          <w:sz w:val="24"/>
          <w:szCs w:val="24"/>
        </w:rPr>
        <w:t>商务条款不允许负偏离</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b/>
          <w:bCs/>
          <w:sz w:val="28"/>
          <w:szCs w:val="32"/>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jc w:val="center"/>
        <w:rPr>
          <w:rFonts w:ascii="宋体" w:hAnsi="宋体" w:eastAsia="宋体" w:cs="宋体"/>
          <w:b/>
          <w:bCs/>
          <w:sz w:val="28"/>
          <w:szCs w:val="32"/>
        </w:rPr>
      </w:pPr>
      <w:r>
        <w:rPr>
          <w:rFonts w:hint="eastAsia" w:ascii="宋体" w:hAnsi="宋体" w:eastAsia="宋体" w:cs="宋体"/>
          <w:b/>
          <w:bCs/>
          <w:sz w:val="28"/>
          <w:szCs w:val="32"/>
        </w:rPr>
        <w:t>技术偏离表</w:t>
      </w:r>
    </w:p>
    <w:p>
      <w:pPr>
        <w:pStyle w:val="8"/>
        <w:ind w:firstLine="0"/>
        <w:rPr>
          <w:rFonts w:ascii="宋体" w:hAnsi="宋体" w:eastAsia="宋体" w:cs="宋体"/>
        </w:rPr>
      </w:pPr>
    </w:p>
    <w:p>
      <w:pPr>
        <w:rPr>
          <w:rFonts w:ascii="宋体" w:hAnsi="宋体" w:eastAsia="宋体" w:cs="宋体"/>
          <w:sz w:val="24"/>
          <w:szCs w:val="24"/>
        </w:rPr>
      </w:pP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783"/>
        <w:gridCol w:w="1755"/>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rPr>
              <w:t>产品名称</w:t>
            </w:r>
          </w:p>
        </w:tc>
        <w:tc>
          <w:tcPr>
            <w:tcW w:w="1783"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谈判文件</w:t>
            </w:r>
            <w:r>
              <w:rPr>
                <w:rFonts w:hint="eastAsia" w:ascii="宋体" w:hAnsi="宋体" w:eastAsia="宋体" w:cs="宋体"/>
                <w:sz w:val="24"/>
              </w:rPr>
              <w:t>要求</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755"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产品</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410"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偏离说明</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vAlign w:val="center"/>
          </w:tcPr>
          <w:p>
            <w:pPr>
              <w:pStyle w:val="9"/>
              <w:spacing w:line="480" w:lineRule="auto"/>
              <w:ind w:firstLine="480" w:firstLineChars="200"/>
              <w:jc w:val="left"/>
              <w:rPr>
                <w:rFonts w:hAnsi="宋体" w:eastAsia="宋体" w:cs="宋体"/>
                <w:sz w:val="24"/>
                <w:szCs w:val="24"/>
              </w:rPr>
            </w:pPr>
          </w:p>
        </w:tc>
        <w:tc>
          <w:tcPr>
            <w:tcW w:w="1755"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spacing w:line="360" w:lineRule="auto"/>
        <w:ind w:left="140" w:firstLine="0"/>
        <w:rPr>
          <w:rFonts w:ascii="宋体" w:hAnsi="宋体" w:eastAsia="宋体" w:cs="宋体"/>
          <w:b/>
          <w:bCs/>
          <w:sz w:val="24"/>
          <w:szCs w:val="24"/>
        </w:rPr>
      </w:pPr>
      <w:r>
        <w:rPr>
          <w:rFonts w:hint="eastAsia" w:ascii="宋体" w:hAnsi="宋体" w:eastAsia="宋体" w:cs="宋体"/>
          <w:b/>
          <w:bCs/>
          <w:sz w:val="24"/>
          <w:szCs w:val="24"/>
        </w:rPr>
        <w:t>1、本表须按“第五部分采购要求”中所列技术要求进行比较和响应；</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2、该表必须按照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3、该表可扩展。</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4"/>
        <w:rPr>
          <w:rFonts w:ascii="宋体" w:hAnsi="宋体" w:cs="宋体"/>
        </w:rPr>
      </w:pPr>
      <w:bookmarkStart w:id="82" w:name="_Toc15308"/>
      <w:r>
        <w:rPr>
          <w:rFonts w:hint="eastAsia" w:ascii="宋体" w:hAnsi="宋体" w:cs="宋体"/>
        </w:rPr>
        <w:t>第四部分</w:t>
      </w:r>
      <w:bookmarkEnd w:id="79"/>
      <w:bookmarkEnd w:id="81"/>
      <w:r>
        <w:rPr>
          <w:rFonts w:hint="eastAsia" w:ascii="宋体" w:hAnsi="宋体" w:cs="宋体"/>
        </w:rPr>
        <w:t xml:space="preserve"> 供应商资格要求</w:t>
      </w:r>
      <w:bookmarkEnd w:id="82"/>
    </w:p>
    <w:p>
      <w:pPr>
        <w:snapToGrid w:val="0"/>
        <w:spacing w:line="360" w:lineRule="auto"/>
        <w:ind w:right="-199" w:rightChars="-95"/>
        <w:jc w:val="left"/>
        <w:rPr>
          <w:rFonts w:ascii="宋体" w:hAnsi="宋体" w:eastAsia="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83" w:name="_Toc1408"/>
      <w:r>
        <w:rPr>
          <w:rFonts w:hint="eastAsia" w:ascii="宋体" w:hAnsi="宋体" w:cs="宋体"/>
          <w:kern w:val="0"/>
          <w:sz w:val="24"/>
          <w:szCs w:val="24"/>
        </w:rPr>
        <w:t>供应商根据招采购文件公告资格要求内容附资格证明文件。</w:t>
      </w:r>
    </w:p>
    <w:p>
      <w:pPr>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，我公司符合《中华人民共和国政府采购法》规定的供应商资格条件：</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pacing w:line="360" w:lineRule="auto"/>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lang w:eastAsia="zh-CN"/>
        </w:rPr>
        <w:t>（二）</w:t>
      </w:r>
      <w:r>
        <w:rPr>
          <w:rFonts w:hint="eastAsia" w:ascii="宋体" w:hAnsi="宋体" w:cs="宋体"/>
          <w:sz w:val="24"/>
          <w:szCs w:val="24"/>
        </w:rPr>
        <w:t>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firstLine="420" w:firstLineChars="175"/>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firstLine="420" w:firstLineChars="175"/>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val="en-US" w:eastAsia="zh-CN"/>
        </w:rPr>
        <w:t>2、</w:t>
      </w:r>
      <w:r>
        <w:rPr>
          <w:rFonts w:hint="eastAsia" w:ascii="宋体" w:hAnsi="宋体" w:eastAsia="宋体" w:cs="宋体"/>
          <w:color w:val="auto"/>
          <w:sz w:val="24"/>
          <w:szCs w:val="28"/>
        </w:rPr>
        <w:t>财务状况证明：供应商提供</w:t>
      </w:r>
      <w:r>
        <w:rPr>
          <w:rFonts w:hint="eastAsia" w:ascii="宋体" w:hAnsi="宋体" w:eastAsia="宋体" w:cs="宋体"/>
          <w:color w:val="auto"/>
          <w:sz w:val="24"/>
          <w:szCs w:val="28"/>
          <w:lang w:eastAsia="zh-CN"/>
        </w:rPr>
        <w:t>2022年度</w:t>
      </w:r>
      <w:r>
        <w:rPr>
          <w:rFonts w:hint="eastAsia" w:ascii="宋体" w:hAnsi="宋体" w:eastAsia="宋体" w:cs="宋体"/>
          <w:color w:val="auto"/>
          <w:sz w:val="24"/>
          <w:szCs w:val="28"/>
        </w:rPr>
        <w:t>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keepNext/>
        <w:keepLines/>
        <w:spacing w:line="413" w:lineRule="auto"/>
        <w:jc w:val="center"/>
        <w:rPr>
          <w:rFonts w:ascii="宋体" w:hAnsi="宋体" w:cs="宋体"/>
          <w:sz w:val="32"/>
          <w:szCs w:val="24"/>
        </w:rPr>
        <w:sectPr>
          <w:headerReference r:id="rId13"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firstLine="420" w:firstLineChars="175"/>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val="en-US" w:eastAsia="zh-CN"/>
        </w:rPr>
        <w:t>4、</w:t>
      </w:r>
      <w:r>
        <w:rPr>
          <w:rFonts w:hint="eastAsia" w:ascii="宋体" w:hAnsi="宋体" w:eastAsia="宋体" w:cs="宋体"/>
          <w:color w:val="auto"/>
          <w:sz w:val="24"/>
          <w:szCs w:val="28"/>
        </w:rPr>
        <w:t>税收缴纳证明：提供202</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不能</w:t>
      </w:r>
      <w:r>
        <w:rPr>
          <w:rFonts w:hint="eastAsia" w:ascii="宋体" w:hAnsi="宋体" w:eastAsia="宋体" w:cs="宋体"/>
          <w:color w:val="auto"/>
          <w:sz w:val="24"/>
          <w:szCs w:val="28"/>
        </w:rPr>
        <w:t>以来至少一个月的纳税证明或完税证明，依法免税的单位应提供相关证明材料；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103" w:firstLine="420" w:firstLineChars="175"/>
        <w:textAlignment w:val="auto"/>
        <w:rPr>
          <w:rFonts w:hint="eastAsia" w:ascii="宋体" w:hAnsi="宋体" w:eastAsia="宋体" w:cs="宋体"/>
          <w:sz w:val="24"/>
          <w:szCs w:val="24"/>
          <w:highlight w:val="none"/>
        </w:rPr>
      </w:pPr>
      <w:r>
        <w:rPr>
          <w:rFonts w:hint="eastAsia" w:ascii="宋体" w:hAnsi="宋体" w:eastAsia="宋体" w:cs="宋体"/>
          <w:color w:val="auto"/>
          <w:sz w:val="24"/>
          <w:szCs w:val="28"/>
          <w:lang w:val="en-US" w:eastAsia="zh-CN"/>
        </w:rPr>
        <w:t>5、</w:t>
      </w:r>
      <w:r>
        <w:rPr>
          <w:rFonts w:hint="eastAsia" w:ascii="宋体" w:hAnsi="宋体" w:eastAsia="宋体" w:cs="宋体"/>
          <w:color w:val="auto"/>
          <w:sz w:val="24"/>
          <w:szCs w:val="28"/>
        </w:rPr>
        <w:t>社会保障资金缴纳证明：提供20</w:t>
      </w:r>
      <w:r>
        <w:rPr>
          <w:rFonts w:hint="eastAsia" w:ascii="宋体" w:hAnsi="宋体" w:eastAsia="宋体" w:cs="宋体"/>
          <w:color w:val="auto"/>
          <w:sz w:val="24"/>
          <w:szCs w:val="28"/>
          <w:lang w:val="en-US" w:eastAsia="zh-CN"/>
        </w:rPr>
        <w:t>23</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月以来至少一个月的社会保障资金缴存单据或社保机构开具的社会保险参保缴费情况证明。依法不需要缴纳社会保障资金的供应商应提供相关文件证明；</w:t>
      </w:r>
    </w:p>
    <w:p>
      <w:pPr>
        <w:pStyle w:val="19"/>
        <w:spacing w:before="0" w:beforeAutospacing="0" w:after="0" w:afterAutospacing="0" w:line="510" w:lineRule="atLeast"/>
        <w:ind w:firstLine="420"/>
      </w:pPr>
    </w:p>
    <w:p>
      <w:pPr>
        <w:spacing w:line="360" w:lineRule="auto"/>
        <w:rPr>
          <w:sz w:val="24"/>
          <w:szCs w:val="28"/>
        </w:rPr>
      </w:pPr>
    </w:p>
    <w:p>
      <w:pPr>
        <w:pStyle w:val="21"/>
        <w:ind w:firstLine="0" w:firstLineChars="0"/>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6</w:t>
      </w:r>
      <w:r>
        <w:rPr>
          <w:rFonts w:hint="eastAsia" w:ascii="宋体" w:hAnsi="宋体" w:cs="宋体"/>
          <w:sz w:val="32"/>
          <w:szCs w:val="24"/>
        </w:rPr>
        <w:t>、无重大违法记录声明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
      <w:pPr>
        <w:jc w:val="center"/>
        <w:rPr>
          <w:rFonts w:hint="eastAsia"/>
          <w:sz w:val="28"/>
          <w:szCs w:val="32"/>
          <w:lang w:val="en-US" w:eastAsia="zh-CN"/>
        </w:rPr>
        <w:sectPr>
          <w:pgSz w:w="11906" w:h="16838"/>
          <w:pgMar w:top="1440" w:right="1803" w:bottom="1440" w:left="1803" w:header="851" w:footer="992" w:gutter="0"/>
          <w:pgNumType w:fmt="decimal"/>
          <w:cols w:space="720" w:num="1"/>
          <w:docGrid w:type="lines" w:linePitch="319" w:charSpace="0"/>
        </w:sectPr>
      </w:pPr>
    </w:p>
    <w:p>
      <w:pPr>
        <w:jc w:val="center"/>
        <w:rPr>
          <w:sz w:val="28"/>
          <w:szCs w:val="32"/>
        </w:rPr>
      </w:pPr>
      <w:r>
        <w:rPr>
          <w:rFonts w:hint="eastAsia"/>
          <w:sz w:val="28"/>
          <w:szCs w:val="32"/>
          <w:lang w:val="en-US" w:eastAsia="zh-CN"/>
        </w:rPr>
        <w:t>7</w:t>
      </w:r>
      <w:r>
        <w:rPr>
          <w:rFonts w:hint="eastAsia"/>
          <w:sz w:val="28"/>
          <w:szCs w:val="32"/>
        </w:rPr>
        <w:t>-1法定代表人证明书</w:t>
      </w:r>
    </w:p>
    <w:tbl>
      <w:tblPr>
        <w:tblStyle w:val="23"/>
        <w:tblpPr w:leftFromText="180" w:rightFromText="180" w:vertAnchor="text" w:horzAnchor="page" w:tblpX="1336" w:tblpY="611"/>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6"/>
        <w:sectPr>
          <w:pgSz w:w="11906" w:h="16838"/>
          <w:pgMar w:top="1440" w:right="1803" w:bottom="1440" w:left="1803" w:header="851" w:footer="992" w:gutter="0"/>
          <w:pgNumType w:fmt="decimal"/>
          <w:cols w:space="720" w:num="1"/>
          <w:docGrid w:type="lines" w:linePitch="319" w:charSpace="0"/>
        </w:sectPr>
      </w:pPr>
    </w:p>
    <w:p>
      <w:pPr>
        <w:pStyle w:val="9"/>
        <w:spacing w:line="500" w:lineRule="exact"/>
        <w:jc w:val="center"/>
        <w:rPr>
          <w:rFonts w:hAnsi="宋体" w:cs="宋体"/>
          <w:sz w:val="24"/>
          <w:szCs w:val="24"/>
        </w:rPr>
      </w:pPr>
      <w:r>
        <w:rPr>
          <w:rFonts w:hint="eastAsia" w:hAnsi="宋体" w:cs="宋体"/>
          <w:b/>
          <w:sz w:val="24"/>
          <w:szCs w:val="24"/>
          <w:lang w:val="en-US" w:eastAsia="zh-CN"/>
        </w:rPr>
        <w:t>7</w:t>
      </w:r>
      <w:r>
        <w:rPr>
          <w:rFonts w:hint="eastAsia" w:hAnsi="宋体" w:cs="宋体"/>
          <w:b/>
          <w:sz w:val="24"/>
          <w:szCs w:val="24"/>
        </w:rPr>
        <w:t>-2法定代表人授权书</w:t>
      </w:r>
    </w:p>
    <w:p>
      <w:pPr>
        <w:pStyle w:val="9"/>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9"/>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3"/>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法定代表人身份证复印件或扫描件</w:t>
            </w:r>
          </w:p>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jc w:val="left"/>
              <w:rPr>
                <w:rFonts w:hAnsi="宋体" w:cs="宋体"/>
                <w:sz w:val="24"/>
                <w:szCs w:val="24"/>
                <w:shd w:val="pct10" w:color="auto" w:fill="FFFFFF"/>
              </w:rPr>
            </w:pPr>
          </w:p>
        </w:tc>
        <w:tc>
          <w:tcPr>
            <w:tcW w:w="4546" w:type="dxa"/>
            <w:shd w:val="clear" w:color="auto" w:fill="D9D9D9"/>
            <w:vAlign w:val="center"/>
          </w:tcPr>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被授权人身份证复印件或扫描件</w:t>
            </w:r>
          </w:p>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非法定代表人参加投标的，须提供法定代表人委托授权书及被授权人身份证，法定代表人参加投标时,只需提供法定代表人身份证；</w:t>
      </w:r>
    </w:p>
    <w:p>
      <w:pPr>
        <w:keepNext/>
        <w:keepLines/>
        <w:spacing w:line="413" w:lineRule="auto"/>
        <w:jc w:val="center"/>
        <w:rPr>
          <w:rFonts w:ascii="宋体" w:hAnsi="宋体" w:cs="宋体"/>
          <w:sz w:val="32"/>
          <w:szCs w:val="24"/>
        </w:rPr>
        <w:sectPr>
          <w:pgSz w:w="11906" w:h="16838"/>
          <w:pgMar w:top="1440" w:right="1803" w:bottom="1440" w:left="1803" w:header="851" w:footer="992" w:gutter="0"/>
          <w:pgNumType w:fmt="decimal"/>
          <w:cols w:space="720" w:num="1"/>
          <w:docGrid w:type="lines" w:linePitch="319" w:charSpace="0"/>
        </w:sectPr>
      </w:pPr>
    </w:p>
    <w:p>
      <w:pPr>
        <w:widowControl/>
        <w:numPr>
          <w:ilvl w:val="0"/>
          <w:numId w:val="0"/>
        </w:numPr>
        <w:spacing w:line="360" w:lineRule="auto"/>
        <w:jc w:val="left"/>
        <w:rPr>
          <w:rFonts w:hint="eastAsia" w:ascii="宋体" w:hAnsi="宋体" w:cs="宋体"/>
          <w:sz w:val="32"/>
          <w:szCs w:val="32"/>
          <w:lang w:val="en-US" w:eastAsia="zh-CN"/>
        </w:rPr>
      </w:pPr>
      <w:r>
        <w:rPr>
          <w:rFonts w:hint="eastAsia" w:ascii="宋体" w:hAnsi="宋体" w:cs="宋体"/>
          <w:sz w:val="32"/>
          <w:szCs w:val="32"/>
          <w:lang w:val="en-US" w:eastAsia="zh-CN"/>
        </w:rPr>
        <w:t>8、供应商应出具中小企业声明函</w:t>
      </w:r>
    </w:p>
    <w:p>
      <w:pPr>
        <w:numPr>
          <w:ilvl w:val="0"/>
          <w:numId w:val="0"/>
        </w:numPr>
        <w:jc w:val="center"/>
        <w:outlineLvl w:val="9"/>
        <w:rPr>
          <w:rFonts w:hint="eastAsia"/>
          <w:b/>
          <w:bCs/>
          <w:sz w:val="28"/>
          <w:szCs w:val="32"/>
          <w:lang w:val="en-US" w:eastAsia="zh-CN"/>
        </w:rPr>
      </w:pPr>
      <w:r>
        <w:rPr>
          <w:rFonts w:hint="eastAsia"/>
          <w:b/>
          <w:bCs/>
          <w:sz w:val="28"/>
          <w:szCs w:val="32"/>
          <w:lang w:val="en-US" w:eastAsia="zh-CN"/>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2"/>
        <w:numPr>
          <w:ilvl w:val="0"/>
          <w:numId w:val="2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2"/>
        <w:numPr>
          <w:ilvl w:val="0"/>
          <w:numId w:val="2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widowControl/>
        <w:spacing w:line="360" w:lineRule="auto"/>
        <w:jc w:val="left"/>
        <w:rPr>
          <w:rFonts w:hint="default" w:ascii="宋体" w:hAnsi="宋体" w:cs="宋体" w:eastAsiaTheme="minorEastAsia"/>
          <w:sz w:val="32"/>
          <w:szCs w:val="32"/>
          <w:lang w:val="en-US" w:eastAsia="zh-CN"/>
        </w:rPr>
      </w:pPr>
    </w:p>
    <w:p>
      <w:pPr>
        <w:widowControl/>
        <w:spacing w:line="360" w:lineRule="auto"/>
        <w:jc w:val="left"/>
        <w:rPr>
          <w:rFonts w:hint="eastAsia" w:ascii="宋体" w:hAnsi="宋体" w:cs="宋体"/>
          <w:sz w:val="32"/>
          <w:szCs w:val="32"/>
          <w:lang w:val="en-US" w:eastAsia="zh-CN"/>
        </w:rPr>
        <w:sectPr>
          <w:footerReference r:id="rId14" w:type="default"/>
          <w:pgSz w:w="11906" w:h="16838"/>
          <w:pgMar w:top="1440" w:right="1803" w:bottom="1440" w:left="1803" w:header="851" w:footer="992" w:gutter="0"/>
          <w:pgNumType w:fmt="decimal"/>
          <w:cols w:space="720" w:num="1"/>
          <w:docGrid w:type="lines" w:linePitch="319" w:charSpace="0"/>
        </w:sectPr>
      </w:pPr>
    </w:p>
    <w:p>
      <w:pPr>
        <w:widowControl/>
        <w:spacing w:line="360" w:lineRule="auto"/>
        <w:jc w:val="left"/>
        <w:rPr>
          <w:rFonts w:ascii="宋体" w:hAnsi="宋体" w:cs="宋体"/>
          <w:sz w:val="32"/>
          <w:szCs w:val="32"/>
        </w:rPr>
      </w:pPr>
      <w:r>
        <w:rPr>
          <w:rFonts w:hint="eastAsia" w:ascii="宋体" w:hAnsi="宋体" w:cs="宋体"/>
          <w:sz w:val="32"/>
          <w:szCs w:val="32"/>
          <w:lang w:val="en-US" w:eastAsia="zh-CN"/>
        </w:rPr>
        <w:t>9</w:t>
      </w:r>
      <w:r>
        <w:rPr>
          <w:rFonts w:hint="eastAsia" w:ascii="宋体" w:hAnsi="宋体" w:cs="宋体"/>
          <w:sz w:val="32"/>
          <w:szCs w:val="32"/>
        </w:rPr>
        <w:t>、本项目不接受联合体投标</w:t>
      </w:r>
    </w:p>
    <w:p>
      <w:pPr>
        <w:pStyle w:val="8"/>
        <w:ind w:left="420" w:leftChars="200" w:firstLine="0"/>
        <w:rPr>
          <w:rFonts w:ascii="宋体" w:hAnsi="宋体" w:cs="宋体"/>
        </w:rPr>
      </w:pPr>
    </w:p>
    <w:p>
      <w:pPr>
        <w:pStyle w:val="22"/>
        <w:ind w:firstLine="400"/>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2"/>
        <w:sectPr>
          <w:pgSz w:w="11906" w:h="16838"/>
          <w:pgMar w:top="1440" w:right="1803" w:bottom="1440" w:left="1803" w:header="851" w:footer="992" w:gutter="0"/>
          <w:pgNumType w:fmt="decimal"/>
          <w:cols w:space="720" w:num="1"/>
          <w:docGrid w:type="lines" w:linePitch="319" w:charSpace="0"/>
        </w:sectPr>
      </w:pPr>
    </w:p>
    <w:p>
      <w:pPr>
        <w:pStyle w:val="4"/>
        <w:spacing w:before="312" w:beforeLines="100" w:after="468" w:afterLines="150" w:line="500" w:lineRule="exact"/>
        <w:rPr>
          <w:rFonts w:ascii="宋体" w:hAnsi="宋体"/>
          <w:sz w:val="36"/>
          <w:szCs w:val="36"/>
        </w:rPr>
      </w:pPr>
      <w:bookmarkStart w:id="84" w:name="_Toc18580"/>
      <w:r>
        <w:rPr>
          <w:rFonts w:hint="eastAsia" w:ascii="宋体" w:hAnsi="宋体" w:cs="宋体"/>
          <w:sz w:val="36"/>
          <w:szCs w:val="36"/>
        </w:rPr>
        <w:t>第五部分</w:t>
      </w:r>
      <w:bookmarkEnd w:id="83"/>
      <w:r>
        <w:rPr>
          <w:rFonts w:hint="eastAsia" w:ascii="宋体" w:hAnsi="宋体" w:cs="宋体"/>
          <w:sz w:val="36"/>
          <w:szCs w:val="36"/>
        </w:rPr>
        <w:t xml:space="preserve"> 技术与服务方案</w:t>
      </w:r>
      <w:bookmarkEnd w:id="84"/>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技术与服务方案由供应商自行编写，无具体格式。</w:t>
      </w:r>
    </w:p>
    <w:p>
      <w:pPr>
        <w:sectPr>
          <w:headerReference r:id="rId15" w:type="default"/>
          <w:pgSz w:w="11906" w:h="16838"/>
          <w:pgMar w:top="1440" w:right="1800" w:bottom="1440" w:left="1800" w:header="851" w:footer="992" w:gutter="0"/>
          <w:pgNumType w:fmt="decimal"/>
          <w:cols w:space="720" w:num="1"/>
          <w:docGrid w:type="lines" w:linePitch="312" w:charSpace="0"/>
        </w:sectPr>
      </w:pPr>
    </w:p>
    <w:p>
      <w:pPr>
        <w:pStyle w:val="4"/>
        <w:rPr>
          <w:rFonts w:ascii="宋体" w:hAnsi="宋体" w:cs="宋体"/>
          <w:sz w:val="32"/>
          <w:szCs w:val="24"/>
        </w:rPr>
      </w:pPr>
      <w:bookmarkStart w:id="85" w:name="_Toc7176"/>
      <w:r>
        <w:rPr>
          <w:rFonts w:hint="eastAsia" w:ascii="宋体" w:hAnsi="宋体" w:cs="宋体"/>
          <w:sz w:val="36"/>
          <w:szCs w:val="36"/>
        </w:rPr>
        <w:t>第六部分 服务承诺</w:t>
      </w:r>
      <w:bookmarkEnd w:id="85"/>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服务承诺由供应商自行编写，无具体格式。</w:t>
      </w:r>
    </w:p>
    <w:p>
      <w:pPr>
        <w:jc w:val="center"/>
        <w:rPr>
          <w:rFonts w:ascii="宋体" w:hAnsi="宋体" w:eastAsia="宋体" w:cs="宋体"/>
          <w:sz w:val="36"/>
          <w:szCs w:val="36"/>
        </w:rPr>
        <w:sectPr>
          <w:pgSz w:w="11906" w:h="16838"/>
          <w:pgMar w:top="1440" w:right="1800" w:bottom="1440" w:left="1800" w:header="851" w:footer="992" w:gutter="0"/>
          <w:pgNumType w:fmt="decimal"/>
          <w:cols w:space="720" w:num="1"/>
          <w:docGrid w:type="lines" w:linePitch="312" w:charSpace="0"/>
        </w:sectPr>
      </w:pPr>
    </w:p>
    <w:p>
      <w:pPr>
        <w:numPr>
          <w:ilvl w:val="0"/>
          <w:numId w:val="21"/>
        </w:numPr>
        <w:jc w:val="center"/>
        <w:outlineLvl w:val="1"/>
        <w:rPr>
          <w:rFonts w:ascii="宋体" w:hAnsi="宋体" w:eastAsia="宋体" w:cs="宋体"/>
          <w:b/>
          <w:sz w:val="28"/>
        </w:rPr>
      </w:pPr>
      <w:r>
        <w:rPr>
          <w:rFonts w:hint="eastAsia" w:ascii="宋体" w:hAnsi="宋体" w:eastAsia="宋体" w:cs="宋体"/>
          <w:b/>
          <w:sz w:val="28"/>
        </w:rPr>
        <w:t xml:space="preserve"> </w:t>
      </w:r>
      <w:bookmarkStart w:id="86" w:name="_Toc29685"/>
      <w:r>
        <w:rPr>
          <w:rFonts w:hint="eastAsia" w:ascii="宋体" w:hAnsi="宋体" w:eastAsia="宋体" w:cs="宋体"/>
          <w:b/>
          <w:sz w:val="28"/>
        </w:rPr>
        <w:t>供应商认为有必要说明的其他问题</w:t>
      </w:r>
      <w:bookmarkEnd w:id="86"/>
    </w:p>
    <w:p>
      <w:pPr>
        <w:widowControl/>
        <w:spacing w:line="360" w:lineRule="auto"/>
        <w:ind w:left="420" w:leftChars="200" w:firstLine="0" w:firstLineChars="0"/>
        <w:jc w:val="left"/>
        <w:rPr>
          <w:rFonts w:ascii="宋体" w:hAnsi="宋体" w:cs="宋体"/>
          <w:sz w:val="24"/>
          <w:szCs w:val="24"/>
        </w:rPr>
        <w:sectPr>
          <w:pgSz w:w="11906" w:h="16838"/>
          <w:pgMar w:top="1440" w:right="1080" w:bottom="1440" w:left="1080" w:header="851" w:footer="992" w:gutter="0"/>
          <w:pgNumType w:fmt="decimal"/>
          <w:cols w:space="720" w:num="1"/>
          <w:docGrid w:type="lines" w:linePitch="319" w:charSpace="0"/>
        </w:sectPr>
      </w:pPr>
    </w:p>
    <w:p>
      <w:pPr>
        <w:pStyle w:val="4"/>
        <w:adjustRightInd w:val="0"/>
        <w:spacing w:line="416" w:lineRule="atLeast"/>
        <w:jc w:val="left"/>
        <w:textAlignment w:val="baseline"/>
        <w:rPr>
          <w:rFonts w:ascii="宋体" w:hAnsi="宋体" w:cs="宋体"/>
        </w:rPr>
      </w:pPr>
      <w:bookmarkStart w:id="87" w:name="_Toc30268"/>
      <w:r>
        <w:rPr>
          <w:rFonts w:hint="eastAsia" w:ascii="宋体" w:hAnsi="宋体" w:cs="宋体"/>
        </w:rPr>
        <w:t>附件一、封袋正面标识式样</w:t>
      </w:r>
      <w:bookmarkEnd w:id="87"/>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-423545</wp:posOffset>
                </wp:positionH>
                <wp:positionV relativeFrom="paragraph">
                  <wp:posOffset>132080</wp:posOffset>
                </wp:positionV>
                <wp:extent cx="6255385" cy="3545840"/>
                <wp:effectExtent l="4445" t="4445" r="7620" b="12065"/>
                <wp:wrapNone/>
                <wp:docPr id="13" name="Text Box 3"/>
                <wp:cNvGraphicFramePr/>
                <a:graphic xmlns:a="http://schemas.openxmlformats.org/drawingml/2006/main">
                  <a:graphicData uri="http://schemas.microsoft.com/office/word/2010/wordprocessingShape">
                    <wps:wsp>
                      <wps:cNvSpPr txBox="1"/>
                      <wps:spPr>
                        <a:xfrm>
                          <a:off x="0" y="0"/>
                          <a:ext cx="6255385" cy="3545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79.2pt;width:492.55pt;z-index:251661312;mso-width-relative:page;mso-height-relative:page;" fillcolor="#FFFFFF" filled="t" stroked="t" coordsize="21600,21600" o:gfxdata="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I6P+2gAAAAoBAAAPAAAAAAAAAAEAIAAAACIAAABk&#10;cnMvZG93bnJldi54bWxQSwECFAAUAAAACACHTuJAUs0VsA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响应文件副本封袋正面标识式样</w: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2336" behindDoc="0" locked="0" layoutInCell="1" allowOverlap="1">
                <wp:simplePos x="0" y="0"/>
                <wp:positionH relativeFrom="column">
                  <wp:posOffset>-413385</wp:posOffset>
                </wp:positionH>
                <wp:positionV relativeFrom="paragraph">
                  <wp:posOffset>76835</wp:posOffset>
                </wp:positionV>
                <wp:extent cx="6288405" cy="3580765"/>
                <wp:effectExtent l="4445" t="4445" r="12700" b="15240"/>
                <wp:wrapNone/>
                <wp:docPr id="12" name="Text Box 4"/>
                <wp:cNvGraphicFramePr/>
                <a:graphic xmlns:a="http://schemas.openxmlformats.org/drawingml/2006/main">
                  <a:graphicData uri="http://schemas.microsoft.com/office/word/2010/wordprocessingShape">
                    <wps:wsp>
                      <wps:cNvSpPr txBox="1"/>
                      <wps:spPr>
                        <a:xfrm>
                          <a:off x="0" y="0"/>
                          <a:ext cx="6288405" cy="358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rFonts w:hint="eastAsia"/>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81.95pt;width:495.15pt;z-index:251662336;mso-width-relative:page;mso-height-relative:page;" fillcolor="#FFFFFF" filled="t" stroked="t" coordsize="21600,21600" o:gfxdata="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pBndoAAAAKAQAADwAAAAAAAAABACAAAAAiAAAAZHJz&#10;L2Rvd25yZXYueG1sUEsBAhQAFAAAAAgAh07iQNdb0Lk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rFonts w:hint="eastAsia"/>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188595</wp:posOffset>
                </wp:positionV>
                <wp:extent cx="6244590" cy="3326765"/>
                <wp:effectExtent l="4445" t="5080" r="18415" b="20955"/>
                <wp:wrapNone/>
                <wp:docPr id="11" name="Text Box 3"/>
                <wp:cNvGraphicFramePr/>
                <a:graphic xmlns:a="http://schemas.openxmlformats.org/drawingml/2006/main">
                  <a:graphicData uri="http://schemas.microsoft.com/office/word/2010/wordprocessingShape">
                    <wps:wsp>
                      <wps:cNvSpPr txBox="1"/>
                      <wps:spPr>
                        <a:xfrm>
                          <a:off x="0" y="0"/>
                          <a:ext cx="6244590" cy="3326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61.95pt;width:491.7pt;z-index:251664384;mso-width-relative:page;mso-height-relative:page;" fillcolor="#FFFFFF" filled="t" stroked="t" coordsize="21600,21600" o:gfxdata="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HfzNtoAAAAKAQAADwAAAAAAAAABACAAAAAiAAAAZHJz&#10;L2Rvd25yZXYueG1sUEsBAhQAFAAAAAgAh07iQErSq/0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-425450</wp:posOffset>
                </wp:positionH>
                <wp:positionV relativeFrom="paragraph">
                  <wp:posOffset>55245</wp:posOffset>
                </wp:positionV>
                <wp:extent cx="6351270" cy="3234055"/>
                <wp:effectExtent l="5080" t="5080" r="6350" b="18415"/>
                <wp:wrapNone/>
                <wp:docPr id="10" name="Text Box 3"/>
                <wp:cNvGraphicFramePr/>
                <a:graphic xmlns:a="http://schemas.openxmlformats.org/drawingml/2006/main">
                  <a:graphicData uri="http://schemas.microsoft.com/office/word/2010/wordprocessingShape">
                    <wps:wsp>
                      <wps:cNvSpPr txBox="1"/>
                      <wps:spPr>
                        <a:xfrm>
                          <a:off x="0" y="0"/>
                          <a:ext cx="6455410" cy="323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rFonts w:hint="eastAsia"/>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5pt;margin-top:4.35pt;height:254.65pt;width:500.1pt;z-index:251666432;mso-width-relative:page;mso-height-relative:page;" fillcolor="#FFFFFF" filled="t" stroked="t" coordsize="21600,21600" o:gfxdata="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K+ZtkAAAAJAQAADwAAAAAAAAABACAAAAAiAAAAZHJzL2Rv&#10;d25yZXYueG1sUEsBAhQAFAAAAAgAh07iQPF8YFAAAgAARQQAAA4AAAAAAAAAAQAgAAAAKAEAAGRy&#10;cy9lMm9Eb2MueG1sUEsFBgAAAAAGAAYAWQEAAJo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ZMZB2023QAXX-251</w:t>
                      </w:r>
                    </w:p>
                    <w:p>
                      <w:pPr>
                        <w:rPr>
                          <w:rFonts w:hint="eastAsia"/>
                          <w:sz w:val="28"/>
                          <w:szCs w:val="28"/>
                        </w:rPr>
                      </w:pPr>
                      <w:r>
                        <w:rPr>
                          <w:rFonts w:hint="eastAsia"/>
                          <w:sz w:val="28"/>
                          <w:szCs w:val="28"/>
                        </w:rPr>
                        <w:t>项目名称：</w:t>
                      </w:r>
                      <w:r>
                        <w:rPr>
                          <w:rFonts w:hint="eastAsia"/>
                          <w:sz w:val="28"/>
                          <w:szCs w:val="28"/>
                          <w:lang w:eastAsia="zh-CN"/>
                        </w:rPr>
                        <w:t>西安市莲湖区庆安小学信息化建设（智慧黑板采购）项目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rFonts w:hint="eastAsia"/>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88" w:name="_Toc11632"/>
      <w:bookmarkStart w:id="89" w:name="_Toc3008"/>
      <w:bookmarkStart w:id="90" w:name="_Toc20088"/>
      <w:bookmarkStart w:id="91" w:name="_Toc18633"/>
      <w:bookmarkStart w:id="92" w:name="_Toc20374"/>
      <w:bookmarkStart w:id="93" w:name="_Toc1641"/>
      <w:bookmarkStart w:id="94" w:name="_Toc8177"/>
      <w:bookmarkStart w:id="95" w:name="_Toc2630"/>
      <w:bookmarkStart w:id="96" w:name="_Toc17991"/>
      <w:bookmarkStart w:id="97" w:name="_Toc30485"/>
      <w:bookmarkStart w:id="98" w:name="_Toc3697"/>
      <w:bookmarkStart w:id="99" w:name="_Toc15467"/>
      <w:bookmarkStart w:id="100" w:name="_Toc30536"/>
      <w:bookmarkStart w:id="101" w:name="_Toc30870"/>
      <w:bookmarkStart w:id="102" w:name="_Toc22153"/>
      <w:bookmarkStart w:id="103" w:name="_Toc14361"/>
      <w:bookmarkStart w:id="104" w:name="_Toc13303"/>
      <w:r>
        <w:rPr>
          <w:rFonts w:hint="eastAsia" w:ascii="宋体" w:hAnsi="宋体" w:cs="宋体"/>
        </w:rPr>
        <w:t>附件二、中小企业</w:t>
      </w:r>
      <w:bookmarkEnd w:id="88"/>
      <w:bookmarkEnd w:id="89"/>
      <w:bookmarkEnd w:id="90"/>
      <w:bookmarkEnd w:id="91"/>
      <w:bookmarkEnd w:id="92"/>
      <w:bookmarkEnd w:id="93"/>
      <w:bookmarkEnd w:id="94"/>
      <w:bookmarkEnd w:id="95"/>
      <w:bookmarkEnd w:id="96"/>
      <w:bookmarkEnd w:id="97"/>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bookmarkEnd w:id="98"/>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bookmarkStart w:id="105" w:name="_Toc12531"/>
      <w:bookmarkStart w:id="106" w:name="_Toc21117"/>
      <w:bookmarkStart w:id="107" w:name="_Toc7105"/>
      <w:bookmarkStart w:id="108" w:name="_Toc5814"/>
      <w:bookmarkStart w:id="109" w:name="_Toc11896"/>
      <w:bookmarkStart w:id="110" w:name="_Toc10807"/>
      <w:bookmarkStart w:id="111" w:name="_Toc6022"/>
      <w:bookmarkStart w:id="112" w:name="_Toc32438"/>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2"/>
        <w:numPr>
          <w:ilvl w:val="0"/>
          <w:numId w:val="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lang w:val="en-US" w:eastAsia="zh-CN"/>
        </w:rPr>
        <w:t>1.</w:t>
      </w: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2"/>
        <w:numPr>
          <w:ilvl w:val="0"/>
          <w:numId w:val="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lang w:val="en-US" w:eastAsia="zh-CN"/>
        </w:rPr>
        <w:t>2.</w:t>
      </w: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5"/>
        <w:outlineLvl w:val="2"/>
        <w:rPr>
          <w:rFonts w:hint="eastAsia" w:ascii="宋体" w:hAnsi="宋体" w:cs="宋体"/>
        </w:rPr>
        <w:sectPr>
          <w:footerReference r:id="rId16" w:type="default"/>
          <w:pgSz w:w="11906" w:h="16838"/>
          <w:pgMar w:top="1440" w:right="1803" w:bottom="1440" w:left="1803" w:header="851" w:footer="992" w:gutter="0"/>
          <w:pgNumType w:fmt="decimal"/>
          <w:cols w:space="720" w:num="1"/>
          <w:docGrid w:type="lines" w:linePitch="319" w:charSpace="0"/>
        </w:sectPr>
      </w:pPr>
    </w:p>
    <w:bookmarkEnd w:id="99"/>
    <w:bookmarkEnd w:id="100"/>
    <w:bookmarkEnd w:id="101"/>
    <w:bookmarkEnd w:id="105"/>
    <w:bookmarkEnd w:id="106"/>
    <w:bookmarkEnd w:id="107"/>
    <w:bookmarkEnd w:id="108"/>
    <w:bookmarkEnd w:id="109"/>
    <w:bookmarkEnd w:id="110"/>
    <w:bookmarkEnd w:id="111"/>
    <w:bookmarkEnd w:id="112"/>
    <w:p>
      <w:pPr>
        <w:pStyle w:val="9"/>
        <w:spacing w:line="360" w:lineRule="auto"/>
        <w:jc w:val="center"/>
        <w:rPr>
          <w:rFonts w:ascii="微软雅黑" w:hAnsi="微软雅黑" w:eastAsia="微软雅黑" w:cs="微软雅黑"/>
          <w:color w:val="383940"/>
          <w:sz w:val="39"/>
          <w:szCs w:val="39"/>
        </w:rPr>
      </w:pPr>
      <w:bookmarkStart w:id="113" w:name="_Toc18884"/>
      <w:r>
        <w:rPr>
          <w:rFonts w:hint="eastAsia" w:ascii="微软雅黑" w:hAnsi="微软雅黑" w:eastAsia="微软雅黑" w:cs="微软雅黑"/>
          <w:color w:val="383940"/>
          <w:sz w:val="39"/>
          <w:szCs w:val="39"/>
          <w:shd w:val="clear" w:color="auto" w:fill="FFFFFF"/>
        </w:rPr>
        <w:t>关于印发中小企业划型标准规定的通知</w:t>
      </w:r>
    </w:p>
    <w:p>
      <w:pPr>
        <w:pStyle w:val="19"/>
        <w:shd w:val="clear" w:color="auto" w:fill="FFFFFF"/>
        <w:rPr>
          <w:color w:val="000000"/>
          <w:shd w:val="clear" w:color="auto" w:fill="FFFFFF"/>
        </w:rPr>
      </w:pPr>
      <w:r>
        <w:rPr>
          <w:rFonts w:hint="eastAsia"/>
          <w:color w:val="000000"/>
          <w:shd w:val="clear" w:color="auto" w:fill="FFFFFF"/>
        </w:rPr>
        <w:t>各省、自治区、直辖市人民政府，国务院各部委、各直属机构及有关单位：</w:t>
      </w:r>
    </w:p>
    <w:p>
      <w:pPr>
        <w:pStyle w:val="19"/>
        <w:shd w:val="clear" w:color="auto" w:fill="FFFFFF"/>
        <w:rPr>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9"/>
        <w:shd w:val="clear" w:color="auto" w:fill="FFFFFF"/>
        <w:rPr>
          <w:color w:val="000000"/>
          <w:shd w:val="clear" w:color="auto" w:fill="FFFFFF"/>
        </w:rPr>
      </w:pPr>
      <w:r>
        <w:rPr>
          <w:rFonts w:hint="eastAsia"/>
          <w:color w:val="000000"/>
          <w:shd w:val="clear" w:color="auto" w:fill="FFFFFF"/>
        </w:rPr>
        <w:t>　　　　　　　　　　　　　　　　　　　　　工业和信息化部　国家统计局</w:t>
      </w:r>
    </w:p>
    <w:p>
      <w:pPr>
        <w:pStyle w:val="19"/>
        <w:shd w:val="clear" w:color="auto" w:fill="FFFFFF"/>
        <w:rPr>
          <w:color w:val="000000"/>
          <w:shd w:val="clear" w:color="auto" w:fill="FFFFFF"/>
        </w:rPr>
      </w:pPr>
      <w:r>
        <w:rPr>
          <w:rFonts w:hint="eastAsia"/>
          <w:color w:val="000000"/>
          <w:shd w:val="clear" w:color="auto" w:fill="FFFFFF"/>
        </w:rPr>
        <w:t>　　　　　　　　　　　　　　　　　　　　国家发展和改革委员会　财政部</w:t>
      </w:r>
    </w:p>
    <w:p>
      <w:pPr>
        <w:pStyle w:val="19"/>
        <w:shd w:val="clear" w:color="auto" w:fill="FFFFFF"/>
        <w:rPr>
          <w:color w:val="000000"/>
        </w:rPr>
      </w:pPr>
      <w:r>
        <w:rPr>
          <w:rFonts w:hint="eastAsia"/>
          <w:color w:val="000000"/>
          <w:shd w:val="clear" w:color="auto" w:fill="FFFFFF"/>
        </w:rPr>
        <w:t>　　　　　　　　　　　　　　　　　　　　　　　　二○一一年六月十八日</w:t>
      </w:r>
    </w:p>
    <w:p>
      <w:pPr>
        <w:pStyle w:val="19"/>
        <w:shd w:val="clear" w:color="auto" w:fill="FFFFFF"/>
        <w:rPr>
          <w:color w:val="000000"/>
        </w:rPr>
      </w:pPr>
      <w:r>
        <w:rPr>
          <w:rFonts w:hint="eastAsia"/>
          <w:color w:val="000000"/>
          <w:shd w:val="clear" w:color="auto" w:fill="FFFFFF"/>
        </w:rPr>
        <w:t> </w:t>
      </w:r>
    </w:p>
    <w:p>
      <w:pPr>
        <w:pStyle w:val="19"/>
        <w:shd w:val="clear" w:color="auto" w:fill="FFFFFF"/>
        <w:jc w:val="center"/>
        <w:rPr>
          <w:rStyle w:val="26"/>
          <w:color w:val="000000"/>
          <w:sz w:val="36"/>
          <w:szCs w:val="36"/>
          <w:shd w:val="clear" w:color="auto" w:fill="FFFFFF"/>
        </w:rPr>
      </w:pPr>
      <w:r>
        <w:rPr>
          <w:rStyle w:val="26"/>
          <w:rFonts w:hint="eastAsia"/>
          <w:color w:val="000000"/>
          <w:sz w:val="36"/>
          <w:szCs w:val="36"/>
          <w:shd w:val="clear" w:color="auto" w:fill="FFFFFF"/>
        </w:rPr>
        <w:t>中小企业划型标准规定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pPr>
        <w:spacing w:line="360" w:lineRule="auto"/>
        <w:sectPr>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4" w:name="_Toc28971"/>
      <w:r>
        <w:rPr>
          <w:rFonts w:hint="eastAsia" w:ascii="宋体" w:hAnsi="宋体" w:cs="宋体"/>
        </w:rPr>
        <w:t>附件三、残疾人福利性单位声明</w:t>
      </w:r>
      <w:bookmarkEnd w:id="113"/>
      <w:bookmarkEnd w:id="114"/>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5" w:name="_Toc2723"/>
      <w:bookmarkStart w:id="116" w:name="_Toc3053"/>
      <w:bookmarkStart w:id="117" w:name="_Toc25235"/>
      <w:bookmarkStart w:id="118" w:name="_Toc26509"/>
      <w:bookmarkStart w:id="119" w:name="_Toc28063"/>
      <w:r>
        <w:rPr>
          <w:rFonts w:hint="eastAsia" w:ascii="宋体" w:hAnsi="宋体" w:cs="宋体"/>
        </w:rPr>
        <w:t>附件四、监狱企业证明文件</w:t>
      </w:r>
      <w:bookmarkEnd w:id="115"/>
      <w:bookmarkEnd w:id="116"/>
      <w:bookmarkEnd w:id="117"/>
      <w:bookmarkEnd w:id="118"/>
      <w:bookmarkEnd w:id="119"/>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keepNext/>
        <w:keepLines/>
        <w:pageBreakBefore w:val="0"/>
        <w:widowControl w:val="0"/>
        <w:kinsoku/>
        <w:wordWrap/>
        <w:overflowPunct/>
        <w:topLinePunct w:val="0"/>
        <w:autoSpaceDE/>
        <w:autoSpaceDN/>
        <w:bidi w:val="0"/>
        <w:adjustRightInd w:val="0"/>
        <w:snapToGrid/>
        <w:spacing w:line="416" w:lineRule="atLeast"/>
        <w:textAlignment w:val="baseline"/>
        <w:outlineLvl w:val="1"/>
        <w:rPr>
          <w:rFonts w:ascii="宋体" w:hAnsi="宋体" w:cs="宋体"/>
        </w:rPr>
      </w:pPr>
      <w:bookmarkStart w:id="120" w:name="_Toc563"/>
      <w:bookmarkStart w:id="121" w:name="_Toc11969"/>
      <w:bookmarkStart w:id="122" w:name="_Toc13122"/>
      <w:bookmarkStart w:id="123" w:name="_Toc19198"/>
      <w:bookmarkStart w:id="124" w:name="_Toc3267"/>
      <w:bookmarkStart w:id="125" w:name="_Toc22091"/>
      <w:bookmarkStart w:id="126" w:name="_Toc25479"/>
      <w:bookmarkStart w:id="127" w:name="_Toc2126"/>
      <w:r>
        <w:rPr>
          <w:rFonts w:hint="eastAsia" w:ascii="宋体" w:hAnsi="宋体" w:cs="宋体"/>
        </w:rPr>
        <w:t>附件五、“节能产品”，“环境标志产品”证明材料</w:t>
      </w:r>
      <w:bookmarkEnd w:id="120"/>
      <w:bookmarkEnd w:id="121"/>
      <w:bookmarkEnd w:id="122"/>
      <w:bookmarkEnd w:id="123"/>
      <w:bookmarkEnd w:id="124"/>
      <w:bookmarkEnd w:id="125"/>
      <w:bookmarkEnd w:id="126"/>
      <w:bookmarkEnd w:id="127"/>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w:t>
      </w:r>
      <w:r>
        <w:rPr>
          <w:rFonts w:hint="eastAsia" w:ascii="宋体" w:hAnsi="宋体" w:cs="宋体"/>
          <w:sz w:val="24"/>
          <w:szCs w:val="24"/>
          <w:lang w:val="en-US" w:eastAsia="zh-CN"/>
        </w:rPr>
        <w:t>评分</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7" w:type="default"/>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28" w:name="_Toc24156"/>
      <w:bookmarkStart w:id="129" w:name="_Toc4414"/>
      <w:bookmarkStart w:id="130" w:name="_Toc23799"/>
      <w:bookmarkStart w:id="131" w:name="_Toc2461"/>
      <w:bookmarkStart w:id="132" w:name="_Toc24855"/>
      <w:bookmarkStart w:id="133" w:name="_Toc26351"/>
      <w:r>
        <w:rPr>
          <w:rFonts w:hint="eastAsia" w:ascii="宋体" w:hAnsi="宋体" w:cs="宋体"/>
        </w:rPr>
        <w:t>附件六、质疑函范本</w:t>
      </w:r>
      <w:bookmarkEnd w:id="128"/>
      <w:bookmarkEnd w:id="129"/>
      <w:bookmarkEnd w:id="130"/>
      <w:bookmarkEnd w:id="131"/>
      <w:bookmarkEnd w:id="132"/>
      <w:bookmarkEnd w:id="133"/>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hint="eastAsia" w:ascii="宋体" w:hAnsi="宋体" w:cs="宋体"/>
          <w:b/>
          <w:spacing w:val="48"/>
          <w:sz w:val="72"/>
          <w:szCs w:val="72"/>
        </w:rPr>
        <w:sectPr>
          <w:headerReference r:id="rId18" w:type="default"/>
          <w:footerReference r:id="rId19"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sz w:val="24"/>
          <w:szCs w:val="24"/>
          <w:lang w:eastAsia="zh-CN"/>
        </w:rPr>
        <w:t>。</w:t>
      </w:r>
      <w:bookmarkEnd w:id="0"/>
      <w:bookmarkEnd w:id="102"/>
      <w:bookmarkEnd w:id="103"/>
      <w:bookmarkEnd w:id="104"/>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2"/>
        <w:rPr>
          <w:rFonts w:ascii="宋体" w:hAnsi="宋体" w:cs="宋体"/>
          <w:spacing w:val="48"/>
          <w:sz w:val="72"/>
          <w:szCs w:val="72"/>
        </w:rPr>
      </w:pPr>
    </w:p>
    <w:p>
      <w:pPr>
        <w:rPr>
          <w:rFonts w:ascii="宋体" w:hAnsi="宋体" w:cs="宋体"/>
          <w:spacing w:val="48"/>
          <w:sz w:val="72"/>
          <w:szCs w:val="72"/>
        </w:rPr>
      </w:pPr>
    </w:p>
    <w:p>
      <w:pPr>
        <w:pStyle w:val="2"/>
        <w:rPr>
          <w:rFonts w:ascii="宋体" w:hAnsi="宋体" w:cs="宋体"/>
          <w:spacing w:val="48"/>
          <w:sz w:val="72"/>
          <w:szCs w:val="72"/>
        </w:rPr>
      </w:pPr>
    </w:p>
    <w:p/>
    <w:p/>
    <w:p>
      <w:pPr>
        <w:pStyle w:val="6"/>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eastAsia="宋体" w:cs="宋体"/>
        </w:rPr>
      </w:pPr>
      <w:r>
        <w:rPr>
          <w:rFonts w:hint="eastAsia" w:ascii="宋体" w:hAnsi="宋体" w:cs="宋体"/>
          <w:b/>
          <w:sz w:val="30"/>
          <w:szCs w:val="30"/>
        </w:rPr>
        <w:t>传真：029-88440695</w:t>
      </w:r>
    </w:p>
    <w:sectPr>
      <w:footerReference r:id="rId20"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426"/>
      </w:tabs>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11</w:t>
                          </w:r>
                          <w:r>
                            <w:rPr>
                              <w:rFonts w:hint="eastAsia"/>
                              <w:sz w:val="18"/>
                              <w:lang w:eastAsia="zh-CN"/>
                            </w:rPr>
                            <w:fldChar w:fldCharType="end"/>
                          </w:r>
                          <w:r>
                            <w:rPr>
                              <w:rFonts w:hint="eastAsia"/>
                              <w:sz w:val="18"/>
                              <w:lang w:eastAsia="zh-CN"/>
                            </w:rPr>
                            <w:t xml:space="preserve"> 页 共 </w:t>
                          </w:r>
                          <w:r>
                            <w:rPr>
                              <w:rFonts w:hint="eastAsia"/>
                              <w:sz w:val="18"/>
                              <w:lang w:val="en-US" w:eastAsia="zh-CN"/>
                            </w:rPr>
                            <w:t>65</w:t>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9XGM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cv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C9XGMoBAACb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11</w:t>
                    </w:r>
                    <w:r>
                      <w:rPr>
                        <w:rFonts w:hint="eastAsia"/>
                        <w:sz w:val="18"/>
                        <w:lang w:eastAsia="zh-CN"/>
                      </w:rPr>
                      <w:fldChar w:fldCharType="end"/>
                    </w:r>
                    <w:r>
                      <w:rPr>
                        <w:rFonts w:hint="eastAsia"/>
                        <w:sz w:val="18"/>
                        <w:lang w:eastAsia="zh-CN"/>
                      </w:rPr>
                      <w:t xml:space="preserve"> 页 共 </w:t>
                    </w:r>
                    <w:r>
                      <w:rPr>
                        <w:rFonts w:hint="eastAsia"/>
                        <w:sz w:val="18"/>
                        <w:lang w:val="en-US" w:eastAsia="zh-CN"/>
                      </w:rPr>
                      <w:t>65</w:t>
                    </w:r>
                    <w:r>
                      <w:rPr>
                        <w:rFonts w:hint="eastAsia"/>
                        <w:sz w:val="18"/>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11</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63</w:t>
                          </w:r>
                          <w:r>
                            <w:rPr>
                              <w:rFonts w:hint="eastAsia" w:eastAsia="宋体"/>
                              <w:sz w:val="18"/>
                              <w:lang w:eastAsia="zh-CN"/>
                            </w:rPr>
                            <w:fldChar w:fldCharType="end"/>
                          </w:r>
                          <w:r>
                            <w:rPr>
                              <w:rFonts w:hint="eastAsia" w:eastAsia="宋体"/>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ySy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3i3B23OPHzj+/nn7/Pv74R&#10;9KFAfYAa8x4DZqbhxg+4NrMf0Jl5Dyra/EVGBOMo7+kirxwSEfnRarlaVRgSGJsviM+enocI6U56&#10;S7LR0IjzK7Ly4z2kMXVOydWcv9XGlBka95cDMbOH5d7HHrOVht0wEdr59oR8ehx9Qx1uOiXmo0Nl&#10;85bMRpyN3WwcQtT7rqxRrgfhwyFhE6W3XGGEnQrjzAq7ab/yUjy/l6ynf2r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TJLJ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11</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63</w:t>
                    </w:r>
                    <w:r>
                      <w:rPr>
                        <w:rFonts w:hint="eastAsia" w:eastAsia="宋体"/>
                        <w:sz w:val="18"/>
                        <w:lang w:eastAsia="zh-CN"/>
                      </w:rPr>
                      <w:fldChar w:fldCharType="end"/>
                    </w:r>
                    <w:r>
                      <w:rPr>
                        <w:rFonts w:hint="eastAsia" w:eastAsia="宋体"/>
                        <w:sz w:val="18"/>
                        <w:lang w:eastAsia="zh-CN"/>
                      </w:rPr>
                      <w:t xml:space="preserve"> 页</w:t>
                    </w:r>
                  </w:p>
                </w:txbxContent>
              </v:textbox>
            </v:shape>
          </w:pict>
        </mc:Fallback>
      </mc:AlternateContent>
    </w:r>
    <w:r>
      <w:rPr>
        <w:rFonts w:hint="eastAsia" w:ascii="宋体" w:hAnsi="宋体" w:cs="宋体"/>
        <w:lang w:eastAsia="zh-CN"/>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西安科技大学ACS数据库、ElsevierScienceDirect数据库、SCIE数据库采购项目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ZMZB2023QAXX-251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2B98"/>
    <w:multiLevelType w:val="singleLevel"/>
    <w:tmpl w:val="97232B98"/>
    <w:lvl w:ilvl="0" w:tentative="0">
      <w:start w:val="5"/>
      <w:numFmt w:val="chineseCounting"/>
      <w:suff w:val="space"/>
      <w:lvlText w:val="第%1部分"/>
      <w:lvlJc w:val="left"/>
      <w:rPr>
        <w:rFonts w:hint="eastAsia"/>
      </w:rPr>
    </w:lvl>
  </w:abstractNum>
  <w:abstractNum w:abstractNumId="1">
    <w:nsid w:val="9DDEC967"/>
    <w:multiLevelType w:val="singleLevel"/>
    <w:tmpl w:val="9DDEC967"/>
    <w:lvl w:ilvl="0" w:tentative="0">
      <w:start w:val="1"/>
      <w:numFmt w:val="decimal"/>
      <w:suff w:val="nothing"/>
      <w:lvlText w:val="（%1）"/>
      <w:lvlJc w:val="left"/>
      <w:pPr>
        <w:ind w:left="150"/>
      </w:pPr>
    </w:lvl>
  </w:abstractNum>
  <w:abstractNum w:abstractNumId="2">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D12F5381"/>
    <w:multiLevelType w:val="singleLevel"/>
    <w:tmpl w:val="D12F5381"/>
    <w:lvl w:ilvl="0" w:tentative="0">
      <w:start w:val="7"/>
      <w:numFmt w:val="chineseCounting"/>
      <w:suff w:val="space"/>
      <w:lvlText w:val="第%1部分"/>
      <w:lvlJc w:val="left"/>
      <w:rPr>
        <w:rFonts w:hint="eastAsia"/>
      </w:rPr>
    </w:lvl>
  </w:abstractNum>
  <w:abstractNum w:abstractNumId="5">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6">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7">
    <w:nsid w:val="FE18F500"/>
    <w:multiLevelType w:val="singleLevel"/>
    <w:tmpl w:val="FE18F500"/>
    <w:lvl w:ilvl="0" w:tentative="0">
      <w:start w:val="4"/>
      <w:numFmt w:val="chineseCounting"/>
      <w:suff w:val="space"/>
      <w:lvlText w:val="第%1部分"/>
      <w:lvlJc w:val="left"/>
      <w:rPr>
        <w:rFonts w:hint="eastAsia"/>
      </w:rPr>
    </w:lvl>
  </w:abstractNum>
  <w:abstractNum w:abstractNumId="8">
    <w:nsid w:val="023BDF3F"/>
    <w:multiLevelType w:val="singleLevel"/>
    <w:tmpl w:val="023BDF3F"/>
    <w:lvl w:ilvl="0" w:tentative="0">
      <w:start w:val="1"/>
      <w:numFmt w:val="decimal"/>
      <w:suff w:val="nothing"/>
      <w:lvlText w:val="%1、"/>
      <w:lvlJc w:val="left"/>
      <w:pPr>
        <w:ind w:left="0" w:firstLine="420"/>
      </w:pPr>
      <w:rPr>
        <w:rFonts w:hint="default"/>
      </w:rPr>
    </w:lvl>
  </w:abstractNum>
  <w:abstractNum w:abstractNumId="9">
    <w:nsid w:val="19B057FC"/>
    <w:multiLevelType w:val="singleLevel"/>
    <w:tmpl w:val="19B057FC"/>
    <w:lvl w:ilvl="0" w:tentative="0">
      <w:start w:val="1"/>
      <w:numFmt w:val="decimal"/>
      <w:suff w:val="nothing"/>
      <w:lvlText w:val="%1、"/>
      <w:lvlJc w:val="left"/>
      <w:pPr>
        <w:ind w:left="140" w:firstLine="0"/>
      </w:pPr>
    </w:lvl>
  </w:abstractNum>
  <w:abstractNum w:abstractNumId="10">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1">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2">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3">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4">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5">
    <w:nsid w:val="58BE6519"/>
    <w:multiLevelType w:val="singleLevel"/>
    <w:tmpl w:val="58BE6519"/>
    <w:lvl w:ilvl="0" w:tentative="0">
      <w:start w:val="1"/>
      <w:numFmt w:val="decimal"/>
      <w:suff w:val="nothing"/>
      <w:lvlText w:val="%1、"/>
      <w:lvlJc w:val="left"/>
      <w:pPr>
        <w:ind w:left="420" w:firstLine="420"/>
      </w:pPr>
      <w:rPr>
        <w:rFonts w:hint="default"/>
      </w:rPr>
    </w:lvl>
  </w:abstractNum>
  <w:abstractNum w:abstractNumId="16">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7">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18">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9">
    <w:nsid w:val="59DADF1A"/>
    <w:multiLevelType w:val="singleLevel"/>
    <w:tmpl w:val="59DADF1A"/>
    <w:lvl w:ilvl="0" w:tentative="0">
      <w:start w:val="1"/>
      <w:numFmt w:val="lowerLetter"/>
      <w:lvlText w:val="%1."/>
      <w:lvlJc w:val="left"/>
      <w:pPr>
        <w:ind w:left="425" w:hanging="425"/>
      </w:pPr>
      <w:rPr>
        <w:rFonts w:hint="default"/>
      </w:rPr>
    </w:lvl>
  </w:abstractNum>
  <w:abstractNum w:abstractNumId="20">
    <w:nsid w:val="604094DA"/>
    <w:multiLevelType w:val="singleLevel"/>
    <w:tmpl w:val="604094DA"/>
    <w:lvl w:ilvl="0" w:tentative="0">
      <w:start w:val="1"/>
      <w:numFmt w:val="decimal"/>
      <w:suff w:val="space"/>
      <w:lvlText w:val="%1."/>
      <w:lvlJc w:val="left"/>
    </w:lvl>
  </w:abstractNum>
  <w:num w:numId="1">
    <w:abstractNumId w:val="1"/>
  </w:num>
  <w:num w:numId="2">
    <w:abstractNumId w:val="3"/>
  </w:num>
  <w:num w:numId="3">
    <w:abstractNumId w:val="8"/>
  </w:num>
  <w:num w:numId="4">
    <w:abstractNumId w:val="5"/>
  </w:num>
  <w:num w:numId="5">
    <w:abstractNumId w:val="2"/>
  </w:num>
  <w:num w:numId="6">
    <w:abstractNumId w:val="6"/>
  </w:num>
  <w:num w:numId="7">
    <w:abstractNumId w:val="12"/>
  </w:num>
  <w:num w:numId="8">
    <w:abstractNumId w:val="11"/>
  </w:num>
  <w:num w:numId="9">
    <w:abstractNumId w:val="16"/>
  </w:num>
  <w:num w:numId="10">
    <w:abstractNumId w:val="18"/>
  </w:num>
  <w:num w:numId="11">
    <w:abstractNumId w:val="13"/>
  </w:num>
  <w:num w:numId="12">
    <w:abstractNumId w:val="14"/>
  </w:num>
  <w:num w:numId="13">
    <w:abstractNumId w:val="15"/>
  </w:num>
  <w:num w:numId="14">
    <w:abstractNumId w:val="19"/>
  </w:num>
  <w:num w:numId="15">
    <w:abstractNumId w:val="17"/>
  </w:num>
  <w:num w:numId="16">
    <w:abstractNumId w:val="7"/>
  </w:num>
  <w:num w:numId="17">
    <w:abstractNumId w:val="0"/>
  </w:num>
  <w:num w:numId="18">
    <w:abstractNumId w:val="9"/>
  </w:num>
  <w:num w:numId="19">
    <w:abstractNumId w:val="10"/>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MWI3NGJiYWY1M2I2N2YyZjJlMjEzNjIzYzA1MjAifQ=="/>
  </w:docVars>
  <w:rsids>
    <w:rsidRoot w:val="73D96FF7"/>
    <w:rsid w:val="000211C9"/>
    <w:rsid w:val="000231DC"/>
    <w:rsid w:val="00023390"/>
    <w:rsid w:val="000238BB"/>
    <w:rsid w:val="00033E46"/>
    <w:rsid w:val="00034CB8"/>
    <w:rsid w:val="000447C6"/>
    <w:rsid w:val="00050E3A"/>
    <w:rsid w:val="00051C70"/>
    <w:rsid w:val="0006579C"/>
    <w:rsid w:val="00067E50"/>
    <w:rsid w:val="0007496A"/>
    <w:rsid w:val="00075A4D"/>
    <w:rsid w:val="00084123"/>
    <w:rsid w:val="0009091C"/>
    <w:rsid w:val="000930F9"/>
    <w:rsid w:val="00093688"/>
    <w:rsid w:val="00094D6D"/>
    <w:rsid w:val="00096BFC"/>
    <w:rsid w:val="000A28E9"/>
    <w:rsid w:val="000B2B5F"/>
    <w:rsid w:val="000B54D7"/>
    <w:rsid w:val="000C078D"/>
    <w:rsid w:val="000C494B"/>
    <w:rsid w:val="000D07D2"/>
    <w:rsid w:val="000E03BF"/>
    <w:rsid w:val="000E06F6"/>
    <w:rsid w:val="00104C7F"/>
    <w:rsid w:val="00105CEF"/>
    <w:rsid w:val="00116077"/>
    <w:rsid w:val="0011645B"/>
    <w:rsid w:val="00127E5F"/>
    <w:rsid w:val="00147DB8"/>
    <w:rsid w:val="00150211"/>
    <w:rsid w:val="00165B88"/>
    <w:rsid w:val="001660DB"/>
    <w:rsid w:val="00170F41"/>
    <w:rsid w:val="0017206B"/>
    <w:rsid w:val="00172D09"/>
    <w:rsid w:val="00177B3B"/>
    <w:rsid w:val="00194A9B"/>
    <w:rsid w:val="001977B7"/>
    <w:rsid w:val="001C6002"/>
    <w:rsid w:val="001D7C98"/>
    <w:rsid w:val="0020496B"/>
    <w:rsid w:val="002056B6"/>
    <w:rsid w:val="002129A4"/>
    <w:rsid w:val="00215036"/>
    <w:rsid w:val="0021740C"/>
    <w:rsid w:val="00217AC1"/>
    <w:rsid w:val="00223417"/>
    <w:rsid w:val="00231B14"/>
    <w:rsid w:val="00235885"/>
    <w:rsid w:val="00270726"/>
    <w:rsid w:val="002738E0"/>
    <w:rsid w:val="002741EB"/>
    <w:rsid w:val="0027762D"/>
    <w:rsid w:val="00282BBC"/>
    <w:rsid w:val="002852D2"/>
    <w:rsid w:val="00290808"/>
    <w:rsid w:val="00294A47"/>
    <w:rsid w:val="00295107"/>
    <w:rsid w:val="00295734"/>
    <w:rsid w:val="002A48B6"/>
    <w:rsid w:val="002B7581"/>
    <w:rsid w:val="002C270B"/>
    <w:rsid w:val="002C270E"/>
    <w:rsid w:val="002E2D34"/>
    <w:rsid w:val="002F3450"/>
    <w:rsid w:val="002F4DAB"/>
    <w:rsid w:val="002F72C6"/>
    <w:rsid w:val="00302EA2"/>
    <w:rsid w:val="00312C6A"/>
    <w:rsid w:val="00335D7C"/>
    <w:rsid w:val="00336890"/>
    <w:rsid w:val="00337DD7"/>
    <w:rsid w:val="00341F1A"/>
    <w:rsid w:val="0034773D"/>
    <w:rsid w:val="0035259F"/>
    <w:rsid w:val="00353817"/>
    <w:rsid w:val="003572BD"/>
    <w:rsid w:val="003612FE"/>
    <w:rsid w:val="00366AA2"/>
    <w:rsid w:val="0038235A"/>
    <w:rsid w:val="003862A4"/>
    <w:rsid w:val="00393768"/>
    <w:rsid w:val="003A607D"/>
    <w:rsid w:val="003E23A6"/>
    <w:rsid w:val="003E3530"/>
    <w:rsid w:val="003F3F76"/>
    <w:rsid w:val="003F6452"/>
    <w:rsid w:val="00405C58"/>
    <w:rsid w:val="00440843"/>
    <w:rsid w:val="00442960"/>
    <w:rsid w:val="00483AF6"/>
    <w:rsid w:val="0048715E"/>
    <w:rsid w:val="004A6288"/>
    <w:rsid w:val="004B74EA"/>
    <w:rsid w:val="004C20E4"/>
    <w:rsid w:val="004E0DB0"/>
    <w:rsid w:val="004E1511"/>
    <w:rsid w:val="004E727F"/>
    <w:rsid w:val="004F73C4"/>
    <w:rsid w:val="0051677A"/>
    <w:rsid w:val="00517FC5"/>
    <w:rsid w:val="005205B4"/>
    <w:rsid w:val="005233BF"/>
    <w:rsid w:val="00540EAF"/>
    <w:rsid w:val="00542C94"/>
    <w:rsid w:val="005455C2"/>
    <w:rsid w:val="00546F4D"/>
    <w:rsid w:val="00550FA1"/>
    <w:rsid w:val="00557479"/>
    <w:rsid w:val="00563ABD"/>
    <w:rsid w:val="005654BD"/>
    <w:rsid w:val="00574B0A"/>
    <w:rsid w:val="005B0FDD"/>
    <w:rsid w:val="005C3C4A"/>
    <w:rsid w:val="005C70B4"/>
    <w:rsid w:val="005D2B92"/>
    <w:rsid w:val="005E2DE4"/>
    <w:rsid w:val="005F155C"/>
    <w:rsid w:val="005F7BCF"/>
    <w:rsid w:val="0061645E"/>
    <w:rsid w:val="00622B85"/>
    <w:rsid w:val="006266A4"/>
    <w:rsid w:val="0062740F"/>
    <w:rsid w:val="00627D03"/>
    <w:rsid w:val="006553C8"/>
    <w:rsid w:val="00672E94"/>
    <w:rsid w:val="006742B1"/>
    <w:rsid w:val="00676AE8"/>
    <w:rsid w:val="00687D5E"/>
    <w:rsid w:val="00696708"/>
    <w:rsid w:val="006A08BB"/>
    <w:rsid w:val="006A0EE3"/>
    <w:rsid w:val="006A3EA7"/>
    <w:rsid w:val="006B5E79"/>
    <w:rsid w:val="006C1797"/>
    <w:rsid w:val="006C2480"/>
    <w:rsid w:val="006C6460"/>
    <w:rsid w:val="006D0D2F"/>
    <w:rsid w:val="006D460F"/>
    <w:rsid w:val="006E0B29"/>
    <w:rsid w:val="006E40E0"/>
    <w:rsid w:val="006F3C69"/>
    <w:rsid w:val="006F5317"/>
    <w:rsid w:val="006F5396"/>
    <w:rsid w:val="006F5D6F"/>
    <w:rsid w:val="006F6DCE"/>
    <w:rsid w:val="00714BDE"/>
    <w:rsid w:val="0072263E"/>
    <w:rsid w:val="007312B5"/>
    <w:rsid w:val="00732B2E"/>
    <w:rsid w:val="0073574E"/>
    <w:rsid w:val="00736C47"/>
    <w:rsid w:val="00765CB7"/>
    <w:rsid w:val="00772F53"/>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6745"/>
    <w:rsid w:val="0082192B"/>
    <w:rsid w:val="00825BC9"/>
    <w:rsid w:val="0083155E"/>
    <w:rsid w:val="00860E6A"/>
    <w:rsid w:val="00866912"/>
    <w:rsid w:val="00877EF0"/>
    <w:rsid w:val="00887396"/>
    <w:rsid w:val="008909F4"/>
    <w:rsid w:val="00896129"/>
    <w:rsid w:val="008A4789"/>
    <w:rsid w:val="008A4C61"/>
    <w:rsid w:val="008A5167"/>
    <w:rsid w:val="008B07F2"/>
    <w:rsid w:val="008B0810"/>
    <w:rsid w:val="008B1617"/>
    <w:rsid w:val="008B217C"/>
    <w:rsid w:val="008C0DA3"/>
    <w:rsid w:val="008D2180"/>
    <w:rsid w:val="008D5F96"/>
    <w:rsid w:val="008E706B"/>
    <w:rsid w:val="00907ACF"/>
    <w:rsid w:val="0091005F"/>
    <w:rsid w:val="0091056D"/>
    <w:rsid w:val="0093690D"/>
    <w:rsid w:val="00942C88"/>
    <w:rsid w:val="00962424"/>
    <w:rsid w:val="0096664F"/>
    <w:rsid w:val="00973C40"/>
    <w:rsid w:val="009844C9"/>
    <w:rsid w:val="009A0E9B"/>
    <w:rsid w:val="009B4737"/>
    <w:rsid w:val="009C2C63"/>
    <w:rsid w:val="009E16B7"/>
    <w:rsid w:val="009F2F47"/>
    <w:rsid w:val="009F49F1"/>
    <w:rsid w:val="009F5386"/>
    <w:rsid w:val="00A0037E"/>
    <w:rsid w:val="00A064D9"/>
    <w:rsid w:val="00A155EB"/>
    <w:rsid w:val="00A248C2"/>
    <w:rsid w:val="00A24C3D"/>
    <w:rsid w:val="00A250DB"/>
    <w:rsid w:val="00A408C9"/>
    <w:rsid w:val="00A438FC"/>
    <w:rsid w:val="00A44779"/>
    <w:rsid w:val="00A46C3A"/>
    <w:rsid w:val="00A50364"/>
    <w:rsid w:val="00A536EE"/>
    <w:rsid w:val="00A55CE7"/>
    <w:rsid w:val="00A70F35"/>
    <w:rsid w:val="00A93A06"/>
    <w:rsid w:val="00A955D8"/>
    <w:rsid w:val="00AA033B"/>
    <w:rsid w:val="00AA4076"/>
    <w:rsid w:val="00AA607D"/>
    <w:rsid w:val="00AB0507"/>
    <w:rsid w:val="00AB1511"/>
    <w:rsid w:val="00AD6B7E"/>
    <w:rsid w:val="00AE5665"/>
    <w:rsid w:val="00AE78B4"/>
    <w:rsid w:val="00AF3A88"/>
    <w:rsid w:val="00B17480"/>
    <w:rsid w:val="00B208CC"/>
    <w:rsid w:val="00B22AA5"/>
    <w:rsid w:val="00B32208"/>
    <w:rsid w:val="00B5790B"/>
    <w:rsid w:val="00B61634"/>
    <w:rsid w:val="00B63E6C"/>
    <w:rsid w:val="00B6588D"/>
    <w:rsid w:val="00B92C9A"/>
    <w:rsid w:val="00B94DB5"/>
    <w:rsid w:val="00BA6328"/>
    <w:rsid w:val="00BA7223"/>
    <w:rsid w:val="00BB63E2"/>
    <w:rsid w:val="00BC7B00"/>
    <w:rsid w:val="00BD20A7"/>
    <w:rsid w:val="00BD21CE"/>
    <w:rsid w:val="00BE0B22"/>
    <w:rsid w:val="00BF25D2"/>
    <w:rsid w:val="00C03D95"/>
    <w:rsid w:val="00C12406"/>
    <w:rsid w:val="00C2375E"/>
    <w:rsid w:val="00C42D03"/>
    <w:rsid w:val="00C45A0B"/>
    <w:rsid w:val="00C70CA0"/>
    <w:rsid w:val="00CA3986"/>
    <w:rsid w:val="00CA77AE"/>
    <w:rsid w:val="00CC4A0A"/>
    <w:rsid w:val="00CC5E31"/>
    <w:rsid w:val="00CD068E"/>
    <w:rsid w:val="00CD08DB"/>
    <w:rsid w:val="00CD26FE"/>
    <w:rsid w:val="00CD6C1E"/>
    <w:rsid w:val="00CE3F73"/>
    <w:rsid w:val="00CE7F49"/>
    <w:rsid w:val="00CF12F8"/>
    <w:rsid w:val="00D13372"/>
    <w:rsid w:val="00D14D31"/>
    <w:rsid w:val="00D17765"/>
    <w:rsid w:val="00D17FBF"/>
    <w:rsid w:val="00D21431"/>
    <w:rsid w:val="00D4535F"/>
    <w:rsid w:val="00D46AC8"/>
    <w:rsid w:val="00D54846"/>
    <w:rsid w:val="00D571EE"/>
    <w:rsid w:val="00D752E3"/>
    <w:rsid w:val="00D8338D"/>
    <w:rsid w:val="00D9385B"/>
    <w:rsid w:val="00DB2477"/>
    <w:rsid w:val="00DB7527"/>
    <w:rsid w:val="00DC68B6"/>
    <w:rsid w:val="00DE0A1E"/>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A2EE5"/>
    <w:rsid w:val="00EA7A49"/>
    <w:rsid w:val="00EB54D7"/>
    <w:rsid w:val="00F1148E"/>
    <w:rsid w:val="00F11A9A"/>
    <w:rsid w:val="00F1478D"/>
    <w:rsid w:val="00F1601A"/>
    <w:rsid w:val="00F27739"/>
    <w:rsid w:val="00F35029"/>
    <w:rsid w:val="00F465E3"/>
    <w:rsid w:val="00F549A0"/>
    <w:rsid w:val="00F572F6"/>
    <w:rsid w:val="00F61A0D"/>
    <w:rsid w:val="00F65CA7"/>
    <w:rsid w:val="00F66EB2"/>
    <w:rsid w:val="00F7126A"/>
    <w:rsid w:val="00F74AE3"/>
    <w:rsid w:val="00F83468"/>
    <w:rsid w:val="00F97C3A"/>
    <w:rsid w:val="00FA36A5"/>
    <w:rsid w:val="00FB36FC"/>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9C44C3"/>
    <w:rsid w:val="01BF446B"/>
    <w:rsid w:val="01C33E75"/>
    <w:rsid w:val="01CF4650"/>
    <w:rsid w:val="01DC4B6D"/>
    <w:rsid w:val="01DE0A3D"/>
    <w:rsid w:val="01EB45BC"/>
    <w:rsid w:val="01FF0589"/>
    <w:rsid w:val="021A2C53"/>
    <w:rsid w:val="02202040"/>
    <w:rsid w:val="02262629"/>
    <w:rsid w:val="023D07CA"/>
    <w:rsid w:val="024B29A8"/>
    <w:rsid w:val="025B2BDD"/>
    <w:rsid w:val="025C1F43"/>
    <w:rsid w:val="02691867"/>
    <w:rsid w:val="02BC1EC1"/>
    <w:rsid w:val="02C33764"/>
    <w:rsid w:val="02DD6925"/>
    <w:rsid w:val="02E969A4"/>
    <w:rsid w:val="02FB3B23"/>
    <w:rsid w:val="030A3205"/>
    <w:rsid w:val="03366953"/>
    <w:rsid w:val="034A7BA5"/>
    <w:rsid w:val="034C23A0"/>
    <w:rsid w:val="0353555C"/>
    <w:rsid w:val="035A5AF3"/>
    <w:rsid w:val="036C5F1A"/>
    <w:rsid w:val="037E757B"/>
    <w:rsid w:val="038E1A4F"/>
    <w:rsid w:val="03A35E51"/>
    <w:rsid w:val="03B24429"/>
    <w:rsid w:val="03CF2F3E"/>
    <w:rsid w:val="040403C7"/>
    <w:rsid w:val="040E0152"/>
    <w:rsid w:val="04166D26"/>
    <w:rsid w:val="043A7A3B"/>
    <w:rsid w:val="04686969"/>
    <w:rsid w:val="046924E7"/>
    <w:rsid w:val="048D0480"/>
    <w:rsid w:val="04B42133"/>
    <w:rsid w:val="04BA794E"/>
    <w:rsid w:val="04C31C0F"/>
    <w:rsid w:val="04C37E19"/>
    <w:rsid w:val="04D12D71"/>
    <w:rsid w:val="04F75026"/>
    <w:rsid w:val="04FD40F2"/>
    <w:rsid w:val="05372DA4"/>
    <w:rsid w:val="054A41B7"/>
    <w:rsid w:val="05741D34"/>
    <w:rsid w:val="05A50E7C"/>
    <w:rsid w:val="05DF2FD7"/>
    <w:rsid w:val="06023542"/>
    <w:rsid w:val="067C233D"/>
    <w:rsid w:val="06861813"/>
    <w:rsid w:val="06937984"/>
    <w:rsid w:val="06967A3F"/>
    <w:rsid w:val="06A628AE"/>
    <w:rsid w:val="06C771A3"/>
    <w:rsid w:val="0708350A"/>
    <w:rsid w:val="0711360B"/>
    <w:rsid w:val="072B23BE"/>
    <w:rsid w:val="073C007C"/>
    <w:rsid w:val="077274B4"/>
    <w:rsid w:val="079B438E"/>
    <w:rsid w:val="07A01238"/>
    <w:rsid w:val="07AA45D1"/>
    <w:rsid w:val="07CB6CD5"/>
    <w:rsid w:val="07D05206"/>
    <w:rsid w:val="07D63755"/>
    <w:rsid w:val="08140636"/>
    <w:rsid w:val="081A04E8"/>
    <w:rsid w:val="084166EA"/>
    <w:rsid w:val="088A04F0"/>
    <w:rsid w:val="088A3FB8"/>
    <w:rsid w:val="093C0A37"/>
    <w:rsid w:val="09B0067D"/>
    <w:rsid w:val="09DC53A7"/>
    <w:rsid w:val="0A415811"/>
    <w:rsid w:val="0A531BA1"/>
    <w:rsid w:val="0A6E15A5"/>
    <w:rsid w:val="0A874C05"/>
    <w:rsid w:val="0A8F50B9"/>
    <w:rsid w:val="0A9E0AC8"/>
    <w:rsid w:val="0ACD7171"/>
    <w:rsid w:val="0AE15B50"/>
    <w:rsid w:val="0AF807D7"/>
    <w:rsid w:val="0B0F5C9F"/>
    <w:rsid w:val="0B28158C"/>
    <w:rsid w:val="0B4B1E06"/>
    <w:rsid w:val="0B532BA8"/>
    <w:rsid w:val="0B6A5D37"/>
    <w:rsid w:val="0B7C3EA1"/>
    <w:rsid w:val="0BAB4E0E"/>
    <w:rsid w:val="0BAD6248"/>
    <w:rsid w:val="0BAF4CCB"/>
    <w:rsid w:val="0BBA3C56"/>
    <w:rsid w:val="0BD34696"/>
    <w:rsid w:val="0C0309BA"/>
    <w:rsid w:val="0C355123"/>
    <w:rsid w:val="0C59040C"/>
    <w:rsid w:val="0C665824"/>
    <w:rsid w:val="0C8D1F69"/>
    <w:rsid w:val="0C9310A3"/>
    <w:rsid w:val="0C984361"/>
    <w:rsid w:val="0CB03CD2"/>
    <w:rsid w:val="0CE41B31"/>
    <w:rsid w:val="0CF301A5"/>
    <w:rsid w:val="0CFD04BC"/>
    <w:rsid w:val="0D204A5D"/>
    <w:rsid w:val="0D323FC1"/>
    <w:rsid w:val="0D514FF5"/>
    <w:rsid w:val="0D614C51"/>
    <w:rsid w:val="0D751E61"/>
    <w:rsid w:val="0D8777F6"/>
    <w:rsid w:val="0DB713C3"/>
    <w:rsid w:val="0DC62A71"/>
    <w:rsid w:val="0E3D6A8E"/>
    <w:rsid w:val="0E4076C5"/>
    <w:rsid w:val="0E837DDF"/>
    <w:rsid w:val="0E9E3572"/>
    <w:rsid w:val="0EB5635E"/>
    <w:rsid w:val="0EB8754C"/>
    <w:rsid w:val="0EEB7659"/>
    <w:rsid w:val="0EFB59A3"/>
    <w:rsid w:val="0F01175D"/>
    <w:rsid w:val="0F025BAA"/>
    <w:rsid w:val="0F7B63A0"/>
    <w:rsid w:val="0F7B7C0B"/>
    <w:rsid w:val="0F9C0159"/>
    <w:rsid w:val="0FC04A43"/>
    <w:rsid w:val="0FC86DFC"/>
    <w:rsid w:val="0FE60143"/>
    <w:rsid w:val="0FE6342C"/>
    <w:rsid w:val="101476C3"/>
    <w:rsid w:val="10170212"/>
    <w:rsid w:val="10275AEB"/>
    <w:rsid w:val="1080507E"/>
    <w:rsid w:val="108064F2"/>
    <w:rsid w:val="10821A66"/>
    <w:rsid w:val="109B45F4"/>
    <w:rsid w:val="10A56817"/>
    <w:rsid w:val="10B4058D"/>
    <w:rsid w:val="10C35B5C"/>
    <w:rsid w:val="10D77C07"/>
    <w:rsid w:val="112F00E3"/>
    <w:rsid w:val="11611D49"/>
    <w:rsid w:val="11674F3D"/>
    <w:rsid w:val="11694370"/>
    <w:rsid w:val="117141C3"/>
    <w:rsid w:val="11875A3F"/>
    <w:rsid w:val="118F1C4B"/>
    <w:rsid w:val="11915752"/>
    <w:rsid w:val="11A25820"/>
    <w:rsid w:val="11A54DB1"/>
    <w:rsid w:val="11C473B7"/>
    <w:rsid w:val="11D263D2"/>
    <w:rsid w:val="11F93CC8"/>
    <w:rsid w:val="121D5AA7"/>
    <w:rsid w:val="123E07AF"/>
    <w:rsid w:val="127D6164"/>
    <w:rsid w:val="128B082A"/>
    <w:rsid w:val="12914B30"/>
    <w:rsid w:val="12B17AA6"/>
    <w:rsid w:val="12D76A20"/>
    <w:rsid w:val="12F46E80"/>
    <w:rsid w:val="131A3751"/>
    <w:rsid w:val="136B5FEA"/>
    <w:rsid w:val="13A91C52"/>
    <w:rsid w:val="13D83775"/>
    <w:rsid w:val="13ED1D45"/>
    <w:rsid w:val="141D790D"/>
    <w:rsid w:val="144B4EFE"/>
    <w:rsid w:val="145910E0"/>
    <w:rsid w:val="145D2BC2"/>
    <w:rsid w:val="147501D3"/>
    <w:rsid w:val="15007ACD"/>
    <w:rsid w:val="151F4732"/>
    <w:rsid w:val="15372FA4"/>
    <w:rsid w:val="153A1F28"/>
    <w:rsid w:val="153F05C2"/>
    <w:rsid w:val="15565AEA"/>
    <w:rsid w:val="15891CCA"/>
    <w:rsid w:val="158F403B"/>
    <w:rsid w:val="159076D6"/>
    <w:rsid w:val="15C11B01"/>
    <w:rsid w:val="15CE0A89"/>
    <w:rsid w:val="15E3346A"/>
    <w:rsid w:val="162A541E"/>
    <w:rsid w:val="165A18B8"/>
    <w:rsid w:val="166B472B"/>
    <w:rsid w:val="16704C68"/>
    <w:rsid w:val="16B877F8"/>
    <w:rsid w:val="16BC52DE"/>
    <w:rsid w:val="171A2CB4"/>
    <w:rsid w:val="171B2434"/>
    <w:rsid w:val="173918D6"/>
    <w:rsid w:val="173C04C3"/>
    <w:rsid w:val="173E2A85"/>
    <w:rsid w:val="17531440"/>
    <w:rsid w:val="176652E8"/>
    <w:rsid w:val="176F4594"/>
    <w:rsid w:val="17915A7E"/>
    <w:rsid w:val="181803D7"/>
    <w:rsid w:val="18196EE4"/>
    <w:rsid w:val="184D4A07"/>
    <w:rsid w:val="187450BD"/>
    <w:rsid w:val="188C4E41"/>
    <w:rsid w:val="18A1557C"/>
    <w:rsid w:val="18C56911"/>
    <w:rsid w:val="18CB0D78"/>
    <w:rsid w:val="18D771F0"/>
    <w:rsid w:val="18E447E1"/>
    <w:rsid w:val="18F1275C"/>
    <w:rsid w:val="19217C54"/>
    <w:rsid w:val="19247ED6"/>
    <w:rsid w:val="194E4D9E"/>
    <w:rsid w:val="196B2692"/>
    <w:rsid w:val="198C2B7E"/>
    <w:rsid w:val="19947705"/>
    <w:rsid w:val="19B86659"/>
    <w:rsid w:val="19B95A0C"/>
    <w:rsid w:val="19F02A92"/>
    <w:rsid w:val="19F70E42"/>
    <w:rsid w:val="1A195EF1"/>
    <w:rsid w:val="1A1B111D"/>
    <w:rsid w:val="1A4E3356"/>
    <w:rsid w:val="1A5D78BC"/>
    <w:rsid w:val="1A681627"/>
    <w:rsid w:val="1A7847F0"/>
    <w:rsid w:val="1A7B4DAB"/>
    <w:rsid w:val="1ACD364A"/>
    <w:rsid w:val="1ADD5B4A"/>
    <w:rsid w:val="1AE678F5"/>
    <w:rsid w:val="1B117444"/>
    <w:rsid w:val="1B242D7C"/>
    <w:rsid w:val="1B5148C2"/>
    <w:rsid w:val="1B5D0A58"/>
    <w:rsid w:val="1B8018C9"/>
    <w:rsid w:val="1B9A5644"/>
    <w:rsid w:val="1BAB764D"/>
    <w:rsid w:val="1BE374A9"/>
    <w:rsid w:val="1C1C3E85"/>
    <w:rsid w:val="1C4F3974"/>
    <w:rsid w:val="1C8C2322"/>
    <w:rsid w:val="1CA52C2F"/>
    <w:rsid w:val="1CAF7990"/>
    <w:rsid w:val="1CC33031"/>
    <w:rsid w:val="1CD157D9"/>
    <w:rsid w:val="1CDF1CFC"/>
    <w:rsid w:val="1D063AAC"/>
    <w:rsid w:val="1D3B78D9"/>
    <w:rsid w:val="1D7840F1"/>
    <w:rsid w:val="1D836679"/>
    <w:rsid w:val="1D8B71E1"/>
    <w:rsid w:val="1D9D3D4A"/>
    <w:rsid w:val="1DC96E12"/>
    <w:rsid w:val="1E0D50FB"/>
    <w:rsid w:val="1E352C70"/>
    <w:rsid w:val="1E4574C2"/>
    <w:rsid w:val="1E536B13"/>
    <w:rsid w:val="1E5545E4"/>
    <w:rsid w:val="1E557FB0"/>
    <w:rsid w:val="1E853844"/>
    <w:rsid w:val="1E9D58D6"/>
    <w:rsid w:val="1EA77971"/>
    <w:rsid w:val="1ED10DEF"/>
    <w:rsid w:val="1EE51DD3"/>
    <w:rsid w:val="1F066F88"/>
    <w:rsid w:val="1F254E7A"/>
    <w:rsid w:val="1F772657"/>
    <w:rsid w:val="1F7A03BB"/>
    <w:rsid w:val="1FA62D37"/>
    <w:rsid w:val="1FB168A4"/>
    <w:rsid w:val="1FCA7CDE"/>
    <w:rsid w:val="1FE3716A"/>
    <w:rsid w:val="1FED24E5"/>
    <w:rsid w:val="202D7E73"/>
    <w:rsid w:val="202F4E7D"/>
    <w:rsid w:val="2037677D"/>
    <w:rsid w:val="20410845"/>
    <w:rsid w:val="206007DE"/>
    <w:rsid w:val="20663D00"/>
    <w:rsid w:val="206B4F6D"/>
    <w:rsid w:val="207D383C"/>
    <w:rsid w:val="20851F20"/>
    <w:rsid w:val="20B42211"/>
    <w:rsid w:val="20BA0299"/>
    <w:rsid w:val="20C47A5B"/>
    <w:rsid w:val="20E6100E"/>
    <w:rsid w:val="20F52E31"/>
    <w:rsid w:val="20FA64C2"/>
    <w:rsid w:val="21130FE1"/>
    <w:rsid w:val="21283873"/>
    <w:rsid w:val="21430515"/>
    <w:rsid w:val="214E24EE"/>
    <w:rsid w:val="21805ABF"/>
    <w:rsid w:val="21A47267"/>
    <w:rsid w:val="21A718F2"/>
    <w:rsid w:val="21A85F9F"/>
    <w:rsid w:val="21B5407C"/>
    <w:rsid w:val="21BC252B"/>
    <w:rsid w:val="21CA7177"/>
    <w:rsid w:val="21DD6CCE"/>
    <w:rsid w:val="21F15373"/>
    <w:rsid w:val="21F81498"/>
    <w:rsid w:val="221710F1"/>
    <w:rsid w:val="224F3B68"/>
    <w:rsid w:val="22547778"/>
    <w:rsid w:val="22745C5B"/>
    <w:rsid w:val="227F1D33"/>
    <w:rsid w:val="22A56E76"/>
    <w:rsid w:val="22B25267"/>
    <w:rsid w:val="22C84DCC"/>
    <w:rsid w:val="22E86346"/>
    <w:rsid w:val="231A43B2"/>
    <w:rsid w:val="23280C8D"/>
    <w:rsid w:val="232910C4"/>
    <w:rsid w:val="23302798"/>
    <w:rsid w:val="23423B80"/>
    <w:rsid w:val="236915C9"/>
    <w:rsid w:val="236B2A0F"/>
    <w:rsid w:val="239E1028"/>
    <w:rsid w:val="23A139B1"/>
    <w:rsid w:val="23B41069"/>
    <w:rsid w:val="23CB460C"/>
    <w:rsid w:val="23DD33CC"/>
    <w:rsid w:val="23E16E04"/>
    <w:rsid w:val="23EB433F"/>
    <w:rsid w:val="240C32C9"/>
    <w:rsid w:val="24132D46"/>
    <w:rsid w:val="242817F7"/>
    <w:rsid w:val="243E6375"/>
    <w:rsid w:val="244F371F"/>
    <w:rsid w:val="2465351D"/>
    <w:rsid w:val="24681476"/>
    <w:rsid w:val="248E37F3"/>
    <w:rsid w:val="249220C6"/>
    <w:rsid w:val="24A9239B"/>
    <w:rsid w:val="24AA65D4"/>
    <w:rsid w:val="24C85D1D"/>
    <w:rsid w:val="24D526FD"/>
    <w:rsid w:val="24E76BE8"/>
    <w:rsid w:val="25035A1C"/>
    <w:rsid w:val="25070CC1"/>
    <w:rsid w:val="252452EF"/>
    <w:rsid w:val="252B0BB3"/>
    <w:rsid w:val="252E4512"/>
    <w:rsid w:val="252E7189"/>
    <w:rsid w:val="255C02B9"/>
    <w:rsid w:val="255F70EA"/>
    <w:rsid w:val="25645475"/>
    <w:rsid w:val="25722BAF"/>
    <w:rsid w:val="258E7B7F"/>
    <w:rsid w:val="259B0C90"/>
    <w:rsid w:val="25A55A28"/>
    <w:rsid w:val="262A3084"/>
    <w:rsid w:val="262C35F3"/>
    <w:rsid w:val="26574779"/>
    <w:rsid w:val="26720AE8"/>
    <w:rsid w:val="26722DF5"/>
    <w:rsid w:val="26850A44"/>
    <w:rsid w:val="2692015A"/>
    <w:rsid w:val="26A42276"/>
    <w:rsid w:val="26A95916"/>
    <w:rsid w:val="26AC2D46"/>
    <w:rsid w:val="26B048CF"/>
    <w:rsid w:val="26BC5F7E"/>
    <w:rsid w:val="26BC75B0"/>
    <w:rsid w:val="26D95C81"/>
    <w:rsid w:val="271375AF"/>
    <w:rsid w:val="27200E83"/>
    <w:rsid w:val="27226628"/>
    <w:rsid w:val="27240C26"/>
    <w:rsid w:val="27272B7E"/>
    <w:rsid w:val="272804A6"/>
    <w:rsid w:val="273F53E1"/>
    <w:rsid w:val="27685E57"/>
    <w:rsid w:val="277A6499"/>
    <w:rsid w:val="27AD4732"/>
    <w:rsid w:val="27EF5D71"/>
    <w:rsid w:val="27FC6AB7"/>
    <w:rsid w:val="281A3B7F"/>
    <w:rsid w:val="281D4CB6"/>
    <w:rsid w:val="28225114"/>
    <w:rsid w:val="28414907"/>
    <w:rsid w:val="285F4DA4"/>
    <w:rsid w:val="28641DDC"/>
    <w:rsid w:val="286D7311"/>
    <w:rsid w:val="288663F2"/>
    <w:rsid w:val="28907CBF"/>
    <w:rsid w:val="28983BDF"/>
    <w:rsid w:val="28994044"/>
    <w:rsid w:val="28BA778B"/>
    <w:rsid w:val="28CF7855"/>
    <w:rsid w:val="28E37577"/>
    <w:rsid w:val="292667B7"/>
    <w:rsid w:val="2927416E"/>
    <w:rsid w:val="292852C2"/>
    <w:rsid w:val="29403833"/>
    <w:rsid w:val="2961335E"/>
    <w:rsid w:val="296278BF"/>
    <w:rsid w:val="29687D4C"/>
    <w:rsid w:val="29840596"/>
    <w:rsid w:val="29844DD8"/>
    <w:rsid w:val="298C53B4"/>
    <w:rsid w:val="2A066D84"/>
    <w:rsid w:val="2A1F0EA2"/>
    <w:rsid w:val="2A8B74F7"/>
    <w:rsid w:val="2A9C4475"/>
    <w:rsid w:val="2AA03DAB"/>
    <w:rsid w:val="2AB526BC"/>
    <w:rsid w:val="2AE74455"/>
    <w:rsid w:val="2AEE3A39"/>
    <w:rsid w:val="2B333009"/>
    <w:rsid w:val="2B4D7F9A"/>
    <w:rsid w:val="2B81314E"/>
    <w:rsid w:val="2BB704E0"/>
    <w:rsid w:val="2BE84F13"/>
    <w:rsid w:val="2C0C1A2C"/>
    <w:rsid w:val="2C253078"/>
    <w:rsid w:val="2C494E79"/>
    <w:rsid w:val="2C4E2C7E"/>
    <w:rsid w:val="2C4F375B"/>
    <w:rsid w:val="2C682DF7"/>
    <w:rsid w:val="2C6C1C2D"/>
    <w:rsid w:val="2C6C1EF3"/>
    <w:rsid w:val="2CA808B5"/>
    <w:rsid w:val="2CB07168"/>
    <w:rsid w:val="2CB62549"/>
    <w:rsid w:val="2CC20DA5"/>
    <w:rsid w:val="2CD94390"/>
    <w:rsid w:val="2CDC63DA"/>
    <w:rsid w:val="2CDF0540"/>
    <w:rsid w:val="2CEA061D"/>
    <w:rsid w:val="2D1A6B8B"/>
    <w:rsid w:val="2D3C7A1B"/>
    <w:rsid w:val="2D400C03"/>
    <w:rsid w:val="2D527FBC"/>
    <w:rsid w:val="2D594220"/>
    <w:rsid w:val="2D9B2B4F"/>
    <w:rsid w:val="2DAA3BA2"/>
    <w:rsid w:val="2DC3526B"/>
    <w:rsid w:val="2DC64325"/>
    <w:rsid w:val="2DCF7CDF"/>
    <w:rsid w:val="2DF511F5"/>
    <w:rsid w:val="2E004BE0"/>
    <w:rsid w:val="2E084B99"/>
    <w:rsid w:val="2E762EEB"/>
    <w:rsid w:val="2E9236A2"/>
    <w:rsid w:val="2E9B4165"/>
    <w:rsid w:val="2EBC05C2"/>
    <w:rsid w:val="2EC27695"/>
    <w:rsid w:val="2EC94570"/>
    <w:rsid w:val="2EF82D13"/>
    <w:rsid w:val="2F06540D"/>
    <w:rsid w:val="2F362D1D"/>
    <w:rsid w:val="2F3E1D3D"/>
    <w:rsid w:val="2F520D6A"/>
    <w:rsid w:val="2F631E0B"/>
    <w:rsid w:val="2F983C4C"/>
    <w:rsid w:val="2FD35FF4"/>
    <w:rsid w:val="301E0417"/>
    <w:rsid w:val="30401D11"/>
    <w:rsid w:val="30405287"/>
    <w:rsid w:val="306E5BF5"/>
    <w:rsid w:val="30811BCF"/>
    <w:rsid w:val="30852C88"/>
    <w:rsid w:val="309E3F2C"/>
    <w:rsid w:val="30A41A34"/>
    <w:rsid w:val="30B8536E"/>
    <w:rsid w:val="30DB6CFA"/>
    <w:rsid w:val="30E33E00"/>
    <w:rsid w:val="312225A7"/>
    <w:rsid w:val="313A1FDF"/>
    <w:rsid w:val="314E5250"/>
    <w:rsid w:val="316B4950"/>
    <w:rsid w:val="319542A1"/>
    <w:rsid w:val="31AA7C21"/>
    <w:rsid w:val="31B643EF"/>
    <w:rsid w:val="31D811CD"/>
    <w:rsid w:val="31D90966"/>
    <w:rsid w:val="31DF43C1"/>
    <w:rsid w:val="31E70161"/>
    <w:rsid w:val="31F66D75"/>
    <w:rsid w:val="32042F99"/>
    <w:rsid w:val="324C33B5"/>
    <w:rsid w:val="324C7ED8"/>
    <w:rsid w:val="32535CCD"/>
    <w:rsid w:val="32A51B90"/>
    <w:rsid w:val="32E77D37"/>
    <w:rsid w:val="33137B9F"/>
    <w:rsid w:val="33353386"/>
    <w:rsid w:val="33415A8D"/>
    <w:rsid w:val="337B73ED"/>
    <w:rsid w:val="33803480"/>
    <w:rsid w:val="3385457C"/>
    <w:rsid w:val="339A55B4"/>
    <w:rsid w:val="339E2468"/>
    <w:rsid w:val="33A91D17"/>
    <w:rsid w:val="33B44E41"/>
    <w:rsid w:val="33C24270"/>
    <w:rsid w:val="33CC4CB4"/>
    <w:rsid w:val="34041022"/>
    <w:rsid w:val="342866FA"/>
    <w:rsid w:val="342A5B0A"/>
    <w:rsid w:val="34395956"/>
    <w:rsid w:val="346059E8"/>
    <w:rsid w:val="34756687"/>
    <w:rsid w:val="34A309E1"/>
    <w:rsid w:val="34A66303"/>
    <w:rsid w:val="34AC3731"/>
    <w:rsid w:val="34EF0B9B"/>
    <w:rsid w:val="35026137"/>
    <w:rsid w:val="350668B2"/>
    <w:rsid w:val="351211E7"/>
    <w:rsid w:val="35335936"/>
    <w:rsid w:val="355557F2"/>
    <w:rsid w:val="3562627B"/>
    <w:rsid w:val="357709D0"/>
    <w:rsid w:val="35C70E9A"/>
    <w:rsid w:val="35D02EC3"/>
    <w:rsid w:val="360C4565"/>
    <w:rsid w:val="36124F93"/>
    <w:rsid w:val="36514DFC"/>
    <w:rsid w:val="365A592A"/>
    <w:rsid w:val="3671559A"/>
    <w:rsid w:val="36815F72"/>
    <w:rsid w:val="36A73099"/>
    <w:rsid w:val="36E253DC"/>
    <w:rsid w:val="37257AC4"/>
    <w:rsid w:val="375F69DD"/>
    <w:rsid w:val="378C2052"/>
    <w:rsid w:val="37A07100"/>
    <w:rsid w:val="37A406E4"/>
    <w:rsid w:val="37D6300B"/>
    <w:rsid w:val="38010FF7"/>
    <w:rsid w:val="38217B55"/>
    <w:rsid w:val="385345AE"/>
    <w:rsid w:val="3869690E"/>
    <w:rsid w:val="38750FF3"/>
    <w:rsid w:val="38756D44"/>
    <w:rsid w:val="38845C7E"/>
    <w:rsid w:val="38B60A2B"/>
    <w:rsid w:val="38BD74B9"/>
    <w:rsid w:val="38C00502"/>
    <w:rsid w:val="38EE156D"/>
    <w:rsid w:val="38F37C80"/>
    <w:rsid w:val="39015C75"/>
    <w:rsid w:val="390B0343"/>
    <w:rsid w:val="391D14E6"/>
    <w:rsid w:val="39340E5C"/>
    <w:rsid w:val="393B5AA8"/>
    <w:rsid w:val="39725FC8"/>
    <w:rsid w:val="39A0438C"/>
    <w:rsid w:val="39C63022"/>
    <w:rsid w:val="39FE7EC6"/>
    <w:rsid w:val="3A444D54"/>
    <w:rsid w:val="3A5B049C"/>
    <w:rsid w:val="3A8B5D1B"/>
    <w:rsid w:val="3A9C3A0C"/>
    <w:rsid w:val="3AB25A48"/>
    <w:rsid w:val="3AEC2F68"/>
    <w:rsid w:val="3AEF3C1F"/>
    <w:rsid w:val="3B2D369C"/>
    <w:rsid w:val="3B4018AB"/>
    <w:rsid w:val="3B577533"/>
    <w:rsid w:val="3B745C0D"/>
    <w:rsid w:val="3B94140D"/>
    <w:rsid w:val="3BBE43C5"/>
    <w:rsid w:val="3BE01215"/>
    <w:rsid w:val="3C015CC0"/>
    <w:rsid w:val="3C016AC1"/>
    <w:rsid w:val="3C02534D"/>
    <w:rsid w:val="3C3F4224"/>
    <w:rsid w:val="3C62595E"/>
    <w:rsid w:val="3C720169"/>
    <w:rsid w:val="3CBE566C"/>
    <w:rsid w:val="3D0C725A"/>
    <w:rsid w:val="3D1524A4"/>
    <w:rsid w:val="3D7822ED"/>
    <w:rsid w:val="3D7B3BE0"/>
    <w:rsid w:val="3DA24227"/>
    <w:rsid w:val="3DA93405"/>
    <w:rsid w:val="3DC6046B"/>
    <w:rsid w:val="3DD55229"/>
    <w:rsid w:val="3DDA621C"/>
    <w:rsid w:val="3E142590"/>
    <w:rsid w:val="3E2E7EBE"/>
    <w:rsid w:val="3E521D31"/>
    <w:rsid w:val="3E635FF5"/>
    <w:rsid w:val="3E6727A9"/>
    <w:rsid w:val="3E7976CC"/>
    <w:rsid w:val="3E8C6133"/>
    <w:rsid w:val="3E8D2978"/>
    <w:rsid w:val="3ED668C3"/>
    <w:rsid w:val="3F281DC2"/>
    <w:rsid w:val="3F297732"/>
    <w:rsid w:val="3F4732B9"/>
    <w:rsid w:val="3F4944A8"/>
    <w:rsid w:val="3F503F29"/>
    <w:rsid w:val="3F5807E0"/>
    <w:rsid w:val="3FB50150"/>
    <w:rsid w:val="3FCC7B66"/>
    <w:rsid w:val="3FFA4413"/>
    <w:rsid w:val="401972B4"/>
    <w:rsid w:val="40487D82"/>
    <w:rsid w:val="405B5800"/>
    <w:rsid w:val="40A01669"/>
    <w:rsid w:val="41072E0E"/>
    <w:rsid w:val="41252929"/>
    <w:rsid w:val="412C2A17"/>
    <w:rsid w:val="413B3F1A"/>
    <w:rsid w:val="41480453"/>
    <w:rsid w:val="416B49EF"/>
    <w:rsid w:val="417402BA"/>
    <w:rsid w:val="41A40996"/>
    <w:rsid w:val="41CB616E"/>
    <w:rsid w:val="41DD2167"/>
    <w:rsid w:val="41FC0FA7"/>
    <w:rsid w:val="421D11FF"/>
    <w:rsid w:val="423F1CC9"/>
    <w:rsid w:val="424B600F"/>
    <w:rsid w:val="42515F96"/>
    <w:rsid w:val="42637D55"/>
    <w:rsid w:val="42B94DA9"/>
    <w:rsid w:val="42BF2FF3"/>
    <w:rsid w:val="42C10E48"/>
    <w:rsid w:val="42CA44EA"/>
    <w:rsid w:val="42D3676F"/>
    <w:rsid w:val="42EF792C"/>
    <w:rsid w:val="431123CE"/>
    <w:rsid w:val="431B7932"/>
    <w:rsid w:val="431E55F4"/>
    <w:rsid w:val="432D2509"/>
    <w:rsid w:val="4338080B"/>
    <w:rsid w:val="4365744A"/>
    <w:rsid w:val="436D3273"/>
    <w:rsid w:val="4370627C"/>
    <w:rsid w:val="437D03C2"/>
    <w:rsid w:val="439E46C5"/>
    <w:rsid w:val="43E072E0"/>
    <w:rsid w:val="43E074ED"/>
    <w:rsid w:val="43E52ADD"/>
    <w:rsid w:val="43F15A9D"/>
    <w:rsid w:val="43F354D7"/>
    <w:rsid w:val="440139FF"/>
    <w:rsid w:val="440A1946"/>
    <w:rsid w:val="44162084"/>
    <w:rsid w:val="44752DC1"/>
    <w:rsid w:val="44832F7B"/>
    <w:rsid w:val="44947BD4"/>
    <w:rsid w:val="44AA3750"/>
    <w:rsid w:val="44B52CB1"/>
    <w:rsid w:val="44C47D79"/>
    <w:rsid w:val="44C804E0"/>
    <w:rsid w:val="4507271E"/>
    <w:rsid w:val="45226E5D"/>
    <w:rsid w:val="45433394"/>
    <w:rsid w:val="454D75C2"/>
    <w:rsid w:val="45532A6D"/>
    <w:rsid w:val="455A64B5"/>
    <w:rsid w:val="455C5643"/>
    <w:rsid w:val="45795799"/>
    <w:rsid w:val="45965327"/>
    <w:rsid w:val="45A67D8E"/>
    <w:rsid w:val="45BA248B"/>
    <w:rsid w:val="460B7E0C"/>
    <w:rsid w:val="461812ED"/>
    <w:rsid w:val="46223A8A"/>
    <w:rsid w:val="462431C5"/>
    <w:rsid w:val="46314DBD"/>
    <w:rsid w:val="4643282A"/>
    <w:rsid w:val="4682603A"/>
    <w:rsid w:val="46C633A0"/>
    <w:rsid w:val="46D908D3"/>
    <w:rsid w:val="47101887"/>
    <w:rsid w:val="472813A6"/>
    <w:rsid w:val="47752F9E"/>
    <w:rsid w:val="477A01FD"/>
    <w:rsid w:val="47801AB2"/>
    <w:rsid w:val="4795235B"/>
    <w:rsid w:val="47E567CE"/>
    <w:rsid w:val="48090F94"/>
    <w:rsid w:val="486A14E7"/>
    <w:rsid w:val="486D6717"/>
    <w:rsid w:val="48894303"/>
    <w:rsid w:val="49072A64"/>
    <w:rsid w:val="491E3D88"/>
    <w:rsid w:val="49251B52"/>
    <w:rsid w:val="493731EA"/>
    <w:rsid w:val="496B237A"/>
    <w:rsid w:val="49804F26"/>
    <w:rsid w:val="49990406"/>
    <w:rsid w:val="49AF4B75"/>
    <w:rsid w:val="49D47304"/>
    <w:rsid w:val="4A343D33"/>
    <w:rsid w:val="4A4679EC"/>
    <w:rsid w:val="4A522936"/>
    <w:rsid w:val="4A7D62A7"/>
    <w:rsid w:val="4A8166C5"/>
    <w:rsid w:val="4A8803F3"/>
    <w:rsid w:val="4A9F523E"/>
    <w:rsid w:val="4A9F776C"/>
    <w:rsid w:val="4ABC335D"/>
    <w:rsid w:val="4AC95516"/>
    <w:rsid w:val="4ADC34C0"/>
    <w:rsid w:val="4B0706EF"/>
    <w:rsid w:val="4B151CDA"/>
    <w:rsid w:val="4B2E5F87"/>
    <w:rsid w:val="4B3423D0"/>
    <w:rsid w:val="4B7C57A9"/>
    <w:rsid w:val="4B9535D0"/>
    <w:rsid w:val="4BA3693A"/>
    <w:rsid w:val="4BF65473"/>
    <w:rsid w:val="4C1C5ED1"/>
    <w:rsid w:val="4C296DFE"/>
    <w:rsid w:val="4C4308E7"/>
    <w:rsid w:val="4C5F554A"/>
    <w:rsid w:val="4C674BE3"/>
    <w:rsid w:val="4C796238"/>
    <w:rsid w:val="4C8D7864"/>
    <w:rsid w:val="4CA2136F"/>
    <w:rsid w:val="4CC330C3"/>
    <w:rsid w:val="4CD07A2A"/>
    <w:rsid w:val="4CF25575"/>
    <w:rsid w:val="4CFE48B1"/>
    <w:rsid w:val="4D042A23"/>
    <w:rsid w:val="4D6543A8"/>
    <w:rsid w:val="4D8D7BF0"/>
    <w:rsid w:val="4DBB674D"/>
    <w:rsid w:val="4DEE42BB"/>
    <w:rsid w:val="4E4C2F10"/>
    <w:rsid w:val="4E50554E"/>
    <w:rsid w:val="4E9E4D53"/>
    <w:rsid w:val="4EA253CD"/>
    <w:rsid w:val="4EA62219"/>
    <w:rsid w:val="4EB9101B"/>
    <w:rsid w:val="4EDF533B"/>
    <w:rsid w:val="4EE80E4C"/>
    <w:rsid w:val="4F046328"/>
    <w:rsid w:val="4F0A38E9"/>
    <w:rsid w:val="4F0C1D27"/>
    <w:rsid w:val="4F0C6D7F"/>
    <w:rsid w:val="4F1763A9"/>
    <w:rsid w:val="4F3139CE"/>
    <w:rsid w:val="4F3F4AE5"/>
    <w:rsid w:val="4F9A2F39"/>
    <w:rsid w:val="4FA52BCF"/>
    <w:rsid w:val="4FC934AE"/>
    <w:rsid w:val="4FE60EDF"/>
    <w:rsid w:val="4FF5614D"/>
    <w:rsid w:val="50456945"/>
    <w:rsid w:val="50527BFF"/>
    <w:rsid w:val="507C0F0A"/>
    <w:rsid w:val="50987303"/>
    <w:rsid w:val="509A5FF6"/>
    <w:rsid w:val="50B21FB5"/>
    <w:rsid w:val="50E556A9"/>
    <w:rsid w:val="50EA598E"/>
    <w:rsid w:val="513D7C0C"/>
    <w:rsid w:val="514A4278"/>
    <w:rsid w:val="51550A01"/>
    <w:rsid w:val="51580D72"/>
    <w:rsid w:val="516B7014"/>
    <w:rsid w:val="516F5BB5"/>
    <w:rsid w:val="517A72F6"/>
    <w:rsid w:val="518638E5"/>
    <w:rsid w:val="51876787"/>
    <w:rsid w:val="51D514A1"/>
    <w:rsid w:val="51E86261"/>
    <w:rsid w:val="51F60FA4"/>
    <w:rsid w:val="523429DF"/>
    <w:rsid w:val="5263650C"/>
    <w:rsid w:val="526762D2"/>
    <w:rsid w:val="52A10892"/>
    <w:rsid w:val="52B453D9"/>
    <w:rsid w:val="52B925C9"/>
    <w:rsid w:val="52DA0145"/>
    <w:rsid w:val="52EF5B8A"/>
    <w:rsid w:val="53157BAA"/>
    <w:rsid w:val="532100DD"/>
    <w:rsid w:val="532631EC"/>
    <w:rsid w:val="535B075B"/>
    <w:rsid w:val="53C82084"/>
    <w:rsid w:val="53E07ED3"/>
    <w:rsid w:val="53F56162"/>
    <w:rsid w:val="543437C0"/>
    <w:rsid w:val="54407DB7"/>
    <w:rsid w:val="54476E39"/>
    <w:rsid w:val="545170B4"/>
    <w:rsid w:val="5452354B"/>
    <w:rsid w:val="54572022"/>
    <w:rsid w:val="54581443"/>
    <w:rsid w:val="5478018A"/>
    <w:rsid w:val="54993A1A"/>
    <w:rsid w:val="54AA6DEE"/>
    <w:rsid w:val="54D142AB"/>
    <w:rsid w:val="54EB48D8"/>
    <w:rsid w:val="54EC2335"/>
    <w:rsid w:val="550012B8"/>
    <w:rsid w:val="552C3E22"/>
    <w:rsid w:val="553E1633"/>
    <w:rsid w:val="554910C3"/>
    <w:rsid w:val="5565794F"/>
    <w:rsid w:val="55866B82"/>
    <w:rsid w:val="55AC70FA"/>
    <w:rsid w:val="55B66503"/>
    <w:rsid w:val="55CC7FEC"/>
    <w:rsid w:val="55F95A0A"/>
    <w:rsid w:val="562A4F52"/>
    <w:rsid w:val="562D14FF"/>
    <w:rsid w:val="56312E45"/>
    <w:rsid w:val="5660269B"/>
    <w:rsid w:val="567815A1"/>
    <w:rsid w:val="56864EC0"/>
    <w:rsid w:val="56C1389A"/>
    <w:rsid w:val="56C70E4C"/>
    <w:rsid w:val="56DA0379"/>
    <w:rsid w:val="56E629BF"/>
    <w:rsid w:val="571A3316"/>
    <w:rsid w:val="57700F1E"/>
    <w:rsid w:val="57743876"/>
    <w:rsid w:val="577949F3"/>
    <w:rsid w:val="5788259C"/>
    <w:rsid w:val="57BA6A69"/>
    <w:rsid w:val="57C96BB6"/>
    <w:rsid w:val="57D60F67"/>
    <w:rsid w:val="58873070"/>
    <w:rsid w:val="58BD13B3"/>
    <w:rsid w:val="590239D6"/>
    <w:rsid w:val="59074258"/>
    <w:rsid w:val="599260CF"/>
    <w:rsid w:val="59A374A2"/>
    <w:rsid w:val="59A6390C"/>
    <w:rsid w:val="59A85A0F"/>
    <w:rsid w:val="59BF4E8F"/>
    <w:rsid w:val="59F54A78"/>
    <w:rsid w:val="59FF3DD5"/>
    <w:rsid w:val="5A061F05"/>
    <w:rsid w:val="5A2D5907"/>
    <w:rsid w:val="5A5C695A"/>
    <w:rsid w:val="5A9E14BA"/>
    <w:rsid w:val="5AAF18B6"/>
    <w:rsid w:val="5AE01549"/>
    <w:rsid w:val="5AF25320"/>
    <w:rsid w:val="5B061FA0"/>
    <w:rsid w:val="5B0C3813"/>
    <w:rsid w:val="5B5D0668"/>
    <w:rsid w:val="5B954541"/>
    <w:rsid w:val="5B9736F3"/>
    <w:rsid w:val="5BA849E6"/>
    <w:rsid w:val="5BC74AAB"/>
    <w:rsid w:val="5BDA6D7F"/>
    <w:rsid w:val="5BE119C8"/>
    <w:rsid w:val="5BE6074A"/>
    <w:rsid w:val="5C0709CB"/>
    <w:rsid w:val="5C2B4972"/>
    <w:rsid w:val="5C312F2C"/>
    <w:rsid w:val="5C625955"/>
    <w:rsid w:val="5CA54AB0"/>
    <w:rsid w:val="5CF239A6"/>
    <w:rsid w:val="5D002351"/>
    <w:rsid w:val="5D002A38"/>
    <w:rsid w:val="5D177993"/>
    <w:rsid w:val="5D207458"/>
    <w:rsid w:val="5D3B7CB5"/>
    <w:rsid w:val="5D560EE3"/>
    <w:rsid w:val="5D584373"/>
    <w:rsid w:val="5D5E1D1D"/>
    <w:rsid w:val="5D5F2482"/>
    <w:rsid w:val="5D754025"/>
    <w:rsid w:val="5D7862C3"/>
    <w:rsid w:val="5D9B3801"/>
    <w:rsid w:val="5DB01940"/>
    <w:rsid w:val="5DE272CE"/>
    <w:rsid w:val="5DE646D3"/>
    <w:rsid w:val="5E0B1330"/>
    <w:rsid w:val="5E1A1A2D"/>
    <w:rsid w:val="5E1A2D19"/>
    <w:rsid w:val="5E7B078E"/>
    <w:rsid w:val="5E822A4A"/>
    <w:rsid w:val="5EFD63A0"/>
    <w:rsid w:val="5F114066"/>
    <w:rsid w:val="5F4C62C2"/>
    <w:rsid w:val="5F557AFE"/>
    <w:rsid w:val="5F6363B3"/>
    <w:rsid w:val="5F6A2CAD"/>
    <w:rsid w:val="5F7D52C6"/>
    <w:rsid w:val="5F8E65CB"/>
    <w:rsid w:val="5F93366B"/>
    <w:rsid w:val="5FB96A29"/>
    <w:rsid w:val="60106B1E"/>
    <w:rsid w:val="60247767"/>
    <w:rsid w:val="606F1089"/>
    <w:rsid w:val="60734876"/>
    <w:rsid w:val="60A22725"/>
    <w:rsid w:val="60D07166"/>
    <w:rsid w:val="60F04887"/>
    <w:rsid w:val="60FD7201"/>
    <w:rsid w:val="61054C82"/>
    <w:rsid w:val="610C7077"/>
    <w:rsid w:val="61343B02"/>
    <w:rsid w:val="613D6DF3"/>
    <w:rsid w:val="616A3F2E"/>
    <w:rsid w:val="616D1CC8"/>
    <w:rsid w:val="618427EF"/>
    <w:rsid w:val="61937E4F"/>
    <w:rsid w:val="61B94090"/>
    <w:rsid w:val="62225E76"/>
    <w:rsid w:val="62254142"/>
    <w:rsid w:val="62436AF8"/>
    <w:rsid w:val="626744CC"/>
    <w:rsid w:val="6273108A"/>
    <w:rsid w:val="6286335F"/>
    <w:rsid w:val="62BD06F1"/>
    <w:rsid w:val="62F345C8"/>
    <w:rsid w:val="6319602F"/>
    <w:rsid w:val="631D4DCC"/>
    <w:rsid w:val="63263B2D"/>
    <w:rsid w:val="63737E4E"/>
    <w:rsid w:val="63B1112C"/>
    <w:rsid w:val="63D802E2"/>
    <w:rsid w:val="63DC2FBF"/>
    <w:rsid w:val="63E72F74"/>
    <w:rsid w:val="64081316"/>
    <w:rsid w:val="642D1726"/>
    <w:rsid w:val="64820E7F"/>
    <w:rsid w:val="64A06B4F"/>
    <w:rsid w:val="64A1252C"/>
    <w:rsid w:val="64E9238A"/>
    <w:rsid w:val="64EF0725"/>
    <w:rsid w:val="6567363D"/>
    <w:rsid w:val="65A74A29"/>
    <w:rsid w:val="65E567ED"/>
    <w:rsid w:val="6655160C"/>
    <w:rsid w:val="668039D7"/>
    <w:rsid w:val="66930774"/>
    <w:rsid w:val="66986334"/>
    <w:rsid w:val="669F75AA"/>
    <w:rsid w:val="66AB7437"/>
    <w:rsid w:val="66B44E00"/>
    <w:rsid w:val="66B81ECD"/>
    <w:rsid w:val="66C80FC5"/>
    <w:rsid w:val="66D974CE"/>
    <w:rsid w:val="66F9067A"/>
    <w:rsid w:val="67573614"/>
    <w:rsid w:val="67693FFD"/>
    <w:rsid w:val="677C6D6C"/>
    <w:rsid w:val="678C3314"/>
    <w:rsid w:val="67B20FA6"/>
    <w:rsid w:val="67F379B8"/>
    <w:rsid w:val="67F97C4C"/>
    <w:rsid w:val="67FD04D0"/>
    <w:rsid w:val="6821718F"/>
    <w:rsid w:val="68595677"/>
    <w:rsid w:val="68891211"/>
    <w:rsid w:val="688E2440"/>
    <w:rsid w:val="68B17662"/>
    <w:rsid w:val="68C609BD"/>
    <w:rsid w:val="69346EC6"/>
    <w:rsid w:val="69556DF3"/>
    <w:rsid w:val="69584481"/>
    <w:rsid w:val="69AA76EB"/>
    <w:rsid w:val="69D1167E"/>
    <w:rsid w:val="6A18437A"/>
    <w:rsid w:val="6A2161D7"/>
    <w:rsid w:val="6A2E1384"/>
    <w:rsid w:val="6A364250"/>
    <w:rsid w:val="6A670669"/>
    <w:rsid w:val="6A8F05CE"/>
    <w:rsid w:val="6AEF48D3"/>
    <w:rsid w:val="6AF30FB6"/>
    <w:rsid w:val="6B196B05"/>
    <w:rsid w:val="6B336FB1"/>
    <w:rsid w:val="6B3D1E72"/>
    <w:rsid w:val="6B931956"/>
    <w:rsid w:val="6BD6293B"/>
    <w:rsid w:val="6BD834E5"/>
    <w:rsid w:val="6C17681A"/>
    <w:rsid w:val="6C7D7C51"/>
    <w:rsid w:val="6C96341D"/>
    <w:rsid w:val="6CAB48F3"/>
    <w:rsid w:val="6CB00BC9"/>
    <w:rsid w:val="6CCB7317"/>
    <w:rsid w:val="6CD51390"/>
    <w:rsid w:val="6D054E50"/>
    <w:rsid w:val="6D1D796E"/>
    <w:rsid w:val="6D306281"/>
    <w:rsid w:val="6D4570DF"/>
    <w:rsid w:val="6DA8216A"/>
    <w:rsid w:val="6E0063F0"/>
    <w:rsid w:val="6E014F3D"/>
    <w:rsid w:val="6E0A3EFC"/>
    <w:rsid w:val="6E677B1D"/>
    <w:rsid w:val="6E694D2F"/>
    <w:rsid w:val="6E8D18D4"/>
    <w:rsid w:val="6E996F51"/>
    <w:rsid w:val="6E9C5B3F"/>
    <w:rsid w:val="6EDE238A"/>
    <w:rsid w:val="6EE04D54"/>
    <w:rsid w:val="6EEE0563"/>
    <w:rsid w:val="6EFC154D"/>
    <w:rsid w:val="6EFC2AE2"/>
    <w:rsid w:val="6F1E04BD"/>
    <w:rsid w:val="6F1E3EFE"/>
    <w:rsid w:val="6F682C53"/>
    <w:rsid w:val="6F8B4B86"/>
    <w:rsid w:val="6F9279EB"/>
    <w:rsid w:val="6FBE188C"/>
    <w:rsid w:val="6FBE5187"/>
    <w:rsid w:val="6FCE4375"/>
    <w:rsid w:val="6FD3032B"/>
    <w:rsid w:val="6FDB55D0"/>
    <w:rsid w:val="6FE4396C"/>
    <w:rsid w:val="6FE93249"/>
    <w:rsid w:val="7001090D"/>
    <w:rsid w:val="700910BA"/>
    <w:rsid w:val="702D6286"/>
    <w:rsid w:val="706247DB"/>
    <w:rsid w:val="706B3EB8"/>
    <w:rsid w:val="707149A2"/>
    <w:rsid w:val="70812FE7"/>
    <w:rsid w:val="709779C9"/>
    <w:rsid w:val="70982A51"/>
    <w:rsid w:val="70AA4E4C"/>
    <w:rsid w:val="70D50A94"/>
    <w:rsid w:val="70E05BBA"/>
    <w:rsid w:val="71041996"/>
    <w:rsid w:val="71383E8B"/>
    <w:rsid w:val="713E4E22"/>
    <w:rsid w:val="71455E8F"/>
    <w:rsid w:val="718E573F"/>
    <w:rsid w:val="719B43F2"/>
    <w:rsid w:val="719C77E1"/>
    <w:rsid w:val="719D4AD1"/>
    <w:rsid w:val="71F50C85"/>
    <w:rsid w:val="71FF738C"/>
    <w:rsid w:val="7240030F"/>
    <w:rsid w:val="72417AB9"/>
    <w:rsid w:val="72613DF1"/>
    <w:rsid w:val="72620A4E"/>
    <w:rsid w:val="727F621B"/>
    <w:rsid w:val="72953A77"/>
    <w:rsid w:val="72C60B5E"/>
    <w:rsid w:val="72CD7E53"/>
    <w:rsid w:val="72D51A93"/>
    <w:rsid w:val="72DB4CD1"/>
    <w:rsid w:val="72DC52F8"/>
    <w:rsid w:val="72F51C1D"/>
    <w:rsid w:val="72F52C82"/>
    <w:rsid w:val="73031B08"/>
    <w:rsid w:val="73162AB8"/>
    <w:rsid w:val="731F509A"/>
    <w:rsid w:val="73283BDD"/>
    <w:rsid w:val="73345818"/>
    <w:rsid w:val="73443457"/>
    <w:rsid w:val="73782115"/>
    <w:rsid w:val="73A23474"/>
    <w:rsid w:val="73B57597"/>
    <w:rsid w:val="73D96FF7"/>
    <w:rsid w:val="741F2B6E"/>
    <w:rsid w:val="74261FB2"/>
    <w:rsid w:val="743B0372"/>
    <w:rsid w:val="74556998"/>
    <w:rsid w:val="74590649"/>
    <w:rsid w:val="745B2C64"/>
    <w:rsid w:val="74815C6A"/>
    <w:rsid w:val="74880B4B"/>
    <w:rsid w:val="748B4EB6"/>
    <w:rsid w:val="74934DDC"/>
    <w:rsid w:val="74B54B02"/>
    <w:rsid w:val="74B577C1"/>
    <w:rsid w:val="74DB41A1"/>
    <w:rsid w:val="75157A83"/>
    <w:rsid w:val="751C658E"/>
    <w:rsid w:val="75254F5B"/>
    <w:rsid w:val="752862B7"/>
    <w:rsid w:val="753A2F94"/>
    <w:rsid w:val="753D49D9"/>
    <w:rsid w:val="75492238"/>
    <w:rsid w:val="75497CA3"/>
    <w:rsid w:val="75984460"/>
    <w:rsid w:val="75A04D5B"/>
    <w:rsid w:val="75A72CCB"/>
    <w:rsid w:val="75CC7158"/>
    <w:rsid w:val="75DD0B81"/>
    <w:rsid w:val="761634C4"/>
    <w:rsid w:val="761D362F"/>
    <w:rsid w:val="76406639"/>
    <w:rsid w:val="76437287"/>
    <w:rsid w:val="76797FDB"/>
    <w:rsid w:val="76875D36"/>
    <w:rsid w:val="76B34156"/>
    <w:rsid w:val="76E72756"/>
    <w:rsid w:val="77104A47"/>
    <w:rsid w:val="77950C6E"/>
    <w:rsid w:val="77A34B0F"/>
    <w:rsid w:val="77AA1EDD"/>
    <w:rsid w:val="77C1059D"/>
    <w:rsid w:val="77F34632"/>
    <w:rsid w:val="77F67257"/>
    <w:rsid w:val="77FC131B"/>
    <w:rsid w:val="780358A9"/>
    <w:rsid w:val="78143870"/>
    <w:rsid w:val="783D58E3"/>
    <w:rsid w:val="784C226E"/>
    <w:rsid w:val="78931961"/>
    <w:rsid w:val="78A546FD"/>
    <w:rsid w:val="78A830C7"/>
    <w:rsid w:val="78AB4BB7"/>
    <w:rsid w:val="78C30D81"/>
    <w:rsid w:val="78D0048E"/>
    <w:rsid w:val="78E05550"/>
    <w:rsid w:val="78E125CE"/>
    <w:rsid w:val="78E536C4"/>
    <w:rsid w:val="78F348F2"/>
    <w:rsid w:val="79201FA7"/>
    <w:rsid w:val="792B2D45"/>
    <w:rsid w:val="793B4D24"/>
    <w:rsid w:val="794B7537"/>
    <w:rsid w:val="79970C64"/>
    <w:rsid w:val="79A947AE"/>
    <w:rsid w:val="79AC3305"/>
    <w:rsid w:val="79B43785"/>
    <w:rsid w:val="79CE6DF0"/>
    <w:rsid w:val="7A0A57D4"/>
    <w:rsid w:val="7A170370"/>
    <w:rsid w:val="7A1C17B7"/>
    <w:rsid w:val="7A204F4D"/>
    <w:rsid w:val="7A2C501E"/>
    <w:rsid w:val="7A301ED1"/>
    <w:rsid w:val="7A5B6EF4"/>
    <w:rsid w:val="7A9573C9"/>
    <w:rsid w:val="7AB00950"/>
    <w:rsid w:val="7AB93AD6"/>
    <w:rsid w:val="7ABF22A2"/>
    <w:rsid w:val="7AE371F5"/>
    <w:rsid w:val="7AE8618D"/>
    <w:rsid w:val="7B070036"/>
    <w:rsid w:val="7B0A4D75"/>
    <w:rsid w:val="7B460C77"/>
    <w:rsid w:val="7B4B04E9"/>
    <w:rsid w:val="7B5468E1"/>
    <w:rsid w:val="7B576B17"/>
    <w:rsid w:val="7B676B0E"/>
    <w:rsid w:val="7B866719"/>
    <w:rsid w:val="7B9B51CE"/>
    <w:rsid w:val="7BBC7F06"/>
    <w:rsid w:val="7BC97788"/>
    <w:rsid w:val="7BE06E4C"/>
    <w:rsid w:val="7BE76AAF"/>
    <w:rsid w:val="7C22419B"/>
    <w:rsid w:val="7C292921"/>
    <w:rsid w:val="7C3359C2"/>
    <w:rsid w:val="7C414133"/>
    <w:rsid w:val="7C4F5DA0"/>
    <w:rsid w:val="7C6D071B"/>
    <w:rsid w:val="7C754ED8"/>
    <w:rsid w:val="7CAE6553"/>
    <w:rsid w:val="7CB14210"/>
    <w:rsid w:val="7CE706DB"/>
    <w:rsid w:val="7D29174B"/>
    <w:rsid w:val="7D32766A"/>
    <w:rsid w:val="7D332ACA"/>
    <w:rsid w:val="7D684372"/>
    <w:rsid w:val="7DB16FCC"/>
    <w:rsid w:val="7DB45D21"/>
    <w:rsid w:val="7DBB1D68"/>
    <w:rsid w:val="7DC55C93"/>
    <w:rsid w:val="7DD601AF"/>
    <w:rsid w:val="7DDF2D9D"/>
    <w:rsid w:val="7E1B7F2D"/>
    <w:rsid w:val="7E42189C"/>
    <w:rsid w:val="7E440313"/>
    <w:rsid w:val="7E465B98"/>
    <w:rsid w:val="7E4A3DEF"/>
    <w:rsid w:val="7E5B6364"/>
    <w:rsid w:val="7E6F4FD0"/>
    <w:rsid w:val="7EC60394"/>
    <w:rsid w:val="7EFD6E57"/>
    <w:rsid w:val="7F112ED5"/>
    <w:rsid w:val="7F7165C8"/>
    <w:rsid w:val="7F816F43"/>
    <w:rsid w:val="7F850E80"/>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8">
    <w:name w:val="Normal Indent"/>
    <w:basedOn w:val="1"/>
    <w:next w:val="9"/>
    <w:qFormat/>
    <w:uiPriority w:val="0"/>
    <w:pPr>
      <w:ind w:firstLine="420"/>
    </w:pPr>
  </w:style>
  <w:style w:type="paragraph" w:styleId="9">
    <w:name w:val="Plain Text"/>
    <w:basedOn w:val="1"/>
    <w:link w:val="31"/>
    <w:qFormat/>
    <w:uiPriority w:val="0"/>
    <w:pPr>
      <w:spacing w:line="324" w:lineRule="auto"/>
    </w:pPr>
    <w:rPr>
      <w:rFonts w:ascii="宋体" w:hAnsi="Courier New" w:cs="Courier New"/>
      <w:szCs w:val="21"/>
    </w:rPr>
  </w:style>
  <w:style w:type="paragraph" w:styleId="10">
    <w:name w:val="annotation text"/>
    <w:basedOn w:val="1"/>
    <w:link w:val="43"/>
    <w:qFormat/>
    <w:uiPriority w:val="0"/>
    <w:pPr>
      <w:jc w:val="left"/>
    </w:pPr>
  </w:style>
  <w:style w:type="paragraph" w:styleId="11">
    <w:name w:val="Body Text Indent"/>
    <w:basedOn w:val="1"/>
    <w:qFormat/>
    <w:uiPriority w:val="0"/>
    <w:pPr>
      <w:spacing w:after="120"/>
      <w:ind w:left="420" w:leftChars="200"/>
    </w:pPr>
  </w:style>
  <w:style w:type="paragraph" w:styleId="12">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3">
    <w:name w:val="Balloon Text"/>
    <w:basedOn w:val="1"/>
    <w:link w:val="4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4"/>
    <w:basedOn w:val="1"/>
    <w:next w:val="1"/>
    <w:unhideWhenUsed/>
    <w:qFormat/>
    <w:uiPriority w:val="39"/>
    <w:pPr>
      <w:ind w:left="1260" w:leftChars="600"/>
    </w:pPr>
    <w:rPr>
      <w:szCs w:val="24"/>
    </w:rPr>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10"/>
    <w:next w:val="10"/>
    <w:link w:val="44"/>
    <w:qFormat/>
    <w:uiPriority w:val="0"/>
    <w:rPr>
      <w:b/>
      <w:bCs/>
    </w:rPr>
  </w:style>
  <w:style w:type="paragraph" w:styleId="21">
    <w:name w:val="Body Text First Indent"/>
    <w:basedOn w:val="2"/>
    <w:next w:val="1"/>
    <w:qFormat/>
    <w:uiPriority w:val="99"/>
    <w:pPr>
      <w:ind w:firstLine="420" w:firstLineChars="100"/>
    </w:pPr>
  </w:style>
  <w:style w:type="paragraph" w:styleId="22">
    <w:name w:val="Body Text First Indent 2"/>
    <w:basedOn w:val="11"/>
    <w:next w:val="1"/>
    <w:qFormat/>
    <w:uiPriority w:val="0"/>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sz w:val="24"/>
      <w:szCs w:val="24"/>
    </w:rPr>
  </w:style>
  <w:style w:type="character" w:styleId="27">
    <w:name w:val="page number"/>
    <w:basedOn w:val="25"/>
    <w:qFormat/>
    <w:uiPriority w:val="0"/>
  </w:style>
  <w:style w:type="character" w:styleId="28">
    <w:name w:val="FollowedHyperlink"/>
    <w:basedOn w:val="25"/>
    <w:qFormat/>
    <w:uiPriority w:val="0"/>
    <w:rPr>
      <w:rFonts w:hint="eastAsia" w:ascii="宋体" w:hAnsi="宋体" w:eastAsia="宋体" w:cs="宋体"/>
      <w:color w:val="000000"/>
      <w:sz w:val="18"/>
      <w:szCs w:val="18"/>
      <w:u w:val="none"/>
    </w:rPr>
  </w:style>
  <w:style w:type="character" w:styleId="29">
    <w:name w:val="Hyperlink"/>
    <w:basedOn w:val="25"/>
    <w:qFormat/>
    <w:uiPriority w:val="0"/>
    <w:rPr>
      <w:rFonts w:hint="eastAsia" w:ascii="宋体" w:hAnsi="宋体" w:eastAsia="宋体" w:cs="宋体"/>
      <w:color w:val="000000"/>
      <w:sz w:val="18"/>
      <w:szCs w:val="18"/>
      <w:u w:val="none"/>
    </w:rPr>
  </w:style>
  <w:style w:type="character" w:styleId="30">
    <w:name w:val="annotation reference"/>
    <w:basedOn w:val="25"/>
    <w:qFormat/>
    <w:uiPriority w:val="0"/>
    <w:rPr>
      <w:sz w:val="21"/>
      <w:szCs w:val="21"/>
    </w:rPr>
  </w:style>
  <w:style w:type="character" w:customStyle="1" w:styleId="31">
    <w:name w:val="纯文本 字符"/>
    <w:link w:val="9"/>
    <w:qFormat/>
    <w:uiPriority w:val="0"/>
    <w:rPr>
      <w:rFonts w:ascii="宋体" w:hAnsi="Courier New" w:cs="Courier New"/>
      <w:szCs w:val="21"/>
    </w:rPr>
  </w:style>
  <w:style w:type="character" w:customStyle="1" w:styleId="32">
    <w:name w:val="font41"/>
    <w:basedOn w:val="25"/>
    <w:qFormat/>
    <w:uiPriority w:val="0"/>
    <w:rPr>
      <w:rFonts w:hint="eastAsia" w:ascii="宋体" w:hAnsi="宋体" w:eastAsia="宋体" w:cs="宋体"/>
      <w:color w:val="000000"/>
      <w:sz w:val="22"/>
      <w:szCs w:val="22"/>
      <w:u w:val="none"/>
    </w:rPr>
  </w:style>
  <w:style w:type="character" w:customStyle="1" w:styleId="33">
    <w:name w:val="font11"/>
    <w:basedOn w:val="25"/>
    <w:qFormat/>
    <w:uiPriority w:val="0"/>
    <w:rPr>
      <w:rFonts w:hint="eastAsia" w:ascii="宋体" w:hAnsi="宋体" w:eastAsia="宋体" w:cs="宋体"/>
      <w:b/>
      <w:color w:val="000000"/>
      <w:sz w:val="22"/>
      <w:szCs w:val="22"/>
      <w:u w:val="none"/>
    </w:rPr>
  </w:style>
  <w:style w:type="paragraph" w:customStyle="1" w:styleId="34">
    <w:name w:val="列出段落1"/>
    <w:basedOn w:val="1"/>
    <w:unhideWhenUsed/>
    <w:qFormat/>
    <w:uiPriority w:val="99"/>
    <w:pPr>
      <w:ind w:firstLine="420" w:firstLineChars="200"/>
    </w:pPr>
  </w:style>
  <w:style w:type="character" w:customStyle="1" w:styleId="35">
    <w:name w:val="apple-converted-space"/>
    <w:basedOn w:val="25"/>
    <w:qFormat/>
    <w:uiPriority w:val="0"/>
  </w:style>
  <w:style w:type="character" w:customStyle="1" w:styleId="36">
    <w:name w:val="font31"/>
    <w:basedOn w:val="25"/>
    <w:qFormat/>
    <w:uiPriority w:val="0"/>
    <w:rPr>
      <w:rFonts w:hint="eastAsia" w:ascii="宋体" w:hAnsi="宋体" w:eastAsia="宋体" w:cs="宋体"/>
      <w:color w:val="000000"/>
      <w:sz w:val="22"/>
      <w:szCs w:val="22"/>
      <w:u w:val="none"/>
    </w:rPr>
  </w:style>
  <w:style w:type="paragraph" w:customStyle="1" w:styleId="37">
    <w:name w:val="1正文"/>
    <w:basedOn w:val="1"/>
    <w:qFormat/>
    <w:uiPriority w:val="0"/>
    <w:pPr>
      <w:spacing w:line="360" w:lineRule="auto"/>
      <w:ind w:firstLine="424" w:firstLineChars="202"/>
    </w:pPr>
    <w:rPr>
      <w:rFonts w:ascii="黑体" w:hAnsi="宋体" w:eastAsia="黑体"/>
      <w:kern w:val="0"/>
      <w:sz w:val="20"/>
    </w:rPr>
  </w:style>
  <w:style w:type="paragraph" w:customStyle="1" w:styleId="38">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样式9 Char"/>
    <w:basedOn w:val="1"/>
    <w:qFormat/>
    <w:uiPriority w:val="0"/>
    <w:pPr>
      <w:spacing w:line="440" w:lineRule="exact"/>
      <w:ind w:firstLine="200" w:firstLineChars="200"/>
    </w:pPr>
    <w:rPr>
      <w:spacing w:val="6"/>
      <w:szCs w:val="20"/>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2">
    <w:name w:val="批注框文本 字符"/>
    <w:basedOn w:val="25"/>
    <w:link w:val="13"/>
    <w:qFormat/>
    <w:uiPriority w:val="0"/>
    <w:rPr>
      <w:rFonts w:asciiTheme="minorHAnsi" w:hAnsiTheme="minorHAnsi" w:eastAsiaTheme="minorEastAsia" w:cstheme="minorBidi"/>
      <w:kern w:val="2"/>
      <w:sz w:val="18"/>
      <w:szCs w:val="18"/>
    </w:rPr>
  </w:style>
  <w:style w:type="character" w:customStyle="1" w:styleId="43">
    <w:name w:val="批注文字 字符"/>
    <w:basedOn w:val="25"/>
    <w:link w:val="10"/>
    <w:qFormat/>
    <w:uiPriority w:val="0"/>
    <w:rPr>
      <w:rFonts w:asciiTheme="minorHAnsi" w:hAnsiTheme="minorHAnsi" w:eastAsiaTheme="minorEastAsia" w:cstheme="minorBidi"/>
      <w:kern w:val="2"/>
      <w:sz w:val="21"/>
      <w:szCs w:val="22"/>
    </w:rPr>
  </w:style>
  <w:style w:type="character" w:customStyle="1" w:styleId="44">
    <w:name w:val="批注主题 字符"/>
    <w:basedOn w:val="43"/>
    <w:link w:val="20"/>
    <w:qFormat/>
    <w:uiPriority w:val="0"/>
    <w:rPr>
      <w:rFonts w:asciiTheme="minorHAnsi" w:hAnsiTheme="minorHAnsi" w:eastAsiaTheme="minorEastAsia" w:cstheme="minorBidi"/>
      <w:b/>
      <w:bCs/>
      <w:kern w:val="2"/>
      <w:sz w:val="21"/>
      <w:szCs w:val="22"/>
    </w:rPr>
  </w:style>
  <w:style w:type="paragraph" w:customStyle="1" w:styleId="45">
    <w:name w:val="_Style 3"/>
    <w:basedOn w:val="1"/>
    <w:qFormat/>
    <w:uiPriority w:val="34"/>
    <w:pPr>
      <w:ind w:firstLine="420" w:firstLineChars="200"/>
    </w:pPr>
  </w:style>
  <w:style w:type="paragraph" w:customStyle="1" w:styleId="46">
    <w:name w:val="List Paragraph"/>
    <w:basedOn w:val="1"/>
    <w:qFormat/>
    <w:uiPriority w:val="34"/>
    <w:pPr>
      <w:ind w:firstLine="420" w:firstLineChars="200"/>
    </w:pPr>
  </w:style>
  <w:style w:type="character" w:customStyle="1" w:styleId="47">
    <w:name w:val="NormalCharacter"/>
    <w:qFormat/>
    <w:uiPriority w:val="0"/>
  </w:style>
  <w:style w:type="table" w:customStyle="1" w:styleId="48">
    <w:name w:val="网格型1"/>
    <w:basedOn w:val="23"/>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
    <w:name w:val="font101"/>
    <w:basedOn w:val="25"/>
    <w:qFormat/>
    <w:uiPriority w:val="0"/>
    <w:rPr>
      <w:rFonts w:hint="default" w:ascii="Tahoma" w:hAnsi="Tahoma" w:eastAsia="Tahoma" w:cs="Tahoma"/>
      <w:color w:val="000000"/>
      <w:sz w:val="18"/>
      <w:szCs w:val="18"/>
      <w:u w:val="none"/>
    </w:rPr>
  </w:style>
  <w:style w:type="paragraph" w:customStyle="1" w:styleId="50">
    <w:name w:val="列表段落1"/>
    <w:basedOn w:val="1"/>
    <w:qFormat/>
    <w:uiPriority w:val="34"/>
    <w:pPr>
      <w:ind w:firstLine="420" w:firstLineChars="200"/>
    </w:pPr>
  </w:style>
  <w:style w:type="paragraph" w:customStyle="1" w:styleId="51">
    <w:name w:val="p0"/>
    <w:basedOn w:val="1"/>
    <w:qFormat/>
    <w:uiPriority w:val="0"/>
    <w:pPr>
      <w:widowControl/>
      <w:jc w:val="both"/>
    </w:pPr>
    <w:rPr>
      <w:rFonts w:cs="Times New Roman"/>
      <w:kern w:val="0"/>
      <w:sz w:val="21"/>
      <w:szCs w:val="21"/>
      <w:lang w:eastAsia="zh-CN"/>
    </w:rPr>
  </w:style>
  <w:style w:type="paragraph" w:customStyle="1" w:styleId="52">
    <w:name w:val="正文正"/>
    <w:basedOn w:val="1"/>
    <w:qFormat/>
    <w:uiPriority w:val="0"/>
    <w:pPr>
      <w:spacing w:line="560" w:lineRule="exact"/>
      <w:ind w:firstLine="561"/>
    </w:pPr>
    <w:rPr>
      <w:rFonts w:ascii="Times New Roman" w:hAnsi="Times New Roman" w:eastAsia="仿宋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E207B-2371-4135-A1BD-BD6357FBB6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30046</Words>
  <Characters>32673</Characters>
  <Lines>241</Lines>
  <Paragraphs>68</Paragraphs>
  <TotalTime>3</TotalTime>
  <ScaleCrop>false</ScaleCrop>
  <LinksUpToDate>false</LinksUpToDate>
  <CharactersWithSpaces>34447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2017-10-11T07:02:00Z</dcterms:created>
  <dc:creator>Administrator</dc:creator>
  <cp:lastModifiedBy>简</cp:lastModifiedBy>
  <cp:lastPrinted>2021-05-10T07:24:00Z</cp:lastPrinted>
  <dcterms:modified xsi:type="dcterms:W3CDTF">2023-08-22T06:14:08Z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D5179E76654E41D29FC2F340F4C1F687_13</vt:lpwstr>
  </property>
</Properties>
</file>