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楷体" w:hAnsi="楷体" w:eastAsia="楷体" w:cs="楷体"/>
          <w:b/>
          <w:bCs/>
          <w:sz w:val="32"/>
          <w:szCs w:val="32"/>
          <w:highlight w:val="none"/>
          <w:lang w:eastAsia="zh-CN"/>
        </w:rPr>
      </w:pPr>
      <w:bookmarkStart w:id="0" w:name="_Toc4885"/>
      <w:bookmarkStart w:id="1" w:name="_Toc24933"/>
      <w:bookmarkStart w:id="2" w:name="_Toc23013"/>
      <w:r>
        <w:rPr>
          <w:rFonts w:hint="eastAsia" w:ascii="楷体" w:hAnsi="楷体" w:eastAsia="楷体" w:cs="楷体"/>
          <w:b/>
          <w:bCs/>
          <w:sz w:val="32"/>
          <w:szCs w:val="32"/>
          <w:highlight w:val="none"/>
        </w:rPr>
        <w:t>项目编号：</w:t>
      </w:r>
      <w:bookmarkEnd w:id="0"/>
      <w:bookmarkEnd w:id="1"/>
      <w:bookmarkEnd w:id="2"/>
      <w:r>
        <w:rPr>
          <w:rFonts w:hint="eastAsia" w:ascii="楷体" w:hAnsi="楷体" w:eastAsia="楷体" w:cs="楷体"/>
          <w:b/>
          <w:bCs/>
          <w:sz w:val="32"/>
          <w:szCs w:val="32"/>
          <w:highlight w:val="none"/>
          <w:lang w:eastAsia="zh-CN"/>
        </w:rPr>
        <w:t>ZYZB2023-GK1120</w:t>
      </w:r>
    </w:p>
    <w:p>
      <w:pPr>
        <w:jc w:val="left"/>
        <w:rPr>
          <w:rFonts w:ascii="楷体" w:hAnsi="楷体" w:eastAsia="楷体" w:cs="楷体"/>
          <w:b/>
          <w:sz w:val="36"/>
          <w:highlight w:val="none"/>
        </w:rPr>
      </w:pPr>
    </w:p>
    <w:p>
      <w:pPr>
        <w:rPr>
          <w:rFonts w:ascii="楷体" w:hAnsi="楷体" w:eastAsia="楷体" w:cs="楷体"/>
          <w:b/>
          <w:sz w:val="36"/>
          <w:szCs w:val="36"/>
          <w:highlight w:val="none"/>
        </w:rPr>
      </w:pPr>
    </w:p>
    <w:p>
      <w:pPr>
        <w:pStyle w:val="23"/>
        <w:ind w:left="0" w:leftChars="0"/>
        <w:jc w:val="center"/>
        <w:rPr>
          <w:rFonts w:ascii="楷体" w:hAnsi="楷体" w:eastAsia="楷体" w:cs="楷体"/>
          <w:b/>
          <w:sz w:val="72"/>
          <w:szCs w:val="72"/>
          <w:highlight w:val="none"/>
        </w:rPr>
      </w:pPr>
    </w:p>
    <w:p>
      <w:pPr>
        <w:pStyle w:val="23"/>
        <w:ind w:left="0" w:leftChars="0"/>
        <w:jc w:val="center"/>
        <w:outlineLvl w:val="0"/>
        <w:rPr>
          <w:rFonts w:hint="eastAsia" w:ascii="楷体" w:hAnsi="楷体" w:eastAsia="楷体" w:cs="楷体"/>
          <w:b/>
          <w:sz w:val="72"/>
          <w:szCs w:val="72"/>
          <w:highlight w:val="none"/>
          <w:lang w:eastAsia="zh-CN"/>
        </w:rPr>
      </w:pPr>
      <w:r>
        <w:rPr>
          <w:rFonts w:hint="eastAsia" w:ascii="楷体" w:hAnsi="楷体" w:eastAsia="楷体" w:cs="楷体"/>
          <w:b/>
          <w:sz w:val="72"/>
          <w:szCs w:val="72"/>
          <w:highlight w:val="none"/>
          <w:lang w:eastAsia="zh-CN"/>
        </w:rPr>
        <w:t>学生饮用水采购项目</w:t>
      </w:r>
    </w:p>
    <w:p>
      <w:pPr>
        <w:rPr>
          <w:rFonts w:ascii="楷体" w:hAnsi="楷体" w:eastAsia="楷体" w:cs="楷体"/>
          <w:highlight w:val="none"/>
        </w:rPr>
      </w:pPr>
    </w:p>
    <w:p>
      <w:pPr>
        <w:pStyle w:val="7"/>
        <w:rPr>
          <w:rFonts w:ascii="楷体" w:hAnsi="楷体" w:eastAsia="楷体" w:cs="楷体"/>
          <w:highlight w:val="none"/>
        </w:rPr>
      </w:pPr>
    </w:p>
    <w:p>
      <w:pPr>
        <w:spacing w:line="780" w:lineRule="auto"/>
        <w:jc w:val="center"/>
        <w:rPr>
          <w:rFonts w:ascii="楷体" w:hAnsi="楷体" w:eastAsia="楷体" w:cs="楷体"/>
          <w:b/>
          <w:sz w:val="80"/>
          <w:szCs w:val="80"/>
          <w:highlight w:val="none"/>
        </w:rPr>
      </w:pPr>
    </w:p>
    <w:p>
      <w:pPr>
        <w:pStyle w:val="25"/>
        <w:ind w:firstLine="180"/>
        <w:rPr>
          <w:highlight w:val="none"/>
        </w:rPr>
      </w:pPr>
    </w:p>
    <w:p>
      <w:pPr>
        <w:spacing w:line="780" w:lineRule="auto"/>
        <w:jc w:val="center"/>
        <w:rPr>
          <w:rFonts w:ascii="楷体" w:hAnsi="楷体" w:eastAsia="楷体" w:cs="楷体"/>
          <w:b/>
          <w:sz w:val="72"/>
          <w:szCs w:val="72"/>
          <w:highlight w:val="none"/>
        </w:rPr>
      </w:pPr>
      <w:r>
        <w:rPr>
          <w:rFonts w:hint="eastAsia" w:ascii="楷体" w:hAnsi="楷体" w:eastAsia="楷体" w:cs="楷体"/>
          <w:b/>
          <w:sz w:val="72"/>
          <w:szCs w:val="72"/>
          <w:highlight w:val="none"/>
        </w:rPr>
        <w:t>招标文件</w:t>
      </w:r>
    </w:p>
    <w:p>
      <w:pPr>
        <w:jc w:val="center"/>
        <w:rPr>
          <w:rFonts w:ascii="楷体" w:hAnsi="楷体" w:eastAsia="楷体" w:cs="楷体"/>
          <w:sz w:val="36"/>
          <w:szCs w:val="36"/>
          <w:highlight w:val="none"/>
        </w:rPr>
      </w:pPr>
      <w:bookmarkStart w:id="3" w:name="_Toc363463325"/>
    </w:p>
    <w:p>
      <w:pPr>
        <w:jc w:val="center"/>
        <w:rPr>
          <w:rFonts w:ascii="楷体" w:hAnsi="楷体" w:eastAsia="楷体" w:cs="楷体"/>
          <w:sz w:val="36"/>
          <w:szCs w:val="36"/>
          <w:highlight w:val="none"/>
        </w:rPr>
      </w:pPr>
    </w:p>
    <w:bookmarkEnd w:id="3"/>
    <w:p>
      <w:pPr>
        <w:jc w:val="center"/>
        <w:rPr>
          <w:rFonts w:ascii="楷体" w:hAnsi="楷体" w:eastAsia="楷体" w:cs="楷体"/>
          <w:sz w:val="36"/>
          <w:szCs w:val="36"/>
          <w:highlight w:val="none"/>
        </w:rPr>
      </w:pPr>
    </w:p>
    <w:p>
      <w:pPr>
        <w:pStyle w:val="11"/>
        <w:rPr>
          <w:rFonts w:ascii="楷体" w:hAnsi="楷体" w:eastAsia="楷体" w:cs="楷体"/>
          <w:sz w:val="36"/>
          <w:szCs w:val="36"/>
          <w:highlight w:val="none"/>
        </w:rPr>
      </w:pPr>
    </w:p>
    <w:p>
      <w:pPr>
        <w:rPr>
          <w:rFonts w:ascii="楷体" w:hAnsi="楷体" w:eastAsia="楷体" w:cs="楷体"/>
          <w:sz w:val="36"/>
          <w:szCs w:val="36"/>
          <w:highlight w:val="none"/>
        </w:rPr>
      </w:pPr>
    </w:p>
    <w:p>
      <w:pPr>
        <w:pStyle w:val="11"/>
        <w:rPr>
          <w:rFonts w:ascii="楷体" w:hAnsi="楷体" w:eastAsia="楷体" w:cs="楷体"/>
          <w:sz w:val="36"/>
          <w:szCs w:val="36"/>
          <w:highlight w:val="none"/>
        </w:rPr>
      </w:pPr>
    </w:p>
    <w:p>
      <w:pPr>
        <w:rPr>
          <w:rFonts w:ascii="楷体" w:hAnsi="楷体" w:eastAsia="楷体" w:cs="楷体"/>
          <w:sz w:val="36"/>
          <w:szCs w:val="36"/>
          <w:highlight w:val="none"/>
        </w:rPr>
      </w:pPr>
    </w:p>
    <w:p>
      <w:pPr>
        <w:pStyle w:val="11"/>
      </w:pPr>
    </w:p>
    <w:p>
      <w:pPr>
        <w:rPr>
          <w:highlight w:val="none"/>
        </w:rPr>
      </w:pPr>
    </w:p>
    <w:p>
      <w:pPr>
        <w:jc w:val="center"/>
        <w:outlineLvl w:val="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陕西正翼项目管理咨询有限公司</w:t>
      </w:r>
    </w:p>
    <w:p>
      <w:pPr>
        <w:tabs>
          <w:tab w:val="left" w:pos="525"/>
        </w:tabs>
        <w:ind w:left="-2" w:leftChars="-1" w:firstLine="1"/>
        <w:jc w:val="center"/>
        <w:rPr>
          <w:rFonts w:ascii="楷体" w:hAnsi="楷体" w:eastAsia="楷体" w:cs="楷体"/>
          <w:b/>
          <w:bCs/>
          <w:sz w:val="44"/>
          <w:szCs w:val="44"/>
          <w:highlight w:val="none"/>
        </w:rPr>
      </w:pPr>
      <w:r>
        <w:rPr>
          <w:rFonts w:hint="eastAsia" w:ascii="楷体" w:hAnsi="楷体" w:eastAsia="楷体" w:cs="楷体"/>
          <w:b/>
          <w:bCs/>
          <w:sz w:val="32"/>
          <w:szCs w:val="32"/>
          <w:highlight w:val="none"/>
        </w:rPr>
        <w:t>2023年</w:t>
      </w: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月</w:t>
      </w:r>
    </w:p>
    <w:p>
      <w:pPr>
        <w:spacing w:line="720" w:lineRule="auto"/>
        <w:jc w:val="center"/>
        <w:rPr>
          <w:rFonts w:ascii="楷体" w:hAnsi="楷体" w:eastAsia="楷体" w:cs="楷体"/>
          <w:b/>
          <w:bCs/>
          <w:sz w:val="30"/>
          <w:szCs w:val="30"/>
          <w:highlight w:val="none"/>
        </w:rPr>
      </w:pPr>
      <w:r>
        <w:rPr>
          <w:rFonts w:hint="eastAsia" w:ascii="楷体" w:hAnsi="楷体" w:eastAsia="楷体" w:cs="楷体"/>
          <w:b/>
          <w:sz w:val="52"/>
          <w:szCs w:val="52"/>
          <w:highlight w:val="none"/>
        </w:rPr>
        <w:br w:type="page"/>
      </w:r>
      <w:bookmarkStart w:id="4" w:name="_Toc19886"/>
      <w:bookmarkStart w:id="5" w:name="_Toc389582033"/>
      <w:bookmarkStart w:id="6" w:name="_Toc20652"/>
      <w:bookmarkStart w:id="7" w:name="_Toc16218"/>
      <w:bookmarkStart w:id="8" w:name="_Toc21518"/>
      <w:bookmarkStart w:id="9" w:name="_Toc20858"/>
      <w:bookmarkStart w:id="10" w:name="_Toc5293"/>
      <w:bookmarkStart w:id="11" w:name="_Toc27420"/>
      <w:bookmarkStart w:id="12" w:name="_Toc363474016"/>
      <w:bookmarkStart w:id="13" w:name="_Toc403077638"/>
      <w:bookmarkStart w:id="14" w:name="_Toc363473971"/>
    </w:p>
    <w:p>
      <w:pPr>
        <w:spacing w:line="360" w:lineRule="auto"/>
        <w:jc w:val="center"/>
        <w:rPr>
          <w:rFonts w:ascii="楷体" w:hAnsi="楷体" w:eastAsia="楷体" w:cs="楷体"/>
          <w:b/>
          <w:sz w:val="52"/>
          <w:szCs w:val="52"/>
          <w:highlight w:val="none"/>
        </w:rPr>
      </w:pPr>
      <w:bookmarkStart w:id="15" w:name="_Toc15550"/>
      <w:bookmarkStart w:id="16" w:name="_Toc9840"/>
      <w:bookmarkStart w:id="17" w:name="_Toc27924"/>
      <w:r>
        <w:rPr>
          <w:rFonts w:hint="eastAsia" w:ascii="楷体" w:hAnsi="楷体" w:eastAsia="楷体" w:cs="楷体"/>
          <w:b/>
          <w:sz w:val="52"/>
          <w:szCs w:val="52"/>
          <w:highlight w:val="none"/>
        </w:rPr>
        <w:t>注意事项</w:t>
      </w:r>
    </w:p>
    <w:p>
      <w:pPr>
        <w:spacing w:line="480" w:lineRule="auto"/>
        <w:ind w:firstLine="602" w:firstLineChars="200"/>
        <w:jc w:val="left"/>
        <w:rPr>
          <w:rFonts w:hint="default" w:ascii="楷体" w:hAnsi="楷体" w:eastAsia="楷体" w:cs="楷体"/>
          <w:b/>
          <w:sz w:val="30"/>
          <w:szCs w:val="30"/>
          <w:highlight w:val="none"/>
          <w:lang w:val="en-US" w:eastAsia="zh-CN"/>
        </w:rPr>
      </w:pPr>
      <w:r>
        <w:rPr>
          <w:rFonts w:hint="eastAsia" w:ascii="楷体" w:hAnsi="楷体" w:eastAsia="楷体" w:cs="楷体"/>
          <w:b/>
          <w:sz w:val="30"/>
          <w:szCs w:val="30"/>
          <w:highlight w:val="none"/>
        </w:rPr>
        <w:t>1、投标人登记免费领取招标文件的，如不参与项目投标，须在递交投标文件截止时间至少前一日以书面形式告知采购代理机构（接收邮箱：</w:t>
      </w:r>
      <w:r>
        <w:rPr>
          <w:highlight w:val="none"/>
        </w:rPr>
        <w:fldChar w:fldCharType="begin"/>
      </w:r>
      <w:r>
        <w:rPr>
          <w:highlight w:val="none"/>
        </w:rPr>
        <w:instrText xml:space="preserve"> HYPERLINK "mailto:sxzyzbgs@163.com）。否则，采购代理机构将向财政部门如实反应相关情况。投标人一年内累计出现三次该情形，将被监督部门记录为失信行为。" </w:instrText>
      </w:r>
      <w:r>
        <w:rPr>
          <w:highlight w:val="none"/>
        </w:rPr>
        <w:fldChar w:fldCharType="separate"/>
      </w:r>
      <w:r>
        <w:rPr>
          <w:rFonts w:hint="eastAsia" w:ascii="楷体" w:hAnsi="楷体" w:eastAsia="楷体" w:cs="楷体"/>
          <w:b/>
          <w:sz w:val="30"/>
          <w:szCs w:val="30"/>
          <w:highlight w:val="none"/>
        </w:rPr>
        <w:t>sxzyzbgs@163.com）。否则，采购代理机构将向财政部门如实反应相关情况。投标人一年内累计出现三次该情形，将被监督部门记录为失信行为。</w:t>
      </w:r>
      <w:r>
        <w:rPr>
          <w:rFonts w:hint="eastAsia" w:ascii="楷体" w:hAnsi="楷体" w:eastAsia="楷体" w:cs="楷体"/>
          <w:b/>
          <w:sz w:val="30"/>
          <w:szCs w:val="30"/>
          <w:highlight w:val="none"/>
        </w:rPr>
        <w:fldChar w:fldCharType="end"/>
      </w:r>
      <w:r>
        <w:rPr>
          <w:rFonts w:hint="eastAsia" w:ascii="楷体" w:hAnsi="楷体" w:eastAsia="楷体" w:cs="楷体"/>
          <w:b/>
          <w:sz w:val="30"/>
          <w:szCs w:val="30"/>
          <w:highlight w:val="none"/>
          <w:lang w:val="en-US" w:eastAsia="zh-CN"/>
        </w:rPr>
        <w:t xml:space="preserve">  </w:t>
      </w:r>
    </w:p>
    <w:p>
      <w:pPr>
        <w:tabs>
          <w:tab w:val="left" w:pos="525"/>
        </w:tabs>
        <w:spacing w:line="360" w:lineRule="auto"/>
        <w:ind w:left="-2" w:leftChars="-1" w:firstLine="602" w:firstLineChars="200"/>
        <w:jc w:val="left"/>
        <w:rPr>
          <w:rFonts w:ascii="楷体" w:hAnsi="楷体" w:eastAsia="楷体" w:cs="楷体"/>
          <w:b/>
          <w:bCs/>
          <w:sz w:val="40"/>
          <w:szCs w:val="40"/>
          <w:highlight w:val="none"/>
          <w:shd w:val="clear" w:color="auto" w:fill="FFFFFF"/>
        </w:rPr>
      </w:pPr>
      <w:r>
        <w:rPr>
          <w:rFonts w:hint="eastAsia" w:ascii="楷体" w:hAnsi="楷体" w:eastAsia="楷体" w:cs="楷体"/>
          <w:b/>
          <w:sz w:val="30"/>
          <w:szCs w:val="30"/>
          <w:highlight w:val="none"/>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tabs>
          <w:tab w:val="left" w:pos="525"/>
        </w:tabs>
        <w:spacing w:line="360" w:lineRule="auto"/>
        <w:ind w:left="-2" w:leftChars="-1"/>
        <w:jc w:val="center"/>
        <w:rPr>
          <w:rFonts w:ascii="楷体" w:hAnsi="楷体" w:eastAsia="楷体" w:cs="楷体"/>
          <w:b/>
          <w:bCs/>
          <w:sz w:val="40"/>
          <w:szCs w:val="40"/>
          <w:highlight w:val="none"/>
          <w:shd w:val="clear" w:color="auto" w:fill="FFFFFF"/>
        </w:rPr>
      </w:pPr>
    </w:p>
    <w:p>
      <w:pPr>
        <w:tabs>
          <w:tab w:val="left" w:pos="525"/>
        </w:tabs>
        <w:spacing w:line="360" w:lineRule="auto"/>
        <w:ind w:left="-2" w:leftChars="-1"/>
        <w:jc w:val="center"/>
        <w:rPr>
          <w:rFonts w:ascii="楷体" w:hAnsi="楷体" w:eastAsia="楷体" w:cs="楷体"/>
          <w:b/>
          <w:bCs/>
          <w:sz w:val="40"/>
          <w:szCs w:val="40"/>
          <w:highlight w:val="none"/>
          <w:shd w:val="clear" w:color="auto" w:fill="FFFFFF"/>
        </w:rPr>
      </w:pPr>
    </w:p>
    <w:p>
      <w:pPr>
        <w:pStyle w:val="3"/>
        <w:keepNext w:val="0"/>
        <w:keepLines/>
        <w:pageBreakBefore/>
        <w:spacing w:line="360" w:lineRule="auto"/>
        <w:jc w:val="center"/>
        <w:rPr>
          <w:rFonts w:ascii="楷体" w:hAnsi="楷体" w:eastAsia="楷体" w:cs="楷体"/>
          <w:bCs/>
          <w:sz w:val="36"/>
          <w:szCs w:val="36"/>
          <w:highlight w:val="none"/>
        </w:rPr>
        <w:sectPr>
          <w:headerReference r:id="rId3" w:type="default"/>
          <w:footerReference r:id="rId4" w:type="default"/>
          <w:pgSz w:w="11906" w:h="16838"/>
          <w:pgMar w:top="1440" w:right="1803" w:bottom="1440" w:left="1803" w:header="851" w:footer="992" w:gutter="0"/>
          <w:pgNumType w:start="1"/>
          <w:cols w:space="720" w:num="1"/>
          <w:docGrid w:type="lines" w:linePitch="312" w:charSpace="0"/>
        </w:sectPr>
      </w:pPr>
    </w:p>
    <w:p>
      <w:pPr>
        <w:spacing w:line="720" w:lineRule="auto"/>
        <w:jc w:val="center"/>
        <w:rPr>
          <w:rFonts w:ascii="楷体" w:hAnsi="楷体" w:eastAsia="楷体" w:cs="楷体"/>
          <w:bCs/>
          <w:szCs w:val="30"/>
          <w:highlight w:val="none"/>
        </w:rPr>
      </w:pPr>
      <w:bookmarkStart w:id="18" w:name="_Toc6236"/>
      <w:bookmarkStart w:id="19" w:name="_Toc1482"/>
      <w:bookmarkStart w:id="20" w:name="_Toc26129"/>
      <w:bookmarkStart w:id="21" w:name="_Toc2046"/>
      <w:bookmarkStart w:id="22" w:name="_Toc9865"/>
      <w:bookmarkStart w:id="23" w:name="_Toc31785"/>
      <w:r>
        <w:rPr>
          <w:rFonts w:hint="eastAsia" w:ascii="楷体" w:hAnsi="楷体" w:eastAsia="楷体" w:cs="楷体"/>
          <w:b/>
          <w:sz w:val="52"/>
          <w:szCs w:val="52"/>
          <w:highlight w:val="none"/>
        </w:rPr>
        <w:t>目  录</w:t>
      </w:r>
    </w:p>
    <w:sdt>
      <w:sdtPr>
        <w:rPr>
          <w:rFonts w:hAnsi="宋体"/>
          <w:sz w:val="21"/>
          <w:highlight w:val="none"/>
        </w:rPr>
        <w:id w:val="147460575"/>
        <w15:color w:val="DBDBDB"/>
        <w:docPartObj>
          <w:docPartGallery w:val="Table of Contents"/>
          <w:docPartUnique/>
        </w:docPartObj>
      </w:sdtPr>
      <w:sdtEndPr>
        <w:rPr>
          <w:rFonts w:hAnsi="Times New Roman"/>
          <w:sz w:val="24"/>
          <w:highlight w:val="none"/>
        </w:rPr>
      </w:sdtEndPr>
      <w:sdtContent>
        <w:p>
          <w:pPr>
            <w:jc w:val="center"/>
            <w:rPr>
              <w:highlight w:val="none"/>
            </w:rPr>
          </w:pPr>
          <w:r>
            <w:rPr>
              <w:highlight w:val="none"/>
            </w:rPr>
            <w:fldChar w:fldCharType="begin"/>
          </w:r>
          <w:r>
            <w:rPr>
              <w:highlight w:val="none"/>
            </w:rPr>
            <w:instrText xml:space="preserve">TOC \o "1-3" \h \u </w:instrText>
          </w:r>
          <w:r>
            <w:rPr>
              <w:highlight w:val="none"/>
            </w:rPr>
            <w:fldChar w:fldCharType="separate"/>
          </w:r>
        </w:p>
        <w:p>
          <w:pPr>
            <w:pStyle w:val="20"/>
            <w:tabs>
              <w:tab w:val="right" w:leader="dot" w:pos="8300"/>
            </w:tabs>
            <w:spacing w:line="720" w:lineRule="auto"/>
            <w:rPr>
              <w:rFonts w:ascii="楷体" w:hAnsi="楷体" w:eastAsia="楷体" w:cs="楷体"/>
              <w:b/>
              <w:bCs/>
              <w:sz w:val="30"/>
              <w:szCs w:val="30"/>
              <w:highlight w:val="none"/>
            </w:rPr>
          </w:pPr>
          <w:r>
            <w:rPr>
              <w:highlight w:val="none"/>
            </w:rPr>
            <w:fldChar w:fldCharType="begin"/>
          </w:r>
          <w:r>
            <w:rPr>
              <w:highlight w:val="none"/>
            </w:rPr>
            <w:instrText xml:space="preserve"> HYPERLINK \l "_Toc9569" </w:instrText>
          </w:r>
          <w:r>
            <w:rPr>
              <w:highlight w:val="none"/>
            </w:rPr>
            <w:fldChar w:fldCharType="separate"/>
          </w:r>
          <w:r>
            <w:rPr>
              <w:rFonts w:hint="eastAsia" w:ascii="楷体" w:hAnsi="楷体" w:eastAsia="楷体" w:cs="楷体"/>
              <w:b/>
              <w:bCs/>
              <w:sz w:val="30"/>
              <w:szCs w:val="30"/>
              <w:highlight w:val="none"/>
            </w:rPr>
            <w:t>第一章  招标公告</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_Toc9569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1</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20"/>
            <w:tabs>
              <w:tab w:val="right" w:leader="dot" w:pos="8300"/>
            </w:tabs>
            <w:spacing w:line="720" w:lineRule="auto"/>
            <w:rPr>
              <w:rFonts w:ascii="楷体" w:hAnsi="楷体" w:eastAsia="楷体" w:cs="楷体"/>
              <w:b/>
              <w:bCs/>
              <w:sz w:val="30"/>
              <w:szCs w:val="30"/>
              <w:highlight w:val="none"/>
            </w:rPr>
          </w:pPr>
          <w:r>
            <w:rPr>
              <w:highlight w:val="none"/>
            </w:rPr>
            <w:fldChar w:fldCharType="begin"/>
          </w:r>
          <w:r>
            <w:rPr>
              <w:highlight w:val="none"/>
            </w:rPr>
            <w:instrText xml:space="preserve"> HYPERLINK \l "_Toc20489" </w:instrText>
          </w:r>
          <w:r>
            <w:rPr>
              <w:highlight w:val="none"/>
            </w:rPr>
            <w:fldChar w:fldCharType="separate"/>
          </w:r>
          <w:r>
            <w:rPr>
              <w:rFonts w:hint="eastAsia" w:ascii="楷体" w:hAnsi="楷体" w:eastAsia="楷体" w:cs="楷体"/>
              <w:b/>
              <w:bCs/>
              <w:sz w:val="30"/>
              <w:szCs w:val="30"/>
              <w:highlight w:val="none"/>
            </w:rPr>
            <w:t>第二章  投标人须知</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_Toc20489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7</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20"/>
            <w:tabs>
              <w:tab w:val="right" w:leader="dot" w:pos="8300"/>
            </w:tabs>
            <w:spacing w:line="720" w:lineRule="auto"/>
            <w:rPr>
              <w:rFonts w:ascii="楷体" w:hAnsi="楷体" w:eastAsia="楷体" w:cs="楷体"/>
              <w:b/>
              <w:bCs/>
              <w:sz w:val="30"/>
              <w:szCs w:val="30"/>
              <w:highlight w:val="none"/>
            </w:rPr>
          </w:pPr>
          <w:r>
            <w:rPr>
              <w:highlight w:val="none"/>
            </w:rPr>
            <w:fldChar w:fldCharType="begin"/>
          </w:r>
          <w:r>
            <w:rPr>
              <w:highlight w:val="none"/>
            </w:rPr>
            <w:instrText xml:space="preserve"> HYPERLINK \l "_Toc25044" </w:instrText>
          </w:r>
          <w:r>
            <w:rPr>
              <w:highlight w:val="none"/>
            </w:rPr>
            <w:fldChar w:fldCharType="separate"/>
          </w:r>
          <w:r>
            <w:rPr>
              <w:rFonts w:hint="eastAsia" w:ascii="楷体" w:hAnsi="楷体" w:eastAsia="楷体" w:cs="楷体"/>
              <w:b/>
              <w:bCs/>
              <w:sz w:val="30"/>
              <w:szCs w:val="30"/>
              <w:highlight w:val="none"/>
            </w:rPr>
            <w:t>第三章  合同条款及格式</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_Toc25044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30</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20"/>
            <w:tabs>
              <w:tab w:val="right" w:leader="dot" w:pos="8300"/>
            </w:tabs>
            <w:spacing w:line="720" w:lineRule="auto"/>
            <w:rPr>
              <w:rFonts w:ascii="楷体" w:hAnsi="楷体" w:eastAsia="楷体" w:cs="楷体"/>
              <w:b/>
              <w:bCs/>
              <w:sz w:val="30"/>
              <w:szCs w:val="30"/>
              <w:highlight w:val="none"/>
            </w:rPr>
          </w:pPr>
          <w:r>
            <w:rPr>
              <w:highlight w:val="none"/>
            </w:rPr>
            <w:fldChar w:fldCharType="begin"/>
          </w:r>
          <w:r>
            <w:rPr>
              <w:highlight w:val="none"/>
            </w:rPr>
            <w:instrText xml:space="preserve"> HYPERLINK \l "_Toc21136" </w:instrText>
          </w:r>
          <w:r>
            <w:rPr>
              <w:highlight w:val="none"/>
            </w:rPr>
            <w:fldChar w:fldCharType="separate"/>
          </w:r>
          <w:r>
            <w:rPr>
              <w:rFonts w:hint="eastAsia" w:ascii="楷体" w:hAnsi="楷体" w:eastAsia="楷体" w:cs="楷体"/>
              <w:b/>
              <w:bCs/>
              <w:sz w:val="30"/>
              <w:szCs w:val="30"/>
              <w:highlight w:val="none"/>
            </w:rPr>
            <w:t>第四章  采购内容及技术要求</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_Toc21136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35</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20"/>
            <w:tabs>
              <w:tab w:val="right" w:leader="dot" w:pos="8300"/>
            </w:tabs>
            <w:spacing w:line="720" w:lineRule="auto"/>
            <w:rPr>
              <w:rFonts w:ascii="楷体" w:hAnsi="楷体" w:eastAsia="楷体" w:cs="楷体"/>
              <w:b/>
              <w:bCs/>
              <w:sz w:val="30"/>
              <w:szCs w:val="30"/>
              <w:highlight w:val="none"/>
            </w:rPr>
          </w:pPr>
          <w:r>
            <w:rPr>
              <w:highlight w:val="none"/>
            </w:rPr>
            <w:fldChar w:fldCharType="begin"/>
          </w:r>
          <w:r>
            <w:rPr>
              <w:highlight w:val="none"/>
            </w:rPr>
            <w:instrText xml:space="preserve"> HYPERLINK \l "_Toc31103" </w:instrText>
          </w:r>
          <w:r>
            <w:rPr>
              <w:highlight w:val="none"/>
            </w:rPr>
            <w:fldChar w:fldCharType="separate"/>
          </w:r>
          <w:r>
            <w:rPr>
              <w:rFonts w:hint="eastAsia" w:ascii="楷体" w:hAnsi="楷体" w:eastAsia="楷体" w:cs="楷体"/>
              <w:b/>
              <w:bCs/>
              <w:kern w:val="2"/>
              <w:sz w:val="30"/>
              <w:szCs w:val="30"/>
              <w:highlight w:val="none"/>
            </w:rPr>
            <w:t>第五章  评审方法</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_Toc31103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39</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20"/>
            <w:tabs>
              <w:tab w:val="right" w:leader="dot" w:pos="8300"/>
            </w:tabs>
            <w:spacing w:line="720" w:lineRule="auto"/>
            <w:rPr>
              <w:rFonts w:ascii="楷体" w:hAnsi="楷体" w:eastAsia="楷体" w:cs="楷体"/>
              <w:b/>
              <w:bCs/>
              <w:sz w:val="36"/>
              <w:szCs w:val="24"/>
              <w:highlight w:val="none"/>
            </w:rPr>
          </w:pPr>
          <w:r>
            <w:rPr>
              <w:highlight w:val="none"/>
            </w:rPr>
            <w:fldChar w:fldCharType="begin"/>
          </w:r>
          <w:r>
            <w:rPr>
              <w:highlight w:val="none"/>
            </w:rPr>
            <w:instrText xml:space="preserve"> HYPERLINK \l "_Toc12153" </w:instrText>
          </w:r>
          <w:r>
            <w:rPr>
              <w:highlight w:val="none"/>
            </w:rPr>
            <w:fldChar w:fldCharType="separate"/>
          </w:r>
          <w:r>
            <w:rPr>
              <w:rFonts w:hint="eastAsia" w:ascii="楷体" w:hAnsi="楷体" w:eastAsia="楷体" w:cs="楷体"/>
              <w:b/>
              <w:bCs/>
              <w:sz w:val="30"/>
              <w:szCs w:val="30"/>
              <w:highlight w:val="none"/>
            </w:rPr>
            <w:t>第六章  投标文件格式</w:t>
          </w:r>
          <w:r>
            <w:rPr>
              <w:rFonts w:hint="eastAsia" w:ascii="楷体" w:hAnsi="楷体" w:eastAsia="楷体" w:cs="楷体"/>
              <w:b/>
              <w:bCs/>
              <w:sz w:val="30"/>
              <w:szCs w:val="30"/>
              <w:highlight w:val="none"/>
            </w:rPr>
            <w:tab/>
          </w:r>
          <w:r>
            <w:rPr>
              <w:rFonts w:hint="eastAsia" w:ascii="楷体" w:hAnsi="楷体" w:eastAsia="楷体" w:cs="楷体"/>
              <w:b/>
              <w:bCs/>
              <w:sz w:val="30"/>
              <w:szCs w:val="30"/>
              <w:highlight w:val="none"/>
            </w:rPr>
            <w:fldChar w:fldCharType="begin"/>
          </w:r>
          <w:r>
            <w:rPr>
              <w:rFonts w:hint="eastAsia" w:ascii="楷体" w:hAnsi="楷体" w:eastAsia="楷体" w:cs="楷体"/>
              <w:b/>
              <w:bCs/>
              <w:sz w:val="30"/>
              <w:szCs w:val="30"/>
              <w:highlight w:val="none"/>
            </w:rPr>
            <w:instrText xml:space="preserve"> PAGEREF _Toc12153 \h </w:instrText>
          </w:r>
          <w:r>
            <w:rPr>
              <w:rFonts w:hint="eastAsia" w:ascii="楷体" w:hAnsi="楷体" w:eastAsia="楷体" w:cs="楷体"/>
              <w:b/>
              <w:bCs/>
              <w:sz w:val="30"/>
              <w:szCs w:val="30"/>
              <w:highlight w:val="none"/>
            </w:rPr>
            <w:fldChar w:fldCharType="separate"/>
          </w:r>
          <w:r>
            <w:rPr>
              <w:rFonts w:hint="eastAsia" w:ascii="楷体" w:hAnsi="楷体" w:eastAsia="楷体" w:cs="楷体"/>
              <w:b/>
              <w:bCs/>
              <w:sz w:val="30"/>
              <w:szCs w:val="30"/>
              <w:highlight w:val="none"/>
            </w:rPr>
            <w:t>49</w:t>
          </w:r>
          <w:r>
            <w:rPr>
              <w:rFonts w:hint="eastAsia" w:ascii="楷体" w:hAnsi="楷体" w:eastAsia="楷体" w:cs="楷体"/>
              <w:b/>
              <w:bCs/>
              <w:sz w:val="30"/>
              <w:szCs w:val="30"/>
              <w:highlight w:val="none"/>
            </w:rPr>
            <w:fldChar w:fldCharType="end"/>
          </w:r>
          <w:r>
            <w:rPr>
              <w:rFonts w:hint="eastAsia" w:ascii="楷体" w:hAnsi="楷体" w:eastAsia="楷体" w:cs="楷体"/>
              <w:b/>
              <w:bCs/>
              <w:sz w:val="30"/>
              <w:szCs w:val="30"/>
              <w:highlight w:val="none"/>
            </w:rPr>
            <w:fldChar w:fldCharType="end"/>
          </w:r>
        </w:p>
        <w:p>
          <w:pPr>
            <w:pStyle w:val="15"/>
            <w:tabs>
              <w:tab w:val="right" w:leader="dot" w:pos="8300"/>
            </w:tabs>
            <w:ind w:left="960"/>
            <w:rPr>
              <w:highlight w:val="none"/>
            </w:rPr>
          </w:pPr>
        </w:p>
        <w:p>
          <w:pPr>
            <w:pStyle w:val="15"/>
            <w:tabs>
              <w:tab w:val="right" w:leader="dot" w:pos="8300"/>
            </w:tabs>
            <w:ind w:left="960"/>
            <w:rPr>
              <w:highlight w:val="none"/>
            </w:rPr>
          </w:pPr>
          <w:r>
            <w:rPr>
              <w:highlight w:val="none"/>
            </w:rPr>
            <w:fldChar w:fldCharType="end"/>
          </w:r>
        </w:p>
      </w:sdtContent>
    </w:sdt>
    <w:p>
      <w:pPr>
        <w:spacing w:line="720" w:lineRule="auto"/>
        <w:jc w:val="center"/>
        <w:rPr>
          <w:rFonts w:ascii="楷体" w:hAnsi="楷体" w:eastAsia="楷体" w:cs="楷体"/>
          <w:b/>
          <w:bCs/>
          <w:sz w:val="30"/>
          <w:szCs w:val="30"/>
          <w:highlight w:val="none"/>
        </w:rPr>
      </w:pPr>
      <w:r>
        <w:rPr>
          <w:highlight w:val="none"/>
        </w:rPr>
        <w:fldChar w:fldCharType="begin"/>
      </w:r>
      <w:r>
        <w:rPr>
          <w:highlight w:val="none"/>
        </w:rPr>
        <w:instrText xml:space="preserve"> HYPERLINK \l "_Toc31319" </w:instrText>
      </w:r>
      <w:r>
        <w:rPr>
          <w:highlight w:val="none"/>
        </w:rPr>
        <w:fldChar w:fldCharType="separate"/>
      </w:r>
      <w:r>
        <w:rPr>
          <w:highlight w:val="none"/>
        </w:rPr>
        <w:fldChar w:fldCharType="end"/>
      </w:r>
    </w:p>
    <w:p>
      <w:pPr>
        <w:pStyle w:val="3"/>
        <w:keepNext w:val="0"/>
        <w:keepLines/>
        <w:pageBreakBefore/>
        <w:spacing w:line="360" w:lineRule="auto"/>
        <w:jc w:val="center"/>
        <w:rPr>
          <w:rFonts w:ascii="楷体" w:hAnsi="楷体" w:eastAsia="楷体" w:cs="楷体"/>
          <w:bCs/>
          <w:sz w:val="36"/>
          <w:szCs w:val="36"/>
          <w:highlight w:val="none"/>
        </w:rPr>
        <w:sectPr>
          <w:footerReference r:id="rId5" w:type="default"/>
          <w:pgSz w:w="11906" w:h="16838"/>
          <w:pgMar w:top="1440" w:right="1803" w:bottom="1440" w:left="1803" w:header="851" w:footer="992" w:gutter="0"/>
          <w:pgNumType w:start="1"/>
          <w:cols w:space="720" w:num="1"/>
          <w:docGrid w:type="lines" w:linePitch="312" w:charSpace="0"/>
        </w:sectPr>
      </w:pPr>
    </w:p>
    <w:p>
      <w:pPr>
        <w:pStyle w:val="3"/>
        <w:keepNext w:val="0"/>
        <w:keepLines/>
        <w:pageBreakBefore/>
        <w:spacing w:line="360" w:lineRule="auto"/>
        <w:jc w:val="center"/>
        <w:rPr>
          <w:rFonts w:ascii="楷体" w:hAnsi="楷体" w:eastAsia="楷体" w:cs="楷体"/>
          <w:bCs/>
          <w:sz w:val="36"/>
          <w:szCs w:val="36"/>
          <w:highlight w:val="none"/>
        </w:rPr>
      </w:pPr>
      <w:bookmarkStart w:id="24" w:name="_Toc9569"/>
      <w:r>
        <w:rPr>
          <w:rFonts w:hint="eastAsia" w:ascii="楷体" w:hAnsi="楷体" w:eastAsia="楷体" w:cs="楷体"/>
          <w:bCs/>
          <w:sz w:val="36"/>
          <w:szCs w:val="36"/>
          <w:highlight w:val="none"/>
        </w:rPr>
        <w:t xml:space="preserve">第一章  </w:t>
      </w:r>
      <w:bookmarkEnd w:id="4"/>
      <w:bookmarkEnd w:id="5"/>
      <w:bookmarkEnd w:id="6"/>
      <w:bookmarkEnd w:id="7"/>
      <w:bookmarkEnd w:id="8"/>
      <w:bookmarkEnd w:id="9"/>
      <w:bookmarkEnd w:id="10"/>
      <w:r>
        <w:rPr>
          <w:rFonts w:hint="eastAsia" w:ascii="楷体" w:hAnsi="楷体" w:eastAsia="楷体" w:cs="楷体"/>
          <w:bCs/>
          <w:sz w:val="36"/>
          <w:szCs w:val="36"/>
          <w:highlight w:val="none"/>
        </w:rPr>
        <w:t>招标公告</w:t>
      </w:r>
      <w:bookmarkEnd w:id="11"/>
      <w:bookmarkEnd w:id="15"/>
      <w:bookmarkEnd w:id="16"/>
      <w:bookmarkEnd w:id="17"/>
      <w:bookmarkEnd w:id="18"/>
      <w:bookmarkEnd w:id="19"/>
      <w:bookmarkEnd w:id="20"/>
      <w:bookmarkEnd w:id="21"/>
      <w:bookmarkEnd w:id="22"/>
      <w:bookmarkEnd w:id="23"/>
      <w:bookmarkEnd w:id="2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楷体" w:hAnsi="楷体" w:eastAsia="楷体" w:cs="楷体"/>
          <w:b w:val="0"/>
          <w:bCs w:val="0"/>
          <w:color w:val="auto"/>
          <w:sz w:val="24"/>
          <w:szCs w:val="24"/>
        </w:rPr>
      </w:pPr>
      <w:bookmarkStart w:id="25" w:name="_Toc2929"/>
      <w:bookmarkStart w:id="26" w:name="_Toc389582035"/>
      <w:bookmarkStart w:id="27" w:name="_Toc27594"/>
      <w:bookmarkStart w:id="28" w:name="_Toc29249"/>
      <w:bookmarkStart w:id="29" w:name="_Toc26058"/>
      <w:r>
        <w:rPr>
          <w:rStyle w:val="30"/>
          <w:rFonts w:hint="eastAsia" w:ascii="楷体" w:hAnsi="楷体" w:eastAsia="楷体" w:cs="楷体"/>
          <w:b/>
          <w:bCs/>
          <w:i w:val="0"/>
          <w:iCs w:val="0"/>
          <w:caps w:val="0"/>
          <w:color w:val="auto"/>
          <w:spacing w:val="0"/>
          <w:sz w:val="24"/>
          <w:szCs w:val="24"/>
          <w:shd w:val="clear" w:fill="FFFFFF"/>
        </w:rPr>
        <w:t>项目概况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学生饮用水采购项目招标项目的潜在投标人应在全国公共资源交易平台（陕西省·西安市）网站〖首页〉电子交易平台〉陕西政府采购交易系统〉企业端〗获取招标文件，并于 2023年09月14日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一、项目基本情况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项目编号：ZYZB2023-GK1120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项目名称：学生饮用水采购项目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采购方式：公开招标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预算金额：6,900,000.00元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采购需求：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合同包1(未央路以东各公办幼儿园、小学、初中学生饮用水采购):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合同包预算金额：3,725,395.00元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合同包最高限价：3,725,395.00元</w:t>
      </w:r>
    </w:p>
    <w:tbl>
      <w:tblPr>
        <w:tblStyle w:val="2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1578"/>
        <w:gridCol w:w="745"/>
        <w:gridCol w:w="987"/>
        <w:gridCol w:w="1252"/>
        <w:gridCol w:w="1682"/>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其他会议、展览、住宿和餐饮服务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学生饮用水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3,725,395.00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3,725,395.00</w:t>
            </w:r>
          </w:p>
        </w:tc>
      </w:tr>
    </w:tbl>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合同履行期限：按采购人要求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合同包2(二环以内各公办幼儿园、小学、初中学生饮用水采购):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合同包预算金额：1,952,430.00元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合同包最高限价：1,952,430.00元</w:t>
      </w:r>
    </w:p>
    <w:tbl>
      <w:tblPr>
        <w:tblStyle w:val="2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1578"/>
        <w:gridCol w:w="745"/>
        <w:gridCol w:w="987"/>
        <w:gridCol w:w="1252"/>
        <w:gridCol w:w="1682"/>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其他会议、展览、住宿和餐饮服务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学生饮用水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1,952,430.00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1,952,430.00</w:t>
            </w:r>
          </w:p>
        </w:tc>
      </w:tr>
    </w:tbl>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合同履行期限：按采购人要求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合同包3(未央路以西各公办幼儿园、小学、初中学生饮用水采购):</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合同包预算金额：1,222,175.00元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合同包最高限价：1,222,175.00元</w:t>
      </w:r>
    </w:p>
    <w:tbl>
      <w:tblPr>
        <w:tblStyle w:val="2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1578"/>
        <w:gridCol w:w="745"/>
        <w:gridCol w:w="987"/>
        <w:gridCol w:w="1252"/>
        <w:gridCol w:w="1682"/>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其他会议、展览、住宿和餐饮服务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学生饮用水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1,222,175.00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1,222,175.00</w:t>
            </w:r>
          </w:p>
        </w:tc>
      </w:tr>
    </w:tbl>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合同履行期限：按采购要求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二、申请人的资格要求：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1.满足《中华人民共和国政府采购法》第二十二条规定;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2.落实政府采购政策需满足的资格要求：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合同包1(未央路以东各公办幼儿园、小学、初中学生饮用水采购)落实政府采购政策需满足的资格要求如下: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本包专门面向中小企业采购，投标人须为中小微企业或监狱企业或残疾人福利性单。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合同包2(二环以内各公办幼儿园、小学、初中学生饮用水采购)落实政府采购政策需满足的资格要求如下: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本包专门面向中小企业采购，投标人须为中小微企业或监狱企业或残疾人福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利性单。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合同包3(未央路以西各公办幼儿园、小学、初中学生饮用水采购)落实政府采购政策需满足的资格要求如下: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本包专门面向中小企业采购，投标人须为中小微企业或监狱企业或残疾人福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利性单。</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3.本项目的特定资格要求：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合同包1(未央路以东各公办幼儿园、小学、初中学生饮用水采购)特定资格要求如下:</w:t>
      </w:r>
    </w:p>
    <w:p>
      <w:pPr>
        <w:pStyle w:val="2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投标人未被列入信用中国网站(www.creditchina.gov.cn)“失信被执</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（3）投标人须具备食品生产许可证（生产许可证中生产者名称与营业执照名称一致）；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（4）为学校提供的饮水机具有3C认证证书及保险。</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合同包2(二环以内各公办幼儿园、小学、初中学生饮用水采购)特定资格要求如下:</w:t>
      </w:r>
    </w:p>
    <w:p>
      <w:pPr>
        <w:pStyle w:val="2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投标人未被列入信用中国网站(www.creditchina.gov.cn)“失信被执</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（3）投标人须具备食品生产许可证（生产许可证中生产者名称与营业执照名称一致）；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（4）为学校提供的饮水机具有3C认证证书及保险。</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合同包3(未央路以西各公办幼儿园、小学、初中学生饮用水采购)特定资格要求如下:</w:t>
      </w:r>
    </w:p>
    <w:p>
      <w:pPr>
        <w:pStyle w:val="2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楷体" w:hAnsi="楷体" w:eastAsia="楷体" w:cs="楷体"/>
          <w:i w:val="0"/>
          <w:iCs w:val="0"/>
          <w:caps w:val="0"/>
          <w:color w:val="auto"/>
          <w:spacing w:val="0"/>
          <w:sz w:val="24"/>
          <w:szCs w:val="24"/>
          <w:shd w:val="clear" w:fill="FFFFFF"/>
        </w:rPr>
      </w:pPr>
      <w:r>
        <w:rPr>
          <w:rFonts w:hint="eastAsia" w:ascii="楷体" w:hAnsi="楷体" w:eastAsia="楷体" w:cs="楷体"/>
          <w:i w:val="0"/>
          <w:iCs w:val="0"/>
          <w:caps w:val="0"/>
          <w:color w:val="auto"/>
          <w:spacing w:val="0"/>
          <w:sz w:val="24"/>
          <w:szCs w:val="24"/>
          <w:shd w:val="clear" w:fill="FFFFFF"/>
        </w:rPr>
        <w:t>投标人未被列入信用中国网站(www.creditchina.gov.cn)“失信被执</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（2）法定代表人授权委托书、被授权人身份证（法定代表人参加投标时,只需提供法定代表人身份证）；</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（3）投标人须具备食品生产许可证（生产许可证中生产者名称与营业执照名称一致）；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lang w:val="en-US" w:eastAsia="zh-CN"/>
        </w:rPr>
        <w:t xml:space="preserve">    </w:t>
      </w:r>
      <w:r>
        <w:rPr>
          <w:rFonts w:hint="eastAsia" w:ascii="楷体" w:hAnsi="楷体" w:eastAsia="楷体" w:cs="楷体"/>
          <w:i w:val="0"/>
          <w:iCs w:val="0"/>
          <w:caps w:val="0"/>
          <w:color w:val="auto"/>
          <w:spacing w:val="0"/>
          <w:sz w:val="24"/>
          <w:szCs w:val="24"/>
          <w:shd w:val="clear" w:fill="FFFFFF"/>
        </w:rPr>
        <w:t>（4）为学校提供的饮水机具有3C认证证书及保险。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三、获取招标文件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2023年08月24日 至 2023年08月30日 ，每天上午 00:00:00 至 12:00:00 ，下午 12:00:00 至 23:59:59 （北京时间）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途径：全国公共资源交易平台（陕西省·西安市）网站〖首页〉电子交易平台〉陕西政府采购交易系统〉企业端〗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方式：在线获取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四、提交投标文件截止时间、开标时间和地点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2023年09月14日 09时00分00秒 （北京时间）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提交投标文件地点：全国公共资源交易平台（陕西省·西安市）网站〖首页〉电子交易平台〉陕西政府采购交易系统〉企业端〗在线提交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开标地点：全国公共资源交易平台（陕西省·西安市）网站〖首页〉不见面开标大厅〉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五、公告期限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六、其他补充事宜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3）获取招标文件：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请供应商务必在采购文件获取期限内及时下载电子招标文件并做好备份，逾期无法再下载，否则会影响投标文件编制及后续投标活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（5）按照陕西省财政厅《关于政府采购供应商注册登记有关事项的通知》中的要求，供应商应通过陕西省政府采购网（http://www.ccgp-shaanxi.gov.cn/）注册登记，加入陕西省政府采购供应商库。</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（6）需要落实的政府采购政策：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（7）本项目各包具体划分学校为：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合同包1(未央路以东各公办幼儿园、小学、初中学生饮用水采购)包含西安市未央区第四幼儿园、未央区凤凰城幼儿园、长庆湖滨花园幼儿园、未央区龙朔路幼儿园、西安市未央区幼儿园、西安市未央区西航天鼎保育院、西安市未央区西航南苑幼儿园、西安市未央区天和新府幼儿园、未央区馨和居幼儿园、西安市未央区百花小学、西安市未央区红旗小学、西安市未央区西航四校、西安市未央区新光小学、西安市未央区新兴小学、西安市东元路学校、西安市未央区永顺路小学、西安市未央区崇文路小学、西安市汉都新苑中学、西安市未央区开元小学、西安市未央区西航三校、西安市未央区西航二校、西安市未央区实验学校、西安市未央区三星小学、西安市未央区大明宫小学、西安市未央区第一学校、西安市第五十八中学、西安市西航二中、西安高级中学、西安市西航一中、西安市第十七中学、西安市第十一中学、西安市未央区汉都新苑第二小学、未央区永庆小学、未央区团结学校（配建暂定名）。</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合同包2(二环以内各公办幼儿园、小学、初中学生饮用水采购)包含西安市未央区第五幼儿园、西安市未央区先锋花园幼儿园、西安市未央区二府庄幼儿园、西安市未央区先锋小学、西安市未央区东前进小学、西安市未央区方新小学、西安市未央区南康小学、西安市未央区范家小学、西安市未央区枣园小学、西安市未央区太康路小学、西安市未央区未央路小学、西安市未央区玄武路小学、西安市太元路学校、西安市第四十八中学、西安市第七十五中学、西安市未央区永隆路小学、西安市未央区永泰路小学。</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fill="FFFFFF"/>
          <w:lang w:val="en-US" w:eastAsia="zh-CN" w:bidi="ar"/>
        </w:rPr>
        <w:t>合同包3(未央路以西各公办幼儿园、小学、初中学生饮用水采购)包含西安市未央区长乐西苑幼儿园、西安市未央区汉都新苑第二幼儿园、西安市未央区汉都新苑第一幼儿园、西安市未央区汉都新苑第三幼儿园、西安市未央区中心幼儿园、西安市未央区长乐第二小学、西安市未央区六村堡小学、西安市未央区徐寨小学、西安市未央区三官庙小学、西安市未央区杨善寨小学、西安市未央区雷寨小学、西安市未央区汉都新苑第一小学、西安市未央区讲武殿小学、西安市未央区兴丰路小学、西安市未央区楼阁台小学、西安市未央区大白杨小学、西安市汉都第一学校、西安市未央区特殊教育学校、西安市第七十六中学、西安市未央区职业教育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楷体" w:hAnsi="楷体" w:eastAsia="楷体" w:cs="楷体"/>
          <w:b w:val="0"/>
          <w:bCs w:val="0"/>
          <w:i w:val="0"/>
          <w:iCs w:val="0"/>
          <w:caps w:val="0"/>
          <w:color w:val="auto"/>
          <w:spacing w:val="0"/>
          <w:sz w:val="24"/>
          <w:szCs w:val="24"/>
        </w:rPr>
      </w:pPr>
      <w:r>
        <w:rPr>
          <w:rStyle w:val="30"/>
          <w:rFonts w:hint="eastAsia" w:ascii="楷体" w:hAnsi="楷体" w:eastAsia="楷体" w:cs="楷体"/>
          <w:b/>
          <w:bCs/>
          <w:i w:val="0"/>
          <w:iCs w:val="0"/>
          <w:caps w:val="0"/>
          <w:color w:val="auto"/>
          <w:spacing w:val="0"/>
          <w:sz w:val="24"/>
          <w:szCs w:val="24"/>
          <w:shd w:val="clear" w:fill="FFFFFF"/>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1.采购人信息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名称：西安市未央区教育局</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地址：陕西省西安市未央区汇文南路75号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联系方式：029-86239786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2.采购代理机构信息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名称：陕西正翼项目管理咨询有限公司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地址：陕西省西安市未央区西安经济技术开发区凤城一路6号利君V时代B座901、912室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联系方式：029-86210100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3.项目联系方式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项目联系人：张晶、冯丹</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电话：029-86210100转808</w:t>
      </w:r>
    </w:p>
    <w:p>
      <w:pPr>
        <w:keepNext w:val="0"/>
        <w:keepLines w:val="0"/>
        <w:pageBreakBefore w:val="0"/>
        <w:kinsoku/>
        <w:overflowPunct/>
        <w:topLinePunct w:val="0"/>
        <w:autoSpaceDE/>
        <w:autoSpaceDN/>
        <w:bidi w:val="0"/>
        <w:adjustRightInd/>
        <w:snapToGrid/>
        <w:spacing w:line="360" w:lineRule="auto"/>
        <w:jc w:val="right"/>
        <w:textAlignment w:val="auto"/>
        <w:outlineLvl w:val="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陕西正翼项目管理咨询有限公司</w:t>
      </w:r>
    </w:p>
    <w:p>
      <w:pPr>
        <w:keepNext w:val="0"/>
        <w:keepLines w:val="0"/>
        <w:pageBreakBefore w:val="0"/>
        <w:kinsoku/>
        <w:overflowPunct/>
        <w:topLinePunct w:val="0"/>
        <w:autoSpaceDE/>
        <w:autoSpaceDN/>
        <w:bidi w:val="0"/>
        <w:adjustRightInd/>
        <w:snapToGrid/>
        <w:spacing w:line="360" w:lineRule="auto"/>
        <w:jc w:val="righ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u w:val="single"/>
        </w:rPr>
        <w:t>2023</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single"/>
          <w:lang w:val="en-US" w:eastAsia="zh-CN"/>
        </w:rPr>
        <w:t>8</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u w:val="single"/>
          <w:lang w:val="en-US" w:eastAsia="zh-CN"/>
        </w:rPr>
        <w:t>23</w:t>
      </w:r>
      <w:r>
        <w:rPr>
          <w:rFonts w:hint="eastAsia" w:ascii="楷体" w:hAnsi="楷体" w:eastAsia="楷体" w:cs="楷体"/>
          <w:color w:val="auto"/>
          <w:sz w:val="24"/>
          <w:szCs w:val="24"/>
          <w:highlight w:val="none"/>
        </w:rPr>
        <w:t>日</w:t>
      </w:r>
    </w:p>
    <w:p>
      <w:pPr>
        <w:pStyle w:val="3"/>
        <w:keepNext w:val="0"/>
        <w:keepLines/>
        <w:pageBreakBefore/>
        <w:spacing w:line="360" w:lineRule="auto"/>
        <w:jc w:val="center"/>
        <w:rPr>
          <w:rFonts w:ascii="楷体" w:hAnsi="楷体" w:eastAsia="楷体" w:cs="楷体"/>
          <w:bCs/>
          <w:sz w:val="36"/>
          <w:szCs w:val="36"/>
          <w:highlight w:val="none"/>
        </w:rPr>
      </w:pPr>
      <w:bookmarkStart w:id="30" w:name="_Toc4972"/>
      <w:bookmarkStart w:id="31" w:name="_Toc7803"/>
      <w:bookmarkStart w:id="32" w:name="_Toc1489"/>
      <w:bookmarkStart w:id="33" w:name="_Toc23835"/>
      <w:bookmarkStart w:id="34" w:name="_Toc20489"/>
      <w:bookmarkStart w:id="35" w:name="_Toc30124"/>
      <w:bookmarkStart w:id="36" w:name="_Toc3496"/>
      <w:bookmarkStart w:id="37" w:name="_Toc30070"/>
      <w:r>
        <w:rPr>
          <w:rFonts w:hint="eastAsia" w:ascii="楷体" w:hAnsi="楷体" w:eastAsia="楷体" w:cs="楷体"/>
          <w:bCs/>
          <w:sz w:val="36"/>
          <w:szCs w:val="36"/>
          <w:highlight w:val="none"/>
        </w:rPr>
        <w:t xml:space="preserve">第二章  </w:t>
      </w:r>
      <w:bookmarkEnd w:id="25"/>
      <w:bookmarkEnd w:id="26"/>
      <w:r>
        <w:rPr>
          <w:rFonts w:hint="eastAsia" w:ascii="楷体" w:hAnsi="楷体" w:eastAsia="楷体" w:cs="楷体"/>
          <w:bCs/>
          <w:sz w:val="36"/>
          <w:szCs w:val="36"/>
          <w:highlight w:val="none"/>
        </w:rPr>
        <w:t>投标人须知</w:t>
      </w:r>
      <w:bookmarkEnd w:id="27"/>
      <w:bookmarkEnd w:id="28"/>
      <w:bookmarkEnd w:id="29"/>
      <w:bookmarkEnd w:id="30"/>
      <w:bookmarkEnd w:id="31"/>
      <w:bookmarkEnd w:id="32"/>
      <w:bookmarkEnd w:id="33"/>
      <w:bookmarkEnd w:id="34"/>
      <w:bookmarkEnd w:id="35"/>
      <w:bookmarkEnd w:id="36"/>
      <w:bookmarkEnd w:id="37"/>
    </w:p>
    <w:p>
      <w:pPr>
        <w:jc w:val="center"/>
        <w:rPr>
          <w:rFonts w:ascii="楷体" w:hAnsi="楷体" w:eastAsia="楷体" w:cs="楷体"/>
          <w:b/>
          <w:bCs/>
          <w:sz w:val="30"/>
          <w:szCs w:val="30"/>
          <w:highlight w:val="none"/>
        </w:rPr>
      </w:pPr>
      <w:bookmarkStart w:id="38" w:name="_Toc2257"/>
      <w:bookmarkStart w:id="39" w:name="_Toc19364"/>
      <w:bookmarkStart w:id="40" w:name="_Toc423973073"/>
      <w:r>
        <w:rPr>
          <w:rFonts w:hint="eastAsia" w:ascii="楷体" w:hAnsi="楷体" w:eastAsia="楷体" w:cs="楷体"/>
          <w:b/>
          <w:bCs/>
          <w:sz w:val="30"/>
          <w:szCs w:val="30"/>
          <w:highlight w:val="none"/>
        </w:rPr>
        <w:t>投标人须知前附表</w:t>
      </w:r>
      <w:bookmarkEnd w:id="38"/>
      <w:bookmarkEnd w:id="39"/>
      <w:bookmarkEnd w:id="40"/>
    </w:p>
    <w:tbl>
      <w:tblPr>
        <w:tblStyle w:val="27"/>
        <w:tblW w:w="88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3"/>
        <w:gridCol w:w="931"/>
        <w:gridCol w:w="7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 w:hRule="atLeast"/>
          <w:tblHeader/>
          <w:jc w:val="center"/>
        </w:trPr>
        <w:tc>
          <w:tcPr>
            <w:tcW w:w="603" w:type="dxa"/>
            <w:vAlign w:val="center"/>
          </w:tcPr>
          <w:p>
            <w:pPr>
              <w:spacing w:line="360" w:lineRule="auto"/>
              <w:jc w:val="center"/>
              <w:rPr>
                <w:rFonts w:ascii="楷体" w:hAnsi="楷体" w:eastAsia="楷体" w:cs="楷体"/>
                <w:b/>
                <w:szCs w:val="24"/>
                <w:highlight w:val="none"/>
              </w:rPr>
            </w:pPr>
            <w:r>
              <w:rPr>
                <w:rFonts w:hint="eastAsia" w:ascii="楷体" w:hAnsi="楷体" w:eastAsia="楷体" w:cs="楷体"/>
                <w:b/>
                <w:szCs w:val="24"/>
                <w:highlight w:val="none"/>
              </w:rPr>
              <w:t>序号</w:t>
            </w:r>
          </w:p>
        </w:tc>
        <w:tc>
          <w:tcPr>
            <w:tcW w:w="931" w:type="dxa"/>
            <w:vAlign w:val="center"/>
          </w:tcPr>
          <w:p>
            <w:pPr>
              <w:spacing w:line="360" w:lineRule="auto"/>
              <w:jc w:val="center"/>
              <w:rPr>
                <w:rFonts w:ascii="楷体" w:hAnsi="楷体" w:eastAsia="楷体" w:cs="楷体"/>
                <w:b/>
                <w:szCs w:val="24"/>
                <w:highlight w:val="none"/>
              </w:rPr>
            </w:pPr>
            <w:r>
              <w:rPr>
                <w:rFonts w:hint="eastAsia" w:ascii="楷体" w:hAnsi="楷体" w:eastAsia="楷体" w:cs="楷体"/>
                <w:b/>
                <w:szCs w:val="24"/>
                <w:highlight w:val="none"/>
              </w:rPr>
              <w:t>条款号</w:t>
            </w:r>
          </w:p>
        </w:tc>
        <w:tc>
          <w:tcPr>
            <w:tcW w:w="7322" w:type="dxa"/>
            <w:vAlign w:val="center"/>
          </w:tcPr>
          <w:p>
            <w:pPr>
              <w:spacing w:line="360" w:lineRule="auto"/>
              <w:jc w:val="center"/>
              <w:rPr>
                <w:rFonts w:ascii="楷体" w:hAnsi="楷体" w:eastAsia="楷体" w:cs="楷体"/>
                <w:b/>
                <w:szCs w:val="24"/>
                <w:highlight w:val="none"/>
              </w:rPr>
            </w:pPr>
            <w:r>
              <w:rPr>
                <w:rFonts w:hint="eastAsia" w:ascii="楷体" w:hAnsi="楷体" w:eastAsia="楷体" w:cs="楷体"/>
                <w:b/>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2.1</w:t>
            </w:r>
          </w:p>
        </w:tc>
        <w:tc>
          <w:tcPr>
            <w:tcW w:w="7322" w:type="dxa"/>
          </w:tcPr>
          <w:p>
            <w:pPr>
              <w:spacing w:line="360" w:lineRule="auto"/>
              <w:rPr>
                <w:rFonts w:hint="eastAsia" w:ascii="楷体" w:hAnsi="楷体" w:eastAsia="楷体" w:cs="楷体"/>
                <w:szCs w:val="24"/>
                <w:highlight w:val="none"/>
                <w:lang w:eastAsia="zh-CN"/>
              </w:rPr>
            </w:pPr>
            <w:r>
              <w:rPr>
                <w:rFonts w:hint="eastAsia" w:ascii="楷体" w:hAnsi="楷体" w:eastAsia="楷体" w:cs="楷体"/>
                <w:szCs w:val="24"/>
                <w:highlight w:val="none"/>
              </w:rPr>
              <w:t>招标代理机构：</w:t>
            </w:r>
            <w:r>
              <w:rPr>
                <w:rFonts w:hint="eastAsia" w:ascii="楷体" w:hAnsi="楷体" w:eastAsia="楷体" w:cs="楷体"/>
                <w:szCs w:val="24"/>
                <w:highlight w:val="none"/>
                <w:lang w:eastAsia="zh-CN"/>
              </w:rPr>
              <w:t>陕西正翼项目管理咨询有限公司</w:t>
            </w:r>
          </w:p>
          <w:p>
            <w:pPr>
              <w:spacing w:line="360" w:lineRule="auto"/>
              <w:rPr>
                <w:rFonts w:ascii="楷体" w:hAnsi="楷体" w:eastAsia="楷体" w:cs="楷体"/>
                <w:szCs w:val="24"/>
                <w:highlight w:val="none"/>
              </w:rPr>
            </w:pPr>
            <w:r>
              <w:rPr>
                <w:rFonts w:hint="eastAsia" w:ascii="楷体" w:hAnsi="楷体" w:eastAsia="楷体" w:cs="楷体"/>
                <w:szCs w:val="24"/>
                <w:highlight w:val="none"/>
              </w:rPr>
              <w:t>地址：西安经济技术开发区凤城一路6号利君V时代B座9F</w:t>
            </w:r>
          </w:p>
          <w:p>
            <w:pPr>
              <w:spacing w:line="360" w:lineRule="auto"/>
              <w:rPr>
                <w:rFonts w:ascii="楷体" w:hAnsi="楷体" w:eastAsia="楷体" w:cs="楷体"/>
                <w:szCs w:val="24"/>
                <w:highlight w:val="none"/>
              </w:rPr>
            </w:pPr>
            <w:r>
              <w:rPr>
                <w:rFonts w:hint="eastAsia" w:ascii="楷体" w:hAnsi="楷体" w:eastAsia="楷体" w:cs="楷体"/>
                <w:szCs w:val="24"/>
                <w:highlight w:val="none"/>
              </w:rPr>
              <w:t>采购项目联系人：张晶、冯丹</w:t>
            </w:r>
          </w:p>
          <w:p>
            <w:pPr>
              <w:spacing w:line="360" w:lineRule="auto"/>
              <w:rPr>
                <w:rFonts w:ascii="楷体" w:hAnsi="楷体" w:eastAsia="楷体" w:cs="楷体"/>
                <w:szCs w:val="24"/>
                <w:highlight w:val="none"/>
              </w:rPr>
            </w:pPr>
            <w:r>
              <w:rPr>
                <w:rFonts w:hint="eastAsia" w:ascii="楷体" w:hAnsi="楷体" w:eastAsia="楷体" w:cs="楷体"/>
                <w:szCs w:val="24"/>
                <w:highlight w:val="none"/>
              </w:rPr>
              <w:t>电话：</w:t>
            </w:r>
            <w:r>
              <w:rPr>
                <w:rFonts w:hint="eastAsia" w:ascii="楷体" w:hAnsi="楷体" w:eastAsia="楷体" w:cs="楷体"/>
                <w:szCs w:val="24"/>
                <w:highlight w:val="none"/>
                <w:shd w:val="clear" w:color="auto" w:fill="FFFFFF"/>
              </w:rPr>
              <w:t>029-86210100转808</w:t>
            </w:r>
          </w:p>
          <w:p>
            <w:pPr>
              <w:spacing w:line="360" w:lineRule="auto"/>
              <w:rPr>
                <w:rFonts w:ascii="楷体" w:hAnsi="楷体" w:eastAsia="楷体" w:cs="楷体"/>
                <w:szCs w:val="24"/>
                <w:highlight w:val="none"/>
              </w:rPr>
            </w:pPr>
            <w:r>
              <w:rPr>
                <w:rFonts w:hint="eastAsia" w:ascii="楷体" w:hAnsi="楷体" w:eastAsia="楷体" w:cs="楷体"/>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2.3</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3</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10.2</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4</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12.2</w:t>
            </w:r>
          </w:p>
        </w:tc>
        <w:tc>
          <w:tcPr>
            <w:tcW w:w="732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szCs w:val="24"/>
                <w:highlight w:val="none"/>
              </w:rPr>
            </w:pPr>
            <w:r>
              <w:rPr>
                <w:rFonts w:hint="eastAsia" w:ascii="楷体" w:hAnsi="楷体" w:eastAsia="楷体" w:cs="楷体"/>
                <w:szCs w:val="24"/>
                <w:highlight w:val="none"/>
              </w:rPr>
              <w:t>投标报价：</w:t>
            </w:r>
            <w:bookmarkStart w:id="41" w:name="OLE_LINK11"/>
            <w:r>
              <w:rPr>
                <w:rFonts w:hint="eastAsia" w:ascii="楷体" w:hAnsi="楷体" w:eastAsia="楷体" w:cs="楷体"/>
                <w:szCs w:val="24"/>
                <w:highlight w:val="none"/>
                <w:lang w:eastAsia="zh-CN"/>
              </w:rPr>
              <w:t>投标人</w:t>
            </w:r>
            <w:r>
              <w:rPr>
                <w:rFonts w:hint="eastAsia" w:ascii="楷体" w:hAnsi="楷体" w:eastAsia="楷体" w:cs="楷体"/>
                <w:szCs w:val="24"/>
                <w:highlight w:val="none"/>
              </w:rPr>
              <w:t>在投标报价表中标明完成本次招标所要求的货物、服务且检验合格的所有费用，包括但不限于饮水机、饮水桶的使用及配送、清洗消毒、人工工资费、配送费、车辆燃油费、仓储保管费、税金等其他一切相关费用。投标报价表中标明本次货物、服务的所有单项价格和总价，任何有选择的报价将不予接受，否则按无效投标处理。</w:t>
            </w:r>
            <w:bookmarkEnd w:id="4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5</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13.1</w:t>
            </w:r>
          </w:p>
        </w:tc>
        <w:tc>
          <w:tcPr>
            <w:tcW w:w="7322" w:type="dxa"/>
          </w:tcPr>
          <w:p>
            <w:pPr>
              <w:spacing w:line="360" w:lineRule="auto"/>
              <w:rPr>
                <w:rFonts w:ascii="楷体" w:hAnsi="楷体" w:eastAsia="楷体" w:cs="楷体"/>
                <w:b/>
                <w:bCs/>
                <w:szCs w:val="24"/>
                <w:highlight w:val="none"/>
              </w:rPr>
            </w:pPr>
            <w:r>
              <w:rPr>
                <w:rFonts w:hint="eastAsia" w:ascii="楷体" w:hAnsi="楷体" w:eastAsia="楷体" w:cs="楷体"/>
                <w:b/>
                <w:bCs/>
                <w:szCs w:val="24"/>
                <w:highlight w:val="none"/>
              </w:rPr>
              <w:t>投标人资质要求：</w:t>
            </w:r>
          </w:p>
          <w:p>
            <w:pPr>
              <w:spacing w:line="360" w:lineRule="auto"/>
              <w:rPr>
                <w:rFonts w:ascii="楷体" w:hAnsi="楷体" w:eastAsia="楷体" w:cs="楷体"/>
                <w:szCs w:val="24"/>
                <w:highlight w:val="none"/>
              </w:rPr>
            </w:pPr>
            <w:r>
              <w:rPr>
                <w:rFonts w:hint="eastAsia" w:ascii="楷体" w:hAnsi="楷体" w:eastAsia="楷体" w:cs="楷体"/>
                <w:szCs w:val="24"/>
                <w:highlight w:val="none"/>
              </w:rPr>
              <w:t>1、投标人具备《中华人民共和国政府采购法》第二十二条规定之资格条件。须提供的证明材料有：</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1.1提供有效合格的具有社会统一信用代码的营业执照，其他组织经营的须提供合法凭证，自然人提供身份证明文件;</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1.2财务状况报告：提供2022年度经审计的完整财务报告或开标日期前三个月内其基本存款账户开户银行出具的资信证明。（如提供资信证明，须同时提供基本存款账户开户许可证或基本账户信息表）；</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1.3税收缴纳证明：提供2022年</w:t>
            </w:r>
            <w:r>
              <w:rPr>
                <w:rFonts w:hint="eastAsia" w:ascii="楷体" w:hAnsi="楷体" w:eastAsia="楷体" w:cs="楷体"/>
                <w:highlight w:val="none"/>
                <w:lang w:val="en-US" w:eastAsia="zh-CN"/>
              </w:rPr>
              <w:t>6</w:t>
            </w:r>
            <w:r>
              <w:rPr>
                <w:rFonts w:hint="eastAsia" w:ascii="楷体" w:hAnsi="楷体" w:eastAsia="楷体" w:cs="楷体"/>
                <w:highlight w:val="none"/>
              </w:rPr>
              <w:t>月至今已缴纳的至少一个月的税收缴纳证明，依法免税的单位应提供相关证明材料；</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1.4社会保障资金缴纳证明：提供2022年</w:t>
            </w:r>
            <w:r>
              <w:rPr>
                <w:rFonts w:hint="eastAsia" w:ascii="楷体" w:hAnsi="楷体" w:eastAsia="楷体" w:cs="楷体"/>
                <w:highlight w:val="none"/>
                <w:lang w:val="en-US" w:eastAsia="zh-CN"/>
              </w:rPr>
              <w:t>6</w:t>
            </w:r>
            <w:r>
              <w:rPr>
                <w:rFonts w:hint="eastAsia" w:ascii="楷体" w:hAnsi="楷体" w:eastAsia="楷体" w:cs="楷体"/>
                <w:highlight w:val="none"/>
              </w:rPr>
              <w:t>月至今已缴存的至少一个月的社会保障资金缴存单据或社保机构开具的社会保险参保缴费情况证明，依法不需要缴纳社会保障资金的单位应提供相关证明材料；</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1.5具备履行合同所必须的设备和专业技术能力的书面声明;</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1.6参加政府采购活动前三年内，在经营活动中没有重大违法记录的书面声明；</w:t>
            </w:r>
          </w:p>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2.特定资格条件</w:t>
            </w:r>
          </w:p>
          <w:p>
            <w:pPr>
              <w:pStyle w:val="24"/>
              <w:spacing w:before="0" w:beforeAutospacing="0" w:after="0" w:afterAutospacing="0" w:line="360" w:lineRule="auto"/>
              <w:jc w:val="both"/>
              <w:rPr>
                <w:rFonts w:ascii="楷体" w:hAnsi="楷体" w:eastAsia="楷体" w:cs="楷体"/>
                <w:highlight w:val="none"/>
                <w:shd w:val="clear" w:color="auto" w:fill="FFFFFF"/>
              </w:rPr>
            </w:pPr>
            <w:r>
              <w:rPr>
                <w:rFonts w:hint="eastAsia" w:ascii="楷体" w:hAnsi="楷体" w:eastAsia="楷体" w:cs="楷体"/>
                <w:highlight w:val="none"/>
                <w:shd w:val="clear" w:color="auto" w:fill="FFFFFF"/>
              </w:rPr>
              <w:t>2.1投标人未被列入信用中国网站(www.creditchina.gov.cn)“失信被执行人、重大税收违法失信主体”；不处于中国政府采购网(www.ccgp.gov.cn)“政府采购严重违法失信行为信息记录”中的禁止参加政府采购活动期间；</w:t>
            </w:r>
          </w:p>
          <w:p>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highlight w:val="none"/>
                <w:shd w:val="clear" w:color="auto" w:fill="FFFFFF"/>
              </w:rPr>
              <w:t>2.2</w:t>
            </w:r>
            <w:r>
              <w:rPr>
                <w:rFonts w:hint="eastAsia" w:ascii="楷体" w:hAnsi="楷体" w:eastAsia="楷体" w:cs="楷体"/>
                <w:highlight w:val="none"/>
              </w:rPr>
              <w:t>法定代表人授权委托书、被授权人身份证（法定代表人参加投标时,</w:t>
            </w:r>
            <w:r>
              <w:rPr>
                <w:rFonts w:hint="eastAsia" w:ascii="楷体" w:hAnsi="楷体" w:eastAsia="楷体" w:cs="楷体"/>
                <w:sz w:val="24"/>
                <w:szCs w:val="24"/>
                <w:highlight w:val="none"/>
                <w:lang w:val="en-US" w:eastAsia="zh-CN" w:bidi="ar-SA"/>
              </w:rPr>
              <w:t>只需提供法定代表人身份证）；非法人单位参照执行；</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lang w:val="en-US" w:eastAsia="zh-CN" w:bidi="ar-SA"/>
              </w:rPr>
              <w:t>2.3投标人须具备食品生产许可证（生产许可证中生产者名称与营业执照名称一致）</w:t>
            </w:r>
            <w:r>
              <w:rPr>
                <w:rFonts w:hint="eastAsia" w:ascii="楷体" w:hAnsi="楷体" w:eastAsia="楷体" w:cs="楷体"/>
                <w:i w:val="0"/>
                <w:iCs w:val="0"/>
                <w:caps w:val="0"/>
                <w:color w:val="auto"/>
                <w:spacing w:val="0"/>
                <w:sz w:val="24"/>
                <w:szCs w:val="24"/>
                <w:highlight w:val="none"/>
                <w:shd w:val="clear" w:fill="FFFFFF"/>
                <w:lang w:eastAsia="zh-CN"/>
              </w:rPr>
              <w:t>；</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i w:val="0"/>
                <w:iCs w:val="0"/>
                <w:caps w:val="0"/>
                <w:color w:val="auto"/>
                <w:spacing w:val="0"/>
                <w:sz w:val="24"/>
                <w:szCs w:val="24"/>
                <w:highlight w:val="none"/>
                <w:shd w:val="clear" w:fill="FFFFFF"/>
                <w:lang w:val="en-US" w:eastAsia="zh-CN"/>
              </w:rPr>
              <w:t>2.4</w:t>
            </w:r>
            <w:r>
              <w:rPr>
                <w:rFonts w:hint="eastAsia" w:ascii="楷体" w:hAnsi="楷体" w:eastAsia="楷体" w:cs="楷体"/>
                <w:i w:val="0"/>
                <w:iCs w:val="0"/>
                <w:caps w:val="0"/>
                <w:color w:val="auto"/>
                <w:spacing w:val="0"/>
                <w:sz w:val="24"/>
                <w:szCs w:val="24"/>
                <w:highlight w:val="none"/>
                <w:shd w:val="clear" w:fill="FFFFFF"/>
                <w:lang w:eastAsia="zh-CN"/>
              </w:rPr>
              <w:t>为学校提供的饮水机具有3C认证证书及保险。</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楷体" w:hAnsi="楷体" w:eastAsia="楷体" w:cs="楷体"/>
                <w:highlight w:val="none"/>
              </w:rPr>
            </w:pPr>
            <w:r>
              <w:rPr>
                <w:rFonts w:hint="eastAsia" w:ascii="楷体" w:hAnsi="楷体" w:eastAsia="楷体" w:cs="楷体"/>
                <w:sz w:val="24"/>
                <w:szCs w:val="24"/>
                <w:highlight w:val="none"/>
                <w:lang w:val="en-US" w:eastAsia="zh-CN" w:bidi="ar-SA"/>
              </w:rPr>
              <w:t>备注：事业单位参与投标时，可不提供财务状况报告、社会保障资金和税收缴纳证明；依法免税或不需要缴纳社会保障资金的投标人，应</w:t>
            </w:r>
            <w:r>
              <w:rPr>
                <w:rFonts w:hint="eastAsia" w:ascii="楷体" w:hAnsi="楷体" w:eastAsia="楷体" w:cs="楷体"/>
                <w:szCs w:val="24"/>
                <w:highlight w:val="none"/>
              </w:rPr>
              <w:t>提供相应证明文件，证明其依法免税或不需要缴纳社会保障资金；自然人（仅限中国公民）参与投标时，只须提供身份证复印件。上述资格证明文件为必备资格，资格证明文件应加盖投标单位公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exac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6</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15.1</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投标有效期、授权有效期：递交投标文件的截止之日起 90 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603" w:type="dxa"/>
            <w:vAlign w:val="center"/>
          </w:tcPr>
          <w:p>
            <w:pPr>
              <w:spacing w:line="240" w:lineRule="atLeast"/>
              <w:jc w:val="center"/>
              <w:rPr>
                <w:rFonts w:ascii="楷体" w:hAnsi="楷体" w:eastAsia="楷体" w:cs="楷体"/>
                <w:szCs w:val="24"/>
                <w:highlight w:val="none"/>
              </w:rPr>
            </w:pPr>
            <w:r>
              <w:rPr>
                <w:rFonts w:hint="eastAsia" w:ascii="楷体" w:hAnsi="楷体" w:eastAsia="楷体" w:cs="楷体"/>
                <w:szCs w:val="24"/>
                <w:highlight w:val="none"/>
              </w:rPr>
              <w:t>7</w:t>
            </w:r>
          </w:p>
        </w:tc>
        <w:tc>
          <w:tcPr>
            <w:tcW w:w="931" w:type="dxa"/>
            <w:vAlign w:val="center"/>
          </w:tcPr>
          <w:p>
            <w:pPr>
              <w:spacing w:line="240" w:lineRule="atLeast"/>
              <w:jc w:val="center"/>
              <w:rPr>
                <w:rFonts w:ascii="楷体" w:hAnsi="楷体" w:eastAsia="楷体" w:cs="楷体"/>
                <w:szCs w:val="24"/>
                <w:highlight w:val="none"/>
              </w:rPr>
            </w:pPr>
            <w:r>
              <w:rPr>
                <w:rFonts w:hint="eastAsia" w:ascii="楷体" w:hAnsi="楷体" w:eastAsia="楷体" w:cs="楷体"/>
                <w:szCs w:val="24"/>
                <w:highlight w:val="none"/>
              </w:rPr>
              <w:t>16</w:t>
            </w:r>
          </w:p>
        </w:tc>
        <w:tc>
          <w:tcPr>
            <w:tcW w:w="7322" w:type="dxa"/>
            <w:vAlign w:val="center"/>
          </w:tcPr>
          <w:p>
            <w:pPr>
              <w:spacing w:line="240" w:lineRule="atLeast"/>
              <w:rPr>
                <w:rFonts w:ascii="楷体" w:hAnsi="楷体" w:eastAsia="楷体" w:cs="楷体"/>
                <w:szCs w:val="24"/>
                <w:highlight w:val="none"/>
              </w:rPr>
            </w:pPr>
            <w:r>
              <w:rPr>
                <w:rFonts w:hint="eastAsia" w:ascii="楷体" w:hAnsi="楷体" w:eastAsia="楷体" w:cs="楷体"/>
                <w:szCs w:val="24"/>
                <w:highlight w:val="none"/>
              </w:rPr>
              <w:t>投标保证金：无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9"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8</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17.1</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投标文件的制作和签章：电子投标文件制作过程中，需要法定代表人签字或盖章的地方，请使用“法人CA锁”进行签章；需要加盖投标人公章的地方，请使用“企业CA锁”进行签章。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9</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19.2</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投标文件递交：开标当日，投标人法定代表人或其授权代表需提前登录“不见面开标”系统，收到主持人“开始解密”指令后，使用CA锁（必须与加密文件时的CA锁为同一把锁）在线对电子投标文件进行解密。采用“不见面开标”系统后，投标人无需到达开标现场，即可在线参与整个开标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10</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25.1</w:t>
            </w:r>
          </w:p>
        </w:tc>
        <w:tc>
          <w:tcPr>
            <w:tcW w:w="7322" w:type="dxa"/>
            <w:vAlign w:val="center"/>
          </w:tcPr>
          <w:p>
            <w:pPr>
              <w:spacing w:line="360" w:lineRule="auto"/>
              <w:jc w:val="left"/>
              <w:rPr>
                <w:rFonts w:ascii="楷体" w:hAnsi="楷体" w:eastAsia="楷体" w:cs="楷体"/>
                <w:szCs w:val="24"/>
                <w:highlight w:val="none"/>
              </w:rPr>
            </w:pPr>
            <w:r>
              <w:rPr>
                <w:rFonts w:hint="eastAsia" w:ascii="楷体" w:hAnsi="楷体" w:eastAsia="楷体" w:cs="楷体"/>
                <w:b/>
                <w:bCs/>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11</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30.1</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b/>
                <w:bCs/>
                <w:szCs w:val="24"/>
                <w:highlight w:val="none"/>
              </w:rPr>
              <w:t>招标代理服务费</w:t>
            </w:r>
            <w:r>
              <w:rPr>
                <w:rFonts w:hint="eastAsia" w:ascii="楷体" w:hAnsi="楷体" w:eastAsia="楷体" w:cs="楷体"/>
                <w:b/>
                <w:bCs/>
                <w:szCs w:val="24"/>
                <w:highlight w:val="none"/>
                <w:lang w:eastAsia="zh-CN"/>
              </w:rPr>
              <w:t>（按包计取）</w:t>
            </w:r>
            <w:r>
              <w:rPr>
                <w:rFonts w:hint="eastAsia" w:ascii="楷体" w:hAnsi="楷体" w:eastAsia="楷体" w:cs="楷体"/>
                <w:b/>
                <w:bCs/>
                <w:szCs w:val="24"/>
                <w:highlight w:val="none"/>
              </w:rPr>
              <w:t>：</w:t>
            </w:r>
          </w:p>
          <w:p>
            <w:pPr>
              <w:spacing w:line="360" w:lineRule="auto"/>
              <w:rPr>
                <w:rFonts w:ascii="楷体" w:hAnsi="楷体" w:eastAsia="楷体" w:cs="楷体"/>
                <w:szCs w:val="24"/>
                <w:highlight w:val="none"/>
              </w:rPr>
            </w:pPr>
            <w:r>
              <w:rPr>
                <w:rFonts w:hint="eastAsia" w:ascii="楷体" w:hAnsi="楷体" w:eastAsia="楷体" w:cs="楷体"/>
                <w:szCs w:val="24"/>
                <w:highlight w:val="none"/>
              </w:rPr>
              <w:t>1.以</w:t>
            </w:r>
            <w:r>
              <w:rPr>
                <w:rFonts w:hint="eastAsia" w:ascii="楷体" w:hAnsi="楷体" w:eastAsia="楷体" w:cs="楷体"/>
                <w:szCs w:val="24"/>
                <w:highlight w:val="none"/>
                <w:lang w:eastAsia="zh-CN"/>
              </w:rPr>
              <w:t>预算</w:t>
            </w:r>
            <w:r>
              <w:rPr>
                <w:rFonts w:hint="eastAsia" w:ascii="楷体" w:hAnsi="楷体" w:eastAsia="楷体" w:cs="楷体"/>
                <w:szCs w:val="24"/>
                <w:highlight w:val="none"/>
              </w:rPr>
              <w:t>金额为基数，参照国家计委颁布《招标代理服务收费管理暂行办法》（计价格[2002]1980号）和国家发展改革委员会办公厅颁发的《关于招标代理服务收费有关问题的通知》（发改办价格[2003]857号）文件收取。</w:t>
            </w:r>
          </w:p>
          <w:p>
            <w:pPr>
              <w:spacing w:line="360" w:lineRule="auto"/>
              <w:rPr>
                <w:rFonts w:ascii="楷体" w:hAnsi="楷体" w:eastAsia="楷体" w:cs="楷体"/>
                <w:szCs w:val="24"/>
                <w:highlight w:val="none"/>
              </w:rPr>
            </w:pPr>
            <w:r>
              <w:rPr>
                <w:rFonts w:hint="eastAsia" w:ascii="楷体" w:hAnsi="楷体" w:eastAsia="楷体" w:cs="楷体"/>
                <w:szCs w:val="24"/>
                <w:highlight w:val="none"/>
              </w:rPr>
              <w:t>2.招标代理服务费由中标人支付，在领取《中标通知书》前，由中标人一次性支付给</w:t>
            </w:r>
            <w:r>
              <w:rPr>
                <w:rFonts w:hint="eastAsia" w:ascii="楷体" w:hAnsi="楷体" w:eastAsia="楷体" w:cs="楷体"/>
                <w:szCs w:val="24"/>
                <w:highlight w:val="none"/>
                <w:lang w:eastAsia="zh-CN"/>
              </w:rPr>
              <w:t>陕西正翼项目管理咨询有限公司</w:t>
            </w:r>
            <w:r>
              <w:rPr>
                <w:rFonts w:hint="eastAsia" w:ascii="楷体" w:hAnsi="楷体" w:eastAsia="楷体" w:cs="楷体"/>
                <w:szCs w:val="24"/>
                <w:highlight w:val="none"/>
              </w:rPr>
              <w:t>。</w:t>
            </w:r>
          </w:p>
          <w:p>
            <w:pPr>
              <w:spacing w:line="360" w:lineRule="auto"/>
              <w:rPr>
                <w:rFonts w:ascii="楷体" w:hAnsi="楷体" w:eastAsia="楷体" w:cs="楷体"/>
                <w:b/>
                <w:bCs/>
                <w:szCs w:val="24"/>
                <w:highlight w:val="none"/>
              </w:rPr>
            </w:pPr>
            <w:r>
              <w:rPr>
                <w:rFonts w:hint="eastAsia" w:ascii="楷体" w:hAnsi="楷体" w:eastAsia="楷体" w:cs="楷体"/>
                <w:b/>
                <w:bCs/>
                <w:szCs w:val="24"/>
                <w:highlight w:val="none"/>
              </w:rPr>
              <w:t>招标代理服务费缴纳账户：</w:t>
            </w:r>
          </w:p>
          <w:p>
            <w:pPr>
              <w:spacing w:line="360" w:lineRule="auto"/>
              <w:rPr>
                <w:rFonts w:ascii="楷体" w:hAnsi="楷体" w:eastAsia="楷体" w:cs="楷体"/>
                <w:szCs w:val="24"/>
                <w:highlight w:val="none"/>
              </w:rPr>
            </w:pPr>
            <w:r>
              <w:rPr>
                <w:rFonts w:hint="eastAsia" w:ascii="楷体" w:hAnsi="楷体" w:eastAsia="楷体" w:cs="楷体"/>
                <w:szCs w:val="24"/>
                <w:highlight w:val="none"/>
              </w:rPr>
              <w:t>开户名称：陕西正翼项目管理咨询有限公司</w:t>
            </w:r>
          </w:p>
          <w:p>
            <w:pPr>
              <w:spacing w:line="360" w:lineRule="auto"/>
              <w:rPr>
                <w:rFonts w:ascii="楷体" w:hAnsi="楷体" w:eastAsia="楷体" w:cs="楷体"/>
                <w:szCs w:val="24"/>
                <w:highlight w:val="none"/>
              </w:rPr>
            </w:pPr>
            <w:r>
              <w:rPr>
                <w:rFonts w:hint="eastAsia" w:ascii="楷体" w:hAnsi="楷体" w:eastAsia="楷体" w:cs="楷体"/>
                <w:szCs w:val="24"/>
                <w:highlight w:val="none"/>
              </w:rPr>
              <w:t>开户银行：中国民生银行股份有限公司西安经济技术开发区支行</w:t>
            </w:r>
          </w:p>
          <w:p>
            <w:pPr>
              <w:spacing w:line="360" w:lineRule="auto"/>
              <w:rPr>
                <w:rFonts w:ascii="楷体" w:hAnsi="楷体" w:eastAsia="楷体" w:cs="楷体"/>
                <w:szCs w:val="24"/>
                <w:highlight w:val="none"/>
              </w:rPr>
            </w:pPr>
            <w:r>
              <w:rPr>
                <w:rFonts w:hint="eastAsia" w:ascii="楷体" w:hAnsi="楷体" w:eastAsia="楷体" w:cs="楷体"/>
                <w:szCs w:val="24"/>
                <w:highlight w:val="none"/>
              </w:rPr>
              <w:t>账    号：152 605 604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12</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31</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履约保证金:</w:t>
            </w:r>
          </w:p>
          <w:p>
            <w:pPr>
              <w:spacing w:line="360" w:lineRule="auto"/>
              <w:rPr>
                <w:rFonts w:ascii="楷体" w:hAnsi="楷体" w:eastAsia="楷体" w:cs="楷体"/>
                <w:szCs w:val="24"/>
                <w:highlight w:val="none"/>
              </w:rPr>
            </w:pPr>
            <w:r>
              <w:rPr>
                <w:rFonts w:hint="eastAsia" w:ascii="楷体" w:hAnsi="楷体" w:eastAsia="楷体" w:cs="楷体"/>
                <w:szCs w:val="24"/>
                <w:highlight w:val="none"/>
              </w:rPr>
              <w:t>☑ 不要求提供</w:t>
            </w:r>
          </w:p>
          <w:p>
            <w:pPr>
              <w:spacing w:line="360" w:lineRule="auto"/>
              <w:rPr>
                <w:rFonts w:ascii="楷体" w:hAnsi="楷体" w:eastAsia="楷体" w:cs="楷体"/>
                <w:szCs w:val="24"/>
                <w:highlight w:val="none"/>
              </w:rPr>
            </w:pPr>
            <w:r>
              <w:rPr>
                <w:rFonts w:hint="eastAsia" w:ascii="楷体" w:hAnsi="楷体" w:eastAsia="楷体" w:cs="楷体"/>
                <w:szCs w:val="24"/>
                <w:highlight w:val="none"/>
              </w:rPr>
              <w:t>□ 要求提供</w:t>
            </w:r>
            <w:r>
              <w:rPr>
                <w:rFonts w:hint="eastAsia" w:ascii="楷体" w:hAnsi="楷体" w:eastAsia="楷体" w:cs="楷体"/>
                <w:szCs w:val="24"/>
                <w:highlight w:val="none"/>
                <w:shd w:val="clear" w:color="auto" w:fill="FFFFFF"/>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13</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分包、转包</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未经甲方许可，乙方不得将项目内容擅自以任何形式进行分包、转包。如经发现，将没收履约保证金，且采购人有权终止合同。同时上报财政部门列入不良行为记录名单，在一至三年内禁止参加政府采购活动并予以通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14</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现场</w:t>
            </w:r>
          </w:p>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踏勘</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本项目不组织踏勘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15</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同义</w:t>
            </w:r>
          </w:p>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词语</w:t>
            </w:r>
          </w:p>
        </w:tc>
        <w:tc>
          <w:tcPr>
            <w:tcW w:w="7322" w:type="dxa"/>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构成招标文件组成部分的各章节中出现的措辞“委托人”、“发包人”、和“投标人”、“承包人”，在招标投标阶段应当分别按“采购人”和“投标人”进行理解。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3"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16</w:t>
            </w:r>
          </w:p>
        </w:tc>
        <w:tc>
          <w:tcPr>
            <w:tcW w:w="93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信用记录查询说明</w:t>
            </w:r>
          </w:p>
        </w:tc>
        <w:tc>
          <w:tcPr>
            <w:tcW w:w="7322" w:type="dxa"/>
            <w:vAlign w:val="center"/>
          </w:tcPr>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1.依据《财政部关于在政府采购活动中查询及使用信用记录有关问题的通知》（财库【2016】125号）文件中信用查询的要求，通过“信用中国”网站(www.creditchina.gov.cn)和中国政府采购网(www.ccgp.gov.cn) 查询投标人的信用记录，采购人、采购代理机构对各投标人信用记录情况进行查询甄别，并对查询结果以网站截图纸质版或网站截图电子版形式予以留存。</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2.查询截止时间：投标截止时间后2小时内网站查询，若查询结果不符合要求，按无效投标处理。</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3.在本招标文件规定的查询时间之后，网站信息发生的任何变更均不再作为评审依据。</w:t>
            </w:r>
          </w:p>
          <w:p>
            <w:pPr>
              <w:pStyle w:val="20"/>
              <w:spacing w:line="360" w:lineRule="auto"/>
              <w:rPr>
                <w:rFonts w:ascii="楷体" w:hAnsi="楷体" w:eastAsia="楷体" w:cs="楷体"/>
                <w:highlight w:val="none"/>
              </w:rPr>
            </w:pPr>
            <w:r>
              <w:rPr>
                <w:rFonts w:hint="eastAsia" w:ascii="楷体" w:hAnsi="楷体" w:eastAsia="楷体" w:cs="楷体"/>
                <w:szCs w:val="24"/>
                <w:highlight w:val="none"/>
              </w:rPr>
              <w:t>4.投标人自行提供的与网站信息不一致的其他证明材料亦不作为资格审查依据。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17</w:t>
            </w:r>
          </w:p>
        </w:tc>
        <w:tc>
          <w:tcPr>
            <w:tcW w:w="931" w:type="dxa"/>
            <w:vAlign w:val="center"/>
          </w:tcPr>
          <w:p>
            <w:pPr>
              <w:pStyle w:val="20"/>
              <w:spacing w:line="360" w:lineRule="auto"/>
              <w:jc w:val="center"/>
              <w:rPr>
                <w:rFonts w:ascii="楷体" w:hAnsi="楷体" w:eastAsia="楷体" w:cs="楷体"/>
                <w:szCs w:val="24"/>
                <w:highlight w:val="none"/>
              </w:rPr>
            </w:pPr>
            <w:r>
              <w:rPr>
                <w:rFonts w:hint="eastAsia" w:ascii="楷体" w:hAnsi="楷体" w:eastAsia="楷体" w:cs="楷体"/>
                <w:szCs w:val="24"/>
                <w:highlight w:val="none"/>
              </w:rPr>
              <w:t>西安市公共资源交易中心电子化政府采购系统技术支持（软件开发商）</w:t>
            </w:r>
          </w:p>
        </w:tc>
        <w:tc>
          <w:tcPr>
            <w:tcW w:w="7322" w:type="dxa"/>
            <w:vAlign w:val="center"/>
          </w:tcPr>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国泰新点软件股份有限公司</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1．技术支持热线：400-998-0000/400-928-0095</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2．驻场技术人员：029-86510166/86510167转80310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18</w:t>
            </w:r>
          </w:p>
        </w:tc>
        <w:tc>
          <w:tcPr>
            <w:tcW w:w="931" w:type="dxa"/>
            <w:vAlign w:val="center"/>
          </w:tcPr>
          <w:p>
            <w:pPr>
              <w:pStyle w:val="20"/>
              <w:spacing w:line="360" w:lineRule="auto"/>
              <w:jc w:val="center"/>
              <w:rPr>
                <w:rFonts w:hint="eastAsia" w:ascii="楷体" w:hAnsi="楷体" w:eastAsia="楷体" w:cs="楷体"/>
                <w:szCs w:val="24"/>
                <w:highlight w:val="none"/>
              </w:rPr>
            </w:pPr>
          </w:p>
          <w:p>
            <w:pPr>
              <w:pStyle w:val="20"/>
              <w:spacing w:line="360" w:lineRule="auto"/>
              <w:jc w:val="center"/>
              <w:rPr>
                <w:rFonts w:hint="eastAsia" w:ascii="楷体" w:hAnsi="楷体" w:eastAsia="楷体" w:cs="楷体"/>
                <w:szCs w:val="24"/>
                <w:highlight w:val="none"/>
              </w:rPr>
            </w:pPr>
          </w:p>
          <w:p>
            <w:pPr>
              <w:pStyle w:val="20"/>
              <w:spacing w:line="360" w:lineRule="auto"/>
              <w:jc w:val="center"/>
              <w:rPr>
                <w:rFonts w:ascii="楷体" w:hAnsi="楷体" w:eastAsia="楷体" w:cs="楷体"/>
                <w:szCs w:val="24"/>
                <w:highlight w:val="none"/>
              </w:rPr>
            </w:pPr>
            <w:r>
              <w:rPr>
                <w:rFonts w:hint="eastAsia" w:ascii="楷体" w:hAnsi="楷体" w:eastAsia="楷体" w:cs="楷体"/>
                <w:szCs w:val="24"/>
                <w:highlight w:val="none"/>
              </w:rPr>
              <w:t>供应商注意事项</w:t>
            </w:r>
          </w:p>
          <w:p>
            <w:pPr>
              <w:pStyle w:val="20"/>
              <w:spacing w:line="360" w:lineRule="auto"/>
              <w:jc w:val="center"/>
              <w:rPr>
                <w:rFonts w:ascii="楷体" w:hAnsi="楷体" w:eastAsia="楷体" w:cs="楷体"/>
                <w:szCs w:val="24"/>
                <w:highlight w:val="none"/>
              </w:rPr>
            </w:pPr>
          </w:p>
        </w:tc>
        <w:tc>
          <w:tcPr>
            <w:tcW w:w="7322" w:type="dxa"/>
            <w:vAlign w:val="center"/>
          </w:tcPr>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（一）供应商投标流程</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使用电子交易系统的采购项目（即线上项目），将同时提供WORD\PDF格式（仅用于预览）和SXSZF格式（用于制作电子投标文件）两个版本，文件内容一致。</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1．预览采购文件：打开西安市公共资源交易平台〖首页·〉交易大厅·〉政府采购〗栏目，下载和阅读本项目采购文件的预览版本（WORD\PDF格式）；</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2．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w:t>
            </w:r>
            <w:r>
              <w:rPr>
                <w:rFonts w:hint="eastAsia" w:ascii="楷体" w:hAnsi="楷体" w:eastAsia="楷体" w:cs="楷体"/>
                <w:b/>
                <w:bCs/>
                <w:szCs w:val="24"/>
                <w:highlight w:val="none"/>
              </w:rPr>
              <w:t>请务必在采购文件获取期限内及时下载电子招标文件并做好备份，逾期无法再下载！</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3．制作电子投标文件：需要使用专用制作软件“新点投标文件制作软件（陕西公共资源）”进行编制，编制完成后使用CA锁对电子投标文件进行签章、加密。详见本章中的“投标文件”相关内容。</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4．提交电子投标文件：在提交投标文件截止时间前及时提交加密后电子投标文件，逾期提交的，系统将会拒收；</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5．在线参加开标大会：开标当日，供应商法定代表人或其授权代表需提前登录“不见面开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6．等待专家评审：评审期间，可能需要对评审专家提出的问题进行澄清或答复。在主持人宣布评审结束前，供应商请勿擅自离席，否则由此造成的不利后果，由供应商自行承担。</w:t>
            </w:r>
          </w:p>
          <w:p>
            <w:pPr>
              <w:pStyle w:val="20"/>
              <w:spacing w:line="360" w:lineRule="auto"/>
              <w:rPr>
                <w:rFonts w:ascii="楷体" w:hAnsi="楷体" w:eastAsia="楷体" w:cs="楷体"/>
                <w:szCs w:val="24"/>
                <w:highlight w:val="none"/>
              </w:rPr>
            </w:pPr>
            <w:r>
              <w:rPr>
                <w:rFonts w:hint="eastAsia" w:ascii="楷体" w:hAnsi="楷体" w:eastAsia="楷体" w:cs="楷体"/>
                <w:szCs w:val="24"/>
                <w:highlight w:val="none"/>
              </w:rPr>
              <w:t>7．中标供应商注册：按照陕西省政府采购监管部门的要求，采购代理机构在发布中标公告前，应由中标供应商在陕西省政府采购网上完成注册。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19</w:t>
            </w:r>
          </w:p>
        </w:tc>
        <w:tc>
          <w:tcPr>
            <w:tcW w:w="931" w:type="dxa"/>
            <w:vAlign w:val="center"/>
          </w:tcPr>
          <w:p>
            <w:pPr>
              <w:pStyle w:val="20"/>
              <w:spacing w:line="360" w:lineRule="auto"/>
              <w:rPr>
                <w:rFonts w:hint="eastAsia" w:ascii="楷体" w:hAnsi="楷体" w:eastAsia="楷体" w:cs="楷体"/>
                <w:szCs w:val="24"/>
                <w:highlight w:val="none"/>
              </w:rPr>
            </w:pPr>
            <w:r>
              <w:rPr>
                <w:rFonts w:hint="eastAsia" w:ascii="楷体" w:hAnsi="楷体" w:eastAsia="楷体" w:cs="楷体"/>
                <w:szCs w:val="24"/>
                <w:highlight w:val="none"/>
              </w:rPr>
              <w:t>其他</w:t>
            </w:r>
          </w:p>
        </w:tc>
        <w:tc>
          <w:tcPr>
            <w:tcW w:w="7322" w:type="dxa"/>
            <w:vAlign w:val="center"/>
          </w:tcPr>
          <w:p>
            <w:pPr>
              <w:pStyle w:val="20"/>
              <w:spacing w:line="360" w:lineRule="auto"/>
              <w:rPr>
                <w:rFonts w:hint="eastAsia" w:ascii="楷体" w:hAnsi="楷体" w:eastAsia="楷体" w:cs="楷体"/>
                <w:szCs w:val="24"/>
                <w:highlight w:val="none"/>
              </w:rPr>
            </w:pPr>
            <w:r>
              <w:rPr>
                <w:rFonts w:hint="eastAsia" w:ascii="楷体" w:hAnsi="楷体" w:eastAsia="楷体" w:cs="楷体"/>
                <w:szCs w:val="24"/>
                <w:highlight w:val="none"/>
                <w:lang w:val="en-US" w:eastAsia="zh-CN"/>
              </w:rPr>
              <w:t>1.</w:t>
            </w:r>
            <w:r>
              <w:rPr>
                <w:rFonts w:hint="eastAsia" w:ascii="楷体" w:hAnsi="楷体" w:eastAsia="楷体" w:cs="楷体"/>
                <w:szCs w:val="24"/>
                <w:highlight w:val="none"/>
              </w:rPr>
              <w:t>本项目所属行业：</w:t>
            </w:r>
            <w:r>
              <w:rPr>
                <w:rFonts w:hint="eastAsia" w:ascii="楷体" w:hAnsi="楷体" w:eastAsia="楷体" w:cs="楷体"/>
                <w:szCs w:val="24"/>
                <w:highlight w:val="none"/>
                <w:lang w:eastAsia="zh-CN"/>
              </w:rPr>
              <w:t>餐饮业</w:t>
            </w:r>
            <w:r>
              <w:rPr>
                <w:rFonts w:hint="eastAsia" w:ascii="楷体" w:hAnsi="楷体" w:eastAsia="楷体" w:cs="楷体"/>
                <w:szCs w:val="24"/>
                <w:highlight w:val="none"/>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2.投标人可同时参加本项目多个包的投标，但只能中标其中一个包，根据评标顺序（评标顺序为第1包、第2包、第3包），若投标人被推荐为第1包的第一中标候选人，则第2包、第3包均不推荐其为第一中标候选人，以此类推。</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楷体" w:hAnsi="楷体" w:eastAsia="楷体" w:cs="楷体"/>
                <w:b/>
                <w:bCs/>
                <w:i w:val="0"/>
                <w:iCs w:val="0"/>
                <w:caps w:val="0"/>
                <w:color w:val="auto"/>
                <w:spacing w:val="0"/>
                <w:kern w:val="0"/>
                <w:sz w:val="24"/>
                <w:szCs w:val="24"/>
                <w:highlight w:val="none"/>
                <w:shd w:val="clear" w:fill="FFFFFF"/>
                <w:lang w:val="en-US" w:eastAsia="zh-CN" w:bidi="ar"/>
              </w:rPr>
            </w:pPr>
            <w:r>
              <w:rPr>
                <w:rFonts w:hint="eastAsia" w:ascii="楷体" w:hAnsi="楷体" w:eastAsia="楷体" w:cs="楷体"/>
                <w:i w:val="0"/>
                <w:iCs w:val="0"/>
                <w:caps w:val="0"/>
                <w:color w:val="auto"/>
                <w:spacing w:val="0"/>
                <w:kern w:val="0"/>
                <w:sz w:val="24"/>
                <w:szCs w:val="24"/>
                <w:highlight w:val="none"/>
                <w:shd w:val="clear" w:fill="FFFFFF"/>
                <w:lang w:val="en-US" w:eastAsia="zh-CN" w:bidi="ar"/>
              </w:rPr>
              <w:t>3.</w:t>
            </w:r>
            <w:r>
              <w:rPr>
                <w:rFonts w:hint="eastAsia" w:ascii="楷体" w:hAnsi="楷体" w:eastAsia="楷体" w:cs="楷体"/>
                <w:b/>
                <w:bCs/>
                <w:i w:val="0"/>
                <w:iCs w:val="0"/>
                <w:caps w:val="0"/>
                <w:color w:val="auto"/>
                <w:spacing w:val="0"/>
                <w:kern w:val="0"/>
                <w:sz w:val="24"/>
                <w:szCs w:val="24"/>
                <w:highlight w:val="none"/>
                <w:shd w:val="clear" w:fill="FFFFFF"/>
                <w:lang w:val="en-US" w:eastAsia="zh-CN" w:bidi="ar"/>
              </w:rPr>
              <w:t>各学段单价最高限价（以每个学生计）：中学每生每学期限价44元，小学每生每学期38.5元，幼儿园每生每学期35元；</w:t>
            </w:r>
          </w:p>
          <w:p>
            <w:pPr>
              <w:spacing w:line="360" w:lineRule="auto"/>
              <w:rPr>
                <w:rFonts w:hint="eastAsia" w:ascii="楷体" w:hAnsi="楷体" w:eastAsia="楷体" w:cs="楷体"/>
                <w:b/>
                <w:bCs/>
                <w:i w:val="0"/>
                <w:iCs w:val="0"/>
                <w:caps w:val="0"/>
                <w:color w:val="auto"/>
                <w:spacing w:val="0"/>
                <w:kern w:val="0"/>
                <w:sz w:val="24"/>
                <w:szCs w:val="24"/>
                <w:highlight w:val="none"/>
                <w:shd w:val="clear" w:fill="FFFFFF"/>
                <w:lang w:val="en-US" w:eastAsia="zh-CN" w:bidi="ar"/>
              </w:rPr>
            </w:pPr>
            <w:r>
              <w:rPr>
                <w:rFonts w:hint="eastAsia" w:ascii="楷体" w:hAnsi="楷体" w:eastAsia="楷体" w:cs="楷体"/>
                <w:b/>
                <w:bCs/>
                <w:i w:val="0"/>
                <w:iCs w:val="0"/>
                <w:caps w:val="0"/>
                <w:color w:val="auto"/>
                <w:spacing w:val="0"/>
                <w:kern w:val="0"/>
                <w:sz w:val="24"/>
                <w:szCs w:val="24"/>
                <w:highlight w:val="none"/>
                <w:shd w:val="clear" w:fill="FFFFFF"/>
                <w:lang w:val="en-US" w:eastAsia="zh-CN" w:bidi="ar"/>
              </w:rPr>
              <w:t>单价最高限价（以桶计算）：18.9升（5加仑） 11元/桶，11.3升（3加仑）10元/桶。</w:t>
            </w:r>
          </w:p>
          <w:p>
            <w:pPr>
              <w:spacing w:line="360" w:lineRule="auto"/>
              <w:rPr>
                <w:rFonts w:hint="eastAsia" w:ascii="仿宋" w:hAnsi="仿宋" w:eastAsia="仿宋" w:cs="仿宋"/>
                <w:sz w:val="24"/>
                <w:highlight w:val="none"/>
              </w:rPr>
            </w:pPr>
            <w:r>
              <w:rPr>
                <w:rFonts w:hint="eastAsia" w:ascii="楷体" w:hAnsi="楷体" w:eastAsia="楷体" w:cs="楷体"/>
                <w:b/>
                <w:szCs w:val="24"/>
                <w:highlight w:val="none"/>
              </w:rPr>
              <w:t>注：</w:t>
            </w:r>
            <w:r>
              <w:rPr>
                <w:rFonts w:hint="eastAsia" w:ascii="楷体" w:hAnsi="楷体" w:eastAsia="楷体" w:cs="楷体"/>
                <w:b/>
                <w:kern w:val="0"/>
                <w:sz w:val="24"/>
                <w:szCs w:val="24"/>
                <w:highlight w:val="none"/>
                <w:lang w:val="en-US" w:eastAsia="zh-CN" w:bidi="ar-SA"/>
              </w:rPr>
              <w:t>投标人各类投标报价超过对应单价最高限价的按无效投标处理。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default" w:ascii="楷体" w:hAnsi="楷体" w:eastAsia="楷体" w:cs="楷体"/>
                <w:szCs w:val="24"/>
                <w:highlight w:val="none"/>
                <w:lang w:val="en-US"/>
              </w:rPr>
            </w:pPr>
            <w:r>
              <w:rPr>
                <w:rFonts w:hint="eastAsia" w:ascii="楷体" w:hAnsi="楷体" w:eastAsia="楷体" w:cs="楷体"/>
                <w:i w:val="0"/>
                <w:iCs w:val="0"/>
                <w:caps w:val="0"/>
                <w:color w:val="auto"/>
                <w:spacing w:val="0"/>
                <w:kern w:val="0"/>
                <w:sz w:val="24"/>
                <w:szCs w:val="24"/>
                <w:highlight w:val="none"/>
                <w:shd w:val="clear" w:fill="FFFFFF"/>
                <w:lang w:val="en-US" w:eastAsia="zh-CN" w:bidi="ar"/>
              </w:rPr>
              <w:t>投标人须对以上各类单价进行报价，项目实际实施过程中，各学校可根据实际情况选择其中一种报价类型进行结算。</w:t>
            </w:r>
          </w:p>
        </w:tc>
      </w:tr>
      <w:bookmarkEnd w:id="12"/>
      <w:bookmarkEnd w:id="13"/>
      <w:bookmarkEnd w:id="14"/>
    </w:tbl>
    <w:p>
      <w:pPr>
        <w:spacing w:line="360" w:lineRule="auto"/>
        <w:jc w:val="center"/>
        <w:rPr>
          <w:rFonts w:ascii="楷体" w:hAnsi="楷体" w:eastAsia="楷体" w:cs="楷体"/>
          <w:sz w:val="32"/>
          <w:szCs w:val="32"/>
          <w:highlight w:val="none"/>
        </w:rPr>
      </w:pPr>
      <w:bookmarkStart w:id="42" w:name="_Toc363473972"/>
      <w:bookmarkStart w:id="43" w:name="_Toc363474017"/>
      <w:bookmarkStart w:id="44" w:name="_Toc403077639"/>
      <w:bookmarkStart w:id="45" w:name="_Toc403077645"/>
      <w:bookmarkStart w:id="46" w:name="_Toc25783"/>
      <w:bookmarkStart w:id="47" w:name="_Toc363474023"/>
      <w:r>
        <w:rPr>
          <w:rFonts w:hint="eastAsia" w:ascii="楷体" w:hAnsi="楷体" w:eastAsia="楷体" w:cs="楷体"/>
          <w:b/>
          <w:sz w:val="32"/>
          <w:szCs w:val="32"/>
          <w:highlight w:val="none"/>
        </w:rPr>
        <w:br w:type="page"/>
      </w:r>
      <w:bookmarkEnd w:id="42"/>
      <w:bookmarkEnd w:id="43"/>
      <w:bookmarkEnd w:id="44"/>
      <w:r>
        <w:rPr>
          <w:rFonts w:hint="eastAsia" w:ascii="楷体" w:hAnsi="楷体" w:eastAsia="楷体" w:cs="楷体"/>
          <w:b/>
          <w:sz w:val="32"/>
          <w:szCs w:val="32"/>
          <w:highlight w:val="none"/>
        </w:rPr>
        <w:t>一.总  则</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1.资金来源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1.1本次公开招标所签合同使用财政资金支付，资金已落实到位。</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2.招标代理机构及合格的投标人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2.1招标代理机构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实施本次招标的招标代理机构为</w:t>
      </w:r>
      <w:r>
        <w:rPr>
          <w:rFonts w:hint="eastAsia" w:ascii="楷体" w:hAnsi="楷体" w:eastAsia="楷体" w:cs="楷体"/>
          <w:szCs w:val="24"/>
          <w:highlight w:val="none"/>
          <w:lang w:eastAsia="zh-CN"/>
        </w:rPr>
        <w:t>陕西正翼项目管理咨询有限公司</w:t>
      </w:r>
      <w:r>
        <w:rPr>
          <w:rFonts w:hint="eastAsia" w:ascii="楷体" w:hAnsi="楷体" w:eastAsia="楷体" w:cs="楷体"/>
          <w:szCs w:val="24"/>
          <w:highlight w:val="none"/>
        </w:rPr>
        <w:t>。</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2.2合格的投标人：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2.2.1投标人应具备的资格条件：见投标人须知前附表。</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2.2.2投标人不得存在下列情形之一：</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 xml:space="preserve">2.2.2.1为采购人不具有独立法人资格的附属机构（单位）； </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2.2.2.2为本项目前期准备提供设计或咨询服务的；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2.2.2.3为本项目提供监理服务的；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2.2.2.4与本项目采购代理机构同为一个法定代表人的；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2.2.2.5被责令停业的；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2.2.2.6被暂停或取消投标资格的；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2.2.2.7财产被接管或冻结的；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2.2.2.8在最近三年内有骗取中标或严重违约或重大质量问题的；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2.2.2.9与采购人存在利害关系可能影响招标公正性的法人、其他组织或者个人；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2.2.2.10单位负责人为同一人或者存在控股、管理关系的不同单位，不得参加同一项目投标或者未划分标段的同一招标项目投标。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2.2.2.11受到刑事处罚，或者受到责令停产停业、在一至三年内禁止参加政府采购活动、暂扣或者吊销许可证、暂扣或者吊销执照等情形之一的行政处罚，或者存在财政部门认定的其他重大违法记录；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2.2.2.12两家以上的投标人不得在同一合同项下的采购项目中，同时委托同一个自然人、同一家庭的人员、同一单位的人员作为其代理人，否则，其投标文件作为无效处理；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2.2.2.13法律法规及相关行政规范性文件规定的其他情形。</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2.2.3关联企业投标限制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2.2.3.1本招标文件所称关联企业,是指存在关联关系的企业。</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2.2.3.2关联企业中，同一个法定代表人的两个及两个以上法人，母公司、全资子公司及其控股公司，都不得参加同一采购项目投标。一经发现，将导致投标同时被拒绝。</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2.2.4关系企业投标限制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总公司、分公司不能以不同的投标人身份参加同一采购项目投标。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2.3本项目不接受联合体投标。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如果在招标文件中接受联合体投标（见投标人须知前附表），则两个以上投标人可以组成一个联合体，以一个投标人的身份投标。以联合体形式参加投标的，联合体各方均应当符合中华人民共和国政府采购法第二十二条规定的条件。采购人根据采购项目的特殊要求规定投标人特定条件的，联合体各方中至少应当有一方符合采购人规定的特定条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联合体各方之间应当签订共同投标协议，明确约定联合体各方承担的工作和相应的责任，并将共同投标协议连同投标文件一并递交投标文件接收人。联合体各方签订共同投标协议后，不得再以自己名义单独在同一项目中投标，也不得组成新的联合体参加同一项目投标，否则按无效投标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2.4投标费用自理。不论投标的结果如何，投标人均应自行承担所有与参加投标有关的费用。</w:t>
      </w:r>
    </w:p>
    <w:p>
      <w:pPr>
        <w:spacing w:line="360" w:lineRule="auto"/>
        <w:rPr>
          <w:rFonts w:ascii="楷体" w:hAnsi="楷体" w:eastAsia="楷体" w:cs="楷体"/>
          <w:b/>
          <w:szCs w:val="24"/>
          <w:highlight w:val="none"/>
        </w:rPr>
      </w:pPr>
      <w:bookmarkStart w:id="48" w:name="_Toc403077640"/>
      <w:bookmarkStart w:id="49" w:name="_Toc363474018"/>
      <w:bookmarkStart w:id="50" w:name="_Toc363473973"/>
      <w:r>
        <w:rPr>
          <w:rFonts w:hint="eastAsia" w:ascii="楷体" w:hAnsi="楷体" w:eastAsia="楷体" w:cs="楷体"/>
          <w:b/>
          <w:szCs w:val="24"/>
          <w:highlight w:val="none"/>
        </w:rPr>
        <w:t>3.投标产品的合格性和合法性</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3.1投标产品应满足招标文件的要求并应符合国家法律法规、行业管理部门要求的其他强制性标准。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4.投标文件内容的真实性</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5.招标过程的监督和管理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5.1同级政府采购监管管理部门和有关部门依法履行对招标过程的监督管理职责。</w:t>
      </w:r>
    </w:p>
    <w:p>
      <w:pPr>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二.</w:t>
      </w:r>
      <w:bookmarkEnd w:id="48"/>
      <w:bookmarkEnd w:id="49"/>
      <w:bookmarkEnd w:id="50"/>
      <w:r>
        <w:rPr>
          <w:rFonts w:hint="eastAsia" w:ascii="楷体" w:hAnsi="楷体" w:eastAsia="楷体" w:cs="楷体"/>
          <w:b/>
          <w:sz w:val="32"/>
          <w:szCs w:val="32"/>
          <w:highlight w:val="none"/>
        </w:rPr>
        <w:t>招标文件</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6.招标文件构成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6.1招标文件由招标文件总目录所列内容组成。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6.2投标人应认真阅读招标文件中所有的事项、格式、条款和规范等要求。未按招标文件要求提供的投标文件和资料可能导致投标被拒绝。</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6.3投标人必须从</w:t>
      </w:r>
      <w:r>
        <w:rPr>
          <w:rFonts w:hint="eastAsia" w:ascii="楷体" w:hAnsi="楷体" w:eastAsia="楷体" w:cs="楷体"/>
          <w:szCs w:val="24"/>
          <w:highlight w:val="none"/>
          <w:lang w:eastAsia="zh-CN"/>
        </w:rPr>
        <w:t>全国公共资源交易平台（陕西省•西安市）平台</w:t>
      </w:r>
      <w:r>
        <w:rPr>
          <w:rFonts w:hint="eastAsia" w:ascii="楷体" w:hAnsi="楷体" w:eastAsia="楷体" w:cs="楷体"/>
          <w:szCs w:val="24"/>
          <w:highlight w:val="none"/>
        </w:rPr>
        <w:t>获取文件，投标人自行转让或复制招标文件视为无效。</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6.4投标人应仔细阅读招标文件，对招标文件中有疑义或异议的部分及时函告，否则视为同意招标文件的一切条款和要求，并承担法律责任。</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6.5本招标文件的解释权归</w:t>
      </w:r>
      <w:r>
        <w:rPr>
          <w:rFonts w:hint="eastAsia" w:ascii="楷体" w:hAnsi="楷体" w:eastAsia="楷体" w:cs="楷体"/>
          <w:szCs w:val="24"/>
          <w:highlight w:val="none"/>
          <w:lang w:eastAsia="zh-CN"/>
        </w:rPr>
        <w:t>陕西正翼项目管理咨询有限公司</w:t>
      </w:r>
      <w:r>
        <w:rPr>
          <w:rFonts w:hint="eastAsia" w:ascii="楷体" w:hAnsi="楷体" w:eastAsia="楷体" w:cs="楷体"/>
          <w:szCs w:val="24"/>
          <w:highlight w:val="none"/>
        </w:rPr>
        <w:t>，如发现招标文件内容与现行法律法规不相符的情况，以现行法律法规为准。</w:t>
      </w:r>
    </w:p>
    <w:p>
      <w:pPr>
        <w:spacing w:line="360" w:lineRule="auto"/>
        <w:rPr>
          <w:rFonts w:ascii="楷体" w:hAnsi="楷体" w:eastAsia="楷体" w:cs="楷体"/>
          <w:b/>
          <w:szCs w:val="24"/>
          <w:highlight w:val="none"/>
        </w:rPr>
      </w:pPr>
      <w:bookmarkStart w:id="51" w:name="_Toc363474019"/>
      <w:bookmarkStart w:id="52" w:name="_Toc363473974"/>
      <w:bookmarkStart w:id="53" w:name="_Toc403077641"/>
      <w:r>
        <w:rPr>
          <w:rFonts w:hint="eastAsia" w:ascii="楷体" w:hAnsi="楷体" w:eastAsia="楷体" w:cs="楷体"/>
          <w:b/>
          <w:szCs w:val="24"/>
          <w:highlight w:val="none"/>
        </w:rPr>
        <w:t>7.招标文件的修改和澄清</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7.1提交投标文件截止之日前，采购人或采购代理机构可能对已发出的招标文件进行澄清或者修改，澄清或者修改的内容为招标文件的组成部分。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7.2当需要澄清或修改时，采购代理机构将在提交投标文件截止之日15日前，在财政部门指定的“政府采购信息发布媒体”上发布变更公告；不足15日的，将顺延提交投标文件截止时间。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7.3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7.4请各供应商在提交投标文件截止时间之前，务必随时关注“政府采购信息发布媒体”上发布的变更公告，采购代理机构不再另行通知，因供应商未及时关注所造成的一切后果由供应商自行承担：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jc w:val="left"/>
        <w:rPr>
          <w:rFonts w:ascii="楷体" w:hAnsi="楷体" w:eastAsia="楷体" w:cs="楷体"/>
          <w:szCs w:val="24"/>
          <w:highlight w:val="none"/>
        </w:rPr>
      </w:pPr>
      <w:r>
        <w:rPr>
          <w:rFonts w:hint="eastAsia" w:ascii="楷体" w:hAnsi="楷体" w:eastAsia="楷体" w:cs="楷体"/>
          <w:szCs w:val="24"/>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楷体" w:hAnsi="楷体" w:eastAsia="楷体" w:cs="楷体"/>
          <w:szCs w:val="24"/>
          <w:highlight w:val="none"/>
        </w:rPr>
        <w:t>陕西省政府采购网</w:t>
      </w:r>
      <w:r>
        <w:rPr>
          <w:rFonts w:hint="eastAsia" w:ascii="楷体" w:hAnsi="楷体" w:eastAsia="楷体" w:cs="楷体"/>
          <w:szCs w:val="24"/>
          <w:highlight w:val="none"/>
        </w:rPr>
        <w:fldChar w:fldCharType="end"/>
      </w:r>
      <w:r>
        <w:rPr>
          <w:rFonts w:hint="eastAsia" w:ascii="楷体" w:hAnsi="楷体" w:eastAsia="楷体" w:cs="楷体"/>
          <w:szCs w:val="24"/>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楷体" w:hAnsi="楷体" w:eastAsia="楷体" w:cs="楷体"/>
          <w:szCs w:val="24"/>
          <w:highlight w:val="none"/>
        </w:rPr>
        <w:t>http://www.ccgp-shaanxi.gov.cn/</w:t>
      </w:r>
      <w:r>
        <w:rPr>
          <w:rFonts w:hint="eastAsia" w:ascii="楷体" w:hAnsi="楷体" w:eastAsia="楷体" w:cs="楷体"/>
          <w:szCs w:val="24"/>
          <w:highlight w:val="none"/>
        </w:rPr>
        <w:fldChar w:fldCharType="end"/>
      </w:r>
      <w:r>
        <w:rPr>
          <w:rFonts w:hint="eastAsia" w:ascii="楷体" w:hAnsi="楷体" w:eastAsia="楷体" w:cs="楷体"/>
          <w:szCs w:val="24"/>
          <w:highlight w:val="none"/>
        </w:rPr>
        <w:t>）中的〖首页·〉信息公告·〉市级·〉西安市〗；</w:t>
      </w:r>
    </w:p>
    <w:p>
      <w:pPr>
        <w:spacing w:line="360" w:lineRule="auto"/>
        <w:ind w:firstLine="480" w:firstLineChars="200"/>
        <w:jc w:val="left"/>
        <w:rPr>
          <w:rFonts w:ascii="楷体" w:hAnsi="楷体" w:eastAsia="楷体" w:cs="楷体"/>
          <w:highlight w:val="none"/>
        </w:rPr>
      </w:pPr>
      <w:r>
        <w:rPr>
          <w:rFonts w:hint="eastAsia" w:ascii="楷体" w:hAnsi="楷体" w:eastAsia="楷体" w:cs="楷体"/>
          <w:szCs w:val="24"/>
          <w:highlight w:val="none"/>
        </w:rPr>
        <w:t>（2）【</w:t>
      </w:r>
      <w:r>
        <w:rPr>
          <w:highlight w:val="none"/>
        </w:rPr>
        <w:fldChar w:fldCharType="begin"/>
      </w:r>
      <w:r>
        <w:rPr>
          <w:highlight w:val="none"/>
        </w:rPr>
        <w:instrText xml:space="preserve"> HYPERLINK "http://xa.sxggzyjy.cn/" </w:instrText>
      </w:r>
      <w:r>
        <w:rPr>
          <w:highlight w:val="none"/>
        </w:rPr>
        <w:fldChar w:fldCharType="separate"/>
      </w:r>
      <w:r>
        <w:rPr>
          <w:rFonts w:hint="eastAsia" w:ascii="楷体" w:hAnsi="楷体" w:eastAsia="楷体" w:cs="楷体"/>
          <w:szCs w:val="24"/>
          <w:highlight w:val="none"/>
        </w:rPr>
        <w:t>全国公共资源交易网（陕西省·西安市）</w:t>
      </w:r>
      <w:r>
        <w:rPr>
          <w:rFonts w:hint="eastAsia" w:ascii="楷体" w:hAnsi="楷体" w:eastAsia="楷体" w:cs="楷体"/>
          <w:szCs w:val="24"/>
          <w:highlight w:val="none"/>
        </w:rPr>
        <w:fldChar w:fldCharType="end"/>
      </w:r>
      <w:r>
        <w:rPr>
          <w:rFonts w:hint="eastAsia" w:ascii="楷体" w:hAnsi="楷体" w:eastAsia="楷体" w:cs="楷体"/>
          <w:szCs w:val="24"/>
          <w:highlight w:val="none"/>
        </w:rPr>
        <w:t>】（</w:t>
      </w:r>
      <w:r>
        <w:rPr>
          <w:highlight w:val="none"/>
        </w:rPr>
        <w:fldChar w:fldCharType="begin"/>
      </w:r>
      <w:r>
        <w:rPr>
          <w:highlight w:val="none"/>
        </w:rPr>
        <w:instrText xml:space="preserve"> HYPERLINK "http://sxggzyjy.xa.gov.cn/" </w:instrText>
      </w:r>
      <w:r>
        <w:rPr>
          <w:highlight w:val="none"/>
        </w:rPr>
        <w:fldChar w:fldCharType="separate"/>
      </w:r>
      <w:r>
        <w:rPr>
          <w:rFonts w:hint="eastAsia" w:ascii="楷体" w:hAnsi="楷体" w:eastAsia="楷体" w:cs="楷体"/>
          <w:szCs w:val="24"/>
          <w:highlight w:val="none"/>
        </w:rPr>
        <w:t>http://sxggzyjy.xa.gov.cn/</w:t>
      </w:r>
      <w:r>
        <w:rPr>
          <w:rFonts w:hint="eastAsia" w:ascii="楷体" w:hAnsi="楷体" w:eastAsia="楷体" w:cs="楷体"/>
          <w:szCs w:val="24"/>
          <w:highlight w:val="none"/>
        </w:rPr>
        <w:fldChar w:fldCharType="end"/>
      </w:r>
      <w:r>
        <w:rPr>
          <w:rFonts w:hint="eastAsia" w:ascii="楷体" w:hAnsi="楷体" w:eastAsia="楷体" w:cs="楷体"/>
          <w:szCs w:val="24"/>
          <w:highlight w:val="none"/>
        </w:rPr>
        <w:t>）中的〖首页·〉交易大厅·〉政府采购〗。</w:t>
      </w:r>
    </w:p>
    <w:p>
      <w:pPr>
        <w:keepNext/>
        <w:keepLines/>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三. 投标文件的编制</w:t>
      </w:r>
      <w:bookmarkEnd w:id="51"/>
      <w:bookmarkEnd w:id="52"/>
      <w:bookmarkEnd w:id="53"/>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8.投标语言</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8.2翻译的中文资料与外文资料如果出现差异和矛盾时，以中文为准。但不能故意错误翻译，否则，作为无效投标处理。必要时采购人可以要求投标人提供附有公证书的中文翻译文件或者与原版文件签章相一致的中文翻译文件。</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9.计量单位</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9.1投标资料中所使用的计量单位，除有特殊要求外，均采用国家法定计量单位。</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10.投标文件的构成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10.1投标人提交的投标文件应包括招标文件第六章“投标文件格式”所要求的所有内容：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10.2如果在招标文件中没有允许提供备选方案，则每个投标人只允许提交一个投标方案，否则，其将按无效投标处理。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11.投标文件格式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11.1投标人应按照招标文件中第六章所提供的格式和要求制作投标文件，明确表达投标意愿，详细说明投标方案、承诺及价格。</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11.2按招标文件第六章提供的格式和要求编写其投标文件，投标人不得缺少任何招标文件要求填写的表格或提交的资料。</w:t>
      </w:r>
      <w:r>
        <w:rPr>
          <w:rFonts w:hint="eastAsia" w:ascii="楷体" w:hAnsi="楷体" w:eastAsia="楷体" w:cs="楷体"/>
          <w:highlight w:val="none"/>
        </w:rPr>
        <w:t>否则，按</w:t>
      </w:r>
      <w:r>
        <w:rPr>
          <w:rFonts w:hint="eastAsia" w:ascii="楷体" w:hAnsi="楷体" w:eastAsia="楷体" w:cs="楷体"/>
          <w:szCs w:val="24"/>
          <w:highlight w:val="none"/>
        </w:rPr>
        <w:t>无效投标</w:t>
      </w:r>
      <w:r>
        <w:rPr>
          <w:rFonts w:hint="eastAsia" w:ascii="楷体" w:hAnsi="楷体" w:eastAsia="楷体" w:cs="楷体"/>
          <w:highlight w:val="none"/>
        </w:rPr>
        <w:t>处理。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12.投标报价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12.1本次招标项目的投标均以人民币报价。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12.2投标报价：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12.2.1投标报价是供应商为完成本项目要求的全部服务（含为完成服务提供的货物）内容最终价格的体现。以招标文件的内容和要求作为依据。</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12.2.2报价以人民币报价。</w:t>
      </w:r>
      <w:r>
        <w:rPr>
          <w:rFonts w:hint="eastAsia" w:ascii="楷体" w:hAnsi="楷体" w:eastAsia="楷体" w:cs="楷体"/>
          <w:szCs w:val="24"/>
          <w:highlight w:val="none"/>
          <w:lang w:eastAsia="zh-CN"/>
        </w:rPr>
        <w:t>投标人</w:t>
      </w:r>
      <w:r>
        <w:rPr>
          <w:rFonts w:hint="eastAsia" w:ascii="楷体" w:hAnsi="楷体" w:eastAsia="楷体" w:cs="楷体"/>
          <w:szCs w:val="24"/>
          <w:highlight w:val="none"/>
        </w:rPr>
        <w:t>在投标报价表中标明完成本次招标所要求的货物、服务且检验合格的所有费用，包括但不限于饮水机、饮水桶的使用及配送、清洗消毒、人工工资费、配送费、车辆燃油费、仓储保管费、税金等其他一切相关费用。投标报价表中标明本次货物、服务的所有单项价格和总价，任何有选择的报价将不予接受，否则按无效投标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12.3本项目采购预算及最高限价已在招标公告中公布，若投标人报价超出采购预算或最高限价，作为不实质性响应招标文件处理，视为废标。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12.4当评标委员会认为，某投标人的报价存在明显低于其他通过符合性审查投标人的报价，有可能影响产品质量和不能诚信履约的，应当要求其在评标现场规定时间内，提供必要的书面文件予以解释和说明，必要时提交相关证明材料；若投标人不能证明其报价合理性，评标委员会将其作无效投标处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13.证明投标人合格的资格证明文件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13.1投标人应按照招标文件“投标人须知前附表”的要求，在投标文件中提交合格的资格证明文件。如果资格证明文件不全或不合格的，将按无效投标处理。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14.证明标的物的合格性和符合招标文件规定的文件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14.1投标人应在投标文件中提供标的物满足招标文件要求并符合国家法律法规、行业管理部门要求的其他强制性标准的证明文件。缺少证明文件或证明文件不合格的投标，与招标文件要求有重大偏离（评审中进行扣分的除外）的投标，不符合国家法律法规、行业管理部门要求的其他强制性标准的投标文件将被作无效投标处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15.投标有效期</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15.1投标有效期、授权有效期：从递交投标文件的截止之日起 90 个日历天。投标有效期或授权有效期不满足招标文件要求的投标，将被视为非实质性响应性投标而予以拒绝，将按无效投标处理。投标有效期内投标人撤销投标文件的，招标代理机构不退还投标保证金。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15.2特殊情况下，在原投标有效期期满之前，采购代理机构可向投标人提出延长投标有效期的要求。这种要求与答复均应以书面的形式。</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16.投标保证金：无。</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17.投标文件的制作和签章</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17.1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链接地址：</w:t>
      </w:r>
    </w:p>
    <w:p>
      <w:pPr>
        <w:spacing w:line="360" w:lineRule="auto"/>
        <w:ind w:firstLine="480" w:firstLineChars="200"/>
        <w:rPr>
          <w:rFonts w:ascii="楷体" w:hAnsi="楷体" w:eastAsia="楷体" w:cs="楷体"/>
          <w:szCs w:val="24"/>
          <w:highlight w:val="none"/>
        </w:rPr>
      </w:pPr>
      <w:r>
        <w:rPr>
          <w:highlight w:val="none"/>
        </w:rPr>
        <w:fldChar w:fldCharType="begin"/>
      </w:r>
      <w:r>
        <w:rPr>
          <w:highlight w:val="none"/>
        </w:rPr>
        <w:instrText xml:space="preserve"> HYPERLINK "http://sxggzyjy.xa.gov.cn/fwzn/004003/20181115/4d59c184-e8f6-4d5a-a416-c2f6b0601e66.html" </w:instrText>
      </w:r>
      <w:r>
        <w:rPr>
          <w:highlight w:val="none"/>
        </w:rPr>
        <w:fldChar w:fldCharType="separate"/>
      </w:r>
      <w:r>
        <w:rPr>
          <w:rFonts w:hint="eastAsia" w:ascii="楷体" w:hAnsi="楷体" w:eastAsia="楷体" w:cs="楷体"/>
          <w:szCs w:val="24"/>
          <w:highlight w:val="none"/>
        </w:rPr>
        <w:t>http://sxggzyjy.xa.gov.cn/fwzn/004003/20181115/4d59c184-e8f6-4d5a-a416-c2f6b0601e66.html</w:t>
      </w:r>
      <w:r>
        <w:rPr>
          <w:rFonts w:hint="eastAsia" w:ascii="楷体" w:hAnsi="楷体" w:eastAsia="楷体" w:cs="楷体"/>
          <w:szCs w:val="24"/>
          <w:highlight w:val="none"/>
        </w:rPr>
        <w:fldChar w:fldCharType="end"/>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17.2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17.3电子投标文件制作过程中，需要法定代表人签字或盖章的地方，请使用“法人CA锁”进行签章；需要加盖供应商公章的地方，请使用“企业CA锁”进行签章。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keepNext/>
        <w:keepLines/>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四.投标文件的递交</w:t>
      </w:r>
    </w:p>
    <w:p>
      <w:pPr>
        <w:spacing w:line="360" w:lineRule="auto"/>
        <w:rPr>
          <w:rFonts w:ascii="楷体" w:hAnsi="楷体" w:eastAsia="楷体" w:cs="楷体"/>
          <w:b/>
          <w:szCs w:val="24"/>
          <w:highlight w:val="none"/>
        </w:rPr>
      </w:pPr>
      <w:bookmarkStart w:id="54" w:name="_Toc403077643"/>
      <w:bookmarkStart w:id="55" w:name="_Toc363473976"/>
      <w:bookmarkStart w:id="56" w:name="_Toc363474021"/>
      <w:r>
        <w:rPr>
          <w:rFonts w:hint="eastAsia" w:ascii="楷体" w:hAnsi="楷体" w:eastAsia="楷体" w:cs="楷体"/>
          <w:b/>
          <w:szCs w:val="24"/>
          <w:highlight w:val="none"/>
        </w:rPr>
        <w:t>18.投标文件的加密和提交</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18.1在生成电子投标文件时，需要使用CA锁对投标文件进行加密。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注意：加密投标文件和开标时解密投标文件应当使用同一CA，否则将会导致解密失败。</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18.2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18.3上传文件有误或需要重新提交的，可先撤销已经上传的文件，然后重新上传新文件。</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19．投标文件的修改与撤回</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19.1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19.2供应商在提交投标文件截止时间后，撤回投标文件的，投标保证金不予退还。</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19.3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19.4关于投标文件的雷同性分析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19.5投标文件被拒绝接收的情形</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1．误投的或采用旧版电子招标文件制作的；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2．逾期提交电子投标文件的。</w:t>
      </w:r>
    </w:p>
    <w:p>
      <w:pPr>
        <w:keepNext/>
        <w:keepLines/>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五.开标与评</w:t>
      </w:r>
      <w:bookmarkEnd w:id="54"/>
      <w:bookmarkEnd w:id="55"/>
      <w:bookmarkEnd w:id="56"/>
      <w:r>
        <w:rPr>
          <w:rFonts w:hint="eastAsia" w:ascii="楷体" w:hAnsi="楷体" w:eastAsia="楷体" w:cs="楷体"/>
          <w:b/>
          <w:sz w:val="32"/>
          <w:szCs w:val="32"/>
          <w:highlight w:val="none"/>
        </w:rPr>
        <w:t>标</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20.开标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开标工作由采购代理机构组织实施，整个过程受同级政府采购监管机构的监督、管理。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[适用于不见面开标项目]（一）“不见面开标”基本流程</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1．供应商登录：开标前，请各供应商至少提前半小时登录西安市公共资源交易平台〖首页·〉不见面开标〗系统。</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2．主持人宣布开标：提交投标文件截止时间过后，系统将不再接收任何投标文件。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4．唱标：对于公开招标项目，“不见面开标”系统将自动展示供应商名单及其投标报价。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5．开标结束：进入评审环节。供应商请保持在线，评审期间评标委员会可能会要求供应商做相应的澄清。因供应商擅自离席造成的不利后果，由供应商自行承担。</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“不见面开标”系统操作说明：详见西安市公共资源交易平台〖首页·〉服务指南·〉下载专区〗中的《西安公共资源交易不见面开标大厅供应商操作手册》。</w:t>
      </w:r>
    </w:p>
    <w:p>
      <w:pPr>
        <w:wordWrap w:val="0"/>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链接地址：</w:t>
      </w:r>
      <w:r>
        <w:rPr>
          <w:highlight w:val="none"/>
        </w:rPr>
        <w:fldChar w:fldCharType="begin"/>
      </w:r>
      <w:r>
        <w:rPr>
          <w:highlight w:val="none"/>
        </w:rPr>
        <w:instrText xml:space="preserve"> HYPERLINK "http://sxggzyjy.xa.gov.cn/fwzn/004003/20200426/bc8b2c1e-abe2-4168-913c-68ff93345faf.html" </w:instrText>
      </w:r>
      <w:r>
        <w:rPr>
          <w:highlight w:val="none"/>
        </w:rPr>
        <w:fldChar w:fldCharType="separate"/>
      </w:r>
      <w:r>
        <w:rPr>
          <w:rFonts w:hint="eastAsia" w:ascii="楷体" w:hAnsi="楷体" w:eastAsia="楷体" w:cs="楷体"/>
          <w:szCs w:val="24"/>
          <w:highlight w:val="none"/>
        </w:rPr>
        <w:t>http://sxggzyjy.xa.gov.cn/fwzn/004003/20200426/bc8b2c1e-abe2-4168-913c-68ff93345faf.html</w:t>
      </w:r>
      <w:r>
        <w:rPr>
          <w:rFonts w:hint="eastAsia" w:ascii="楷体" w:hAnsi="楷体" w:eastAsia="楷体" w:cs="楷体"/>
          <w:szCs w:val="24"/>
          <w:highlight w:val="none"/>
        </w:rPr>
        <w:fldChar w:fldCharType="end"/>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[适用于见面开标项目]（二）“见面开标”基本流程</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本项目电子投标文件可以在线提交，但开标当日供应商法定代表人或其授权代表仍需到达开标现场。基本流程如下：</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1．供应商签到：采购代理机构将严格按照招标文件规定的时间和地点组织开标，供应商可派法定代表人或被授权人参加，并签名报到。</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2．主持人宣布开标：提交投标文件截止时间过后，系统将不再接收任何投标文件。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4．唱标：对于公开招标项目，系统将自动展示供应商名单及其投标报价。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5．开标结束：进入评审环节。供应商请在开标区等待，评审期间评标委员会可能会要求供应商做相应的澄清。因供应商擅自离席造成的不利后果，由供应商自行承担。</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21．评标组织及评标原则</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21.4如果投标人在澄清规定期限内，未能答复或拒绝答复评标委员会提出的澄清要求，将由评标委员会根据其投标文件按最大风险进行评标。</w:t>
      </w:r>
    </w:p>
    <w:p>
      <w:pPr>
        <w:spacing w:line="360" w:lineRule="auto"/>
        <w:ind w:firstLine="482" w:firstLineChars="200"/>
        <w:rPr>
          <w:rFonts w:ascii="楷体" w:hAnsi="楷体" w:eastAsia="楷体" w:cs="楷体"/>
          <w:b/>
          <w:szCs w:val="24"/>
          <w:highlight w:val="none"/>
        </w:rPr>
      </w:pPr>
      <w:r>
        <w:rPr>
          <w:rFonts w:hint="eastAsia" w:ascii="楷体" w:hAnsi="楷体" w:eastAsia="楷体" w:cs="楷体"/>
          <w:b/>
          <w:szCs w:val="24"/>
          <w:highlight w:val="none"/>
        </w:rPr>
        <w:t>21.5投标文件的初审（含资格性审查和符合性审查）</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21.5.1采购人或者采购代理机构应当依法对投标人的资格进行审查；评标委员会应当对符合资格的投标人的投标文件进行符合性审查，以确定其是否满足招标文件的实质性要求。</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23.3条的规定经投标人确认后产生约束力，投标人不同意以上修正的，其投标无效。</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21.5.3在详细评审前，根据本须知第23.5.4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实质上没有响应招标文件要求的投标将按无效投标处理。投标人不得通过修正或撤销不合要求的偏离从而使其投标成为实质性响应的投标。如发现下列情况之一的，其投标将构成非实质性响应，按无效投标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21.5.4.1未按招标文件要求提供的投标文件或投标文件构成有重大缺项；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21.5.4.2投标文件未按招标文件要求签署、盖章、装订的；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21.5.4.3资格证明文件不全的或无效的，或不符合国家规定的；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21.5.4.4投标文件无投标人公章、无法定代表人或授权人签章或签章人无法定代表人有效委托书的；</w:t>
      </w:r>
    </w:p>
    <w:p>
      <w:pPr>
        <w:tabs>
          <w:tab w:val="left" w:pos="1260"/>
        </w:tabs>
        <w:spacing w:line="360" w:lineRule="auto"/>
        <w:rPr>
          <w:rFonts w:ascii="楷体" w:hAnsi="楷体" w:eastAsia="楷体" w:cs="楷体"/>
          <w:szCs w:val="24"/>
          <w:highlight w:val="none"/>
        </w:rPr>
      </w:pPr>
      <w:r>
        <w:rPr>
          <w:rFonts w:hint="eastAsia" w:ascii="楷体" w:hAnsi="楷体" w:eastAsia="楷体" w:cs="楷体"/>
          <w:szCs w:val="24"/>
          <w:highlight w:val="none"/>
        </w:rPr>
        <w:t xml:space="preserve">    21.5.4.5无投标有效期或有效期不满足招标文件要求的；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22.5.4.6投标人在同一份投标文件中，对同一招标产品报有两个或多个报价的；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21.5.4.7投标人有串通投标、以他人名义投标、弄虚作假、行贿等违法行为的；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21.5.4.8投标总报价低于成本或者高于最高限价的；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21.5.4.9投标文件与本项目名称不一致的；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21.5.4.10投标文件份数不符合招标文件要求的；</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21.5.4.11法律法规或招标文件规定的其他无效情形。</w:t>
      </w:r>
    </w:p>
    <w:p>
      <w:pPr>
        <w:tabs>
          <w:tab w:val="left" w:pos="1260"/>
        </w:tabs>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21.6 投标文件的详细评审</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21.6.1评标委员会将按照本须知第23.5.4条规定，只对确定为实质性响应招标文件要求的投标进行详细评审。评标时，评标委员会各成员应当独立对每个投标人的投标文件进行评价，并汇总每个投标人的得分。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21.6.2详细评审按照第五章“评审方法”的方法进行评审。</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21.7中标候选人的确定</w:t>
      </w:r>
    </w:p>
    <w:p>
      <w:pPr>
        <w:spacing w:line="360" w:lineRule="auto"/>
        <w:ind w:firstLine="480" w:firstLineChars="200"/>
        <w:rPr>
          <w:rFonts w:ascii="楷体" w:hAnsi="楷体" w:eastAsia="楷体" w:cs="楷体"/>
          <w:highlight w:val="none"/>
        </w:rPr>
      </w:pPr>
      <w:r>
        <w:rPr>
          <w:rFonts w:hint="eastAsia" w:ascii="楷体" w:hAnsi="楷体" w:eastAsia="楷体" w:cs="楷体"/>
          <w:szCs w:val="24"/>
          <w:highlight w:val="none"/>
        </w:rPr>
        <w:t>21.7.1评标委员会完成评标后，向采购人提出书面评标报告，并推荐3名中标候选人，标明排列顺序。</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22．评标过程的保密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22.1评标委员会全体成员和与评审活动有关的工作人员不得泄露有关投标文件的评审和比较、中标候选人的推荐以及与评审有关的其他情况。</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22.2在评审过程中，如果投标人试图在投标文件的评审中比较中标候选人的推荐以及与评审有关的其他方面，向评标委员会和采购人及招标代理机构施加任何影响，应予废标。</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23．评审方法</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23.1按照《中华人民共和国政府采购法》和《中华人民共和国政府采购法实施条例》及《政府采购货物和服务招标投标管理办法》（财政部令第87号）等相关法律法规，本次评审采用</w:t>
      </w:r>
      <w:r>
        <w:rPr>
          <w:rFonts w:hint="eastAsia" w:ascii="楷体" w:hAnsi="楷体" w:eastAsia="楷体" w:cs="楷体"/>
          <w:b/>
          <w:bCs/>
          <w:szCs w:val="24"/>
          <w:highlight w:val="none"/>
        </w:rPr>
        <w:t>综合评分法</w:t>
      </w:r>
      <w:r>
        <w:rPr>
          <w:rFonts w:hint="eastAsia" w:ascii="楷体" w:hAnsi="楷体" w:eastAsia="楷体" w:cs="楷体"/>
          <w:b/>
          <w:szCs w:val="24"/>
          <w:highlight w:val="none"/>
        </w:rPr>
        <w:t>（详见第五章）</w:t>
      </w:r>
      <w:r>
        <w:rPr>
          <w:rFonts w:hint="eastAsia" w:ascii="楷体" w:hAnsi="楷体" w:eastAsia="楷体" w:cs="楷体"/>
          <w:szCs w:val="24"/>
          <w:highlight w:val="none"/>
        </w:rPr>
        <w:t>。</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23.1.1综合评分法，是指投标文件满足招标文件全部实质性要求，且按照评审因素的量化指标评审得分最高的投标人为中标候选人的评标方法。</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24．评标程序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按照初审（含资格性审查和符合性审查）、详细评审、推荐中标候选人名单的工作程序进行评审。在上一步评审中，投标人被按无效投标处理的投标人，不进入下一步的评审。</w:t>
      </w:r>
    </w:p>
    <w:p>
      <w:pPr>
        <w:pStyle w:val="14"/>
        <w:ind w:left="1680"/>
        <w:rPr>
          <w:rFonts w:ascii="楷体" w:hAnsi="楷体" w:eastAsia="楷体" w:cs="楷体"/>
          <w:highlight w:val="none"/>
        </w:rPr>
      </w:pPr>
    </w:p>
    <w:p>
      <w:pPr>
        <w:keepNext/>
        <w:keepLines/>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六.定标、中标通知与签约</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25．定标程序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25.1评标委员会根据评标方法的规定对投标人进行评审排序，推荐3名中标候选人，作为评标结果。评标结果由评标委员会成员签字确认。</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25.2采购代理机构在评标结束后2个工作日内将评标报告送采购人。采购人应当在收到评标报告后5个工作日内，按照评标报告中推荐的中标候选人顺序和有关规定确定中标人。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25.4采购人也可以授权评标委员会评标后直接确定中标人。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25.5中标人确定之后，中标结果将在财政部门指定的政府采购信息发布媒体上公告。</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25.6投标人或者其他利害关系人对评标结果有异议的，应当在法律规定的时间内提出。</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26．中标与落标通知</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26.1招标代理机构向中标人发出《中标通知书》。</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26.2中标通知书对采购人和中标人具有同等法律效力。中标通知书发出之后，采购人改变中标结果，或者中标人无正当理由放弃中标，应当承担相应的法律责任。</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27.中标合同的签订</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27.1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27.2政府采购合同应当包括采购人与中标人的名称和住所、标的、数量、质量、价款或者报酬、履行期限及地点和方式、验收要求、违约责任、解决争议的方法等内容。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27.3采购人与中标人应当根据合同的约定依法履行合同义务。政府采购合同的履行、违约责任和解决争议的方法等适用《中华人民共和国民法典》。</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27.4采购人自政府采购合同签订之日起2个工作日内，将政府采购合同在省级以上人民政府财政部门指定的媒体上公告，但政府采购合同中涉及国家秘密、商业秘密的内容除外。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楷体"/>
          <w:b/>
          <w:szCs w:val="24"/>
          <w:highlight w:val="none"/>
          <w:lang w:eastAsia="zh-CN"/>
        </w:rPr>
      </w:pPr>
      <w:r>
        <w:rPr>
          <w:rFonts w:hint="eastAsia" w:ascii="楷体" w:hAnsi="楷体" w:eastAsia="楷体" w:cs="楷体"/>
          <w:b/>
          <w:szCs w:val="24"/>
          <w:highlight w:val="none"/>
        </w:rPr>
        <w:t>28．招标代理服务费</w:t>
      </w:r>
      <w:r>
        <w:rPr>
          <w:rFonts w:hint="eastAsia" w:ascii="楷体" w:hAnsi="楷体" w:eastAsia="楷体" w:cs="楷体"/>
          <w:b/>
          <w:szCs w:val="24"/>
          <w:highlight w:val="none"/>
          <w:lang w:eastAsia="zh-CN"/>
        </w:rPr>
        <w:t>（按包计取）</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28.1以中标金额为基数，参照国家计委颁布《招标代理服务收费管理暂行办法》（计价格[2002]1980号）和国家发展改革委员会办公厅颁发的《关于招标代理服务收费有关问题的通知》（发改办价格[2003]857号）文件收取（本项目为服务类，按照服务类计费标准执行）。</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28.2招标代理服务费由中标人支付，在领取《中标通知书》前，由中标人一次性支付给</w:t>
      </w:r>
      <w:r>
        <w:rPr>
          <w:rFonts w:hint="eastAsia" w:ascii="楷体" w:hAnsi="楷体" w:eastAsia="楷体" w:cs="楷体"/>
          <w:szCs w:val="24"/>
          <w:highlight w:val="none"/>
          <w:lang w:eastAsia="zh-CN"/>
        </w:rPr>
        <w:t>陕西正翼项目管理咨询有限公司</w:t>
      </w:r>
      <w:r>
        <w:rPr>
          <w:rFonts w:hint="eastAsia" w:ascii="楷体" w:hAnsi="楷体" w:eastAsia="楷体" w:cs="楷体"/>
          <w:szCs w:val="24"/>
          <w:highlight w:val="none"/>
        </w:rPr>
        <w:t>。</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28.3招标代理服务费缴纳账户：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开户名称：陕西正翼项目管理咨询有限公司</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开户银行：中国民生银行股份有限公司西安经济技术开发区支行</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账    号：152 605 604</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29.履约保证金：本项目不涉及。</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（1）交纳履约保证金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（2）采用履约保函形式时应注意以下事项：</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① 履约保函的受益人为采购人，供应商未能按合同规定履行其义务时，采购人有权从履约保证金中取得补偿。</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③ 担保金额不少于《投标邀请函》中规定的履约保证金交纳金额；</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（3）退还履约保证金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30.其他</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30.1开标后，如果投标人的报价超过了采购预算，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30.2投标截止时间结束后，参加投标的投标人不足三家，或在评标期间，出现符合专业条件的投标人或者对招标文件做出实质性响应的投标人不足三家情形的，按照</w:t>
      </w:r>
      <w:bookmarkStart w:id="57" w:name="OLE_LINK8"/>
      <w:bookmarkStart w:id="58" w:name="OLE_LINK7"/>
      <w:r>
        <w:rPr>
          <w:rFonts w:hint="eastAsia" w:ascii="楷体" w:hAnsi="楷体" w:eastAsia="楷体" w:cs="楷体"/>
          <w:szCs w:val="24"/>
          <w:highlight w:val="none"/>
        </w:rPr>
        <w:t>《中华人民共和国政府采购法》、《中华人民共和国政府采购法实施条例》、《政府采购货物和服务招标投标管理办法》（财政部令第87号）、《陕西省财政厅关于政府采购有关问题的通知》陕财办采资[2016]53号</w:t>
      </w:r>
      <w:bookmarkEnd w:id="57"/>
      <w:bookmarkEnd w:id="58"/>
      <w:r>
        <w:rPr>
          <w:rFonts w:hint="eastAsia" w:ascii="楷体" w:hAnsi="楷体" w:eastAsia="楷体" w:cs="楷体"/>
          <w:szCs w:val="24"/>
          <w:highlight w:val="none"/>
        </w:rPr>
        <w:t>的规定，报告当地有关财政部门，由财政部门按照相关原则，做出重新组织招标或采取其他方式继续招标的决定。</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31.询问、质疑和投诉</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1．询问</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供应商对政府采购活动事项有疑问的，可以向采购人或采购代理机构提出询问。采购人或采购代理机构将在3个工作日内对供应商依法提出的询问作出答复。</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2．质疑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（1）供应商认为采购文件、采购过程、成交结果使自己的权益受到损害的，可以在知道或应知其权益受到损害之日起7个工作日内以书面形式向采购人、采购代理机构提出。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（2）质疑方式：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① 在线质疑：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登录西安市公共资源交易平台〖首页·〉电子交易平台·〉企业端〗，在〖我的项目〗中点击“项目流程·〉提出质疑”，填写表单并提交质疑。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② 书面质疑：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书面质疑函应按照财政部国库司制定的《政府采购供应商质疑函范本》（见下方链接）进行填写，签字、盖章后提交至采购人、采购代理机构。</w:t>
      </w:r>
    </w:p>
    <w:p>
      <w:pPr>
        <w:wordWrap w:val="0"/>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楷体" w:hAnsi="楷体" w:eastAsia="楷体" w:cs="楷体"/>
          <w:szCs w:val="24"/>
          <w:highlight w:val="none"/>
        </w:rPr>
        <w:t>http://download.ccgp.gov.cn/2018/zhiyihanfanben.zip</w:t>
      </w:r>
      <w:r>
        <w:rPr>
          <w:rFonts w:hint="eastAsia" w:ascii="楷体" w:hAnsi="楷体" w:eastAsia="楷体" w:cs="楷体"/>
          <w:szCs w:val="24"/>
          <w:highlight w:val="none"/>
        </w:rPr>
        <w:fldChar w:fldCharType="end"/>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（5）有下列情形之一的，属于无效质疑：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① 对采购文件提出质疑的质疑人不是依法获取采购文件的潜在供应商；对采购过程、中标结果提出质疑的质疑人不是参与本次政府采购项目的供应商；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② 超过法定期限或未以书面形式提出的；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③ 缺乏必要的证明材料，或捏造事实、提供虚假材料，或以非法手段取得证明材料的；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④ 质疑函没有合法有效的签字、盖章或委托授权书的（代理人提出质疑和投诉，应当提交供应商签署的授权委托书）；</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⑤ 针对同一采购程序环节又提出其他质疑事项的，或质疑答复后就同一事项再次提出质疑的；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⑥ 不符合法律、法规、规章和政府采购监管机构规定的其他条件的。</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3．投诉</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（2）供应商投诉的事项不得超出已质疑事项的范围。供应商提出投诉时，应当提交投诉书和必要的证明材料，并按财政部《投诉书范本》给定的格式进行填写。</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投诉书范本地址：</w:t>
      </w:r>
    </w:p>
    <w:p>
      <w:pPr>
        <w:spacing w:line="360" w:lineRule="auto"/>
        <w:ind w:firstLine="480" w:firstLineChars="200"/>
        <w:rPr>
          <w:rFonts w:ascii="楷体" w:hAnsi="楷体" w:eastAsia="楷体" w:cs="楷体"/>
          <w:szCs w:val="24"/>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Fonts w:hint="eastAsia" w:ascii="楷体" w:hAnsi="楷体" w:eastAsia="楷体" w:cs="楷体"/>
          <w:szCs w:val="24"/>
          <w:highlight w:val="none"/>
        </w:rPr>
        <w:t>http://download.ccgp.gov.cn/2018/tousushufanben.zip</w:t>
      </w:r>
      <w:r>
        <w:rPr>
          <w:rFonts w:hint="eastAsia" w:ascii="楷体" w:hAnsi="楷体" w:eastAsia="楷体" w:cs="楷体"/>
          <w:szCs w:val="24"/>
          <w:highlight w:val="none"/>
        </w:rPr>
        <w:fldChar w:fldCharType="end"/>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4．恶意质疑、投诉的法律后果</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（1）对捏造事实、提供虚假材料进行质疑、投诉的行为予以严肃处理：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（2）对捏造事实诬告陷害他人、诽谤他人的法律适用：</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《中华人民共和国刑法》第246条【侮辱罪、诽谤罪】以暴力或者其他方法公然侮辱他人或者捏造事实诽谤他人，情节严重的，处三年以下有期徒刑、拘役、管制或者剥夺政治权利。</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32.信用担保及信用融资</w:t>
      </w:r>
    </w:p>
    <w:p>
      <w:pPr>
        <w:pStyle w:val="11"/>
        <w:spacing w:after="0" w:line="360" w:lineRule="auto"/>
        <w:ind w:firstLine="480" w:firstLineChars="200"/>
        <w:jc w:val="left"/>
        <w:rPr>
          <w:rFonts w:ascii="楷体" w:hAnsi="楷体" w:eastAsia="楷体" w:cs="楷体"/>
          <w:kern w:val="0"/>
          <w:sz w:val="24"/>
          <w:szCs w:val="24"/>
          <w:highlight w:val="none"/>
        </w:rPr>
      </w:pPr>
      <w:r>
        <w:rPr>
          <w:rFonts w:hint="eastAsia" w:ascii="楷体" w:hAnsi="楷体" w:eastAsia="楷体" w:cs="楷体"/>
          <w:kern w:val="0"/>
          <w:sz w:val="24"/>
          <w:szCs w:val="24"/>
          <w:highlight w:val="none"/>
        </w:rPr>
        <w:t>根据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p>
      <w:pPr>
        <w:spacing w:line="360" w:lineRule="auto"/>
        <w:jc w:val="center"/>
        <w:outlineLvl w:val="0"/>
        <w:rPr>
          <w:rFonts w:ascii="楷体" w:hAnsi="楷体" w:eastAsia="楷体" w:cs="楷体"/>
          <w:bCs/>
          <w:sz w:val="36"/>
          <w:szCs w:val="36"/>
          <w:highlight w:val="none"/>
        </w:rPr>
      </w:pPr>
      <w:bookmarkStart w:id="59" w:name="_Toc14019"/>
      <w:bookmarkStart w:id="60" w:name="_Toc24268"/>
      <w:bookmarkStart w:id="61" w:name="_Toc7157"/>
      <w:r>
        <w:rPr>
          <w:rFonts w:hint="eastAsia" w:ascii="楷体" w:hAnsi="楷体" w:eastAsia="楷体" w:cs="楷体"/>
          <w:b/>
          <w:sz w:val="36"/>
          <w:szCs w:val="36"/>
          <w:highlight w:val="none"/>
        </w:rPr>
        <w:br w:type="page"/>
      </w:r>
      <w:bookmarkStart w:id="62" w:name="_Toc24666"/>
      <w:bookmarkStart w:id="63" w:name="_Toc28442"/>
      <w:bookmarkStart w:id="64" w:name="_Toc19583"/>
      <w:bookmarkStart w:id="65" w:name="_Toc19304"/>
      <w:bookmarkStart w:id="66" w:name="_Toc25044"/>
      <w:bookmarkStart w:id="67" w:name="_Toc9893"/>
      <w:bookmarkStart w:id="68" w:name="_Toc24829"/>
      <w:r>
        <w:rPr>
          <w:rFonts w:hint="eastAsia" w:ascii="楷体" w:hAnsi="楷体" w:eastAsia="楷体" w:cs="楷体"/>
          <w:b/>
          <w:sz w:val="36"/>
          <w:szCs w:val="36"/>
          <w:highlight w:val="none"/>
        </w:rPr>
        <w:t>第三章  合同条款及格式</w:t>
      </w:r>
      <w:bookmarkEnd w:id="45"/>
      <w:bookmarkEnd w:id="46"/>
      <w:bookmarkEnd w:id="59"/>
      <w:bookmarkEnd w:id="60"/>
      <w:bookmarkEnd w:id="61"/>
      <w:bookmarkEnd w:id="62"/>
      <w:bookmarkEnd w:id="63"/>
      <w:bookmarkEnd w:id="64"/>
      <w:bookmarkEnd w:id="65"/>
      <w:bookmarkEnd w:id="66"/>
      <w:bookmarkEnd w:id="67"/>
      <w:bookmarkEnd w:id="68"/>
    </w:p>
    <w:p>
      <w:pPr>
        <w:tabs>
          <w:tab w:val="left" w:pos="-200"/>
          <w:tab w:val="left" w:pos="0"/>
        </w:tabs>
        <w:spacing w:line="520" w:lineRule="exact"/>
        <w:jc w:val="center"/>
        <w:rPr>
          <w:rFonts w:ascii="楷体" w:hAnsi="楷体" w:eastAsia="楷体" w:cs="楷体"/>
          <w:b/>
          <w:bCs/>
          <w:color w:val="000000" w:themeColor="text1"/>
          <w:kern w:val="2"/>
          <w:sz w:val="28"/>
          <w:szCs w:val="36"/>
          <w:highlight w:val="none"/>
          <w14:textFill>
            <w14:solidFill>
              <w14:schemeClr w14:val="tx1"/>
            </w14:solidFill>
          </w14:textFill>
        </w:rPr>
      </w:pPr>
      <w:bookmarkStart w:id="69" w:name="_Toc498974432"/>
      <w:bookmarkStart w:id="70" w:name="_Toc23618"/>
      <w:bookmarkStart w:id="71" w:name="_Toc5421"/>
      <w:r>
        <w:rPr>
          <w:rFonts w:hint="eastAsia" w:ascii="楷体" w:hAnsi="楷体" w:eastAsia="楷体" w:cs="楷体"/>
          <w:b/>
          <w:bCs/>
          <w:color w:val="000000" w:themeColor="text1"/>
          <w:kern w:val="2"/>
          <w:sz w:val="28"/>
          <w:szCs w:val="36"/>
          <w:highlight w:val="none"/>
          <w14:textFill>
            <w14:solidFill>
              <w14:schemeClr w14:val="tx1"/>
            </w14:solidFill>
          </w14:textFill>
        </w:rPr>
        <w:t>合同条款及格式前附表</w:t>
      </w:r>
      <w:bookmarkEnd w:id="69"/>
      <w:bookmarkEnd w:id="70"/>
    </w:p>
    <w:p>
      <w:pPr>
        <w:spacing w:after="156" w:afterLines="50" w:line="440" w:lineRule="exact"/>
        <w:ind w:firstLine="480" w:firstLineChars="200"/>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本表是对合同条款的具体补充和修改，如有矛盾，应以本资料表为准。</w:t>
      </w:r>
    </w:p>
    <w:tbl>
      <w:tblPr>
        <w:tblStyle w:val="27"/>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65"/>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366" w:type="pct"/>
            <w:vAlign w:val="center"/>
          </w:tcPr>
          <w:p>
            <w:pPr>
              <w:spacing w:line="360" w:lineRule="auto"/>
              <w:jc w:val="center"/>
              <w:rPr>
                <w:rFonts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b/>
                <w:color w:val="000000" w:themeColor="text1"/>
                <w:szCs w:val="24"/>
                <w:highlight w:val="none"/>
                <w14:textFill>
                  <w14:solidFill>
                    <w14:schemeClr w14:val="tx1"/>
                  </w14:solidFill>
                </w14:textFill>
              </w:rPr>
              <w:t>序号</w:t>
            </w:r>
          </w:p>
        </w:tc>
        <w:tc>
          <w:tcPr>
            <w:tcW w:w="4633" w:type="pct"/>
            <w:vAlign w:val="center"/>
          </w:tcPr>
          <w:p>
            <w:pPr>
              <w:spacing w:line="360" w:lineRule="auto"/>
              <w:jc w:val="center"/>
              <w:rPr>
                <w:rFonts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b/>
                <w:color w:val="000000" w:themeColor="text1"/>
                <w:szCs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1</w:t>
            </w:r>
          </w:p>
        </w:tc>
        <w:tc>
          <w:tcPr>
            <w:tcW w:w="4633" w:type="pct"/>
            <w:vAlign w:val="center"/>
          </w:tcPr>
          <w:p>
            <w:pPr>
              <w:spacing w:line="360" w:lineRule="auto"/>
              <w:rPr>
                <w:rFonts w:ascii="楷体" w:hAnsi="楷体" w:eastAsia="楷体" w:cs="楷体"/>
                <w:b/>
                <w:szCs w:val="24"/>
                <w:highlight w:val="none"/>
              </w:rPr>
            </w:pPr>
            <w:r>
              <w:rPr>
                <w:rFonts w:hint="eastAsia" w:ascii="楷体" w:hAnsi="楷体" w:eastAsia="楷体" w:cs="楷体"/>
                <w:b/>
                <w:szCs w:val="24"/>
                <w:highlight w:val="none"/>
              </w:rPr>
              <w:t>采购人：</w:t>
            </w:r>
            <w:r>
              <w:rPr>
                <w:rFonts w:hint="eastAsia" w:ascii="楷体" w:hAnsi="楷体" w:eastAsia="楷体" w:cs="楷体"/>
                <w:szCs w:val="24"/>
                <w:highlight w:val="none"/>
                <w:lang w:eastAsia="zh-CN"/>
              </w:rPr>
              <w:t>西安市未央区教育局</w:t>
            </w:r>
          </w:p>
          <w:p>
            <w:pPr>
              <w:spacing w:line="360" w:lineRule="auto"/>
              <w:rPr>
                <w:rFonts w:hint="eastAsia" w:ascii="楷体" w:hAnsi="楷体" w:eastAsia="楷体" w:cs="楷体"/>
                <w:szCs w:val="24"/>
                <w:highlight w:val="none"/>
                <w:lang w:eastAsia="zh-CN"/>
              </w:rPr>
            </w:pPr>
            <w:r>
              <w:rPr>
                <w:rFonts w:hint="eastAsia" w:ascii="楷体" w:hAnsi="楷体" w:eastAsia="楷体" w:cs="楷体"/>
                <w:b/>
                <w:bCs/>
                <w:szCs w:val="24"/>
                <w:highlight w:val="none"/>
              </w:rPr>
              <w:t>地址：</w:t>
            </w:r>
            <w:r>
              <w:rPr>
                <w:rFonts w:hint="eastAsia" w:ascii="楷体" w:hAnsi="楷体" w:eastAsia="楷体" w:cs="楷体"/>
                <w:szCs w:val="24"/>
                <w:highlight w:val="none"/>
                <w:lang w:eastAsia="zh-CN"/>
              </w:rPr>
              <w:t>陕西省西安市未央区汇文南路75号</w:t>
            </w:r>
          </w:p>
          <w:p>
            <w:pPr>
              <w:spacing w:line="360" w:lineRule="auto"/>
              <w:rPr>
                <w:rFonts w:hint="eastAsia" w:ascii="楷体" w:hAnsi="楷体" w:eastAsia="楷体" w:cs="楷体"/>
                <w:bCs/>
                <w:szCs w:val="24"/>
                <w:highlight w:val="none"/>
                <w:lang w:eastAsia="zh-CN"/>
              </w:rPr>
            </w:pPr>
            <w:r>
              <w:rPr>
                <w:rFonts w:hint="eastAsia" w:ascii="楷体" w:hAnsi="楷体" w:eastAsia="楷体" w:cs="楷体"/>
                <w:b/>
                <w:szCs w:val="24"/>
                <w:highlight w:val="none"/>
              </w:rPr>
              <w:t>项目名称：</w:t>
            </w:r>
            <w:r>
              <w:rPr>
                <w:rFonts w:hint="eastAsia" w:ascii="楷体" w:hAnsi="楷体" w:eastAsia="楷体" w:cs="楷体"/>
                <w:szCs w:val="24"/>
                <w:highlight w:val="none"/>
                <w:shd w:val="clear" w:color="auto" w:fill="FFFFFF"/>
                <w:lang w:eastAsia="zh-CN"/>
              </w:rPr>
              <w:t>学生饮用水采购项目</w:t>
            </w:r>
          </w:p>
          <w:p>
            <w:pPr>
              <w:spacing w:line="360" w:lineRule="auto"/>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b/>
                <w:szCs w:val="24"/>
                <w:highlight w:val="none"/>
              </w:rPr>
              <w:t>资金来源：</w:t>
            </w:r>
            <w:r>
              <w:rPr>
                <w:rFonts w:hint="eastAsia" w:ascii="楷体" w:hAnsi="楷体" w:eastAsia="楷体" w:cs="楷体"/>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spacing w:line="360" w:lineRule="auto"/>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2</w:t>
            </w:r>
          </w:p>
        </w:tc>
        <w:tc>
          <w:tcPr>
            <w:tcW w:w="4633" w:type="pct"/>
            <w:vAlign w:val="center"/>
          </w:tcPr>
          <w:p>
            <w:pPr>
              <w:spacing w:line="360" w:lineRule="auto"/>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b/>
                <w:szCs w:val="24"/>
                <w:highlight w:val="none"/>
              </w:rPr>
              <w:t>名词解释：</w:t>
            </w:r>
            <w:r>
              <w:rPr>
                <w:rFonts w:hint="eastAsia" w:ascii="楷体" w:hAnsi="楷体" w:eastAsia="楷体" w:cs="楷体"/>
                <w:szCs w:val="24"/>
                <w:highlight w:val="none"/>
              </w:rPr>
              <w:t>本章节中出现的“投标人”，在招标投标阶段措辞为“投标人”；在项目招标结束，中标结果确定后，措辞由“投 标人”转为“中标人”。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7" w:hRule="atLeast"/>
          <w:jc w:val="center"/>
        </w:trPr>
        <w:tc>
          <w:tcPr>
            <w:tcW w:w="366" w:type="pct"/>
            <w:vAlign w:val="center"/>
          </w:tcPr>
          <w:p>
            <w:pPr>
              <w:spacing w:line="360" w:lineRule="auto"/>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3</w:t>
            </w:r>
          </w:p>
        </w:tc>
        <w:tc>
          <w:tcPr>
            <w:tcW w:w="4633" w:type="pct"/>
            <w:vAlign w:val="center"/>
          </w:tcPr>
          <w:p>
            <w:pPr>
              <w:spacing w:line="360" w:lineRule="auto"/>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b/>
                <w:szCs w:val="24"/>
                <w:highlight w:val="none"/>
              </w:rPr>
              <w:t>项目实施地点：</w:t>
            </w:r>
            <w:r>
              <w:rPr>
                <w:rFonts w:hint="eastAsia" w:ascii="楷体" w:hAnsi="楷体" w:eastAsia="楷体" w:cs="楷体"/>
                <w:bCs/>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spacing w:line="360" w:lineRule="auto"/>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4</w:t>
            </w:r>
          </w:p>
        </w:tc>
        <w:tc>
          <w:tcPr>
            <w:tcW w:w="4633" w:type="pct"/>
            <w:vAlign w:val="center"/>
          </w:tcPr>
          <w:p>
            <w:pPr>
              <w:pStyle w:val="11"/>
              <w:rPr>
                <w:sz w:val="24"/>
                <w:szCs w:val="24"/>
                <w:highlight w:val="none"/>
              </w:rPr>
            </w:pPr>
            <w:r>
              <w:rPr>
                <w:rFonts w:hint="eastAsia" w:ascii="楷体" w:hAnsi="楷体" w:eastAsia="楷体" w:cs="楷体"/>
                <w:b/>
                <w:sz w:val="24"/>
                <w:szCs w:val="24"/>
                <w:highlight w:val="none"/>
              </w:rPr>
              <w:t>服务期：</w:t>
            </w:r>
            <w:r>
              <w:rPr>
                <w:rFonts w:hint="eastAsia" w:ascii="楷体" w:hAnsi="楷体" w:eastAsia="楷体" w:cs="楷体"/>
                <w:b w:val="0"/>
                <w:bCs/>
                <w:sz w:val="24"/>
                <w:szCs w:val="24"/>
                <w:highlight w:val="none"/>
              </w:rPr>
              <w:t>1年</w:t>
            </w:r>
            <w:r>
              <w:rPr>
                <w:rFonts w:hint="eastAsia" w:ascii="楷体" w:hAnsi="楷体" w:eastAsia="楷体" w:cs="楷体"/>
                <w:b w:val="0"/>
                <w:bCs/>
                <w:sz w:val="24"/>
                <w:szCs w:val="24"/>
                <w:highlight w:val="none"/>
                <w:lang w:val="en-US" w:eastAsia="zh-CN"/>
              </w:rPr>
              <w:t>(两个</w:t>
            </w:r>
            <w:r>
              <w:rPr>
                <w:rFonts w:hint="eastAsia" w:ascii="楷体" w:hAnsi="楷体" w:eastAsia="楷体" w:cs="楷体"/>
                <w:b w:val="0"/>
                <w:bCs/>
                <w:sz w:val="24"/>
                <w:szCs w:val="24"/>
                <w:highlight w:val="none"/>
              </w:rPr>
              <w:t>学期</w:t>
            </w:r>
            <w:r>
              <w:rPr>
                <w:rFonts w:hint="eastAsia" w:ascii="楷体" w:hAnsi="楷体" w:eastAsia="楷体" w:cs="楷体"/>
                <w:b w:val="0"/>
                <w:bCs/>
                <w:sz w:val="24"/>
                <w:szCs w:val="24"/>
                <w:highlight w:val="none"/>
                <w:lang w:val="en-US" w:eastAsia="zh-CN"/>
              </w:rPr>
              <w:t>)</w:t>
            </w:r>
            <w:r>
              <w:rPr>
                <w:rFonts w:hint="eastAsia" w:ascii="楷体" w:hAnsi="楷体" w:eastAsia="楷体" w:cs="楷体"/>
                <w:b w:val="0"/>
                <w:bCs/>
                <w:sz w:val="24"/>
                <w:szCs w:val="24"/>
                <w:highlight w:val="none"/>
              </w:rPr>
              <w:t>，</w:t>
            </w:r>
            <w:r>
              <w:rPr>
                <w:rFonts w:hint="eastAsia" w:ascii="楷体" w:hAnsi="楷体" w:eastAsia="楷体" w:cs="楷体"/>
                <w:b w:val="0"/>
                <w:bCs/>
                <w:sz w:val="24"/>
                <w:szCs w:val="24"/>
                <w:highlight w:val="none"/>
                <w:lang w:eastAsia="zh-CN"/>
              </w:rPr>
              <w:t>自</w:t>
            </w:r>
            <w:r>
              <w:rPr>
                <w:rFonts w:hint="eastAsia" w:ascii="楷体" w:hAnsi="楷体" w:eastAsia="楷体" w:cs="楷体"/>
                <w:b w:val="0"/>
                <w:bCs/>
                <w:sz w:val="24"/>
                <w:szCs w:val="24"/>
                <w:highlight w:val="none"/>
              </w:rPr>
              <w:t>合同签订之日起</w:t>
            </w:r>
            <w:r>
              <w:rPr>
                <w:rFonts w:hint="eastAsia" w:ascii="楷体" w:hAnsi="楷体" w:eastAsia="楷体" w:cs="楷体"/>
                <w:b w:val="0"/>
                <w:bCs/>
                <w:sz w:val="24"/>
                <w:szCs w:val="24"/>
                <w:highlight w:val="none"/>
                <w:lang w:eastAsia="zh-CN"/>
              </w:rPr>
              <w:t>至</w:t>
            </w:r>
            <w:r>
              <w:rPr>
                <w:rFonts w:hint="eastAsia" w:ascii="楷体" w:hAnsi="楷体" w:eastAsia="楷体" w:cs="楷体"/>
                <w:b w:val="0"/>
                <w:bCs/>
                <w:sz w:val="24"/>
                <w:szCs w:val="24"/>
                <w:highlight w:val="none"/>
              </w:rPr>
              <w:t>202</w:t>
            </w:r>
            <w:r>
              <w:rPr>
                <w:rFonts w:hint="eastAsia" w:ascii="楷体" w:hAnsi="楷体" w:eastAsia="楷体" w:cs="楷体"/>
                <w:b w:val="0"/>
                <w:bCs/>
                <w:sz w:val="24"/>
                <w:szCs w:val="24"/>
                <w:highlight w:val="none"/>
                <w:lang w:val="en-US" w:eastAsia="zh-CN"/>
              </w:rPr>
              <w:t>4</w:t>
            </w:r>
            <w:r>
              <w:rPr>
                <w:rFonts w:hint="eastAsia" w:ascii="楷体" w:hAnsi="楷体" w:eastAsia="楷体" w:cs="楷体"/>
                <w:b w:val="0"/>
                <w:bCs/>
                <w:sz w:val="24"/>
                <w:szCs w:val="24"/>
                <w:highlight w:val="none"/>
              </w:rPr>
              <w:t>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atLeast"/>
          <w:jc w:val="center"/>
        </w:trPr>
        <w:tc>
          <w:tcPr>
            <w:tcW w:w="366" w:type="pct"/>
            <w:vAlign w:val="center"/>
          </w:tcPr>
          <w:p>
            <w:pPr>
              <w:spacing w:line="360" w:lineRule="auto"/>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5</w:t>
            </w:r>
          </w:p>
        </w:tc>
        <w:tc>
          <w:tcPr>
            <w:tcW w:w="4633" w:type="pct"/>
            <w:vAlign w:val="center"/>
          </w:tcPr>
          <w:p>
            <w:pPr>
              <w:spacing w:line="360" w:lineRule="auto"/>
              <w:rPr>
                <w:rFonts w:ascii="楷体" w:hAnsi="楷体" w:eastAsia="楷体" w:cs="楷体"/>
                <w:b/>
                <w:bCs/>
                <w:szCs w:val="24"/>
                <w:highlight w:val="none"/>
              </w:rPr>
            </w:pPr>
            <w:r>
              <w:rPr>
                <w:rFonts w:hint="eastAsia" w:ascii="楷体" w:hAnsi="楷体" w:eastAsia="楷体" w:cs="楷体"/>
                <w:b/>
                <w:bCs/>
                <w:szCs w:val="24"/>
                <w:highlight w:val="none"/>
              </w:rPr>
              <w:t>付款：</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1.合同价款的确定及调整：以中标人的投标价格为合同价款的结算依据，如需调整将在补充协议条款中具体明确。</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2.付款方式和程序：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2.1由采购人负责结算，在付款前，投标人必须开具相应金额发票给采购人（附详细清单）。</w:t>
            </w:r>
          </w:p>
          <w:p>
            <w:pPr>
              <w:spacing w:line="360" w:lineRule="auto"/>
              <w:ind w:firstLine="482" w:firstLineChars="200"/>
              <w:rPr>
                <w:rFonts w:ascii="楷体" w:hAnsi="楷体" w:eastAsia="楷体" w:cs="楷体"/>
                <w:szCs w:val="24"/>
                <w:highlight w:val="none"/>
              </w:rPr>
            </w:pPr>
            <w:r>
              <w:rPr>
                <w:rFonts w:hint="eastAsia" w:ascii="楷体" w:hAnsi="楷体" w:eastAsia="楷体" w:cs="楷体"/>
                <w:b/>
                <w:bCs/>
                <w:szCs w:val="24"/>
                <w:highlight w:val="none"/>
              </w:rPr>
              <w:t>2.2付款方式：</w:t>
            </w:r>
            <w:r>
              <w:rPr>
                <w:rFonts w:hint="eastAsia" w:ascii="楷体" w:hAnsi="楷体" w:eastAsia="楷体" w:cs="楷体"/>
                <w:szCs w:val="24"/>
                <w:highlight w:val="none"/>
              </w:rPr>
              <w:t xml:space="preserve"> </w:t>
            </w:r>
          </w:p>
          <w:p>
            <w:pPr>
              <w:numPr>
                <w:ilvl w:val="0"/>
                <w:numId w:val="0"/>
              </w:num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2.2.1按</w:t>
            </w:r>
            <w:r>
              <w:rPr>
                <w:rFonts w:hint="eastAsia" w:ascii="楷体" w:hAnsi="楷体" w:eastAsia="楷体" w:cs="楷体"/>
                <w:szCs w:val="24"/>
                <w:highlight w:val="none"/>
                <w:lang w:val="en-US" w:eastAsia="zh-CN"/>
              </w:rPr>
              <w:t>学期据实</w:t>
            </w:r>
            <w:r>
              <w:rPr>
                <w:rFonts w:hint="eastAsia" w:ascii="楷体" w:hAnsi="楷体" w:eastAsia="楷体" w:cs="楷体"/>
                <w:szCs w:val="24"/>
                <w:highlight w:val="none"/>
              </w:rPr>
              <w:t>结算</w:t>
            </w:r>
            <w:r>
              <w:rPr>
                <w:rFonts w:hint="eastAsia" w:ascii="楷体" w:hAnsi="楷体" w:eastAsia="楷体" w:cs="楷体"/>
                <w:sz w:val="24"/>
                <w:szCs w:val="24"/>
                <w:highlight w:val="none"/>
              </w:rPr>
              <w:t>。</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2.2.2支付方式：银行转账。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spacing w:line="360" w:lineRule="auto"/>
              <w:jc w:val="center"/>
              <w:rPr>
                <w:rFonts w:hint="default" w:ascii="楷体" w:hAnsi="楷体" w:eastAsia="楷体" w:cs="楷体"/>
                <w:szCs w:val="24"/>
                <w:highlight w:val="none"/>
                <w:lang w:val="en-US" w:eastAsia="zh-CN"/>
              </w:rPr>
            </w:pPr>
            <w:r>
              <w:rPr>
                <w:rFonts w:hint="eastAsia" w:ascii="楷体" w:hAnsi="楷体" w:eastAsia="楷体" w:cs="楷体"/>
                <w:szCs w:val="24"/>
                <w:highlight w:val="none"/>
                <w:lang w:val="en-US" w:eastAsia="zh-CN"/>
              </w:rPr>
              <w:t>6</w:t>
            </w:r>
          </w:p>
        </w:tc>
        <w:tc>
          <w:tcPr>
            <w:tcW w:w="4633" w:type="pct"/>
            <w:vAlign w:val="center"/>
          </w:tcPr>
          <w:p>
            <w:pPr>
              <w:keepNext w:val="0"/>
              <w:keepLines w:val="0"/>
              <w:pageBreakBefore w:val="0"/>
              <w:widowControl w:val="0"/>
              <w:kinsoku/>
              <w:wordWrap/>
              <w:overflowPunct/>
              <w:topLinePunct w:val="0"/>
              <w:autoSpaceDE/>
              <w:autoSpaceDN/>
              <w:bidi w:val="0"/>
              <w:snapToGrid/>
              <w:spacing w:line="360" w:lineRule="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质量标准：</w:t>
            </w:r>
          </w:p>
          <w:p>
            <w:pPr>
              <w:keepNext w:val="0"/>
              <w:keepLines w:val="0"/>
              <w:pageBreakBefore w:val="0"/>
              <w:widowControl w:val="0"/>
              <w:kinsoku/>
              <w:wordWrap/>
              <w:overflowPunct/>
              <w:topLinePunct w:val="0"/>
              <w:autoSpaceDE/>
              <w:autoSpaceDN/>
              <w:bidi w:val="0"/>
              <w:snapToGrid/>
              <w:spacing w:line="360" w:lineRule="auto"/>
              <w:ind w:left="426"/>
              <w:rPr>
                <w:rFonts w:hint="eastAsia" w:ascii="楷体" w:hAnsi="楷体" w:eastAsia="楷体" w:cs="楷体"/>
                <w:sz w:val="24"/>
                <w:szCs w:val="24"/>
              </w:rPr>
            </w:pPr>
            <w:r>
              <w:rPr>
                <w:rFonts w:hint="eastAsia" w:ascii="楷体" w:hAnsi="楷体" w:eastAsia="楷体" w:cs="楷体"/>
                <w:sz w:val="24"/>
                <w:szCs w:val="24"/>
              </w:rPr>
              <w:t>1、质量标准：所供</w:t>
            </w:r>
            <w:r>
              <w:rPr>
                <w:rFonts w:hint="eastAsia" w:ascii="楷体" w:hAnsi="楷体" w:eastAsia="楷体" w:cs="楷体"/>
                <w:sz w:val="24"/>
                <w:szCs w:val="24"/>
                <w:lang w:eastAsia="zh-CN"/>
              </w:rPr>
              <w:t>饮用</w:t>
            </w:r>
            <w:r>
              <w:rPr>
                <w:rFonts w:hint="eastAsia" w:ascii="楷体" w:hAnsi="楷体" w:eastAsia="楷体" w:cs="楷体"/>
                <w:sz w:val="24"/>
                <w:szCs w:val="24"/>
              </w:rPr>
              <w:t>水水质必须符合GB19298-2014标准要求。</w:t>
            </w:r>
          </w:p>
          <w:p>
            <w:pPr>
              <w:keepNext w:val="0"/>
              <w:keepLines w:val="0"/>
              <w:pageBreakBefore w:val="0"/>
              <w:widowControl w:val="0"/>
              <w:kinsoku/>
              <w:wordWrap/>
              <w:overflowPunct/>
              <w:topLinePunct w:val="0"/>
              <w:autoSpaceDE/>
              <w:autoSpaceDN/>
              <w:bidi w:val="0"/>
              <w:snapToGrid/>
              <w:spacing w:line="360" w:lineRule="auto"/>
              <w:ind w:left="426"/>
              <w:rPr>
                <w:rFonts w:hint="eastAsia" w:ascii="楷体" w:hAnsi="楷体" w:eastAsia="楷体" w:cs="楷体"/>
                <w:szCs w:val="24"/>
                <w:highlight w:val="none"/>
              </w:rPr>
            </w:pPr>
            <w:r>
              <w:rPr>
                <w:rFonts w:hint="eastAsia" w:ascii="楷体" w:hAnsi="楷体" w:eastAsia="楷体" w:cs="楷体"/>
                <w:sz w:val="24"/>
                <w:szCs w:val="24"/>
              </w:rPr>
              <w:t>2、在保质期内若非由于</w:t>
            </w:r>
            <w:r>
              <w:rPr>
                <w:rFonts w:hint="eastAsia" w:ascii="楷体" w:hAnsi="楷体" w:eastAsia="楷体" w:cs="楷体"/>
                <w:color w:val="auto"/>
                <w:sz w:val="24"/>
                <w:szCs w:val="24"/>
                <w:highlight w:val="none"/>
              </w:rPr>
              <w:t>甲方保存或操作</w:t>
            </w:r>
            <w:r>
              <w:rPr>
                <w:rFonts w:hint="eastAsia" w:ascii="楷体" w:hAnsi="楷体" w:eastAsia="楷体" w:cs="楷体"/>
                <w:sz w:val="24"/>
                <w:szCs w:val="24"/>
              </w:rPr>
              <w:t>不当所造成的质量问题，乙方对其产品质量负全部责任。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spacing w:line="360" w:lineRule="auto"/>
              <w:jc w:val="center"/>
              <w:rPr>
                <w:rFonts w:hint="eastAsia" w:ascii="楷体" w:hAnsi="楷体" w:eastAsia="楷体" w:cs="楷体"/>
                <w:color w:val="000000" w:themeColor="text1"/>
                <w:szCs w:val="24"/>
                <w:highlight w:val="none"/>
                <w:lang w:eastAsia="zh-CN"/>
                <w14:textFill>
                  <w14:solidFill>
                    <w14:schemeClr w14:val="tx1"/>
                  </w14:solidFill>
                </w14:textFill>
              </w:rPr>
            </w:pPr>
            <w:r>
              <w:rPr>
                <w:rFonts w:hint="eastAsia" w:ascii="楷体" w:hAnsi="楷体" w:eastAsia="楷体" w:cs="楷体"/>
                <w:szCs w:val="24"/>
                <w:highlight w:val="none"/>
                <w:lang w:val="en-US" w:eastAsia="zh-CN"/>
              </w:rPr>
              <w:t>7</w:t>
            </w:r>
          </w:p>
        </w:tc>
        <w:tc>
          <w:tcPr>
            <w:tcW w:w="4633" w:type="pct"/>
            <w:vAlign w:val="center"/>
          </w:tcPr>
          <w:p>
            <w:pPr>
              <w:tabs>
                <w:tab w:val="left" w:pos="152"/>
              </w:tabs>
              <w:spacing w:line="360" w:lineRule="auto"/>
              <w:rPr>
                <w:rFonts w:hint="eastAsia" w:ascii="楷体" w:hAnsi="楷体" w:eastAsia="楷体" w:cs="楷体"/>
                <w:b/>
                <w:szCs w:val="24"/>
                <w:highlight w:val="none"/>
              </w:rPr>
            </w:pPr>
            <w:r>
              <w:rPr>
                <w:rFonts w:hint="eastAsia" w:ascii="楷体" w:hAnsi="楷体" w:eastAsia="楷体" w:cs="仿宋"/>
                <w:b/>
                <w:bCs/>
                <w:szCs w:val="24"/>
                <w:highlight w:val="none"/>
              </w:rPr>
              <w:t>考核验收</w:t>
            </w:r>
            <w:r>
              <w:rPr>
                <w:rFonts w:hint="eastAsia" w:ascii="楷体" w:hAnsi="楷体" w:eastAsia="楷体" w:cs="楷体"/>
                <w:b/>
                <w:szCs w:val="24"/>
                <w:highlight w:val="none"/>
              </w:rPr>
              <w:t>：</w:t>
            </w:r>
          </w:p>
          <w:p>
            <w:pPr>
              <w:tabs>
                <w:tab w:val="left" w:pos="152"/>
              </w:tabs>
              <w:spacing w:line="360" w:lineRule="auto"/>
              <w:ind w:firstLine="480" w:firstLineChars="200"/>
              <w:rPr>
                <w:rFonts w:hint="eastAsia" w:ascii="楷体" w:hAnsi="楷体" w:eastAsia="楷体" w:cs="仿宋"/>
                <w:bCs/>
                <w:color w:val="000000"/>
                <w:szCs w:val="24"/>
                <w:highlight w:val="none"/>
              </w:rPr>
            </w:pPr>
            <w:r>
              <w:rPr>
                <w:rFonts w:hint="eastAsia" w:ascii="楷体" w:hAnsi="楷体" w:eastAsia="楷体" w:cs="仿宋"/>
                <w:bCs/>
                <w:color w:val="000000"/>
                <w:szCs w:val="24"/>
                <w:highlight w:val="none"/>
              </w:rPr>
              <w:t>由采购人和中标人共同对项目进行整体验收。其内容包括是否按照采购人要求进行服务、是否在规定时间内服务完毕。</w:t>
            </w:r>
          </w:p>
          <w:p>
            <w:pPr>
              <w:tabs>
                <w:tab w:val="left" w:pos="152"/>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其他事项：</w:t>
            </w:r>
          </w:p>
          <w:p>
            <w:pPr>
              <w:tabs>
                <w:tab w:val="left" w:pos="152"/>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1、验收合格后，填写政府采购项目验收单作为对本服务的最终认可。</w:t>
            </w:r>
          </w:p>
          <w:p>
            <w:pPr>
              <w:tabs>
                <w:tab w:val="left" w:pos="152"/>
              </w:tabs>
              <w:spacing w:line="360" w:lineRule="auto"/>
              <w:ind w:firstLine="480" w:firstLineChars="200"/>
              <w:rPr>
                <w:rFonts w:hint="eastAsia" w:ascii="楷体" w:hAnsi="楷体" w:eastAsia="楷体" w:cs="仿宋"/>
                <w:bCs/>
                <w:color w:val="000000"/>
                <w:szCs w:val="24"/>
                <w:highlight w:val="none"/>
              </w:rPr>
            </w:pPr>
            <w:r>
              <w:rPr>
                <w:rFonts w:hint="eastAsia" w:ascii="楷体" w:hAnsi="楷体" w:eastAsia="楷体" w:cs="仿宋"/>
                <w:bCs/>
                <w:color w:val="000000"/>
                <w:szCs w:val="24"/>
                <w:highlight w:val="none"/>
              </w:rPr>
              <w:t>2、服务商向采购人提供服务过程中的所有资料,以便采购人日后管理和维护。</w:t>
            </w:r>
          </w:p>
          <w:p>
            <w:pPr>
              <w:tabs>
                <w:tab w:val="left" w:pos="152"/>
              </w:tabs>
              <w:spacing w:line="360" w:lineRule="auto"/>
              <w:ind w:firstLine="480" w:firstLineChars="200"/>
              <w:rPr>
                <w:rFonts w:hint="eastAsia" w:ascii="楷体" w:hAnsi="楷体" w:eastAsia="楷体" w:cs="仿宋"/>
                <w:bCs/>
                <w:color w:val="000000"/>
                <w:szCs w:val="24"/>
                <w:highlight w:val="none"/>
              </w:rPr>
            </w:pPr>
            <w:r>
              <w:rPr>
                <w:rFonts w:hint="eastAsia" w:ascii="楷体" w:hAnsi="楷体" w:eastAsia="楷体" w:cs="仿宋"/>
                <w:bCs/>
                <w:color w:val="000000"/>
                <w:szCs w:val="24"/>
                <w:highlight w:val="none"/>
              </w:rPr>
              <w:t>3、验收依据</w:t>
            </w:r>
          </w:p>
          <w:p>
            <w:pPr>
              <w:tabs>
                <w:tab w:val="left" w:pos="152"/>
              </w:tabs>
              <w:spacing w:line="360" w:lineRule="auto"/>
              <w:ind w:firstLine="480" w:firstLineChars="200"/>
              <w:rPr>
                <w:rFonts w:hint="eastAsia" w:ascii="楷体" w:hAnsi="楷体" w:eastAsia="楷体" w:cs="楷体"/>
                <w:szCs w:val="24"/>
                <w:highlight w:val="none"/>
              </w:rPr>
            </w:pPr>
            <w:r>
              <w:rPr>
                <w:rFonts w:hint="eastAsia" w:ascii="楷体" w:hAnsi="楷体" w:eastAsia="楷体" w:cs="仿宋"/>
                <w:bCs/>
                <w:color w:val="000000"/>
                <w:szCs w:val="24"/>
                <w:highlight w:val="none"/>
              </w:rPr>
              <w:t>3.1招标文件、</w:t>
            </w:r>
            <w:r>
              <w:rPr>
                <w:rFonts w:hint="eastAsia" w:ascii="楷体" w:hAnsi="楷体" w:eastAsia="楷体" w:cs="楷体"/>
                <w:szCs w:val="24"/>
                <w:highlight w:val="none"/>
              </w:rPr>
              <w:t>投标文件、澄清表（函）；</w:t>
            </w:r>
          </w:p>
          <w:p>
            <w:pPr>
              <w:tabs>
                <w:tab w:val="left" w:pos="152"/>
              </w:tabs>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3.2本合同及附件文本；</w:t>
            </w:r>
          </w:p>
          <w:p>
            <w:pPr>
              <w:spacing w:line="360" w:lineRule="auto"/>
              <w:ind w:firstLine="480" w:firstLineChars="200"/>
              <w:jc w:val="left"/>
              <w:rPr>
                <w:rFonts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szCs w:val="24"/>
                <w:highlight w:val="none"/>
              </w:rPr>
              <w:t>3.3国家相应的标准、规范。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 w:hRule="atLeast"/>
          <w:jc w:val="center"/>
        </w:trPr>
        <w:tc>
          <w:tcPr>
            <w:tcW w:w="366" w:type="pct"/>
            <w:vAlign w:val="center"/>
          </w:tcPr>
          <w:p>
            <w:pPr>
              <w:pStyle w:val="16"/>
              <w:spacing w:line="360" w:lineRule="auto"/>
              <w:jc w:val="center"/>
              <w:rPr>
                <w:rFonts w:hint="eastAsia" w:ascii="楷体" w:hAnsi="楷体" w:eastAsia="楷体" w:cs="楷体"/>
                <w:color w:val="000000" w:themeColor="text1"/>
                <w:szCs w:val="24"/>
                <w:highlight w:val="none"/>
                <w:lang w:eastAsia="zh-CN"/>
                <w14:textFill>
                  <w14:solidFill>
                    <w14:schemeClr w14:val="tx1"/>
                  </w14:solidFill>
                </w14:textFill>
              </w:rPr>
            </w:pPr>
            <w:r>
              <w:rPr>
                <w:rFonts w:hint="eastAsia" w:ascii="楷体" w:hAnsi="楷体" w:eastAsia="楷体" w:cs="仿宋"/>
                <w:kern w:val="0"/>
                <w:sz w:val="24"/>
                <w:szCs w:val="24"/>
                <w:highlight w:val="none"/>
                <w:lang w:val="en-US" w:eastAsia="zh-CN"/>
              </w:rPr>
              <w:t>8</w:t>
            </w:r>
          </w:p>
        </w:tc>
        <w:tc>
          <w:tcPr>
            <w:tcW w:w="4633" w:type="pct"/>
            <w:vAlign w:val="center"/>
          </w:tcPr>
          <w:p>
            <w:pPr>
              <w:spacing w:line="360" w:lineRule="auto"/>
              <w:rPr>
                <w:rFonts w:ascii="楷体" w:hAnsi="楷体" w:eastAsia="楷体" w:cs="楷体"/>
                <w:b/>
                <w:bCs/>
                <w:szCs w:val="24"/>
                <w:highlight w:val="none"/>
              </w:rPr>
            </w:pPr>
            <w:r>
              <w:rPr>
                <w:rFonts w:hint="eastAsia" w:ascii="楷体" w:hAnsi="楷体" w:eastAsia="楷体" w:cs="楷体"/>
                <w:b/>
                <w:bCs/>
                <w:szCs w:val="24"/>
                <w:highlight w:val="none"/>
                <w:lang w:eastAsia="zh-CN"/>
              </w:rPr>
              <w:t>包装运输及相关服务</w:t>
            </w:r>
            <w:r>
              <w:rPr>
                <w:rFonts w:hint="eastAsia" w:ascii="楷体" w:hAnsi="楷体" w:eastAsia="楷体" w:cs="楷体"/>
                <w:b/>
                <w:bCs/>
                <w:szCs w:val="24"/>
                <w:highlight w:val="none"/>
              </w:rPr>
              <w:t>：</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包装必须适应货物特性和交通运输要求，以及国家有关标准或企业标准或合同要求。中标人应承担因包装、防护措施不妥引起的所有损失的责任和费用，运输途中的</w:t>
            </w:r>
            <w:r>
              <w:rPr>
                <w:rFonts w:hint="eastAsia" w:ascii="楷体" w:hAnsi="楷体" w:eastAsia="楷体" w:cs="楷体"/>
                <w:sz w:val="24"/>
                <w:szCs w:val="24"/>
                <w:lang w:eastAsia="zh-CN"/>
              </w:rPr>
              <w:t>饮用</w:t>
            </w:r>
            <w:r>
              <w:rPr>
                <w:rFonts w:hint="eastAsia" w:ascii="楷体" w:hAnsi="楷体" w:eastAsia="楷体" w:cs="楷体"/>
                <w:sz w:val="24"/>
                <w:szCs w:val="24"/>
              </w:rPr>
              <w:t>水桶损坏和其他责任事故全部由中标单位承担。</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中标人自行选择运输方式（另有规定的除外），承担一切运输费用。</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因</w:t>
            </w:r>
            <w:r>
              <w:rPr>
                <w:rFonts w:hint="eastAsia" w:ascii="楷体" w:hAnsi="楷体" w:eastAsia="楷体" w:cs="楷体"/>
                <w:sz w:val="24"/>
                <w:szCs w:val="24"/>
                <w:lang w:eastAsia="zh-CN"/>
              </w:rPr>
              <w:t>饮用</w:t>
            </w:r>
            <w:r>
              <w:rPr>
                <w:rFonts w:hint="eastAsia" w:ascii="楷体" w:hAnsi="楷体" w:eastAsia="楷体" w:cs="楷体"/>
                <w:sz w:val="24"/>
                <w:szCs w:val="24"/>
              </w:rPr>
              <w:t>水引起的一切责任事故，均由中标单位全权负责，采购人及配送学校不承担任何责任。</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 xml:space="preserve"> 产品包装上必须有完好的生产厂家、规格、型号、出厂日期等有效信息，否则将其视为“三无”产品而拒绝接收。</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供水企业要根据学校实际需求。每学期开学前必须清洗一次饮水机（自备清洗所用毛巾和消毒液等），另外应学校需求定期进行清洗，清洗工作由企业指派专人负责，责任落实到人，留存清洗记录，上报当地药监部门留档；若饮水机非人为因素无法正常使用，乙方派专人免费上门维修，如有损坏及时更换，保证学生正常饮水。</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服务须周到迅速。自接到电话1小时内须按时按量及时送水到学校指定地点</w:t>
            </w:r>
            <w:r>
              <w:rPr>
                <w:rFonts w:hint="eastAsia" w:ascii="楷体" w:hAnsi="楷体" w:eastAsia="楷体" w:cs="楷体"/>
                <w:sz w:val="24"/>
                <w:szCs w:val="24"/>
                <w:lang w:eastAsia="zh-CN"/>
              </w:rPr>
              <w:t>（限一层）</w:t>
            </w:r>
            <w:r>
              <w:rPr>
                <w:rFonts w:hint="eastAsia" w:ascii="楷体" w:hAnsi="楷体" w:eastAsia="楷体" w:cs="楷体"/>
                <w:sz w:val="24"/>
                <w:szCs w:val="24"/>
              </w:rPr>
              <w:t>。节假日正常供水，不另行收费。</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sz w:val="24"/>
                <w:szCs w:val="24"/>
                <w:lang w:val="en-US" w:eastAsia="zh-CN"/>
              </w:rPr>
              <w:t>7、</w:t>
            </w:r>
            <w:r>
              <w:rPr>
                <w:rFonts w:hint="eastAsia" w:ascii="楷体" w:hAnsi="楷体" w:eastAsia="楷体" w:cs="楷体"/>
                <w:sz w:val="24"/>
                <w:szCs w:val="24"/>
              </w:rPr>
              <w:t>企业必须有规格型号多样的桶装水，即具有体积小、重量轻、易搬运、易保存、水质新鲜等特点，以满足不同年龄段的中小学生的安全需求。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pStyle w:val="16"/>
              <w:spacing w:line="360" w:lineRule="auto"/>
              <w:jc w:val="center"/>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kern w:val="0"/>
                <w:sz w:val="24"/>
                <w:szCs w:val="24"/>
                <w:highlight w:val="none"/>
              </w:rPr>
              <w:t>9</w:t>
            </w:r>
          </w:p>
        </w:tc>
        <w:tc>
          <w:tcPr>
            <w:tcW w:w="4633" w:type="pct"/>
            <w:vAlign w:val="center"/>
          </w:tcPr>
          <w:p>
            <w:pPr>
              <w:spacing w:line="360" w:lineRule="auto"/>
              <w:rPr>
                <w:rFonts w:ascii="楷体" w:hAnsi="楷体" w:eastAsia="楷体" w:cs="楷体"/>
                <w:b/>
                <w:szCs w:val="24"/>
                <w:highlight w:val="none"/>
              </w:rPr>
            </w:pPr>
            <w:r>
              <w:rPr>
                <w:rFonts w:hint="eastAsia" w:ascii="楷体" w:hAnsi="楷体" w:eastAsia="楷体" w:cs="楷体"/>
                <w:b/>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bCs/>
                <w:sz w:val="24"/>
                <w:szCs w:val="24"/>
              </w:rPr>
            </w:pPr>
            <w:r>
              <w:rPr>
                <w:rFonts w:hint="eastAsia" w:ascii="楷体" w:hAnsi="楷体" w:eastAsia="楷体" w:cs="楷体"/>
                <w:bCs/>
                <w:sz w:val="24"/>
                <w:szCs w:val="24"/>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color w:val="000000"/>
                <w:sz w:val="24"/>
                <w:szCs w:val="24"/>
              </w:rPr>
            </w:pPr>
            <w:r>
              <w:rPr>
                <w:rFonts w:hint="eastAsia" w:ascii="楷体" w:hAnsi="楷体" w:eastAsia="楷体" w:cs="楷体"/>
                <w:bCs/>
                <w:sz w:val="24"/>
                <w:szCs w:val="24"/>
              </w:rPr>
              <w:t>2、如因</w:t>
            </w:r>
            <w:r>
              <w:rPr>
                <w:rFonts w:hint="eastAsia" w:ascii="楷体" w:hAnsi="楷体" w:eastAsia="楷体" w:cs="楷体"/>
                <w:color w:val="000000"/>
                <w:sz w:val="24"/>
                <w:szCs w:val="24"/>
              </w:rPr>
              <w:t>乙方未全面履行合同义务或者发生违约，甲方有权终止合同，依法向乙方进行经济索赔，并报请政府采购监督管理机关进行相应的行政处罚。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bCs/>
                <w:sz w:val="24"/>
                <w:szCs w:val="24"/>
              </w:rPr>
            </w:pPr>
            <w:r>
              <w:rPr>
                <w:rFonts w:hint="eastAsia" w:ascii="楷体" w:hAnsi="楷体" w:eastAsia="楷体" w:cs="楷体"/>
                <w:color w:val="000000"/>
                <w:sz w:val="24"/>
                <w:szCs w:val="24"/>
              </w:rPr>
              <w:t>3、</w:t>
            </w:r>
            <w:r>
              <w:rPr>
                <w:rFonts w:hint="eastAsia" w:ascii="楷体" w:hAnsi="楷体" w:eastAsia="楷体" w:cs="楷体"/>
                <w:bCs/>
                <w:sz w:val="24"/>
                <w:szCs w:val="24"/>
              </w:rPr>
              <w:t>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bCs/>
                <w:sz w:val="24"/>
                <w:szCs w:val="24"/>
              </w:rPr>
              <w:t>4、如果在合同期间供货方出现饮用水质量问题，甲方师生如饮用乙方产品出现身体不适，经市级以上(含市卫生防疫部门)采样检验，如确系乙方产品原因造成，并由此而导致的甲方对任何第三方的法律责任等，乙方对此均应承担全部的赔偿责任。甲方有权终止合同，并按《中华人民共和国食品安全法》相关法律法规进行处理且乙方不得参与未央区教育局及下属学校之后所有招标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pStyle w:val="16"/>
              <w:spacing w:line="360" w:lineRule="auto"/>
              <w:jc w:val="center"/>
              <w:rPr>
                <w:rFonts w:hint="default" w:ascii="楷体" w:hAnsi="楷体" w:eastAsia="楷体" w:cs="楷体"/>
                <w:kern w:val="0"/>
                <w:sz w:val="24"/>
                <w:szCs w:val="24"/>
                <w:highlight w:val="none"/>
                <w:lang w:val="en-US" w:eastAsia="zh-CN"/>
              </w:rPr>
            </w:pPr>
            <w:r>
              <w:rPr>
                <w:rFonts w:hint="eastAsia" w:ascii="楷体" w:hAnsi="楷体" w:eastAsia="楷体" w:cs="楷体"/>
                <w:kern w:val="0"/>
                <w:sz w:val="24"/>
                <w:szCs w:val="24"/>
                <w:highlight w:val="none"/>
                <w:lang w:val="en-US" w:eastAsia="zh-CN"/>
              </w:rPr>
              <w:t>10</w:t>
            </w:r>
          </w:p>
        </w:tc>
        <w:tc>
          <w:tcPr>
            <w:tcW w:w="4633" w:type="pct"/>
            <w:vAlign w:val="center"/>
          </w:tcPr>
          <w:p>
            <w:pPr>
              <w:keepNext w:val="0"/>
              <w:keepLines w:val="0"/>
              <w:pageBreakBefore w:val="0"/>
              <w:widowControl w:val="0"/>
              <w:tabs>
                <w:tab w:val="left" w:pos="0"/>
              </w:tabs>
              <w:kinsoku/>
              <w:wordWrap/>
              <w:overflowPunct/>
              <w:topLinePunct w:val="0"/>
              <w:autoSpaceDE/>
              <w:autoSpaceDN/>
              <w:bidi w:val="0"/>
              <w:snapToGrid/>
              <w:spacing w:line="360" w:lineRule="auto"/>
              <w:rPr>
                <w:rFonts w:hint="eastAsia" w:ascii="楷体" w:hAnsi="楷体" w:eastAsia="楷体" w:cs="楷体"/>
                <w:sz w:val="24"/>
                <w:szCs w:val="24"/>
                <w:lang w:eastAsia="zh-CN"/>
              </w:rPr>
            </w:pPr>
            <w:r>
              <w:rPr>
                <w:rFonts w:hint="eastAsia" w:ascii="楷体" w:hAnsi="楷体" w:eastAsia="楷体" w:cs="楷体"/>
                <w:b/>
                <w:sz w:val="24"/>
                <w:szCs w:val="24"/>
              </w:rPr>
              <w:t>不可抗力事件处理</w:t>
            </w:r>
            <w:r>
              <w:rPr>
                <w:rFonts w:hint="eastAsia" w:ascii="楷体" w:hAnsi="楷体" w:eastAsia="楷体" w:cs="楷体"/>
                <w:b/>
                <w:sz w:val="24"/>
                <w:szCs w:val="24"/>
                <w:lang w:eastAsia="zh-CN"/>
              </w:rPr>
              <w:t>：</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Cs w:val="24"/>
                <w:highlight w:val="none"/>
              </w:rPr>
            </w:pPr>
            <w:r>
              <w:rPr>
                <w:rFonts w:hint="eastAsia" w:ascii="楷体" w:hAnsi="楷体" w:eastAsia="楷体" w:cs="楷体"/>
                <w:sz w:val="24"/>
                <w:szCs w:val="24"/>
              </w:rPr>
              <w:t>3、因合同一方迟延履行合同后发生不可抗力的，不能免除迟延履行方的相应责任。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atLeast"/>
          <w:jc w:val="center"/>
        </w:trPr>
        <w:tc>
          <w:tcPr>
            <w:tcW w:w="366" w:type="pct"/>
            <w:vAlign w:val="center"/>
          </w:tcPr>
          <w:p>
            <w:pPr>
              <w:pStyle w:val="16"/>
              <w:spacing w:line="360" w:lineRule="auto"/>
              <w:jc w:val="center"/>
              <w:rPr>
                <w:rFonts w:hint="default" w:ascii="楷体" w:hAnsi="楷体" w:eastAsia="楷体" w:cs="楷体"/>
                <w:color w:val="000000" w:themeColor="text1"/>
                <w:szCs w:val="24"/>
                <w:highlight w:val="none"/>
                <w:lang w:val="en-US" w:eastAsia="zh-CN"/>
                <w14:textFill>
                  <w14:solidFill>
                    <w14:schemeClr w14:val="tx1"/>
                  </w14:solidFill>
                </w14:textFill>
              </w:rPr>
            </w:pPr>
            <w:r>
              <w:rPr>
                <w:rFonts w:hint="eastAsia" w:ascii="楷体" w:hAnsi="楷体" w:eastAsia="楷体" w:cs="楷体"/>
                <w:kern w:val="0"/>
                <w:sz w:val="24"/>
                <w:szCs w:val="24"/>
                <w:highlight w:val="none"/>
                <w:lang w:val="en-US" w:eastAsia="zh-CN"/>
              </w:rPr>
              <w:t>11</w:t>
            </w:r>
          </w:p>
        </w:tc>
        <w:tc>
          <w:tcPr>
            <w:tcW w:w="4633" w:type="pct"/>
            <w:vAlign w:val="center"/>
          </w:tcPr>
          <w:p>
            <w:pPr>
              <w:spacing w:line="360" w:lineRule="auto"/>
              <w:rPr>
                <w:rFonts w:ascii="楷体" w:hAnsi="楷体" w:eastAsia="楷体" w:cs="楷体"/>
                <w:b/>
                <w:bCs/>
                <w:szCs w:val="24"/>
                <w:highlight w:val="none"/>
              </w:rPr>
            </w:pPr>
            <w:r>
              <w:rPr>
                <w:rFonts w:hint="eastAsia" w:ascii="楷体" w:hAnsi="楷体" w:eastAsia="楷体" w:cs="楷体"/>
                <w:b/>
                <w:bCs/>
                <w:szCs w:val="24"/>
                <w:highlight w:val="none"/>
              </w:rPr>
              <w:t>政府采购合同：</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政府采购合同适用中华人民共和国民法典。采购人和投标人之间的权利和义务，应当按照平等、自愿的原则以合同方式约定。</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采购人可以委托采购代理机构代表其与投标人签订政府采购合同。由采购代理机构以采购人名义签订合同的，应当提交采购人的授权委托书，作为合同附件。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政府采购合同应当采用书面形式。</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国务院政府采购监督管理部门应当会同国务院有关部门，规定政府采购合同必须具备的条款。</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采购人与中标人应当在中标、中标知书发出之日起三十日内，按照采购文件确定的事项签订政府采购合同。</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中标、中标通知书对采购人和中标人均具有法律效力。中标、中标通知书发出后，采购人改变中标结果的，或者中标人放弃中标项目的，应当依法承担法律责任。</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经采购人同意，中标人可以依法采取分包方式履行合同。政府采购合同分包履行的，中标人就采购项目和分包项目向采购人负责，分包投标人就分包项目承担责任。</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spacing w:line="360" w:lineRule="auto"/>
              <w:ind w:firstLine="480" w:firstLineChars="200"/>
              <w:rPr>
                <w:rFonts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szCs w:val="24"/>
                <w:highlight w:val="none"/>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pPr>
        <w:pStyle w:val="11"/>
        <w:rPr>
          <w:rFonts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br w:type="page"/>
      </w:r>
    </w:p>
    <w:p>
      <w:pPr>
        <w:pStyle w:val="18"/>
        <w:jc w:val="center"/>
        <w:rPr>
          <w:rFonts w:ascii="楷体" w:hAnsi="楷体" w:eastAsia="楷体" w:cs="仿宋"/>
          <w:b/>
          <w:sz w:val="48"/>
          <w:szCs w:val="48"/>
          <w:highlight w:val="none"/>
        </w:rPr>
      </w:pPr>
    </w:p>
    <w:p>
      <w:pPr>
        <w:pStyle w:val="18"/>
        <w:jc w:val="center"/>
        <w:rPr>
          <w:rFonts w:ascii="楷体" w:hAnsi="楷体" w:eastAsia="楷体" w:cs="仿宋"/>
          <w:b/>
          <w:sz w:val="48"/>
          <w:szCs w:val="48"/>
          <w:highlight w:val="none"/>
        </w:rPr>
      </w:pPr>
    </w:p>
    <w:p>
      <w:pPr>
        <w:pStyle w:val="18"/>
        <w:spacing w:line="360" w:lineRule="auto"/>
        <w:jc w:val="center"/>
        <w:rPr>
          <w:rFonts w:ascii="楷体" w:hAnsi="楷体" w:eastAsia="楷体" w:cs="仿宋"/>
          <w:b/>
          <w:sz w:val="48"/>
          <w:szCs w:val="48"/>
          <w:highlight w:val="none"/>
        </w:rPr>
      </w:pPr>
    </w:p>
    <w:p>
      <w:pPr>
        <w:pStyle w:val="18"/>
        <w:spacing w:line="360" w:lineRule="auto"/>
        <w:jc w:val="center"/>
        <w:rPr>
          <w:rFonts w:hint="eastAsia" w:ascii="楷体" w:hAnsi="楷体" w:eastAsia="楷体" w:cs="仿宋"/>
          <w:b/>
          <w:sz w:val="44"/>
          <w:szCs w:val="44"/>
          <w:highlight w:val="none"/>
          <w:lang w:eastAsia="zh-CN"/>
        </w:rPr>
      </w:pPr>
      <w:r>
        <w:rPr>
          <w:rFonts w:hint="eastAsia" w:ascii="楷体" w:hAnsi="楷体" w:eastAsia="楷体" w:cs="仿宋"/>
          <w:b/>
          <w:sz w:val="48"/>
          <w:szCs w:val="48"/>
          <w:highlight w:val="none"/>
          <w:lang w:eastAsia="zh-CN"/>
        </w:rPr>
        <w:t>学生饮用水采购项目</w:t>
      </w:r>
    </w:p>
    <w:p>
      <w:pPr>
        <w:spacing w:line="360" w:lineRule="auto"/>
        <w:jc w:val="center"/>
        <w:rPr>
          <w:rFonts w:ascii="楷体" w:hAnsi="楷体" w:eastAsia="楷体" w:cs="仿宋"/>
          <w:b/>
          <w:bCs/>
          <w:sz w:val="48"/>
          <w:szCs w:val="44"/>
          <w:highlight w:val="none"/>
        </w:rPr>
      </w:pPr>
    </w:p>
    <w:p>
      <w:pPr>
        <w:spacing w:line="360" w:lineRule="auto"/>
        <w:jc w:val="center"/>
        <w:rPr>
          <w:rFonts w:ascii="楷体" w:hAnsi="楷体" w:eastAsia="楷体" w:cs="仿宋"/>
          <w:b/>
          <w:bCs/>
          <w:sz w:val="48"/>
          <w:szCs w:val="44"/>
          <w:highlight w:val="none"/>
        </w:rPr>
      </w:pPr>
    </w:p>
    <w:p>
      <w:pPr>
        <w:spacing w:line="360" w:lineRule="auto"/>
        <w:jc w:val="center"/>
        <w:rPr>
          <w:rFonts w:ascii="楷体" w:hAnsi="楷体" w:eastAsia="楷体" w:cs="仿宋"/>
          <w:b/>
          <w:bCs/>
          <w:sz w:val="48"/>
          <w:szCs w:val="44"/>
          <w:highlight w:val="none"/>
        </w:rPr>
      </w:pPr>
      <w:r>
        <w:rPr>
          <w:rFonts w:hint="eastAsia" w:ascii="楷体" w:hAnsi="楷体" w:eastAsia="楷体" w:cs="仿宋"/>
          <w:b/>
          <w:bCs/>
          <w:sz w:val="48"/>
          <w:szCs w:val="44"/>
          <w:highlight w:val="none"/>
        </w:rPr>
        <w:t>服 务 合 同</w:t>
      </w:r>
    </w:p>
    <w:p>
      <w:pPr>
        <w:jc w:val="center"/>
        <w:rPr>
          <w:rFonts w:ascii="楷体" w:hAnsi="楷体" w:eastAsia="楷体" w:cs="仿宋"/>
          <w:b/>
          <w:sz w:val="48"/>
          <w:szCs w:val="48"/>
          <w:highlight w:val="none"/>
        </w:rPr>
      </w:pPr>
    </w:p>
    <w:p>
      <w:pPr>
        <w:jc w:val="center"/>
        <w:rPr>
          <w:rFonts w:ascii="楷体" w:hAnsi="楷体" w:eastAsia="楷体" w:cs="仿宋"/>
          <w:b/>
          <w:sz w:val="48"/>
          <w:szCs w:val="48"/>
          <w:highlight w:val="none"/>
        </w:rPr>
      </w:pPr>
    </w:p>
    <w:p>
      <w:pPr>
        <w:jc w:val="center"/>
        <w:rPr>
          <w:rFonts w:ascii="楷体" w:hAnsi="楷体" w:eastAsia="楷体" w:cs="仿宋"/>
          <w:b/>
          <w:bCs/>
          <w:sz w:val="44"/>
          <w:szCs w:val="44"/>
          <w:highlight w:val="none"/>
        </w:rPr>
      </w:pPr>
      <w:r>
        <w:rPr>
          <w:rFonts w:hint="eastAsia" w:ascii="楷体" w:hAnsi="楷体" w:eastAsia="楷体" w:cs="仿宋"/>
          <w:b/>
          <w:sz w:val="48"/>
          <w:szCs w:val="48"/>
          <w:highlight w:val="none"/>
        </w:rPr>
        <w:t>（示范文本）</w:t>
      </w:r>
    </w:p>
    <w:p>
      <w:pPr>
        <w:jc w:val="left"/>
        <w:rPr>
          <w:rFonts w:ascii="楷体" w:hAnsi="楷体" w:eastAsia="楷体" w:cs="仿宋"/>
          <w:sz w:val="32"/>
          <w:szCs w:val="32"/>
          <w:highlight w:val="none"/>
        </w:rPr>
      </w:pPr>
    </w:p>
    <w:bookmarkEnd w:id="71"/>
    <w:p>
      <w:pPr>
        <w:spacing w:line="360" w:lineRule="auto"/>
        <w:jc w:val="center"/>
        <w:rPr>
          <w:rFonts w:ascii="楷体" w:hAnsi="楷体" w:eastAsia="楷体"/>
          <w:b/>
          <w:bCs/>
          <w:sz w:val="32"/>
          <w:szCs w:val="24"/>
          <w:highlight w:val="none"/>
        </w:rPr>
      </w:pPr>
      <w:bookmarkStart w:id="72" w:name="_Toc8333"/>
      <w:bookmarkStart w:id="73" w:name="_Toc26595"/>
      <w:bookmarkStart w:id="74" w:name="_Toc4679"/>
      <w:bookmarkStart w:id="75" w:name="_Toc31520"/>
      <w:bookmarkStart w:id="76" w:name="_Toc19199"/>
      <w:bookmarkStart w:id="77" w:name="_Toc19246"/>
      <w:bookmarkStart w:id="78" w:name="_Toc29888"/>
      <w:bookmarkStart w:id="79" w:name="_Toc389582037"/>
      <w:r>
        <w:rPr>
          <w:rFonts w:hint="eastAsia" w:ascii="楷体" w:hAnsi="楷体" w:eastAsia="楷体"/>
          <w:b/>
          <w:bCs/>
          <w:sz w:val="32"/>
          <w:szCs w:val="24"/>
          <w:highlight w:val="none"/>
        </w:rPr>
        <w:t xml:space="preserve">   </w:t>
      </w:r>
    </w:p>
    <w:p>
      <w:pPr>
        <w:rPr>
          <w:rFonts w:ascii="楷体" w:hAnsi="楷体" w:eastAsia="楷体"/>
          <w:b/>
          <w:bCs/>
          <w:sz w:val="32"/>
          <w:szCs w:val="24"/>
          <w:highlight w:val="none"/>
        </w:rPr>
      </w:pPr>
      <w:r>
        <w:rPr>
          <w:rFonts w:hint="eastAsia" w:ascii="楷体" w:hAnsi="楷体" w:eastAsia="楷体"/>
          <w:b/>
          <w:bCs/>
          <w:sz w:val="32"/>
          <w:szCs w:val="24"/>
          <w:highlight w:val="none"/>
        </w:rPr>
        <w:br w:type="page"/>
      </w:r>
    </w:p>
    <w:bookmarkEnd w:id="47"/>
    <w:bookmarkEnd w:id="72"/>
    <w:bookmarkEnd w:id="73"/>
    <w:bookmarkEnd w:id="74"/>
    <w:bookmarkEnd w:id="75"/>
    <w:bookmarkEnd w:id="76"/>
    <w:bookmarkEnd w:id="77"/>
    <w:bookmarkEnd w:id="78"/>
    <w:bookmarkEnd w:id="79"/>
    <w:p>
      <w:pPr>
        <w:keepNext w:val="0"/>
        <w:keepLines w:val="0"/>
        <w:pageBreakBefore w:val="0"/>
        <w:widowControl w:val="0"/>
        <w:kinsoku/>
        <w:wordWrap/>
        <w:overflowPunct/>
        <w:topLinePunct w:val="0"/>
        <w:autoSpaceDE/>
        <w:autoSpaceDN/>
        <w:bidi w:val="0"/>
        <w:snapToGrid/>
        <w:spacing w:line="360" w:lineRule="auto"/>
        <w:rPr>
          <w:rFonts w:hint="eastAsia" w:ascii="楷体" w:hAnsi="楷体" w:eastAsia="楷体" w:cs="楷体"/>
          <w:sz w:val="24"/>
          <w:szCs w:val="24"/>
        </w:rPr>
      </w:pPr>
      <w:bookmarkStart w:id="80" w:name="_Toc30185"/>
      <w:bookmarkStart w:id="81" w:name="_Toc21136"/>
      <w:bookmarkStart w:id="82" w:name="_Toc19266"/>
      <w:bookmarkStart w:id="83" w:name="_Toc5067"/>
      <w:bookmarkStart w:id="84" w:name="_Toc30527"/>
      <w:bookmarkStart w:id="85" w:name="_Toc403077646"/>
      <w:bookmarkStart w:id="86" w:name="_Toc5084"/>
      <w:bookmarkStart w:id="87" w:name="_Toc363474025"/>
      <w:bookmarkStart w:id="88" w:name="_Toc24142"/>
      <w:bookmarkStart w:id="89" w:name="_Toc21651"/>
      <w:r>
        <w:rPr>
          <w:rFonts w:hint="eastAsia" w:ascii="楷体" w:hAnsi="楷体" w:eastAsia="楷体" w:cs="楷体"/>
          <w:sz w:val="24"/>
          <w:szCs w:val="24"/>
        </w:rPr>
        <w:t>说明：合同中委托人（甲方）为未央区教育局下属学校</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合同编号：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签订地点：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签订时间：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委托人（甲方）：</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供应商（乙方）：</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依据《中华人民共和国合同法》、《中华人民共和国政府采购法》与项目行业有关的法律法规，以及项目（项目编号：</w:t>
      </w:r>
      <w:r>
        <w:rPr>
          <w:rFonts w:hint="eastAsia" w:ascii="楷体" w:hAnsi="楷体" w:eastAsia="楷体" w:cs="楷体"/>
          <w:sz w:val="24"/>
          <w:szCs w:val="24"/>
          <w:lang w:val="en-US" w:eastAsia="zh-CN"/>
        </w:rPr>
        <w:t>ZYZB2023-GK1120</w:t>
      </w:r>
      <w:r>
        <w:rPr>
          <w:rFonts w:hint="eastAsia" w:ascii="楷体" w:hAnsi="楷体" w:eastAsia="楷体" w:cs="楷体"/>
          <w:sz w:val="24"/>
          <w:szCs w:val="24"/>
        </w:rPr>
        <w:t>）的《招标文件》，乙方的《投标文件》及《中标通知书》，甲、乙双方同意签订本合同。详细服务说明及其他有关合同项目的特定信息由合同附件予以说明，合同附件及本项目的《招标文件》、《投标文件》、《中标通知书》等均为本合同的组成部分。</w:t>
      </w:r>
    </w:p>
    <w:p>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楷体" w:hAnsi="楷体" w:eastAsia="楷体" w:cs="楷体"/>
          <w:b/>
          <w:sz w:val="24"/>
          <w:szCs w:val="24"/>
        </w:rPr>
      </w:pPr>
      <w:bookmarkStart w:id="90" w:name="_Toc283019214"/>
      <w:bookmarkStart w:id="91" w:name="_Toc282696226"/>
      <w:bookmarkStart w:id="92" w:name="_Toc238984975"/>
      <w:bookmarkStart w:id="93" w:name="_Toc225244852"/>
      <w:bookmarkStart w:id="94" w:name="_Toc212019594"/>
      <w:bookmarkStart w:id="95" w:name="_Toc237145406"/>
      <w:bookmarkStart w:id="96" w:name="_Toc211911348"/>
      <w:bookmarkStart w:id="97" w:name="_Toc239568418"/>
      <w:bookmarkStart w:id="98" w:name="_Toc185395249"/>
      <w:bookmarkStart w:id="99" w:name="_Toc232492928"/>
      <w:bookmarkStart w:id="100" w:name="_Toc286993786"/>
      <w:bookmarkStart w:id="101" w:name="_Toc251768862"/>
      <w:bookmarkStart w:id="102" w:name="_Toc225654644"/>
      <w:bookmarkStart w:id="103" w:name="_Toc239233914"/>
      <w:bookmarkStart w:id="104" w:name="_Toc241833903"/>
      <w:bookmarkStart w:id="105" w:name="_Toc247334841"/>
      <w:bookmarkStart w:id="106" w:name="_Toc211854449"/>
      <w:bookmarkStart w:id="107" w:name="_Toc225670751"/>
      <w:r>
        <w:rPr>
          <w:rFonts w:hint="eastAsia" w:ascii="楷体" w:hAnsi="楷体" w:eastAsia="楷体" w:cs="楷体"/>
          <w:b/>
          <w:sz w:val="24"/>
          <w:szCs w:val="24"/>
          <w:lang w:eastAsia="zh-CN"/>
        </w:rPr>
        <w:t>饮用</w:t>
      </w:r>
      <w:r>
        <w:rPr>
          <w:rFonts w:hint="eastAsia" w:ascii="楷体" w:hAnsi="楷体" w:eastAsia="楷体" w:cs="楷体"/>
          <w:b/>
          <w:sz w:val="24"/>
          <w:szCs w:val="24"/>
        </w:rPr>
        <w:t>水品牌、数量、价格</w:t>
      </w:r>
    </w:p>
    <w:p>
      <w:pPr>
        <w:keepNext w:val="0"/>
        <w:keepLines w:val="0"/>
        <w:pageBreakBefore w:val="0"/>
        <w:widowControl w:val="0"/>
        <w:kinsoku/>
        <w:wordWrap/>
        <w:overflowPunct/>
        <w:topLinePunct w:val="0"/>
        <w:autoSpaceDE/>
        <w:autoSpaceDN/>
        <w:bidi w:val="0"/>
        <w:snapToGrid/>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rPr>
        <w:t>乙方为甲方服务期内提供“</w:t>
      </w:r>
      <w:r>
        <w:rPr>
          <w:rFonts w:hint="eastAsia" w:ascii="楷体" w:hAnsi="楷体" w:eastAsia="楷体" w:cs="楷体"/>
          <w:sz w:val="24"/>
          <w:szCs w:val="24"/>
          <w:u w:val="single"/>
        </w:rPr>
        <w:t xml:space="preserve">    </w:t>
      </w:r>
      <w:r>
        <w:rPr>
          <w:rFonts w:hint="eastAsia" w:ascii="楷体" w:hAnsi="楷体" w:eastAsia="楷体" w:cs="楷体"/>
          <w:sz w:val="24"/>
          <w:szCs w:val="24"/>
        </w:rPr>
        <w:t>”牌台式温热水饮水机</w:t>
      </w:r>
      <w:r>
        <w:rPr>
          <w:rFonts w:hint="eastAsia" w:ascii="楷体" w:hAnsi="楷体" w:eastAsia="楷体" w:cs="楷体"/>
          <w:sz w:val="24"/>
          <w:szCs w:val="24"/>
          <w:u w:val="single"/>
        </w:rPr>
        <w:t xml:space="preserve">    </w:t>
      </w:r>
      <w:r>
        <w:rPr>
          <w:rFonts w:hint="eastAsia" w:ascii="楷体" w:hAnsi="楷体" w:eastAsia="楷体" w:cs="楷体"/>
          <w:sz w:val="24"/>
          <w:szCs w:val="24"/>
        </w:rPr>
        <w:t>台；立式温热饮水机</w:t>
      </w:r>
      <w:r>
        <w:rPr>
          <w:rFonts w:hint="eastAsia" w:ascii="楷体" w:hAnsi="楷体" w:eastAsia="楷体" w:cs="楷体"/>
          <w:sz w:val="24"/>
          <w:szCs w:val="24"/>
          <w:u w:val="single"/>
        </w:rPr>
        <w:t xml:space="preserve">    </w:t>
      </w:r>
      <w:r>
        <w:rPr>
          <w:rFonts w:hint="eastAsia" w:ascii="楷体" w:hAnsi="楷体" w:eastAsia="楷体" w:cs="楷体"/>
          <w:sz w:val="24"/>
          <w:szCs w:val="24"/>
        </w:rPr>
        <w:t>台；</w:t>
      </w:r>
      <w:r>
        <w:rPr>
          <w:rFonts w:hint="eastAsia" w:ascii="楷体" w:hAnsi="楷体" w:eastAsia="楷体" w:cs="楷体"/>
          <w:sz w:val="24"/>
          <w:szCs w:val="24"/>
          <w:lang w:eastAsia="zh-CN"/>
        </w:rPr>
        <w:t>饮用水</w:t>
      </w:r>
      <w:r>
        <w:rPr>
          <w:rFonts w:hint="eastAsia" w:ascii="楷体" w:hAnsi="楷体" w:eastAsia="楷体" w:cs="楷体"/>
          <w:sz w:val="24"/>
          <w:szCs w:val="24"/>
        </w:rPr>
        <w:t>桶</w:t>
      </w:r>
      <w:r>
        <w:rPr>
          <w:rFonts w:hint="eastAsia" w:ascii="楷体" w:hAnsi="楷体" w:eastAsia="楷体" w:cs="楷体"/>
          <w:sz w:val="24"/>
          <w:szCs w:val="24"/>
          <w:u w:val="single"/>
        </w:rPr>
        <w:t xml:space="preserve">    </w:t>
      </w:r>
      <w:r>
        <w:rPr>
          <w:rFonts w:hint="eastAsia" w:ascii="楷体" w:hAnsi="楷体" w:eastAsia="楷体" w:cs="楷体"/>
          <w:sz w:val="24"/>
          <w:szCs w:val="24"/>
        </w:rPr>
        <w:t>只；不限量提供</w:t>
      </w:r>
      <w:r>
        <w:rPr>
          <w:rFonts w:hint="eastAsia" w:ascii="楷体" w:hAnsi="楷体" w:eastAsia="楷体" w:cs="楷体"/>
          <w:sz w:val="24"/>
          <w:szCs w:val="24"/>
          <w:lang w:eastAsia="zh-CN"/>
        </w:rPr>
        <w:t>饮用水</w:t>
      </w:r>
      <w:r>
        <w:rPr>
          <w:rFonts w:hint="eastAsia" w:ascii="楷体" w:hAnsi="楷体" w:eastAsia="楷体" w:cs="楷体"/>
          <w:sz w:val="24"/>
          <w:szCs w:val="24"/>
        </w:rPr>
        <w:t>，并附水质合格检验报告。乙方为甲方学校学生提供“</w:t>
      </w:r>
      <w:r>
        <w:rPr>
          <w:rFonts w:hint="eastAsia" w:ascii="楷体" w:hAnsi="楷体" w:eastAsia="楷体" w:cs="楷体"/>
          <w:sz w:val="24"/>
          <w:szCs w:val="24"/>
          <w:u w:val="single"/>
        </w:rPr>
        <w:t xml:space="preserve">    </w:t>
      </w:r>
      <w:r>
        <w:rPr>
          <w:rFonts w:hint="eastAsia" w:ascii="楷体" w:hAnsi="楷体" w:eastAsia="楷体" w:cs="楷体"/>
          <w:sz w:val="24"/>
          <w:szCs w:val="24"/>
        </w:rPr>
        <w:t>”牌饮用</w:t>
      </w:r>
      <w:r>
        <w:rPr>
          <w:rFonts w:hint="eastAsia" w:ascii="楷体" w:hAnsi="楷体" w:eastAsia="楷体" w:cs="楷体"/>
          <w:sz w:val="24"/>
          <w:szCs w:val="24"/>
          <w:lang w:eastAsia="zh-CN"/>
        </w:rPr>
        <w:t>饮用水</w:t>
      </w:r>
      <w:r>
        <w:rPr>
          <w:rFonts w:hint="eastAsia" w:ascii="楷体" w:hAnsi="楷体" w:eastAsia="楷体" w:cs="楷体"/>
          <w:sz w:val="24"/>
          <w:szCs w:val="24"/>
        </w:rPr>
        <w:t>，作为甲方学生在校期间的唯一饮用水，在合同期限内乙方根据甲方需求保证充足供应。乙方每学期按甲方在校学生实际数量，每学期收取每生</w:t>
      </w:r>
      <w:r>
        <w:rPr>
          <w:rFonts w:hint="eastAsia" w:ascii="楷体" w:hAnsi="楷体" w:eastAsia="楷体" w:cs="楷体"/>
          <w:sz w:val="24"/>
          <w:szCs w:val="24"/>
          <w:u w:val="single"/>
        </w:rPr>
        <w:t xml:space="preserve">      </w:t>
      </w:r>
      <w:r>
        <w:rPr>
          <w:rFonts w:hint="eastAsia" w:ascii="楷体" w:hAnsi="楷体" w:eastAsia="楷体" w:cs="楷体"/>
          <w:sz w:val="24"/>
          <w:szCs w:val="24"/>
        </w:rPr>
        <w:t>元水费，乙方现有学生</w:t>
      </w:r>
      <w:r>
        <w:rPr>
          <w:rFonts w:hint="eastAsia" w:ascii="楷体" w:hAnsi="楷体" w:eastAsia="楷体" w:cs="楷体"/>
          <w:b/>
          <w:sz w:val="24"/>
          <w:szCs w:val="24"/>
          <w:u w:val="single"/>
        </w:rPr>
        <w:t xml:space="preserve">         </w:t>
      </w:r>
      <w:r>
        <w:rPr>
          <w:rFonts w:hint="eastAsia" w:ascii="楷体" w:hAnsi="楷体" w:eastAsia="楷体" w:cs="楷体"/>
          <w:sz w:val="24"/>
          <w:szCs w:val="24"/>
        </w:rPr>
        <w:t>人，总金额</w:t>
      </w:r>
      <w:r>
        <w:rPr>
          <w:rFonts w:hint="eastAsia" w:ascii="楷体" w:hAnsi="楷体" w:eastAsia="楷体" w:cs="楷体"/>
          <w:sz w:val="24"/>
          <w:szCs w:val="24"/>
          <w:u w:val="single"/>
        </w:rPr>
        <w:t xml:space="preserve">          </w:t>
      </w:r>
      <w:r>
        <w:rPr>
          <w:rFonts w:hint="eastAsia" w:ascii="楷体" w:hAnsi="楷体" w:eastAsia="楷体" w:cs="楷体"/>
          <w:sz w:val="24"/>
          <w:szCs w:val="24"/>
        </w:rPr>
        <w:t>元（含税、不含税）。保证按时送水，并送货上门，放入甲方指定仓库，甲方有专人负责接收签字。</w:t>
      </w:r>
    </w:p>
    <w:p>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楷体" w:hAnsi="楷体" w:eastAsia="楷体" w:cs="楷体"/>
          <w:b/>
          <w:sz w:val="24"/>
          <w:szCs w:val="24"/>
        </w:rPr>
      </w:pPr>
      <w:r>
        <w:rPr>
          <w:rFonts w:hint="eastAsia" w:ascii="楷体" w:hAnsi="楷体" w:eastAsia="楷体" w:cs="楷体"/>
          <w:b/>
          <w:sz w:val="24"/>
          <w:szCs w:val="24"/>
        </w:rPr>
        <w:t>服务期限</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highlight w:val="yellow"/>
        </w:rPr>
      </w:pPr>
      <w:r>
        <w:rPr>
          <w:rFonts w:hint="eastAsia" w:ascii="楷体" w:hAnsi="楷体" w:eastAsia="楷体" w:cs="楷体"/>
          <w:sz w:val="24"/>
          <w:szCs w:val="24"/>
          <w:highlight w:val="none"/>
        </w:rPr>
        <w:t>合同期限为</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lang w:val="en-US" w:eastAsia="zh-CN"/>
        </w:rPr>
        <w:t>1</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年，</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lang w:val="en-US" w:eastAsia="zh-CN"/>
        </w:rPr>
        <w:t>两个</w:t>
      </w:r>
      <w:r>
        <w:rPr>
          <w:rFonts w:hint="eastAsia" w:ascii="楷体" w:hAnsi="楷体" w:eastAsia="楷体" w:cs="楷体"/>
          <w:sz w:val="24"/>
          <w:szCs w:val="24"/>
          <w:highlight w:val="none"/>
        </w:rPr>
        <w:t>学期，</w:t>
      </w:r>
      <w:r>
        <w:rPr>
          <w:rFonts w:hint="eastAsia" w:ascii="楷体" w:hAnsi="楷体" w:eastAsia="楷体" w:cs="楷体"/>
          <w:sz w:val="24"/>
          <w:szCs w:val="24"/>
          <w:highlight w:val="none"/>
          <w:u w:val="none"/>
          <w:lang w:eastAsia="zh-CN"/>
        </w:rPr>
        <w:t>自</w:t>
      </w:r>
      <w:r>
        <w:rPr>
          <w:rFonts w:hint="eastAsia" w:ascii="楷体" w:hAnsi="楷体" w:eastAsia="楷体" w:cs="楷体"/>
          <w:sz w:val="24"/>
          <w:szCs w:val="24"/>
          <w:highlight w:val="none"/>
          <w:u w:val="none"/>
          <w:lang w:val="en-US" w:eastAsia="zh-CN"/>
        </w:rPr>
        <w:t>合同签订之日起至2024年8月31日。</w:t>
      </w:r>
    </w:p>
    <w:p>
      <w:pPr>
        <w:keepNext w:val="0"/>
        <w:keepLines w:val="0"/>
        <w:pageBreakBefore w:val="0"/>
        <w:widowControl w:val="0"/>
        <w:kinsoku/>
        <w:wordWrap/>
        <w:overflowPunct/>
        <w:topLinePunct w:val="0"/>
        <w:autoSpaceDE/>
        <w:autoSpaceDN/>
        <w:bidi w:val="0"/>
        <w:snapToGrid/>
        <w:spacing w:line="360" w:lineRule="auto"/>
        <w:ind w:left="426"/>
        <w:rPr>
          <w:rFonts w:hint="eastAsia" w:ascii="楷体" w:hAnsi="楷体" w:eastAsia="楷体" w:cs="楷体"/>
          <w:b/>
          <w:sz w:val="24"/>
          <w:szCs w:val="24"/>
        </w:rPr>
      </w:pPr>
      <w:r>
        <w:rPr>
          <w:rFonts w:hint="eastAsia" w:ascii="楷体" w:hAnsi="楷体" w:eastAsia="楷体" w:cs="楷体"/>
          <w:b/>
          <w:szCs w:val="24"/>
          <w:highlight w:val="none"/>
          <w:lang w:eastAsia="zh-CN"/>
        </w:rPr>
        <w:t>第三条</w:t>
      </w:r>
      <w:r>
        <w:rPr>
          <w:rFonts w:hint="eastAsia" w:ascii="楷体" w:hAnsi="楷体" w:eastAsia="楷体" w:cs="楷体"/>
          <w:b/>
          <w:szCs w:val="24"/>
          <w:highlight w:val="none"/>
          <w:lang w:val="en-US" w:eastAsia="zh-CN"/>
        </w:rPr>
        <w:t xml:space="preserve">   </w:t>
      </w:r>
      <w:r>
        <w:rPr>
          <w:rFonts w:hint="eastAsia" w:ascii="楷体" w:hAnsi="楷体" w:eastAsia="楷体" w:cs="楷体"/>
          <w:b/>
          <w:szCs w:val="24"/>
          <w:highlight w:val="none"/>
        </w:rPr>
        <w:t>项目实施地点：</w:t>
      </w:r>
      <w:r>
        <w:rPr>
          <w:rFonts w:hint="eastAsia" w:ascii="楷体" w:hAnsi="楷体" w:eastAsia="楷体" w:cs="楷体"/>
          <w:bCs/>
          <w:szCs w:val="24"/>
          <w:highlight w:val="none"/>
        </w:rPr>
        <w:t>采购人指定地点</w:t>
      </w:r>
    </w:p>
    <w:p>
      <w:pPr>
        <w:keepNext w:val="0"/>
        <w:keepLines w:val="0"/>
        <w:pageBreakBefore w:val="0"/>
        <w:widowControl w:val="0"/>
        <w:numPr>
          <w:ilvl w:val="0"/>
          <w:numId w:val="0"/>
        </w:numPr>
        <w:kinsoku/>
        <w:wordWrap/>
        <w:overflowPunct/>
        <w:topLinePunct w:val="0"/>
        <w:autoSpaceDE/>
        <w:autoSpaceDN/>
        <w:bidi w:val="0"/>
        <w:snapToGrid/>
        <w:spacing w:line="360" w:lineRule="auto"/>
        <w:ind w:left="426" w:leftChars="0"/>
        <w:rPr>
          <w:rFonts w:hint="eastAsia" w:ascii="楷体" w:hAnsi="楷体" w:eastAsia="楷体" w:cs="楷体"/>
          <w:b/>
          <w:sz w:val="24"/>
          <w:szCs w:val="24"/>
        </w:rPr>
      </w:pPr>
      <w:r>
        <w:rPr>
          <w:rFonts w:hint="eastAsia" w:ascii="楷体" w:hAnsi="楷体" w:eastAsia="楷体" w:cs="楷体"/>
          <w:b/>
          <w:sz w:val="24"/>
          <w:szCs w:val="24"/>
          <w:lang w:eastAsia="zh-CN"/>
        </w:rPr>
        <w:t>第四条</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rPr>
        <w:t xml:space="preserve">质量标准      </w:t>
      </w:r>
    </w:p>
    <w:p>
      <w:pPr>
        <w:keepNext w:val="0"/>
        <w:keepLines w:val="0"/>
        <w:pageBreakBefore w:val="0"/>
        <w:widowControl w:val="0"/>
        <w:kinsoku/>
        <w:wordWrap/>
        <w:overflowPunct/>
        <w:topLinePunct w:val="0"/>
        <w:autoSpaceDE/>
        <w:autoSpaceDN/>
        <w:bidi w:val="0"/>
        <w:snapToGrid/>
        <w:spacing w:line="360" w:lineRule="auto"/>
        <w:ind w:left="426"/>
        <w:rPr>
          <w:rFonts w:hint="eastAsia" w:ascii="楷体" w:hAnsi="楷体" w:eastAsia="楷体" w:cs="楷体"/>
          <w:sz w:val="24"/>
          <w:szCs w:val="24"/>
        </w:rPr>
      </w:pPr>
      <w:r>
        <w:rPr>
          <w:rFonts w:hint="eastAsia" w:ascii="楷体" w:hAnsi="楷体" w:eastAsia="楷体" w:cs="楷体"/>
          <w:sz w:val="24"/>
          <w:szCs w:val="24"/>
        </w:rPr>
        <w:t>1、质量标准：所供</w:t>
      </w:r>
      <w:r>
        <w:rPr>
          <w:rFonts w:hint="eastAsia" w:ascii="楷体" w:hAnsi="楷体" w:eastAsia="楷体" w:cs="楷体"/>
          <w:sz w:val="24"/>
          <w:szCs w:val="24"/>
          <w:lang w:eastAsia="zh-CN"/>
        </w:rPr>
        <w:t>饮用</w:t>
      </w:r>
      <w:r>
        <w:rPr>
          <w:rFonts w:hint="eastAsia" w:ascii="楷体" w:hAnsi="楷体" w:eastAsia="楷体" w:cs="楷体"/>
          <w:sz w:val="24"/>
          <w:szCs w:val="24"/>
        </w:rPr>
        <w:t>水水质必须符合GB19298-2014标准要求。</w:t>
      </w:r>
    </w:p>
    <w:p>
      <w:pPr>
        <w:keepNext w:val="0"/>
        <w:keepLines w:val="0"/>
        <w:pageBreakBefore w:val="0"/>
        <w:widowControl w:val="0"/>
        <w:kinsoku/>
        <w:wordWrap/>
        <w:overflowPunct/>
        <w:topLinePunct w:val="0"/>
        <w:autoSpaceDE/>
        <w:autoSpaceDN/>
        <w:bidi w:val="0"/>
        <w:snapToGrid/>
        <w:spacing w:line="360" w:lineRule="auto"/>
        <w:ind w:left="426"/>
        <w:rPr>
          <w:rFonts w:hint="eastAsia" w:ascii="楷体" w:hAnsi="楷体" w:eastAsia="楷体" w:cs="楷体"/>
          <w:sz w:val="24"/>
          <w:szCs w:val="24"/>
        </w:rPr>
      </w:pPr>
      <w:r>
        <w:rPr>
          <w:rFonts w:hint="eastAsia" w:ascii="楷体" w:hAnsi="楷体" w:eastAsia="楷体" w:cs="楷体"/>
          <w:sz w:val="24"/>
          <w:szCs w:val="24"/>
        </w:rPr>
        <w:t>2、在保质期内若非由于</w:t>
      </w:r>
      <w:r>
        <w:rPr>
          <w:rFonts w:hint="eastAsia" w:ascii="楷体" w:hAnsi="楷体" w:eastAsia="楷体" w:cs="楷体"/>
          <w:color w:val="auto"/>
          <w:sz w:val="24"/>
          <w:szCs w:val="24"/>
          <w:highlight w:val="none"/>
        </w:rPr>
        <w:t>甲方保存或操作</w:t>
      </w:r>
      <w:r>
        <w:rPr>
          <w:rFonts w:hint="eastAsia" w:ascii="楷体" w:hAnsi="楷体" w:eastAsia="楷体" w:cs="楷体"/>
          <w:sz w:val="24"/>
          <w:szCs w:val="24"/>
        </w:rPr>
        <w:t>不当所造成的质量问题，乙方对其产品质量负全部责任。 </w:t>
      </w:r>
    </w:p>
    <w:p>
      <w:pPr>
        <w:keepNext w:val="0"/>
        <w:keepLines w:val="0"/>
        <w:pageBreakBefore w:val="0"/>
        <w:widowControl w:val="0"/>
        <w:numPr>
          <w:ilvl w:val="0"/>
          <w:numId w:val="0"/>
        </w:numPr>
        <w:kinsoku/>
        <w:wordWrap/>
        <w:overflowPunct/>
        <w:topLinePunct w:val="0"/>
        <w:autoSpaceDE/>
        <w:autoSpaceDN/>
        <w:bidi w:val="0"/>
        <w:snapToGrid/>
        <w:spacing w:line="360" w:lineRule="auto"/>
        <w:ind w:left="426" w:leftChars="0"/>
        <w:rPr>
          <w:rFonts w:hint="eastAsia" w:ascii="楷体" w:hAnsi="楷体" w:eastAsia="楷体" w:cs="楷体"/>
          <w:b/>
          <w:sz w:val="24"/>
          <w:szCs w:val="24"/>
        </w:rPr>
      </w:pPr>
      <w:r>
        <w:rPr>
          <w:rFonts w:hint="eastAsia" w:ascii="楷体" w:hAnsi="楷体" w:eastAsia="楷体" w:cs="楷体"/>
          <w:b/>
          <w:sz w:val="24"/>
          <w:szCs w:val="24"/>
          <w:lang w:eastAsia="zh-CN"/>
        </w:rPr>
        <w:t>第五条</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rPr>
        <w:t>1）由甲方负责结算，在付款前，乙方必须开具发票。</w:t>
      </w:r>
      <w:r>
        <w:rPr>
          <w:rFonts w:hint="eastAsia" w:ascii="楷体" w:hAnsi="楷体" w:eastAsia="楷体" w:cs="楷体"/>
          <w:sz w:val="24"/>
          <w:szCs w:val="24"/>
          <w:lang w:val="en-US" w:eastAsia="zh-CN"/>
        </w:rPr>
        <w:t>报价为一次性报价，服务期间</w:t>
      </w:r>
      <w:r>
        <w:rPr>
          <w:rFonts w:hint="eastAsia" w:ascii="楷体" w:hAnsi="楷体" w:eastAsia="楷体" w:cs="楷体"/>
          <w:sz w:val="24"/>
          <w:szCs w:val="24"/>
          <w:highlight w:val="none"/>
          <w:lang w:val="en-US" w:eastAsia="zh-CN"/>
        </w:rPr>
        <w:t>不得改变价格，（不受市场价变化或实际工作量变化的影响）</w:t>
      </w:r>
    </w:p>
    <w:p>
      <w:pPr>
        <w:keepNext w:val="0"/>
        <w:keepLines w:val="0"/>
        <w:pageBreakBefore w:val="0"/>
        <w:widowControl w:val="0"/>
        <w:kinsoku/>
        <w:wordWrap/>
        <w:overflowPunct/>
        <w:topLinePunct w:val="0"/>
        <w:autoSpaceDE/>
        <w:autoSpaceDN/>
        <w:bidi w:val="0"/>
        <w:snapToGrid/>
        <w:spacing w:line="360" w:lineRule="auto"/>
        <w:ind w:firstLine="600" w:firstLineChars="250"/>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zCs w:val="24"/>
          <w:highlight w:val="none"/>
        </w:rPr>
        <w:t>按</w:t>
      </w:r>
      <w:r>
        <w:rPr>
          <w:rFonts w:hint="eastAsia" w:ascii="楷体" w:hAnsi="楷体" w:eastAsia="楷体" w:cs="楷体"/>
          <w:szCs w:val="24"/>
          <w:highlight w:val="none"/>
          <w:lang w:val="en-US" w:eastAsia="zh-CN"/>
        </w:rPr>
        <w:t>学期据实</w:t>
      </w:r>
      <w:r>
        <w:rPr>
          <w:rFonts w:hint="eastAsia" w:ascii="楷体" w:hAnsi="楷体" w:eastAsia="楷体" w:cs="楷体"/>
          <w:szCs w:val="24"/>
          <w:highlight w:val="none"/>
        </w:rPr>
        <w:t>结算</w:t>
      </w:r>
      <w:r>
        <w:rPr>
          <w:rFonts w:hint="eastAsia" w:ascii="楷体" w:hAnsi="楷体" w:eastAsia="楷体" w:cs="楷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left="426" w:leftChars="0"/>
        <w:rPr>
          <w:rFonts w:hint="eastAsia" w:ascii="楷体" w:hAnsi="楷体" w:eastAsia="楷体" w:cs="楷体"/>
          <w:b/>
          <w:sz w:val="24"/>
          <w:szCs w:val="24"/>
          <w:highlight w:val="none"/>
        </w:rPr>
      </w:pPr>
      <w:r>
        <w:rPr>
          <w:rFonts w:hint="eastAsia" w:ascii="楷体" w:hAnsi="楷体" w:eastAsia="楷体" w:cs="楷体"/>
          <w:b/>
          <w:sz w:val="24"/>
          <w:szCs w:val="24"/>
          <w:highlight w:val="none"/>
          <w:lang w:eastAsia="zh-CN"/>
        </w:rPr>
        <w:t>第六条</w:t>
      </w:r>
      <w:r>
        <w:rPr>
          <w:rFonts w:hint="eastAsia" w:ascii="楷体" w:hAnsi="楷体" w:eastAsia="楷体" w:cs="楷体"/>
          <w:b/>
          <w:sz w:val="24"/>
          <w:szCs w:val="24"/>
          <w:highlight w:val="none"/>
          <w:lang w:val="en-US" w:eastAsia="zh-CN"/>
        </w:rPr>
        <w:t xml:space="preserve">   </w:t>
      </w:r>
      <w:r>
        <w:rPr>
          <w:rFonts w:hint="eastAsia" w:ascii="楷体" w:hAnsi="楷体" w:eastAsia="楷体" w:cs="楷体"/>
          <w:b/>
          <w:sz w:val="24"/>
          <w:szCs w:val="24"/>
          <w:highlight w:val="none"/>
        </w:rPr>
        <w:t>知识产权</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乙方应保证所提供的服务或其任何一部分均不会侵犯任何第三方的专利权、商标权或著作权，否则由乙方承担全部责任。</w:t>
      </w:r>
    </w:p>
    <w:p>
      <w:pPr>
        <w:keepNext w:val="0"/>
        <w:keepLines w:val="0"/>
        <w:pageBreakBefore w:val="0"/>
        <w:widowControl w:val="0"/>
        <w:numPr>
          <w:ilvl w:val="0"/>
          <w:numId w:val="0"/>
        </w:numPr>
        <w:kinsoku/>
        <w:wordWrap/>
        <w:overflowPunct/>
        <w:topLinePunct w:val="0"/>
        <w:autoSpaceDE/>
        <w:autoSpaceDN/>
        <w:bidi w:val="0"/>
        <w:snapToGrid/>
        <w:spacing w:line="360" w:lineRule="auto"/>
        <w:ind w:left="426" w:leftChars="0"/>
        <w:rPr>
          <w:rFonts w:hint="eastAsia" w:ascii="楷体" w:hAnsi="楷体" w:eastAsia="楷体" w:cs="楷体"/>
          <w:b/>
          <w:sz w:val="24"/>
          <w:szCs w:val="24"/>
        </w:rPr>
      </w:pPr>
      <w:r>
        <w:rPr>
          <w:rFonts w:hint="eastAsia" w:ascii="楷体" w:hAnsi="楷体" w:eastAsia="楷体" w:cs="楷体"/>
          <w:b/>
          <w:sz w:val="24"/>
          <w:szCs w:val="24"/>
          <w:lang w:eastAsia="zh-CN"/>
        </w:rPr>
        <w:t>第七条</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rPr>
        <w:t>包装、运输及相关服务</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包装必须适应货物特性和交通运输要求，以及国家有关标准或企业标准或合同要求。中标人应承担因包装、防护措施不妥引起的所有损失的责任和费用，运输途中的</w:t>
      </w:r>
      <w:r>
        <w:rPr>
          <w:rFonts w:hint="eastAsia" w:ascii="楷体" w:hAnsi="楷体" w:eastAsia="楷体" w:cs="楷体"/>
          <w:sz w:val="24"/>
          <w:szCs w:val="24"/>
          <w:lang w:eastAsia="zh-CN"/>
        </w:rPr>
        <w:t>饮用</w:t>
      </w:r>
      <w:r>
        <w:rPr>
          <w:rFonts w:hint="eastAsia" w:ascii="楷体" w:hAnsi="楷体" w:eastAsia="楷体" w:cs="楷体"/>
          <w:sz w:val="24"/>
          <w:szCs w:val="24"/>
        </w:rPr>
        <w:t>水桶损坏和其他责任事故全部由中标单位承担。</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中标人自行选择运输方式（另有规定的除外），承担一切运输费用。</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因</w:t>
      </w:r>
      <w:r>
        <w:rPr>
          <w:rFonts w:hint="eastAsia" w:ascii="楷体" w:hAnsi="楷体" w:eastAsia="楷体" w:cs="楷体"/>
          <w:sz w:val="24"/>
          <w:szCs w:val="24"/>
          <w:lang w:eastAsia="zh-CN"/>
        </w:rPr>
        <w:t>饮用</w:t>
      </w:r>
      <w:r>
        <w:rPr>
          <w:rFonts w:hint="eastAsia" w:ascii="楷体" w:hAnsi="楷体" w:eastAsia="楷体" w:cs="楷体"/>
          <w:sz w:val="24"/>
          <w:szCs w:val="24"/>
        </w:rPr>
        <w:t>水引起的一切责任事故，均由中标单位全权负责，采购人及配送学校不承担任何责任。</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 xml:space="preserve"> 产品包装上必须有完好的生产厂家、规格、型号、出厂日期等有效信息，否则将其视为“三无”产品而拒绝接收。</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供水企业要根据学校实际需求。每学期开学前必须清洗一次饮水机（自备清洗所用毛巾和消毒液等），另外应学校需求定期进行清洗，清洗工作由企业指派专人负责，责任落实到人，留存清洗记录，上报当地药监部门留档；若饮水机非人为因素无法正常使用，乙方派专人免费上门维修，如有损坏及时更换，保证学生正常饮水。</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服务须周到迅速。自接到电话1小时内须按时按量及时送水到学校指定地点。节假日正常供水，不另行收费。</w:t>
      </w:r>
    </w:p>
    <w:p>
      <w:pPr>
        <w:keepNext w:val="0"/>
        <w:keepLines w:val="0"/>
        <w:pageBreakBefore w:val="0"/>
        <w:widowControl w:val="0"/>
        <w:tabs>
          <w:tab w:val="left" w:pos="144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7、</w:t>
      </w:r>
      <w:r>
        <w:rPr>
          <w:rFonts w:hint="eastAsia" w:ascii="楷体" w:hAnsi="楷体" w:eastAsia="楷体" w:cs="楷体"/>
          <w:sz w:val="24"/>
          <w:szCs w:val="24"/>
        </w:rPr>
        <w:t xml:space="preserve"> 企业必须有规格型号齐全，品种多样的桶装水，即具有体积小、重量轻、易搬运、易保存、水质新鲜等特点，以满足不同年龄段的中小学生的安全需求。</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baseline"/>
        <w:rPr>
          <w:rFonts w:hint="eastAsia" w:ascii="楷体" w:hAnsi="楷体" w:eastAsia="楷体" w:cs="楷体"/>
          <w:b/>
          <w:sz w:val="24"/>
          <w:szCs w:val="24"/>
        </w:rPr>
      </w:pPr>
      <w:r>
        <w:rPr>
          <w:rFonts w:hint="eastAsia" w:ascii="楷体" w:hAnsi="楷体" w:eastAsia="楷体" w:cs="楷体"/>
          <w:b/>
          <w:sz w:val="24"/>
          <w:szCs w:val="24"/>
        </w:rPr>
        <w:t>第八条    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bCs/>
          <w:sz w:val="24"/>
          <w:szCs w:val="24"/>
        </w:rPr>
      </w:pPr>
      <w:r>
        <w:rPr>
          <w:rFonts w:hint="eastAsia" w:ascii="楷体" w:hAnsi="楷体" w:eastAsia="楷体" w:cs="楷体"/>
          <w:bCs/>
          <w:sz w:val="24"/>
          <w:szCs w:val="24"/>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color w:val="000000"/>
          <w:sz w:val="24"/>
          <w:szCs w:val="24"/>
        </w:rPr>
      </w:pPr>
      <w:r>
        <w:rPr>
          <w:rFonts w:hint="eastAsia" w:ascii="楷体" w:hAnsi="楷体" w:eastAsia="楷体" w:cs="楷体"/>
          <w:bCs/>
          <w:sz w:val="24"/>
          <w:szCs w:val="24"/>
        </w:rPr>
        <w:t>2、如因</w:t>
      </w:r>
      <w:r>
        <w:rPr>
          <w:rFonts w:hint="eastAsia" w:ascii="楷体" w:hAnsi="楷体" w:eastAsia="楷体" w:cs="楷体"/>
          <w:color w:val="000000"/>
          <w:sz w:val="24"/>
          <w:szCs w:val="24"/>
        </w:rPr>
        <w:t>乙方未全面履行合同义务或者发生违约，甲方有权终止合同，依法向乙方进行经济索赔，并报请政府采购监督管理机关进行相应的行政处罚。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楷体" w:hAnsi="楷体" w:eastAsia="楷体" w:cs="楷体"/>
          <w:bCs/>
          <w:sz w:val="24"/>
          <w:szCs w:val="24"/>
        </w:rPr>
      </w:pPr>
      <w:r>
        <w:rPr>
          <w:rFonts w:hint="eastAsia" w:ascii="楷体" w:hAnsi="楷体" w:eastAsia="楷体" w:cs="楷体"/>
          <w:color w:val="000000"/>
          <w:sz w:val="24"/>
          <w:szCs w:val="24"/>
        </w:rPr>
        <w:t>3、</w:t>
      </w:r>
      <w:r>
        <w:rPr>
          <w:rFonts w:hint="eastAsia" w:ascii="楷体" w:hAnsi="楷体" w:eastAsia="楷体" w:cs="楷体"/>
          <w:bCs/>
          <w:sz w:val="24"/>
          <w:szCs w:val="24"/>
        </w:rPr>
        <w:t>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bCs/>
          <w:sz w:val="24"/>
          <w:szCs w:val="24"/>
        </w:rPr>
      </w:pPr>
      <w:r>
        <w:rPr>
          <w:rFonts w:hint="eastAsia" w:ascii="楷体" w:hAnsi="楷体" w:eastAsia="楷体" w:cs="楷体"/>
          <w:bCs/>
          <w:sz w:val="24"/>
          <w:szCs w:val="24"/>
        </w:rPr>
        <w:t>4、如果在合同期间供货方出现饮用水质量问题，甲方师生如饮用乙方产品出现身体不适，经市级以上(含市卫生防疫部门)采样检验，如确系乙方产品原因造成，并由此而导致的甲方对任何第三方的法律责任等，乙方对此均应承担全部的赔偿责任。甲方有权终止合同，并按《中华人民共和国食品安全法》相关法律法规进行处理且乙方不得参与未央区教育局及下属学校之后所有招标项目的投标活动。</w:t>
      </w:r>
    </w:p>
    <w:p>
      <w:pPr>
        <w:keepNext w:val="0"/>
        <w:keepLines w:val="0"/>
        <w:pageBreakBefore w:val="0"/>
        <w:widowControl w:val="0"/>
        <w:tabs>
          <w:tab w:val="left" w:pos="1521"/>
        </w:tabs>
        <w:kinsoku/>
        <w:wordWrap/>
        <w:overflowPunct/>
        <w:topLinePunct w:val="0"/>
        <w:autoSpaceDE/>
        <w:autoSpaceDN/>
        <w:bidi w:val="0"/>
        <w:snapToGrid/>
        <w:spacing w:line="360" w:lineRule="auto"/>
        <w:ind w:left="426"/>
        <w:rPr>
          <w:rFonts w:hint="eastAsia" w:ascii="楷体" w:hAnsi="楷体" w:eastAsia="楷体" w:cs="楷体"/>
          <w:b/>
          <w:sz w:val="24"/>
          <w:szCs w:val="24"/>
        </w:rPr>
      </w:pPr>
      <w:r>
        <w:rPr>
          <w:rFonts w:hint="eastAsia" w:ascii="楷体" w:hAnsi="楷体" w:eastAsia="楷体" w:cs="楷体"/>
          <w:b/>
          <w:sz w:val="24"/>
          <w:szCs w:val="24"/>
        </w:rPr>
        <w:t>第九条    不可抗力事件处理</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3、因合同一方迟延履行合同后发生不可抗力的，不能免除迟延履行方的相应责任。</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08" w:name="_Toc239568423"/>
      <w:bookmarkStart w:id="109" w:name="_Toc225244857"/>
      <w:bookmarkStart w:id="110" w:name="_Toc185395254"/>
      <w:bookmarkStart w:id="111" w:name="_Toc225654649"/>
      <w:bookmarkStart w:id="112" w:name="_Toc286993792"/>
      <w:bookmarkStart w:id="113" w:name="_Toc232492933"/>
      <w:bookmarkStart w:id="114" w:name="_Toc237145411"/>
      <w:bookmarkStart w:id="115" w:name="_Toc251768867"/>
      <w:bookmarkStart w:id="116" w:name="_Toc238984980"/>
      <w:bookmarkStart w:id="117" w:name="_Toc211911353"/>
      <w:bookmarkStart w:id="118" w:name="_Toc247334846"/>
      <w:bookmarkStart w:id="119" w:name="_Toc239233919"/>
      <w:bookmarkStart w:id="120" w:name="_Toc241833908"/>
      <w:bookmarkStart w:id="121" w:name="_Toc212019599"/>
      <w:bookmarkStart w:id="122" w:name="_Toc211854454"/>
      <w:bookmarkStart w:id="123" w:name="_Toc225670756"/>
    </w:p>
    <w:p>
      <w:pPr>
        <w:keepNext w:val="0"/>
        <w:keepLines w:val="0"/>
        <w:pageBreakBefore w:val="0"/>
        <w:widowControl w:val="0"/>
        <w:tabs>
          <w:tab w:val="left" w:pos="0"/>
        </w:tabs>
        <w:kinsoku/>
        <w:wordWrap/>
        <w:overflowPunct/>
        <w:topLinePunct w:val="0"/>
        <w:autoSpaceDE/>
        <w:autoSpaceDN/>
        <w:bidi w:val="0"/>
        <w:snapToGrid/>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第十条    解决合同纠纷的方式</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tabs>
          <w:tab w:val="left" w:pos="0"/>
        </w:tabs>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执行合同如有争议，双方应友好协商解决，,如协商不能达成一致的,任何一方均可向甲方所在地人民法院提起诉讼。在执行合同期间，如需补充修改本合同相关条款，应书面提出；双方协商期间不影响本协议的执行，待相关条款双方达成一致时，另行鉴定补充协议。</w:t>
      </w:r>
    </w:p>
    <w:p>
      <w:pPr>
        <w:keepNext w:val="0"/>
        <w:keepLines w:val="0"/>
        <w:pageBreakBefore w:val="0"/>
        <w:widowControl w:val="0"/>
        <w:tabs>
          <w:tab w:val="left" w:pos="0"/>
        </w:tabs>
        <w:kinsoku/>
        <w:wordWrap/>
        <w:overflowPunct/>
        <w:topLinePunct w:val="0"/>
        <w:autoSpaceDE/>
        <w:autoSpaceDN/>
        <w:bidi w:val="0"/>
        <w:snapToGrid/>
        <w:spacing w:line="360" w:lineRule="auto"/>
        <w:ind w:firstLine="482" w:firstLineChars="200"/>
        <w:rPr>
          <w:rFonts w:hint="eastAsia" w:ascii="楷体" w:hAnsi="楷体" w:eastAsia="楷体" w:cs="楷体"/>
          <w:b/>
          <w:sz w:val="24"/>
          <w:szCs w:val="24"/>
        </w:rPr>
      </w:pPr>
      <w:bookmarkStart w:id="124" w:name="_Toc211911354"/>
      <w:bookmarkStart w:id="125" w:name="_Toc185395255"/>
      <w:bookmarkStart w:id="126" w:name="_Toc282696231"/>
      <w:bookmarkStart w:id="127" w:name="_Toc251768868"/>
      <w:bookmarkStart w:id="128" w:name="_Toc247334847"/>
      <w:bookmarkStart w:id="129" w:name="_Toc283019219"/>
      <w:bookmarkStart w:id="130" w:name="_Toc212019600"/>
      <w:bookmarkStart w:id="131" w:name="_Toc225654650"/>
      <w:bookmarkStart w:id="132" w:name="_Toc286993793"/>
      <w:bookmarkStart w:id="133" w:name="_Toc241833909"/>
      <w:bookmarkStart w:id="134" w:name="_Toc225670757"/>
      <w:bookmarkStart w:id="135" w:name="_Toc239233920"/>
      <w:bookmarkStart w:id="136" w:name="_Toc239568424"/>
      <w:bookmarkStart w:id="137" w:name="_Toc211854455"/>
      <w:bookmarkStart w:id="138" w:name="_Toc232492934"/>
      <w:bookmarkStart w:id="139" w:name="_Toc225244858"/>
      <w:bookmarkStart w:id="140" w:name="_Toc237145412"/>
      <w:bookmarkStart w:id="141" w:name="_Toc238984981"/>
      <w:r>
        <w:rPr>
          <w:rFonts w:hint="eastAsia" w:ascii="楷体" w:hAnsi="楷体" w:eastAsia="楷体" w:cs="楷体"/>
          <w:b/>
          <w:sz w:val="24"/>
          <w:szCs w:val="24"/>
        </w:rPr>
        <w:t>第十一条   合同</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楷体" w:hAnsi="楷体" w:eastAsia="楷体" w:cs="楷体"/>
          <w:b/>
          <w:sz w:val="24"/>
          <w:szCs w:val="24"/>
        </w:rPr>
        <w:t>生效及其他</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1、合同经双方法定代表人或授权委托代理人签字并加盖单位公章后生效。</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2、本合同一式</w:t>
      </w:r>
      <w:r>
        <w:rPr>
          <w:rFonts w:hint="eastAsia" w:ascii="楷体" w:hAnsi="楷体" w:eastAsia="楷体" w:cs="楷体"/>
          <w:sz w:val="24"/>
          <w:szCs w:val="24"/>
          <w:u w:val="single"/>
        </w:rPr>
        <w:t xml:space="preserve">   </w:t>
      </w:r>
      <w:r>
        <w:rPr>
          <w:rFonts w:hint="eastAsia" w:ascii="楷体" w:hAnsi="楷体" w:eastAsia="楷体" w:cs="楷体"/>
          <w:sz w:val="24"/>
          <w:szCs w:val="24"/>
        </w:rPr>
        <w:t>份，自双方签章之日起起效。甲方</w:t>
      </w:r>
      <w:r>
        <w:rPr>
          <w:rFonts w:hint="eastAsia" w:ascii="楷体" w:hAnsi="楷体" w:eastAsia="楷体" w:cs="楷体"/>
          <w:sz w:val="24"/>
          <w:szCs w:val="24"/>
          <w:u w:val="single"/>
        </w:rPr>
        <w:t xml:space="preserve">  </w:t>
      </w:r>
      <w:r>
        <w:rPr>
          <w:rFonts w:hint="eastAsia" w:ascii="楷体" w:hAnsi="楷体" w:eastAsia="楷体" w:cs="楷体"/>
          <w:sz w:val="24"/>
          <w:szCs w:val="24"/>
        </w:rPr>
        <w:t>份，乙方</w:t>
      </w:r>
      <w:r>
        <w:rPr>
          <w:rFonts w:hint="eastAsia" w:ascii="楷体" w:hAnsi="楷体" w:eastAsia="楷体" w:cs="楷体"/>
          <w:sz w:val="24"/>
          <w:szCs w:val="24"/>
          <w:u w:val="single"/>
        </w:rPr>
        <w:t xml:space="preserve">  </w:t>
      </w:r>
      <w:r>
        <w:rPr>
          <w:rFonts w:hint="eastAsia" w:ascii="楷体" w:hAnsi="楷体" w:eastAsia="楷体" w:cs="楷体"/>
          <w:sz w:val="24"/>
          <w:szCs w:val="24"/>
        </w:rPr>
        <w:t>份，招标代理机构</w:t>
      </w:r>
      <w:r>
        <w:rPr>
          <w:rFonts w:hint="eastAsia" w:ascii="楷体" w:hAnsi="楷体" w:eastAsia="楷体" w:cs="楷体"/>
          <w:sz w:val="24"/>
          <w:szCs w:val="24"/>
          <w:u w:val="single"/>
        </w:rPr>
        <w:t>壹</w:t>
      </w:r>
      <w:r>
        <w:rPr>
          <w:rFonts w:hint="eastAsia" w:ascii="楷体" w:hAnsi="楷体" w:eastAsia="楷体" w:cs="楷体"/>
          <w:sz w:val="24"/>
          <w:szCs w:val="24"/>
        </w:rPr>
        <w:t>份，同级财政部门备案份，具有同等法律效力。</w:t>
      </w:r>
    </w:p>
    <w:p>
      <w:pPr>
        <w:pStyle w:val="49"/>
        <w:keepNext w:val="0"/>
        <w:keepLines w:val="0"/>
        <w:pageBreakBefore w:val="0"/>
        <w:widowControl w:val="0"/>
        <w:kinsoku/>
        <w:wordWrap/>
        <w:overflowPunct/>
        <w:topLinePunct w:val="0"/>
        <w:autoSpaceDE/>
        <w:autoSpaceDN/>
        <w:bidi w:val="0"/>
        <w:snapToGrid/>
        <w:spacing w:line="360" w:lineRule="auto"/>
        <w:ind w:firstLine="482"/>
        <w:rPr>
          <w:rFonts w:hint="eastAsia" w:ascii="楷体" w:hAnsi="楷体" w:eastAsia="楷体" w:cs="楷体"/>
          <w:b/>
          <w:sz w:val="24"/>
          <w:szCs w:val="24"/>
        </w:rPr>
      </w:pPr>
      <w:r>
        <w:rPr>
          <w:rFonts w:hint="eastAsia" w:ascii="楷体" w:hAnsi="楷体" w:eastAsia="楷体" w:cs="楷体"/>
          <w:b/>
          <w:sz w:val="24"/>
          <w:szCs w:val="24"/>
        </w:rPr>
        <w:t>第十</w:t>
      </w:r>
      <w:r>
        <w:rPr>
          <w:rFonts w:hint="eastAsia" w:ascii="楷体" w:hAnsi="楷体" w:eastAsia="楷体" w:cs="楷体"/>
          <w:b/>
          <w:sz w:val="24"/>
          <w:szCs w:val="24"/>
          <w:lang w:eastAsia="zh-CN"/>
        </w:rPr>
        <w:t>二</w:t>
      </w:r>
      <w:r>
        <w:rPr>
          <w:rFonts w:hint="eastAsia" w:ascii="楷体" w:hAnsi="楷体" w:eastAsia="楷体" w:cs="楷体"/>
          <w:b/>
          <w:sz w:val="24"/>
          <w:szCs w:val="24"/>
        </w:rPr>
        <w:t>条    附件</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1、合同附件</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2、本项目招标文件</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3、本项目投标文件</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4、中标通知书</w:t>
      </w:r>
    </w:p>
    <w:p>
      <w:pPr>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5、甲方书面提供每学期的学生人数</w:t>
      </w:r>
    </w:p>
    <w:p>
      <w:pPr>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6、其他</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   （盖章）</w:t>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乙方：（盖章）</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法定代表人（授权代表）：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法定代表人（授权代表）：</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地址：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地址：</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开户银行：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开户银行：</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账号：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账号：</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电话：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电话：</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 xml:space="preserve">传真：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传真：</w:t>
      </w:r>
    </w:p>
    <w:p>
      <w:pPr>
        <w:pStyle w:val="49"/>
        <w:keepNext w:val="0"/>
        <w:keepLines w:val="0"/>
        <w:pageBreakBefore w:val="0"/>
        <w:widowControl w:val="0"/>
        <w:kinsoku/>
        <w:wordWrap/>
        <w:overflowPunct/>
        <w:topLinePunct w:val="0"/>
        <w:autoSpaceDE/>
        <w:autoSpaceDN/>
        <w:bidi w:val="0"/>
        <w:snapToGrid/>
        <w:spacing w:line="360" w:lineRule="auto"/>
        <w:ind w:firstLine="480"/>
        <w:rPr>
          <w:rFonts w:hint="eastAsia" w:ascii="楷体" w:hAnsi="楷体" w:eastAsia="楷体" w:cs="楷体"/>
          <w:sz w:val="24"/>
          <w:szCs w:val="24"/>
        </w:rPr>
      </w:pPr>
      <w:r>
        <w:rPr>
          <w:rFonts w:hint="eastAsia" w:ascii="楷体" w:hAnsi="楷体" w:eastAsia="楷体" w:cs="楷体"/>
          <w:sz w:val="24"/>
          <w:szCs w:val="24"/>
        </w:rPr>
        <w:t>签约日期：  年  月   日</w:t>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签约日期：  年   月   日</w:t>
      </w:r>
    </w:p>
    <w:p>
      <w:pPr>
        <w:pStyle w:val="3"/>
        <w:jc w:val="center"/>
        <w:rPr>
          <w:rFonts w:ascii="楷体" w:hAnsi="楷体" w:eastAsia="楷体" w:cs="楷体"/>
          <w:bCs/>
          <w:sz w:val="36"/>
          <w:szCs w:val="36"/>
          <w:highlight w:val="none"/>
        </w:rPr>
      </w:pPr>
      <w:r>
        <w:rPr>
          <w:rFonts w:hint="eastAsia" w:ascii="宋体" w:hAnsi="宋体" w:eastAsia="宋体" w:cs="宋体"/>
          <w:b/>
          <w:kern w:val="2"/>
          <w:sz w:val="36"/>
          <w:szCs w:val="36"/>
          <w:highlight w:val="none"/>
          <w:lang w:val="en-US" w:eastAsia="zh-CN" w:bidi="ar-SA"/>
        </w:rPr>
        <w:br w:type="page"/>
      </w:r>
      <w:r>
        <w:rPr>
          <w:rFonts w:hint="eastAsia" w:ascii="楷体" w:hAnsi="楷体" w:eastAsia="楷体" w:cs="楷体"/>
          <w:bCs/>
          <w:sz w:val="36"/>
          <w:szCs w:val="36"/>
          <w:highlight w:val="none"/>
        </w:rPr>
        <w:t>第四章  采购内容及技术要求</w:t>
      </w:r>
      <w:bookmarkEnd w:id="80"/>
      <w:bookmarkEnd w:id="81"/>
      <w:bookmarkEnd w:id="82"/>
    </w:p>
    <w:bookmarkEnd w:id="83"/>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
          <w:bCs/>
          <w:sz w:val="24"/>
          <w:szCs w:val="24"/>
          <w:highlight w:val="none"/>
        </w:rPr>
      </w:pPr>
      <w:bookmarkStart w:id="142" w:name="_Toc21778"/>
      <w:bookmarkStart w:id="143" w:name="_Toc31103"/>
      <w:bookmarkStart w:id="144" w:name="_Toc9801"/>
      <w:bookmarkStart w:id="145" w:name="_Toc13526"/>
      <w:bookmarkStart w:id="146" w:name="_Toc1694"/>
      <w:bookmarkStart w:id="147" w:name="_Toc15647"/>
      <w:bookmarkStart w:id="148" w:name="_Toc13146"/>
      <w:bookmarkStart w:id="149" w:name="_Toc30830"/>
      <w:bookmarkStart w:id="150" w:name="_Toc24068"/>
      <w:bookmarkStart w:id="151" w:name="_Toc18253"/>
      <w:bookmarkStart w:id="152" w:name="_Toc11450"/>
      <w:bookmarkStart w:id="153" w:name="_Toc389582038"/>
      <w:bookmarkStart w:id="154" w:name="_Toc20481"/>
      <w:bookmarkStart w:id="155" w:name="_Toc23856"/>
      <w:bookmarkStart w:id="156" w:name="_Toc2711"/>
      <w:bookmarkStart w:id="157" w:name="_Toc1025"/>
      <w:bookmarkStart w:id="158" w:name="_Toc4053"/>
      <w:r>
        <w:rPr>
          <w:rFonts w:hint="eastAsia" w:ascii="楷体" w:hAnsi="楷体" w:eastAsia="楷体" w:cs="楷体"/>
          <w:b/>
          <w:bCs/>
          <w:sz w:val="24"/>
          <w:szCs w:val="24"/>
          <w:highlight w:val="none"/>
        </w:rPr>
        <w:t>采购内容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1.服务期内提供符合各学校要求数量的台式或立式温热水饮水机（带热水保护功能）和饮用水桶。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2.桶装水要求：11.3L（3加仑）或18.9L（5加仑）包装纯净水，须符合国家和地方现行规范标准和食品标准。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sz w:val="24"/>
          <w:szCs w:val="24"/>
          <w:highlight w:val="none"/>
          <w:lang w:val="en-US" w:eastAsia="zh-CN"/>
        </w:rPr>
        <w:t>3.配送要求：供应商负责供应水并按照采购人要求时限内进行响应，送至各指定学校。</w:t>
      </w:r>
    </w:p>
    <w:p>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bCs/>
          <w:kern w:val="2"/>
          <w:sz w:val="24"/>
          <w:szCs w:val="24"/>
          <w:highlight w:val="none"/>
          <w:lang w:val="en-US" w:eastAsia="zh-CN" w:bidi="ar-SA"/>
        </w:rPr>
      </w:pPr>
      <w:r>
        <w:rPr>
          <w:rFonts w:hint="eastAsia" w:ascii="楷体" w:hAnsi="楷体" w:eastAsia="楷体" w:cs="楷体"/>
          <w:b/>
          <w:bCs/>
          <w:kern w:val="2"/>
          <w:sz w:val="24"/>
          <w:szCs w:val="24"/>
          <w:highlight w:val="none"/>
          <w:lang w:val="en-US" w:eastAsia="zh-CN" w:bidi="ar-SA"/>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1.提供每批次桶装水的合格证明材料；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2.送水人员具有有效的健康证；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3.如相关检查部门更改饮用水的检查指标，投标人也需无条件配合采购人，并提供相关合格资质（以具体检查标准为准）；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4.中标后，如出现明显的水质问题（如水里有异物、水质内有沉淀物及漂浮物等），一旦发现，采购人有权利单方面解除合同，由此导致的经济及法律后果，由中标人承担；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5、本次采购的桶装饮用水必须符合《食品安全国家标准包装饮用水》GB19298-2014；</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6、每半年提供一次符合本次采购桶装水规格要求的第三方检测报告。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三、商务要求</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0"/>
          <w:sz w:val="24"/>
          <w:szCs w:val="24"/>
          <w:highlight w:val="none"/>
          <w:lang w:val="en-US" w:eastAsia="zh-CN" w:bidi="ar-SA"/>
        </w:rPr>
      </w:pPr>
      <w:r>
        <w:rPr>
          <w:rFonts w:hint="eastAsia" w:ascii="楷体" w:hAnsi="楷体" w:eastAsia="楷体" w:cs="楷体"/>
          <w:kern w:val="0"/>
          <w:sz w:val="24"/>
          <w:szCs w:val="24"/>
          <w:highlight w:val="none"/>
          <w:lang w:val="en-US" w:eastAsia="zh-CN" w:bidi="ar-SA"/>
        </w:rPr>
        <w:t>1、服务期：1年（两个学期），自合同签订之日起</w:t>
      </w:r>
      <w:r>
        <w:rPr>
          <w:rFonts w:hint="eastAsia" w:ascii="楷体" w:hAnsi="楷体" w:eastAsia="楷体" w:cs="楷体"/>
          <w:sz w:val="24"/>
          <w:szCs w:val="24"/>
          <w:highlight w:val="none"/>
          <w:u w:val="none"/>
          <w:lang w:val="en-US" w:eastAsia="zh-CN"/>
        </w:rPr>
        <w:t>至2024年8月31日</w:t>
      </w:r>
      <w:r>
        <w:rPr>
          <w:rFonts w:hint="eastAsia" w:ascii="楷体" w:hAnsi="楷体" w:eastAsia="楷体" w:cs="楷体"/>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0"/>
          <w:sz w:val="24"/>
          <w:szCs w:val="24"/>
          <w:highlight w:val="none"/>
          <w:lang w:val="en-US" w:eastAsia="zh-CN" w:bidi="ar-SA"/>
        </w:rPr>
      </w:pPr>
      <w:r>
        <w:rPr>
          <w:rFonts w:hint="eastAsia" w:ascii="楷体" w:hAnsi="楷体" w:eastAsia="楷体" w:cs="楷体"/>
          <w:kern w:val="0"/>
          <w:sz w:val="24"/>
          <w:szCs w:val="24"/>
          <w:highlight w:val="none"/>
          <w:lang w:val="en-US" w:eastAsia="zh-CN" w:bidi="ar-SA"/>
        </w:rPr>
        <w:t>2、服务地点：采购人指定地点。</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0"/>
          <w:sz w:val="24"/>
          <w:szCs w:val="24"/>
          <w:highlight w:val="none"/>
          <w:lang w:val="en-US" w:eastAsia="zh-CN" w:bidi="ar-SA"/>
        </w:rPr>
      </w:pPr>
      <w:r>
        <w:rPr>
          <w:rFonts w:hint="eastAsia" w:ascii="楷体" w:hAnsi="楷体" w:eastAsia="楷体" w:cs="楷体"/>
          <w:kern w:val="0"/>
          <w:sz w:val="24"/>
          <w:szCs w:val="24"/>
          <w:highlight w:val="none"/>
          <w:lang w:val="en-US" w:eastAsia="zh-CN" w:bidi="ar-SA"/>
        </w:rPr>
        <w:t>3、付款方式：按学期据实结算。</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sectPr>
          <w:headerReference r:id="rId6" w:type="default"/>
          <w:footerReference r:id="rId7" w:type="default"/>
          <w:pgSz w:w="11906" w:h="16838"/>
          <w:pgMar w:top="1440" w:right="1803" w:bottom="1440" w:left="1803" w:header="851" w:footer="992" w:gutter="0"/>
          <w:pgNumType w:fmt="decimal" w:start="1"/>
          <w:cols w:space="720" w:num="1"/>
          <w:docGrid w:type="lines" w:linePitch="312" w:charSpace="0"/>
        </w:sectPr>
      </w:pPr>
    </w:p>
    <w:p>
      <w:pPr>
        <w:jc w:val="center"/>
        <w:rPr>
          <w:rFonts w:ascii="楷体" w:hAnsi="楷体" w:eastAsia="楷体" w:cs="楷体"/>
          <w:highlight w:val="none"/>
        </w:rPr>
      </w:pPr>
      <w:r>
        <w:rPr>
          <w:rFonts w:hint="eastAsia" w:ascii="楷体" w:hAnsi="楷体" w:eastAsia="楷体" w:cs="楷体"/>
          <w:b/>
          <w:bCs/>
          <w:kern w:val="2"/>
          <w:sz w:val="36"/>
          <w:szCs w:val="36"/>
          <w:highlight w:val="none"/>
        </w:rPr>
        <w:t>第五章  评审方法</w:t>
      </w:r>
      <w:bookmarkEnd w:id="142"/>
      <w:bookmarkEnd w:id="143"/>
      <w:bookmarkEnd w:id="144"/>
      <w:bookmarkEnd w:id="145"/>
      <w:bookmarkEnd w:id="146"/>
      <w:bookmarkEnd w:id="147"/>
      <w:bookmarkEnd w:id="148"/>
      <w:bookmarkEnd w:id="149"/>
      <w:bookmarkEnd w:id="150"/>
      <w:bookmarkEnd w:id="151"/>
    </w:p>
    <w:p>
      <w:pPr>
        <w:spacing w:line="360" w:lineRule="auto"/>
        <w:rPr>
          <w:rFonts w:ascii="楷体" w:hAnsi="楷体" w:eastAsia="楷体" w:cs="楷体"/>
          <w:b/>
          <w:sz w:val="28"/>
          <w:szCs w:val="28"/>
          <w:highlight w:val="none"/>
        </w:rPr>
      </w:pPr>
      <w:bookmarkStart w:id="159" w:name="_Toc363463332"/>
      <w:r>
        <w:rPr>
          <w:rFonts w:hint="eastAsia" w:ascii="楷体" w:hAnsi="楷体" w:eastAsia="楷体" w:cs="楷体"/>
          <w:b/>
          <w:sz w:val="28"/>
          <w:szCs w:val="28"/>
          <w:highlight w:val="none"/>
        </w:rPr>
        <w:t>一、评审方法</w:t>
      </w:r>
      <w:bookmarkEnd w:id="159"/>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按照《中华人民共和国政府采购法》和《中华人民共和国政府采购法实施条例》及《政府采购货物和服务招标投标管理办法》（财政部令第87号）等相关法律法规，本次评审采用</w:t>
      </w:r>
      <w:r>
        <w:rPr>
          <w:rFonts w:hint="eastAsia" w:ascii="楷体" w:hAnsi="楷体" w:eastAsia="楷体" w:cs="楷体"/>
          <w:b/>
          <w:bCs/>
          <w:szCs w:val="24"/>
          <w:highlight w:val="none"/>
        </w:rPr>
        <w:t>综合评分法</w:t>
      </w:r>
      <w:r>
        <w:rPr>
          <w:rFonts w:hint="eastAsia" w:ascii="楷体" w:hAnsi="楷体" w:eastAsia="楷体" w:cs="楷体"/>
          <w:szCs w:val="24"/>
          <w:highlight w:val="none"/>
        </w:rPr>
        <w:t>，是指投标文件满足招标文件全部实质性要求，且按照评审因素的量化指标评审得分最高的投标人为中标候选人的评标方法。</w:t>
      </w:r>
      <w:r>
        <w:rPr>
          <w:rFonts w:hint="eastAsia" w:ascii="楷体" w:hAnsi="楷体" w:eastAsia="楷体" w:cs="楷体"/>
          <w:spacing w:val="4"/>
          <w:szCs w:val="24"/>
          <w:highlight w:val="none"/>
        </w:rPr>
        <w:t>（最低报价不是中标的唯一标准）</w:t>
      </w:r>
    </w:p>
    <w:p>
      <w:pPr>
        <w:spacing w:line="360" w:lineRule="auto"/>
        <w:rPr>
          <w:rFonts w:ascii="楷体" w:hAnsi="楷体" w:eastAsia="楷体" w:cs="楷体"/>
          <w:b/>
          <w:sz w:val="28"/>
          <w:szCs w:val="28"/>
          <w:highlight w:val="none"/>
        </w:rPr>
      </w:pPr>
      <w:bookmarkStart w:id="160" w:name="_Toc363463333"/>
      <w:r>
        <w:rPr>
          <w:rFonts w:hint="eastAsia" w:ascii="楷体" w:hAnsi="楷体" w:eastAsia="楷体" w:cs="楷体"/>
          <w:b/>
          <w:sz w:val="28"/>
          <w:szCs w:val="28"/>
          <w:highlight w:val="none"/>
        </w:rPr>
        <w:t>二、评标程序</w:t>
      </w:r>
      <w:bookmarkEnd w:id="160"/>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按照初审（含资格性审查和符合性审查）、综合评估打分、推荐中标候选人名单的工作程序进行评审。在上一步评审中投标人被按无效投标处理的投标人，不进入下一步的评审。</w:t>
      </w:r>
    </w:p>
    <w:p>
      <w:pPr>
        <w:spacing w:line="360" w:lineRule="auto"/>
        <w:ind w:firstLine="498" w:firstLineChars="200"/>
        <w:rPr>
          <w:rFonts w:ascii="楷体" w:hAnsi="楷体" w:eastAsia="楷体" w:cs="楷体"/>
          <w:b/>
          <w:spacing w:val="4"/>
          <w:szCs w:val="24"/>
          <w:highlight w:val="none"/>
        </w:rPr>
      </w:pPr>
      <w:r>
        <w:rPr>
          <w:rFonts w:hint="eastAsia" w:ascii="楷体" w:hAnsi="楷体" w:eastAsia="楷体" w:cs="楷体"/>
          <w:b/>
          <w:spacing w:val="4"/>
          <w:szCs w:val="24"/>
          <w:highlight w:val="none"/>
        </w:rPr>
        <w:t>1、初审：</w:t>
      </w:r>
      <w:r>
        <w:rPr>
          <w:rFonts w:hint="eastAsia" w:ascii="楷体" w:hAnsi="楷体" w:eastAsia="楷体" w:cs="楷体"/>
          <w:szCs w:val="24"/>
          <w:highlight w:val="none"/>
        </w:rPr>
        <w:t>资格性审查和符合性审查</w:t>
      </w:r>
    </w:p>
    <w:p>
      <w:pPr>
        <w:spacing w:line="360" w:lineRule="auto"/>
        <w:ind w:firstLine="498" w:firstLineChars="200"/>
        <w:rPr>
          <w:rFonts w:ascii="楷体" w:hAnsi="楷体" w:eastAsia="楷体" w:cs="楷体"/>
          <w:b/>
          <w:spacing w:val="4"/>
          <w:szCs w:val="24"/>
          <w:highlight w:val="none"/>
        </w:rPr>
      </w:pPr>
      <w:r>
        <w:rPr>
          <w:rFonts w:hint="eastAsia" w:ascii="楷体" w:hAnsi="楷体" w:eastAsia="楷体" w:cs="楷体"/>
          <w:b/>
          <w:spacing w:val="4"/>
          <w:szCs w:val="24"/>
          <w:highlight w:val="none"/>
        </w:rPr>
        <w:t>1.1资格审查：</w:t>
      </w:r>
    </w:p>
    <w:tbl>
      <w:tblPr>
        <w:tblStyle w:val="27"/>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b/>
                <w:bCs/>
                <w:szCs w:val="24"/>
                <w:highlight w:val="none"/>
              </w:rPr>
            </w:pPr>
            <w:r>
              <w:rPr>
                <w:rFonts w:hint="eastAsia" w:ascii="楷体" w:hAnsi="楷体" w:eastAsia="楷体" w:cs="楷体"/>
                <w:b/>
                <w:bCs/>
                <w:szCs w:val="24"/>
                <w:highlight w:val="none"/>
              </w:rPr>
              <w:t>序号</w:t>
            </w:r>
          </w:p>
        </w:tc>
        <w:tc>
          <w:tcPr>
            <w:tcW w:w="7907" w:type="dxa"/>
            <w:vAlign w:val="center"/>
          </w:tcPr>
          <w:p>
            <w:pPr>
              <w:spacing w:line="360" w:lineRule="auto"/>
              <w:jc w:val="center"/>
              <w:rPr>
                <w:rFonts w:ascii="楷体" w:hAnsi="楷体" w:eastAsia="楷体" w:cs="楷体"/>
                <w:b/>
                <w:bCs/>
                <w:szCs w:val="24"/>
                <w:highlight w:val="none"/>
              </w:rPr>
            </w:pPr>
            <w:r>
              <w:rPr>
                <w:rFonts w:hint="eastAsia" w:ascii="楷体" w:hAnsi="楷体" w:eastAsia="楷体" w:cs="楷体"/>
                <w:b/>
                <w:bCs/>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w:t>
            </w:r>
          </w:p>
        </w:tc>
        <w:tc>
          <w:tcPr>
            <w:tcW w:w="7907" w:type="dxa"/>
            <w:vAlign w:val="center"/>
          </w:tcPr>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投标人具备《中华人民共和国政府采购法》第二十二条规定的资格条件。须提供的证明材料有：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1.1</w:t>
            </w:r>
          </w:p>
        </w:tc>
        <w:tc>
          <w:tcPr>
            <w:tcW w:w="7907" w:type="dxa"/>
            <w:vAlign w:val="center"/>
          </w:tcPr>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提供有效合格的具有社会统一信用代码的营业执照，其他组织经营的须提供合法凭证，自然人提供身份证明文件;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1.2</w:t>
            </w:r>
          </w:p>
        </w:tc>
        <w:tc>
          <w:tcPr>
            <w:tcW w:w="7907" w:type="dxa"/>
            <w:vAlign w:val="center"/>
          </w:tcPr>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财务状况报告</w:t>
            </w:r>
            <w:r>
              <w:rPr>
                <w:rFonts w:hint="eastAsia" w:ascii="楷体" w:hAnsi="楷体" w:eastAsia="楷体" w:cs="楷体"/>
                <w:color w:val="auto"/>
                <w:szCs w:val="24"/>
                <w:highlight w:val="none"/>
              </w:rPr>
              <w:t>：提供2022年度经审计的完整财务报告或开标日期前三个月内其基本存款账户开户银行出具的资信证明。（如提供资信证明，须同时提供基本存款账户开户许可证或基本账户</w:t>
            </w:r>
            <w:r>
              <w:rPr>
                <w:rFonts w:hint="eastAsia" w:ascii="楷体" w:hAnsi="楷体" w:eastAsia="楷体" w:cs="楷体"/>
                <w:szCs w:val="24"/>
                <w:highlight w:val="none"/>
              </w:rPr>
              <w:t>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1.3</w:t>
            </w:r>
          </w:p>
        </w:tc>
        <w:tc>
          <w:tcPr>
            <w:tcW w:w="7907" w:type="dxa"/>
            <w:vAlign w:val="center"/>
          </w:tcPr>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税收缴纳证明：提供2022年</w:t>
            </w:r>
            <w:r>
              <w:rPr>
                <w:rFonts w:hint="eastAsia" w:ascii="楷体" w:hAnsi="楷体" w:eastAsia="楷体" w:cs="楷体"/>
                <w:highlight w:val="none"/>
                <w:lang w:val="en-US" w:eastAsia="zh-CN"/>
              </w:rPr>
              <w:t>6</w:t>
            </w:r>
            <w:r>
              <w:rPr>
                <w:rFonts w:hint="eastAsia" w:ascii="楷体" w:hAnsi="楷体" w:eastAsia="楷体" w:cs="楷体"/>
                <w:highlight w:val="none"/>
              </w:rPr>
              <w:t>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1.4</w:t>
            </w:r>
          </w:p>
        </w:tc>
        <w:tc>
          <w:tcPr>
            <w:tcW w:w="7907" w:type="dxa"/>
            <w:vAlign w:val="center"/>
          </w:tcPr>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社会保障资金缴纳证明：提供2022年</w:t>
            </w:r>
            <w:r>
              <w:rPr>
                <w:rFonts w:hint="eastAsia" w:ascii="楷体" w:hAnsi="楷体" w:eastAsia="楷体" w:cs="楷体"/>
                <w:szCs w:val="24"/>
                <w:highlight w:val="none"/>
                <w:lang w:val="en-US" w:eastAsia="zh-CN"/>
              </w:rPr>
              <w:t>6</w:t>
            </w:r>
            <w:r>
              <w:rPr>
                <w:rFonts w:hint="eastAsia" w:ascii="楷体" w:hAnsi="楷体" w:eastAsia="楷体" w:cs="楷体"/>
                <w:szCs w:val="24"/>
                <w:highlight w:val="none"/>
              </w:rPr>
              <w:t>月至今已缴存的至少一个月的社会保障资金缴存单据或社保机构开具的社会保险参保缴费情况证明，依法不需要缴纳社会保障资金的单位应提供相关证明材料；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1.5</w:t>
            </w:r>
          </w:p>
        </w:tc>
        <w:tc>
          <w:tcPr>
            <w:tcW w:w="7907" w:type="dxa"/>
            <w:vAlign w:val="center"/>
          </w:tcPr>
          <w:p>
            <w:pPr>
              <w:tabs>
                <w:tab w:val="left" w:pos="0"/>
              </w:tabs>
              <w:suppressAutoHyphens/>
              <w:spacing w:line="360" w:lineRule="auto"/>
              <w:rPr>
                <w:rFonts w:ascii="楷体" w:hAnsi="楷体" w:eastAsia="楷体" w:cs="楷体"/>
                <w:szCs w:val="24"/>
                <w:highlight w:val="none"/>
              </w:rPr>
            </w:pPr>
            <w:r>
              <w:rPr>
                <w:rFonts w:hint="eastAsia" w:ascii="楷体" w:hAnsi="楷体" w:eastAsia="楷体" w:cs="楷体"/>
                <w:szCs w:val="24"/>
                <w:highlight w:val="no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1.6</w:t>
            </w:r>
          </w:p>
        </w:tc>
        <w:tc>
          <w:tcPr>
            <w:tcW w:w="7907" w:type="dxa"/>
            <w:vAlign w:val="center"/>
          </w:tcPr>
          <w:p>
            <w:pPr>
              <w:tabs>
                <w:tab w:val="left" w:pos="0"/>
              </w:tabs>
              <w:suppressAutoHyphens/>
              <w:spacing w:line="360" w:lineRule="auto"/>
              <w:rPr>
                <w:rFonts w:ascii="楷体" w:hAnsi="楷体" w:eastAsia="楷体" w:cs="楷体"/>
                <w:szCs w:val="24"/>
                <w:highlight w:val="none"/>
              </w:rPr>
            </w:pPr>
            <w:r>
              <w:rPr>
                <w:rFonts w:hint="eastAsia" w:ascii="楷体" w:hAnsi="楷体" w:eastAsia="楷体" w:cs="楷体"/>
                <w:szCs w:val="24"/>
                <w:highlight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w:t>
            </w:r>
          </w:p>
        </w:tc>
        <w:tc>
          <w:tcPr>
            <w:tcW w:w="7907" w:type="dxa"/>
            <w:vAlign w:val="center"/>
          </w:tcPr>
          <w:p>
            <w:pPr>
              <w:tabs>
                <w:tab w:val="left" w:pos="0"/>
              </w:tabs>
              <w:suppressAutoHyphens/>
              <w:spacing w:line="360" w:lineRule="auto"/>
              <w:rPr>
                <w:rFonts w:ascii="楷体" w:hAnsi="楷体" w:eastAsia="楷体" w:cs="楷体"/>
                <w:szCs w:val="24"/>
                <w:highlight w:val="none"/>
              </w:rPr>
            </w:pPr>
            <w:r>
              <w:rPr>
                <w:rFonts w:hint="eastAsia" w:ascii="楷体" w:hAnsi="楷体" w:eastAsia="楷体" w:cs="楷体"/>
                <w:szCs w:val="24"/>
                <w:highlight w:val="none"/>
              </w:rPr>
              <w:t>特定资格条件，需要提供的资料有：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2.1</w:t>
            </w:r>
          </w:p>
        </w:tc>
        <w:tc>
          <w:tcPr>
            <w:tcW w:w="7907" w:type="dxa"/>
            <w:vAlign w:val="center"/>
          </w:tcPr>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投标人未被列入信用中国网站(www.creditchina.gov.cn)“失信被执行人、重大税收违法失信主体”；不处于中国政府采购网(www.ccgp.gov.cn)“政府采购严重违法失信行为信息记录”中的禁止参加政府采购活动期间；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2.2</w:t>
            </w:r>
          </w:p>
        </w:tc>
        <w:tc>
          <w:tcPr>
            <w:tcW w:w="7907" w:type="dxa"/>
            <w:vAlign w:val="center"/>
          </w:tcPr>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highlight w:val="none"/>
              </w:rPr>
              <w:t>法定代表人授权委托书、被授权人身份证（法定代表人参加投标时,只需提供法定代表人身份证）；非法人单位参照执行；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2.3</w:t>
            </w:r>
          </w:p>
        </w:tc>
        <w:tc>
          <w:tcPr>
            <w:tcW w:w="7907"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ascii="楷体" w:hAnsi="楷体" w:eastAsia="楷体" w:cs="楷体"/>
                <w:color w:val="auto"/>
                <w:highlight w:val="none"/>
              </w:rPr>
            </w:pPr>
            <w:r>
              <w:rPr>
                <w:rFonts w:hint="eastAsia" w:ascii="楷体" w:hAnsi="楷体" w:eastAsia="楷体" w:cs="楷体"/>
                <w:i w:val="0"/>
                <w:iCs w:val="0"/>
                <w:caps w:val="0"/>
                <w:color w:val="auto"/>
                <w:spacing w:val="0"/>
                <w:sz w:val="24"/>
                <w:szCs w:val="24"/>
                <w:highlight w:val="none"/>
                <w:shd w:val="clear" w:fill="FFFFFF"/>
              </w:rPr>
              <w:t>投标人须具备食品生产许可证（生产许可证中生产者名称与营业执照名称一致）</w:t>
            </w:r>
            <w:r>
              <w:rPr>
                <w:rFonts w:hint="eastAsia" w:ascii="楷体" w:hAnsi="楷体" w:eastAsia="楷体" w:cs="楷体"/>
                <w:i w:val="0"/>
                <w:iCs w:val="0"/>
                <w:caps w:val="0"/>
                <w:color w:val="auto"/>
                <w:spacing w:val="0"/>
                <w:sz w:val="24"/>
                <w:szCs w:val="24"/>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szCs w:val="24"/>
                <w:highlight w:val="none"/>
                <w:lang w:val="en-US" w:eastAsia="zh-CN"/>
              </w:rPr>
            </w:pPr>
            <w:r>
              <w:rPr>
                <w:rFonts w:hint="eastAsia" w:ascii="楷体" w:hAnsi="楷体" w:eastAsia="楷体" w:cs="楷体"/>
                <w:szCs w:val="24"/>
                <w:highlight w:val="none"/>
                <w:lang w:val="en-US" w:eastAsia="zh-CN"/>
              </w:rPr>
              <w:t>2.4</w:t>
            </w:r>
          </w:p>
        </w:tc>
        <w:tc>
          <w:tcPr>
            <w:tcW w:w="7907" w:type="dxa"/>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sz w:val="24"/>
                <w:szCs w:val="24"/>
                <w:highlight w:val="none"/>
              </w:rPr>
            </w:pPr>
            <w:r>
              <w:rPr>
                <w:rFonts w:hint="eastAsia" w:ascii="楷体" w:hAnsi="楷体" w:eastAsia="楷体" w:cs="楷体"/>
                <w:i w:val="0"/>
                <w:iCs w:val="0"/>
                <w:caps w:val="0"/>
                <w:color w:val="auto"/>
                <w:spacing w:val="0"/>
                <w:sz w:val="24"/>
                <w:szCs w:val="24"/>
                <w:highlight w:val="none"/>
                <w:shd w:val="clear" w:fill="FFFFFF"/>
                <w:lang w:eastAsia="zh-CN"/>
              </w:rPr>
              <w:t>为学校提供的饮水机具有3C认证证书及保险</w:t>
            </w:r>
            <w:r>
              <w:rPr>
                <w:rFonts w:hint="eastAsia" w:ascii="楷体" w:hAnsi="楷体" w:eastAsia="楷体" w:cs="楷体"/>
                <w:i w:val="0"/>
                <w:iCs w:val="0"/>
                <w:caps w:val="0"/>
                <w:color w:val="auto"/>
                <w:spacing w:val="0"/>
                <w:sz w:val="24"/>
                <w:szCs w:val="24"/>
                <w:highlight w:val="none"/>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vAlign w:val="center"/>
          </w:tcPr>
          <w:p>
            <w:pPr>
              <w:pStyle w:val="24"/>
              <w:spacing w:before="0" w:beforeAutospacing="0" w:after="0" w:afterAutospacing="0" w:line="360" w:lineRule="auto"/>
              <w:rPr>
                <w:rFonts w:ascii="楷体" w:hAnsi="楷体" w:eastAsia="楷体" w:cs="楷体"/>
                <w:highlight w:val="none"/>
              </w:rPr>
            </w:pPr>
            <w:r>
              <w:rPr>
                <w:rFonts w:hint="eastAsia" w:ascii="楷体" w:hAnsi="楷体" w:eastAsia="楷体" w:cs="楷体"/>
                <w:color w:val="000000"/>
                <w:highlight w:val="none"/>
              </w:rPr>
              <w:t>注：事业单位参与投标时，可不提供财务状况报告、社会保障资金和税收缴纳证明；依法免税或不需要缴纳社会保障资金的投标人，应提供相应证明文件，证明其依法免税或不需要缴纳社会保障资金；自然人（仅限中国公民）参与投标时，只须提供身份证复印件。</w:t>
            </w:r>
          </w:p>
        </w:tc>
      </w:tr>
    </w:tbl>
    <w:p>
      <w:pPr>
        <w:spacing w:line="360" w:lineRule="auto"/>
        <w:ind w:firstLine="498" w:firstLineChars="200"/>
        <w:rPr>
          <w:rFonts w:ascii="楷体" w:hAnsi="楷体" w:eastAsia="楷体" w:cs="楷体"/>
          <w:b/>
          <w:spacing w:val="4"/>
          <w:szCs w:val="24"/>
          <w:highlight w:val="none"/>
        </w:rPr>
      </w:pPr>
      <w:r>
        <w:rPr>
          <w:rFonts w:hint="eastAsia" w:ascii="楷体" w:hAnsi="楷体" w:eastAsia="楷体" w:cs="楷体"/>
          <w:b/>
          <w:spacing w:val="4"/>
          <w:szCs w:val="24"/>
          <w:highlight w:val="none"/>
        </w:rPr>
        <w:t>1.2符合性审查：</w:t>
      </w:r>
    </w:p>
    <w:tbl>
      <w:tblPr>
        <w:tblStyle w:val="27"/>
        <w:tblW w:w="8766" w:type="dxa"/>
        <w:jc w:val="center"/>
        <w:tblLayout w:type="fixed"/>
        <w:tblCellMar>
          <w:top w:w="0" w:type="dxa"/>
          <w:left w:w="108" w:type="dxa"/>
          <w:bottom w:w="0" w:type="dxa"/>
          <w:right w:w="108" w:type="dxa"/>
        </w:tblCellMar>
      </w:tblPr>
      <w:tblGrid>
        <w:gridCol w:w="882"/>
        <w:gridCol w:w="2006"/>
        <w:gridCol w:w="5878"/>
      </w:tblGrid>
      <w:tr>
        <w:tblPrEx>
          <w:tblCellMar>
            <w:top w:w="0" w:type="dxa"/>
            <w:left w:w="108" w:type="dxa"/>
            <w:bottom w:w="0" w:type="dxa"/>
            <w:right w:w="108" w:type="dxa"/>
          </w:tblCellMar>
        </w:tblPrEx>
        <w:trPr>
          <w:trHeight w:val="70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bCs/>
                <w:szCs w:val="24"/>
                <w:highlight w:val="none"/>
              </w:rPr>
            </w:pPr>
            <w:r>
              <w:rPr>
                <w:rFonts w:hint="eastAsia" w:ascii="楷体" w:hAnsi="楷体" w:eastAsia="楷体" w:cs="楷体"/>
                <w:b/>
                <w:bCs/>
                <w:szCs w:val="24"/>
                <w:highlight w:val="none"/>
              </w:rPr>
              <w:t>序号</w:t>
            </w:r>
          </w:p>
        </w:tc>
        <w:tc>
          <w:tcPr>
            <w:tcW w:w="200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szCs w:val="24"/>
                <w:highlight w:val="none"/>
              </w:rPr>
            </w:pPr>
            <w:r>
              <w:rPr>
                <w:rFonts w:hint="eastAsia" w:ascii="楷体" w:hAnsi="楷体" w:eastAsia="楷体" w:cs="楷体"/>
                <w:b/>
                <w:bCs/>
                <w:szCs w:val="24"/>
                <w:highlight w:val="none"/>
              </w:rPr>
              <w:t>审查内容</w:t>
            </w:r>
          </w:p>
        </w:tc>
        <w:tc>
          <w:tcPr>
            <w:tcW w:w="587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bCs/>
                <w:szCs w:val="24"/>
                <w:highlight w:val="none"/>
              </w:rPr>
            </w:pPr>
            <w:r>
              <w:rPr>
                <w:rFonts w:hint="eastAsia" w:ascii="楷体" w:hAnsi="楷体" w:eastAsia="楷体" w:cs="楷体"/>
                <w:b/>
                <w:bCs/>
                <w:szCs w:val="24"/>
                <w:highlight w:val="none"/>
              </w:rPr>
              <w:t>审查细则</w:t>
            </w:r>
          </w:p>
        </w:tc>
      </w:tr>
      <w:tr>
        <w:tblPrEx>
          <w:tblCellMar>
            <w:top w:w="0" w:type="dxa"/>
            <w:left w:w="108" w:type="dxa"/>
            <w:bottom w:w="0" w:type="dxa"/>
            <w:right w:w="108" w:type="dxa"/>
          </w:tblCellMar>
        </w:tblPrEx>
        <w:trPr>
          <w:trHeight w:val="700" w:hRule="atLeast"/>
          <w:jc w:val="center"/>
        </w:trPr>
        <w:tc>
          <w:tcPr>
            <w:tcW w:w="8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符合性审查</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投标文件完整性</w:t>
            </w:r>
          </w:p>
        </w:tc>
        <w:tc>
          <w:tcPr>
            <w:tcW w:w="587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r>
              <w:rPr>
                <w:rFonts w:hint="eastAsia" w:ascii="楷体" w:hAnsi="楷体" w:eastAsia="楷体" w:cs="楷体"/>
                <w:spacing w:val="4"/>
                <w:szCs w:val="24"/>
                <w:highlight w:val="none"/>
              </w:rPr>
              <w:t>投标文件构成无重大缺项，按照招标文件要求的格式编写投标文件；</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p>
        </w:tc>
        <w:tc>
          <w:tcPr>
            <w:tcW w:w="2006"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投标文件报价</w:t>
            </w:r>
          </w:p>
        </w:tc>
        <w:tc>
          <w:tcPr>
            <w:tcW w:w="5878"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r>
              <w:rPr>
                <w:rFonts w:hint="eastAsia" w:ascii="楷体" w:hAnsi="楷体" w:eastAsia="楷体" w:cs="楷体"/>
                <w:szCs w:val="21"/>
                <w:highlight w:val="none"/>
              </w:rPr>
              <w:t>报价唯一，且没有低于成本价或高于</w:t>
            </w:r>
            <w:r>
              <w:rPr>
                <w:rFonts w:hint="eastAsia" w:ascii="楷体" w:hAnsi="楷体" w:eastAsia="楷体" w:cs="楷体"/>
                <w:szCs w:val="21"/>
                <w:highlight w:val="none"/>
                <w:lang w:eastAsia="zh-CN"/>
              </w:rPr>
              <w:t>单价</w:t>
            </w:r>
            <w:r>
              <w:rPr>
                <w:rFonts w:hint="eastAsia" w:ascii="楷体" w:hAnsi="楷体" w:eastAsia="楷体" w:cs="楷体"/>
                <w:szCs w:val="21"/>
                <w:highlight w:val="none"/>
              </w:rPr>
              <w:t>最高限价的；</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p>
        </w:tc>
        <w:tc>
          <w:tcPr>
            <w:tcW w:w="2006"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投标文件有效性</w:t>
            </w:r>
          </w:p>
        </w:tc>
        <w:tc>
          <w:tcPr>
            <w:tcW w:w="5878"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r>
              <w:rPr>
                <w:rFonts w:hint="eastAsia" w:ascii="楷体" w:hAnsi="楷体" w:eastAsia="楷体" w:cs="楷体"/>
                <w:szCs w:val="21"/>
                <w:highlight w:val="none"/>
              </w:rPr>
              <w:t>投标文件的</w:t>
            </w:r>
            <w:r>
              <w:rPr>
                <w:rFonts w:hint="eastAsia" w:ascii="楷体" w:hAnsi="楷体" w:eastAsia="楷体" w:cs="楷体"/>
                <w:color w:val="auto"/>
                <w:szCs w:val="21"/>
                <w:highlight w:val="none"/>
              </w:rPr>
              <w:t>签署、盖章符合招标文件要求，投标人递交的投标文件与本项目名称及项目编号一致；</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p>
        </w:tc>
        <w:tc>
          <w:tcPr>
            <w:tcW w:w="2006"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投标有效期、授权有效期</w:t>
            </w:r>
          </w:p>
        </w:tc>
        <w:tc>
          <w:tcPr>
            <w:tcW w:w="5878"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r>
              <w:rPr>
                <w:rFonts w:hint="eastAsia" w:ascii="楷体" w:hAnsi="楷体" w:eastAsia="楷体" w:cs="楷体"/>
                <w:szCs w:val="21"/>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p>
        </w:tc>
        <w:tc>
          <w:tcPr>
            <w:tcW w:w="2006" w:type="dxa"/>
            <w:tcBorders>
              <w:top w:val="nil"/>
              <w:left w:val="nil"/>
              <w:bottom w:val="single" w:color="auto" w:sz="4" w:space="0"/>
              <w:right w:val="single" w:color="auto" w:sz="4" w:space="0"/>
            </w:tcBorders>
            <w:vAlign w:val="center"/>
          </w:tcPr>
          <w:p>
            <w:pPr>
              <w:widowControl/>
              <w:spacing w:line="360" w:lineRule="auto"/>
              <w:jc w:val="center"/>
              <w:rPr>
                <w:rFonts w:ascii="楷体" w:hAnsi="楷体" w:eastAsia="楷体" w:cs="楷体"/>
                <w:szCs w:val="21"/>
                <w:highlight w:val="none"/>
              </w:rPr>
            </w:pPr>
            <w:r>
              <w:rPr>
                <w:rFonts w:hint="eastAsia" w:ascii="楷体" w:hAnsi="楷体" w:eastAsia="楷体" w:cs="楷体"/>
                <w:szCs w:val="21"/>
                <w:highlight w:val="none"/>
              </w:rPr>
              <w:t>投标文件响应性</w:t>
            </w:r>
          </w:p>
        </w:tc>
        <w:tc>
          <w:tcPr>
            <w:tcW w:w="5878" w:type="dxa"/>
            <w:tcBorders>
              <w:top w:val="nil"/>
              <w:left w:val="nil"/>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r>
              <w:rPr>
                <w:rFonts w:hint="eastAsia" w:ascii="楷体" w:hAnsi="楷体" w:eastAsia="楷体" w:cs="楷体"/>
                <w:szCs w:val="21"/>
                <w:highlight w:val="none"/>
              </w:rPr>
              <w:t>服务期响应招标文件</w:t>
            </w:r>
            <w:r>
              <w:rPr>
                <w:rFonts w:hint="eastAsia" w:ascii="楷体" w:hAnsi="楷体" w:eastAsia="楷体" w:cs="楷体"/>
                <w:szCs w:val="21"/>
                <w:highlight w:val="none"/>
                <w:lang w:eastAsia="zh-CN"/>
              </w:rPr>
              <w:t>要求，采购内容的响应无重大偏离</w:t>
            </w:r>
            <w:r>
              <w:rPr>
                <w:rFonts w:hint="eastAsia" w:ascii="楷体" w:hAnsi="楷体" w:eastAsia="楷体" w:cs="楷体"/>
                <w:szCs w:val="21"/>
                <w:highlight w:val="none"/>
              </w:rPr>
              <w:t>；</w:t>
            </w:r>
          </w:p>
        </w:tc>
      </w:tr>
      <w:tr>
        <w:tblPrEx>
          <w:tblCellMar>
            <w:top w:w="0" w:type="dxa"/>
            <w:left w:w="108" w:type="dxa"/>
            <w:bottom w:w="0" w:type="dxa"/>
            <w:right w:w="108" w:type="dxa"/>
          </w:tblCellMar>
        </w:tblPrEx>
        <w:trPr>
          <w:trHeight w:val="713"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楷体" w:hAnsi="楷体" w:eastAsia="楷体" w:cs="楷体"/>
                <w:szCs w:val="21"/>
                <w:highlight w:val="none"/>
              </w:rPr>
            </w:pPr>
          </w:p>
        </w:tc>
        <w:tc>
          <w:tcPr>
            <w:tcW w:w="2006" w:type="dxa"/>
            <w:tcBorders>
              <w:top w:val="nil"/>
              <w:left w:val="nil"/>
              <w:bottom w:val="single" w:color="auto" w:sz="4" w:space="0"/>
              <w:right w:val="single" w:color="auto" w:sz="4" w:space="0"/>
            </w:tcBorders>
            <w:vAlign w:val="center"/>
          </w:tcPr>
          <w:p>
            <w:pPr>
              <w:pStyle w:val="24"/>
              <w:spacing w:line="266" w:lineRule="atLeast"/>
              <w:jc w:val="center"/>
              <w:rPr>
                <w:rFonts w:ascii="楷体" w:hAnsi="楷体" w:eastAsia="楷体" w:cs="楷体"/>
                <w:szCs w:val="21"/>
                <w:highlight w:val="none"/>
              </w:rPr>
            </w:pPr>
            <w:r>
              <w:rPr>
                <w:rFonts w:hint="eastAsia" w:ascii="楷体" w:hAnsi="楷体" w:eastAsia="楷体" w:cs="楷体"/>
                <w:szCs w:val="21"/>
                <w:highlight w:val="none"/>
              </w:rPr>
              <w:t>其他</w:t>
            </w:r>
          </w:p>
        </w:tc>
        <w:tc>
          <w:tcPr>
            <w:tcW w:w="5878" w:type="dxa"/>
            <w:tcBorders>
              <w:top w:val="nil"/>
              <w:left w:val="nil"/>
              <w:bottom w:val="single" w:color="auto" w:sz="4" w:space="0"/>
              <w:right w:val="single" w:color="auto" w:sz="4" w:space="0"/>
            </w:tcBorders>
            <w:vAlign w:val="center"/>
          </w:tcPr>
          <w:p>
            <w:pPr>
              <w:pStyle w:val="24"/>
              <w:spacing w:line="266" w:lineRule="atLeast"/>
              <w:rPr>
                <w:rFonts w:ascii="楷体" w:hAnsi="楷体" w:eastAsia="楷体" w:cs="楷体"/>
                <w:szCs w:val="21"/>
                <w:highlight w:val="none"/>
              </w:rPr>
            </w:pPr>
            <w:r>
              <w:rPr>
                <w:rFonts w:hint="eastAsia" w:ascii="楷体" w:hAnsi="楷体" w:eastAsia="楷体" w:cs="楷体"/>
                <w:szCs w:val="21"/>
                <w:highlight w:val="none"/>
              </w:rPr>
              <w:t>无招标文件中规定的无效情形。</w:t>
            </w:r>
          </w:p>
        </w:tc>
      </w:tr>
    </w:tbl>
    <w:p>
      <w:pPr>
        <w:numPr>
          <w:ilvl w:val="0"/>
          <w:numId w:val="7"/>
        </w:numPr>
        <w:spacing w:line="360" w:lineRule="auto"/>
        <w:ind w:firstLine="482" w:firstLineChars="200"/>
        <w:rPr>
          <w:rFonts w:ascii="楷体" w:hAnsi="楷体" w:eastAsia="楷体" w:cs="楷体"/>
          <w:b/>
          <w:szCs w:val="24"/>
          <w:highlight w:val="none"/>
        </w:rPr>
      </w:pPr>
      <w:r>
        <w:rPr>
          <w:rFonts w:hint="eastAsia" w:ascii="楷体" w:hAnsi="楷体" w:eastAsia="楷体" w:cs="楷体"/>
          <w:b/>
          <w:szCs w:val="24"/>
          <w:highlight w:val="none"/>
        </w:rPr>
        <w:t>综合评估打分：</w:t>
      </w:r>
    </w:p>
    <w:p>
      <w:pPr>
        <w:pStyle w:val="20"/>
        <w:spacing w:line="360" w:lineRule="auto"/>
        <w:ind w:firstLine="480" w:firstLineChars="200"/>
        <w:rPr>
          <w:rFonts w:ascii="楷体" w:hAnsi="楷体" w:eastAsia="楷体" w:cs="楷体"/>
          <w:highlight w:val="none"/>
        </w:rPr>
      </w:pPr>
      <w:r>
        <w:rPr>
          <w:rFonts w:hint="eastAsia" w:ascii="楷体" w:hAnsi="楷体" w:eastAsia="楷体" w:cs="楷体"/>
          <w:highlight w:val="none"/>
        </w:rPr>
        <w:t>2.1澄清有关问题：对于投标文件中含义不明确、同类问题表述不一致或者有明显文字和计算错误的内容，评标委员会应当以书面形式要求投标人作出必要的澄清、说明或者补正。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楷体" w:hAnsi="楷体" w:eastAsia="楷体" w:cs="楷体"/>
          <w:b/>
          <w:szCs w:val="24"/>
          <w:highlight w:val="none"/>
        </w:rPr>
      </w:pPr>
      <w:r>
        <w:rPr>
          <w:rFonts w:hint="eastAsia" w:ascii="楷体" w:hAnsi="楷体" w:eastAsia="楷体" w:cs="楷体"/>
          <w:bCs/>
          <w:szCs w:val="24"/>
          <w:highlight w:val="none"/>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hint="eastAsia" w:ascii="楷体" w:hAnsi="楷体" w:eastAsia="楷体" w:cs="楷体"/>
          <w:b/>
          <w:szCs w:val="24"/>
          <w:highlight w:val="none"/>
        </w:rPr>
      </w:pPr>
      <w:r>
        <w:rPr>
          <w:rFonts w:hint="eastAsia" w:ascii="楷体" w:hAnsi="楷体" w:eastAsia="楷体" w:cs="楷体"/>
          <w:b/>
          <w:szCs w:val="24"/>
          <w:highlight w:val="none"/>
        </w:rPr>
        <w:t>2.3评审细则(总分100分）</w:t>
      </w:r>
    </w:p>
    <w:tbl>
      <w:tblPr>
        <w:tblStyle w:val="27"/>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03"/>
        <w:gridCol w:w="1027"/>
        <w:gridCol w:w="525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类别</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总分</w:t>
            </w: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评标因素</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最高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投标总报价</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10</w:t>
            </w:r>
            <w:r>
              <w:rPr>
                <w:rFonts w:hint="eastAsia" w:ascii="楷体" w:hAnsi="楷体" w:eastAsia="楷体" w:cs="楷体"/>
                <w:b/>
                <w:bCs/>
                <w:sz w:val="24"/>
                <w:szCs w:val="24"/>
                <w:highlight w:val="none"/>
              </w:rPr>
              <w:t>分</w:t>
            </w:r>
          </w:p>
        </w:tc>
        <w:tc>
          <w:tcPr>
            <w:tcW w:w="10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pacing w:val="-6"/>
                <w:sz w:val="24"/>
                <w:szCs w:val="24"/>
                <w:highlight w:val="none"/>
              </w:rPr>
            </w:pPr>
            <w:r>
              <w:rPr>
                <w:rFonts w:hint="eastAsia" w:ascii="楷体" w:hAnsi="楷体" w:eastAsia="楷体" w:cs="楷体"/>
                <w:sz w:val="24"/>
                <w:szCs w:val="24"/>
                <w:highlight w:val="none"/>
                <w:lang w:val="en-US" w:eastAsia="zh-CN"/>
              </w:rPr>
              <w:t>各类单价之和（10）</w:t>
            </w:r>
          </w:p>
        </w:tc>
        <w:tc>
          <w:tcPr>
            <w:tcW w:w="5255" w:type="dxa"/>
            <w:noWrap w:val="0"/>
            <w:vAlign w:val="center"/>
          </w:tcPr>
          <w:p>
            <w:pPr>
              <w:spacing w:line="360" w:lineRule="auto"/>
              <w:ind w:firstLine="480" w:firstLineChars="200"/>
              <w:rPr>
                <w:rFonts w:hint="eastAsia" w:ascii="楷体" w:hAnsi="楷体" w:eastAsia="楷体" w:cs="楷体"/>
                <w:color w:val="000000"/>
                <w:kern w:val="2"/>
                <w:szCs w:val="24"/>
                <w:highlight w:val="none"/>
              </w:rPr>
            </w:pPr>
            <w:r>
              <w:rPr>
                <w:rFonts w:hint="eastAsia" w:ascii="楷体" w:hAnsi="楷体" w:eastAsia="楷体" w:cs="楷体"/>
                <w:szCs w:val="24"/>
                <w:highlight w:val="none"/>
              </w:rPr>
              <w:t>1.经初审合格的投标文件，其</w:t>
            </w:r>
            <w:r>
              <w:rPr>
                <w:rFonts w:hint="eastAsia" w:ascii="楷体" w:hAnsi="楷体" w:eastAsia="楷体" w:cs="楷体"/>
                <w:szCs w:val="24"/>
                <w:highlight w:val="none"/>
                <w:lang w:eastAsia="zh-CN"/>
              </w:rPr>
              <w:t>投标总报价</w:t>
            </w:r>
            <w:r>
              <w:rPr>
                <w:rFonts w:hint="eastAsia" w:ascii="楷体" w:hAnsi="楷体" w:eastAsia="楷体" w:cs="楷体"/>
                <w:szCs w:val="24"/>
                <w:highlight w:val="none"/>
              </w:rPr>
              <w:t>为有效投标报价。</w:t>
            </w:r>
          </w:p>
          <w:p>
            <w:pPr>
              <w:spacing w:line="360" w:lineRule="auto"/>
              <w:ind w:firstLine="480" w:firstLineChars="200"/>
              <w:rPr>
                <w:rFonts w:hint="eastAsia" w:ascii="楷体" w:hAnsi="楷体" w:eastAsia="楷体" w:cs="楷体"/>
                <w:color w:val="000000"/>
                <w:kern w:val="2"/>
                <w:szCs w:val="24"/>
                <w:highlight w:val="none"/>
              </w:rPr>
            </w:pPr>
            <w:r>
              <w:rPr>
                <w:rFonts w:hint="eastAsia" w:ascii="楷体" w:hAnsi="楷体" w:eastAsia="楷体" w:cs="楷体"/>
                <w:color w:val="000000"/>
                <w:kern w:val="2"/>
                <w:szCs w:val="24"/>
                <w:highlight w:val="none"/>
              </w:rPr>
              <w:t>2.满足招标文件实质性要求且投标</w:t>
            </w:r>
            <w:r>
              <w:rPr>
                <w:rFonts w:hint="eastAsia" w:ascii="楷体" w:hAnsi="楷体" w:eastAsia="楷体" w:cs="楷体"/>
                <w:color w:val="000000"/>
                <w:kern w:val="2"/>
                <w:szCs w:val="24"/>
                <w:highlight w:val="none"/>
                <w:lang w:eastAsia="zh-CN"/>
              </w:rPr>
              <w:t>总</w:t>
            </w:r>
            <w:r>
              <w:rPr>
                <w:rFonts w:hint="eastAsia" w:ascii="楷体" w:hAnsi="楷体" w:eastAsia="楷体" w:cs="楷体"/>
                <w:color w:val="000000"/>
                <w:kern w:val="2"/>
                <w:szCs w:val="24"/>
                <w:highlight w:val="none"/>
              </w:rPr>
              <w:t>报价最低的投标人的价格为投标基准价，其价格分为满分</w:t>
            </w:r>
            <w:r>
              <w:rPr>
                <w:rFonts w:hint="eastAsia" w:ascii="楷体" w:hAnsi="楷体" w:eastAsia="楷体" w:cs="楷体"/>
                <w:color w:val="000000"/>
                <w:kern w:val="2"/>
                <w:szCs w:val="24"/>
                <w:highlight w:val="none"/>
                <w:lang w:val="en-US" w:eastAsia="zh-CN"/>
              </w:rPr>
              <w:t>10</w:t>
            </w:r>
            <w:r>
              <w:rPr>
                <w:rFonts w:hint="eastAsia" w:ascii="楷体" w:hAnsi="楷体" w:eastAsia="楷体" w:cs="楷体"/>
                <w:color w:val="000000"/>
                <w:kern w:val="2"/>
                <w:szCs w:val="24"/>
                <w:highlight w:val="none"/>
              </w:rPr>
              <w:t>分。</w:t>
            </w:r>
          </w:p>
          <w:p>
            <w:pPr>
              <w:spacing w:line="360" w:lineRule="auto"/>
              <w:ind w:firstLine="480" w:firstLineChars="200"/>
              <w:rPr>
                <w:rFonts w:hint="eastAsia" w:ascii="楷体" w:hAnsi="楷体" w:eastAsia="楷体" w:cs="楷体"/>
                <w:spacing w:val="-6"/>
                <w:sz w:val="24"/>
                <w:szCs w:val="24"/>
                <w:highlight w:val="none"/>
              </w:rPr>
            </w:pPr>
            <w:r>
              <w:rPr>
                <w:rFonts w:hint="eastAsia" w:ascii="楷体" w:hAnsi="楷体" w:eastAsia="楷体" w:cs="楷体"/>
                <w:color w:val="000000"/>
                <w:kern w:val="2"/>
                <w:szCs w:val="24"/>
                <w:highlight w:val="none"/>
              </w:rPr>
              <w:t>3.投标</w:t>
            </w:r>
            <w:r>
              <w:rPr>
                <w:rFonts w:hint="eastAsia" w:ascii="楷体" w:hAnsi="楷体" w:eastAsia="楷体" w:cs="楷体"/>
                <w:color w:val="000000"/>
                <w:kern w:val="2"/>
                <w:szCs w:val="24"/>
                <w:highlight w:val="none"/>
                <w:lang w:eastAsia="zh-CN"/>
              </w:rPr>
              <w:t>总</w:t>
            </w:r>
            <w:r>
              <w:rPr>
                <w:rFonts w:hint="eastAsia" w:ascii="楷体" w:hAnsi="楷体" w:eastAsia="楷体" w:cs="楷体"/>
                <w:color w:val="000000"/>
                <w:kern w:val="2"/>
                <w:szCs w:val="24"/>
                <w:highlight w:val="none"/>
              </w:rPr>
              <w:t>报价得分=（投标基准价/投标</w:t>
            </w:r>
            <w:r>
              <w:rPr>
                <w:rFonts w:hint="eastAsia" w:ascii="楷体" w:hAnsi="楷体" w:eastAsia="楷体" w:cs="楷体"/>
                <w:color w:val="000000"/>
                <w:kern w:val="2"/>
                <w:szCs w:val="24"/>
                <w:highlight w:val="none"/>
                <w:lang w:eastAsia="zh-CN"/>
              </w:rPr>
              <w:t>总</w:t>
            </w:r>
            <w:r>
              <w:rPr>
                <w:rFonts w:hint="eastAsia" w:ascii="楷体" w:hAnsi="楷体" w:eastAsia="楷体" w:cs="楷体"/>
                <w:color w:val="000000"/>
                <w:kern w:val="2"/>
                <w:szCs w:val="24"/>
                <w:highlight w:val="none"/>
              </w:rPr>
              <w:t>报价）×</w:t>
            </w:r>
            <w:r>
              <w:rPr>
                <w:rFonts w:hint="eastAsia" w:ascii="楷体" w:hAnsi="楷体" w:eastAsia="楷体" w:cs="楷体"/>
                <w:color w:val="000000"/>
                <w:kern w:val="2"/>
                <w:szCs w:val="24"/>
                <w:highlight w:val="none"/>
                <w:lang w:val="en-US" w:eastAsia="zh-CN"/>
              </w:rPr>
              <w:t>10</w:t>
            </w:r>
            <w:r>
              <w:rPr>
                <w:rFonts w:hint="eastAsia" w:ascii="楷体" w:hAnsi="楷体" w:eastAsia="楷体" w:cs="楷体"/>
                <w:color w:val="000000"/>
                <w:kern w:val="2"/>
                <w:szCs w:val="24"/>
                <w:highlight w:val="none"/>
              </w:rPr>
              <w:t>的公式计算得分。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10</w:t>
            </w:r>
            <w:r>
              <w:rPr>
                <w:rFonts w:hint="eastAsia" w:ascii="楷体" w:hAnsi="楷体" w:eastAsia="楷体" w:cs="楷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项目实施方案</w:t>
            </w:r>
          </w:p>
        </w:tc>
        <w:tc>
          <w:tcPr>
            <w:tcW w:w="10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87</w:t>
            </w:r>
            <w:r>
              <w:rPr>
                <w:rFonts w:hint="eastAsia" w:ascii="楷体" w:hAnsi="楷体" w:eastAsia="楷体" w:cs="楷体"/>
                <w:b/>
                <w:bCs/>
                <w:sz w:val="24"/>
                <w:szCs w:val="24"/>
                <w:highlight w:val="none"/>
              </w:rPr>
              <w:t>分</w:t>
            </w: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根据供应商提供的针对本项目的实施方案以及重、难点分析进行评审。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实施方案全面，分析准确，解决方案合理、可行得7-10分；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实施方案基本全面，分析基本准确，解决方案基本合理、可行得4-7分；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实施方案混乱，解决方案未明确得0-4分。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饮水机质量保障：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饮水机进货渠道正常，提供所投产品来源渠道合法的证明文件（包括但不限于销售协议、代理协议、原厂授权等），根据所投产品来源渠道证明文件齐全完整度进行综合评审。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饮水机来源渠道供应链完整齐全，可追溯性清晰，得7-10分；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饮水机来源渠道供应链基本完整齐全，具有可追溯性，得4-7分；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饮水机来源渠道供应链不齐全，且不具有可追溯性，得1-4分。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未提供相关内容不得分。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10</w:t>
            </w:r>
            <w:r>
              <w:rPr>
                <w:rFonts w:hint="eastAsia" w:ascii="楷体" w:hAnsi="楷体" w:eastAsia="楷体" w:cs="楷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桶装水生产厂家情况：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根据供应商提供的针对本项目桶装水生产厂家的生产设备、生产工艺、全厂房、生产过程资料进行评审。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生产设备及生产工艺先进、齐全，厂房环境卫生得5-10分；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生产设备及生产工艺基本齐，厂房环境基本卫生得0-5分。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40" w:leftChars="100" w:firstLine="241" w:firstLineChars="1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水质检测报告：</w:t>
            </w:r>
          </w:p>
          <w:p>
            <w:pPr>
              <w:keepNext w:val="0"/>
              <w:keepLines w:val="0"/>
              <w:pageBreakBefore w:val="0"/>
              <w:widowControl w:val="0"/>
              <w:kinsoku/>
              <w:wordWrap/>
              <w:overflowPunct/>
              <w:topLinePunct w:val="0"/>
              <w:autoSpaceDE/>
              <w:autoSpaceDN/>
              <w:bidi w:val="0"/>
              <w:adjustRightInd/>
              <w:snapToGrid/>
              <w:spacing w:line="360" w:lineRule="auto"/>
              <w:ind w:left="240" w:leftChars="100" w:firstLine="240" w:firstLineChars="1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根据投标单位提供的截止投标时间前半年内最近一次质检部门出具不同规格的的水质检测报告等证明材料，按差别赋1-7分，未提供或无法证明报告真实性的计0分。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7</w:t>
            </w:r>
            <w:r>
              <w:rPr>
                <w:rFonts w:hint="eastAsia" w:ascii="楷体" w:hAnsi="楷体" w:eastAsia="楷体" w:cs="楷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清洗、消毒工作流程：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提供水桶回收、清洗、消毒工作流程的方案。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方案详细完整、可行性、针对性强得7-10分；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方案基本全面，基本满足项目配送要求，得4-7分；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方案简单，不能满足项目配送要求，得1-4分；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未提供相关内容不得分。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配送方案：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提供配送方案（包括但不限于运输车辆数量、人员安排） 配送方案详细、科学。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具有操作性和可实施性得7-10分；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配送方案基本全面，基本满足项目配送要求，得4-7分； </w:t>
            </w:r>
          </w:p>
          <w:p>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配送方案简单，不能满足项目配送要求，得1-4分； </w:t>
            </w:r>
          </w:p>
          <w:p>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 xml:space="preserve">未提供相关内容不得分。 </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应急方案：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遇采购人举办大型会议等用水需求临时增加的情形时提供应急方案。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应急方案详细、合理有效计5-10分；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应急方案混乱、不合理计1-5分；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kern w:val="2"/>
                <w:sz w:val="24"/>
                <w:szCs w:val="24"/>
                <w:highlight w:val="none"/>
                <w:lang w:eastAsia="zh-CN"/>
              </w:rPr>
            </w:pPr>
            <w:r>
              <w:rPr>
                <w:rFonts w:hint="eastAsia" w:ascii="楷体" w:hAnsi="楷体" w:eastAsia="楷体" w:cs="楷体"/>
                <w:sz w:val="24"/>
                <w:szCs w:val="24"/>
                <w:highlight w:val="none"/>
                <w:lang w:val="en-US" w:eastAsia="zh-CN"/>
              </w:rPr>
              <w:t>未提供相关内容不得分。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投诉处理的时效性: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根据供应商收到采购人投诉时，处理的时效性及应 对方案进行评审。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处理高效及时，应对方案细致、科学合理、可行得7-10分；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处理基本及时，应对方案较细致、可行得4-7分；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处理基本及时，应对方案基本合理、可行得1-4分;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楷体" w:hAnsi="楷体" w:eastAsia="楷体" w:cs="楷体"/>
                <w:sz w:val="24"/>
                <w:szCs w:val="24"/>
                <w:highlight w:val="none"/>
                <w:lang w:val="en-US" w:eastAsia="zh-CN"/>
              </w:rPr>
              <w:t>未提供相关内容不得分。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p>
        </w:tc>
        <w:tc>
          <w:tcPr>
            <w:tcW w:w="10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售后服务保障方案: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供应商能够提供详细的售后服务方案，包括但不限于①售后服务人员配备；②出现质量问题时的补救措施；③售后服务承诺。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方案全面、合理、规范，可操作性强得7-10分；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方案比较合理和规范，有一定的可操作性得4-7分；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方案简单，可操作性差得1-4分；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highlight w:val="none"/>
              </w:rPr>
            </w:pPr>
            <w:r>
              <w:rPr>
                <w:rFonts w:hint="eastAsia" w:ascii="楷体" w:hAnsi="楷体" w:eastAsia="楷体" w:cs="楷体"/>
                <w:sz w:val="24"/>
                <w:szCs w:val="24"/>
                <w:highlight w:val="none"/>
                <w:lang w:val="en-US" w:eastAsia="zh-CN"/>
              </w:rPr>
              <w:t>未提供相关内容不得分。</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类似业绩</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3分</w:t>
            </w:r>
          </w:p>
        </w:tc>
        <w:tc>
          <w:tcPr>
            <w:tcW w:w="6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highlight w:val="none"/>
                <w:lang w:val="en-US" w:eastAsia="zh-CN" w:bidi="ar-SA"/>
              </w:rPr>
            </w:pPr>
            <w:bookmarkStart w:id="203" w:name="_GoBack"/>
            <w:r>
              <w:rPr>
                <w:rFonts w:hint="eastAsia" w:ascii="楷体" w:hAnsi="楷体" w:eastAsia="楷体" w:cs="楷体"/>
                <w:sz w:val="24"/>
                <w:szCs w:val="24"/>
                <w:highlight w:val="none"/>
              </w:rPr>
              <w:t>供应商提供20</w:t>
            </w:r>
            <w:r>
              <w:rPr>
                <w:rFonts w:hint="eastAsia" w:ascii="楷体" w:hAnsi="楷体" w:eastAsia="楷体" w:cs="楷体"/>
                <w:sz w:val="24"/>
                <w:szCs w:val="24"/>
                <w:highlight w:val="none"/>
                <w:lang w:val="en-US" w:eastAsia="zh-CN"/>
              </w:rPr>
              <w:t>20</w:t>
            </w:r>
            <w:r>
              <w:rPr>
                <w:rFonts w:hint="eastAsia" w:ascii="楷体" w:hAnsi="楷体" w:eastAsia="楷体" w:cs="楷体"/>
                <w:sz w:val="24"/>
                <w:szCs w:val="24"/>
                <w:highlight w:val="none"/>
              </w:rPr>
              <w:t>年</w:t>
            </w:r>
            <w:r>
              <w:rPr>
                <w:rFonts w:hint="eastAsia" w:ascii="楷体" w:hAnsi="楷体" w:eastAsia="楷体" w:cs="楷体"/>
                <w:sz w:val="24"/>
                <w:szCs w:val="24"/>
                <w:highlight w:val="none"/>
                <w:lang w:val="en-US" w:eastAsia="zh-CN"/>
              </w:rPr>
              <w:t>7月份</w:t>
            </w:r>
            <w:r>
              <w:rPr>
                <w:rFonts w:hint="eastAsia" w:ascii="楷体" w:hAnsi="楷体" w:eastAsia="楷体" w:cs="楷体"/>
                <w:sz w:val="24"/>
                <w:szCs w:val="24"/>
                <w:highlight w:val="none"/>
              </w:rPr>
              <w:t>（以合同签订时间为准）至今承担过</w:t>
            </w:r>
            <w:r>
              <w:rPr>
                <w:rFonts w:hint="eastAsia" w:ascii="楷体" w:hAnsi="楷体" w:eastAsia="楷体" w:cs="楷体"/>
                <w:sz w:val="24"/>
                <w:szCs w:val="24"/>
                <w:highlight w:val="none"/>
                <w:lang w:eastAsia="zh-CN"/>
              </w:rPr>
              <w:t>类似</w:t>
            </w:r>
            <w:r>
              <w:rPr>
                <w:rFonts w:hint="eastAsia" w:ascii="楷体" w:hAnsi="楷体" w:eastAsia="楷体" w:cs="楷体"/>
                <w:sz w:val="24"/>
                <w:szCs w:val="24"/>
                <w:highlight w:val="none"/>
              </w:rPr>
              <w:t>项目的业绩合同，以合同扫描件或复印件为准；每提供一份得1分，最多得</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分。</w:t>
            </w:r>
            <w:bookmarkEnd w:id="203"/>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 w:leftChars="-45"/>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备注</w:t>
            </w:r>
          </w:p>
        </w:tc>
        <w:tc>
          <w:tcPr>
            <w:tcW w:w="816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1）各评委独立打分。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2）评委打分超过得分界限或未按本表规定赋分时，该评委的打分作废，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不计入汇总分。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4）各种计算采用插入法，数字均保留一位小数，第二位“四舍五入”。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 xml:space="preserve">5）评标过程中，若出现特殊情况时，由评标委员会决定暂停评标，并提出具体处理意见。 </w:t>
            </w:r>
          </w:p>
        </w:tc>
      </w:tr>
    </w:tbl>
    <w:p>
      <w:pPr>
        <w:numPr>
          <w:ilvl w:val="0"/>
          <w:numId w:val="7"/>
        </w:numPr>
        <w:spacing w:line="360" w:lineRule="auto"/>
        <w:ind w:firstLine="482" w:firstLineChars="200"/>
        <w:rPr>
          <w:rFonts w:ascii="楷体" w:hAnsi="楷体" w:eastAsia="楷体" w:cs="楷体"/>
          <w:szCs w:val="24"/>
          <w:highlight w:val="none"/>
        </w:rPr>
      </w:pPr>
      <w:r>
        <w:rPr>
          <w:rFonts w:hint="eastAsia" w:ascii="楷体" w:hAnsi="楷体" w:eastAsia="楷体" w:cs="楷体"/>
          <w:b/>
          <w:szCs w:val="24"/>
          <w:highlight w:val="none"/>
        </w:rPr>
        <w:t>推荐中标候选人名单：</w:t>
      </w:r>
      <w:r>
        <w:rPr>
          <w:rFonts w:hint="eastAsia" w:ascii="楷体" w:hAnsi="楷体" w:eastAsia="楷体" w:cs="楷体"/>
          <w:szCs w:val="24"/>
          <w:highlight w:val="none"/>
        </w:rPr>
        <w:t>评标结果按评审后得分由高到低顺序排列。得分相同的，按投标报价由低到高顺序排列。得分且投标报价相同的并列。</w:t>
      </w:r>
    </w:p>
    <w:p>
      <w:pPr>
        <w:spacing w:line="360" w:lineRule="auto"/>
        <w:ind w:firstLine="562" w:firstLineChars="200"/>
        <w:jc w:val="left"/>
        <w:rPr>
          <w:rFonts w:ascii="楷体" w:hAnsi="楷体" w:eastAsia="楷体" w:cs="楷体"/>
          <w:b/>
          <w:sz w:val="28"/>
          <w:szCs w:val="28"/>
          <w:highlight w:val="none"/>
        </w:rPr>
      </w:pPr>
      <w:r>
        <w:rPr>
          <w:rFonts w:hint="eastAsia" w:ascii="楷体" w:hAnsi="楷体" w:eastAsia="楷体" w:cs="楷体"/>
          <w:b/>
          <w:sz w:val="28"/>
          <w:szCs w:val="28"/>
          <w:highlight w:val="none"/>
        </w:rPr>
        <w:t>三、需要落实的政府采购政策</w:t>
      </w:r>
    </w:p>
    <w:bookmarkEnd w:id="152"/>
    <w:bookmarkEnd w:id="153"/>
    <w:bookmarkEnd w:id="154"/>
    <w:bookmarkEnd w:id="155"/>
    <w:bookmarkEnd w:id="156"/>
    <w:bookmarkEnd w:id="157"/>
    <w:bookmarkEnd w:id="158"/>
    <w:p>
      <w:pPr>
        <w:spacing w:line="360" w:lineRule="auto"/>
        <w:ind w:firstLine="480" w:firstLineChars="200"/>
        <w:rPr>
          <w:rFonts w:ascii="楷体" w:hAnsi="楷体" w:eastAsia="楷体" w:cs="楷体"/>
          <w:szCs w:val="24"/>
          <w:highlight w:val="none"/>
        </w:rPr>
      </w:pPr>
      <w:bookmarkStart w:id="161" w:name="_Toc29083"/>
      <w:r>
        <w:rPr>
          <w:rFonts w:hint="eastAsia" w:ascii="楷体" w:hAnsi="楷体" w:eastAsia="楷体" w:cs="楷体"/>
          <w:szCs w:val="24"/>
          <w:highlight w:val="none"/>
        </w:rPr>
        <w:t>根据《陕西省财政厅关于政府采购有关问题的通知》（陕财办采资（2016）53号）对政府采购相关政策落实如下：</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1、财政部、工业和信息化部《关于印发&lt;政府采购促进中小企业发展管理办法&gt;的通知》(财库〔2020〕46号)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政府采购促进中小企业发展管理办法》（财库〔2020〕46号）规定，符合本办法规定的参加政府采购活动的中小企业应当提供《中小企业声明函》（附件4），否则不得享受相关中小企业扶持政策。投标人提供的《中小企业声明函》必须真实，否则，按照有关规定予以处理。</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评标委员会根据《财政部关于进一步加大政府采购支持中小企业力度的通知》（财库【2022】19号）规定的小微企业（监狱企业视同小型、微型企业）的相关规定，对小微企业报价给予10%的扣除，用扣除后的价格参与评审。</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 xml:space="preserve">（2）《财政部 司法部关于政府采购支持监狱企业发展有关问题的通知》—财库[2014]68号 </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评标委员会对监狱企业的价格给予10%的扣除，用扣除后的价格参与评审。</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3、《财政部民政部中国残疾人联合会关于促进残疾人就业政府采购政策的通知》—财库[2017]141号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符合条件的残疾人福利性单位在参加政府采购活动时，应当提供本通知规定的《残疾人福利性单位声明函》，并对声明的真实性负责。</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评标委员会对投标人提供的残疾人福利性单位的证明文件进行核实后，根据相关规定，对残疾人福利性单位的价格给予10%的扣除，用扣除后的价格参与评审。</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4、《国务院办公厅关于建立政府强制采购节能产品制度的通知》--国办发[2007]51号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5、《节能产品政府采购实施意见》--财库[2004]185号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投标人应提供有效证明材料（证明材料须加盖投标人红色公章）。（注：节能产品是指由财政部、国家发改委颁布的“节能产品政府采购清单”中的有效期内的产品）。</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6、《环境标志产品政府采购实施的意见》—财库[2006]90号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投标人应提供有效证明材料（证明材料须加盖投标人红色公章）。（注：环境标志产品是指由财政部、国家环境保护总局颁布的“环境标志产品政府采购清单”中的有效期内的产品）。</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7、《财政部 农业农村部 国家乡村振兴局关于运用政府采购政策支持乡村产业振兴的通知》财库〔2021〕19号</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自2021年起，各级预算单位应当按照不低于10%的比例预留年度食堂食材采购份额，通过脱贫地区农副产品网络销售平台（原贫困地区农副产品网络销售平台）采购脱贫地区农副产品。</w:t>
      </w:r>
    </w:p>
    <w:p>
      <w:pPr>
        <w:pStyle w:val="11"/>
        <w:rPr>
          <w:rFonts w:ascii="楷体" w:hAnsi="楷体" w:eastAsia="楷体" w:cs="楷体"/>
          <w:highlight w:val="none"/>
          <w:lang w:val="zh-CN"/>
        </w:rPr>
      </w:pPr>
    </w:p>
    <w:p>
      <w:pPr>
        <w:pStyle w:val="3"/>
        <w:keepNext w:val="0"/>
        <w:keepLines/>
        <w:pageBreakBefore/>
        <w:spacing w:line="360" w:lineRule="auto"/>
        <w:jc w:val="center"/>
        <w:rPr>
          <w:rFonts w:ascii="楷体" w:hAnsi="楷体" w:eastAsia="楷体" w:cs="楷体"/>
          <w:bCs/>
          <w:sz w:val="36"/>
          <w:szCs w:val="36"/>
          <w:highlight w:val="none"/>
        </w:rPr>
      </w:pPr>
      <w:bookmarkStart w:id="162" w:name="_Toc25437"/>
      <w:bookmarkStart w:id="163" w:name="_Toc31426"/>
      <w:bookmarkStart w:id="164" w:name="_Toc16426"/>
      <w:bookmarkStart w:id="165" w:name="_Toc27122"/>
      <w:bookmarkStart w:id="166" w:name="_Toc5943"/>
      <w:bookmarkStart w:id="167" w:name="_Toc12153"/>
      <w:r>
        <w:rPr>
          <w:rFonts w:hint="eastAsia" w:ascii="楷体" w:hAnsi="楷体" w:eastAsia="楷体" w:cs="楷体"/>
          <w:bCs/>
          <w:sz w:val="36"/>
          <w:szCs w:val="36"/>
          <w:highlight w:val="none"/>
        </w:rPr>
        <w:t>第六章  投标文件格式</w:t>
      </w:r>
      <w:bookmarkEnd w:id="84"/>
      <w:bookmarkEnd w:id="161"/>
      <w:bookmarkEnd w:id="162"/>
      <w:bookmarkEnd w:id="163"/>
      <w:bookmarkEnd w:id="164"/>
      <w:bookmarkEnd w:id="165"/>
      <w:bookmarkEnd w:id="166"/>
      <w:bookmarkEnd w:id="167"/>
    </w:p>
    <w:p>
      <w:pPr>
        <w:jc w:val="center"/>
        <w:rPr>
          <w:rFonts w:ascii="楷体" w:hAnsi="楷体" w:eastAsia="楷体" w:cs="楷体"/>
          <w:highlight w:val="none"/>
        </w:rPr>
      </w:pPr>
    </w:p>
    <w:p>
      <w:pPr>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投标文件编制说明</w:t>
      </w:r>
    </w:p>
    <w:p>
      <w:pPr>
        <w:spacing w:line="360" w:lineRule="auto"/>
        <w:rPr>
          <w:rFonts w:ascii="楷体" w:hAnsi="楷体" w:eastAsia="楷体" w:cs="楷体"/>
          <w:szCs w:val="24"/>
          <w:highlight w:val="none"/>
        </w:rPr>
      </w:pPr>
    </w:p>
    <w:p>
      <w:pPr>
        <w:spacing w:line="360" w:lineRule="auto"/>
        <w:ind w:left="120" w:leftChars="50" w:firstLine="491" w:firstLineChars="205"/>
        <w:rPr>
          <w:rFonts w:ascii="楷体" w:hAnsi="楷体" w:eastAsia="楷体" w:cs="楷体"/>
          <w:szCs w:val="24"/>
          <w:highlight w:val="none"/>
        </w:rPr>
      </w:pPr>
      <w:r>
        <w:rPr>
          <w:rFonts w:hint="eastAsia" w:ascii="楷体" w:hAnsi="楷体" w:eastAsia="楷体" w:cs="楷体"/>
          <w:szCs w:val="24"/>
          <w:highlight w:val="none"/>
        </w:rPr>
        <w:t>1、招标文件中提供的投标文件格式，起到样式作用，编制投标文件前，请详细阅读招标文件，理解文件中的每一项要求。</w:t>
      </w:r>
    </w:p>
    <w:p>
      <w:pPr>
        <w:spacing w:line="360" w:lineRule="auto"/>
        <w:ind w:left="120" w:leftChars="50" w:firstLine="491" w:firstLineChars="205"/>
        <w:rPr>
          <w:rFonts w:ascii="楷体" w:hAnsi="楷体" w:eastAsia="楷体" w:cs="楷体"/>
          <w:b/>
          <w:bCs/>
          <w:sz w:val="32"/>
          <w:szCs w:val="32"/>
          <w:highlight w:val="none"/>
        </w:rPr>
        <w:sectPr>
          <w:pgSz w:w="11906" w:h="16838"/>
          <w:pgMar w:top="1440" w:right="1803" w:bottom="1440" w:left="1803" w:header="851" w:footer="992" w:gutter="0"/>
          <w:pgNumType w:fmt="decimal"/>
          <w:cols w:space="720" w:num="1"/>
          <w:docGrid w:type="lines" w:linePitch="312" w:charSpace="0"/>
        </w:sectPr>
      </w:pPr>
      <w:r>
        <w:rPr>
          <w:rFonts w:hint="eastAsia" w:ascii="楷体" w:hAnsi="楷体" w:eastAsia="楷体" w:cs="楷体"/>
          <w:szCs w:val="24"/>
          <w:highlight w:val="none"/>
        </w:rPr>
        <w:t>2、投标文件的编制应按照样本格式提供的内容，做出逐一明确的答复；投标人认为有必要，还可以做其它补充说明。</w:t>
      </w:r>
      <w:bookmarkEnd w:id="85"/>
      <w:bookmarkEnd w:id="86"/>
      <w:bookmarkEnd w:id="87"/>
      <w:bookmarkEnd w:id="88"/>
      <w:bookmarkEnd w:id="89"/>
    </w:p>
    <w:p>
      <w:pPr>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项目编号：</w:t>
      </w:r>
      <w:r>
        <w:rPr>
          <w:rFonts w:hint="eastAsia" w:ascii="楷体" w:hAnsi="楷体" w:eastAsia="楷体" w:cs="楷体"/>
          <w:b/>
          <w:bCs/>
          <w:sz w:val="32"/>
          <w:szCs w:val="32"/>
          <w:highlight w:val="none"/>
          <w:lang w:eastAsia="zh-CN"/>
        </w:rPr>
        <w:t>ZYZB2023-GK1120</w:t>
      </w:r>
    </w:p>
    <w:p>
      <w:pPr>
        <w:ind w:firstLine="4343" w:firstLineChars="1352"/>
        <w:rPr>
          <w:rFonts w:ascii="楷体" w:hAnsi="楷体" w:eastAsia="楷体" w:cs="楷体"/>
          <w:b/>
          <w:sz w:val="32"/>
          <w:szCs w:val="32"/>
          <w:highlight w:val="none"/>
        </w:rPr>
      </w:pPr>
      <w:r>
        <w:rPr>
          <w:rFonts w:hint="eastAsia" w:ascii="楷体" w:hAnsi="楷体" w:eastAsia="楷体" w:cs="楷体"/>
          <w:b/>
          <w:bCs/>
          <w:sz w:val="32"/>
          <w:szCs w:val="32"/>
          <w:highlight w:val="none"/>
        </w:rPr>
        <w:t xml:space="preserve">          </w:t>
      </w:r>
    </w:p>
    <w:p>
      <w:pPr>
        <w:jc w:val="center"/>
        <w:rPr>
          <w:rFonts w:ascii="楷体" w:hAnsi="楷体" w:eastAsia="楷体" w:cs="楷体"/>
          <w:b/>
          <w:sz w:val="32"/>
          <w:szCs w:val="32"/>
          <w:highlight w:val="none"/>
        </w:rPr>
      </w:pPr>
    </w:p>
    <w:p>
      <w:pPr>
        <w:jc w:val="center"/>
        <w:rPr>
          <w:rFonts w:hint="eastAsia" w:ascii="楷体" w:hAnsi="楷体" w:eastAsia="楷体" w:cs="楷体"/>
          <w:b/>
          <w:kern w:val="2"/>
          <w:sz w:val="48"/>
          <w:szCs w:val="48"/>
          <w:highlight w:val="none"/>
          <w:lang w:eastAsia="zh-CN"/>
        </w:rPr>
      </w:pPr>
      <w:r>
        <w:rPr>
          <w:rFonts w:hint="eastAsia" w:ascii="楷体" w:hAnsi="楷体" w:eastAsia="楷体" w:cs="楷体"/>
          <w:b/>
          <w:kern w:val="2"/>
          <w:sz w:val="48"/>
          <w:szCs w:val="48"/>
          <w:highlight w:val="none"/>
          <w:lang w:eastAsia="zh-CN"/>
        </w:rPr>
        <w:t>学生饮用水采购项目（</w:t>
      </w:r>
      <w:r>
        <w:rPr>
          <w:rFonts w:hint="eastAsia" w:ascii="楷体" w:hAnsi="楷体" w:eastAsia="楷体" w:cs="楷体"/>
          <w:b/>
          <w:kern w:val="2"/>
          <w:sz w:val="48"/>
          <w:szCs w:val="48"/>
          <w:highlight w:val="none"/>
          <w:u w:val="single"/>
          <w:lang w:val="en-US" w:eastAsia="zh-CN"/>
        </w:rPr>
        <w:t xml:space="preserve">  </w:t>
      </w:r>
      <w:r>
        <w:rPr>
          <w:rFonts w:hint="eastAsia" w:ascii="楷体" w:hAnsi="楷体" w:eastAsia="楷体" w:cs="楷体"/>
          <w:b/>
          <w:kern w:val="2"/>
          <w:sz w:val="48"/>
          <w:szCs w:val="48"/>
          <w:highlight w:val="none"/>
          <w:lang w:val="en-US" w:eastAsia="zh-CN"/>
        </w:rPr>
        <w:t>包</w:t>
      </w:r>
      <w:r>
        <w:rPr>
          <w:rFonts w:hint="eastAsia" w:ascii="楷体" w:hAnsi="楷体" w:eastAsia="楷体" w:cs="楷体"/>
          <w:b/>
          <w:kern w:val="2"/>
          <w:sz w:val="48"/>
          <w:szCs w:val="48"/>
          <w:highlight w:val="none"/>
          <w:lang w:eastAsia="zh-CN"/>
        </w:rPr>
        <w:t>）</w:t>
      </w:r>
    </w:p>
    <w:p>
      <w:pPr>
        <w:jc w:val="center"/>
        <w:rPr>
          <w:rFonts w:ascii="楷体" w:hAnsi="楷体" w:eastAsia="楷体" w:cs="楷体"/>
          <w:b/>
          <w:kern w:val="2"/>
          <w:sz w:val="72"/>
          <w:szCs w:val="72"/>
          <w:highlight w:val="none"/>
        </w:rPr>
      </w:pPr>
    </w:p>
    <w:p>
      <w:pPr>
        <w:pStyle w:val="25"/>
        <w:ind w:firstLine="723"/>
        <w:rPr>
          <w:rFonts w:ascii="楷体" w:hAnsi="楷体" w:eastAsia="楷体" w:cs="楷体"/>
          <w:b/>
          <w:sz w:val="72"/>
          <w:szCs w:val="72"/>
          <w:highlight w:val="none"/>
        </w:rPr>
      </w:pPr>
    </w:p>
    <w:p>
      <w:pPr>
        <w:pStyle w:val="21"/>
        <w:ind w:left="2400"/>
        <w:rPr>
          <w:highlight w:val="none"/>
        </w:rPr>
      </w:pPr>
    </w:p>
    <w:p>
      <w:pPr>
        <w:jc w:val="center"/>
        <w:rPr>
          <w:rFonts w:ascii="楷体" w:hAnsi="楷体" w:eastAsia="楷体" w:cs="楷体"/>
          <w:b/>
          <w:kern w:val="2"/>
          <w:sz w:val="72"/>
          <w:szCs w:val="72"/>
          <w:highlight w:val="none"/>
        </w:rPr>
      </w:pPr>
      <w:r>
        <w:rPr>
          <w:rFonts w:hint="eastAsia" w:ascii="楷体" w:hAnsi="楷体" w:eastAsia="楷体" w:cs="楷体"/>
          <w:b/>
          <w:kern w:val="2"/>
          <w:sz w:val="72"/>
          <w:szCs w:val="72"/>
          <w:highlight w:val="none"/>
        </w:rPr>
        <w:t>投标文件</w:t>
      </w:r>
    </w:p>
    <w:p>
      <w:pPr>
        <w:pStyle w:val="21"/>
        <w:ind w:left="2400"/>
        <w:rPr>
          <w:rFonts w:ascii="楷体" w:hAnsi="楷体" w:eastAsia="楷体" w:cs="楷体"/>
          <w:b/>
          <w:sz w:val="36"/>
          <w:szCs w:val="36"/>
          <w:highlight w:val="none"/>
        </w:rPr>
      </w:pPr>
    </w:p>
    <w:p>
      <w:pPr>
        <w:rPr>
          <w:rFonts w:ascii="楷体" w:hAnsi="楷体" w:eastAsia="楷体" w:cs="楷体"/>
          <w:b/>
          <w:sz w:val="36"/>
          <w:szCs w:val="36"/>
          <w:highlight w:val="none"/>
        </w:rPr>
      </w:pPr>
    </w:p>
    <w:p>
      <w:pPr>
        <w:pStyle w:val="11"/>
        <w:rPr>
          <w:rFonts w:ascii="楷体" w:hAnsi="楷体" w:eastAsia="楷体" w:cs="楷体"/>
          <w:b/>
          <w:sz w:val="36"/>
          <w:szCs w:val="36"/>
          <w:highlight w:val="none"/>
        </w:rPr>
      </w:pPr>
    </w:p>
    <w:p>
      <w:pPr>
        <w:rPr>
          <w:rFonts w:ascii="楷体" w:hAnsi="楷体" w:eastAsia="楷体" w:cs="楷体"/>
          <w:b/>
          <w:sz w:val="36"/>
          <w:szCs w:val="36"/>
          <w:highlight w:val="none"/>
        </w:rPr>
      </w:pPr>
    </w:p>
    <w:p>
      <w:pPr>
        <w:pStyle w:val="11"/>
      </w:pPr>
    </w:p>
    <w:p>
      <w:pPr>
        <w:pStyle w:val="25"/>
        <w:ind w:firstLine="180"/>
        <w:rPr>
          <w:highlight w:val="none"/>
        </w:rPr>
      </w:pPr>
    </w:p>
    <w:p>
      <w:pPr>
        <w:tabs>
          <w:tab w:val="center" w:pos="5346"/>
        </w:tabs>
        <w:spacing w:line="480" w:lineRule="auto"/>
        <w:ind w:left="1603" w:leftChars="534" w:hanging="321" w:hangingChars="100"/>
        <w:rPr>
          <w:rFonts w:ascii="楷体" w:hAnsi="楷体" w:eastAsia="楷体" w:cs="楷体"/>
          <w:b/>
          <w:sz w:val="32"/>
          <w:szCs w:val="32"/>
          <w:highlight w:val="none"/>
        </w:rPr>
      </w:pPr>
      <w:r>
        <w:rPr>
          <w:rFonts w:hint="eastAsia" w:ascii="楷体" w:hAnsi="楷体" w:eastAsia="楷体" w:cs="楷体"/>
          <w:b/>
          <w:sz w:val="32"/>
          <w:szCs w:val="32"/>
          <w:highlight w:val="none"/>
        </w:rPr>
        <w:t>投标人名称（公章）：</w:t>
      </w:r>
    </w:p>
    <w:p>
      <w:pPr>
        <w:tabs>
          <w:tab w:val="center" w:pos="5346"/>
        </w:tabs>
        <w:spacing w:line="480" w:lineRule="auto"/>
        <w:ind w:left="1603" w:leftChars="534" w:hanging="321" w:hangingChars="100"/>
        <w:rPr>
          <w:rFonts w:ascii="楷体" w:hAnsi="楷体" w:eastAsia="楷体" w:cs="楷体"/>
          <w:b/>
          <w:sz w:val="32"/>
          <w:szCs w:val="32"/>
          <w:highlight w:val="none"/>
        </w:rPr>
      </w:pPr>
      <w:r>
        <w:rPr>
          <w:rFonts w:hint="eastAsia" w:ascii="楷体" w:hAnsi="楷体" w:eastAsia="楷体" w:cs="楷体"/>
          <w:b/>
          <w:sz w:val="32"/>
          <w:szCs w:val="32"/>
          <w:highlight w:val="none"/>
        </w:rPr>
        <w:t>法定代表人/被授权人（签字或盖章）：</w:t>
      </w:r>
    </w:p>
    <w:p>
      <w:pPr>
        <w:tabs>
          <w:tab w:val="center" w:pos="5346"/>
        </w:tabs>
        <w:spacing w:line="480" w:lineRule="auto"/>
        <w:ind w:left="1603" w:leftChars="534" w:hanging="321" w:hangingChars="100"/>
        <w:rPr>
          <w:rFonts w:ascii="楷体" w:hAnsi="楷体" w:eastAsia="楷体" w:cs="楷体"/>
          <w:b/>
          <w:sz w:val="32"/>
          <w:szCs w:val="32"/>
          <w:highlight w:val="none"/>
        </w:rPr>
      </w:pPr>
      <w:r>
        <w:rPr>
          <w:rFonts w:hint="eastAsia" w:ascii="楷体" w:hAnsi="楷体" w:eastAsia="楷体" w:cs="楷体"/>
          <w:b/>
          <w:sz w:val="32"/>
          <w:szCs w:val="32"/>
          <w:highlight w:val="none"/>
        </w:rPr>
        <w:t>时间：</w:t>
      </w:r>
      <w:r>
        <w:rPr>
          <w:rFonts w:hint="eastAsia" w:ascii="楷体" w:hAnsi="楷体" w:eastAsia="楷体" w:cs="楷体"/>
          <w:b/>
          <w:sz w:val="32"/>
          <w:szCs w:val="32"/>
          <w:highlight w:val="none"/>
          <w:u w:val="single"/>
        </w:rPr>
        <w:t>2023</w:t>
      </w:r>
      <w:r>
        <w:rPr>
          <w:rFonts w:hint="eastAsia" w:ascii="楷体" w:hAnsi="楷体" w:eastAsia="楷体" w:cs="楷体"/>
          <w:b/>
          <w:sz w:val="32"/>
          <w:szCs w:val="32"/>
          <w:highlight w:val="none"/>
        </w:rPr>
        <w:t>年</w:t>
      </w:r>
      <w:r>
        <w:rPr>
          <w:rFonts w:hint="eastAsia" w:ascii="楷体" w:hAnsi="楷体" w:eastAsia="楷体" w:cs="楷体"/>
          <w:b/>
          <w:sz w:val="32"/>
          <w:szCs w:val="32"/>
          <w:highlight w:val="none"/>
          <w:u w:val="single"/>
        </w:rPr>
        <w:t xml:space="preserve">   </w:t>
      </w:r>
      <w:r>
        <w:rPr>
          <w:rFonts w:hint="eastAsia" w:ascii="楷体" w:hAnsi="楷体" w:eastAsia="楷体" w:cs="楷体"/>
          <w:b/>
          <w:sz w:val="32"/>
          <w:szCs w:val="32"/>
          <w:highlight w:val="none"/>
        </w:rPr>
        <w:t>月</w:t>
      </w:r>
      <w:r>
        <w:rPr>
          <w:rFonts w:hint="eastAsia" w:ascii="楷体" w:hAnsi="楷体" w:eastAsia="楷体" w:cs="楷体"/>
          <w:b/>
          <w:sz w:val="32"/>
          <w:szCs w:val="32"/>
          <w:highlight w:val="none"/>
          <w:u w:val="single"/>
        </w:rPr>
        <w:t xml:space="preserve">   </w:t>
      </w:r>
      <w:r>
        <w:rPr>
          <w:rFonts w:hint="eastAsia" w:ascii="楷体" w:hAnsi="楷体" w:eastAsia="楷体" w:cs="楷体"/>
          <w:b/>
          <w:sz w:val="32"/>
          <w:szCs w:val="32"/>
          <w:highlight w:val="none"/>
        </w:rPr>
        <w:t>日</w:t>
      </w:r>
    </w:p>
    <w:p>
      <w:pPr>
        <w:jc w:val="center"/>
        <w:rPr>
          <w:rFonts w:ascii="楷体" w:hAnsi="楷体" w:eastAsia="楷体" w:cs="楷体"/>
          <w:b/>
          <w:sz w:val="44"/>
          <w:highlight w:val="none"/>
        </w:rPr>
      </w:pPr>
      <w:r>
        <w:rPr>
          <w:rFonts w:hint="eastAsia" w:ascii="楷体" w:hAnsi="楷体" w:eastAsia="楷体" w:cs="楷体"/>
          <w:bCs/>
          <w:sz w:val="44"/>
          <w:highlight w:val="none"/>
        </w:rPr>
        <w:br w:type="page"/>
      </w:r>
      <w:bookmarkStart w:id="168" w:name="_Toc344572156"/>
      <w:r>
        <w:rPr>
          <w:rFonts w:hint="eastAsia" w:ascii="楷体" w:hAnsi="楷体" w:eastAsia="楷体" w:cs="楷体"/>
          <w:b/>
          <w:sz w:val="44"/>
          <w:highlight w:val="none"/>
        </w:rPr>
        <w:t>目  录</w:t>
      </w:r>
    </w:p>
    <w:p>
      <w:pPr>
        <w:jc w:val="center"/>
        <w:rPr>
          <w:rFonts w:ascii="楷体" w:hAnsi="楷体" w:eastAsia="楷体" w:cs="楷体"/>
          <w:b/>
          <w:sz w:val="44"/>
          <w:highlight w:val="none"/>
        </w:rPr>
      </w:pPr>
    </w:p>
    <w:p>
      <w:pPr>
        <w:pStyle w:val="7"/>
        <w:ind w:firstLine="0" w:firstLineChars="0"/>
        <w:jc w:val="center"/>
        <w:rPr>
          <w:rFonts w:ascii="楷体" w:hAnsi="楷体" w:eastAsia="楷体" w:cs="楷体"/>
          <w:sz w:val="28"/>
          <w:szCs w:val="28"/>
          <w:highlight w:val="none"/>
        </w:rPr>
      </w:pPr>
      <w:r>
        <w:rPr>
          <w:rFonts w:hint="eastAsia" w:ascii="楷体" w:hAnsi="楷体" w:eastAsia="楷体" w:cs="楷体"/>
          <w:sz w:val="28"/>
          <w:szCs w:val="28"/>
          <w:highlight w:val="none"/>
        </w:rPr>
        <w:t>（格式自拟）</w:t>
      </w: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p>
      <w:pPr>
        <w:pStyle w:val="7"/>
        <w:rPr>
          <w:rFonts w:ascii="楷体" w:hAnsi="楷体" w:eastAsia="楷体" w:cs="楷体"/>
          <w:highlight w:val="none"/>
        </w:rPr>
      </w:pPr>
    </w:p>
    <w:bookmarkEnd w:id="168"/>
    <w:p>
      <w:pPr>
        <w:pStyle w:val="5"/>
        <w:spacing w:before="0" w:beforeLines="0" w:line="360" w:lineRule="auto"/>
        <w:rPr>
          <w:rFonts w:ascii="楷体" w:hAnsi="楷体" w:eastAsia="楷体" w:cs="楷体"/>
          <w:sz w:val="32"/>
          <w:szCs w:val="32"/>
          <w:highlight w:val="none"/>
        </w:rPr>
      </w:pPr>
      <w:bookmarkStart w:id="169" w:name="_Toc204524343"/>
      <w:r>
        <w:rPr>
          <w:rFonts w:hint="eastAsia" w:ascii="楷体" w:hAnsi="楷体" w:eastAsia="楷体" w:cs="楷体"/>
          <w:sz w:val="32"/>
          <w:szCs w:val="32"/>
          <w:highlight w:val="none"/>
        </w:rPr>
        <w:br w:type="page"/>
      </w:r>
      <w:bookmarkStart w:id="170" w:name="_Toc3881"/>
      <w:bookmarkStart w:id="171" w:name="_Toc12329"/>
      <w:bookmarkStart w:id="172" w:name="_Toc5831"/>
      <w:bookmarkStart w:id="173" w:name="_Toc9887"/>
      <w:bookmarkStart w:id="174" w:name="_Toc15715"/>
      <w:r>
        <w:rPr>
          <w:rFonts w:hint="eastAsia" w:ascii="楷体" w:hAnsi="楷体" w:eastAsia="楷体" w:cs="楷体"/>
          <w:sz w:val="32"/>
          <w:szCs w:val="32"/>
          <w:highlight w:val="none"/>
        </w:rPr>
        <w:t>一、投标函</w:t>
      </w:r>
      <w:bookmarkEnd w:id="170"/>
      <w:bookmarkEnd w:id="171"/>
      <w:bookmarkEnd w:id="172"/>
      <w:bookmarkEnd w:id="173"/>
      <w:bookmarkEnd w:id="174"/>
    </w:p>
    <w:p>
      <w:pPr>
        <w:spacing w:line="360" w:lineRule="auto"/>
        <w:jc w:val="left"/>
        <w:rPr>
          <w:rFonts w:hint="eastAsia" w:ascii="楷体" w:hAnsi="楷体" w:eastAsia="楷体" w:cs="楷体"/>
          <w:b/>
          <w:highlight w:val="none"/>
          <w:lang w:eastAsia="zh-CN"/>
        </w:rPr>
      </w:pPr>
      <w:bookmarkStart w:id="175" w:name="_Toc363474028"/>
      <w:bookmarkStart w:id="176" w:name="_Toc403077649"/>
      <w:r>
        <w:rPr>
          <w:rFonts w:hint="eastAsia" w:ascii="楷体" w:hAnsi="楷体" w:eastAsia="楷体" w:cs="楷体"/>
          <w:b/>
          <w:highlight w:val="none"/>
        </w:rPr>
        <w:t>致：</w:t>
      </w:r>
      <w:r>
        <w:rPr>
          <w:rFonts w:hint="eastAsia" w:ascii="楷体" w:hAnsi="楷体" w:eastAsia="楷体" w:cs="楷体"/>
          <w:b/>
          <w:spacing w:val="4"/>
          <w:szCs w:val="24"/>
          <w:lang w:eastAsia="zh-CN"/>
        </w:rPr>
        <w:t>西安市未央区教育局</w:t>
      </w:r>
      <w:r>
        <w:rPr>
          <w:rFonts w:hint="eastAsia" w:ascii="楷体" w:hAnsi="楷体" w:eastAsia="楷体" w:cs="楷体"/>
          <w:b/>
          <w:spacing w:val="4"/>
          <w:szCs w:val="24"/>
          <w:highlight w:val="none"/>
        </w:rPr>
        <w:t>/</w:t>
      </w:r>
      <w:r>
        <w:rPr>
          <w:rFonts w:hint="eastAsia" w:ascii="楷体" w:hAnsi="楷体" w:eastAsia="楷体" w:cs="楷体"/>
          <w:b/>
          <w:highlight w:val="none"/>
          <w:lang w:eastAsia="zh-CN"/>
        </w:rPr>
        <w:t>陕西正翼项目管理咨询有限公司</w:t>
      </w:r>
    </w:p>
    <w:p>
      <w:pPr>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根据贵方项目名称</w:t>
      </w:r>
      <w:r>
        <w:rPr>
          <w:rFonts w:hint="eastAsia" w:ascii="楷体" w:hAnsi="楷体" w:eastAsia="楷体" w:cs="楷体"/>
          <w:spacing w:val="4"/>
          <w:szCs w:val="24"/>
          <w:highlight w:val="none"/>
          <w:lang w:eastAsia="zh-CN"/>
        </w:rPr>
        <w:t>、包号</w:t>
      </w:r>
      <w:r>
        <w:rPr>
          <w:rFonts w:hint="eastAsia" w:ascii="楷体" w:hAnsi="楷体" w:eastAsia="楷体" w:cs="楷体"/>
          <w:spacing w:val="4"/>
          <w:szCs w:val="24"/>
          <w:highlight w:val="none"/>
        </w:rPr>
        <w:t>：</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(项目编号：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）的招标文件，签字代表</w:t>
      </w:r>
      <w:r>
        <w:rPr>
          <w:rFonts w:hint="eastAsia" w:ascii="楷体" w:hAnsi="楷体" w:eastAsia="楷体" w:cs="楷体"/>
          <w:spacing w:val="4"/>
          <w:szCs w:val="24"/>
          <w:highlight w:val="none"/>
          <w:u w:val="single"/>
        </w:rPr>
        <w:t>（全名、职务</w:t>
      </w:r>
      <w:r>
        <w:rPr>
          <w:rFonts w:hint="eastAsia" w:ascii="楷体" w:hAnsi="楷体" w:eastAsia="楷体" w:cs="楷体"/>
          <w:spacing w:val="4"/>
          <w:szCs w:val="24"/>
          <w:highlight w:val="none"/>
        </w:rPr>
        <w:t>）经正式授权并代表投标人</w:t>
      </w:r>
      <w:r>
        <w:rPr>
          <w:rFonts w:hint="eastAsia" w:ascii="楷体" w:hAnsi="楷体" w:eastAsia="楷体" w:cs="楷体"/>
          <w:spacing w:val="4"/>
          <w:szCs w:val="24"/>
          <w:highlight w:val="none"/>
          <w:u w:val="single"/>
        </w:rPr>
        <w:t xml:space="preserve">  (投标人名称)</w:t>
      </w:r>
      <w:r>
        <w:rPr>
          <w:rFonts w:hint="eastAsia" w:ascii="楷体" w:hAnsi="楷体" w:eastAsia="楷体" w:cs="楷体"/>
          <w:spacing w:val="4"/>
          <w:szCs w:val="24"/>
          <w:highlight w:val="none"/>
        </w:rPr>
        <w:t>提交投标文件。</w:t>
      </w:r>
    </w:p>
    <w:p>
      <w:pPr>
        <w:spacing w:line="360" w:lineRule="auto"/>
        <w:jc w:val="left"/>
        <w:rPr>
          <w:rFonts w:ascii="楷体" w:hAnsi="楷体" w:eastAsia="楷体" w:cs="楷体"/>
          <w:spacing w:val="4"/>
          <w:szCs w:val="24"/>
          <w:highlight w:val="none"/>
        </w:rPr>
      </w:pPr>
      <w:r>
        <w:rPr>
          <w:rFonts w:hint="eastAsia" w:ascii="楷体" w:hAnsi="楷体" w:eastAsia="楷体" w:cs="楷体"/>
          <w:spacing w:val="4"/>
          <w:szCs w:val="24"/>
          <w:highlight w:val="none"/>
        </w:rPr>
        <w:t>我方承诺如下：</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楷体" w:hAnsi="楷体" w:eastAsia="楷体" w:cs="楷体"/>
          <w:spacing w:val="4"/>
          <w:szCs w:val="24"/>
          <w:highlight w:val="none"/>
        </w:rPr>
      </w:pPr>
      <w:r>
        <w:rPr>
          <w:rFonts w:hint="eastAsia" w:ascii="楷体" w:hAnsi="楷体" w:eastAsia="楷体" w:cs="楷体"/>
          <w:spacing w:val="4"/>
          <w:szCs w:val="24"/>
          <w:highlight w:val="none"/>
          <w:lang w:val="en-US" w:eastAsia="zh-CN"/>
        </w:rPr>
        <w:t>1.</w:t>
      </w:r>
      <w:r>
        <w:rPr>
          <w:rFonts w:hint="eastAsia" w:ascii="楷体" w:hAnsi="楷体" w:eastAsia="楷体" w:cs="楷体"/>
          <w:spacing w:val="4"/>
          <w:szCs w:val="24"/>
          <w:highlight w:val="none"/>
        </w:rPr>
        <w:t>投标报价为：</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00" w:lineRule="exact"/>
        <w:jc w:val="left"/>
        <w:textAlignment w:val="auto"/>
        <w:outlineLvl w:val="9"/>
        <w:rPr>
          <w:rFonts w:hint="eastAsia" w:ascii="楷体" w:hAnsi="楷体" w:eastAsia="楷体" w:cs="楷体"/>
          <w:spacing w:val="4"/>
          <w:highlight w:val="none"/>
          <w:lang w:eastAsia="zh-CN"/>
        </w:rPr>
      </w:pPr>
      <w:r>
        <w:rPr>
          <w:rFonts w:hint="eastAsia" w:ascii="楷体" w:hAnsi="楷体" w:eastAsia="楷体" w:cs="楷体"/>
          <w:spacing w:val="4"/>
          <w:highlight w:val="none"/>
          <w:lang w:eastAsia="zh-CN"/>
        </w:rPr>
        <w:t>幼儿园学生</w:t>
      </w:r>
      <w:r>
        <w:rPr>
          <w:rFonts w:hint="eastAsia" w:ascii="楷体" w:hAnsi="楷体" w:eastAsia="楷体" w:cs="楷体"/>
          <w:spacing w:val="4"/>
          <w:highlight w:val="none"/>
        </w:rPr>
        <w:t>每学期每人报价（元/人/学期）为</w:t>
      </w:r>
      <w:r>
        <w:rPr>
          <w:rFonts w:hint="eastAsia" w:ascii="楷体" w:hAnsi="楷体" w:eastAsia="楷体" w:cs="楷体"/>
          <w:spacing w:val="4"/>
          <w:highlight w:val="none"/>
          <w:lang w:eastAsia="zh-CN"/>
        </w:rPr>
        <w:t>小写：</w:t>
      </w: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大写：</w:t>
      </w:r>
      <w:r>
        <w:rPr>
          <w:rFonts w:hint="eastAsia" w:ascii="楷体" w:hAnsi="楷体" w:eastAsia="楷体" w:cs="楷体"/>
          <w:spacing w:val="4"/>
          <w:highlight w:val="none"/>
          <w:u w:val="single"/>
          <w:lang w:val="en-US" w:eastAsia="zh-CN"/>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00" w:lineRule="exact"/>
        <w:jc w:val="left"/>
        <w:textAlignment w:val="auto"/>
        <w:outlineLvl w:val="9"/>
        <w:rPr>
          <w:rFonts w:hint="eastAsia" w:ascii="楷体" w:hAnsi="楷体" w:eastAsia="楷体" w:cs="楷体"/>
          <w:spacing w:val="4"/>
          <w:highlight w:val="none"/>
          <w:lang w:eastAsia="zh-CN"/>
        </w:rPr>
      </w:pPr>
      <w:r>
        <w:rPr>
          <w:rFonts w:hint="eastAsia" w:ascii="楷体" w:hAnsi="楷体" w:eastAsia="楷体" w:cs="楷体"/>
          <w:spacing w:val="4"/>
          <w:highlight w:val="none"/>
        </w:rPr>
        <w:t>小学生每学期每人报价（元/人/学期）为</w:t>
      </w:r>
      <w:r>
        <w:rPr>
          <w:rFonts w:hint="eastAsia" w:ascii="楷体" w:hAnsi="楷体" w:eastAsia="楷体" w:cs="楷体"/>
          <w:spacing w:val="4"/>
          <w:highlight w:val="none"/>
          <w:lang w:eastAsia="zh-CN"/>
        </w:rPr>
        <w:t>小写：</w:t>
      </w:r>
      <w:r>
        <w:rPr>
          <w:rFonts w:hint="eastAsia" w:ascii="楷体" w:hAnsi="楷体" w:eastAsia="楷体" w:cs="楷体"/>
          <w:spacing w:val="4"/>
          <w:highlight w:val="none"/>
        </w:rPr>
        <w:t xml:space="preserve"> </w:t>
      </w: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大写：</w:t>
      </w:r>
      <w:r>
        <w:rPr>
          <w:rFonts w:hint="eastAsia" w:ascii="楷体" w:hAnsi="楷体" w:eastAsia="楷体" w:cs="楷体"/>
          <w:spacing w:val="4"/>
          <w:highlight w:val="none"/>
          <w:u w:val="single"/>
          <w:lang w:val="en-US" w:eastAsia="zh-CN"/>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00" w:lineRule="exact"/>
        <w:jc w:val="left"/>
        <w:textAlignment w:val="auto"/>
        <w:outlineLvl w:val="9"/>
        <w:rPr>
          <w:rFonts w:hint="eastAsia" w:ascii="楷体" w:hAnsi="楷体" w:eastAsia="楷体" w:cs="楷体"/>
          <w:spacing w:val="4"/>
          <w:highlight w:val="none"/>
        </w:rPr>
      </w:pPr>
      <w:r>
        <w:rPr>
          <w:rFonts w:hint="eastAsia" w:ascii="楷体" w:hAnsi="楷体" w:eastAsia="楷体" w:cs="楷体"/>
          <w:spacing w:val="4"/>
          <w:highlight w:val="none"/>
          <w:lang w:eastAsia="zh-CN"/>
        </w:rPr>
        <w:t>中学生每学期每人报价（元/人/学期）为小写：</w:t>
      </w:r>
      <w:r>
        <w:rPr>
          <w:rFonts w:hint="eastAsia" w:ascii="楷体" w:hAnsi="楷体" w:eastAsia="楷体" w:cs="楷体"/>
          <w:spacing w:val="4"/>
          <w:highlight w:val="none"/>
        </w:rPr>
        <w:t xml:space="preserve"> </w:t>
      </w: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大写：</w:t>
      </w:r>
      <w:r>
        <w:rPr>
          <w:rFonts w:hint="eastAsia" w:ascii="楷体" w:hAnsi="楷体" w:eastAsia="楷体" w:cs="楷体"/>
          <w:spacing w:val="4"/>
          <w:highlight w:val="none"/>
          <w:u w:val="single"/>
          <w:lang w:val="en-US" w:eastAsia="zh-CN"/>
        </w:rPr>
        <w:t xml:space="preserve">         </w:t>
      </w:r>
      <w:r>
        <w:rPr>
          <w:rFonts w:hint="eastAsia" w:ascii="楷体" w:hAnsi="楷体" w:eastAsia="楷体" w:cs="楷体"/>
          <w:spacing w:val="4"/>
          <w:highlight w:val="none"/>
        </w:rPr>
        <w:t>）</w:t>
      </w:r>
      <w:r>
        <w:rPr>
          <w:rFonts w:hint="eastAsia" w:ascii="楷体" w:hAnsi="楷体" w:eastAsia="楷体" w:cs="楷体"/>
          <w:spacing w:val="4"/>
          <w:highlight w:val="none"/>
          <w:lang w:eastAsia="zh-CN"/>
        </w:rPr>
        <w:t>；18.9升（5加仑）：</w:t>
      </w: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lang w:eastAsia="zh-CN"/>
        </w:rPr>
        <w:t>元/桶，11.3升（3加仑）</w:t>
      </w:r>
      <w:r>
        <w:rPr>
          <w:rFonts w:hint="eastAsia" w:ascii="楷体" w:hAnsi="楷体" w:eastAsia="楷体" w:cs="楷体"/>
          <w:spacing w:val="4"/>
          <w:highlight w:val="none"/>
        </w:rPr>
        <w:t xml:space="preserve"> </w:t>
      </w: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lang w:eastAsia="zh-CN"/>
        </w:rPr>
        <w:t>元/桶。</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2.如果中标，我们根据招标文件的规定，履行合同的责任和义务并将投标文件有效期延长至合同履行完毕。</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3.我们已详细阅读和审核全部招标文件（含修改部分）及有关附件，我们知道必须放弃提出含糊不清或误解的问题的权利。</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4.我们同意在投标有效期内（自递交投标文件截止之日起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天内），本投标函对我方具有约束力。</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5.我方完全理解最低报价不是中标的唯一条件，并尊重评标委员会的评审结论和采购人的定标结果。</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6.我方愿意向贵方提供任何与本次招标有关的数据、情况、样品（如涉及）和技术资料，若贵方需要，我方愿意提供我方做出的一切承诺的证明材料。</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7.我们同意按招标文件规定，遵守贵公司有关规定和收费标准。</w:t>
      </w:r>
    </w:p>
    <w:p>
      <w:pPr>
        <w:tabs>
          <w:tab w:val="left" w:pos="2160"/>
        </w:tabs>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8与本投标有关的一切正式往来通讯为：</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联系地址：</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邮政编码：</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电    话：</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传    真：</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投标人名称（公章）：</w:t>
      </w:r>
      <w:r>
        <w:rPr>
          <w:rFonts w:hint="eastAsia" w:ascii="楷体" w:hAnsi="楷体" w:eastAsia="楷体" w:cs="楷体"/>
          <w:spacing w:val="4"/>
          <w:szCs w:val="24"/>
          <w:highlight w:val="none"/>
          <w:u w:val="single"/>
        </w:rPr>
        <w:t xml:space="preserve">                    </w:t>
      </w:r>
    </w:p>
    <w:p>
      <w:pPr>
        <w:spacing w:line="360" w:lineRule="auto"/>
        <w:ind w:firstLine="410" w:firstLineChars="171"/>
        <w:jc w:val="left"/>
        <w:rPr>
          <w:rFonts w:ascii="楷体" w:hAnsi="楷体" w:eastAsia="楷体" w:cs="楷体"/>
          <w:spacing w:val="4"/>
          <w:szCs w:val="24"/>
          <w:highlight w:val="none"/>
          <w:u w:val="singl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r>
        <w:rPr>
          <w:rFonts w:hint="eastAsia" w:ascii="楷体" w:hAnsi="楷体" w:eastAsia="楷体" w:cs="楷体"/>
          <w:spacing w:val="4"/>
          <w:szCs w:val="24"/>
          <w:highlight w:val="none"/>
          <w:u w:val="single"/>
        </w:rPr>
        <w:t xml:space="preserve">              </w:t>
      </w:r>
    </w:p>
    <w:p>
      <w:pPr>
        <w:spacing w:line="360" w:lineRule="auto"/>
        <w:ind w:firstLine="424" w:firstLineChars="171"/>
        <w:jc w:val="left"/>
        <w:rPr>
          <w:rFonts w:ascii="楷体" w:hAnsi="楷体" w:eastAsia="楷体" w:cs="楷体"/>
          <w:spacing w:val="4"/>
          <w:szCs w:val="24"/>
          <w:highlight w:val="none"/>
          <w:u w:val="single"/>
        </w:rPr>
      </w:pPr>
      <w:r>
        <w:rPr>
          <w:rFonts w:hint="eastAsia" w:ascii="楷体" w:hAnsi="楷体" w:eastAsia="楷体" w:cs="楷体"/>
          <w:spacing w:val="4"/>
          <w:szCs w:val="24"/>
          <w:highlight w:val="none"/>
        </w:rPr>
        <w:t>日    期：</w:t>
      </w:r>
      <w:r>
        <w:rPr>
          <w:rFonts w:hint="eastAsia" w:ascii="楷体" w:hAnsi="楷体" w:eastAsia="楷体" w:cs="楷体"/>
          <w:spacing w:val="4"/>
          <w:szCs w:val="24"/>
          <w:highlight w:val="none"/>
          <w:u w:val="single"/>
        </w:rPr>
        <w:t xml:space="preserve">                 </w:t>
      </w:r>
    </w:p>
    <w:p>
      <w:pPr>
        <w:spacing w:line="360" w:lineRule="auto"/>
        <w:jc w:val="center"/>
        <w:rPr>
          <w:rFonts w:ascii="楷体" w:hAnsi="楷体" w:eastAsia="楷体" w:cs="楷体"/>
          <w:sz w:val="32"/>
          <w:szCs w:val="32"/>
          <w:highlight w:val="none"/>
        </w:rPr>
      </w:pPr>
      <w:r>
        <w:rPr>
          <w:rFonts w:hint="eastAsia" w:ascii="楷体" w:hAnsi="楷体" w:eastAsia="楷体" w:cs="楷体"/>
          <w:spacing w:val="4"/>
          <w:szCs w:val="24"/>
          <w:highlight w:val="none"/>
          <w:u w:val="single"/>
        </w:rPr>
        <w:br w:type="page"/>
      </w:r>
      <w:r>
        <w:rPr>
          <w:rFonts w:hint="eastAsia" w:ascii="楷体" w:hAnsi="楷体" w:eastAsia="楷体" w:cs="楷体"/>
          <w:b/>
          <w:bCs/>
          <w:kern w:val="2"/>
          <w:sz w:val="32"/>
          <w:szCs w:val="32"/>
          <w:highlight w:val="none"/>
        </w:rPr>
        <w:t>二、法定代表人授权委托书</w:t>
      </w:r>
      <w:bookmarkEnd w:id="175"/>
      <w:bookmarkEnd w:id="176"/>
    </w:p>
    <w:p>
      <w:pPr>
        <w:spacing w:line="360" w:lineRule="auto"/>
        <w:jc w:val="center"/>
        <w:rPr>
          <w:rFonts w:ascii="楷体" w:hAnsi="楷体" w:eastAsia="楷体" w:cs="楷体"/>
          <w:b/>
          <w:bCs/>
          <w:sz w:val="30"/>
          <w:szCs w:val="30"/>
          <w:highlight w:val="none"/>
        </w:rPr>
      </w:pPr>
      <w:bookmarkStart w:id="177" w:name="_Toc283035117"/>
      <w:bookmarkStart w:id="178" w:name="_Toc283035600"/>
      <w:bookmarkStart w:id="179" w:name="_Toc4146"/>
      <w:bookmarkStart w:id="180" w:name="_Toc363474029"/>
      <w:bookmarkStart w:id="181" w:name="_Toc403077650"/>
      <w:bookmarkStart w:id="182" w:name="_Toc282530019"/>
      <w:bookmarkStart w:id="183" w:name="_Toc283035204"/>
      <w:bookmarkStart w:id="184" w:name="_Toc324414285"/>
      <w:bookmarkStart w:id="185" w:name="_Toc19169"/>
      <w:r>
        <w:rPr>
          <w:rFonts w:hint="eastAsia" w:ascii="楷体" w:hAnsi="楷体" w:eastAsia="楷体" w:cs="楷体"/>
          <w:b/>
          <w:bCs/>
          <w:sz w:val="30"/>
          <w:szCs w:val="30"/>
          <w:highlight w:val="none"/>
        </w:rPr>
        <w:t>2.1法定代表人身份证明书</w:t>
      </w:r>
    </w:p>
    <w:p>
      <w:pPr>
        <w:pStyle w:val="7"/>
        <w:rPr>
          <w:rFonts w:ascii="楷体" w:hAnsi="楷体" w:eastAsia="楷体" w:cs="楷体"/>
          <w:highlight w:val="none"/>
        </w:rPr>
      </w:pPr>
    </w:p>
    <w:p>
      <w:pPr>
        <w:autoSpaceDE w:val="0"/>
        <w:autoSpaceDN w:val="0"/>
        <w:adjustRightInd w:val="0"/>
        <w:spacing w:line="360" w:lineRule="auto"/>
        <w:jc w:val="left"/>
        <w:rPr>
          <w:rFonts w:ascii="楷体" w:hAnsi="楷体" w:eastAsia="楷体" w:cs="楷体"/>
          <w:szCs w:val="24"/>
          <w:highlight w:val="none"/>
          <w:lang w:val="zh-CN"/>
        </w:rPr>
      </w:pPr>
      <w:r>
        <w:rPr>
          <w:rFonts w:hint="eastAsia" w:ascii="楷体" w:hAnsi="楷体" w:eastAsia="楷体" w:cs="楷体"/>
          <w:szCs w:val="24"/>
          <w:highlight w:val="none"/>
          <w:lang w:val="zh-CN"/>
        </w:rPr>
        <w:t>陕西正翼项目管理咨询有限公司：</w:t>
      </w:r>
    </w:p>
    <w:p>
      <w:pPr>
        <w:autoSpaceDE w:val="0"/>
        <w:autoSpaceDN w:val="0"/>
        <w:adjustRightInd w:val="0"/>
        <w:spacing w:line="360" w:lineRule="auto"/>
        <w:ind w:firstLine="480" w:firstLineChars="200"/>
        <w:jc w:val="left"/>
        <w:rPr>
          <w:rFonts w:ascii="楷体" w:hAnsi="楷体" w:eastAsia="楷体" w:cs="楷体"/>
          <w:szCs w:val="24"/>
          <w:highlight w:val="none"/>
          <w:lang w:val="zh-CN"/>
        </w:rPr>
      </w:pPr>
      <w:r>
        <w:rPr>
          <w:rFonts w:hint="eastAsia" w:ascii="楷体" w:hAnsi="楷体" w:eastAsia="楷体" w:cs="楷体"/>
          <w:szCs w:val="24"/>
          <w:highlight w:val="none"/>
          <w:lang w:val="zh-CN"/>
        </w:rPr>
        <w:t>姓名：</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性别：</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年龄：</w:t>
      </w:r>
      <w:r>
        <w:rPr>
          <w:rFonts w:hint="eastAsia" w:ascii="楷体" w:hAnsi="楷体" w:eastAsia="楷体" w:cs="楷体"/>
          <w:szCs w:val="24"/>
          <w:highlight w:val="none"/>
          <w:u w:val="single"/>
          <w:lang w:val="zh-CN"/>
        </w:rPr>
        <w:t xml:space="preserve">      </w:t>
      </w:r>
      <w:r>
        <w:rPr>
          <w:rFonts w:hint="eastAsia" w:ascii="楷体" w:hAnsi="楷体" w:eastAsia="楷体" w:cs="楷体"/>
          <w:szCs w:val="24"/>
          <w:highlight w:val="none"/>
          <w:lang w:val="zh-CN"/>
        </w:rPr>
        <w:t>职务：</w:t>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rPr>
        <w:t>（</w:t>
      </w:r>
      <w:r>
        <w:rPr>
          <w:rFonts w:hint="eastAsia" w:ascii="楷体" w:hAnsi="楷体" w:eastAsia="楷体" w:cs="楷体"/>
          <w:szCs w:val="24"/>
          <w:highlight w:val="none"/>
          <w:lang w:val="zh-CN"/>
        </w:rPr>
        <w:t>投标人名称）的法定代表人（单位负责人）。</w:t>
      </w:r>
    </w:p>
    <w:p>
      <w:pPr>
        <w:autoSpaceDE w:val="0"/>
        <w:autoSpaceDN w:val="0"/>
        <w:adjustRightInd w:val="0"/>
        <w:spacing w:line="360" w:lineRule="auto"/>
        <w:ind w:firstLine="480" w:firstLineChars="200"/>
        <w:jc w:val="left"/>
        <w:rPr>
          <w:rFonts w:ascii="楷体" w:hAnsi="楷体" w:eastAsia="楷体" w:cs="楷体"/>
          <w:szCs w:val="24"/>
          <w:highlight w:val="none"/>
          <w:lang w:val="zh-CN"/>
        </w:rPr>
      </w:pPr>
      <w:r>
        <w:rPr>
          <w:rFonts w:hint="eastAsia" w:ascii="楷体" w:hAnsi="楷体" w:eastAsia="楷体" w:cs="楷体"/>
          <w:szCs w:val="24"/>
          <w:highlight w:val="none"/>
          <w:lang w:val="zh-CN"/>
        </w:rPr>
        <w:t>特此证明。</w:t>
      </w:r>
    </w:p>
    <w:p>
      <w:pPr>
        <w:autoSpaceDE w:val="0"/>
        <w:autoSpaceDN w:val="0"/>
        <w:adjustRightInd w:val="0"/>
        <w:spacing w:line="360" w:lineRule="auto"/>
        <w:jc w:val="left"/>
        <w:rPr>
          <w:rFonts w:ascii="楷体" w:hAnsi="楷体" w:eastAsia="楷体" w:cs="楷体"/>
          <w:szCs w:val="24"/>
          <w:highlight w:val="none"/>
          <w:lang w:val="zh-CN"/>
        </w:rPr>
      </w:pPr>
    </w:p>
    <w:p>
      <w:pPr>
        <w:autoSpaceDE w:val="0"/>
        <w:autoSpaceDN w:val="0"/>
        <w:adjustRightInd w:val="0"/>
        <w:spacing w:line="360" w:lineRule="auto"/>
        <w:jc w:val="left"/>
        <w:rPr>
          <w:rFonts w:ascii="楷体" w:hAnsi="楷体" w:eastAsia="楷体" w:cs="楷体"/>
          <w:szCs w:val="24"/>
          <w:highlight w:val="none"/>
          <w:lang w:val="zh-CN"/>
        </w:rPr>
      </w:pPr>
      <w:r>
        <w:rPr>
          <w:rFonts w:hint="eastAsia" w:ascii="楷体" w:hAnsi="楷体" w:eastAsia="楷体" w:cs="楷体"/>
          <w:szCs w:val="24"/>
          <w:highlight w:val="none"/>
          <w:lang w:val="zh-CN"/>
        </w:rPr>
        <w:t>附：法定代表人（单位负责人）身份证复印件。</w:t>
      </w:r>
    </w:p>
    <w:p>
      <w:pPr>
        <w:autoSpaceDE w:val="0"/>
        <w:autoSpaceDN w:val="0"/>
        <w:adjustRightInd w:val="0"/>
        <w:spacing w:line="360" w:lineRule="auto"/>
        <w:jc w:val="left"/>
        <w:rPr>
          <w:rFonts w:ascii="楷体" w:hAnsi="楷体" w:eastAsia="楷体" w:cs="楷体"/>
          <w:szCs w:val="24"/>
          <w:highlight w:val="none"/>
          <w:lang w:val="zh-CN"/>
        </w:rPr>
      </w:pPr>
    </w:p>
    <w:p>
      <w:pPr>
        <w:autoSpaceDE w:val="0"/>
        <w:autoSpaceDN w:val="0"/>
        <w:adjustRightInd w:val="0"/>
        <w:spacing w:line="360" w:lineRule="auto"/>
        <w:jc w:val="left"/>
        <w:rPr>
          <w:rFonts w:ascii="楷体" w:hAnsi="楷体" w:eastAsia="楷体" w:cs="楷体"/>
          <w:szCs w:val="24"/>
          <w:highlight w:val="none"/>
          <w:lang w:val="zh-CN"/>
        </w:rPr>
      </w:pPr>
      <w:r>
        <w:rPr>
          <w:rFonts w:hint="eastAsia" w:ascii="楷体" w:hAnsi="楷体" w:eastAsia="楷体" w:cs="楷体"/>
          <w:szCs w:val="24"/>
          <w:highlight w:val="none"/>
          <w:lang w:val="zh-CN"/>
        </w:rPr>
        <w:t>注：自然人投标的此处只附身份证复印件。</w:t>
      </w:r>
    </w:p>
    <w:p>
      <w:pPr>
        <w:spacing w:line="360" w:lineRule="auto"/>
        <w:jc w:val="center"/>
        <w:rPr>
          <w:rFonts w:ascii="楷体" w:hAnsi="楷体" w:eastAsia="楷体" w:cs="楷体"/>
          <w:highlight w:val="none"/>
        </w:rPr>
      </w:pPr>
    </w:p>
    <w:p>
      <w:pPr>
        <w:spacing w:line="360" w:lineRule="auto"/>
        <w:jc w:val="center"/>
        <w:rPr>
          <w:rFonts w:ascii="楷体" w:hAnsi="楷体" w:eastAsia="楷体" w:cs="楷体"/>
          <w:highlight w:val="none"/>
        </w:rPr>
      </w:pPr>
    </w:p>
    <w:p>
      <w:pPr>
        <w:spacing w:line="360" w:lineRule="auto"/>
        <w:jc w:val="center"/>
        <w:rPr>
          <w:rFonts w:ascii="楷体" w:hAnsi="楷体" w:eastAsia="楷体" w:cs="楷体"/>
          <w:highlight w:val="none"/>
        </w:rPr>
      </w:pPr>
    </w:p>
    <w:p>
      <w:pPr>
        <w:spacing w:line="360" w:lineRule="auto"/>
        <w:rPr>
          <w:rFonts w:ascii="楷体" w:hAnsi="楷体" w:eastAsia="楷体" w:cs="楷体"/>
          <w:spacing w:val="4"/>
          <w:szCs w:val="24"/>
          <w:highlight w:val="none"/>
        </w:rPr>
      </w:pPr>
    </w:p>
    <w:p>
      <w:pPr>
        <w:spacing w:line="360" w:lineRule="auto"/>
        <w:rPr>
          <w:rFonts w:ascii="楷体" w:hAnsi="楷体" w:eastAsia="楷体" w:cs="楷体"/>
          <w:spacing w:val="4"/>
          <w:szCs w:val="24"/>
          <w:highlight w:val="none"/>
        </w:rPr>
      </w:pPr>
      <w:r>
        <w:rPr>
          <w:rFonts w:hint="eastAsia" w:ascii="楷体" w:hAnsi="楷体" w:eastAsia="楷体" w:cs="楷体"/>
          <w:spacing w:val="4"/>
          <w:szCs w:val="24"/>
          <w:highlight w:val="none"/>
        </w:rPr>
        <w:t xml:space="preserve">投标人名称（公章）:             </w:t>
      </w:r>
    </w:p>
    <w:p>
      <w:pPr>
        <w:spacing w:line="360" w:lineRule="auto"/>
        <w:rPr>
          <w:rFonts w:ascii="楷体" w:hAnsi="楷体" w:eastAsia="楷体" w:cs="楷体"/>
          <w:spacing w:val="4"/>
          <w:szCs w:val="24"/>
          <w:highlight w:val="none"/>
        </w:rPr>
      </w:pPr>
      <w:r>
        <w:rPr>
          <w:rFonts w:hint="eastAsia" w:ascii="楷体" w:hAnsi="楷体" w:eastAsia="楷体" w:cs="楷体"/>
          <w:spacing w:val="4"/>
          <w:szCs w:val="24"/>
          <w:highlight w:val="none"/>
        </w:rPr>
        <w:t xml:space="preserve">日期：                         </w:t>
      </w:r>
    </w:p>
    <w:p>
      <w:pPr>
        <w:spacing w:line="360" w:lineRule="auto"/>
        <w:jc w:val="center"/>
        <w:rPr>
          <w:rFonts w:ascii="楷体" w:hAnsi="楷体" w:eastAsia="楷体" w:cs="楷体"/>
          <w:b/>
          <w:spacing w:val="4"/>
          <w:sz w:val="30"/>
          <w:szCs w:val="30"/>
          <w:highlight w:val="none"/>
        </w:rPr>
      </w:pPr>
      <w:r>
        <w:rPr>
          <w:rFonts w:hint="eastAsia" w:ascii="楷体" w:hAnsi="楷体" w:eastAsia="楷体" w:cs="楷体"/>
          <w:highlight w:val="none"/>
        </w:rPr>
        <w:br w:type="page"/>
      </w:r>
      <w:r>
        <w:rPr>
          <w:rFonts w:hint="eastAsia" w:ascii="楷体" w:hAnsi="楷体" w:eastAsia="楷体" w:cs="楷体"/>
          <w:b/>
          <w:spacing w:val="4"/>
          <w:sz w:val="30"/>
          <w:szCs w:val="30"/>
          <w:highlight w:val="none"/>
        </w:rPr>
        <w:t>2.2授权委托书</w:t>
      </w:r>
    </w:p>
    <w:p>
      <w:pPr>
        <w:spacing w:line="360" w:lineRule="auto"/>
        <w:jc w:val="left"/>
        <w:rPr>
          <w:rFonts w:hint="eastAsia" w:ascii="楷体" w:hAnsi="楷体" w:eastAsia="楷体" w:cs="楷体"/>
          <w:b/>
          <w:highlight w:val="none"/>
          <w:lang w:eastAsia="zh-CN"/>
        </w:rPr>
      </w:pPr>
      <w:r>
        <w:rPr>
          <w:rFonts w:hint="eastAsia" w:ascii="楷体" w:hAnsi="楷体" w:eastAsia="楷体" w:cs="楷体"/>
          <w:b/>
          <w:spacing w:val="4"/>
          <w:szCs w:val="24"/>
          <w:highlight w:val="none"/>
        </w:rPr>
        <w:t>致：</w:t>
      </w:r>
      <w:r>
        <w:rPr>
          <w:rFonts w:hint="eastAsia" w:ascii="楷体" w:hAnsi="楷体" w:eastAsia="楷体" w:cs="楷体"/>
          <w:b/>
          <w:highlight w:val="none"/>
          <w:lang w:eastAsia="zh-CN"/>
        </w:rPr>
        <w:t>陕西正翼项目管理咨询有限公司</w:t>
      </w:r>
    </w:p>
    <w:p>
      <w:pPr>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u w:val="single"/>
        </w:rPr>
        <w:t xml:space="preserve">    (投标人名称)    </w:t>
      </w:r>
      <w:r>
        <w:rPr>
          <w:rFonts w:hint="eastAsia" w:ascii="楷体" w:hAnsi="楷体" w:eastAsia="楷体" w:cs="楷体"/>
          <w:spacing w:val="4"/>
          <w:szCs w:val="24"/>
          <w:highlight w:val="none"/>
        </w:rPr>
        <w:t>按中华人民共和国法律于</w:t>
      </w:r>
      <w:r>
        <w:rPr>
          <w:rFonts w:hint="eastAsia" w:ascii="楷体" w:hAnsi="楷体" w:eastAsia="楷体" w:cs="楷体"/>
          <w:spacing w:val="4"/>
          <w:szCs w:val="24"/>
          <w:highlight w:val="none"/>
          <w:u w:val="single"/>
        </w:rPr>
        <w:t>（  年  月  日 ）</w:t>
      </w:r>
      <w:r>
        <w:rPr>
          <w:rFonts w:hint="eastAsia" w:ascii="楷体" w:hAnsi="楷体" w:eastAsia="楷体" w:cs="楷体"/>
          <w:spacing w:val="4"/>
          <w:szCs w:val="24"/>
          <w:highlight w:val="none"/>
        </w:rPr>
        <w:t xml:space="preserve">成立。  </w:t>
      </w:r>
      <w:r>
        <w:rPr>
          <w:rFonts w:hint="eastAsia" w:ascii="楷体" w:hAnsi="楷体" w:eastAsia="楷体" w:cs="楷体"/>
          <w:spacing w:val="4"/>
          <w:szCs w:val="24"/>
          <w:highlight w:val="none"/>
          <w:u w:val="single"/>
        </w:rPr>
        <w:t xml:space="preserve">(法定代表人姓名)  </w:t>
      </w:r>
      <w:r>
        <w:rPr>
          <w:rFonts w:hint="eastAsia" w:ascii="楷体" w:hAnsi="楷体" w:eastAsia="楷体" w:cs="楷体"/>
          <w:spacing w:val="4"/>
          <w:szCs w:val="24"/>
          <w:highlight w:val="none"/>
        </w:rPr>
        <w:t>特授权</w:t>
      </w:r>
      <w:r>
        <w:rPr>
          <w:rFonts w:hint="eastAsia" w:ascii="楷体" w:hAnsi="楷体" w:eastAsia="楷体" w:cs="楷体"/>
          <w:spacing w:val="4"/>
          <w:szCs w:val="24"/>
          <w:highlight w:val="none"/>
          <w:u w:val="single"/>
        </w:rPr>
        <w:t xml:space="preserve"> （被授权人姓名）  </w:t>
      </w:r>
      <w:r>
        <w:rPr>
          <w:rFonts w:hint="eastAsia" w:ascii="楷体" w:hAnsi="楷体" w:eastAsia="楷体" w:cs="楷体"/>
          <w:spacing w:val="4"/>
          <w:szCs w:val="24"/>
          <w:highlight w:val="none"/>
        </w:rPr>
        <w:t>代表我公司全权办理针对本次</w:t>
      </w:r>
      <w:r>
        <w:rPr>
          <w:rFonts w:hint="eastAsia" w:ascii="楷体" w:hAnsi="楷体" w:eastAsia="楷体" w:cs="楷体"/>
          <w:spacing w:val="4"/>
          <w:szCs w:val="24"/>
          <w:highlight w:val="none"/>
          <w:u w:val="single"/>
        </w:rPr>
        <w:t xml:space="preserve">         (项目名称</w:t>
      </w:r>
      <w:r>
        <w:rPr>
          <w:rFonts w:hint="eastAsia" w:ascii="楷体" w:hAnsi="楷体" w:eastAsia="楷体" w:cs="楷体"/>
          <w:spacing w:val="4"/>
          <w:szCs w:val="24"/>
          <w:highlight w:val="none"/>
          <w:u w:val="single"/>
          <w:lang w:eastAsia="zh-CN"/>
        </w:rPr>
        <w:t>、包号</w:t>
      </w:r>
      <w:r>
        <w:rPr>
          <w:rFonts w:hint="eastAsia" w:ascii="楷体" w:hAnsi="楷体" w:eastAsia="楷体" w:cs="楷体"/>
          <w:spacing w:val="4"/>
          <w:szCs w:val="24"/>
          <w:highlight w:val="none"/>
          <w:u w:val="single"/>
        </w:rPr>
        <w:t>）</w:t>
      </w:r>
      <w:r>
        <w:rPr>
          <w:rFonts w:hint="eastAsia" w:ascii="楷体" w:hAnsi="楷体" w:eastAsia="楷体" w:cs="楷体"/>
          <w:spacing w:val="4"/>
          <w:szCs w:val="24"/>
          <w:highlight w:val="none"/>
        </w:rPr>
        <w:t>（项目编号：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）的投标、签约等具体工作，并签署全部有关的文件、协议及合同。</w:t>
      </w:r>
    </w:p>
    <w:p>
      <w:pPr>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我公司对被授权人的签名负全部责任。</w:t>
      </w:r>
    </w:p>
    <w:p>
      <w:pPr>
        <w:spacing w:line="360" w:lineRule="auto"/>
        <w:ind w:firstLine="480" w:firstLineChars="200"/>
        <w:jc w:val="left"/>
        <w:rPr>
          <w:rFonts w:ascii="楷体" w:hAnsi="楷体" w:eastAsia="楷体" w:cs="楷体"/>
          <w:szCs w:val="24"/>
          <w:highlight w:val="none"/>
        </w:rPr>
      </w:pPr>
      <w:r>
        <w:rPr>
          <w:rFonts w:hint="eastAsia" w:ascii="楷体" w:hAnsi="楷体" w:eastAsia="楷体" w:cs="楷体"/>
          <w:szCs w:val="24"/>
          <w:highlight w:val="none"/>
        </w:rPr>
        <w:t>委托期限：</w:t>
      </w:r>
      <w:r>
        <w:rPr>
          <w:rFonts w:hint="eastAsia" w:ascii="楷体" w:hAnsi="楷体" w:eastAsia="楷体" w:cs="楷体"/>
          <w:spacing w:val="4"/>
          <w:szCs w:val="24"/>
          <w:highlight w:val="none"/>
        </w:rPr>
        <w:t>自递交投标文件截止之日起</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天内</w:t>
      </w:r>
    </w:p>
    <w:p>
      <w:pPr>
        <w:spacing w:line="360" w:lineRule="auto"/>
        <w:ind w:firstLine="496" w:firstLineChars="200"/>
        <w:jc w:val="left"/>
        <w:rPr>
          <w:rFonts w:ascii="楷体" w:hAnsi="楷体" w:eastAsia="楷体" w:cs="楷体"/>
          <w:spacing w:val="4"/>
          <w:szCs w:val="24"/>
          <w:highlight w:val="none"/>
        </w:rPr>
      </w:pPr>
      <w:r>
        <w:rPr>
          <w:rFonts w:hint="eastAsia" w:ascii="楷体" w:hAnsi="楷体" w:eastAsia="楷体" w:cs="楷体"/>
          <w:spacing w:val="4"/>
          <w:szCs w:val="24"/>
          <w:highlight w:val="none"/>
        </w:rPr>
        <w:t>本授权书于</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年</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月</w:t>
      </w:r>
      <w:r>
        <w:rPr>
          <w:rFonts w:hint="eastAsia" w:ascii="楷体" w:hAnsi="楷体" w:eastAsia="楷体" w:cs="楷体"/>
          <w:spacing w:val="4"/>
          <w:szCs w:val="24"/>
          <w:highlight w:val="none"/>
          <w:u w:val="single"/>
        </w:rPr>
        <w:t xml:space="preserve">      </w:t>
      </w:r>
      <w:r>
        <w:rPr>
          <w:rFonts w:hint="eastAsia" w:ascii="楷体" w:hAnsi="楷体" w:eastAsia="楷体" w:cs="楷体"/>
          <w:szCs w:val="24"/>
          <w:highlight w:val="none"/>
        </w:rPr>
        <w:t>日签</w:t>
      </w:r>
      <w:r>
        <w:rPr>
          <w:rFonts w:hint="eastAsia" w:ascii="楷体" w:hAnsi="楷体" w:eastAsia="楷体" w:cs="楷体"/>
          <w:spacing w:val="4"/>
          <w:szCs w:val="24"/>
          <w:highlight w:val="none"/>
        </w:rPr>
        <w:t>字生效，特此证明。</w:t>
      </w:r>
    </w:p>
    <w:p>
      <w:pPr>
        <w:spacing w:line="360" w:lineRule="auto"/>
        <w:ind w:firstLine="496" w:firstLineChars="200"/>
        <w:jc w:val="left"/>
        <w:rPr>
          <w:rFonts w:ascii="楷体" w:hAnsi="楷体" w:eastAsia="楷体" w:cs="楷体"/>
          <w:spacing w:val="4"/>
          <w:szCs w:val="24"/>
          <w:highlight w:val="none"/>
        </w:rPr>
      </w:pPr>
    </w:p>
    <w:tbl>
      <w:tblPr>
        <w:tblStyle w:val="27"/>
        <w:tblW w:w="0" w:type="auto"/>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法定代表人（签字或盖章）：               </w:t>
            </w:r>
          </w:p>
        </w:tc>
        <w:tc>
          <w:tcPr>
            <w:tcW w:w="4200"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被授权人（签字）：              </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职务：                              </w:t>
            </w:r>
          </w:p>
        </w:tc>
        <w:tc>
          <w:tcPr>
            <w:tcW w:w="4200"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职务：                      </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身份证号：                          </w:t>
            </w:r>
          </w:p>
        </w:tc>
        <w:tc>
          <w:tcPr>
            <w:tcW w:w="4200"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身份证号：                  </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spacing w:val="4"/>
                <w:szCs w:val="24"/>
                <w:highlight w:val="none"/>
              </w:rPr>
            </w:pPr>
          </w:p>
        </w:tc>
        <w:tc>
          <w:tcPr>
            <w:tcW w:w="4200" w:type="dxa"/>
          </w:tcPr>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 xml:space="preserve">所在部门：                  </w:t>
            </w:r>
          </w:p>
          <w:p>
            <w:pPr>
              <w:spacing w:line="360" w:lineRule="auto"/>
              <w:ind w:firstLine="124" w:firstLineChars="50"/>
              <w:jc w:val="left"/>
              <w:rPr>
                <w:rFonts w:ascii="楷体" w:hAnsi="楷体" w:eastAsia="楷体" w:cs="楷体"/>
                <w:spacing w:val="4"/>
                <w:szCs w:val="24"/>
                <w:highlight w:val="none"/>
              </w:rPr>
            </w:pPr>
            <w:r>
              <w:rPr>
                <w:rFonts w:hint="eastAsia" w:ascii="楷体" w:hAnsi="楷体" w:eastAsia="楷体" w:cs="楷体"/>
                <w:spacing w:val="4"/>
                <w:szCs w:val="24"/>
                <w:highlight w:val="none"/>
              </w:rPr>
              <w:t>联系手机号码：</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highlight w:val="none"/>
              </w:rPr>
            </w:pPr>
          </w:p>
        </w:tc>
        <w:tc>
          <w:tcPr>
            <w:tcW w:w="4200" w:type="dxa"/>
          </w:tcPr>
          <w:p>
            <w:pPr>
              <w:spacing w:line="360" w:lineRule="auto"/>
              <w:jc w:val="left"/>
              <w:rPr>
                <w:rFonts w:ascii="楷体" w:hAnsi="楷体" w:eastAsia="楷体" w:cs="楷体"/>
                <w:spacing w:val="4"/>
                <w:szCs w:val="24"/>
                <w:highlight w:val="none"/>
              </w:rPr>
            </w:pPr>
          </w:p>
        </w:tc>
      </w:tr>
    </w:tbl>
    <w:p>
      <w:pPr>
        <w:spacing w:line="360" w:lineRule="auto"/>
        <w:rPr>
          <w:rFonts w:ascii="楷体" w:hAnsi="楷体" w:eastAsia="楷体" w:cs="楷体"/>
          <w:b/>
          <w:bCs/>
          <w:spacing w:val="4"/>
          <w:szCs w:val="24"/>
          <w:highlight w:val="none"/>
        </w:rPr>
      </w:pPr>
      <w:r>
        <w:rPr>
          <w:rFonts w:hint="eastAsia" w:ascii="楷体" w:hAnsi="楷体" w:eastAsia="楷体" w:cs="楷体"/>
          <w:b/>
          <w:bCs/>
          <w:spacing w:val="4"/>
          <w:szCs w:val="24"/>
          <w:highlight w:val="none"/>
        </w:rPr>
        <w:t>附：法定代表人、被授权人二代身份证双面复印件</w:t>
      </w:r>
    </w:p>
    <w:p>
      <w:pPr>
        <w:spacing w:line="360" w:lineRule="auto"/>
        <w:rPr>
          <w:rFonts w:ascii="楷体" w:hAnsi="楷体" w:eastAsia="楷体" w:cs="楷体"/>
          <w:b/>
          <w:bCs/>
          <w:spacing w:val="4"/>
          <w:szCs w:val="24"/>
          <w:highlight w:val="none"/>
        </w:rPr>
      </w:pPr>
      <w:r>
        <w:rPr>
          <w:rFonts w:hint="eastAsia" w:ascii="楷体" w:hAnsi="楷体" w:eastAsia="楷体" w:cs="楷体"/>
          <w:b/>
          <w:bCs/>
          <w:spacing w:val="4"/>
          <w:szCs w:val="24"/>
          <w:highlight w:val="none"/>
        </w:rPr>
        <w:t>备注：法定代表人直接参与投标的无需提供此页内容。</w:t>
      </w:r>
    </w:p>
    <w:p>
      <w:pPr>
        <w:spacing w:line="360" w:lineRule="auto"/>
        <w:ind w:firstLine="510"/>
        <w:rPr>
          <w:rFonts w:ascii="楷体" w:hAnsi="楷体" w:eastAsia="楷体" w:cs="楷体"/>
          <w:spacing w:val="4"/>
          <w:szCs w:val="24"/>
          <w:highlight w:val="none"/>
        </w:rPr>
      </w:pPr>
    </w:p>
    <w:p>
      <w:pPr>
        <w:spacing w:line="360" w:lineRule="auto"/>
        <w:ind w:firstLine="510"/>
        <w:rPr>
          <w:rFonts w:ascii="楷体" w:hAnsi="楷体" w:eastAsia="楷体" w:cs="楷体"/>
          <w:spacing w:val="4"/>
          <w:szCs w:val="24"/>
          <w:highlight w:val="none"/>
        </w:rPr>
      </w:pPr>
    </w:p>
    <w:p>
      <w:pPr>
        <w:spacing w:line="360" w:lineRule="auto"/>
        <w:ind w:firstLine="510"/>
        <w:rPr>
          <w:rFonts w:ascii="楷体" w:hAnsi="楷体" w:eastAsia="楷体" w:cs="楷体"/>
          <w:spacing w:val="4"/>
          <w:szCs w:val="24"/>
          <w:highlight w:val="none"/>
        </w:rPr>
      </w:pPr>
    </w:p>
    <w:p>
      <w:pPr>
        <w:spacing w:line="360" w:lineRule="auto"/>
        <w:rPr>
          <w:rFonts w:ascii="楷体" w:hAnsi="楷体" w:eastAsia="楷体" w:cs="楷体"/>
          <w:spacing w:val="4"/>
          <w:szCs w:val="24"/>
          <w:highlight w:val="none"/>
          <w:u w:val="single"/>
        </w:rPr>
      </w:pPr>
      <w:r>
        <w:rPr>
          <w:rFonts w:hint="eastAsia" w:ascii="楷体" w:hAnsi="楷体" w:eastAsia="楷体" w:cs="楷体"/>
          <w:spacing w:val="4"/>
          <w:szCs w:val="24"/>
          <w:highlight w:val="none"/>
        </w:rPr>
        <w:t xml:space="preserve">投标人名称（公章）:             </w:t>
      </w:r>
    </w:p>
    <w:p>
      <w:pPr>
        <w:spacing w:line="360" w:lineRule="auto"/>
        <w:rPr>
          <w:rFonts w:ascii="楷体" w:hAnsi="楷体" w:eastAsia="楷体" w:cs="楷体"/>
          <w:spacing w:val="4"/>
          <w:szCs w:val="24"/>
          <w:highlight w:val="none"/>
        </w:rPr>
      </w:pPr>
      <w:r>
        <w:rPr>
          <w:rFonts w:hint="eastAsia" w:ascii="楷体" w:hAnsi="楷体" w:eastAsia="楷体" w:cs="楷体"/>
          <w:spacing w:val="4"/>
          <w:szCs w:val="24"/>
          <w:highlight w:val="none"/>
        </w:rPr>
        <w:t>法定代表人/被授权人（签字或盖章）：</w:t>
      </w:r>
    </w:p>
    <w:p>
      <w:pPr>
        <w:spacing w:line="360" w:lineRule="auto"/>
        <w:rPr>
          <w:rFonts w:ascii="楷体" w:hAnsi="楷体" w:eastAsia="楷体" w:cs="楷体"/>
          <w:spacing w:val="4"/>
          <w:szCs w:val="24"/>
          <w:highlight w:val="none"/>
        </w:rPr>
      </w:pPr>
      <w:r>
        <w:rPr>
          <w:rFonts w:hint="eastAsia" w:ascii="楷体" w:hAnsi="楷体" w:eastAsia="楷体" w:cs="楷体"/>
          <w:spacing w:val="4"/>
          <w:szCs w:val="24"/>
          <w:highlight w:val="none"/>
        </w:rPr>
        <w:t xml:space="preserve">日期：                         </w:t>
      </w:r>
    </w:p>
    <w:bookmarkEnd w:id="177"/>
    <w:bookmarkEnd w:id="178"/>
    <w:bookmarkEnd w:id="179"/>
    <w:bookmarkEnd w:id="180"/>
    <w:bookmarkEnd w:id="181"/>
    <w:bookmarkEnd w:id="182"/>
    <w:bookmarkEnd w:id="183"/>
    <w:bookmarkEnd w:id="184"/>
    <w:bookmarkEnd w:id="185"/>
    <w:p>
      <w:pPr>
        <w:pStyle w:val="5"/>
        <w:spacing w:before="0" w:beforeLines="0" w:line="360" w:lineRule="auto"/>
        <w:rPr>
          <w:rFonts w:ascii="楷体" w:hAnsi="楷体" w:eastAsia="楷体" w:cs="楷体"/>
          <w:sz w:val="32"/>
          <w:szCs w:val="32"/>
          <w:highlight w:val="none"/>
        </w:rPr>
      </w:pPr>
      <w:bookmarkStart w:id="186" w:name="_Toc403077651"/>
      <w:bookmarkStart w:id="187" w:name="_Toc363474030"/>
      <w:r>
        <w:rPr>
          <w:rFonts w:hint="eastAsia" w:ascii="楷体" w:hAnsi="楷体" w:eastAsia="楷体" w:cs="楷体"/>
          <w:b w:val="0"/>
          <w:sz w:val="28"/>
          <w:szCs w:val="28"/>
          <w:highlight w:val="none"/>
          <w:u w:val="single"/>
        </w:rPr>
        <w:br w:type="page"/>
      </w:r>
      <w:bookmarkEnd w:id="169"/>
      <w:bookmarkEnd w:id="186"/>
      <w:bookmarkEnd w:id="187"/>
      <w:bookmarkStart w:id="188" w:name="_Toc31319"/>
      <w:bookmarkStart w:id="189" w:name="_Toc1881"/>
      <w:bookmarkStart w:id="190" w:name="_Toc25013"/>
      <w:bookmarkStart w:id="191" w:name="_Toc943"/>
      <w:bookmarkStart w:id="192" w:name="_Toc25821"/>
      <w:r>
        <w:rPr>
          <w:rFonts w:hint="eastAsia" w:ascii="楷体" w:hAnsi="楷体" w:eastAsia="楷体" w:cs="楷体"/>
          <w:b w:val="0"/>
          <w:sz w:val="28"/>
          <w:szCs w:val="28"/>
          <w:highlight w:val="none"/>
        </w:rPr>
        <w:t>三</w:t>
      </w:r>
      <w:r>
        <w:rPr>
          <w:rFonts w:hint="eastAsia" w:ascii="楷体" w:hAnsi="楷体" w:eastAsia="楷体" w:cs="楷体"/>
          <w:sz w:val="32"/>
          <w:szCs w:val="32"/>
          <w:highlight w:val="none"/>
        </w:rPr>
        <w:t>、投标报价表</w:t>
      </w:r>
      <w:bookmarkEnd w:id="188"/>
      <w:bookmarkEnd w:id="189"/>
      <w:bookmarkEnd w:id="190"/>
      <w:bookmarkEnd w:id="191"/>
      <w:bookmarkEnd w:id="192"/>
    </w:p>
    <w:p>
      <w:pPr>
        <w:spacing w:line="360" w:lineRule="auto"/>
        <w:jc w:val="center"/>
        <w:rPr>
          <w:rFonts w:ascii="楷体" w:hAnsi="楷体" w:eastAsia="楷体" w:cs="楷体"/>
          <w:b/>
          <w:sz w:val="30"/>
          <w:szCs w:val="30"/>
          <w:highlight w:val="none"/>
        </w:rPr>
      </w:pPr>
      <w:r>
        <w:rPr>
          <w:rFonts w:hint="eastAsia" w:ascii="楷体" w:hAnsi="楷体" w:eastAsia="楷体" w:cs="楷体"/>
          <w:b/>
          <w:sz w:val="30"/>
          <w:szCs w:val="30"/>
          <w:highlight w:val="none"/>
        </w:rPr>
        <w:t>3.1开标一览表</w:t>
      </w:r>
    </w:p>
    <w:p>
      <w:pPr>
        <w:spacing w:line="360" w:lineRule="auto"/>
        <w:jc w:val="left"/>
        <w:rPr>
          <w:rFonts w:ascii="楷体" w:hAnsi="楷体" w:eastAsia="楷体" w:cs="楷体"/>
          <w:b/>
          <w:szCs w:val="24"/>
          <w:highlight w:val="none"/>
        </w:rPr>
      </w:pPr>
      <w:r>
        <w:rPr>
          <w:rFonts w:hint="eastAsia" w:ascii="楷体" w:hAnsi="楷体" w:eastAsia="楷体" w:cs="楷体"/>
          <w:b/>
          <w:szCs w:val="24"/>
          <w:highlight w:val="none"/>
        </w:rPr>
        <w:t>项目名称：</w:t>
      </w:r>
    </w:p>
    <w:p>
      <w:pPr>
        <w:spacing w:line="360" w:lineRule="auto"/>
        <w:jc w:val="left"/>
        <w:rPr>
          <w:rFonts w:hint="eastAsia" w:ascii="楷体" w:hAnsi="楷体" w:eastAsia="楷体" w:cs="楷体"/>
          <w:b/>
          <w:szCs w:val="24"/>
          <w:highlight w:val="none"/>
          <w:lang w:eastAsia="zh-CN"/>
        </w:rPr>
      </w:pPr>
      <w:r>
        <w:rPr>
          <w:rFonts w:hint="eastAsia" w:ascii="楷体" w:hAnsi="楷体" w:eastAsia="楷体" w:cs="楷体"/>
          <w:b/>
          <w:szCs w:val="24"/>
          <w:highlight w:val="none"/>
        </w:rPr>
        <w:t>项目编号</w:t>
      </w:r>
      <w:r>
        <w:rPr>
          <w:rFonts w:hint="eastAsia" w:ascii="楷体" w:hAnsi="楷体" w:eastAsia="楷体" w:cs="楷体"/>
          <w:b/>
          <w:szCs w:val="24"/>
          <w:highlight w:val="none"/>
          <w:lang w:eastAsia="zh-CN"/>
        </w:rPr>
        <w:t>：</w:t>
      </w:r>
    </w:p>
    <w:p>
      <w:pPr>
        <w:spacing w:line="360" w:lineRule="auto"/>
        <w:jc w:val="left"/>
        <w:rPr>
          <w:rFonts w:hint="eastAsia" w:ascii="楷体" w:hAnsi="楷体" w:eastAsia="楷体" w:cs="楷体"/>
          <w:b/>
          <w:szCs w:val="24"/>
          <w:highlight w:val="none"/>
        </w:rPr>
      </w:pPr>
      <w:r>
        <w:rPr>
          <w:rFonts w:hint="eastAsia" w:ascii="楷体" w:hAnsi="楷体" w:eastAsia="楷体" w:cs="楷体"/>
          <w:b/>
          <w:szCs w:val="24"/>
          <w:highlight w:val="none"/>
          <w:lang w:eastAsia="zh-CN"/>
        </w:rPr>
        <w:t>包号：</w:t>
      </w:r>
      <w:r>
        <w:rPr>
          <w:rFonts w:hint="eastAsia" w:ascii="楷体" w:hAnsi="楷体" w:eastAsia="楷体" w:cs="楷体"/>
          <w:b/>
          <w:szCs w:val="24"/>
          <w:highlight w:val="none"/>
        </w:rPr>
        <w:t xml:space="preserve">                                                   </w:t>
      </w:r>
    </w:p>
    <w:tbl>
      <w:tblPr>
        <w:tblStyle w:val="27"/>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749"/>
        <w:gridCol w:w="303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ascii="楷体" w:hAnsi="楷体" w:eastAsia="楷体" w:cs="楷体"/>
                <w:b/>
                <w:szCs w:val="24"/>
              </w:rPr>
            </w:pPr>
            <w:r>
              <w:rPr>
                <w:rFonts w:hint="eastAsia" w:ascii="楷体" w:hAnsi="楷体" w:eastAsia="楷体" w:cs="楷体"/>
                <w:b/>
                <w:szCs w:val="24"/>
              </w:rPr>
              <w:t>序号</w:t>
            </w:r>
          </w:p>
        </w:tc>
        <w:tc>
          <w:tcPr>
            <w:tcW w:w="3749" w:type="dxa"/>
            <w:noWrap/>
            <w:vAlign w:val="center"/>
          </w:tcPr>
          <w:p>
            <w:pPr>
              <w:jc w:val="center"/>
              <w:rPr>
                <w:rFonts w:ascii="楷体" w:hAnsi="楷体" w:eastAsia="楷体" w:cs="楷体"/>
                <w:b/>
                <w:szCs w:val="24"/>
              </w:rPr>
            </w:pPr>
            <w:r>
              <w:rPr>
                <w:rFonts w:hint="eastAsia" w:ascii="楷体" w:hAnsi="楷体" w:eastAsia="楷体" w:cs="楷体"/>
                <w:b/>
                <w:szCs w:val="24"/>
              </w:rPr>
              <w:t>费用名称/类别</w:t>
            </w:r>
          </w:p>
        </w:tc>
        <w:tc>
          <w:tcPr>
            <w:tcW w:w="3036" w:type="dxa"/>
            <w:noWrap/>
            <w:vAlign w:val="center"/>
          </w:tcPr>
          <w:p>
            <w:pPr>
              <w:jc w:val="center"/>
              <w:rPr>
                <w:rFonts w:ascii="楷体" w:hAnsi="楷体" w:eastAsia="楷体" w:cs="楷体"/>
                <w:b/>
                <w:szCs w:val="24"/>
              </w:rPr>
            </w:pPr>
            <w:r>
              <w:rPr>
                <w:rFonts w:hint="eastAsia" w:ascii="楷体" w:hAnsi="楷体" w:eastAsia="楷体" w:cs="楷体"/>
                <w:b/>
                <w:szCs w:val="24"/>
              </w:rPr>
              <w:t>单价</w:t>
            </w:r>
          </w:p>
        </w:tc>
        <w:tc>
          <w:tcPr>
            <w:tcW w:w="933" w:type="dxa"/>
            <w:noWrap/>
            <w:vAlign w:val="center"/>
          </w:tcPr>
          <w:p>
            <w:pPr>
              <w:jc w:val="center"/>
              <w:rPr>
                <w:rFonts w:ascii="楷体" w:hAnsi="楷体" w:eastAsia="楷体" w:cs="楷体"/>
                <w:b/>
                <w:szCs w:val="24"/>
              </w:rPr>
            </w:pPr>
            <w:r>
              <w:rPr>
                <w:rFonts w:hint="eastAsia" w:ascii="楷体" w:hAnsi="楷体" w:eastAsia="楷体" w:cs="楷体"/>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ascii="楷体" w:hAnsi="楷体" w:eastAsia="楷体" w:cs="楷体"/>
                <w:szCs w:val="24"/>
              </w:rPr>
            </w:pPr>
            <w:r>
              <w:rPr>
                <w:rFonts w:hint="eastAsia" w:ascii="楷体" w:hAnsi="楷体" w:eastAsia="楷体" w:cs="楷体"/>
                <w:szCs w:val="24"/>
              </w:rPr>
              <w:t>1</w:t>
            </w:r>
          </w:p>
        </w:tc>
        <w:tc>
          <w:tcPr>
            <w:tcW w:w="3749" w:type="dxa"/>
            <w:noWrap/>
            <w:vAlign w:val="center"/>
          </w:tcPr>
          <w:p>
            <w:pPr>
              <w:jc w:val="center"/>
              <w:rPr>
                <w:rFonts w:ascii="楷体" w:hAnsi="楷体" w:eastAsia="楷体" w:cs="楷体"/>
                <w:szCs w:val="24"/>
              </w:rPr>
            </w:pPr>
            <w:r>
              <w:rPr>
                <w:rFonts w:hint="eastAsia" w:ascii="楷体" w:hAnsi="楷体" w:eastAsia="楷体" w:cs="楷体"/>
                <w:sz w:val="24"/>
                <w:szCs w:val="24"/>
                <w:lang w:eastAsia="zh-CN"/>
              </w:rPr>
              <w:t>幼儿园</w:t>
            </w:r>
            <w:r>
              <w:rPr>
                <w:rFonts w:hint="eastAsia" w:ascii="楷体" w:hAnsi="楷体" w:eastAsia="楷体" w:cs="楷体"/>
                <w:sz w:val="24"/>
                <w:szCs w:val="24"/>
              </w:rPr>
              <w:t>学生每学期每人报价（元/人/学期）</w:t>
            </w:r>
          </w:p>
        </w:tc>
        <w:tc>
          <w:tcPr>
            <w:tcW w:w="3036" w:type="dxa"/>
            <w:noWrap/>
            <w:vAlign w:val="center"/>
          </w:tcPr>
          <w:p>
            <w:pPr>
              <w:jc w:val="center"/>
              <w:rPr>
                <w:rFonts w:ascii="楷体" w:hAnsi="楷体" w:eastAsia="楷体" w:cs="楷体"/>
                <w:szCs w:val="24"/>
              </w:rPr>
            </w:pPr>
            <w:r>
              <w:rPr>
                <w:rFonts w:hint="eastAsia" w:ascii="楷体" w:hAnsi="楷体" w:eastAsia="楷体" w:cs="楷体"/>
                <w:spacing w:val="4"/>
                <w:highlight w:val="none"/>
                <w:u w:val="single"/>
              </w:rPr>
              <w:t xml:space="preserve">        </w:t>
            </w:r>
            <w:r>
              <w:rPr>
                <w:rFonts w:hint="eastAsia" w:ascii="楷体" w:hAnsi="楷体" w:eastAsia="楷体" w:cs="楷体"/>
                <w:sz w:val="24"/>
                <w:szCs w:val="24"/>
              </w:rPr>
              <w:t>元/人/学期</w:t>
            </w:r>
          </w:p>
        </w:tc>
        <w:tc>
          <w:tcPr>
            <w:tcW w:w="933" w:type="dxa"/>
            <w:noWrap/>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ascii="楷体" w:hAnsi="楷体" w:eastAsia="楷体" w:cs="楷体"/>
                <w:szCs w:val="24"/>
              </w:rPr>
            </w:pPr>
            <w:r>
              <w:rPr>
                <w:rFonts w:hint="eastAsia" w:ascii="楷体" w:hAnsi="楷体" w:eastAsia="楷体" w:cs="楷体"/>
                <w:szCs w:val="24"/>
              </w:rPr>
              <w:t>2</w:t>
            </w:r>
          </w:p>
        </w:tc>
        <w:tc>
          <w:tcPr>
            <w:tcW w:w="3749" w:type="dxa"/>
            <w:noWrap/>
            <w:vAlign w:val="center"/>
          </w:tcPr>
          <w:p>
            <w:pPr>
              <w:jc w:val="center"/>
              <w:rPr>
                <w:rFonts w:ascii="楷体" w:hAnsi="楷体" w:eastAsia="楷体" w:cs="楷体"/>
                <w:szCs w:val="24"/>
              </w:rPr>
            </w:pPr>
            <w:r>
              <w:rPr>
                <w:rFonts w:hint="eastAsia" w:ascii="楷体" w:hAnsi="楷体" w:eastAsia="楷体" w:cs="楷体"/>
                <w:sz w:val="24"/>
                <w:szCs w:val="24"/>
              </w:rPr>
              <w:t>小学生每学期每人报价（元/人/学期）</w:t>
            </w:r>
          </w:p>
        </w:tc>
        <w:tc>
          <w:tcPr>
            <w:tcW w:w="3036" w:type="dxa"/>
            <w:noWrap/>
            <w:vAlign w:val="center"/>
          </w:tcPr>
          <w:p>
            <w:pPr>
              <w:jc w:val="center"/>
              <w:rPr>
                <w:rFonts w:ascii="楷体" w:hAnsi="楷体" w:eastAsia="楷体" w:cs="楷体"/>
                <w:szCs w:val="24"/>
              </w:rPr>
            </w:pPr>
            <w:r>
              <w:rPr>
                <w:rFonts w:hint="eastAsia" w:ascii="楷体" w:hAnsi="楷体" w:eastAsia="楷体" w:cs="楷体"/>
                <w:spacing w:val="4"/>
                <w:highlight w:val="none"/>
                <w:u w:val="single"/>
              </w:rPr>
              <w:t xml:space="preserve">        </w:t>
            </w:r>
            <w:r>
              <w:rPr>
                <w:rFonts w:hint="eastAsia" w:ascii="楷体" w:hAnsi="楷体" w:eastAsia="楷体" w:cs="楷体"/>
                <w:sz w:val="24"/>
                <w:szCs w:val="24"/>
              </w:rPr>
              <w:t>元/人/学期</w:t>
            </w:r>
          </w:p>
        </w:tc>
        <w:tc>
          <w:tcPr>
            <w:tcW w:w="933" w:type="dxa"/>
            <w:noWrap/>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ascii="楷体" w:hAnsi="楷体" w:eastAsia="楷体" w:cs="楷体"/>
                <w:szCs w:val="24"/>
              </w:rPr>
            </w:pPr>
            <w:r>
              <w:rPr>
                <w:rFonts w:hint="eastAsia" w:ascii="楷体" w:hAnsi="楷体" w:eastAsia="楷体" w:cs="楷体"/>
                <w:szCs w:val="24"/>
              </w:rPr>
              <w:t>3</w:t>
            </w:r>
          </w:p>
        </w:tc>
        <w:tc>
          <w:tcPr>
            <w:tcW w:w="3749" w:type="dxa"/>
            <w:noWrap/>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中学生每学期每人</w:t>
            </w:r>
          </w:p>
          <w:p>
            <w:pPr>
              <w:jc w:val="center"/>
              <w:rPr>
                <w:rFonts w:ascii="楷体" w:hAnsi="楷体" w:eastAsia="楷体" w:cs="楷体"/>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报价（元/人/学期）</w:t>
            </w:r>
          </w:p>
        </w:tc>
        <w:tc>
          <w:tcPr>
            <w:tcW w:w="3036" w:type="dxa"/>
            <w:noWrap/>
            <w:vAlign w:val="center"/>
          </w:tcPr>
          <w:p>
            <w:pPr>
              <w:jc w:val="center"/>
              <w:rPr>
                <w:rFonts w:ascii="楷体" w:hAnsi="楷体" w:eastAsia="楷体" w:cs="楷体"/>
                <w:szCs w:val="24"/>
              </w:rPr>
            </w:pPr>
            <w:r>
              <w:rPr>
                <w:rFonts w:hint="eastAsia" w:ascii="楷体" w:hAnsi="楷体" w:eastAsia="楷体" w:cs="楷体"/>
                <w:spacing w:val="4"/>
                <w:highlight w:val="none"/>
                <w:u w:val="single"/>
              </w:rPr>
              <w:t xml:space="preserve">        </w:t>
            </w:r>
            <w:r>
              <w:rPr>
                <w:rFonts w:hint="eastAsia" w:ascii="楷体" w:hAnsi="楷体" w:eastAsia="楷体" w:cs="楷体"/>
                <w:sz w:val="24"/>
                <w:szCs w:val="24"/>
              </w:rPr>
              <w:t>元/人/学期</w:t>
            </w:r>
          </w:p>
        </w:tc>
        <w:tc>
          <w:tcPr>
            <w:tcW w:w="933" w:type="dxa"/>
            <w:noWrap/>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ascii="楷体" w:hAnsi="楷体" w:eastAsia="楷体" w:cs="楷体"/>
                <w:szCs w:val="24"/>
              </w:rPr>
            </w:pPr>
            <w:r>
              <w:rPr>
                <w:rFonts w:hint="eastAsia" w:ascii="楷体" w:hAnsi="楷体" w:eastAsia="楷体" w:cs="楷体"/>
                <w:szCs w:val="24"/>
              </w:rPr>
              <w:t>4</w:t>
            </w:r>
          </w:p>
        </w:tc>
        <w:tc>
          <w:tcPr>
            <w:tcW w:w="3749" w:type="dxa"/>
            <w:noWrap/>
            <w:vAlign w:val="center"/>
          </w:tcPr>
          <w:p>
            <w:pPr>
              <w:jc w:val="center"/>
              <w:rPr>
                <w:rFonts w:ascii="楷体" w:hAnsi="楷体" w:eastAsia="楷体" w:cs="楷体"/>
                <w:szCs w:val="24"/>
              </w:rPr>
            </w:pPr>
            <w:r>
              <w:rPr>
                <w:rFonts w:hint="eastAsia" w:ascii="楷体" w:hAnsi="楷体" w:eastAsia="楷体" w:cs="楷体"/>
                <w:spacing w:val="4"/>
                <w:highlight w:val="none"/>
                <w:lang w:eastAsia="zh-CN"/>
              </w:rPr>
              <w:t>18.9升（5加仑）</w:t>
            </w:r>
          </w:p>
        </w:tc>
        <w:tc>
          <w:tcPr>
            <w:tcW w:w="3036" w:type="dxa"/>
            <w:noWrap/>
            <w:vAlign w:val="center"/>
          </w:tcPr>
          <w:p>
            <w:pPr>
              <w:jc w:val="center"/>
              <w:rPr>
                <w:rFonts w:ascii="楷体" w:hAnsi="楷体" w:eastAsia="楷体" w:cs="楷体"/>
                <w:szCs w:val="24"/>
              </w:rPr>
            </w:pP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lang w:eastAsia="zh-CN"/>
              </w:rPr>
              <w:t>元/桶</w:t>
            </w:r>
          </w:p>
        </w:tc>
        <w:tc>
          <w:tcPr>
            <w:tcW w:w="933" w:type="dxa"/>
            <w:noWrap/>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180" w:type="dxa"/>
            <w:noWrap/>
            <w:vAlign w:val="center"/>
          </w:tcPr>
          <w:p>
            <w:pPr>
              <w:jc w:val="center"/>
              <w:rPr>
                <w:rFonts w:hint="eastAsia" w:ascii="楷体" w:hAnsi="楷体" w:eastAsia="楷体" w:cs="楷体"/>
                <w:szCs w:val="24"/>
                <w:lang w:eastAsia="zh-CN"/>
              </w:rPr>
            </w:pPr>
            <w:r>
              <w:rPr>
                <w:rFonts w:hint="eastAsia" w:ascii="楷体" w:hAnsi="楷体" w:eastAsia="楷体" w:cs="楷体"/>
                <w:szCs w:val="24"/>
                <w:lang w:val="en-US" w:eastAsia="zh-CN"/>
              </w:rPr>
              <w:t>5</w:t>
            </w:r>
          </w:p>
        </w:tc>
        <w:tc>
          <w:tcPr>
            <w:tcW w:w="3749" w:type="dxa"/>
            <w:noWrap/>
            <w:vAlign w:val="center"/>
          </w:tcPr>
          <w:p>
            <w:pPr>
              <w:jc w:val="center"/>
              <w:rPr>
                <w:rFonts w:ascii="楷体" w:hAnsi="楷体" w:eastAsia="楷体" w:cs="楷体"/>
                <w:szCs w:val="24"/>
              </w:rPr>
            </w:pPr>
            <w:r>
              <w:rPr>
                <w:rFonts w:hint="eastAsia" w:ascii="楷体" w:hAnsi="楷体" w:eastAsia="楷体" w:cs="楷体"/>
                <w:spacing w:val="4"/>
                <w:highlight w:val="none"/>
                <w:lang w:eastAsia="zh-CN"/>
              </w:rPr>
              <w:t>11.3升（3加仑）</w:t>
            </w:r>
          </w:p>
        </w:tc>
        <w:tc>
          <w:tcPr>
            <w:tcW w:w="3036" w:type="dxa"/>
            <w:noWrap/>
            <w:vAlign w:val="center"/>
          </w:tcPr>
          <w:p>
            <w:pPr>
              <w:jc w:val="center"/>
              <w:rPr>
                <w:rFonts w:ascii="楷体" w:hAnsi="楷体" w:eastAsia="楷体" w:cs="楷体"/>
                <w:szCs w:val="24"/>
              </w:rPr>
            </w:pPr>
            <w:r>
              <w:rPr>
                <w:rFonts w:hint="eastAsia" w:ascii="楷体" w:hAnsi="楷体" w:eastAsia="楷体" w:cs="楷体"/>
                <w:spacing w:val="4"/>
                <w:highlight w:val="none"/>
                <w:u w:val="single"/>
              </w:rPr>
              <w:t xml:space="preserve">        </w:t>
            </w:r>
            <w:r>
              <w:rPr>
                <w:rFonts w:hint="eastAsia" w:ascii="楷体" w:hAnsi="楷体" w:eastAsia="楷体" w:cs="楷体"/>
                <w:spacing w:val="4"/>
                <w:highlight w:val="none"/>
                <w:lang w:eastAsia="zh-CN"/>
              </w:rPr>
              <w:t>元/桶</w:t>
            </w:r>
          </w:p>
        </w:tc>
        <w:tc>
          <w:tcPr>
            <w:tcW w:w="933" w:type="dxa"/>
            <w:noWrap/>
            <w:vAlign w:val="center"/>
          </w:tcPr>
          <w:p>
            <w:pPr>
              <w:jc w:val="center"/>
              <w:rPr>
                <w:rFonts w:ascii="楷体" w:hAnsi="楷体" w:eastAsia="楷体" w:cs="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8898" w:type="dxa"/>
            <w:gridSpan w:val="4"/>
            <w:noWrap/>
            <w:vAlign w:val="center"/>
          </w:tcPr>
          <w:p>
            <w:pPr>
              <w:jc w:val="center"/>
              <w:rPr>
                <w:rFonts w:ascii="楷体" w:hAnsi="楷体" w:eastAsia="楷体" w:cs="楷体"/>
                <w:szCs w:val="24"/>
              </w:rPr>
            </w:pPr>
            <w:r>
              <w:rPr>
                <w:rFonts w:hint="eastAsia" w:ascii="楷体" w:hAnsi="楷体" w:eastAsia="楷体" w:cs="楷体"/>
                <w:sz w:val="24"/>
                <w:szCs w:val="24"/>
                <w:lang w:eastAsia="zh-CN"/>
              </w:rPr>
              <w:t>投标总报价：幼儿园</w:t>
            </w:r>
            <w:r>
              <w:rPr>
                <w:rFonts w:hint="eastAsia" w:ascii="楷体" w:hAnsi="楷体" w:eastAsia="楷体" w:cs="楷体"/>
                <w:sz w:val="24"/>
                <w:szCs w:val="24"/>
              </w:rPr>
              <w:t>学生每学期每人报价</w:t>
            </w:r>
            <w:r>
              <w:rPr>
                <w:rFonts w:hint="eastAsia" w:ascii="楷体" w:hAnsi="楷体" w:eastAsia="楷体" w:cs="楷体"/>
                <w:sz w:val="24"/>
                <w:szCs w:val="24"/>
                <w:lang w:val="en-US" w:eastAsia="zh-CN"/>
              </w:rPr>
              <w:t>+</w:t>
            </w:r>
            <w:r>
              <w:rPr>
                <w:rFonts w:hint="eastAsia" w:ascii="楷体" w:hAnsi="楷体" w:eastAsia="楷体" w:cs="楷体"/>
                <w:sz w:val="24"/>
                <w:szCs w:val="24"/>
              </w:rPr>
              <w:t>小学生每学期每人报价</w:t>
            </w:r>
            <w:r>
              <w:rPr>
                <w:rFonts w:hint="eastAsia" w:ascii="楷体" w:hAnsi="楷体" w:eastAsia="楷体" w:cs="楷体"/>
                <w:sz w:val="24"/>
                <w:szCs w:val="24"/>
                <w:lang w:val="en-US" w:eastAsia="zh-CN"/>
              </w:rPr>
              <w:t>+中学生每学期每人报价+</w:t>
            </w:r>
            <w:r>
              <w:rPr>
                <w:rFonts w:hint="eastAsia" w:ascii="楷体" w:hAnsi="楷体" w:eastAsia="楷体" w:cs="楷体"/>
                <w:spacing w:val="4"/>
                <w:highlight w:val="none"/>
                <w:lang w:eastAsia="zh-CN"/>
              </w:rPr>
              <w:t>18.9升（5加仑）单桶报价</w:t>
            </w:r>
            <w:r>
              <w:rPr>
                <w:rFonts w:hint="eastAsia" w:ascii="楷体" w:hAnsi="楷体" w:eastAsia="楷体" w:cs="楷体"/>
                <w:spacing w:val="4"/>
                <w:highlight w:val="none"/>
                <w:lang w:val="en-US" w:eastAsia="zh-CN"/>
              </w:rPr>
              <w:t>+</w:t>
            </w:r>
            <w:r>
              <w:rPr>
                <w:rFonts w:hint="eastAsia" w:ascii="楷体" w:hAnsi="楷体" w:eastAsia="楷体" w:cs="楷体"/>
                <w:sz w:val="24"/>
                <w:szCs w:val="24"/>
                <w:lang w:val="en-US" w:eastAsia="zh-CN"/>
              </w:rPr>
              <w:t xml:space="preserve"> </w:t>
            </w:r>
            <w:r>
              <w:rPr>
                <w:rFonts w:hint="eastAsia" w:ascii="楷体" w:hAnsi="楷体" w:eastAsia="楷体" w:cs="楷体"/>
                <w:spacing w:val="4"/>
                <w:highlight w:val="none"/>
                <w:lang w:eastAsia="zh-CN"/>
              </w:rPr>
              <w:t>11.3升（3加仑）单桶报价</w:t>
            </w:r>
            <w:r>
              <w:rPr>
                <w:rFonts w:hint="eastAsia" w:ascii="楷体" w:hAnsi="楷体" w:eastAsia="楷体" w:cs="楷体"/>
                <w:sz w:val="24"/>
                <w:szCs w:val="24"/>
                <w:lang w:val="en-US" w:eastAsia="zh-CN"/>
              </w:rPr>
              <w:t>=</w:t>
            </w:r>
            <w:r>
              <w:rPr>
                <w:rFonts w:hint="eastAsia" w:ascii="楷体" w:hAnsi="楷体" w:eastAsia="楷体" w:cs="楷体"/>
                <w:sz w:val="24"/>
                <w:szCs w:val="24"/>
                <w:u w:val="single"/>
                <w:lang w:val="en-US" w:eastAsia="zh-CN"/>
              </w:rPr>
              <w:t xml:space="preserve"> </w:t>
            </w:r>
            <w:r>
              <w:rPr>
                <w:rFonts w:hint="eastAsia" w:ascii="楷体" w:hAnsi="楷体" w:eastAsia="楷体" w:cs="楷体"/>
                <w:b/>
                <w:bCs/>
                <w:sz w:val="24"/>
                <w:szCs w:val="24"/>
                <w:u w:val="single"/>
                <w:lang w:val="en-US" w:eastAsia="zh-CN"/>
              </w:rPr>
              <w:t xml:space="preserve">        </w:t>
            </w:r>
            <w:r>
              <w:rPr>
                <w:rFonts w:hint="eastAsia" w:ascii="楷体" w:hAnsi="楷体" w:eastAsia="楷体" w:cs="楷体"/>
                <w:b/>
                <w:bCs/>
                <w:sz w:val="24"/>
                <w:szCs w:val="24"/>
              </w:rPr>
              <w:t>元</w:t>
            </w:r>
            <w:r>
              <w:rPr>
                <w:rFonts w:hint="eastAsia" w:ascii="楷体" w:hAnsi="楷体" w:eastAsia="楷体" w:cs="楷体"/>
                <w:b/>
                <w:bCs/>
                <w:sz w:val="24"/>
                <w:szCs w:val="24"/>
                <w:lang w:val="en-US" w:eastAsia="zh-CN"/>
              </w:rPr>
              <w:t xml:space="preserve"> </w:t>
            </w:r>
            <w:r>
              <w:rPr>
                <w:rFonts w:hint="eastAsia" w:ascii="楷体" w:hAnsi="楷体" w:eastAsia="楷体" w:cs="楷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8898" w:type="dxa"/>
            <w:gridSpan w:val="4"/>
            <w:noWrap/>
            <w:vAlign w:val="center"/>
          </w:tcPr>
          <w:p>
            <w:pPr>
              <w:jc w:val="both"/>
              <w:rPr>
                <w:rFonts w:hint="eastAsia" w:ascii="楷体" w:hAnsi="楷体" w:eastAsia="楷体" w:cs="楷体"/>
                <w:sz w:val="24"/>
                <w:szCs w:val="24"/>
                <w:lang w:eastAsia="zh-CN"/>
              </w:rPr>
            </w:pPr>
            <w:r>
              <w:rPr>
                <w:rFonts w:hint="eastAsia" w:ascii="楷体" w:hAnsi="楷体" w:eastAsia="楷体" w:cs="楷体"/>
                <w:sz w:val="24"/>
                <w:szCs w:val="24"/>
              </w:rPr>
              <w:t>备注：表内报价内容以</w:t>
            </w:r>
            <w:r>
              <w:rPr>
                <w:rFonts w:hint="eastAsia" w:ascii="楷体" w:hAnsi="楷体" w:eastAsia="楷体" w:cs="楷体"/>
                <w:sz w:val="24"/>
                <w:szCs w:val="24"/>
                <w:highlight w:val="none"/>
              </w:rPr>
              <w:t>元为单位</w:t>
            </w:r>
            <w:r>
              <w:rPr>
                <w:rFonts w:hint="eastAsia" w:ascii="楷体" w:hAnsi="楷体" w:eastAsia="楷体" w:cs="楷体"/>
                <w:sz w:val="24"/>
                <w:szCs w:val="24"/>
              </w:rPr>
              <w:t>。</w:t>
            </w:r>
            <w:r>
              <w:rPr>
                <w:rFonts w:hint="eastAsia" w:ascii="楷体" w:hAnsi="楷体" w:eastAsia="楷体" w:cs="楷体"/>
                <w:sz w:val="24"/>
                <w:szCs w:val="24"/>
                <w:lang w:eastAsia="zh-CN"/>
              </w:rPr>
              <w:t>（若有小数，</w:t>
            </w:r>
            <w:r>
              <w:rPr>
                <w:rFonts w:hint="eastAsia" w:ascii="楷体" w:hAnsi="楷体" w:eastAsia="楷体" w:cs="楷体"/>
                <w:sz w:val="24"/>
                <w:szCs w:val="24"/>
              </w:rPr>
              <w:t>保留小数点后两位</w:t>
            </w:r>
            <w:r>
              <w:rPr>
                <w:rFonts w:hint="eastAsia" w:ascii="楷体" w:hAnsi="楷体" w:eastAsia="楷体" w:cs="楷体"/>
                <w:sz w:val="24"/>
                <w:szCs w:val="24"/>
                <w:lang w:eastAsia="zh-CN"/>
              </w:rPr>
              <w:t>）</w:t>
            </w:r>
          </w:p>
        </w:tc>
      </w:tr>
    </w:tbl>
    <w:p>
      <w:pPr>
        <w:pStyle w:val="11"/>
      </w:pPr>
    </w:p>
    <w:p>
      <w:pPr>
        <w:spacing w:line="360" w:lineRule="auto"/>
        <w:rPr>
          <w:rFonts w:hint="eastAsia" w:ascii="仿宋" w:hAnsi="仿宋" w:eastAsia="仿宋" w:cs="仿宋"/>
          <w:sz w:val="24"/>
          <w:highlight w:val="none"/>
        </w:rPr>
      </w:pPr>
      <w:r>
        <w:rPr>
          <w:rFonts w:hint="eastAsia" w:ascii="楷体" w:hAnsi="楷体" w:eastAsia="楷体" w:cs="楷体"/>
          <w:b/>
          <w:szCs w:val="24"/>
        </w:rPr>
        <w:t>注：</w:t>
      </w:r>
      <w:r>
        <w:rPr>
          <w:rFonts w:hint="eastAsia" w:ascii="楷体" w:hAnsi="楷体" w:eastAsia="楷体" w:cs="楷体"/>
          <w:b/>
          <w:kern w:val="0"/>
          <w:sz w:val="24"/>
          <w:szCs w:val="24"/>
          <w:lang w:val="en-US" w:eastAsia="zh-CN" w:bidi="ar-SA"/>
        </w:rPr>
        <w:t>投标人各类投标报价超过对应单价最高限价的按无效投标处理。</w:t>
      </w:r>
    </w:p>
    <w:p>
      <w:pPr>
        <w:tabs>
          <w:tab w:val="left" w:pos="1483"/>
        </w:tabs>
        <w:spacing w:line="360" w:lineRule="auto"/>
        <w:jc w:val="left"/>
        <w:rPr>
          <w:rFonts w:hint="eastAsia" w:ascii="楷体" w:hAnsi="楷体" w:eastAsia="楷体" w:cs="楷体"/>
          <w:szCs w:val="24"/>
          <w:highlight w:val="none"/>
          <w:lang w:eastAsia="zh-CN"/>
        </w:rPr>
      </w:pPr>
      <w:r>
        <w:rPr>
          <w:rFonts w:hint="eastAsia" w:ascii="楷体" w:hAnsi="楷体" w:eastAsia="楷体" w:cs="楷体"/>
          <w:szCs w:val="24"/>
          <w:highlight w:val="none"/>
          <w:lang w:eastAsia="zh-CN"/>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投标人名称（公章）：</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szCs w:val="24"/>
          <w:highlight w:val="none"/>
        </w:rPr>
        <w:t>）：</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日    期：</w:t>
      </w:r>
    </w:p>
    <w:p>
      <w:pPr>
        <w:pStyle w:val="25"/>
        <w:spacing w:after="0" w:line="360" w:lineRule="auto"/>
        <w:ind w:firstLine="643" w:firstLineChars="200"/>
        <w:rPr>
          <w:rFonts w:ascii="楷体" w:hAnsi="楷体" w:eastAsia="楷体" w:cs="楷体"/>
          <w:b/>
          <w:bCs/>
          <w:sz w:val="24"/>
          <w:szCs w:val="22"/>
          <w:highlight w:val="none"/>
        </w:rPr>
      </w:pPr>
      <w:r>
        <w:rPr>
          <w:rFonts w:hint="eastAsia" w:ascii="楷体" w:hAnsi="楷体" w:eastAsia="楷体" w:cs="楷体"/>
          <w:b/>
          <w:sz w:val="32"/>
          <w:szCs w:val="32"/>
          <w:highlight w:val="none"/>
        </w:rPr>
        <w:br w:type="page"/>
      </w:r>
    </w:p>
    <w:p>
      <w:pPr>
        <w:spacing w:line="360" w:lineRule="auto"/>
        <w:jc w:val="center"/>
        <w:rPr>
          <w:rFonts w:ascii="楷体" w:hAnsi="楷体" w:eastAsia="楷体" w:cs="楷体"/>
          <w:b/>
          <w:sz w:val="32"/>
          <w:szCs w:val="32"/>
          <w:highlight w:val="none"/>
        </w:rPr>
      </w:pPr>
      <w:r>
        <w:rPr>
          <w:rFonts w:hint="eastAsia" w:ascii="楷体" w:hAnsi="楷体" w:eastAsia="楷体" w:cs="楷体"/>
          <w:b/>
          <w:sz w:val="32"/>
          <w:szCs w:val="32"/>
          <w:highlight w:val="none"/>
        </w:rPr>
        <w:t>四、商务部分</w:t>
      </w:r>
    </w:p>
    <w:p>
      <w:pPr>
        <w:spacing w:line="360" w:lineRule="auto"/>
        <w:ind w:firstLine="482" w:firstLineChars="200"/>
        <w:rPr>
          <w:rFonts w:ascii="楷体" w:hAnsi="楷体" w:eastAsia="楷体" w:cs="楷体"/>
          <w:b/>
          <w:szCs w:val="24"/>
          <w:highlight w:val="none"/>
        </w:rPr>
      </w:pPr>
      <w:r>
        <w:rPr>
          <w:rFonts w:hint="eastAsia" w:ascii="楷体" w:hAnsi="楷体" w:eastAsia="楷体" w:cs="楷体"/>
          <w:b/>
          <w:szCs w:val="24"/>
          <w:highlight w:val="none"/>
        </w:rPr>
        <w:t>投标人应按照招标文件的要求编制商务要求，并封装至投标文件中。主要内容须包括以下几点，如果实质上没有响应招标文件要求，将按无效投标处理。</w:t>
      </w:r>
    </w:p>
    <w:p>
      <w:pPr>
        <w:spacing w:line="360" w:lineRule="auto"/>
        <w:rPr>
          <w:rFonts w:ascii="楷体" w:hAnsi="楷体" w:eastAsia="楷体" w:cs="楷体"/>
          <w:szCs w:val="24"/>
          <w:highlight w:val="none"/>
        </w:rPr>
      </w:pPr>
      <w:r>
        <w:rPr>
          <w:rFonts w:hint="eastAsia" w:ascii="楷体" w:hAnsi="楷体" w:eastAsia="楷体" w:cs="楷体"/>
          <w:b/>
          <w:bCs/>
          <w:szCs w:val="24"/>
          <w:highlight w:val="none"/>
        </w:rPr>
        <w:t>（一）资格审查文件</w:t>
      </w:r>
      <w:r>
        <w:rPr>
          <w:rFonts w:hint="eastAsia" w:ascii="楷体" w:hAnsi="楷体" w:eastAsia="楷体" w:cs="楷体"/>
          <w:szCs w:val="24"/>
          <w:highlight w:val="none"/>
        </w:rPr>
        <w:t>（以下相关资料按文件要求提供，须清晰可见）</w:t>
      </w:r>
    </w:p>
    <w:p>
      <w:pPr>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1.投标人具备《中华人民共和国政府采购法》第二十二条规定之资格条件。须提供的证明材料有：</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1.1提供有效合格的具有社会统一信用代码的营业执照，其他组织经营的须提供合法凭证，自然人提供身份证明文件;</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1.2财</w:t>
      </w:r>
      <w:r>
        <w:rPr>
          <w:rFonts w:hint="eastAsia" w:ascii="楷体" w:hAnsi="楷体" w:eastAsia="楷体" w:cs="楷体"/>
          <w:color w:val="auto"/>
          <w:highlight w:val="none"/>
        </w:rPr>
        <w:t>务状况报告：提供2022年度经审计的完整</w:t>
      </w:r>
      <w:r>
        <w:rPr>
          <w:rFonts w:hint="eastAsia" w:ascii="楷体" w:hAnsi="楷体" w:eastAsia="楷体" w:cs="楷体"/>
          <w:highlight w:val="none"/>
        </w:rPr>
        <w:t>财务报告或开标日期前三个月内其基本存款账户开户银行出具的资信证明。（如提供资信证明，须同时提供基本存款账户开户许可证或基本账户信息表）；</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1.3税收缴纳证明：提供202</w:t>
      </w:r>
      <w:r>
        <w:rPr>
          <w:rFonts w:hint="eastAsia" w:ascii="楷体" w:hAnsi="楷体" w:eastAsia="楷体" w:cs="楷体"/>
          <w:highlight w:val="none"/>
          <w:lang w:val="en-US" w:eastAsia="zh-CN"/>
        </w:rPr>
        <w:t>2</w:t>
      </w:r>
      <w:r>
        <w:rPr>
          <w:rFonts w:hint="eastAsia" w:ascii="楷体" w:hAnsi="楷体" w:eastAsia="楷体" w:cs="楷体"/>
          <w:highlight w:val="none"/>
        </w:rPr>
        <w:t>年</w:t>
      </w:r>
      <w:r>
        <w:rPr>
          <w:rFonts w:hint="eastAsia" w:ascii="楷体" w:hAnsi="楷体" w:eastAsia="楷体" w:cs="楷体"/>
          <w:highlight w:val="none"/>
          <w:lang w:val="en-US" w:eastAsia="zh-CN"/>
        </w:rPr>
        <w:t>6</w:t>
      </w:r>
      <w:r>
        <w:rPr>
          <w:rFonts w:hint="eastAsia" w:ascii="楷体" w:hAnsi="楷体" w:eastAsia="楷体" w:cs="楷体"/>
          <w:highlight w:val="none"/>
        </w:rPr>
        <w:t>月至今已缴纳的至少一个月的纳税证明，依法免税的单位应提供相关证明材料；</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1.4社会保障资金缴纳证明：提供202</w:t>
      </w:r>
      <w:r>
        <w:rPr>
          <w:rFonts w:hint="eastAsia" w:ascii="楷体" w:hAnsi="楷体" w:eastAsia="楷体" w:cs="楷体"/>
          <w:highlight w:val="none"/>
          <w:lang w:val="en-US" w:eastAsia="zh-CN"/>
        </w:rPr>
        <w:t>2</w:t>
      </w:r>
      <w:r>
        <w:rPr>
          <w:rFonts w:hint="eastAsia" w:ascii="楷体" w:hAnsi="楷体" w:eastAsia="楷体" w:cs="楷体"/>
          <w:highlight w:val="none"/>
        </w:rPr>
        <w:t>年</w:t>
      </w:r>
      <w:r>
        <w:rPr>
          <w:rFonts w:hint="eastAsia" w:ascii="楷体" w:hAnsi="楷体" w:eastAsia="楷体" w:cs="楷体"/>
          <w:highlight w:val="none"/>
          <w:lang w:val="en-US" w:eastAsia="zh-CN"/>
        </w:rPr>
        <w:t>6</w:t>
      </w:r>
      <w:r>
        <w:rPr>
          <w:rFonts w:hint="eastAsia" w:ascii="楷体" w:hAnsi="楷体" w:eastAsia="楷体" w:cs="楷体"/>
          <w:highlight w:val="none"/>
        </w:rPr>
        <w:t>月至今已缴存的至少一个月的社会保障资金缴存单据或社保机构开具的社会保险参保缴费情况证明，依法不需要缴纳社会保障资金的单位应提供相关证明材料；</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1.5具备履行合同所必须的设备和专业技术能力的书面声明;</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1.6参加政府采购活动前三年内，在经营活动中没有重大违法记录的书面声明；</w:t>
      </w:r>
    </w:p>
    <w:p>
      <w:pPr>
        <w:pStyle w:val="24"/>
        <w:spacing w:before="0" w:beforeAutospacing="0" w:after="0" w:afterAutospacing="0" w:line="360" w:lineRule="auto"/>
        <w:ind w:firstLine="480" w:firstLineChars="200"/>
        <w:rPr>
          <w:rFonts w:ascii="楷体" w:hAnsi="楷体" w:eastAsia="楷体" w:cs="楷体"/>
          <w:highlight w:val="none"/>
        </w:rPr>
      </w:pPr>
      <w:r>
        <w:rPr>
          <w:rFonts w:hint="eastAsia" w:ascii="楷体" w:hAnsi="楷体" w:eastAsia="楷体" w:cs="楷体"/>
          <w:highlight w:val="none"/>
        </w:rPr>
        <w:t>2.特定资格条件</w:t>
      </w:r>
    </w:p>
    <w:p>
      <w:pPr>
        <w:pStyle w:val="24"/>
        <w:spacing w:before="0" w:beforeAutospacing="0" w:after="0" w:afterAutospacing="0" w:line="360" w:lineRule="auto"/>
        <w:ind w:firstLine="480" w:firstLineChars="200"/>
        <w:jc w:val="both"/>
        <w:rPr>
          <w:rFonts w:ascii="楷体" w:hAnsi="楷体" w:eastAsia="楷体" w:cs="楷体"/>
          <w:highlight w:val="none"/>
          <w:shd w:val="clear" w:color="auto" w:fill="FFFFFF"/>
        </w:rPr>
      </w:pPr>
      <w:r>
        <w:rPr>
          <w:rFonts w:hint="eastAsia" w:ascii="楷体" w:hAnsi="楷体" w:eastAsia="楷体" w:cs="楷体"/>
          <w:highlight w:val="none"/>
          <w:shd w:val="clear" w:color="auto" w:fill="FFFFFF"/>
        </w:rPr>
        <w:t>2.1供应商未被列入信用中国网站(www.creditchina.gov.cn)“失信被执行人、重大税收违法失信主体”；不处于中国政府采购网(www.ccgp.gov.cn)“政府采购严重违法失信行为信息记录”中的禁止参加政府采购活动期间；</w:t>
      </w:r>
    </w:p>
    <w:p>
      <w:pPr>
        <w:pStyle w:val="24"/>
        <w:spacing w:before="0" w:beforeAutospacing="0" w:after="0" w:afterAutospacing="0" w:line="360" w:lineRule="auto"/>
        <w:ind w:firstLine="480" w:firstLineChars="200"/>
        <w:jc w:val="both"/>
        <w:rPr>
          <w:rFonts w:hint="eastAsia" w:ascii="楷体" w:hAnsi="楷体" w:eastAsia="楷体" w:cs="楷体"/>
          <w:highlight w:val="none"/>
          <w:shd w:val="clear" w:color="auto" w:fill="FFFFFF"/>
        </w:rPr>
      </w:pPr>
      <w:r>
        <w:rPr>
          <w:rFonts w:hint="eastAsia" w:ascii="楷体" w:hAnsi="楷体" w:eastAsia="楷体" w:cs="楷体"/>
          <w:highlight w:val="none"/>
          <w:shd w:val="clear" w:color="auto" w:fill="FFFFFF"/>
        </w:rPr>
        <w:t>2.2法定代表人授权委托书、被授权人身份证（法定代表人参加投标时,只需提供法定代表人身份证）；非法人单位参照执行；</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rFonts w:hint="eastAsia"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2.3投标人须具备食品生产许可证（生产许可证中生产者名称与营业执照名</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lang w:val="en-US" w:eastAsia="zh-CN"/>
        </w:rPr>
        <w:t>称一致）</w:t>
      </w:r>
      <w:r>
        <w:rPr>
          <w:rFonts w:hint="eastAsia" w:ascii="楷体" w:hAnsi="楷体" w:eastAsia="楷体" w:cs="楷体"/>
          <w:i w:val="0"/>
          <w:iCs w:val="0"/>
          <w:caps w:val="0"/>
          <w:color w:val="auto"/>
          <w:spacing w:val="0"/>
          <w:sz w:val="24"/>
          <w:szCs w:val="24"/>
          <w:highlight w:val="none"/>
          <w:shd w:val="clear" w:fill="FFFFFF"/>
          <w:lang w:eastAsia="zh-CN"/>
        </w:rPr>
        <w:t>；</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leftChars="0" w:right="0" w:rightChars="0"/>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i w:val="0"/>
          <w:iCs w:val="0"/>
          <w:caps w:val="0"/>
          <w:color w:val="auto"/>
          <w:spacing w:val="0"/>
          <w:sz w:val="24"/>
          <w:szCs w:val="24"/>
          <w:highlight w:val="none"/>
          <w:shd w:val="clear" w:fill="FFFFFF"/>
          <w:lang w:val="en-US" w:eastAsia="zh-CN"/>
        </w:rPr>
        <w:t>2.4</w:t>
      </w:r>
      <w:r>
        <w:rPr>
          <w:rFonts w:hint="eastAsia" w:ascii="楷体" w:hAnsi="楷体" w:eastAsia="楷体" w:cs="楷体"/>
          <w:i w:val="0"/>
          <w:iCs w:val="0"/>
          <w:caps w:val="0"/>
          <w:color w:val="auto"/>
          <w:spacing w:val="0"/>
          <w:sz w:val="24"/>
          <w:szCs w:val="24"/>
          <w:highlight w:val="none"/>
          <w:shd w:val="clear" w:fill="FFFFFF"/>
          <w:lang w:eastAsia="zh-CN"/>
        </w:rPr>
        <w:t>为学校提供的饮水机具有3C认证证书及保险</w:t>
      </w:r>
      <w:r>
        <w:rPr>
          <w:rFonts w:hint="eastAsia" w:ascii="楷体" w:hAnsi="楷体" w:eastAsia="楷体" w:cs="楷体"/>
          <w:i w:val="0"/>
          <w:iCs w:val="0"/>
          <w:caps w:val="0"/>
          <w:color w:val="auto"/>
          <w:spacing w:val="0"/>
          <w:sz w:val="24"/>
          <w:szCs w:val="24"/>
          <w:highlight w:val="none"/>
          <w:shd w:val="clear" w:fill="FFFFFF"/>
        </w:rPr>
        <w:t>。</w:t>
      </w:r>
    </w:p>
    <w:p>
      <w:pPr>
        <w:pStyle w:val="24"/>
        <w:spacing w:before="0" w:beforeAutospacing="0" w:after="0" w:afterAutospacing="0" w:line="360" w:lineRule="auto"/>
        <w:ind w:firstLine="480" w:firstLineChars="200"/>
        <w:jc w:val="both"/>
        <w:rPr>
          <w:rFonts w:hint="eastAsia" w:ascii="楷体" w:hAnsi="楷体" w:eastAsia="楷体" w:cs="楷体"/>
          <w:highlight w:val="none"/>
          <w:shd w:val="clear" w:color="auto" w:fill="FFFFFF"/>
        </w:rPr>
      </w:pPr>
    </w:p>
    <w:p>
      <w:pPr>
        <w:adjustRightInd w:val="0"/>
        <w:snapToGrid w:val="0"/>
        <w:spacing w:line="360" w:lineRule="auto"/>
        <w:rPr>
          <w:rFonts w:ascii="楷体" w:hAnsi="楷体" w:eastAsia="楷体" w:cs="楷体"/>
          <w:b/>
          <w:bCs/>
          <w:sz w:val="32"/>
          <w:szCs w:val="32"/>
          <w:highlight w:val="none"/>
        </w:rPr>
      </w:pPr>
      <w:r>
        <w:rPr>
          <w:rFonts w:hint="eastAsia" w:ascii="楷体" w:hAnsi="楷体" w:eastAsia="楷体" w:cs="楷体"/>
          <w:b/>
          <w:bCs/>
          <w:sz w:val="32"/>
          <w:szCs w:val="32"/>
          <w:highlight w:val="none"/>
        </w:rPr>
        <w:t>附件1：</w:t>
      </w:r>
    </w:p>
    <w:p>
      <w:pPr>
        <w:adjustRightInd w:val="0"/>
        <w:snapToGrid w:val="0"/>
        <w:spacing w:line="360" w:lineRule="auto"/>
        <w:jc w:val="center"/>
        <w:rPr>
          <w:rFonts w:ascii="楷体" w:hAnsi="楷体" w:eastAsia="楷体" w:cs="楷体"/>
          <w:b/>
          <w:bCs/>
          <w:sz w:val="32"/>
          <w:szCs w:val="32"/>
          <w:highlight w:val="none"/>
        </w:rPr>
      </w:pPr>
      <w:r>
        <w:rPr>
          <w:rFonts w:hint="eastAsia" w:ascii="楷体" w:hAnsi="楷体" w:eastAsia="楷体" w:cs="楷体"/>
          <w:b/>
          <w:bCs/>
          <w:sz w:val="32"/>
          <w:szCs w:val="32"/>
          <w:highlight w:val="none"/>
        </w:rPr>
        <w:t>具备履行合同所必须的设备和专业技术能力</w:t>
      </w:r>
    </w:p>
    <w:p>
      <w:pPr>
        <w:adjustRightInd w:val="0"/>
        <w:snapToGrid w:val="0"/>
        <w:spacing w:line="360" w:lineRule="auto"/>
        <w:jc w:val="center"/>
        <w:rPr>
          <w:rFonts w:ascii="楷体" w:hAnsi="楷体" w:eastAsia="楷体" w:cs="楷体"/>
          <w:b/>
          <w:bCs/>
          <w:sz w:val="32"/>
          <w:szCs w:val="32"/>
          <w:highlight w:val="none"/>
        </w:rPr>
      </w:pPr>
      <w:r>
        <w:rPr>
          <w:rFonts w:hint="eastAsia" w:ascii="楷体" w:hAnsi="楷体" w:eastAsia="楷体" w:cs="楷体"/>
          <w:b/>
          <w:bCs/>
          <w:sz w:val="32"/>
          <w:szCs w:val="32"/>
          <w:highlight w:val="none"/>
        </w:rPr>
        <w:t>的书面声明</w:t>
      </w:r>
    </w:p>
    <w:p>
      <w:pPr>
        <w:spacing w:line="720" w:lineRule="auto"/>
        <w:jc w:val="left"/>
        <w:rPr>
          <w:rFonts w:hint="eastAsia" w:ascii="楷体" w:hAnsi="楷体" w:eastAsia="楷体" w:cs="楷体"/>
          <w:b/>
          <w:bCs/>
          <w:szCs w:val="22"/>
          <w:highlight w:val="none"/>
          <w:lang w:eastAsia="zh-CN"/>
        </w:rPr>
      </w:pPr>
      <w:r>
        <w:rPr>
          <w:rFonts w:hint="eastAsia" w:ascii="楷体" w:hAnsi="楷体" w:eastAsia="楷体" w:cs="楷体"/>
          <w:b/>
          <w:bCs/>
          <w:szCs w:val="22"/>
          <w:highlight w:val="none"/>
        </w:rPr>
        <w:t>致：</w:t>
      </w:r>
      <w:r>
        <w:rPr>
          <w:rFonts w:hint="eastAsia" w:ascii="楷体" w:hAnsi="楷体" w:eastAsia="楷体" w:cs="楷体"/>
          <w:b/>
          <w:bCs/>
          <w:szCs w:val="22"/>
          <w:highlight w:val="none"/>
          <w:lang w:eastAsia="zh-CN"/>
        </w:rPr>
        <w:t>陕西正翼项目管理咨询有限公司</w:t>
      </w:r>
    </w:p>
    <w:p>
      <w:pPr>
        <w:spacing w:line="720" w:lineRule="auto"/>
        <w:ind w:firstLine="480" w:firstLineChars="200"/>
        <w:jc w:val="left"/>
        <w:rPr>
          <w:rFonts w:ascii="楷体" w:hAnsi="楷体" w:eastAsia="楷体" w:cs="楷体"/>
          <w:szCs w:val="22"/>
          <w:highlight w:val="none"/>
        </w:rPr>
      </w:pPr>
      <w:r>
        <w:rPr>
          <w:rFonts w:hint="eastAsia" w:ascii="楷体" w:hAnsi="楷体" w:eastAsia="楷体" w:cs="楷体"/>
          <w:szCs w:val="22"/>
          <w:highlight w:val="none"/>
        </w:rPr>
        <w:t>作为参加贵公司组织的招标项目的投标人，本公司郑重申告并承诺：我公司（</w:t>
      </w:r>
      <w:r>
        <w:rPr>
          <w:rFonts w:hint="eastAsia" w:ascii="楷体" w:hAnsi="楷体" w:eastAsia="楷体" w:cs="楷体"/>
          <w:szCs w:val="22"/>
          <w:highlight w:val="none"/>
          <w:u w:val="single"/>
        </w:rPr>
        <w:t>具备/不具备</w:t>
      </w:r>
      <w:r>
        <w:rPr>
          <w:rFonts w:hint="eastAsia" w:ascii="楷体" w:hAnsi="楷体" w:eastAsia="楷体" w:cs="楷体"/>
          <w:szCs w:val="22"/>
          <w:highlight w:val="none"/>
        </w:rPr>
        <w:t>）履行合同所必须的设备和专业技术能力的书面声明，如有隐瞒或违反，同意接受业主及行政主管部门处理和处罚决定。</w:t>
      </w:r>
    </w:p>
    <w:p>
      <w:pPr>
        <w:spacing w:line="720" w:lineRule="auto"/>
        <w:ind w:firstLine="480" w:firstLineChars="200"/>
        <w:jc w:val="left"/>
        <w:rPr>
          <w:rFonts w:ascii="楷体" w:hAnsi="楷体" w:eastAsia="楷体" w:cs="楷体"/>
          <w:szCs w:val="22"/>
          <w:highlight w:val="none"/>
        </w:rPr>
      </w:pPr>
    </w:p>
    <w:p>
      <w:pPr>
        <w:spacing w:line="360" w:lineRule="auto"/>
        <w:jc w:val="left"/>
        <w:rPr>
          <w:rFonts w:ascii="楷体" w:hAnsi="楷体" w:eastAsia="楷体" w:cs="楷体"/>
          <w:highlight w:val="none"/>
        </w:rPr>
      </w:pPr>
    </w:p>
    <w:p>
      <w:pPr>
        <w:spacing w:line="360" w:lineRule="auto"/>
        <w:jc w:val="left"/>
        <w:rPr>
          <w:rFonts w:ascii="楷体" w:hAnsi="楷体" w:eastAsia="楷体" w:cs="楷体"/>
          <w:highlight w:val="none"/>
        </w:rPr>
      </w:pPr>
    </w:p>
    <w:p>
      <w:pPr>
        <w:spacing w:line="360" w:lineRule="auto"/>
        <w:jc w:val="left"/>
        <w:rPr>
          <w:rFonts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ascii="楷体" w:hAnsi="楷体" w:eastAsia="楷体" w:cs="楷体"/>
          <w:b/>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b/>
          <w:highlight w:val="none"/>
        </w:rPr>
        <w:t>：</w:t>
      </w:r>
      <w:r>
        <w:rPr>
          <w:rFonts w:hint="eastAsia" w:ascii="楷体" w:hAnsi="楷体" w:eastAsia="楷体" w:cs="楷体"/>
          <w:b/>
          <w:highlight w:val="none"/>
          <w:u w:val="single"/>
        </w:rPr>
        <w:t xml:space="preserve">                </w:t>
      </w:r>
    </w:p>
    <w:p>
      <w:pPr>
        <w:spacing w:line="360" w:lineRule="auto"/>
        <w:rPr>
          <w:rFonts w:ascii="楷体" w:hAnsi="楷体" w:eastAsia="楷体" w:cs="楷体"/>
          <w:highlight w:val="none"/>
        </w:rPr>
      </w:pPr>
      <w:r>
        <w:rPr>
          <w:rFonts w:hint="eastAsia" w:ascii="楷体" w:hAnsi="楷体" w:eastAsia="楷体" w:cs="楷体"/>
          <w:highlight w:val="none"/>
        </w:rPr>
        <w:t>日    期：</w:t>
      </w:r>
    </w:p>
    <w:p>
      <w:pPr>
        <w:adjustRightInd w:val="0"/>
        <w:snapToGrid w:val="0"/>
        <w:spacing w:line="360" w:lineRule="auto"/>
        <w:jc w:val="left"/>
        <w:rPr>
          <w:rFonts w:ascii="楷体" w:hAnsi="楷体" w:eastAsia="楷体" w:cs="楷体"/>
          <w:highlight w:val="none"/>
        </w:rPr>
      </w:pPr>
    </w:p>
    <w:p>
      <w:pPr>
        <w:pStyle w:val="34"/>
        <w:ind w:firstLine="0" w:firstLineChars="0"/>
        <w:rPr>
          <w:rFonts w:ascii="楷体" w:hAnsi="楷体" w:eastAsia="楷体" w:cs="楷体"/>
          <w:b/>
          <w:bCs/>
          <w:highlight w:val="none"/>
        </w:rPr>
      </w:pPr>
      <w:r>
        <w:rPr>
          <w:rFonts w:hint="eastAsia" w:ascii="楷体" w:hAnsi="楷体" w:eastAsia="楷体" w:cs="楷体"/>
          <w:b/>
          <w:bCs/>
          <w:highlight w:val="none"/>
        </w:rPr>
        <w:t>备注：投标人须根据自身实际情况作出真实声明。</w:t>
      </w:r>
    </w:p>
    <w:p>
      <w:pPr>
        <w:spacing w:line="360" w:lineRule="auto"/>
        <w:rPr>
          <w:rFonts w:ascii="楷体" w:hAnsi="楷体" w:eastAsia="楷体" w:cs="楷体"/>
          <w:b/>
          <w:bCs/>
          <w:sz w:val="32"/>
          <w:szCs w:val="32"/>
          <w:highlight w:val="none"/>
        </w:rPr>
      </w:pPr>
      <w:r>
        <w:rPr>
          <w:rFonts w:hint="eastAsia" w:ascii="楷体" w:hAnsi="楷体" w:eastAsia="楷体" w:cs="楷体"/>
          <w:b/>
          <w:bCs/>
          <w:sz w:val="32"/>
          <w:szCs w:val="32"/>
          <w:highlight w:val="none"/>
        </w:rPr>
        <w:br w:type="page"/>
      </w:r>
      <w:r>
        <w:rPr>
          <w:rFonts w:hint="eastAsia" w:ascii="楷体" w:hAnsi="楷体" w:eastAsia="楷体" w:cs="楷体"/>
          <w:b/>
          <w:bCs/>
          <w:sz w:val="32"/>
          <w:szCs w:val="32"/>
          <w:highlight w:val="none"/>
        </w:rPr>
        <w:t>附件2：</w:t>
      </w:r>
    </w:p>
    <w:p>
      <w:pPr>
        <w:spacing w:line="360" w:lineRule="auto"/>
        <w:jc w:val="center"/>
        <w:rPr>
          <w:rFonts w:ascii="楷体" w:hAnsi="楷体" w:eastAsia="楷体" w:cs="楷体"/>
          <w:b/>
          <w:bCs/>
          <w:sz w:val="32"/>
          <w:szCs w:val="32"/>
          <w:highlight w:val="none"/>
        </w:rPr>
      </w:pPr>
      <w:r>
        <w:rPr>
          <w:rFonts w:hint="eastAsia" w:ascii="楷体" w:hAnsi="楷体" w:eastAsia="楷体" w:cs="楷体"/>
          <w:b/>
          <w:bCs/>
          <w:sz w:val="32"/>
          <w:szCs w:val="32"/>
          <w:highlight w:val="none"/>
        </w:rPr>
        <w:t>参加政府采购活动前三年内，在经营活动中</w:t>
      </w:r>
    </w:p>
    <w:p>
      <w:pPr>
        <w:spacing w:line="360" w:lineRule="auto"/>
        <w:jc w:val="center"/>
        <w:rPr>
          <w:rFonts w:ascii="楷体" w:hAnsi="楷体" w:eastAsia="楷体" w:cs="楷体"/>
          <w:b/>
          <w:bCs/>
          <w:sz w:val="32"/>
          <w:szCs w:val="32"/>
          <w:highlight w:val="none"/>
        </w:rPr>
      </w:pPr>
      <w:r>
        <w:rPr>
          <w:rFonts w:hint="eastAsia" w:ascii="楷体" w:hAnsi="楷体" w:eastAsia="楷体" w:cs="楷体"/>
          <w:b/>
          <w:bCs/>
          <w:sz w:val="32"/>
          <w:szCs w:val="32"/>
          <w:highlight w:val="none"/>
        </w:rPr>
        <w:t>没有重大违法记录书面声明</w:t>
      </w:r>
    </w:p>
    <w:p>
      <w:pPr>
        <w:spacing w:line="720" w:lineRule="auto"/>
        <w:jc w:val="left"/>
        <w:rPr>
          <w:rFonts w:hint="eastAsia" w:ascii="楷体" w:hAnsi="楷体" w:eastAsia="楷体" w:cs="楷体"/>
          <w:b/>
          <w:highlight w:val="none"/>
          <w:lang w:eastAsia="zh-CN"/>
        </w:rPr>
      </w:pPr>
      <w:r>
        <w:rPr>
          <w:rFonts w:hint="eastAsia" w:ascii="楷体" w:hAnsi="楷体" w:eastAsia="楷体" w:cs="楷体"/>
          <w:b/>
          <w:highlight w:val="none"/>
        </w:rPr>
        <w:t>致：</w:t>
      </w:r>
      <w:r>
        <w:rPr>
          <w:rFonts w:hint="eastAsia" w:ascii="楷体" w:hAnsi="楷体" w:eastAsia="楷体" w:cs="楷体"/>
          <w:b/>
          <w:highlight w:val="none"/>
          <w:lang w:eastAsia="zh-CN"/>
        </w:rPr>
        <w:t>陕西正翼项目管理咨询有限公司</w:t>
      </w:r>
    </w:p>
    <w:p>
      <w:pPr>
        <w:spacing w:line="720" w:lineRule="auto"/>
        <w:ind w:firstLine="480" w:firstLineChars="200"/>
        <w:jc w:val="left"/>
        <w:rPr>
          <w:rFonts w:ascii="楷体" w:hAnsi="楷体" w:eastAsia="楷体" w:cs="楷体"/>
          <w:szCs w:val="22"/>
          <w:highlight w:val="none"/>
        </w:rPr>
      </w:pPr>
      <w:r>
        <w:rPr>
          <w:rFonts w:hint="eastAsia" w:ascii="楷体" w:hAnsi="楷体" w:eastAsia="楷体" w:cs="楷体"/>
          <w:szCs w:val="22"/>
          <w:highlight w:val="none"/>
        </w:rPr>
        <w:t>作为参加贵公司组织的招标项目的投标人，本公司郑重声明：近三年未受到有关行政主管部门的行政处理、无不良行为，产生的重大违法记录为</w:t>
      </w:r>
      <w:r>
        <w:rPr>
          <w:rFonts w:hint="eastAsia" w:ascii="楷体" w:hAnsi="楷体" w:eastAsia="楷体" w:cs="楷体"/>
          <w:szCs w:val="22"/>
          <w:highlight w:val="none"/>
          <w:u w:val="single"/>
        </w:rPr>
        <w:t xml:space="preserve">    </w:t>
      </w:r>
      <w:r>
        <w:rPr>
          <w:rFonts w:hint="eastAsia" w:ascii="楷体" w:hAnsi="楷体" w:eastAsia="楷体" w:cs="楷体"/>
          <w:szCs w:val="22"/>
          <w:highlight w:val="none"/>
        </w:rPr>
        <w:t>（没有填“零”）次。如有隐瞒或违反，同意接受业主及行政主管部门处理和处罚决定。</w:t>
      </w:r>
    </w:p>
    <w:p>
      <w:pPr>
        <w:spacing w:line="360" w:lineRule="auto"/>
        <w:ind w:firstLine="480" w:firstLineChars="200"/>
        <w:jc w:val="left"/>
        <w:rPr>
          <w:rFonts w:ascii="楷体" w:hAnsi="楷体" w:eastAsia="楷体" w:cs="楷体"/>
          <w:highlight w:val="none"/>
        </w:rPr>
      </w:pPr>
    </w:p>
    <w:p>
      <w:pPr>
        <w:spacing w:line="360" w:lineRule="auto"/>
        <w:ind w:firstLine="480" w:firstLineChars="200"/>
        <w:jc w:val="left"/>
        <w:rPr>
          <w:rFonts w:ascii="楷体" w:hAnsi="楷体" w:eastAsia="楷体" w:cs="楷体"/>
          <w:highlight w:val="none"/>
        </w:rPr>
      </w:pPr>
    </w:p>
    <w:p>
      <w:pPr>
        <w:spacing w:line="360" w:lineRule="auto"/>
        <w:jc w:val="left"/>
        <w:rPr>
          <w:rFonts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ascii="楷体" w:hAnsi="楷体" w:eastAsia="楷体" w:cs="楷体"/>
          <w:b/>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b/>
          <w:highlight w:val="none"/>
        </w:rPr>
        <w:t>：</w:t>
      </w:r>
    </w:p>
    <w:p>
      <w:pPr>
        <w:spacing w:line="360" w:lineRule="auto"/>
        <w:rPr>
          <w:rFonts w:ascii="楷体" w:hAnsi="楷体" w:eastAsia="楷体" w:cs="楷体"/>
          <w:highlight w:val="none"/>
        </w:rPr>
      </w:pPr>
      <w:r>
        <w:rPr>
          <w:rFonts w:hint="eastAsia" w:ascii="楷体" w:hAnsi="楷体" w:eastAsia="楷体" w:cs="楷体"/>
          <w:highlight w:val="none"/>
        </w:rPr>
        <w:t>日    期：</w:t>
      </w:r>
    </w:p>
    <w:p>
      <w:pPr>
        <w:adjustRightInd w:val="0"/>
        <w:snapToGrid w:val="0"/>
        <w:spacing w:line="360" w:lineRule="auto"/>
        <w:jc w:val="left"/>
        <w:rPr>
          <w:rFonts w:ascii="楷体" w:hAnsi="楷体" w:eastAsia="楷体" w:cs="楷体"/>
          <w:szCs w:val="24"/>
          <w:highlight w:val="none"/>
        </w:rPr>
      </w:pPr>
    </w:p>
    <w:p>
      <w:pPr>
        <w:adjustRightInd w:val="0"/>
        <w:snapToGrid w:val="0"/>
        <w:spacing w:line="360" w:lineRule="auto"/>
        <w:jc w:val="left"/>
        <w:rPr>
          <w:rFonts w:ascii="楷体" w:hAnsi="楷体" w:eastAsia="楷体" w:cs="楷体"/>
          <w:szCs w:val="24"/>
          <w:highlight w:val="none"/>
        </w:rPr>
      </w:pPr>
    </w:p>
    <w:p>
      <w:pPr>
        <w:pStyle w:val="34"/>
        <w:spacing w:line="360" w:lineRule="auto"/>
        <w:ind w:firstLine="0" w:firstLineChars="0"/>
        <w:rPr>
          <w:rFonts w:ascii="楷体" w:hAnsi="楷体" w:eastAsia="楷体" w:cs="楷体"/>
          <w:b/>
          <w:bCs/>
          <w:highlight w:val="none"/>
        </w:rPr>
      </w:pPr>
      <w:r>
        <w:rPr>
          <w:rFonts w:hint="eastAsia" w:ascii="楷体" w:hAnsi="楷体" w:eastAsia="楷体" w:cs="楷体"/>
          <w:b/>
          <w:bCs/>
          <w:highlight w:val="none"/>
        </w:rPr>
        <w:t>备注：1.投标人须根据自身实际情况作出真实声明。2.重大违法记录，是指</w:t>
      </w:r>
      <w:r>
        <w:rPr>
          <w:rFonts w:hint="eastAsia" w:ascii="楷体" w:hAnsi="楷体" w:eastAsia="楷体" w:cs="楷体"/>
          <w:b/>
          <w:bCs/>
          <w:szCs w:val="24"/>
          <w:highlight w:val="none"/>
        </w:rPr>
        <w:t>投标人</w:t>
      </w:r>
      <w:r>
        <w:rPr>
          <w:rFonts w:hint="eastAsia" w:ascii="楷体" w:hAnsi="楷体" w:eastAsia="楷体" w:cs="楷体"/>
          <w:b/>
          <w:bCs/>
          <w:highlight w:val="none"/>
        </w:rPr>
        <w:t>因违法经营受到刑事处罚或者责令停产停业、吊销许可证或者执照、较大数额罚款等行政处罚。</w:t>
      </w:r>
    </w:p>
    <w:p>
      <w:pPr>
        <w:adjustRightInd w:val="0"/>
        <w:snapToGrid w:val="0"/>
        <w:spacing w:line="360" w:lineRule="auto"/>
        <w:jc w:val="left"/>
        <w:rPr>
          <w:rFonts w:ascii="楷体" w:hAnsi="楷体" w:eastAsia="楷体" w:cs="楷体"/>
          <w:szCs w:val="24"/>
          <w:highlight w:val="none"/>
        </w:rPr>
        <w:sectPr>
          <w:footerReference r:id="rId8" w:type="default"/>
          <w:pgSz w:w="11906" w:h="16838"/>
          <w:pgMar w:top="1440" w:right="1803" w:bottom="1440" w:left="1803" w:header="851" w:footer="992" w:gutter="0"/>
          <w:pgNumType w:fmt="decimal"/>
          <w:cols w:space="720" w:num="1"/>
          <w:docGrid w:type="lines" w:linePitch="312" w:charSpace="0"/>
        </w:sectPr>
      </w:pPr>
      <w:r>
        <w:rPr>
          <w:rFonts w:hint="eastAsia" w:ascii="楷体" w:hAnsi="楷体" w:eastAsia="楷体" w:cs="楷体"/>
          <w:szCs w:val="24"/>
          <w:highlight w:val="none"/>
        </w:rPr>
        <w:br w:type="page"/>
      </w:r>
    </w:p>
    <w:p>
      <w:pPr>
        <w:adjustRightInd w:val="0"/>
        <w:snapToGrid w:val="0"/>
        <w:spacing w:line="360" w:lineRule="auto"/>
        <w:jc w:val="left"/>
        <w:rPr>
          <w:rFonts w:ascii="楷体" w:hAnsi="楷体" w:eastAsia="楷体" w:cs="楷体"/>
          <w:highlight w:val="none"/>
        </w:rPr>
      </w:pPr>
      <w:r>
        <w:rPr>
          <w:rFonts w:hint="eastAsia" w:ascii="楷体" w:hAnsi="楷体" w:eastAsia="楷体" w:cs="楷体"/>
          <w:b/>
          <w:bCs/>
          <w:szCs w:val="24"/>
          <w:highlight w:val="none"/>
        </w:rPr>
        <w:t>（二）投标人资格声明</w:t>
      </w:r>
    </w:p>
    <w:p>
      <w:pPr>
        <w:spacing w:line="360" w:lineRule="auto"/>
        <w:jc w:val="center"/>
        <w:rPr>
          <w:rFonts w:ascii="楷体" w:hAnsi="楷体" w:eastAsia="楷体" w:cs="楷体"/>
          <w:b/>
          <w:sz w:val="30"/>
          <w:szCs w:val="30"/>
          <w:highlight w:val="none"/>
        </w:rPr>
      </w:pPr>
      <w:r>
        <w:rPr>
          <w:rFonts w:hint="eastAsia" w:ascii="楷体" w:hAnsi="楷体" w:eastAsia="楷体" w:cs="楷体"/>
          <w:b/>
          <w:sz w:val="30"/>
          <w:szCs w:val="30"/>
          <w:highlight w:val="none"/>
        </w:rPr>
        <w:t>1.投标人资格声明</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1.名称及其它情况</w:t>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 xml:space="preserve">  投标人名称：</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u w:val="single"/>
        </w:rPr>
      </w:pPr>
      <w:r>
        <w:rPr>
          <w:rFonts w:hint="eastAsia" w:ascii="楷体" w:hAnsi="楷体" w:eastAsia="楷体" w:cs="楷体"/>
          <w:szCs w:val="24"/>
          <w:highlight w:val="none"/>
        </w:rPr>
        <w:t xml:space="preserve">  地   址：</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ind w:firstLine="240" w:firstLineChars="100"/>
        <w:jc w:val="left"/>
        <w:rPr>
          <w:rFonts w:ascii="楷体" w:hAnsi="楷体" w:eastAsia="楷体" w:cs="楷体"/>
          <w:szCs w:val="24"/>
          <w:highlight w:val="none"/>
        </w:rPr>
      </w:pPr>
      <w:r>
        <w:rPr>
          <w:rFonts w:hint="eastAsia" w:ascii="楷体" w:hAnsi="楷体" w:eastAsia="楷体" w:cs="楷体"/>
          <w:szCs w:val="24"/>
          <w:highlight w:val="none"/>
        </w:rPr>
        <w:t>电  话：</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 xml:space="preserve">  成立和注册日期：</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 xml:space="preserve">  主管部门：</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 xml:space="preserve">  公司性质：</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 xml:space="preserve">  职工总人数：</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 xml:space="preserve">                  </w:t>
      </w:r>
      <w:r>
        <w:rPr>
          <w:rFonts w:hint="eastAsia" w:ascii="楷体" w:hAnsi="楷体" w:eastAsia="楷体" w:cs="楷体"/>
          <w:szCs w:val="24"/>
          <w:highlight w:val="none"/>
          <w:u w:val="single"/>
        </w:rPr>
        <w:tab/>
      </w:r>
      <w:r>
        <w:rPr>
          <w:rFonts w:hint="eastAsia" w:ascii="楷体" w:hAnsi="楷体" w:eastAsia="楷体" w:cs="楷体"/>
          <w:szCs w:val="24"/>
          <w:highlight w:val="none"/>
          <w:u w:val="single"/>
        </w:rPr>
        <w:tab/>
      </w:r>
    </w:p>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2.投标人最近三年法律纠纷情况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时间</w:t>
            </w:r>
          </w:p>
        </w:tc>
        <w:tc>
          <w:tcPr>
            <w:tcW w:w="2280"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案由</w:t>
            </w:r>
          </w:p>
        </w:tc>
        <w:tc>
          <w:tcPr>
            <w:tcW w:w="1826"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涉及金额</w:t>
            </w:r>
          </w:p>
        </w:tc>
        <w:tc>
          <w:tcPr>
            <w:tcW w:w="2812"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360" w:lineRule="auto"/>
              <w:jc w:val="left"/>
              <w:rPr>
                <w:rFonts w:ascii="楷体" w:hAnsi="楷体" w:eastAsia="楷体" w:cs="楷体"/>
                <w:szCs w:val="24"/>
                <w:highlight w:val="none"/>
              </w:rPr>
            </w:pPr>
          </w:p>
        </w:tc>
        <w:tc>
          <w:tcPr>
            <w:tcW w:w="2280" w:type="dxa"/>
          </w:tcPr>
          <w:p>
            <w:pPr>
              <w:spacing w:line="360" w:lineRule="auto"/>
              <w:jc w:val="left"/>
              <w:rPr>
                <w:rFonts w:ascii="楷体" w:hAnsi="楷体" w:eastAsia="楷体" w:cs="楷体"/>
                <w:szCs w:val="24"/>
                <w:highlight w:val="none"/>
              </w:rPr>
            </w:pPr>
          </w:p>
        </w:tc>
        <w:tc>
          <w:tcPr>
            <w:tcW w:w="1826" w:type="dxa"/>
          </w:tcPr>
          <w:p>
            <w:pPr>
              <w:spacing w:line="360" w:lineRule="auto"/>
              <w:jc w:val="left"/>
              <w:rPr>
                <w:rFonts w:ascii="楷体" w:hAnsi="楷体" w:eastAsia="楷体" w:cs="楷体"/>
                <w:szCs w:val="24"/>
                <w:highlight w:val="none"/>
              </w:rPr>
            </w:pPr>
          </w:p>
        </w:tc>
        <w:tc>
          <w:tcPr>
            <w:tcW w:w="2812" w:type="dxa"/>
          </w:tcPr>
          <w:p>
            <w:pPr>
              <w:spacing w:line="360" w:lineRule="auto"/>
              <w:jc w:val="left"/>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360" w:lineRule="auto"/>
              <w:jc w:val="left"/>
              <w:rPr>
                <w:rFonts w:ascii="楷体" w:hAnsi="楷体" w:eastAsia="楷体" w:cs="楷体"/>
                <w:szCs w:val="24"/>
                <w:highlight w:val="none"/>
              </w:rPr>
            </w:pPr>
          </w:p>
        </w:tc>
        <w:tc>
          <w:tcPr>
            <w:tcW w:w="2280" w:type="dxa"/>
          </w:tcPr>
          <w:p>
            <w:pPr>
              <w:spacing w:line="360" w:lineRule="auto"/>
              <w:jc w:val="left"/>
              <w:rPr>
                <w:rFonts w:ascii="楷体" w:hAnsi="楷体" w:eastAsia="楷体" w:cs="楷体"/>
                <w:szCs w:val="24"/>
                <w:highlight w:val="none"/>
              </w:rPr>
            </w:pPr>
          </w:p>
        </w:tc>
        <w:tc>
          <w:tcPr>
            <w:tcW w:w="1826" w:type="dxa"/>
          </w:tcPr>
          <w:p>
            <w:pPr>
              <w:spacing w:line="360" w:lineRule="auto"/>
              <w:jc w:val="left"/>
              <w:rPr>
                <w:rFonts w:ascii="楷体" w:hAnsi="楷体" w:eastAsia="楷体" w:cs="楷体"/>
                <w:szCs w:val="24"/>
                <w:highlight w:val="none"/>
              </w:rPr>
            </w:pPr>
          </w:p>
        </w:tc>
        <w:tc>
          <w:tcPr>
            <w:tcW w:w="2812" w:type="dxa"/>
          </w:tcPr>
          <w:p>
            <w:pPr>
              <w:spacing w:line="360" w:lineRule="auto"/>
              <w:jc w:val="left"/>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9" w:type="dxa"/>
          </w:tcPr>
          <w:p>
            <w:pPr>
              <w:spacing w:line="360" w:lineRule="auto"/>
              <w:jc w:val="left"/>
              <w:rPr>
                <w:rFonts w:ascii="楷体" w:hAnsi="楷体" w:eastAsia="楷体" w:cs="楷体"/>
                <w:szCs w:val="24"/>
                <w:highlight w:val="none"/>
              </w:rPr>
            </w:pPr>
          </w:p>
        </w:tc>
        <w:tc>
          <w:tcPr>
            <w:tcW w:w="2280" w:type="dxa"/>
          </w:tcPr>
          <w:p>
            <w:pPr>
              <w:spacing w:line="360" w:lineRule="auto"/>
              <w:jc w:val="left"/>
              <w:rPr>
                <w:rFonts w:ascii="楷体" w:hAnsi="楷体" w:eastAsia="楷体" w:cs="楷体"/>
                <w:szCs w:val="24"/>
                <w:highlight w:val="none"/>
              </w:rPr>
            </w:pPr>
          </w:p>
        </w:tc>
        <w:tc>
          <w:tcPr>
            <w:tcW w:w="1826" w:type="dxa"/>
          </w:tcPr>
          <w:p>
            <w:pPr>
              <w:spacing w:line="360" w:lineRule="auto"/>
              <w:jc w:val="left"/>
              <w:rPr>
                <w:rFonts w:ascii="楷体" w:hAnsi="楷体" w:eastAsia="楷体" w:cs="楷体"/>
                <w:szCs w:val="24"/>
                <w:highlight w:val="none"/>
              </w:rPr>
            </w:pPr>
          </w:p>
        </w:tc>
        <w:tc>
          <w:tcPr>
            <w:tcW w:w="2812" w:type="dxa"/>
          </w:tcPr>
          <w:p>
            <w:pPr>
              <w:spacing w:line="360" w:lineRule="auto"/>
              <w:jc w:val="left"/>
              <w:rPr>
                <w:rFonts w:ascii="楷体" w:hAnsi="楷体" w:eastAsia="楷体" w:cs="楷体"/>
                <w:szCs w:val="24"/>
                <w:highlight w:val="none"/>
              </w:rPr>
            </w:pPr>
          </w:p>
        </w:tc>
      </w:tr>
    </w:tbl>
    <w:p>
      <w:pPr>
        <w:spacing w:line="360" w:lineRule="auto"/>
        <w:jc w:val="left"/>
        <w:rPr>
          <w:rFonts w:ascii="楷体" w:hAnsi="楷体" w:eastAsia="楷体" w:cs="楷体"/>
          <w:szCs w:val="24"/>
          <w:highlight w:val="none"/>
        </w:rPr>
      </w:pPr>
      <w:r>
        <w:rPr>
          <w:rFonts w:hint="eastAsia" w:ascii="楷体" w:hAnsi="楷体" w:eastAsia="楷体" w:cs="楷体"/>
          <w:szCs w:val="24"/>
          <w:highlight w:val="none"/>
        </w:rPr>
        <w:t>3.其他情况：</w:t>
      </w:r>
      <w:r>
        <w:rPr>
          <w:rFonts w:hint="eastAsia" w:ascii="楷体" w:hAnsi="楷体" w:eastAsia="楷体" w:cs="楷体"/>
          <w:szCs w:val="24"/>
          <w:highlight w:val="none"/>
          <w:u w:val="single"/>
        </w:rPr>
        <w:t xml:space="preserve">                                     </w:t>
      </w:r>
    </w:p>
    <w:p>
      <w:pPr>
        <w:spacing w:line="360" w:lineRule="auto"/>
        <w:ind w:firstLine="360" w:firstLineChars="150"/>
        <w:jc w:val="left"/>
        <w:rPr>
          <w:rFonts w:ascii="楷体" w:hAnsi="楷体" w:eastAsia="楷体" w:cs="楷体"/>
          <w:szCs w:val="24"/>
          <w:highlight w:val="none"/>
        </w:rPr>
      </w:pPr>
      <w:r>
        <w:rPr>
          <w:rFonts w:hint="eastAsia" w:ascii="楷体" w:hAnsi="楷体" w:eastAsia="楷体" w:cs="楷体"/>
          <w:szCs w:val="24"/>
          <w:highlight w:val="none"/>
        </w:rPr>
        <w:t>我们保证上述声明是真实的、正确的，并提供了全部能提供的资料和数据；如贵方要求我们同意出示进一步证明文件。</w:t>
      </w:r>
    </w:p>
    <w:p>
      <w:pPr>
        <w:spacing w:line="360" w:lineRule="auto"/>
        <w:rPr>
          <w:rFonts w:ascii="楷体" w:hAnsi="楷体" w:eastAsia="楷体" w:cs="楷体"/>
          <w:szCs w:val="24"/>
          <w:highlight w:val="none"/>
        </w:rPr>
      </w:pPr>
    </w:p>
    <w:p>
      <w:pPr>
        <w:pStyle w:val="11"/>
        <w:rPr>
          <w:rFonts w:ascii="楷体" w:hAnsi="楷体" w:eastAsia="楷体" w:cs="楷体"/>
          <w:szCs w:val="24"/>
          <w:highlight w:val="none"/>
        </w:rPr>
      </w:pPr>
    </w:p>
    <w:p>
      <w:pPr>
        <w:rPr>
          <w:rFonts w:ascii="楷体" w:hAnsi="楷体" w:eastAsia="楷体" w:cs="楷体"/>
          <w:highlight w:val="none"/>
        </w:rPr>
      </w:pPr>
    </w:p>
    <w:p>
      <w:pPr>
        <w:spacing w:line="360" w:lineRule="auto"/>
        <w:jc w:val="left"/>
        <w:rPr>
          <w:rFonts w:ascii="楷体" w:hAnsi="楷体" w:eastAsia="楷体" w:cs="楷体"/>
          <w:highlight w:val="none"/>
        </w:rPr>
      </w:pPr>
      <w:r>
        <w:rPr>
          <w:rFonts w:hint="eastAsia" w:ascii="楷体" w:hAnsi="楷体" w:eastAsia="楷体" w:cs="楷体"/>
          <w:highlight w:val="none"/>
        </w:rPr>
        <w:t xml:space="preserve">投标人名称（公章）：          </w:t>
      </w:r>
    </w:p>
    <w:p>
      <w:pPr>
        <w:spacing w:line="360" w:lineRule="auto"/>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pStyle w:val="20"/>
        <w:rPr>
          <w:rFonts w:ascii="楷体" w:hAnsi="楷体" w:eastAsia="楷体" w:cs="楷体"/>
          <w:highlight w:val="none"/>
        </w:rPr>
      </w:pPr>
      <w:r>
        <w:rPr>
          <w:rFonts w:hint="eastAsia" w:ascii="楷体" w:hAnsi="楷体" w:eastAsia="楷体" w:cs="楷体"/>
          <w:highlight w:val="none"/>
        </w:rPr>
        <w:t>日    期：</w:t>
      </w:r>
    </w:p>
    <w:p>
      <w:pPr>
        <w:widowControl/>
        <w:spacing w:before="156" w:beforeLines="50" w:after="156" w:afterLines="50" w:line="600" w:lineRule="exact"/>
        <w:jc w:val="center"/>
        <w:rPr>
          <w:rFonts w:ascii="楷体" w:hAnsi="楷体" w:eastAsia="楷体" w:cs="楷体"/>
          <w:b/>
          <w:sz w:val="28"/>
          <w:szCs w:val="28"/>
          <w:highlight w:val="none"/>
        </w:rPr>
      </w:pPr>
      <w:r>
        <w:rPr>
          <w:rFonts w:hint="eastAsia" w:ascii="楷体" w:hAnsi="楷体" w:eastAsia="楷体" w:cs="楷体"/>
          <w:b/>
          <w:sz w:val="30"/>
          <w:szCs w:val="30"/>
          <w:highlight w:val="none"/>
        </w:rPr>
        <w:br w:type="page"/>
      </w:r>
      <w:r>
        <w:rPr>
          <w:rFonts w:hint="eastAsia" w:ascii="楷体" w:hAnsi="楷体" w:eastAsia="楷体" w:cs="楷体"/>
          <w:b/>
          <w:sz w:val="30"/>
          <w:szCs w:val="30"/>
          <w:highlight w:val="none"/>
        </w:rPr>
        <w:t>2.投标人企业关联关系声明函</w:t>
      </w:r>
    </w:p>
    <w:p>
      <w:pPr>
        <w:adjustRightInd w:val="0"/>
        <w:snapToGrid w:val="0"/>
        <w:spacing w:line="360" w:lineRule="auto"/>
        <w:ind w:right="120" w:rightChars="50" w:firstLine="544" w:firstLineChars="227"/>
        <w:jc w:val="left"/>
        <w:rPr>
          <w:rFonts w:ascii="楷体" w:hAnsi="楷体" w:eastAsia="楷体" w:cs="楷体"/>
          <w:szCs w:val="21"/>
          <w:highlight w:val="none"/>
        </w:rPr>
      </w:pPr>
    </w:p>
    <w:p>
      <w:pPr>
        <w:adjustRightInd w:val="0"/>
        <w:snapToGrid w:val="0"/>
        <w:spacing w:line="360" w:lineRule="auto"/>
        <w:jc w:val="left"/>
        <w:rPr>
          <w:rFonts w:ascii="楷体" w:hAnsi="楷体" w:eastAsia="楷体" w:cs="楷体"/>
          <w:highlight w:val="none"/>
        </w:rPr>
      </w:pPr>
      <w:r>
        <w:rPr>
          <w:rFonts w:hint="eastAsia" w:ascii="楷体" w:hAnsi="楷体" w:eastAsia="楷体" w:cs="楷体"/>
          <w:highlight w:val="none"/>
        </w:rPr>
        <w:t>说明：投标人应当如实披露与本单位存在下列关联关系的单位名称：</w:t>
      </w:r>
    </w:p>
    <w:p>
      <w:pPr>
        <w:pStyle w:val="11"/>
        <w:spacing w:after="0" w:line="360" w:lineRule="auto"/>
        <w:rPr>
          <w:rFonts w:ascii="楷体" w:hAnsi="楷体" w:eastAsia="楷体" w:cs="楷体"/>
          <w:sz w:val="24"/>
          <w:szCs w:val="24"/>
          <w:highlight w:val="none"/>
        </w:rPr>
      </w:pPr>
    </w:p>
    <w:p>
      <w:pPr>
        <w:adjustRightInd w:val="0"/>
        <w:snapToGrid w:val="0"/>
        <w:spacing w:line="360" w:lineRule="auto"/>
        <w:jc w:val="left"/>
        <w:rPr>
          <w:rFonts w:ascii="楷体" w:hAnsi="楷体" w:eastAsia="楷体" w:cs="楷体"/>
          <w:highlight w:val="none"/>
        </w:rPr>
      </w:pPr>
      <w:bookmarkStart w:id="193" w:name="_Toc2074_WPSOffice_Level2"/>
      <w:bookmarkStart w:id="194" w:name="_Toc31070_WPSOffice_Level2"/>
      <w:r>
        <w:rPr>
          <w:rFonts w:hint="eastAsia" w:ascii="楷体" w:hAnsi="楷体" w:eastAsia="楷体" w:cs="楷体"/>
          <w:highlight w:val="none"/>
        </w:rPr>
        <w:t>（1）与投标人单位法定代表人为同一人的其他单位</w:t>
      </w:r>
      <w:bookmarkEnd w:id="193"/>
      <w:bookmarkEnd w:id="194"/>
      <w:r>
        <w:rPr>
          <w:rFonts w:hint="eastAsia" w:ascii="楷体" w:hAnsi="楷体" w:eastAsia="楷体" w:cs="楷体"/>
          <w:highlight w:val="none"/>
        </w:rPr>
        <w:t>：</w:t>
      </w:r>
      <w:r>
        <w:rPr>
          <w:rFonts w:hint="eastAsia" w:ascii="楷体" w:hAnsi="楷体" w:eastAsia="楷体" w:cs="楷体"/>
          <w:highlight w:val="none"/>
          <w:u w:val="single"/>
        </w:rPr>
        <w:t xml:space="preserve">                     </w:t>
      </w:r>
      <w:r>
        <w:rPr>
          <w:rFonts w:hint="eastAsia" w:ascii="楷体" w:hAnsi="楷体" w:eastAsia="楷体" w:cs="楷体"/>
          <w:highlight w:val="none"/>
        </w:rPr>
        <w:t>。</w:t>
      </w:r>
    </w:p>
    <w:p>
      <w:pPr>
        <w:adjustRightInd w:val="0"/>
        <w:snapToGrid w:val="0"/>
        <w:spacing w:line="360" w:lineRule="auto"/>
        <w:jc w:val="left"/>
        <w:rPr>
          <w:rFonts w:ascii="楷体" w:hAnsi="楷体" w:eastAsia="楷体" w:cs="楷体"/>
          <w:highlight w:val="none"/>
        </w:rPr>
      </w:pPr>
      <w:bookmarkStart w:id="195" w:name="_Toc889_WPSOffice_Level2"/>
      <w:bookmarkStart w:id="196" w:name="_Toc27053_WPSOffice_Level2"/>
      <w:r>
        <w:rPr>
          <w:rFonts w:hint="eastAsia" w:ascii="楷体" w:hAnsi="楷体" w:eastAsia="楷体" w:cs="楷体"/>
          <w:highlight w:val="none"/>
        </w:rPr>
        <w:t>（2）与投标人存在直接控股、管理关系的其他单位</w:t>
      </w:r>
      <w:bookmarkEnd w:id="195"/>
      <w:bookmarkEnd w:id="196"/>
      <w:r>
        <w:rPr>
          <w:rFonts w:hint="eastAsia" w:ascii="楷体" w:hAnsi="楷体" w:eastAsia="楷体" w:cs="楷体"/>
          <w:highlight w:val="none"/>
        </w:rPr>
        <w:t>：</w:t>
      </w:r>
      <w:r>
        <w:rPr>
          <w:rFonts w:hint="eastAsia" w:ascii="楷体" w:hAnsi="楷体" w:eastAsia="楷体" w:cs="楷体"/>
          <w:highlight w:val="none"/>
          <w:u w:val="single"/>
        </w:rPr>
        <w:t xml:space="preserve">                     </w:t>
      </w:r>
      <w:r>
        <w:rPr>
          <w:rFonts w:hint="eastAsia" w:ascii="楷体" w:hAnsi="楷体" w:eastAsia="楷体" w:cs="楷体"/>
          <w:highlight w:val="none"/>
        </w:rPr>
        <w:t>。</w:t>
      </w:r>
    </w:p>
    <w:p>
      <w:pPr>
        <w:adjustRightInd w:val="0"/>
        <w:snapToGrid w:val="0"/>
        <w:spacing w:line="360" w:lineRule="auto"/>
        <w:ind w:right="120" w:rightChars="50" w:firstLine="544" w:firstLineChars="227"/>
        <w:jc w:val="left"/>
        <w:rPr>
          <w:rFonts w:ascii="楷体" w:hAnsi="楷体" w:eastAsia="楷体" w:cs="楷体"/>
          <w:highlight w:val="none"/>
        </w:rPr>
      </w:pPr>
    </w:p>
    <w:p>
      <w:pPr>
        <w:adjustRightInd w:val="0"/>
        <w:snapToGrid w:val="0"/>
        <w:spacing w:line="360" w:lineRule="auto"/>
        <w:ind w:right="120" w:rightChars="50"/>
        <w:jc w:val="left"/>
        <w:rPr>
          <w:rFonts w:ascii="楷体" w:hAnsi="楷体" w:eastAsia="楷体" w:cs="楷体"/>
          <w:highlight w:val="none"/>
        </w:rPr>
      </w:pPr>
      <w:r>
        <w:rPr>
          <w:rFonts w:hint="eastAsia" w:ascii="楷体" w:hAnsi="楷体" w:eastAsia="楷体" w:cs="楷体"/>
          <w:highlight w:val="none"/>
        </w:rPr>
        <w:t>注：若无此情形，写“无”即可</w:t>
      </w:r>
    </w:p>
    <w:p>
      <w:pPr>
        <w:pStyle w:val="11"/>
        <w:rPr>
          <w:rFonts w:ascii="楷体" w:hAnsi="楷体" w:eastAsia="楷体" w:cs="楷体"/>
          <w:sz w:val="24"/>
          <w:szCs w:val="24"/>
          <w:highlight w:val="none"/>
        </w:rPr>
      </w:pPr>
    </w:p>
    <w:p>
      <w:pPr>
        <w:spacing w:line="360" w:lineRule="auto"/>
        <w:jc w:val="left"/>
        <w:rPr>
          <w:rFonts w:ascii="楷体" w:hAnsi="楷体" w:eastAsia="楷体" w:cs="楷体"/>
          <w:highlight w:val="none"/>
        </w:rPr>
      </w:pPr>
    </w:p>
    <w:p>
      <w:pPr>
        <w:spacing w:line="360" w:lineRule="auto"/>
        <w:jc w:val="left"/>
        <w:rPr>
          <w:rFonts w:ascii="楷体" w:hAnsi="楷体" w:eastAsia="楷体" w:cs="楷体"/>
          <w:highlight w:val="none"/>
        </w:rPr>
      </w:pPr>
      <w:r>
        <w:rPr>
          <w:rFonts w:hint="eastAsia" w:ascii="楷体" w:hAnsi="楷体" w:eastAsia="楷体" w:cs="楷体"/>
          <w:highlight w:val="none"/>
        </w:rPr>
        <w:t>投标人名称（公章）：</w:t>
      </w:r>
    </w:p>
    <w:p>
      <w:pPr>
        <w:spacing w:line="360" w:lineRule="auto"/>
        <w:jc w:val="left"/>
        <w:rPr>
          <w:rFonts w:ascii="楷体" w:hAnsi="楷体" w:eastAsia="楷体" w:cs="楷体"/>
          <w:b/>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b/>
          <w:highlight w:val="none"/>
        </w:rPr>
        <w:t>：</w:t>
      </w:r>
    </w:p>
    <w:p>
      <w:pPr>
        <w:spacing w:line="360" w:lineRule="auto"/>
        <w:rPr>
          <w:rFonts w:ascii="楷体" w:hAnsi="楷体" w:eastAsia="楷体" w:cs="楷体"/>
          <w:highlight w:val="none"/>
        </w:rPr>
      </w:pPr>
      <w:r>
        <w:rPr>
          <w:rFonts w:hint="eastAsia" w:ascii="楷体" w:hAnsi="楷体" w:eastAsia="楷体" w:cs="楷体"/>
          <w:highlight w:val="none"/>
        </w:rPr>
        <w:t>日    期：</w:t>
      </w:r>
    </w:p>
    <w:p>
      <w:pPr>
        <w:adjustRightInd w:val="0"/>
        <w:snapToGrid w:val="0"/>
        <w:spacing w:line="360" w:lineRule="auto"/>
        <w:jc w:val="left"/>
        <w:rPr>
          <w:rFonts w:ascii="楷体" w:hAnsi="楷体" w:eastAsia="楷体" w:cs="楷体"/>
          <w:szCs w:val="24"/>
          <w:highlight w:val="none"/>
        </w:rPr>
      </w:pPr>
      <w:r>
        <w:rPr>
          <w:rFonts w:hint="eastAsia" w:ascii="楷体" w:hAnsi="楷体" w:eastAsia="楷体" w:cs="楷体"/>
          <w:b/>
          <w:bCs/>
          <w:szCs w:val="24"/>
          <w:highlight w:val="none"/>
        </w:rPr>
        <w:br w:type="page"/>
      </w:r>
      <w:r>
        <w:rPr>
          <w:rFonts w:hint="eastAsia" w:ascii="楷体" w:hAnsi="楷体" w:eastAsia="楷体" w:cs="楷体"/>
          <w:b/>
          <w:bCs/>
          <w:szCs w:val="24"/>
          <w:highlight w:val="none"/>
        </w:rPr>
        <w:t>（三）对第三章“合同条款前附表”项目实施地点、服务期、付款方式、</w:t>
      </w:r>
      <w:r>
        <w:rPr>
          <w:rFonts w:hint="eastAsia" w:ascii="楷体" w:hAnsi="楷体" w:eastAsia="楷体" w:cs="楷体"/>
          <w:b/>
          <w:bCs/>
          <w:szCs w:val="24"/>
          <w:highlight w:val="none"/>
          <w:lang w:eastAsia="zh-CN"/>
        </w:rPr>
        <w:t>质量标准、包装运输及相关服务、</w:t>
      </w:r>
      <w:r>
        <w:rPr>
          <w:rFonts w:hint="eastAsia" w:ascii="楷体" w:hAnsi="楷体" w:eastAsia="楷体" w:cs="楷体"/>
          <w:b/>
          <w:bCs/>
          <w:szCs w:val="24"/>
          <w:highlight w:val="none"/>
        </w:rPr>
        <w:t>考核验收等合同条款逐条响应；（格式自拟）</w:t>
      </w:r>
    </w:p>
    <w:p>
      <w:pPr>
        <w:adjustRightInd w:val="0"/>
        <w:snapToGrid w:val="0"/>
        <w:spacing w:line="360" w:lineRule="auto"/>
        <w:jc w:val="left"/>
        <w:rPr>
          <w:rFonts w:ascii="楷体" w:hAnsi="楷体" w:eastAsia="楷体" w:cs="楷体"/>
          <w:szCs w:val="24"/>
          <w:highlight w:val="none"/>
        </w:rPr>
      </w:pPr>
      <w:r>
        <w:rPr>
          <w:rFonts w:hint="eastAsia" w:ascii="楷体" w:hAnsi="楷体" w:eastAsia="楷体" w:cs="楷体"/>
          <w:szCs w:val="24"/>
          <w:highlight w:val="none"/>
        </w:rPr>
        <w:br w:type="page"/>
      </w:r>
      <w:r>
        <w:rPr>
          <w:rFonts w:hint="eastAsia" w:ascii="楷体" w:hAnsi="楷体" w:eastAsia="楷体" w:cs="楷体"/>
          <w:b/>
          <w:bCs/>
          <w:szCs w:val="24"/>
          <w:highlight w:val="none"/>
        </w:rPr>
        <w:t>（四）投标人业绩情况</w:t>
      </w:r>
    </w:p>
    <w:p>
      <w:pPr>
        <w:spacing w:line="360" w:lineRule="auto"/>
        <w:jc w:val="center"/>
        <w:rPr>
          <w:rFonts w:ascii="楷体" w:hAnsi="楷体" w:eastAsia="楷体" w:cs="楷体"/>
          <w:b/>
          <w:bCs/>
          <w:sz w:val="30"/>
          <w:szCs w:val="30"/>
          <w:highlight w:val="none"/>
        </w:rPr>
      </w:pPr>
      <w:r>
        <w:rPr>
          <w:rFonts w:hint="eastAsia" w:ascii="楷体" w:hAnsi="楷体" w:eastAsia="楷体" w:cs="楷体"/>
          <w:b/>
          <w:bCs/>
          <w:sz w:val="30"/>
          <w:szCs w:val="30"/>
          <w:highlight w:val="none"/>
        </w:rPr>
        <w:t>投标人业绩情况</w:t>
      </w:r>
    </w:p>
    <w:p>
      <w:pPr>
        <w:spacing w:line="360" w:lineRule="auto"/>
        <w:jc w:val="left"/>
        <w:rPr>
          <w:rFonts w:ascii="楷体" w:hAnsi="楷体" w:eastAsia="楷体" w:cs="楷体"/>
          <w:b/>
          <w:highlight w:val="none"/>
        </w:rPr>
      </w:pPr>
      <w:r>
        <w:rPr>
          <w:rFonts w:hint="eastAsia" w:ascii="楷体" w:hAnsi="楷体" w:eastAsia="楷体" w:cs="楷体"/>
          <w:b/>
          <w:highlight w:val="none"/>
        </w:rPr>
        <w:t>项目名称：</w:t>
      </w:r>
    </w:p>
    <w:p>
      <w:pPr>
        <w:pStyle w:val="11"/>
        <w:spacing w:line="360" w:lineRule="auto"/>
        <w:rPr>
          <w:rFonts w:hint="eastAsia" w:ascii="楷体" w:hAnsi="楷体" w:eastAsia="楷体" w:cs="楷体"/>
          <w:b/>
          <w:kern w:val="0"/>
          <w:sz w:val="24"/>
          <w:szCs w:val="22"/>
          <w:highlight w:val="none"/>
        </w:rPr>
      </w:pPr>
      <w:r>
        <w:rPr>
          <w:rFonts w:hint="eastAsia" w:ascii="楷体" w:hAnsi="楷体" w:eastAsia="楷体" w:cs="楷体"/>
          <w:b/>
          <w:kern w:val="0"/>
          <w:sz w:val="24"/>
          <w:szCs w:val="22"/>
          <w:highlight w:val="none"/>
        </w:rPr>
        <w:t>项目编号：</w:t>
      </w:r>
    </w:p>
    <w:p>
      <w:pPr>
        <w:pStyle w:val="11"/>
        <w:spacing w:line="360" w:lineRule="auto"/>
        <w:rPr>
          <w:rFonts w:ascii="楷体" w:hAnsi="楷体" w:eastAsia="楷体" w:cs="楷体"/>
          <w:b/>
          <w:szCs w:val="24"/>
          <w:highlight w:val="none"/>
        </w:rPr>
      </w:pPr>
      <w:r>
        <w:rPr>
          <w:rFonts w:hint="eastAsia" w:ascii="楷体" w:hAnsi="楷体" w:eastAsia="楷体" w:cs="楷体"/>
          <w:b/>
          <w:kern w:val="0"/>
          <w:sz w:val="24"/>
          <w:szCs w:val="22"/>
          <w:highlight w:val="none"/>
          <w:lang w:eastAsia="zh-CN"/>
        </w:rPr>
        <w:t>包号：</w:t>
      </w:r>
      <w:r>
        <w:rPr>
          <w:rFonts w:hint="eastAsia" w:ascii="楷体" w:hAnsi="楷体" w:eastAsia="楷体" w:cs="楷体"/>
          <w:b/>
          <w:szCs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1"/>
        <w:gridCol w:w="1491"/>
        <w:gridCol w:w="1365"/>
        <w:gridCol w:w="1204"/>
        <w:gridCol w:w="1303"/>
        <w:gridCol w:w="1424"/>
        <w:gridCol w:w="11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751" w:type="dxa"/>
            <w:tcBorders>
              <w:top w:val="single" w:color="auto" w:sz="4" w:space="0"/>
            </w:tcBorders>
            <w:vAlign w:val="center"/>
          </w:tcPr>
          <w:p>
            <w:pPr>
              <w:spacing w:line="360" w:lineRule="auto"/>
              <w:ind w:firstLine="120" w:firstLineChars="50"/>
              <w:rPr>
                <w:rFonts w:ascii="楷体" w:hAnsi="楷体" w:eastAsia="楷体" w:cs="楷体"/>
                <w:szCs w:val="24"/>
                <w:highlight w:val="none"/>
              </w:rPr>
            </w:pPr>
            <w:r>
              <w:rPr>
                <w:rFonts w:hint="eastAsia" w:ascii="楷体" w:hAnsi="楷体" w:eastAsia="楷体" w:cs="楷体"/>
                <w:szCs w:val="24"/>
                <w:highlight w:val="none"/>
              </w:rPr>
              <w:t>年份</w:t>
            </w:r>
          </w:p>
        </w:tc>
        <w:tc>
          <w:tcPr>
            <w:tcW w:w="1491"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用户名称</w:t>
            </w:r>
          </w:p>
        </w:tc>
        <w:tc>
          <w:tcPr>
            <w:tcW w:w="1365"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项目名称</w:t>
            </w:r>
          </w:p>
        </w:tc>
        <w:tc>
          <w:tcPr>
            <w:tcW w:w="1204" w:type="dxa"/>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完成时间</w:t>
            </w:r>
          </w:p>
        </w:tc>
        <w:tc>
          <w:tcPr>
            <w:tcW w:w="1303" w:type="dxa"/>
            <w:vAlign w:val="center"/>
          </w:tcPr>
          <w:p>
            <w:pPr>
              <w:spacing w:line="360" w:lineRule="auto"/>
              <w:ind w:firstLine="120" w:firstLineChars="50"/>
              <w:rPr>
                <w:rFonts w:ascii="楷体" w:hAnsi="楷体" w:eastAsia="楷体" w:cs="楷体"/>
                <w:szCs w:val="24"/>
                <w:highlight w:val="none"/>
              </w:rPr>
            </w:pPr>
            <w:r>
              <w:rPr>
                <w:rFonts w:hint="eastAsia" w:ascii="楷体" w:hAnsi="楷体" w:eastAsia="楷体" w:cs="楷体"/>
                <w:szCs w:val="24"/>
                <w:highlight w:val="none"/>
              </w:rPr>
              <w:t>合同金额</w:t>
            </w: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完成项目</w:t>
            </w:r>
          </w:p>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质量</w:t>
            </w:r>
          </w:p>
        </w:tc>
        <w:tc>
          <w:tcPr>
            <w:tcW w:w="1194" w:type="dxa"/>
            <w:tcBorders>
              <w:left w:val="single" w:color="auto" w:sz="4" w:space="0"/>
            </w:tcBorders>
            <w:vAlign w:val="center"/>
          </w:tcPr>
          <w:p>
            <w:pPr>
              <w:spacing w:line="360" w:lineRule="auto"/>
              <w:rPr>
                <w:rFonts w:ascii="楷体" w:hAnsi="楷体" w:eastAsia="楷体" w:cs="楷体"/>
                <w:szCs w:val="24"/>
                <w:highlight w:val="none"/>
              </w:rPr>
            </w:pPr>
            <w:r>
              <w:rPr>
                <w:rFonts w:hint="eastAsia" w:ascii="楷体" w:hAnsi="楷体" w:eastAsia="楷体" w:cs="楷体"/>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751" w:type="dxa"/>
            <w:vAlign w:val="center"/>
          </w:tcPr>
          <w:p>
            <w:pPr>
              <w:spacing w:line="360" w:lineRule="auto"/>
              <w:jc w:val="center"/>
              <w:rPr>
                <w:rFonts w:ascii="楷体" w:hAnsi="楷体" w:eastAsia="楷体" w:cs="楷体"/>
                <w:szCs w:val="24"/>
                <w:highlight w:val="none"/>
              </w:rPr>
            </w:pPr>
          </w:p>
        </w:tc>
        <w:tc>
          <w:tcPr>
            <w:tcW w:w="1491" w:type="dxa"/>
            <w:vAlign w:val="center"/>
          </w:tcPr>
          <w:p>
            <w:pPr>
              <w:spacing w:line="360" w:lineRule="auto"/>
              <w:jc w:val="center"/>
              <w:rPr>
                <w:rFonts w:ascii="楷体" w:hAnsi="楷体" w:eastAsia="楷体" w:cs="楷体"/>
                <w:szCs w:val="24"/>
                <w:highlight w:val="none"/>
              </w:rPr>
            </w:pPr>
          </w:p>
        </w:tc>
        <w:tc>
          <w:tcPr>
            <w:tcW w:w="1365" w:type="dxa"/>
            <w:vAlign w:val="center"/>
          </w:tcPr>
          <w:p>
            <w:pPr>
              <w:spacing w:line="360" w:lineRule="auto"/>
              <w:jc w:val="center"/>
              <w:rPr>
                <w:rFonts w:ascii="楷体" w:hAnsi="楷体" w:eastAsia="楷体" w:cs="楷体"/>
                <w:szCs w:val="24"/>
                <w:highlight w:val="none"/>
              </w:rPr>
            </w:pPr>
          </w:p>
        </w:tc>
        <w:tc>
          <w:tcPr>
            <w:tcW w:w="1204" w:type="dxa"/>
            <w:vAlign w:val="center"/>
          </w:tcPr>
          <w:p>
            <w:pPr>
              <w:spacing w:line="360" w:lineRule="auto"/>
              <w:jc w:val="center"/>
              <w:rPr>
                <w:rFonts w:ascii="楷体" w:hAnsi="楷体" w:eastAsia="楷体" w:cs="楷体"/>
                <w:szCs w:val="24"/>
                <w:highlight w:val="none"/>
              </w:rPr>
            </w:pPr>
          </w:p>
        </w:tc>
        <w:tc>
          <w:tcPr>
            <w:tcW w:w="1303" w:type="dxa"/>
            <w:vAlign w:val="center"/>
          </w:tcPr>
          <w:p>
            <w:pPr>
              <w:spacing w:line="360" w:lineRule="auto"/>
              <w:jc w:val="center"/>
              <w:rPr>
                <w:rFonts w:ascii="楷体" w:hAnsi="楷体" w:eastAsia="楷体" w:cs="楷体"/>
                <w:szCs w:val="24"/>
                <w:highlight w:val="none"/>
              </w:rPr>
            </w:pP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p>
        </w:tc>
        <w:tc>
          <w:tcPr>
            <w:tcW w:w="1194" w:type="dxa"/>
            <w:tcBorders>
              <w:left w:val="single" w:color="auto" w:sz="4" w:space="0"/>
            </w:tcBorders>
            <w:vAlign w:val="center"/>
          </w:tcPr>
          <w:p>
            <w:pPr>
              <w:spacing w:line="360" w:lineRule="auto"/>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1" w:hRule="exact"/>
          <w:jc w:val="center"/>
        </w:trPr>
        <w:tc>
          <w:tcPr>
            <w:tcW w:w="751" w:type="dxa"/>
            <w:vAlign w:val="center"/>
          </w:tcPr>
          <w:p>
            <w:pPr>
              <w:spacing w:line="360" w:lineRule="auto"/>
              <w:jc w:val="center"/>
              <w:rPr>
                <w:rFonts w:ascii="楷体" w:hAnsi="楷体" w:eastAsia="楷体" w:cs="楷体"/>
                <w:szCs w:val="24"/>
                <w:highlight w:val="none"/>
              </w:rPr>
            </w:pPr>
          </w:p>
        </w:tc>
        <w:tc>
          <w:tcPr>
            <w:tcW w:w="1491" w:type="dxa"/>
            <w:vAlign w:val="center"/>
          </w:tcPr>
          <w:p>
            <w:pPr>
              <w:spacing w:line="360" w:lineRule="auto"/>
              <w:jc w:val="center"/>
              <w:rPr>
                <w:rFonts w:ascii="楷体" w:hAnsi="楷体" w:eastAsia="楷体" w:cs="楷体"/>
                <w:szCs w:val="24"/>
                <w:highlight w:val="none"/>
              </w:rPr>
            </w:pPr>
          </w:p>
        </w:tc>
        <w:tc>
          <w:tcPr>
            <w:tcW w:w="1365" w:type="dxa"/>
            <w:vAlign w:val="center"/>
          </w:tcPr>
          <w:p>
            <w:pPr>
              <w:spacing w:line="360" w:lineRule="auto"/>
              <w:jc w:val="center"/>
              <w:rPr>
                <w:rFonts w:ascii="楷体" w:hAnsi="楷体" w:eastAsia="楷体" w:cs="楷体"/>
                <w:szCs w:val="24"/>
                <w:highlight w:val="none"/>
              </w:rPr>
            </w:pPr>
          </w:p>
        </w:tc>
        <w:tc>
          <w:tcPr>
            <w:tcW w:w="1204" w:type="dxa"/>
            <w:vAlign w:val="center"/>
          </w:tcPr>
          <w:p>
            <w:pPr>
              <w:spacing w:line="360" w:lineRule="auto"/>
              <w:jc w:val="center"/>
              <w:rPr>
                <w:rFonts w:ascii="楷体" w:hAnsi="楷体" w:eastAsia="楷体" w:cs="楷体"/>
                <w:szCs w:val="24"/>
                <w:highlight w:val="none"/>
              </w:rPr>
            </w:pPr>
          </w:p>
        </w:tc>
        <w:tc>
          <w:tcPr>
            <w:tcW w:w="1303" w:type="dxa"/>
            <w:vAlign w:val="center"/>
          </w:tcPr>
          <w:p>
            <w:pPr>
              <w:spacing w:line="360" w:lineRule="auto"/>
              <w:jc w:val="center"/>
              <w:rPr>
                <w:rFonts w:ascii="楷体" w:hAnsi="楷体" w:eastAsia="楷体" w:cs="楷体"/>
                <w:szCs w:val="24"/>
                <w:highlight w:val="none"/>
              </w:rPr>
            </w:pP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p>
        </w:tc>
        <w:tc>
          <w:tcPr>
            <w:tcW w:w="1194" w:type="dxa"/>
            <w:tcBorders>
              <w:left w:val="single" w:color="auto" w:sz="4" w:space="0"/>
            </w:tcBorders>
            <w:vAlign w:val="center"/>
          </w:tcPr>
          <w:p>
            <w:pPr>
              <w:spacing w:line="360" w:lineRule="auto"/>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751" w:type="dxa"/>
            <w:vAlign w:val="center"/>
          </w:tcPr>
          <w:p>
            <w:pPr>
              <w:spacing w:line="360" w:lineRule="auto"/>
              <w:jc w:val="center"/>
              <w:rPr>
                <w:rFonts w:ascii="楷体" w:hAnsi="楷体" w:eastAsia="楷体" w:cs="楷体"/>
                <w:szCs w:val="24"/>
                <w:highlight w:val="none"/>
              </w:rPr>
            </w:pPr>
          </w:p>
        </w:tc>
        <w:tc>
          <w:tcPr>
            <w:tcW w:w="1491" w:type="dxa"/>
            <w:vAlign w:val="center"/>
          </w:tcPr>
          <w:p>
            <w:pPr>
              <w:spacing w:line="360" w:lineRule="auto"/>
              <w:jc w:val="center"/>
              <w:rPr>
                <w:rFonts w:ascii="楷体" w:hAnsi="楷体" w:eastAsia="楷体" w:cs="楷体"/>
                <w:szCs w:val="24"/>
                <w:highlight w:val="none"/>
              </w:rPr>
            </w:pPr>
          </w:p>
        </w:tc>
        <w:tc>
          <w:tcPr>
            <w:tcW w:w="1365" w:type="dxa"/>
            <w:vAlign w:val="center"/>
          </w:tcPr>
          <w:p>
            <w:pPr>
              <w:spacing w:line="360" w:lineRule="auto"/>
              <w:jc w:val="center"/>
              <w:rPr>
                <w:rFonts w:ascii="楷体" w:hAnsi="楷体" w:eastAsia="楷体" w:cs="楷体"/>
                <w:szCs w:val="24"/>
                <w:highlight w:val="none"/>
              </w:rPr>
            </w:pPr>
          </w:p>
        </w:tc>
        <w:tc>
          <w:tcPr>
            <w:tcW w:w="1204" w:type="dxa"/>
            <w:vAlign w:val="center"/>
          </w:tcPr>
          <w:p>
            <w:pPr>
              <w:spacing w:line="360" w:lineRule="auto"/>
              <w:jc w:val="center"/>
              <w:rPr>
                <w:rFonts w:ascii="楷体" w:hAnsi="楷体" w:eastAsia="楷体" w:cs="楷体"/>
                <w:szCs w:val="24"/>
                <w:highlight w:val="none"/>
              </w:rPr>
            </w:pPr>
          </w:p>
        </w:tc>
        <w:tc>
          <w:tcPr>
            <w:tcW w:w="1303" w:type="dxa"/>
            <w:vAlign w:val="center"/>
          </w:tcPr>
          <w:p>
            <w:pPr>
              <w:spacing w:line="360" w:lineRule="auto"/>
              <w:jc w:val="center"/>
              <w:rPr>
                <w:rFonts w:ascii="楷体" w:hAnsi="楷体" w:eastAsia="楷体" w:cs="楷体"/>
                <w:szCs w:val="24"/>
                <w:highlight w:val="none"/>
              </w:rPr>
            </w:pP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p>
        </w:tc>
        <w:tc>
          <w:tcPr>
            <w:tcW w:w="1194" w:type="dxa"/>
            <w:tcBorders>
              <w:left w:val="single" w:color="auto" w:sz="4" w:space="0"/>
            </w:tcBorders>
            <w:vAlign w:val="center"/>
          </w:tcPr>
          <w:p>
            <w:pPr>
              <w:spacing w:line="360" w:lineRule="auto"/>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751" w:type="dxa"/>
            <w:vAlign w:val="center"/>
          </w:tcPr>
          <w:p>
            <w:pPr>
              <w:spacing w:line="360" w:lineRule="auto"/>
              <w:jc w:val="center"/>
              <w:rPr>
                <w:rFonts w:ascii="楷体" w:hAnsi="楷体" w:eastAsia="楷体" w:cs="楷体"/>
                <w:szCs w:val="24"/>
                <w:highlight w:val="none"/>
              </w:rPr>
            </w:pPr>
          </w:p>
        </w:tc>
        <w:tc>
          <w:tcPr>
            <w:tcW w:w="1491" w:type="dxa"/>
            <w:vAlign w:val="center"/>
          </w:tcPr>
          <w:p>
            <w:pPr>
              <w:spacing w:line="360" w:lineRule="auto"/>
              <w:jc w:val="center"/>
              <w:rPr>
                <w:rFonts w:ascii="楷体" w:hAnsi="楷体" w:eastAsia="楷体" w:cs="楷体"/>
                <w:szCs w:val="24"/>
                <w:highlight w:val="none"/>
              </w:rPr>
            </w:pPr>
          </w:p>
        </w:tc>
        <w:tc>
          <w:tcPr>
            <w:tcW w:w="1365" w:type="dxa"/>
            <w:vAlign w:val="center"/>
          </w:tcPr>
          <w:p>
            <w:pPr>
              <w:spacing w:line="360" w:lineRule="auto"/>
              <w:jc w:val="center"/>
              <w:rPr>
                <w:rFonts w:ascii="楷体" w:hAnsi="楷体" w:eastAsia="楷体" w:cs="楷体"/>
                <w:szCs w:val="24"/>
                <w:highlight w:val="none"/>
              </w:rPr>
            </w:pPr>
          </w:p>
        </w:tc>
        <w:tc>
          <w:tcPr>
            <w:tcW w:w="1204" w:type="dxa"/>
            <w:vAlign w:val="center"/>
          </w:tcPr>
          <w:p>
            <w:pPr>
              <w:spacing w:line="360" w:lineRule="auto"/>
              <w:jc w:val="center"/>
              <w:rPr>
                <w:rFonts w:ascii="楷体" w:hAnsi="楷体" w:eastAsia="楷体" w:cs="楷体"/>
                <w:szCs w:val="24"/>
                <w:highlight w:val="none"/>
              </w:rPr>
            </w:pPr>
          </w:p>
        </w:tc>
        <w:tc>
          <w:tcPr>
            <w:tcW w:w="1303" w:type="dxa"/>
            <w:vAlign w:val="center"/>
          </w:tcPr>
          <w:p>
            <w:pPr>
              <w:spacing w:line="360" w:lineRule="auto"/>
              <w:jc w:val="center"/>
              <w:rPr>
                <w:rFonts w:ascii="楷体" w:hAnsi="楷体" w:eastAsia="楷体" w:cs="楷体"/>
                <w:szCs w:val="24"/>
                <w:highlight w:val="none"/>
              </w:rPr>
            </w:pP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p>
        </w:tc>
        <w:tc>
          <w:tcPr>
            <w:tcW w:w="1194" w:type="dxa"/>
            <w:tcBorders>
              <w:left w:val="single" w:color="auto" w:sz="4" w:space="0"/>
            </w:tcBorders>
            <w:vAlign w:val="center"/>
          </w:tcPr>
          <w:p>
            <w:pPr>
              <w:spacing w:line="360" w:lineRule="auto"/>
              <w:jc w:val="center"/>
              <w:rPr>
                <w:rFonts w:ascii="楷体" w:hAnsi="楷体" w:eastAsia="楷体" w:cs="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751" w:type="dxa"/>
            <w:vAlign w:val="center"/>
          </w:tcPr>
          <w:p>
            <w:pPr>
              <w:spacing w:line="360" w:lineRule="auto"/>
              <w:jc w:val="center"/>
              <w:rPr>
                <w:rFonts w:ascii="楷体" w:hAnsi="楷体" w:eastAsia="楷体" w:cs="楷体"/>
                <w:szCs w:val="24"/>
                <w:highlight w:val="none"/>
              </w:rPr>
            </w:pPr>
          </w:p>
        </w:tc>
        <w:tc>
          <w:tcPr>
            <w:tcW w:w="1491" w:type="dxa"/>
            <w:vAlign w:val="center"/>
          </w:tcPr>
          <w:p>
            <w:pPr>
              <w:spacing w:line="360" w:lineRule="auto"/>
              <w:jc w:val="center"/>
              <w:rPr>
                <w:rFonts w:ascii="楷体" w:hAnsi="楷体" w:eastAsia="楷体" w:cs="楷体"/>
                <w:szCs w:val="24"/>
                <w:highlight w:val="none"/>
              </w:rPr>
            </w:pPr>
          </w:p>
        </w:tc>
        <w:tc>
          <w:tcPr>
            <w:tcW w:w="1365" w:type="dxa"/>
            <w:vAlign w:val="center"/>
          </w:tcPr>
          <w:p>
            <w:pPr>
              <w:spacing w:line="360" w:lineRule="auto"/>
              <w:jc w:val="center"/>
              <w:rPr>
                <w:rFonts w:ascii="楷体" w:hAnsi="楷体" w:eastAsia="楷体" w:cs="楷体"/>
                <w:szCs w:val="24"/>
                <w:highlight w:val="none"/>
              </w:rPr>
            </w:pPr>
          </w:p>
        </w:tc>
        <w:tc>
          <w:tcPr>
            <w:tcW w:w="1204" w:type="dxa"/>
            <w:vAlign w:val="center"/>
          </w:tcPr>
          <w:p>
            <w:pPr>
              <w:spacing w:line="360" w:lineRule="auto"/>
              <w:jc w:val="center"/>
              <w:rPr>
                <w:rFonts w:ascii="楷体" w:hAnsi="楷体" w:eastAsia="楷体" w:cs="楷体"/>
                <w:szCs w:val="24"/>
                <w:highlight w:val="none"/>
              </w:rPr>
            </w:pPr>
          </w:p>
        </w:tc>
        <w:tc>
          <w:tcPr>
            <w:tcW w:w="1303" w:type="dxa"/>
            <w:vAlign w:val="center"/>
          </w:tcPr>
          <w:p>
            <w:pPr>
              <w:spacing w:line="360" w:lineRule="auto"/>
              <w:jc w:val="center"/>
              <w:rPr>
                <w:rFonts w:ascii="楷体" w:hAnsi="楷体" w:eastAsia="楷体" w:cs="楷体"/>
                <w:szCs w:val="24"/>
                <w:highlight w:val="none"/>
              </w:rPr>
            </w:pPr>
          </w:p>
        </w:tc>
        <w:tc>
          <w:tcPr>
            <w:tcW w:w="1424" w:type="dxa"/>
            <w:tcBorders>
              <w:right w:val="single" w:color="auto" w:sz="4" w:space="0"/>
            </w:tcBorders>
            <w:vAlign w:val="center"/>
          </w:tcPr>
          <w:p>
            <w:pPr>
              <w:spacing w:line="360" w:lineRule="auto"/>
              <w:jc w:val="center"/>
              <w:rPr>
                <w:rFonts w:ascii="楷体" w:hAnsi="楷体" w:eastAsia="楷体" w:cs="楷体"/>
                <w:szCs w:val="24"/>
                <w:highlight w:val="none"/>
              </w:rPr>
            </w:pPr>
          </w:p>
        </w:tc>
        <w:tc>
          <w:tcPr>
            <w:tcW w:w="1194" w:type="dxa"/>
            <w:tcBorders>
              <w:left w:val="single" w:color="auto" w:sz="4" w:space="0"/>
            </w:tcBorders>
            <w:vAlign w:val="center"/>
          </w:tcPr>
          <w:p>
            <w:pPr>
              <w:spacing w:line="360" w:lineRule="auto"/>
              <w:jc w:val="center"/>
              <w:rPr>
                <w:rFonts w:ascii="楷体" w:hAnsi="楷体" w:eastAsia="楷体" w:cs="楷体"/>
                <w:szCs w:val="24"/>
                <w:highlight w:val="none"/>
              </w:rPr>
            </w:pPr>
          </w:p>
        </w:tc>
      </w:tr>
    </w:tbl>
    <w:p>
      <w:pPr>
        <w:spacing w:line="360" w:lineRule="auto"/>
        <w:rPr>
          <w:rFonts w:ascii="楷体" w:hAnsi="楷体" w:eastAsia="楷体" w:cs="楷体"/>
          <w:b/>
          <w:szCs w:val="24"/>
          <w:highlight w:val="none"/>
        </w:rPr>
      </w:pPr>
      <w:r>
        <w:rPr>
          <w:rFonts w:hint="eastAsia" w:ascii="楷体" w:hAnsi="楷体" w:eastAsia="楷体" w:cs="楷体"/>
          <w:b/>
          <w:szCs w:val="24"/>
          <w:highlight w:val="none"/>
        </w:rPr>
        <w:t>注：1.本表后附业绩证明资料加盖投标人公章，签订时间及金额以合同中的内容为准。</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2.投标人应如实列出以上情况，如有隐瞒，一经查实将导致其投标文件被拒绝。</w:t>
      </w:r>
    </w:p>
    <w:p>
      <w:pPr>
        <w:spacing w:line="360" w:lineRule="auto"/>
        <w:rPr>
          <w:rFonts w:ascii="楷体" w:hAnsi="楷体" w:eastAsia="楷体" w:cs="楷体"/>
          <w:b/>
          <w:szCs w:val="24"/>
          <w:highlight w:val="none"/>
        </w:rPr>
      </w:pPr>
      <w:r>
        <w:rPr>
          <w:rFonts w:hint="eastAsia" w:ascii="楷体" w:hAnsi="楷体" w:eastAsia="楷体" w:cs="楷体"/>
          <w:b/>
          <w:szCs w:val="24"/>
          <w:highlight w:val="none"/>
        </w:rPr>
        <w:t>3.未按上述要求提供、填写的，评审时不予以考虑。</w:t>
      </w:r>
    </w:p>
    <w:p>
      <w:pPr>
        <w:spacing w:line="360" w:lineRule="auto"/>
        <w:rPr>
          <w:rFonts w:ascii="楷体" w:hAnsi="楷体" w:eastAsia="楷体" w:cs="楷体"/>
          <w:b/>
          <w:szCs w:val="24"/>
          <w:highlight w:val="none"/>
        </w:rPr>
      </w:pPr>
    </w:p>
    <w:p>
      <w:pPr>
        <w:spacing w:line="360" w:lineRule="auto"/>
        <w:rPr>
          <w:rFonts w:ascii="楷体" w:hAnsi="楷体" w:eastAsia="楷体" w:cs="楷体"/>
          <w:highlight w:val="none"/>
        </w:rPr>
      </w:pPr>
    </w:p>
    <w:p>
      <w:pPr>
        <w:spacing w:line="360" w:lineRule="auto"/>
        <w:rPr>
          <w:rFonts w:ascii="楷体" w:hAnsi="楷体" w:eastAsia="楷体" w:cs="楷体"/>
          <w:highlight w:val="none"/>
        </w:rPr>
      </w:pPr>
      <w:r>
        <w:rPr>
          <w:rFonts w:hint="eastAsia" w:ascii="楷体" w:hAnsi="楷体" w:eastAsia="楷体" w:cs="楷体"/>
          <w:highlight w:val="none"/>
        </w:rPr>
        <w:t xml:space="preserve">投标人名称（公章）：          </w:t>
      </w:r>
    </w:p>
    <w:p>
      <w:pPr>
        <w:spacing w:line="360" w:lineRule="auto"/>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ascii="楷体" w:hAnsi="楷体" w:eastAsia="楷体" w:cs="楷体"/>
          <w:szCs w:val="24"/>
          <w:highlight w:val="none"/>
        </w:rPr>
      </w:pPr>
      <w:r>
        <w:rPr>
          <w:rFonts w:hint="eastAsia" w:ascii="楷体" w:hAnsi="楷体" w:eastAsia="楷体" w:cs="楷体"/>
          <w:szCs w:val="24"/>
          <w:highlight w:val="none"/>
        </w:rPr>
        <w:t>日    期：</w:t>
      </w:r>
    </w:p>
    <w:p>
      <w:pPr>
        <w:adjustRightInd w:val="0"/>
        <w:snapToGrid w:val="0"/>
        <w:spacing w:line="360" w:lineRule="auto"/>
        <w:jc w:val="left"/>
        <w:rPr>
          <w:rFonts w:ascii="楷体" w:hAnsi="楷体" w:eastAsia="楷体" w:cs="楷体"/>
          <w:szCs w:val="24"/>
          <w:highlight w:val="none"/>
        </w:rPr>
      </w:pPr>
      <w:r>
        <w:rPr>
          <w:rFonts w:hint="eastAsia" w:ascii="楷体" w:hAnsi="楷体" w:eastAsia="楷体" w:cs="楷体"/>
          <w:szCs w:val="24"/>
          <w:highlight w:val="none"/>
        </w:rPr>
        <w:br w:type="page"/>
      </w:r>
      <w:r>
        <w:rPr>
          <w:rFonts w:hint="eastAsia" w:ascii="楷体" w:hAnsi="楷体" w:eastAsia="楷体" w:cs="楷体"/>
          <w:b/>
          <w:bCs/>
          <w:szCs w:val="24"/>
          <w:highlight w:val="none"/>
        </w:rPr>
        <w:t>（五）其他可以证明投标人实力的文件（如果有，格式自拟）。</w:t>
      </w:r>
    </w:p>
    <w:p>
      <w:pPr>
        <w:spacing w:line="360" w:lineRule="auto"/>
        <w:jc w:val="center"/>
        <w:rPr>
          <w:rFonts w:ascii="楷体" w:hAnsi="楷体" w:eastAsia="楷体" w:cs="楷体"/>
          <w:b/>
          <w:sz w:val="32"/>
          <w:szCs w:val="32"/>
          <w:highlight w:val="none"/>
        </w:rPr>
      </w:pPr>
      <w:r>
        <w:rPr>
          <w:rFonts w:hint="eastAsia" w:ascii="楷体" w:hAnsi="楷体" w:eastAsia="楷体" w:cs="楷体"/>
          <w:b/>
          <w:bCs/>
          <w:szCs w:val="24"/>
          <w:highlight w:val="none"/>
        </w:rPr>
        <w:br w:type="page"/>
      </w:r>
      <w:r>
        <w:rPr>
          <w:rFonts w:hint="eastAsia" w:ascii="楷体" w:hAnsi="楷体" w:eastAsia="楷体" w:cs="楷体"/>
          <w:b/>
          <w:sz w:val="32"/>
          <w:szCs w:val="32"/>
          <w:highlight w:val="none"/>
        </w:rPr>
        <w:t>五、技术部分</w:t>
      </w:r>
    </w:p>
    <w:p>
      <w:pPr>
        <w:pStyle w:val="11"/>
        <w:spacing w:after="0" w:line="360" w:lineRule="auto"/>
        <w:jc w:val="center"/>
        <w:rPr>
          <w:rFonts w:ascii="楷体" w:hAnsi="楷体" w:eastAsia="楷体" w:cs="楷体"/>
          <w:sz w:val="28"/>
          <w:highlight w:val="none"/>
        </w:rPr>
      </w:pPr>
      <w:r>
        <w:rPr>
          <w:rFonts w:hint="eastAsia" w:ascii="楷体" w:hAnsi="楷体" w:eastAsia="楷体" w:cs="楷体"/>
          <w:sz w:val="28"/>
          <w:highlight w:val="none"/>
        </w:rPr>
        <w:t>（格式自拟）</w:t>
      </w:r>
    </w:p>
    <w:p>
      <w:pPr>
        <w:spacing w:line="360" w:lineRule="auto"/>
        <w:ind w:firstLine="480" w:firstLineChars="200"/>
        <w:rPr>
          <w:rFonts w:ascii="楷体" w:hAnsi="楷体" w:eastAsia="楷体" w:cs="楷体"/>
          <w:bCs/>
          <w:szCs w:val="24"/>
          <w:highlight w:val="none"/>
        </w:rPr>
      </w:pPr>
      <w:r>
        <w:rPr>
          <w:rFonts w:hint="eastAsia" w:ascii="楷体" w:hAnsi="楷体" w:eastAsia="楷体" w:cs="楷体"/>
          <w:bCs/>
          <w:szCs w:val="24"/>
          <w:highlight w:val="none"/>
        </w:rPr>
        <w:t>1.投标人按照招标文件“第四章 采购内容及技术要求”及招标文件“第五章 评审方法中”中的评审细则表编制对应的技术要求，并封装至投标文件中。</w:t>
      </w:r>
    </w:p>
    <w:p>
      <w:pPr>
        <w:pStyle w:val="7"/>
        <w:spacing w:line="360" w:lineRule="auto"/>
        <w:ind w:firstLine="480"/>
        <w:rPr>
          <w:rFonts w:ascii="楷体" w:hAnsi="楷体" w:eastAsia="楷体" w:cs="楷体"/>
          <w:bCs/>
          <w:sz w:val="24"/>
          <w:highlight w:val="none"/>
        </w:rPr>
      </w:pPr>
      <w:bookmarkStart w:id="197" w:name="OLE_LINK19"/>
      <w:bookmarkStart w:id="198" w:name="_Toc403077656"/>
      <w:bookmarkStart w:id="199" w:name="_Toc363474033"/>
      <w:bookmarkStart w:id="200" w:name="_Toc426457714"/>
      <w:r>
        <w:rPr>
          <w:rFonts w:hint="eastAsia" w:ascii="楷体" w:hAnsi="楷体" w:eastAsia="楷体" w:cs="楷体"/>
          <w:bCs/>
          <w:sz w:val="24"/>
          <w:highlight w:val="none"/>
        </w:rPr>
        <w:t>2.投标人需要说明的其他问题。</w:t>
      </w:r>
    </w:p>
    <w:bookmarkEnd w:id="197"/>
    <w:p>
      <w:pPr>
        <w:spacing w:line="360" w:lineRule="auto"/>
        <w:ind w:firstLine="480" w:firstLineChars="200"/>
        <w:jc w:val="left"/>
        <w:rPr>
          <w:rFonts w:ascii="楷体" w:hAnsi="楷体" w:eastAsia="楷体" w:cs="楷体"/>
          <w:bCs/>
          <w:kern w:val="2"/>
          <w:szCs w:val="24"/>
          <w:highlight w:val="none"/>
        </w:rPr>
      </w:pPr>
      <w:r>
        <w:rPr>
          <w:rFonts w:hint="eastAsia" w:ascii="楷体" w:hAnsi="楷体" w:eastAsia="楷体" w:cs="楷体"/>
          <w:bCs/>
          <w:kern w:val="2"/>
          <w:szCs w:val="24"/>
          <w:highlight w:val="none"/>
        </w:rPr>
        <w:t>附件</w:t>
      </w:r>
      <w:r>
        <w:rPr>
          <w:rFonts w:hint="eastAsia" w:ascii="楷体" w:hAnsi="楷体" w:eastAsia="楷体" w:cs="楷体"/>
          <w:bCs/>
          <w:kern w:val="2"/>
          <w:szCs w:val="24"/>
          <w:highlight w:val="none"/>
          <w:lang w:val="en-US" w:eastAsia="zh-CN"/>
        </w:rPr>
        <w:t>3</w:t>
      </w:r>
      <w:r>
        <w:rPr>
          <w:rFonts w:hint="eastAsia" w:ascii="楷体" w:hAnsi="楷体" w:eastAsia="楷体" w:cs="楷体"/>
          <w:bCs/>
          <w:kern w:val="2"/>
          <w:szCs w:val="24"/>
          <w:highlight w:val="none"/>
        </w:rPr>
        <w:t>：技术规格响应表</w:t>
      </w:r>
    </w:p>
    <w:p>
      <w:pPr>
        <w:spacing w:line="360" w:lineRule="auto"/>
        <w:ind w:firstLine="480" w:firstLineChars="200"/>
        <w:jc w:val="left"/>
        <w:rPr>
          <w:rFonts w:hint="eastAsia" w:ascii="楷体" w:hAnsi="楷体" w:eastAsia="楷体" w:cs="楷体"/>
          <w:bCs/>
          <w:kern w:val="2"/>
          <w:szCs w:val="24"/>
          <w:highlight w:val="none"/>
        </w:rPr>
      </w:pPr>
      <w:r>
        <w:rPr>
          <w:rFonts w:hint="eastAsia" w:ascii="楷体" w:hAnsi="楷体" w:eastAsia="楷体" w:cs="楷体"/>
          <w:bCs/>
          <w:kern w:val="2"/>
          <w:szCs w:val="24"/>
          <w:highlight w:val="none"/>
        </w:rPr>
        <w:t>附件</w:t>
      </w:r>
      <w:r>
        <w:rPr>
          <w:rFonts w:hint="eastAsia" w:ascii="楷体" w:hAnsi="楷体" w:eastAsia="楷体" w:cs="楷体"/>
          <w:bCs/>
          <w:kern w:val="2"/>
          <w:szCs w:val="24"/>
          <w:highlight w:val="none"/>
          <w:lang w:val="en-US" w:eastAsia="zh-CN"/>
        </w:rPr>
        <w:t>4</w:t>
      </w:r>
      <w:r>
        <w:rPr>
          <w:rFonts w:hint="eastAsia" w:ascii="楷体" w:hAnsi="楷体" w:eastAsia="楷体" w:cs="楷体"/>
          <w:bCs/>
          <w:kern w:val="2"/>
          <w:szCs w:val="24"/>
          <w:highlight w:val="none"/>
        </w:rPr>
        <w:t>：本项目拟投入人员汇总表</w:t>
      </w:r>
    </w:p>
    <w:p>
      <w:pPr>
        <w:spacing w:line="360" w:lineRule="auto"/>
        <w:ind w:firstLine="480" w:firstLineChars="200"/>
        <w:jc w:val="left"/>
        <w:rPr>
          <w:rFonts w:ascii="楷体" w:hAnsi="楷体" w:eastAsia="楷体" w:cs="楷体"/>
          <w:bCs/>
          <w:kern w:val="2"/>
          <w:szCs w:val="24"/>
          <w:highlight w:val="none"/>
        </w:rPr>
      </w:pPr>
      <w:r>
        <w:rPr>
          <w:rFonts w:hint="eastAsia" w:ascii="楷体" w:hAnsi="楷体" w:eastAsia="楷体" w:cs="楷体"/>
          <w:bCs/>
          <w:kern w:val="2"/>
          <w:szCs w:val="24"/>
          <w:highlight w:val="none"/>
          <w:lang w:eastAsia="zh-CN"/>
        </w:rPr>
        <w:t>附件</w:t>
      </w:r>
      <w:r>
        <w:rPr>
          <w:rFonts w:hint="eastAsia" w:ascii="楷体" w:hAnsi="楷体" w:eastAsia="楷体" w:cs="楷体"/>
          <w:bCs/>
          <w:kern w:val="2"/>
          <w:szCs w:val="24"/>
          <w:highlight w:val="none"/>
          <w:lang w:val="en-US" w:eastAsia="zh-CN"/>
        </w:rPr>
        <w:t>5：项目负责人简历表</w:t>
      </w:r>
    </w:p>
    <w:p>
      <w:pPr>
        <w:spacing w:line="360" w:lineRule="auto"/>
        <w:rPr>
          <w:rFonts w:ascii="楷体" w:hAnsi="楷体" w:eastAsia="楷体" w:cs="楷体"/>
          <w:highlight w:val="none"/>
        </w:rPr>
      </w:pPr>
    </w:p>
    <w:p>
      <w:pPr>
        <w:spacing w:line="360" w:lineRule="auto"/>
        <w:jc w:val="left"/>
        <w:rPr>
          <w:rFonts w:ascii="楷体" w:hAnsi="楷体" w:eastAsia="楷体" w:cs="楷体"/>
          <w:b/>
          <w:sz w:val="30"/>
          <w:szCs w:val="30"/>
          <w:highlight w:val="none"/>
        </w:rPr>
      </w:pPr>
      <w:r>
        <w:rPr>
          <w:rFonts w:hint="eastAsia" w:ascii="楷体" w:hAnsi="楷体" w:eastAsia="楷体" w:cs="楷体"/>
          <w:sz w:val="30"/>
          <w:szCs w:val="30"/>
          <w:highlight w:val="none"/>
        </w:rPr>
        <w:br w:type="page"/>
      </w:r>
      <w:bookmarkEnd w:id="198"/>
      <w:bookmarkEnd w:id="199"/>
      <w:bookmarkEnd w:id="200"/>
      <w:r>
        <w:rPr>
          <w:rFonts w:hint="eastAsia" w:ascii="楷体" w:hAnsi="楷体" w:eastAsia="楷体" w:cs="楷体"/>
          <w:b/>
          <w:bCs/>
          <w:sz w:val="28"/>
          <w:szCs w:val="28"/>
          <w:highlight w:val="none"/>
        </w:rPr>
        <w:t>附件3：</w:t>
      </w:r>
    </w:p>
    <w:p>
      <w:pPr>
        <w:spacing w:line="360" w:lineRule="auto"/>
        <w:jc w:val="center"/>
        <w:rPr>
          <w:rFonts w:ascii="楷体" w:hAnsi="楷体" w:eastAsia="楷体" w:cs="楷体"/>
          <w:b/>
          <w:bCs/>
          <w:sz w:val="30"/>
          <w:szCs w:val="30"/>
          <w:highlight w:val="none"/>
        </w:rPr>
      </w:pPr>
      <w:r>
        <w:rPr>
          <w:rFonts w:hint="eastAsia" w:ascii="楷体" w:hAnsi="楷体" w:eastAsia="楷体" w:cs="楷体"/>
          <w:b/>
          <w:bCs/>
          <w:sz w:val="30"/>
          <w:szCs w:val="30"/>
          <w:highlight w:val="none"/>
        </w:rPr>
        <w:t>技术规格响应表</w:t>
      </w:r>
    </w:p>
    <w:p>
      <w:pPr>
        <w:spacing w:line="360" w:lineRule="auto"/>
        <w:jc w:val="left"/>
        <w:rPr>
          <w:rFonts w:ascii="楷体" w:hAnsi="楷体" w:eastAsia="楷体" w:cs="楷体"/>
          <w:b/>
          <w:highlight w:val="none"/>
        </w:rPr>
      </w:pPr>
      <w:r>
        <w:rPr>
          <w:rFonts w:hint="eastAsia" w:ascii="楷体" w:hAnsi="楷体" w:eastAsia="楷体" w:cs="楷体"/>
          <w:b/>
          <w:highlight w:val="none"/>
        </w:rPr>
        <w:t xml:space="preserve">  项目名称：</w:t>
      </w:r>
    </w:p>
    <w:p>
      <w:pPr>
        <w:pStyle w:val="11"/>
        <w:spacing w:line="360" w:lineRule="auto"/>
        <w:ind w:firstLine="241" w:firstLineChars="100"/>
        <w:rPr>
          <w:rFonts w:hint="eastAsia" w:ascii="楷体" w:hAnsi="楷体" w:eastAsia="楷体" w:cs="楷体"/>
          <w:b/>
          <w:szCs w:val="24"/>
          <w:highlight w:val="none"/>
        </w:rPr>
      </w:pPr>
      <w:r>
        <w:rPr>
          <w:rFonts w:hint="eastAsia" w:ascii="楷体" w:hAnsi="楷体" w:eastAsia="楷体" w:cs="楷体"/>
          <w:b/>
          <w:kern w:val="0"/>
          <w:sz w:val="24"/>
          <w:szCs w:val="22"/>
          <w:highlight w:val="none"/>
        </w:rPr>
        <w:t>项目编号：</w:t>
      </w:r>
      <w:r>
        <w:rPr>
          <w:rFonts w:hint="eastAsia" w:ascii="楷体" w:hAnsi="楷体" w:eastAsia="楷体" w:cs="楷体"/>
          <w:b/>
          <w:szCs w:val="24"/>
          <w:highlight w:val="none"/>
        </w:rPr>
        <w:t xml:space="preserve">  </w:t>
      </w:r>
    </w:p>
    <w:p>
      <w:pPr>
        <w:pStyle w:val="11"/>
        <w:spacing w:line="360" w:lineRule="auto"/>
        <w:ind w:firstLine="241" w:firstLineChars="100"/>
        <w:rPr>
          <w:rFonts w:ascii="楷体" w:hAnsi="楷体" w:eastAsia="楷体" w:cs="楷体"/>
          <w:highlight w:val="none"/>
        </w:rPr>
      </w:pPr>
      <w:r>
        <w:rPr>
          <w:rFonts w:hint="eastAsia" w:ascii="楷体" w:hAnsi="楷体" w:eastAsia="楷体" w:cs="楷体"/>
          <w:b/>
          <w:kern w:val="0"/>
          <w:sz w:val="24"/>
          <w:szCs w:val="22"/>
          <w:highlight w:val="none"/>
          <w:lang w:eastAsia="zh-CN"/>
        </w:rPr>
        <w:t>包号：</w:t>
      </w:r>
      <w:r>
        <w:rPr>
          <w:rFonts w:hint="eastAsia" w:ascii="楷体" w:hAnsi="楷体" w:eastAsia="楷体" w:cs="楷体"/>
          <w:b/>
          <w:kern w:val="0"/>
          <w:sz w:val="24"/>
          <w:szCs w:val="22"/>
          <w:highlight w:val="none"/>
        </w:rPr>
        <w:t xml:space="preserve">  </w:t>
      </w:r>
      <w:r>
        <w:rPr>
          <w:rFonts w:hint="eastAsia" w:ascii="楷体" w:hAnsi="楷体" w:eastAsia="楷体" w:cs="楷体"/>
          <w:b/>
          <w:szCs w:val="24"/>
          <w:highlight w:val="none"/>
        </w:rPr>
        <w:t xml:space="preserve"> </w:t>
      </w:r>
      <w:r>
        <w:rPr>
          <w:rFonts w:hint="eastAsia" w:ascii="楷体" w:hAnsi="楷体" w:eastAsia="楷体" w:cs="楷体"/>
          <w:szCs w:val="24"/>
          <w:highlight w:val="none"/>
        </w:rPr>
        <w:t xml:space="preserve">                                    </w:t>
      </w:r>
    </w:p>
    <w:tbl>
      <w:tblPr>
        <w:tblStyle w:val="27"/>
        <w:tblW w:w="8558" w:type="dxa"/>
        <w:jc w:val="center"/>
        <w:tblLayout w:type="fixed"/>
        <w:tblCellMar>
          <w:top w:w="0" w:type="dxa"/>
          <w:left w:w="28" w:type="dxa"/>
          <w:bottom w:w="0" w:type="dxa"/>
          <w:right w:w="28" w:type="dxa"/>
        </w:tblCellMar>
      </w:tblPr>
      <w:tblGrid>
        <w:gridCol w:w="804"/>
        <w:gridCol w:w="1392"/>
        <w:gridCol w:w="2474"/>
        <w:gridCol w:w="2424"/>
        <w:gridCol w:w="1464"/>
      </w:tblGrid>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highlight w:val="none"/>
              </w:rPr>
            </w:pPr>
            <w:r>
              <w:rPr>
                <w:rFonts w:hint="eastAsia" w:ascii="楷体" w:hAnsi="楷体" w:eastAsia="楷体" w:cs="楷体"/>
                <w:b/>
                <w:szCs w:val="24"/>
                <w:highlight w:val="none"/>
              </w:rPr>
              <w:t>序号</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highlight w:val="none"/>
              </w:rPr>
            </w:pPr>
            <w:r>
              <w:rPr>
                <w:rFonts w:hint="eastAsia" w:ascii="楷体" w:hAnsi="楷体" w:eastAsia="楷体" w:cs="楷体"/>
                <w:b/>
                <w:szCs w:val="24"/>
                <w:highlight w:val="none"/>
              </w:rPr>
              <w:t>名称</w:t>
            </w:r>
          </w:p>
        </w:tc>
        <w:tc>
          <w:tcPr>
            <w:tcW w:w="247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highlight w:val="none"/>
              </w:rPr>
            </w:pPr>
            <w:r>
              <w:rPr>
                <w:rFonts w:hint="eastAsia" w:ascii="楷体" w:hAnsi="楷体" w:eastAsia="楷体" w:cs="楷体"/>
                <w:b/>
                <w:szCs w:val="24"/>
                <w:highlight w:val="none"/>
              </w:rPr>
              <w:t>招标技术要求</w:t>
            </w:r>
          </w:p>
        </w:tc>
        <w:tc>
          <w:tcPr>
            <w:tcW w:w="242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highlight w:val="none"/>
              </w:rPr>
            </w:pPr>
            <w:r>
              <w:rPr>
                <w:rFonts w:hint="eastAsia" w:ascii="楷体" w:hAnsi="楷体" w:eastAsia="楷体" w:cs="楷体"/>
                <w:b/>
                <w:szCs w:val="24"/>
                <w:highlight w:val="none"/>
              </w:rPr>
              <w:t>投标技术响应</w:t>
            </w:r>
          </w:p>
        </w:tc>
        <w:tc>
          <w:tcPr>
            <w:tcW w:w="14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b/>
                <w:kern w:val="2"/>
                <w:sz w:val="21"/>
                <w:szCs w:val="21"/>
                <w:highlight w:val="none"/>
              </w:rPr>
            </w:pPr>
            <w:r>
              <w:rPr>
                <w:rFonts w:hint="eastAsia" w:ascii="楷体" w:hAnsi="楷体" w:eastAsia="楷体" w:cs="楷体"/>
                <w:b/>
                <w:szCs w:val="24"/>
                <w:highlight w:val="none"/>
              </w:rPr>
              <w:t>偏离说明</w:t>
            </w:r>
          </w:p>
        </w:tc>
      </w:tr>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r>
        <w:tblPrEx>
          <w:tblCellMar>
            <w:top w:w="0" w:type="dxa"/>
            <w:left w:w="28" w:type="dxa"/>
            <w:bottom w:w="0" w:type="dxa"/>
            <w:right w:w="28" w:type="dxa"/>
          </w:tblCellMar>
        </w:tblPrEx>
        <w:trPr>
          <w:trHeight w:val="85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r>
        <w:tblPrEx>
          <w:tblCellMar>
            <w:top w:w="0" w:type="dxa"/>
            <w:left w:w="28" w:type="dxa"/>
            <w:bottom w:w="0" w:type="dxa"/>
            <w:right w:w="28" w:type="dxa"/>
          </w:tblCellMar>
        </w:tblPrEx>
        <w:trPr>
          <w:trHeight w:val="865" w:hRule="exact"/>
          <w:jc w:val="center"/>
        </w:trPr>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392"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7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242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楷体" w:hAnsi="楷体" w:eastAsia="楷体" w:cs="楷体"/>
                <w:kern w:val="2"/>
                <w:sz w:val="21"/>
                <w:szCs w:val="21"/>
                <w:highlight w:val="none"/>
              </w:rPr>
            </w:pPr>
          </w:p>
        </w:tc>
      </w:tr>
    </w:tbl>
    <w:p>
      <w:pPr>
        <w:widowControl/>
        <w:spacing w:line="360" w:lineRule="auto"/>
        <w:jc w:val="left"/>
        <w:rPr>
          <w:rFonts w:ascii="楷体" w:hAnsi="楷体" w:eastAsia="楷体" w:cs="楷体"/>
          <w:b/>
          <w:szCs w:val="22"/>
          <w:highlight w:val="none"/>
        </w:rPr>
      </w:pPr>
      <w:r>
        <w:rPr>
          <w:rFonts w:hint="eastAsia" w:ascii="楷体" w:hAnsi="楷体" w:eastAsia="楷体" w:cs="楷体"/>
          <w:b/>
          <w:szCs w:val="22"/>
          <w:highlight w:val="none"/>
        </w:rPr>
        <w:t>注:1.本表须按照招标文件“第四章 采购内容及技术要求”逐条如实填写，不得空缺；如空缺将视为没有实质性响应招标文件。</w:t>
      </w:r>
    </w:p>
    <w:p>
      <w:pPr>
        <w:widowControl/>
        <w:spacing w:line="360" w:lineRule="auto"/>
        <w:jc w:val="left"/>
        <w:rPr>
          <w:rFonts w:ascii="楷体" w:hAnsi="楷体" w:eastAsia="楷体" w:cs="楷体"/>
          <w:b/>
          <w:szCs w:val="22"/>
          <w:highlight w:val="none"/>
        </w:rPr>
      </w:pPr>
      <w:r>
        <w:rPr>
          <w:rFonts w:hint="eastAsia" w:ascii="楷体" w:hAnsi="楷体" w:eastAsia="楷体" w:cs="楷体"/>
          <w:b/>
          <w:szCs w:val="22"/>
          <w:highlight w:val="none"/>
        </w:rPr>
        <w:t>2.偏离说明填写：优于、满足或低于。</w:t>
      </w:r>
    </w:p>
    <w:p>
      <w:pPr>
        <w:widowControl/>
        <w:spacing w:line="360" w:lineRule="auto"/>
        <w:jc w:val="left"/>
        <w:rPr>
          <w:rFonts w:ascii="楷体" w:hAnsi="楷体" w:eastAsia="楷体" w:cs="楷体"/>
          <w:b/>
          <w:szCs w:val="22"/>
          <w:highlight w:val="none"/>
        </w:rPr>
      </w:pPr>
      <w:r>
        <w:rPr>
          <w:rFonts w:hint="eastAsia" w:ascii="楷体" w:hAnsi="楷体" w:eastAsia="楷体" w:cs="楷体"/>
          <w:b/>
          <w:szCs w:val="22"/>
          <w:highlight w:val="none"/>
        </w:rPr>
        <w:t>3.投标人必须据实填写，不得虚假响应，否则将取消其投标或中标资格，并按有关规定进行处罚。</w:t>
      </w:r>
    </w:p>
    <w:p>
      <w:pPr>
        <w:pStyle w:val="20"/>
        <w:rPr>
          <w:rFonts w:ascii="楷体" w:hAnsi="楷体" w:eastAsia="楷体" w:cs="楷体"/>
          <w:highlight w:val="none"/>
        </w:rPr>
      </w:pPr>
    </w:p>
    <w:p>
      <w:pPr>
        <w:spacing w:line="360" w:lineRule="auto"/>
        <w:rPr>
          <w:rFonts w:ascii="楷体" w:hAnsi="楷体" w:eastAsia="楷体" w:cs="楷体"/>
          <w:kern w:val="2"/>
          <w:sz w:val="21"/>
          <w:szCs w:val="21"/>
          <w:highlight w:val="none"/>
        </w:rPr>
      </w:pPr>
    </w:p>
    <w:p>
      <w:pPr>
        <w:spacing w:line="360" w:lineRule="auto"/>
        <w:rPr>
          <w:rFonts w:ascii="楷体" w:hAnsi="楷体" w:eastAsia="楷体" w:cs="楷体"/>
          <w:highlight w:val="none"/>
        </w:rPr>
      </w:pPr>
      <w:r>
        <w:rPr>
          <w:rFonts w:hint="eastAsia" w:ascii="楷体" w:hAnsi="楷体" w:eastAsia="楷体" w:cs="楷体"/>
          <w:highlight w:val="none"/>
        </w:rPr>
        <w:t xml:space="preserve">投标人名称（公章）  ：          </w:t>
      </w:r>
    </w:p>
    <w:p>
      <w:pPr>
        <w:spacing w:line="360" w:lineRule="auto"/>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ascii="楷体" w:hAnsi="楷体" w:eastAsia="楷体" w:cs="楷体"/>
          <w:highlight w:val="none"/>
        </w:rPr>
      </w:pPr>
      <w:r>
        <w:rPr>
          <w:rFonts w:hint="eastAsia" w:ascii="楷体" w:hAnsi="楷体" w:eastAsia="楷体" w:cs="楷体"/>
          <w:szCs w:val="24"/>
          <w:highlight w:val="none"/>
        </w:rPr>
        <w:t>日    期：</w:t>
      </w:r>
    </w:p>
    <w:p>
      <w:pPr>
        <w:spacing w:line="360" w:lineRule="auto"/>
        <w:jc w:val="left"/>
        <w:rPr>
          <w:rFonts w:ascii="楷体" w:hAnsi="楷体" w:eastAsia="楷体" w:cs="楷体"/>
          <w:b/>
          <w:bCs/>
          <w:color w:val="auto"/>
          <w:sz w:val="30"/>
          <w:szCs w:val="30"/>
        </w:rPr>
      </w:pPr>
      <w:r>
        <w:rPr>
          <w:rFonts w:hint="eastAsia" w:ascii="楷体" w:hAnsi="楷体" w:eastAsia="楷体" w:cs="楷体"/>
          <w:szCs w:val="24"/>
          <w:highlight w:val="none"/>
        </w:rPr>
        <w:br w:type="page"/>
      </w:r>
      <w:r>
        <w:rPr>
          <w:rFonts w:hint="eastAsia" w:ascii="楷体" w:hAnsi="楷体" w:eastAsia="楷体" w:cs="楷体"/>
          <w:b/>
          <w:bCs/>
          <w:color w:val="auto"/>
          <w:sz w:val="28"/>
          <w:szCs w:val="28"/>
        </w:rPr>
        <w:t>附件4：</w:t>
      </w:r>
    </w:p>
    <w:p>
      <w:pPr>
        <w:spacing w:line="360" w:lineRule="auto"/>
        <w:jc w:val="center"/>
        <w:rPr>
          <w:rFonts w:ascii="楷体" w:hAnsi="楷体" w:eastAsia="楷体" w:cs="楷体"/>
          <w:color w:val="auto"/>
        </w:rPr>
      </w:pPr>
      <w:r>
        <w:rPr>
          <w:rFonts w:hint="eastAsia" w:ascii="楷体" w:hAnsi="楷体" w:eastAsia="楷体" w:cs="楷体"/>
          <w:b/>
          <w:bCs/>
          <w:color w:val="auto"/>
          <w:sz w:val="30"/>
          <w:szCs w:val="30"/>
        </w:rPr>
        <w:t>本项目拟投入人员汇总表</w:t>
      </w:r>
    </w:p>
    <w:tbl>
      <w:tblPr>
        <w:tblStyle w:val="27"/>
        <w:tblW w:w="0" w:type="auto"/>
        <w:tblInd w:w="-110" w:type="dxa"/>
        <w:tblLayout w:type="fixed"/>
        <w:tblCellMar>
          <w:top w:w="0" w:type="dxa"/>
          <w:left w:w="0" w:type="dxa"/>
          <w:bottom w:w="0" w:type="dxa"/>
          <w:right w:w="0" w:type="dxa"/>
        </w:tblCellMar>
      </w:tblPr>
      <w:tblGrid>
        <w:gridCol w:w="632"/>
        <w:gridCol w:w="981"/>
        <w:gridCol w:w="730"/>
        <w:gridCol w:w="593"/>
        <w:gridCol w:w="649"/>
        <w:gridCol w:w="1025"/>
        <w:gridCol w:w="1124"/>
        <w:gridCol w:w="912"/>
        <w:gridCol w:w="1776"/>
      </w:tblGrid>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序号</w:t>
            </w: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姓  名</w:t>
            </w: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性别</w:t>
            </w: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年龄</w:t>
            </w: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学历</w:t>
            </w: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sz w:val="21"/>
                <w:szCs w:val="21"/>
              </w:rPr>
            </w:pPr>
            <w:r>
              <w:rPr>
                <w:rFonts w:hint="eastAsia" w:ascii="楷体" w:hAnsi="楷体" w:eastAsia="楷体" w:cs="楷体"/>
                <w:color w:val="auto"/>
              </w:rPr>
              <w:t>技术</w:t>
            </w:r>
          </w:p>
          <w:p>
            <w:pPr>
              <w:pStyle w:val="35"/>
              <w:spacing w:line="360" w:lineRule="auto"/>
              <w:ind w:left="0" w:leftChars="0"/>
              <w:rPr>
                <w:rFonts w:ascii="楷体" w:hAnsi="楷体" w:eastAsia="楷体" w:cs="楷体"/>
                <w:color w:val="auto"/>
              </w:rPr>
            </w:pPr>
            <w:r>
              <w:rPr>
                <w:rFonts w:hint="eastAsia" w:ascii="楷体" w:hAnsi="楷体" w:eastAsia="楷体" w:cs="楷体"/>
                <w:color w:val="auto"/>
              </w:rPr>
              <w:t>职称</w:t>
            </w: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sz w:val="21"/>
                <w:szCs w:val="21"/>
              </w:rPr>
            </w:pPr>
            <w:r>
              <w:rPr>
                <w:rFonts w:hint="eastAsia" w:ascii="楷体" w:hAnsi="楷体" w:eastAsia="楷体" w:cs="楷体"/>
                <w:color w:val="auto"/>
              </w:rPr>
              <w:t>资格证</w:t>
            </w:r>
          </w:p>
          <w:p>
            <w:pPr>
              <w:pStyle w:val="35"/>
              <w:spacing w:line="360" w:lineRule="auto"/>
              <w:ind w:left="0" w:leftChars="0"/>
              <w:rPr>
                <w:rFonts w:ascii="楷体" w:hAnsi="楷体" w:eastAsia="楷体" w:cs="楷体"/>
                <w:color w:val="auto"/>
              </w:rPr>
            </w:pPr>
            <w:r>
              <w:rPr>
                <w:rFonts w:hint="eastAsia" w:ascii="楷体" w:hAnsi="楷体" w:eastAsia="楷体" w:cs="楷体"/>
                <w:color w:val="auto"/>
              </w:rPr>
              <w:t>书种类</w:t>
            </w: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sz w:val="21"/>
                <w:szCs w:val="21"/>
              </w:rPr>
            </w:pPr>
            <w:r>
              <w:rPr>
                <w:rFonts w:hint="eastAsia" w:ascii="楷体" w:hAnsi="楷体" w:eastAsia="楷体" w:cs="楷体"/>
                <w:color w:val="auto"/>
              </w:rPr>
              <w:t>工作</w:t>
            </w:r>
          </w:p>
          <w:p>
            <w:pPr>
              <w:pStyle w:val="35"/>
              <w:spacing w:line="360" w:lineRule="auto"/>
              <w:ind w:left="0" w:leftChars="0"/>
              <w:rPr>
                <w:rFonts w:ascii="楷体" w:hAnsi="楷体" w:eastAsia="楷体" w:cs="楷体"/>
                <w:color w:val="auto"/>
              </w:rPr>
            </w:pPr>
            <w:r>
              <w:rPr>
                <w:rFonts w:hint="eastAsia" w:ascii="楷体" w:hAnsi="楷体" w:eastAsia="楷体" w:cs="楷体"/>
                <w:color w:val="auto"/>
              </w:rPr>
              <w:t>年限</w:t>
            </w: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5"/>
              <w:spacing w:line="360" w:lineRule="auto"/>
              <w:ind w:left="0" w:leftChars="0"/>
              <w:rPr>
                <w:rFonts w:ascii="楷体" w:hAnsi="楷体" w:eastAsia="楷体" w:cs="楷体"/>
                <w:color w:val="auto"/>
              </w:rPr>
            </w:pPr>
            <w:r>
              <w:rPr>
                <w:rFonts w:hint="eastAsia" w:ascii="楷体" w:hAnsi="楷体" w:eastAsia="楷体" w:cs="楷体"/>
                <w:color w:val="auto"/>
              </w:rPr>
              <w:t>拟担任的职务</w:t>
            </w: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r>
        <w:tblPrEx>
          <w:tblCellMar>
            <w:top w:w="0" w:type="dxa"/>
            <w:left w:w="0" w:type="dxa"/>
            <w:bottom w:w="0" w:type="dxa"/>
            <w:right w:w="0" w:type="dxa"/>
          </w:tblCellMar>
        </w:tblPrEx>
        <w:trPr>
          <w:trHeight w:val="851" w:hRule="exact"/>
        </w:trPr>
        <w:tc>
          <w:tcPr>
            <w:tcW w:w="63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98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5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0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124"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5"/>
              <w:spacing w:line="360" w:lineRule="auto"/>
              <w:ind w:left="0" w:leftChars="0" w:firstLine="480" w:firstLineChars="200"/>
              <w:jc w:val="both"/>
              <w:rPr>
                <w:rFonts w:ascii="楷体" w:hAnsi="楷体" w:eastAsia="楷体" w:cs="楷体"/>
                <w:color w:val="auto"/>
              </w:rPr>
            </w:pPr>
          </w:p>
        </w:tc>
        <w:tc>
          <w:tcPr>
            <w:tcW w:w="9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c>
          <w:tcPr>
            <w:tcW w:w="17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5"/>
              <w:spacing w:line="360" w:lineRule="auto"/>
              <w:ind w:left="0" w:leftChars="0" w:firstLine="480" w:firstLineChars="200"/>
              <w:jc w:val="both"/>
              <w:rPr>
                <w:rFonts w:ascii="楷体" w:hAnsi="楷体" w:eastAsia="楷体" w:cs="楷体"/>
                <w:color w:val="auto"/>
              </w:rPr>
            </w:pPr>
          </w:p>
        </w:tc>
      </w:tr>
    </w:tbl>
    <w:p>
      <w:pPr>
        <w:spacing w:line="360" w:lineRule="auto"/>
        <w:jc w:val="left"/>
        <w:rPr>
          <w:rFonts w:ascii="楷体" w:hAnsi="楷体" w:eastAsia="楷体" w:cs="楷体"/>
          <w:color w:val="auto"/>
        </w:rPr>
      </w:pPr>
      <w:r>
        <w:rPr>
          <w:rFonts w:hint="eastAsia" w:ascii="楷体" w:hAnsi="楷体" w:eastAsia="楷体" w:cs="楷体"/>
          <w:color w:val="auto"/>
          <w:szCs w:val="24"/>
        </w:rPr>
        <w:t>注：1.在填写时，如本表不适合供应商实际情况，可根据本表格式自行划表填写。</w:t>
      </w:r>
    </w:p>
    <w:p>
      <w:pPr>
        <w:spacing w:line="360" w:lineRule="auto"/>
        <w:ind w:firstLine="480" w:firstLineChars="200"/>
        <w:jc w:val="left"/>
        <w:rPr>
          <w:rFonts w:ascii="楷体" w:hAnsi="楷体" w:eastAsia="楷体" w:cs="楷体"/>
          <w:color w:val="auto"/>
        </w:rPr>
      </w:pPr>
      <w:r>
        <w:rPr>
          <w:rFonts w:hint="eastAsia" w:ascii="楷体" w:hAnsi="楷体" w:eastAsia="楷体" w:cs="楷体"/>
          <w:color w:val="auto"/>
          <w:szCs w:val="24"/>
        </w:rPr>
        <w:t>2.附以上人员相关证明材料。</w:t>
      </w:r>
    </w:p>
    <w:p>
      <w:pPr>
        <w:spacing w:line="360" w:lineRule="auto"/>
        <w:jc w:val="left"/>
        <w:rPr>
          <w:rFonts w:ascii="楷体" w:hAnsi="楷体" w:eastAsia="楷体" w:cs="楷体"/>
          <w:color w:val="auto"/>
          <w:szCs w:val="24"/>
        </w:rPr>
      </w:pPr>
    </w:p>
    <w:p>
      <w:pPr>
        <w:pStyle w:val="7"/>
        <w:spacing w:line="360" w:lineRule="auto"/>
        <w:ind w:left="2880"/>
        <w:rPr>
          <w:rFonts w:ascii="楷体" w:hAnsi="楷体" w:eastAsia="楷体" w:cs="楷体"/>
          <w:color w:val="auto"/>
        </w:rPr>
      </w:pPr>
    </w:p>
    <w:p>
      <w:pPr>
        <w:pStyle w:val="7"/>
        <w:spacing w:line="360" w:lineRule="auto"/>
        <w:ind w:left="2880"/>
        <w:rPr>
          <w:rFonts w:ascii="楷体" w:hAnsi="楷体" w:eastAsia="楷体" w:cs="楷体"/>
          <w:color w:val="auto"/>
        </w:rPr>
      </w:pPr>
    </w:p>
    <w:p>
      <w:pPr>
        <w:pStyle w:val="7"/>
        <w:spacing w:line="360" w:lineRule="auto"/>
        <w:ind w:left="2880"/>
        <w:rPr>
          <w:rFonts w:ascii="楷体" w:hAnsi="楷体" w:eastAsia="楷体" w:cs="楷体"/>
          <w:color w:val="auto"/>
        </w:rPr>
      </w:pPr>
    </w:p>
    <w:p>
      <w:pPr>
        <w:pStyle w:val="7"/>
        <w:spacing w:line="360" w:lineRule="auto"/>
        <w:ind w:left="2880"/>
        <w:rPr>
          <w:rFonts w:ascii="楷体" w:hAnsi="楷体" w:eastAsia="楷体" w:cs="楷体"/>
          <w:color w:val="auto"/>
        </w:rPr>
      </w:pPr>
    </w:p>
    <w:p>
      <w:pPr>
        <w:spacing w:line="360" w:lineRule="auto"/>
        <w:rPr>
          <w:rFonts w:ascii="楷体" w:hAnsi="楷体" w:eastAsia="楷体" w:cs="楷体"/>
          <w:highlight w:val="none"/>
        </w:rPr>
      </w:pPr>
      <w:r>
        <w:rPr>
          <w:rFonts w:hint="eastAsia" w:ascii="楷体" w:hAnsi="楷体" w:eastAsia="楷体" w:cs="楷体"/>
          <w:highlight w:val="none"/>
        </w:rPr>
        <w:t xml:space="preserve">投标人名称（公章）  ：          </w:t>
      </w:r>
    </w:p>
    <w:p>
      <w:pPr>
        <w:spacing w:line="360" w:lineRule="auto"/>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ascii="楷体" w:hAnsi="楷体" w:eastAsia="楷体" w:cs="楷体"/>
          <w:highlight w:val="none"/>
        </w:rPr>
      </w:pPr>
      <w:r>
        <w:rPr>
          <w:rFonts w:hint="eastAsia" w:ascii="楷体" w:hAnsi="楷体" w:eastAsia="楷体" w:cs="楷体"/>
          <w:szCs w:val="24"/>
          <w:highlight w:val="none"/>
        </w:rPr>
        <w:t>日    期：</w:t>
      </w:r>
    </w:p>
    <w:p>
      <w:pPr>
        <w:spacing w:line="360" w:lineRule="auto"/>
        <w:rPr>
          <w:rFonts w:ascii="楷体" w:hAnsi="楷体" w:eastAsia="楷体" w:cs="楷体"/>
          <w:sz w:val="30"/>
          <w:szCs w:val="30"/>
          <w:highlight w:val="none"/>
        </w:rPr>
      </w:pPr>
      <w:r>
        <w:rPr>
          <w:rFonts w:hint="eastAsia" w:ascii="楷体" w:hAnsi="楷体" w:eastAsia="楷体" w:cs="楷体"/>
          <w:b/>
          <w:bCs/>
          <w:color w:val="auto"/>
          <w:sz w:val="28"/>
          <w:szCs w:val="28"/>
        </w:rPr>
        <w:br w:type="page"/>
      </w:r>
      <w:r>
        <w:rPr>
          <w:rFonts w:hint="eastAsia" w:ascii="楷体" w:hAnsi="楷体" w:eastAsia="楷体" w:cs="楷体"/>
          <w:b/>
          <w:bCs/>
          <w:sz w:val="28"/>
          <w:szCs w:val="28"/>
          <w:highlight w:val="none"/>
        </w:rPr>
        <w:t>附件</w:t>
      </w:r>
      <w:r>
        <w:rPr>
          <w:rFonts w:hint="eastAsia" w:ascii="楷体" w:hAnsi="楷体" w:eastAsia="楷体" w:cs="楷体"/>
          <w:b/>
          <w:bCs/>
          <w:sz w:val="28"/>
          <w:szCs w:val="28"/>
          <w:highlight w:val="none"/>
          <w:lang w:val="en-US" w:eastAsia="zh-CN"/>
        </w:rPr>
        <w:t>5</w:t>
      </w:r>
      <w:r>
        <w:rPr>
          <w:rFonts w:hint="eastAsia" w:ascii="楷体" w:hAnsi="楷体" w:eastAsia="楷体" w:cs="楷体"/>
          <w:b/>
          <w:bCs/>
          <w:sz w:val="28"/>
          <w:szCs w:val="28"/>
          <w:highlight w:val="none"/>
        </w:rPr>
        <w:t>：</w:t>
      </w:r>
    </w:p>
    <w:p>
      <w:pPr>
        <w:spacing w:line="360" w:lineRule="auto"/>
        <w:jc w:val="center"/>
        <w:rPr>
          <w:rFonts w:ascii="楷体" w:hAnsi="楷体" w:eastAsia="楷体" w:cs="楷体"/>
          <w:b/>
          <w:bCs/>
          <w:sz w:val="30"/>
          <w:szCs w:val="30"/>
          <w:highlight w:val="none"/>
        </w:rPr>
      </w:pPr>
      <w:r>
        <w:rPr>
          <w:rFonts w:hint="eastAsia" w:ascii="楷体" w:hAnsi="楷体" w:eastAsia="楷体" w:cs="楷体"/>
          <w:b/>
          <w:bCs/>
          <w:sz w:val="30"/>
          <w:szCs w:val="30"/>
          <w:highlight w:val="none"/>
        </w:rPr>
        <w:t>项目负责人简历表</w:t>
      </w:r>
    </w:p>
    <w:tbl>
      <w:tblPr>
        <w:tblStyle w:val="27"/>
        <w:tblW w:w="0" w:type="auto"/>
        <w:tblInd w:w="0" w:type="dxa"/>
        <w:tblLayout w:type="fixed"/>
        <w:tblCellMar>
          <w:top w:w="0" w:type="dxa"/>
          <w:left w:w="108" w:type="dxa"/>
          <w:bottom w:w="0" w:type="dxa"/>
          <w:right w:w="108" w:type="dxa"/>
        </w:tblCellMar>
      </w:tblPr>
      <w:tblGrid>
        <w:gridCol w:w="1413"/>
        <w:gridCol w:w="252"/>
        <w:gridCol w:w="1485"/>
        <w:gridCol w:w="1436"/>
        <w:gridCol w:w="1211"/>
        <w:gridCol w:w="41"/>
        <w:gridCol w:w="1608"/>
        <w:gridCol w:w="7"/>
        <w:gridCol w:w="1063"/>
      </w:tblGrid>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姓  名</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性 别</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年 龄</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22"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职 称</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身份证号</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专业/年限</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毕业时间</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毕业学校</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学历/专业</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21" w:hRule="atLeast"/>
        </w:trPr>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资格证书</w:t>
            </w:r>
          </w:p>
        </w:tc>
        <w:tc>
          <w:tcPr>
            <w:tcW w:w="1485"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注册时间</w:t>
            </w:r>
          </w:p>
        </w:tc>
        <w:tc>
          <w:tcPr>
            <w:tcW w:w="125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1608"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从业时间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22"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是否属投标人固定雇员</w:t>
            </w:r>
          </w:p>
        </w:tc>
        <w:tc>
          <w:tcPr>
            <w:tcW w:w="1436"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c>
          <w:tcPr>
            <w:tcW w:w="286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为投标人服务时间</w:t>
            </w:r>
          </w:p>
        </w:tc>
        <w:tc>
          <w:tcPr>
            <w:tcW w:w="10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21" w:hRule="atLeast"/>
        </w:trPr>
        <w:tc>
          <w:tcPr>
            <w:tcW w:w="31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r>
              <w:rPr>
                <w:rFonts w:hint="eastAsia" w:ascii="楷体" w:hAnsi="楷体" w:eastAsia="楷体" w:cs="楷体"/>
                <w:szCs w:val="24"/>
                <w:highlight w:val="none"/>
              </w:rPr>
              <w:t>拟在本项目担任职务</w:t>
            </w:r>
          </w:p>
        </w:tc>
        <w:tc>
          <w:tcPr>
            <w:tcW w:w="5366"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楷体"/>
                <w:szCs w:val="24"/>
                <w:highlight w:val="none"/>
              </w:rPr>
            </w:pPr>
          </w:p>
        </w:tc>
      </w:tr>
      <w:tr>
        <w:tblPrEx>
          <w:tblCellMar>
            <w:top w:w="0" w:type="dxa"/>
            <w:left w:w="108" w:type="dxa"/>
            <w:bottom w:w="0" w:type="dxa"/>
            <w:right w:w="108" w:type="dxa"/>
          </w:tblCellMar>
        </w:tblPrEx>
        <w:trPr>
          <w:trHeight w:val="546" w:hRule="atLeast"/>
        </w:trPr>
        <w:tc>
          <w:tcPr>
            <w:tcW w:w="8516" w:type="dxa"/>
            <w:gridSpan w:val="9"/>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工作经历</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时  间</w:t>
            </w: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rPr>
                <w:rFonts w:ascii="楷体" w:hAnsi="楷体" w:eastAsia="楷体" w:cs="楷体"/>
                <w:sz w:val="21"/>
                <w:szCs w:val="21"/>
                <w:highlight w:val="none"/>
              </w:rPr>
            </w:pPr>
            <w:r>
              <w:rPr>
                <w:rFonts w:hint="eastAsia" w:ascii="楷体" w:hAnsi="楷体" w:eastAsia="楷体" w:cs="楷体"/>
                <w:highlight w:val="none"/>
              </w:rPr>
              <w:t>参加过的项目名称</w:t>
            </w:r>
          </w:p>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及当时所在单位</w:t>
            </w: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担任何职</w:t>
            </w: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主要工作内容</w:t>
            </w: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rPr>
                <w:rFonts w:ascii="楷体" w:hAnsi="楷体" w:eastAsia="楷体" w:cs="楷体"/>
                <w:highlight w:val="none"/>
              </w:rPr>
            </w:pPr>
            <w:r>
              <w:rPr>
                <w:rFonts w:hint="eastAsia" w:ascii="楷体" w:hAnsi="楷体" w:eastAsia="楷体" w:cs="楷体"/>
                <w:highlight w:val="none"/>
              </w:rPr>
              <w:t>备 注</w:t>
            </w: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r>
      <w:tr>
        <w:tblPrEx>
          <w:tblCellMar>
            <w:top w:w="0" w:type="dxa"/>
            <w:left w:w="108" w:type="dxa"/>
            <w:bottom w:w="0" w:type="dxa"/>
            <w:right w:w="108" w:type="dxa"/>
          </w:tblCellMar>
        </w:tblPrEx>
        <w:trPr>
          <w:trHeight w:val="547"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jc w:val="both"/>
              <w:rPr>
                <w:rFonts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r>
      <w:tr>
        <w:tblPrEx>
          <w:tblCellMar>
            <w:top w:w="0" w:type="dxa"/>
            <w:left w:w="108" w:type="dxa"/>
            <w:bottom w:w="0" w:type="dxa"/>
            <w:right w:w="108" w:type="dxa"/>
          </w:tblCellMar>
        </w:tblPrEx>
        <w:trPr>
          <w:trHeight w:val="546" w:hRule="atLeast"/>
        </w:trPr>
        <w:tc>
          <w:tcPr>
            <w:tcW w:w="1413" w:type="dxa"/>
            <w:tcBorders>
              <w:top w:val="single" w:color="auto" w:sz="4" w:space="0"/>
              <w:left w:val="single" w:color="auto" w:sz="4" w:space="0"/>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3173"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211" w:type="dxa"/>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656" w:type="dxa"/>
            <w:gridSpan w:val="3"/>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c>
          <w:tcPr>
            <w:tcW w:w="1063" w:type="dxa"/>
            <w:tcBorders>
              <w:top w:val="single" w:color="auto" w:sz="4" w:space="0"/>
              <w:left w:val="nil"/>
              <w:bottom w:val="single" w:color="auto" w:sz="4" w:space="0"/>
              <w:right w:val="single" w:color="auto" w:sz="4" w:space="0"/>
            </w:tcBorders>
            <w:vAlign w:val="center"/>
          </w:tcPr>
          <w:p>
            <w:pPr>
              <w:pStyle w:val="35"/>
              <w:spacing w:line="360" w:lineRule="auto"/>
              <w:ind w:left="0" w:leftChars="0" w:firstLine="480" w:firstLineChars="200"/>
              <w:jc w:val="both"/>
              <w:rPr>
                <w:rFonts w:ascii="楷体" w:hAnsi="楷体" w:eastAsia="楷体" w:cs="楷体"/>
                <w:highlight w:val="none"/>
              </w:rPr>
            </w:pPr>
          </w:p>
        </w:tc>
      </w:tr>
    </w:tbl>
    <w:p>
      <w:pPr>
        <w:pStyle w:val="36"/>
        <w:spacing w:before="0" w:beforeLines="0" w:line="360" w:lineRule="auto"/>
        <w:ind w:left="0" w:firstLine="0" w:firstLineChars="0"/>
        <w:rPr>
          <w:rFonts w:ascii="楷体" w:hAnsi="楷体" w:eastAsia="楷体" w:cs="楷体"/>
          <w:color w:val="auto"/>
          <w:highlight w:val="none"/>
        </w:rPr>
      </w:pPr>
      <w:r>
        <w:rPr>
          <w:rFonts w:hint="eastAsia" w:ascii="楷体" w:hAnsi="楷体" w:eastAsia="楷体" w:cs="楷体"/>
          <w:b/>
          <w:color w:val="auto"/>
          <w:highlight w:val="none"/>
        </w:rPr>
        <w:t>注：附人员相关证明材料。</w:t>
      </w:r>
    </w:p>
    <w:p>
      <w:pPr>
        <w:spacing w:line="360" w:lineRule="auto"/>
        <w:jc w:val="left"/>
        <w:rPr>
          <w:rFonts w:ascii="楷体" w:hAnsi="楷体" w:eastAsia="楷体" w:cs="楷体"/>
          <w:highlight w:val="none"/>
        </w:rPr>
      </w:pPr>
    </w:p>
    <w:p>
      <w:pPr>
        <w:spacing w:line="360" w:lineRule="auto"/>
        <w:jc w:val="left"/>
        <w:rPr>
          <w:rFonts w:ascii="楷体" w:hAnsi="楷体" w:eastAsia="楷体" w:cs="楷体"/>
          <w:highlight w:val="none"/>
        </w:rPr>
      </w:pPr>
    </w:p>
    <w:p>
      <w:pPr>
        <w:spacing w:line="360" w:lineRule="auto"/>
        <w:jc w:val="left"/>
        <w:rPr>
          <w:rFonts w:ascii="楷体" w:hAnsi="楷体" w:eastAsia="楷体" w:cs="楷体"/>
          <w:highlight w:val="none"/>
        </w:rPr>
      </w:pPr>
      <w:r>
        <w:rPr>
          <w:rFonts w:hint="eastAsia" w:ascii="楷体" w:hAnsi="楷体" w:eastAsia="楷体" w:cs="楷体"/>
          <w:highlight w:val="none"/>
        </w:rPr>
        <w:t xml:space="preserve">投标人名称（公章）  ：          </w:t>
      </w:r>
    </w:p>
    <w:p>
      <w:pPr>
        <w:spacing w:line="360" w:lineRule="auto"/>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spacing w:line="360" w:lineRule="auto"/>
        <w:rPr>
          <w:rFonts w:ascii="楷体" w:hAnsi="楷体" w:eastAsia="楷体" w:cs="楷体"/>
          <w:highlight w:val="none"/>
        </w:rPr>
      </w:pPr>
      <w:r>
        <w:rPr>
          <w:rFonts w:hint="eastAsia" w:ascii="楷体" w:hAnsi="楷体" w:eastAsia="楷体" w:cs="楷体"/>
          <w:szCs w:val="24"/>
          <w:highlight w:val="none"/>
        </w:rPr>
        <w:t>日    期：</w:t>
      </w:r>
    </w:p>
    <w:p>
      <w:pPr>
        <w:spacing w:line="360" w:lineRule="auto"/>
        <w:jc w:val="center"/>
        <w:rPr>
          <w:rFonts w:ascii="楷体" w:hAnsi="楷体" w:eastAsia="楷体" w:cs="楷体"/>
          <w:highlight w:val="none"/>
        </w:rPr>
      </w:pPr>
      <w:r>
        <w:rPr>
          <w:rFonts w:hint="eastAsia" w:ascii="楷体" w:hAnsi="楷体" w:eastAsia="楷体" w:cs="楷体"/>
          <w:szCs w:val="24"/>
          <w:highlight w:val="none"/>
        </w:rPr>
        <w:br w:type="page"/>
      </w:r>
      <w:r>
        <w:rPr>
          <w:rFonts w:hint="eastAsia" w:ascii="楷体" w:hAnsi="楷体" w:eastAsia="楷体" w:cs="楷体"/>
          <w:b/>
          <w:bCs/>
          <w:kern w:val="2"/>
          <w:sz w:val="32"/>
          <w:szCs w:val="32"/>
          <w:highlight w:val="none"/>
        </w:rPr>
        <w:t>六、陕西省政府采购投标人拒绝政府采购领域商业贿赂承诺书</w:t>
      </w:r>
    </w:p>
    <w:p>
      <w:pPr>
        <w:widowControl/>
        <w:spacing w:line="360" w:lineRule="auto"/>
        <w:ind w:firstLine="470" w:firstLineChars="196"/>
        <w:jc w:val="left"/>
        <w:rPr>
          <w:rFonts w:ascii="楷体" w:hAnsi="楷体" w:eastAsia="楷体" w:cs="楷体"/>
          <w:highlight w:val="none"/>
        </w:rPr>
      </w:pP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为响应党中央、国务院关于治理政府采购领域商业贿赂行为的号召，我公司在此庄严承诺：</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1.在参与政府采购活动中遵纪守法、诚信经营、公平竞标。</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2.不向政府采购人、招标代理机构和政府采购评审专家进行任何形式的商业贿赂以谋取交易机会。</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3.不向政府招标代理机构和采购人提供虚假资格文件或采用虚假应标方式参与政府采购市场竞争并谋取中标、成交。</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4.不采取“围标、陪标”等商业欺诈手段获得政府采购定单。</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5.不采取不正当手段诋毁、排挤其他投标人。</w:t>
      </w:r>
    </w:p>
    <w:p>
      <w:pPr>
        <w:widowControl/>
        <w:spacing w:line="360" w:lineRule="auto"/>
        <w:ind w:firstLine="480" w:firstLineChars="200"/>
        <w:rPr>
          <w:rFonts w:ascii="楷体" w:hAnsi="楷体" w:eastAsia="楷体" w:cs="楷体"/>
          <w:highlight w:val="none"/>
        </w:rPr>
      </w:pPr>
      <w:r>
        <w:rPr>
          <w:rFonts w:hint="eastAsia" w:ascii="楷体" w:hAnsi="楷体" w:eastAsia="楷体" w:cs="楷体"/>
          <w:highlight w:val="none"/>
        </w:rPr>
        <w:t>6.不在提供商品和服务时“偷梁换柱、以次充好”损害采购人的合法权益。</w:t>
      </w:r>
    </w:p>
    <w:p>
      <w:pPr>
        <w:widowControl/>
        <w:spacing w:line="360" w:lineRule="auto"/>
        <w:ind w:firstLine="480" w:firstLineChars="200"/>
        <w:rPr>
          <w:rFonts w:ascii="楷体" w:hAnsi="楷体" w:eastAsia="楷体" w:cs="楷体"/>
          <w:szCs w:val="24"/>
          <w:highlight w:val="none"/>
        </w:rPr>
      </w:pPr>
      <w:r>
        <w:rPr>
          <w:rFonts w:hint="eastAsia" w:ascii="楷体" w:hAnsi="楷体" w:eastAsia="楷体" w:cs="楷体"/>
          <w:highlight w:val="none"/>
        </w:rPr>
        <w:t>7.不与采购人、招标代理机构政府采购评审专家或其它投标人恶意串通，进行质疑和</w:t>
      </w:r>
      <w:r>
        <w:rPr>
          <w:rFonts w:hint="eastAsia" w:ascii="楷体" w:hAnsi="楷体" w:eastAsia="楷体" w:cs="楷体"/>
          <w:szCs w:val="24"/>
          <w:highlight w:val="none"/>
        </w:rPr>
        <w:t>投诉，维护政府采购市场秩序。</w:t>
      </w:r>
    </w:p>
    <w:p>
      <w:pPr>
        <w:widowControl/>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8.尊重和接受政府采购监督管理部门的监督和政府招标代理机构招标采购要求，承担因违约行为给采购人造成的损失。</w:t>
      </w:r>
    </w:p>
    <w:p>
      <w:pPr>
        <w:widowControl/>
        <w:spacing w:line="360" w:lineRule="auto"/>
        <w:ind w:firstLine="480" w:firstLineChars="200"/>
        <w:rPr>
          <w:rFonts w:ascii="楷体" w:hAnsi="楷体" w:eastAsia="楷体" w:cs="楷体"/>
          <w:szCs w:val="24"/>
          <w:highlight w:val="none"/>
        </w:rPr>
      </w:pPr>
      <w:r>
        <w:rPr>
          <w:rFonts w:hint="eastAsia" w:ascii="楷体" w:hAnsi="楷体" w:eastAsia="楷体" w:cs="楷体"/>
          <w:szCs w:val="24"/>
          <w:highlight w:val="none"/>
        </w:rPr>
        <w:t>9.不发生其他有悖于政府采购公开、公平、公正和诚信原则的行为。</w:t>
      </w:r>
    </w:p>
    <w:p>
      <w:pPr>
        <w:pStyle w:val="25"/>
        <w:ind w:firstLine="180"/>
        <w:rPr>
          <w:highlight w:val="none"/>
        </w:rPr>
      </w:pPr>
    </w:p>
    <w:p>
      <w:pPr>
        <w:widowControl/>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 xml:space="preserve">承诺单位（公章）： </w:t>
      </w:r>
    </w:p>
    <w:p>
      <w:pPr>
        <w:widowControl/>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法定代表人/被授权人</w:t>
      </w:r>
      <w:r>
        <w:rPr>
          <w:rFonts w:hint="eastAsia" w:ascii="楷体" w:hAnsi="楷体" w:eastAsia="楷体" w:cs="楷体"/>
          <w:spacing w:val="4"/>
          <w:szCs w:val="24"/>
          <w:highlight w:val="none"/>
        </w:rPr>
        <w:t>（签字或盖章）</w:t>
      </w:r>
      <w:r>
        <w:rPr>
          <w:rFonts w:hint="eastAsia" w:ascii="楷体" w:hAnsi="楷体" w:eastAsia="楷体" w:cs="楷体"/>
          <w:highlight w:val="none"/>
        </w:rPr>
        <w:t>：</w:t>
      </w:r>
    </w:p>
    <w:p>
      <w:pPr>
        <w:widowControl/>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 xml:space="preserve">地    址：       </w:t>
      </w:r>
    </w:p>
    <w:p>
      <w:pPr>
        <w:widowControl/>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 xml:space="preserve">邮    编：                                      </w:t>
      </w:r>
    </w:p>
    <w:p>
      <w:pPr>
        <w:widowControl/>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 xml:space="preserve">电    话：                    </w:t>
      </w:r>
    </w:p>
    <w:p>
      <w:pPr>
        <w:spacing w:line="360" w:lineRule="auto"/>
        <w:rPr>
          <w:rFonts w:ascii="楷体" w:hAnsi="楷体" w:eastAsia="楷体" w:cs="楷体"/>
          <w:highlight w:val="none"/>
        </w:rPr>
      </w:pPr>
      <w:r>
        <w:rPr>
          <w:rFonts w:hint="eastAsia" w:ascii="楷体" w:hAnsi="楷体" w:eastAsia="楷体" w:cs="楷体"/>
          <w:highlight w:val="none"/>
        </w:rPr>
        <w:t xml:space="preserve">    日    期：</w:t>
      </w:r>
    </w:p>
    <w:p>
      <w:pPr>
        <w:spacing w:line="360" w:lineRule="auto"/>
        <w:jc w:val="center"/>
        <w:rPr>
          <w:rFonts w:ascii="楷体" w:hAnsi="楷体" w:eastAsia="楷体" w:cs="楷体"/>
          <w:b/>
          <w:bCs/>
          <w:sz w:val="30"/>
          <w:szCs w:val="30"/>
          <w:highlight w:val="none"/>
        </w:rPr>
      </w:pPr>
      <w:r>
        <w:rPr>
          <w:rFonts w:hint="eastAsia" w:ascii="楷体" w:hAnsi="楷体" w:eastAsia="楷体" w:cs="楷体"/>
          <w:b/>
          <w:bCs/>
          <w:sz w:val="30"/>
          <w:szCs w:val="30"/>
          <w:highlight w:val="none"/>
        </w:rPr>
        <w:br w:type="page"/>
      </w:r>
      <w:bookmarkStart w:id="201" w:name="OLE_LINK13"/>
      <w:bookmarkStart w:id="202" w:name="OLE_LINK14"/>
      <w:r>
        <w:rPr>
          <w:rFonts w:hint="eastAsia" w:ascii="楷体" w:hAnsi="楷体" w:eastAsia="楷体" w:cs="楷体"/>
          <w:b/>
          <w:bCs/>
          <w:sz w:val="30"/>
          <w:szCs w:val="30"/>
          <w:highlight w:val="none"/>
        </w:rPr>
        <w:t>七、落实政府采购政策须提供的资料及投标人认为有必要提供的其它资料</w:t>
      </w:r>
    </w:p>
    <w:p>
      <w:pPr>
        <w:spacing w:line="360" w:lineRule="auto"/>
        <w:jc w:val="left"/>
        <w:rPr>
          <w:rFonts w:ascii="楷体" w:hAnsi="楷体" w:eastAsia="楷体" w:cs="楷体"/>
          <w:b/>
          <w:bCs/>
          <w:sz w:val="30"/>
          <w:szCs w:val="30"/>
          <w:highlight w:val="none"/>
        </w:rPr>
      </w:pPr>
      <w:r>
        <w:rPr>
          <w:rFonts w:hint="eastAsia" w:ascii="楷体" w:hAnsi="楷体" w:eastAsia="楷体" w:cs="楷体"/>
          <w:b/>
          <w:bCs/>
          <w:sz w:val="30"/>
          <w:szCs w:val="30"/>
          <w:highlight w:val="none"/>
        </w:rPr>
        <w:br w:type="page"/>
      </w:r>
      <w:r>
        <w:rPr>
          <w:rFonts w:hint="eastAsia" w:ascii="楷体" w:hAnsi="楷体" w:eastAsia="楷体" w:cs="楷体"/>
          <w:b/>
          <w:bCs/>
          <w:sz w:val="30"/>
          <w:szCs w:val="30"/>
          <w:highlight w:val="none"/>
        </w:rPr>
        <w:t>附件</w:t>
      </w:r>
      <w:r>
        <w:rPr>
          <w:rFonts w:hint="eastAsia" w:ascii="楷体" w:hAnsi="楷体" w:eastAsia="楷体" w:cs="楷体"/>
          <w:b/>
          <w:bCs/>
          <w:sz w:val="30"/>
          <w:szCs w:val="30"/>
          <w:highlight w:val="none"/>
          <w:lang w:val="en-US" w:eastAsia="zh-CN"/>
        </w:rPr>
        <w:t>6</w:t>
      </w:r>
      <w:r>
        <w:rPr>
          <w:rFonts w:hint="eastAsia" w:ascii="楷体" w:hAnsi="楷体" w:eastAsia="楷体" w:cs="楷体"/>
          <w:b/>
          <w:bCs/>
          <w:sz w:val="30"/>
          <w:szCs w:val="30"/>
          <w:highlight w:val="none"/>
        </w:rPr>
        <w:t>：（如有）</w:t>
      </w:r>
    </w:p>
    <w:p>
      <w:pPr>
        <w:jc w:val="center"/>
        <w:rPr>
          <w:rFonts w:hint="eastAsia" w:ascii="楷体" w:hAnsi="楷体" w:eastAsia="楷体" w:cs="楷体"/>
          <w:b/>
          <w:bCs/>
          <w:sz w:val="24"/>
          <w:szCs w:val="24"/>
        </w:rPr>
      </w:pPr>
      <w:r>
        <w:rPr>
          <w:rFonts w:hint="eastAsia" w:ascii="楷体" w:hAnsi="楷体" w:eastAsia="楷体" w:cs="楷体"/>
          <w:b/>
          <w:bCs/>
          <w:sz w:val="24"/>
          <w:szCs w:val="24"/>
        </w:rPr>
        <w:t>中小企业声明函（工程、服务）</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本公司（联合体）郑重声明，根据《政府采购促进中小企业发展管理办法》（财库﹝2020﹞46 号）的规定，本公司（联合体）参加</w:t>
      </w:r>
      <w:r>
        <w:rPr>
          <w:rFonts w:hint="eastAsia" w:ascii="楷体" w:hAnsi="楷体" w:eastAsia="楷体" w:cs="楷体"/>
          <w:sz w:val="24"/>
          <w:szCs w:val="24"/>
          <w:u w:val="single"/>
        </w:rPr>
        <w:t>（单位名称）</w:t>
      </w:r>
      <w:r>
        <w:rPr>
          <w:rFonts w:hint="eastAsia" w:ascii="楷体" w:hAnsi="楷体" w:eastAsia="楷体" w:cs="楷体"/>
          <w:sz w:val="24"/>
          <w:szCs w:val="24"/>
        </w:rPr>
        <w:t>的</w:t>
      </w:r>
      <w:r>
        <w:rPr>
          <w:rFonts w:hint="eastAsia" w:ascii="楷体" w:hAnsi="楷体" w:eastAsia="楷体" w:cs="楷体"/>
          <w:sz w:val="24"/>
          <w:szCs w:val="24"/>
          <w:u w:val="single"/>
        </w:rPr>
        <w:t>（项目名称）</w:t>
      </w:r>
      <w:r>
        <w:rPr>
          <w:rFonts w:hint="eastAsia" w:ascii="楷体" w:hAnsi="楷体" w:eastAsia="楷体" w:cs="楷体"/>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u w:val="single"/>
        </w:rPr>
        <w:t xml:space="preserve"> （标的名称）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餐饮业</w:t>
      </w:r>
      <w:r>
        <w:rPr>
          <w:rFonts w:hint="eastAsia" w:ascii="楷体" w:hAnsi="楷体" w:eastAsia="楷体" w:cs="楷体"/>
          <w:sz w:val="24"/>
          <w:szCs w:val="24"/>
          <w:u w:val="single"/>
        </w:rPr>
        <w:t xml:space="preserve">） </w:t>
      </w:r>
      <w:r>
        <w:rPr>
          <w:rFonts w:hint="eastAsia" w:ascii="楷体" w:hAnsi="楷体" w:eastAsia="楷体" w:cs="楷体"/>
          <w:sz w:val="24"/>
          <w:szCs w:val="24"/>
        </w:rPr>
        <w:t>行业；承建（承接）企业为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w:t>
      </w:r>
      <w:r>
        <w:rPr>
          <w:rFonts w:hint="eastAsia" w:ascii="楷体" w:hAnsi="楷体" w:eastAsia="楷体" w:cs="楷体"/>
          <w:sz w:val="24"/>
          <w:szCs w:val="24"/>
          <w:vertAlign w:val="superscript"/>
        </w:rPr>
        <w:t>1</w:t>
      </w:r>
      <w:r>
        <w:rPr>
          <w:rFonts w:hint="eastAsia" w:ascii="楷体" w:hAnsi="楷体" w:eastAsia="楷体" w:cs="楷体"/>
          <w:sz w:val="24"/>
          <w:szCs w:val="24"/>
        </w:rPr>
        <w:t>，属于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u w:val="single"/>
        </w:rPr>
        <w:t xml:space="preserve"> （标的名称）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餐饮业</w:t>
      </w:r>
      <w:r>
        <w:rPr>
          <w:rFonts w:hint="eastAsia" w:ascii="楷体" w:hAnsi="楷体" w:eastAsia="楷体" w:cs="楷体"/>
          <w:sz w:val="24"/>
          <w:szCs w:val="24"/>
          <w:u w:val="single"/>
        </w:rPr>
        <w:t xml:space="preserve">） </w:t>
      </w:r>
      <w:r>
        <w:rPr>
          <w:rFonts w:hint="eastAsia" w:ascii="楷体" w:hAnsi="楷体" w:eastAsia="楷体" w:cs="楷体"/>
          <w:sz w:val="24"/>
          <w:szCs w:val="24"/>
        </w:rPr>
        <w:t>行业；承建（承接）企业为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w:t>
      </w:r>
    </w:p>
    <w:p>
      <w:pPr>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本企业对上述声明内容的真实性负责。如有虚假，将依法承担相应责任。</w:t>
      </w:r>
    </w:p>
    <w:p>
      <w:pPr>
        <w:spacing w:line="360" w:lineRule="auto"/>
        <w:ind w:firstLine="3960" w:firstLineChars="1650"/>
        <w:jc w:val="left"/>
        <w:rPr>
          <w:rFonts w:hint="eastAsia" w:ascii="楷体" w:hAnsi="楷体" w:eastAsia="楷体" w:cs="楷体"/>
          <w:sz w:val="24"/>
          <w:szCs w:val="24"/>
        </w:rPr>
      </w:pPr>
      <w:r>
        <w:rPr>
          <w:rFonts w:hint="eastAsia" w:ascii="楷体" w:hAnsi="楷体" w:eastAsia="楷体" w:cs="楷体"/>
          <w:sz w:val="24"/>
          <w:szCs w:val="24"/>
        </w:rPr>
        <w:t>企业名称（盖章）：</w:t>
      </w:r>
    </w:p>
    <w:p>
      <w:pPr>
        <w:spacing w:line="360" w:lineRule="auto"/>
        <w:ind w:firstLine="3960" w:firstLineChars="1650"/>
        <w:jc w:val="left"/>
        <w:rPr>
          <w:rFonts w:hint="eastAsia" w:ascii="楷体" w:hAnsi="楷体" w:eastAsia="楷体" w:cs="楷体"/>
          <w:sz w:val="24"/>
          <w:szCs w:val="24"/>
        </w:rPr>
      </w:pPr>
      <w:r>
        <w:rPr>
          <w:rFonts w:hint="eastAsia" w:ascii="楷体" w:hAnsi="楷体" w:eastAsia="楷体" w:cs="楷体"/>
          <w:sz w:val="24"/>
          <w:szCs w:val="24"/>
        </w:rPr>
        <w:t>日期：</w:t>
      </w:r>
    </w:p>
    <w:p>
      <w:pPr>
        <w:adjustRightInd w:val="0"/>
        <w:snapToGrid w:val="0"/>
        <w:spacing w:line="360" w:lineRule="auto"/>
        <w:rPr>
          <w:rFonts w:hint="eastAsia" w:ascii="楷体" w:hAnsi="楷体" w:eastAsia="楷体" w:cs="楷体"/>
          <w:sz w:val="24"/>
          <w:szCs w:val="24"/>
        </w:rPr>
      </w:pPr>
    </w:p>
    <w:p>
      <w:pPr>
        <w:adjustRightInd w:val="0"/>
        <w:snapToGrid w:val="0"/>
        <w:spacing w:line="360" w:lineRule="auto"/>
        <w:rPr>
          <w:rFonts w:hint="eastAsia" w:ascii="楷体" w:hAnsi="楷体" w:eastAsia="楷体" w:cs="楷体"/>
          <w:sz w:val="24"/>
          <w:szCs w:val="24"/>
        </w:rPr>
      </w:pPr>
    </w:p>
    <w:p>
      <w:pPr>
        <w:adjustRightInd w:val="0"/>
        <w:snapToGrid w:val="0"/>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rPr>
        <w:t xml:space="preserve">说明：                                  </w:t>
      </w:r>
    </w:p>
    <w:p>
      <w:pPr>
        <w:adjustRightInd w:val="0"/>
        <w:snapToGrid w:val="0"/>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vertAlign w:val="superscript"/>
        </w:rPr>
        <w:t>1</w:t>
      </w:r>
      <w:r>
        <w:rPr>
          <w:rFonts w:hint="eastAsia" w:ascii="楷体" w:hAnsi="楷体" w:eastAsia="楷体" w:cs="楷体"/>
          <w:sz w:val="24"/>
          <w:szCs w:val="24"/>
        </w:rPr>
        <w:t>从业人员、营业收入、资产总额填报上一年度数据，无上一年度数据的新成立企业可不填报。</w:t>
      </w:r>
    </w:p>
    <w:p>
      <w:pPr>
        <w:adjustRightInd w:val="0"/>
        <w:snapToGrid w:val="0"/>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rPr>
        <w:t>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ascii="楷体" w:hAnsi="楷体" w:eastAsia="楷体" w:cs="楷体"/>
          <w:b/>
          <w:bCs/>
          <w:szCs w:val="24"/>
          <w:highlight w:val="none"/>
        </w:rPr>
      </w:pPr>
      <w:r>
        <w:rPr>
          <w:rFonts w:hint="eastAsia" w:ascii="楷体" w:hAnsi="楷体" w:eastAsia="楷体" w:cs="楷体"/>
          <w:b/>
          <w:bCs/>
          <w:kern w:val="2"/>
          <w:sz w:val="30"/>
          <w:szCs w:val="30"/>
          <w:highlight w:val="none"/>
        </w:rPr>
        <w:t>附件</w:t>
      </w:r>
      <w:r>
        <w:rPr>
          <w:rFonts w:hint="eastAsia" w:ascii="楷体" w:hAnsi="楷体" w:eastAsia="楷体" w:cs="楷体"/>
          <w:b/>
          <w:bCs/>
          <w:kern w:val="2"/>
          <w:sz w:val="30"/>
          <w:szCs w:val="30"/>
          <w:highlight w:val="none"/>
          <w:lang w:val="en-US" w:eastAsia="zh-CN"/>
        </w:rPr>
        <w:t>7</w:t>
      </w:r>
      <w:r>
        <w:rPr>
          <w:rFonts w:hint="eastAsia" w:ascii="楷体" w:hAnsi="楷体" w:eastAsia="楷体" w:cs="楷体"/>
          <w:b/>
          <w:bCs/>
          <w:kern w:val="2"/>
          <w:sz w:val="30"/>
          <w:szCs w:val="30"/>
          <w:highlight w:val="none"/>
        </w:rPr>
        <w:t>：（如有）</w:t>
      </w:r>
    </w:p>
    <w:bookmarkEnd w:id="201"/>
    <w:bookmarkEnd w:id="202"/>
    <w:p>
      <w:pPr>
        <w:autoSpaceDE w:val="0"/>
        <w:autoSpaceDN w:val="0"/>
        <w:adjustRightInd w:val="0"/>
        <w:spacing w:line="360" w:lineRule="auto"/>
        <w:jc w:val="center"/>
        <w:rPr>
          <w:rFonts w:ascii="楷体" w:hAnsi="楷体" w:eastAsia="楷体" w:cs="楷体"/>
          <w:b/>
          <w:sz w:val="30"/>
          <w:szCs w:val="30"/>
          <w:highlight w:val="none"/>
          <w:lang w:val="zh-CN"/>
        </w:rPr>
      </w:pPr>
      <w:r>
        <w:rPr>
          <w:rFonts w:hint="eastAsia" w:ascii="楷体" w:hAnsi="楷体" w:eastAsia="楷体" w:cs="楷体"/>
          <w:b/>
          <w:sz w:val="30"/>
          <w:szCs w:val="30"/>
          <w:highlight w:val="none"/>
          <w:lang w:val="zh-CN"/>
        </w:rPr>
        <w:t>残疾人福利性单位声明函</w:t>
      </w:r>
    </w:p>
    <w:p>
      <w:pPr>
        <w:autoSpaceDE w:val="0"/>
        <w:autoSpaceDN w:val="0"/>
        <w:adjustRightInd w:val="0"/>
        <w:spacing w:line="360" w:lineRule="auto"/>
        <w:ind w:firstLine="480" w:firstLineChars="200"/>
        <w:jc w:val="left"/>
        <w:rPr>
          <w:rFonts w:ascii="楷体" w:hAnsi="楷体" w:eastAsia="楷体" w:cs="楷体"/>
          <w:bCs/>
          <w:szCs w:val="24"/>
          <w:highlight w:val="none"/>
          <w:lang w:val="zh-CN"/>
        </w:rPr>
      </w:pPr>
    </w:p>
    <w:p>
      <w:pPr>
        <w:autoSpaceDE w:val="0"/>
        <w:autoSpaceDN w:val="0"/>
        <w:adjustRightInd w:val="0"/>
        <w:spacing w:line="360" w:lineRule="auto"/>
        <w:ind w:firstLine="480" w:firstLineChars="200"/>
        <w:jc w:val="left"/>
        <w:rPr>
          <w:rFonts w:ascii="楷体" w:hAnsi="楷体" w:eastAsia="楷体" w:cs="楷体"/>
          <w:bCs/>
          <w:szCs w:val="24"/>
          <w:highlight w:val="none"/>
          <w:lang w:val="zh-CN"/>
        </w:rPr>
      </w:pPr>
      <w:r>
        <w:rPr>
          <w:rFonts w:hint="eastAsia" w:ascii="楷体" w:hAnsi="楷体" w:eastAsia="楷体" w:cs="楷体"/>
          <w:bCs/>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szCs w:val="24"/>
          <w:highlight w:val="none"/>
          <w:u w:val="single"/>
        </w:rPr>
        <w:t xml:space="preserve">           </w:t>
      </w:r>
      <w:r>
        <w:rPr>
          <w:rFonts w:hint="eastAsia" w:ascii="楷体" w:hAnsi="楷体" w:eastAsia="楷体" w:cs="楷体"/>
          <w:bCs/>
          <w:szCs w:val="24"/>
          <w:highlight w:val="none"/>
          <w:lang w:val="zh-CN"/>
        </w:rPr>
        <w:t>单位的</w:t>
      </w:r>
      <w:r>
        <w:rPr>
          <w:rFonts w:hint="eastAsia" w:ascii="楷体" w:hAnsi="楷体" w:eastAsia="楷体" w:cs="楷体"/>
          <w:bCs/>
          <w:szCs w:val="24"/>
          <w:highlight w:val="none"/>
          <w:u w:val="single"/>
        </w:rPr>
        <w:t xml:space="preserve">           </w:t>
      </w:r>
      <w:r>
        <w:rPr>
          <w:rFonts w:hint="eastAsia" w:ascii="楷体" w:hAnsi="楷体" w:eastAsia="楷体" w:cs="楷体"/>
          <w:bCs/>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楷体" w:hAnsi="楷体" w:eastAsia="楷体" w:cs="楷体"/>
          <w:bCs/>
          <w:szCs w:val="24"/>
          <w:highlight w:val="none"/>
          <w:lang w:val="zh-CN"/>
        </w:rPr>
      </w:pPr>
      <w:r>
        <w:rPr>
          <w:rFonts w:hint="eastAsia" w:ascii="楷体" w:hAnsi="楷体" w:eastAsia="楷体" w:cs="楷体"/>
          <w:bCs/>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ascii="楷体" w:hAnsi="楷体" w:eastAsia="楷体" w:cs="楷体"/>
          <w:bCs/>
          <w:szCs w:val="24"/>
          <w:highlight w:val="none"/>
          <w:lang w:val="zh-CN"/>
        </w:rPr>
      </w:pPr>
    </w:p>
    <w:p>
      <w:pPr>
        <w:autoSpaceDE w:val="0"/>
        <w:autoSpaceDN w:val="0"/>
        <w:adjustRightInd w:val="0"/>
        <w:spacing w:line="360" w:lineRule="auto"/>
        <w:ind w:firstLine="480" w:firstLineChars="200"/>
        <w:jc w:val="left"/>
        <w:rPr>
          <w:rFonts w:ascii="楷体" w:hAnsi="楷体" w:eastAsia="楷体" w:cs="楷体"/>
          <w:bCs/>
          <w:szCs w:val="24"/>
          <w:highlight w:val="none"/>
          <w:lang w:val="zh-CN"/>
        </w:rPr>
      </w:pPr>
    </w:p>
    <w:p>
      <w:pPr>
        <w:autoSpaceDE w:val="0"/>
        <w:autoSpaceDN w:val="0"/>
        <w:adjustRightInd w:val="0"/>
        <w:spacing w:line="360" w:lineRule="auto"/>
        <w:ind w:firstLine="3840" w:firstLineChars="1600"/>
        <w:jc w:val="left"/>
        <w:rPr>
          <w:rFonts w:ascii="楷体" w:hAnsi="楷体" w:eastAsia="楷体" w:cs="楷体"/>
          <w:bCs/>
          <w:szCs w:val="24"/>
          <w:highlight w:val="none"/>
          <w:lang w:val="zh-CN"/>
        </w:rPr>
      </w:pPr>
      <w:r>
        <w:rPr>
          <w:rFonts w:hint="eastAsia" w:ascii="楷体" w:hAnsi="楷体" w:eastAsia="楷体" w:cs="楷体"/>
          <w:bCs/>
          <w:szCs w:val="24"/>
          <w:highlight w:val="none"/>
          <w:lang w:val="zh-CN"/>
        </w:rPr>
        <w:t>单位名称（盖章）：</w:t>
      </w:r>
    </w:p>
    <w:p>
      <w:pPr>
        <w:autoSpaceDE w:val="0"/>
        <w:autoSpaceDN w:val="0"/>
        <w:adjustRightInd w:val="0"/>
        <w:spacing w:line="360" w:lineRule="auto"/>
        <w:ind w:firstLine="3840" w:firstLineChars="1600"/>
        <w:jc w:val="left"/>
        <w:rPr>
          <w:rFonts w:ascii="楷体" w:hAnsi="楷体" w:eastAsia="楷体" w:cs="楷体"/>
          <w:bCs/>
          <w:szCs w:val="24"/>
          <w:highlight w:val="none"/>
          <w:lang w:val="zh-CN"/>
        </w:rPr>
      </w:pPr>
      <w:r>
        <w:rPr>
          <w:rFonts w:hint="eastAsia" w:ascii="楷体" w:hAnsi="楷体" w:eastAsia="楷体" w:cs="楷体"/>
          <w:bCs/>
          <w:szCs w:val="24"/>
          <w:highlight w:val="none"/>
          <w:lang w:val="zh-CN"/>
        </w:rPr>
        <w:t>日  期：</w:t>
      </w:r>
    </w:p>
    <w:p>
      <w:pPr>
        <w:adjustRightInd w:val="0"/>
        <w:snapToGrid w:val="0"/>
        <w:spacing w:line="360" w:lineRule="auto"/>
        <w:jc w:val="left"/>
        <w:rPr>
          <w:rFonts w:ascii="楷体" w:hAnsi="楷体" w:eastAsia="楷体" w:cs="楷体"/>
          <w:highlight w:val="none"/>
        </w:rPr>
      </w:pPr>
    </w:p>
    <w:p>
      <w:pPr>
        <w:tabs>
          <w:tab w:val="left" w:pos="1620"/>
          <w:tab w:val="left" w:pos="1800"/>
        </w:tabs>
        <w:spacing w:line="360" w:lineRule="auto"/>
        <w:ind w:right="617" w:rightChars="257"/>
        <w:jc w:val="left"/>
        <w:rPr>
          <w:rFonts w:ascii="楷体" w:hAnsi="楷体" w:eastAsia="楷体" w:cs="楷体"/>
          <w:highlight w:val="none"/>
        </w:rPr>
      </w:pPr>
    </w:p>
    <w:p>
      <w:pPr>
        <w:tabs>
          <w:tab w:val="left" w:pos="1620"/>
          <w:tab w:val="left" w:pos="1800"/>
        </w:tabs>
        <w:spacing w:line="360" w:lineRule="auto"/>
        <w:ind w:right="617" w:rightChars="257"/>
        <w:jc w:val="left"/>
        <w:rPr>
          <w:rFonts w:ascii="楷体" w:hAnsi="楷体" w:eastAsia="楷体" w:cs="楷体"/>
          <w:highlight w:val="none"/>
        </w:rPr>
      </w:pPr>
    </w:p>
    <w:p>
      <w:pPr>
        <w:pStyle w:val="11"/>
        <w:spacing w:line="360" w:lineRule="auto"/>
        <w:jc w:val="left"/>
        <w:rPr>
          <w:rFonts w:ascii="楷体" w:hAnsi="楷体" w:eastAsia="楷体" w:cs="楷体"/>
          <w:highlight w:val="none"/>
        </w:rPr>
      </w:pPr>
    </w:p>
    <w:p>
      <w:pPr>
        <w:pStyle w:val="11"/>
        <w:spacing w:line="360" w:lineRule="auto"/>
        <w:jc w:val="left"/>
        <w:rPr>
          <w:rFonts w:ascii="楷体" w:hAnsi="楷体" w:eastAsia="楷体" w:cs="楷体"/>
          <w:highlight w:val="none"/>
        </w:rPr>
      </w:pPr>
    </w:p>
    <w:p>
      <w:pPr>
        <w:autoSpaceDE w:val="0"/>
        <w:autoSpaceDN w:val="0"/>
        <w:adjustRightInd w:val="0"/>
        <w:spacing w:line="360" w:lineRule="auto"/>
        <w:jc w:val="left"/>
        <w:rPr>
          <w:rFonts w:ascii="楷体" w:hAnsi="楷体" w:eastAsia="楷体" w:cs="楷体"/>
          <w:bCs/>
          <w:szCs w:val="24"/>
          <w:highlight w:val="none"/>
          <w:lang w:val="zh-CN"/>
        </w:rPr>
      </w:pPr>
      <w:r>
        <w:rPr>
          <w:rFonts w:hint="eastAsia" w:ascii="楷体" w:hAnsi="楷体" w:eastAsia="楷体" w:cs="楷体"/>
          <w:bCs/>
          <w:szCs w:val="24"/>
          <w:highlight w:val="none"/>
          <w:lang w:val="zh-CN"/>
        </w:rPr>
        <w:t>注：</w:t>
      </w:r>
      <w:r>
        <w:rPr>
          <w:rFonts w:hint="eastAsia" w:ascii="楷体" w:hAnsi="楷体" w:eastAsia="楷体" w:cs="楷体"/>
          <w:bCs/>
          <w:szCs w:val="24"/>
          <w:highlight w:val="none"/>
        </w:rPr>
        <w:t>1.</w:t>
      </w:r>
      <w:r>
        <w:rPr>
          <w:rFonts w:hint="eastAsia" w:ascii="楷体" w:hAnsi="楷体" w:eastAsia="楷体" w:cs="楷体"/>
          <w:bCs/>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jc w:val="left"/>
        <w:rPr>
          <w:rFonts w:ascii="楷体" w:hAnsi="楷体" w:eastAsia="楷体" w:cs="楷体"/>
          <w:b/>
          <w:szCs w:val="24"/>
          <w:highlight w:val="none"/>
          <w:lang w:val="zh-CN"/>
        </w:rPr>
      </w:pPr>
      <w:r>
        <w:rPr>
          <w:rFonts w:hint="eastAsia" w:ascii="楷体" w:hAnsi="楷体" w:eastAsia="楷体" w:cs="楷体"/>
          <w:szCs w:val="21"/>
          <w:highlight w:val="none"/>
        </w:rPr>
        <w:t>2.如不是该类企业则不需提供相关声明，若提供虚假材料谋取中标、成交的，将按照《</w:t>
      </w:r>
      <w:r>
        <w:rPr>
          <w:rFonts w:hint="eastAsia" w:ascii="楷体" w:hAnsi="楷体" w:eastAsia="楷体" w:cs="楷体"/>
          <w:szCs w:val="24"/>
          <w:highlight w:val="none"/>
        </w:rPr>
        <w:t>中华人民共和国</w:t>
      </w:r>
      <w:r>
        <w:rPr>
          <w:rFonts w:hint="eastAsia" w:ascii="楷体" w:hAnsi="楷体" w:eastAsia="楷体" w:cs="楷体"/>
          <w:szCs w:val="21"/>
          <w:highlight w:val="none"/>
        </w:rPr>
        <w:t>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
        <w:spacing w:line="360" w:lineRule="auto"/>
        <w:jc w:val="left"/>
        <w:rPr>
          <w:rFonts w:ascii="楷体" w:hAnsi="楷体" w:eastAsia="楷体" w:cs="楷体"/>
          <w:highlight w:val="none"/>
        </w:rPr>
      </w:pPr>
    </w:p>
    <w:p>
      <w:pPr>
        <w:pStyle w:val="11"/>
        <w:spacing w:line="360" w:lineRule="auto"/>
        <w:jc w:val="left"/>
        <w:rPr>
          <w:rFonts w:hint="eastAsia" w:ascii="楷体" w:hAnsi="楷体" w:eastAsia="楷体" w:cs="楷体"/>
          <w:b/>
          <w:bCs/>
          <w:sz w:val="30"/>
          <w:szCs w:val="30"/>
          <w:highlight w:val="none"/>
        </w:rPr>
      </w:pPr>
    </w:p>
    <w:p>
      <w:pPr>
        <w:pStyle w:val="11"/>
        <w:spacing w:line="360" w:lineRule="auto"/>
        <w:jc w:val="left"/>
        <w:rPr>
          <w:rFonts w:ascii="楷体" w:hAnsi="楷体" w:eastAsia="楷体" w:cs="楷体"/>
          <w:b/>
          <w:bCs/>
          <w:sz w:val="30"/>
          <w:szCs w:val="30"/>
          <w:highlight w:val="none"/>
        </w:rPr>
      </w:pPr>
      <w:r>
        <w:rPr>
          <w:rFonts w:hint="eastAsia" w:ascii="楷体" w:hAnsi="楷体" w:eastAsia="楷体" w:cs="楷体"/>
          <w:b/>
          <w:bCs/>
          <w:sz w:val="30"/>
          <w:szCs w:val="30"/>
          <w:highlight w:val="none"/>
        </w:rPr>
        <w:t>附件</w:t>
      </w:r>
      <w:r>
        <w:rPr>
          <w:rFonts w:hint="eastAsia" w:ascii="楷体" w:hAnsi="楷体" w:eastAsia="楷体" w:cs="楷体"/>
          <w:b/>
          <w:bCs/>
          <w:sz w:val="30"/>
          <w:szCs w:val="30"/>
          <w:highlight w:val="none"/>
          <w:lang w:val="en-US" w:eastAsia="zh-CN"/>
        </w:rPr>
        <w:t>8</w:t>
      </w:r>
      <w:r>
        <w:rPr>
          <w:rFonts w:hint="eastAsia" w:ascii="楷体" w:hAnsi="楷体" w:eastAsia="楷体" w:cs="楷体"/>
          <w:b/>
          <w:bCs/>
          <w:sz w:val="30"/>
          <w:szCs w:val="30"/>
          <w:highlight w:val="none"/>
        </w:rPr>
        <w:t>：（如有）</w:t>
      </w:r>
    </w:p>
    <w:p>
      <w:pPr>
        <w:pStyle w:val="11"/>
        <w:spacing w:line="360" w:lineRule="auto"/>
        <w:jc w:val="center"/>
        <w:rPr>
          <w:rFonts w:ascii="楷体" w:hAnsi="楷体" w:eastAsia="楷体" w:cs="楷体"/>
          <w:b/>
          <w:bCs/>
          <w:sz w:val="30"/>
          <w:szCs w:val="30"/>
          <w:highlight w:val="none"/>
        </w:rPr>
      </w:pPr>
      <w:r>
        <w:rPr>
          <w:rFonts w:hint="eastAsia" w:ascii="楷体" w:hAnsi="楷体" w:eastAsia="楷体" w:cs="楷体"/>
          <w:b/>
          <w:bCs/>
          <w:sz w:val="30"/>
          <w:szCs w:val="30"/>
          <w:highlight w:val="none"/>
        </w:rPr>
        <w:t>监狱企业证明文件</w:t>
      </w:r>
    </w:p>
    <w:p>
      <w:pPr>
        <w:spacing w:line="360" w:lineRule="auto"/>
        <w:ind w:firstLine="480" w:firstLineChars="200"/>
        <w:jc w:val="left"/>
        <w:rPr>
          <w:rFonts w:ascii="楷体" w:hAnsi="楷体" w:eastAsia="楷体" w:cs="楷体"/>
          <w:highlight w:val="none"/>
        </w:rPr>
      </w:pPr>
      <w:r>
        <w:rPr>
          <w:rFonts w:hint="eastAsia" w:ascii="楷体" w:hAnsi="楷体" w:eastAsia="楷体" w:cs="楷体"/>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楷体" w:hAnsi="楷体" w:eastAsia="楷体" w:cs="楷体"/>
          <w:b/>
          <w:bCs/>
          <w:sz w:val="28"/>
          <w:szCs w:val="28"/>
          <w:highlight w:val="none"/>
        </w:rPr>
      </w:pPr>
      <w:r>
        <w:rPr>
          <w:rFonts w:hint="eastAsia" w:ascii="楷体" w:hAnsi="楷体" w:eastAsia="楷体" w:cs="楷体"/>
          <w:highlight w:val="none"/>
        </w:rPr>
        <w:t>监狱企业参加政府采购活动时，应当提供由省级以上监狱管理局、戒毒管理局（含新疆生产建设兵团）出具的属于监狱企业的证明文件。</w:t>
      </w:r>
    </w:p>
    <w:p>
      <w:pPr>
        <w:spacing w:before="156" w:beforeLines="50" w:after="312" w:afterLines="100"/>
        <w:jc w:val="left"/>
        <w:rPr>
          <w:rFonts w:ascii="楷体" w:hAnsi="楷体" w:eastAsia="楷体" w:cs="楷体"/>
          <w:b/>
          <w:bCs/>
          <w:sz w:val="28"/>
          <w:szCs w:val="28"/>
          <w:highlight w:val="none"/>
        </w:rPr>
      </w:pPr>
    </w:p>
    <w:p>
      <w:pPr>
        <w:spacing w:before="156" w:beforeLines="50" w:after="312" w:afterLines="100"/>
        <w:jc w:val="left"/>
        <w:rPr>
          <w:rFonts w:ascii="楷体" w:hAnsi="楷体" w:eastAsia="楷体" w:cs="楷体"/>
          <w:b/>
          <w:bCs/>
          <w:sz w:val="28"/>
          <w:szCs w:val="28"/>
          <w:highlight w:val="none"/>
        </w:rPr>
      </w:pPr>
    </w:p>
    <w:p>
      <w:pPr>
        <w:spacing w:before="156" w:beforeLines="50" w:after="312" w:afterLines="100"/>
        <w:jc w:val="left"/>
        <w:rPr>
          <w:rFonts w:ascii="楷体" w:hAnsi="楷体" w:eastAsia="楷体" w:cs="楷体"/>
          <w:b/>
          <w:bCs/>
          <w:sz w:val="28"/>
          <w:szCs w:val="28"/>
          <w:highlight w:val="none"/>
        </w:rPr>
      </w:pPr>
    </w:p>
    <w:p>
      <w:pPr>
        <w:pStyle w:val="11"/>
        <w:rPr>
          <w:rFonts w:ascii="楷体" w:hAnsi="楷体" w:eastAsia="楷体" w:cs="楷体"/>
          <w:b/>
          <w:bCs/>
          <w:sz w:val="28"/>
          <w:szCs w:val="28"/>
          <w:highlight w:val="none"/>
        </w:rPr>
      </w:pPr>
    </w:p>
    <w:p/>
    <w:p>
      <w:pPr>
        <w:adjustRightInd w:val="0"/>
        <w:snapToGrid w:val="0"/>
        <w:spacing w:line="360" w:lineRule="auto"/>
        <w:rPr>
          <w:rFonts w:ascii="楷体" w:hAnsi="楷体" w:eastAsia="楷体" w:cs="楷体"/>
          <w:szCs w:val="21"/>
          <w:highlight w:val="none"/>
        </w:rPr>
      </w:pPr>
      <w:r>
        <w:rPr>
          <w:rFonts w:hint="eastAsia" w:ascii="楷体" w:hAnsi="楷体" w:eastAsia="楷体" w:cs="楷体"/>
          <w:szCs w:val="21"/>
          <w:highlight w:val="none"/>
        </w:rPr>
        <w:t>说明：</w:t>
      </w:r>
    </w:p>
    <w:p>
      <w:pPr>
        <w:adjustRightInd w:val="0"/>
        <w:snapToGrid w:val="0"/>
        <w:spacing w:line="360" w:lineRule="auto"/>
        <w:ind w:firstLine="525"/>
        <w:rPr>
          <w:rFonts w:ascii="楷体" w:hAnsi="楷体" w:eastAsia="楷体" w:cs="楷体"/>
          <w:bCs/>
          <w:szCs w:val="21"/>
          <w:highlight w:val="none"/>
        </w:rPr>
      </w:pPr>
      <w:r>
        <w:rPr>
          <w:rFonts w:hint="eastAsia" w:ascii="楷体" w:hAnsi="楷体" w:eastAsia="楷体" w:cs="楷体"/>
          <w:bCs/>
          <w:szCs w:val="21"/>
          <w:highlight w:val="none"/>
        </w:rPr>
        <w:t>1.无格式要求，由出具监狱企业证明的单位自行拟定；</w:t>
      </w:r>
    </w:p>
    <w:p>
      <w:pPr>
        <w:adjustRightInd w:val="0"/>
        <w:snapToGrid w:val="0"/>
        <w:spacing w:line="360" w:lineRule="auto"/>
        <w:ind w:firstLine="525"/>
        <w:rPr>
          <w:highlight w:val="none"/>
        </w:rPr>
      </w:pPr>
      <w:r>
        <w:rPr>
          <w:rFonts w:hint="eastAsia" w:ascii="楷体" w:hAnsi="楷体" w:eastAsia="楷体" w:cs="楷体"/>
          <w:szCs w:val="21"/>
          <w:highlight w:val="none"/>
        </w:rPr>
        <w:t>2.如不是该类企业则不需提供相关声明，若提供虚假材料谋取中标、成交的，将按照《</w:t>
      </w:r>
      <w:r>
        <w:rPr>
          <w:rFonts w:hint="eastAsia" w:ascii="楷体" w:hAnsi="楷体" w:eastAsia="楷体" w:cs="楷体"/>
          <w:szCs w:val="24"/>
          <w:highlight w:val="none"/>
        </w:rPr>
        <w:t>中华人民共和国</w:t>
      </w:r>
      <w:r>
        <w:rPr>
          <w:rFonts w:hint="eastAsia" w:ascii="楷体" w:hAnsi="楷体" w:eastAsia="楷体" w:cs="楷体"/>
          <w:szCs w:val="21"/>
          <w:highlight w:val="none"/>
        </w:rPr>
        <w:t>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楷体" w:hAnsi="楷体" w:eastAsia="楷体" w:cs="楷体"/>
        <w:sz w:val="20"/>
        <w:szCs w:val="16"/>
        <w:lang w:eastAsia="zh-CN"/>
      </w:rPr>
      <w:t>陕西正翼项目管理咨询有限公司</w:t>
    </w:r>
    <w:r>
      <w:rPr>
        <w:rFonts w:hint="eastAsia" w:ascii="楷体" w:hAnsi="楷体" w:eastAsia="楷体" w:cs="楷体"/>
        <w:sz w:val="20"/>
        <w:szCs w:val="20"/>
      </w:rPr>
      <w:t xml:space="preserve">                        </w:t>
    </w:r>
    <w:r>
      <w:rPr>
        <w:rFonts w:hint="eastAsia" w:ascii="楷体" w:hAnsi="楷体" w:eastAsia="楷体" w:cs="楷体"/>
        <w:sz w:val="20"/>
        <w:szCs w:val="20"/>
        <w:lang w:val="en-US" w:eastAsia="zh-CN"/>
      </w:rPr>
      <w:t xml:space="preserve">             </w:t>
    </w:r>
    <w:r>
      <w:rPr>
        <w:rFonts w:hint="eastAsia" w:ascii="楷体" w:hAnsi="楷体" w:eastAsia="楷体" w:cs="楷体"/>
        <w:sz w:val="20"/>
        <w:szCs w:val="20"/>
      </w:rPr>
      <w:t xml:space="preserve">     029-86210100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楷体" w:hAnsi="楷体" w:eastAsia="楷体" w:cs="楷体"/>
        <w:sz w:val="20"/>
        <w:szCs w:val="16"/>
        <w:lang w:eastAsia="zh-CN"/>
      </w:rPr>
      <w:t>陕西正翼项目管理咨询有限公司</w:t>
    </w:r>
    <w:r>
      <w:rPr>
        <w:rFonts w:hint="eastAsia" w:ascii="楷体" w:hAnsi="楷体" w:eastAsia="楷体" w:cs="楷体"/>
        <w:sz w:val="20"/>
        <w:szCs w:val="20"/>
      </w:rPr>
      <w:t xml:space="preserve">                      </w:t>
    </w:r>
    <w:r>
      <w:rPr>
        <w:rFonts w:hint="eastAsia" w:ascii="楷体" w:hAnsi="楷体" w:eastAsia="楷体" w:cs="楷体"/>
        <w:sz w:val="20"/>
        <w:szCs w:val="20"/>
        <w:lang w:val="en-US" w:eastAsia="zh-CN"/>
      </w:rPr>
      <w:t xml:space="preserve">      </w:t>
    </w:r>
    <w:r>
      <w:rPr>
        <w:rFonts w:hint="eastAsia" w:ascii="楷体" w:hAnsi="楷体" w:eastAsia="楷体" w:cs="楷体"/>
        <w:sz w:val="20"/>
        <w:szCs w:val="20"/>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after="240" w:afterLines="100"/>
      <w:jc w:val="left"/>
      <w:rPr>
        <w:rFonts w:eastAsia="楷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after="240" w:afterLines="100"/>
      <w:jc w:val="left"/>
    </w:pPr>
    <w:r>
      <w:rPr>
        <w:rFonts w:hint="eastAsia" w:ascii="楷体" w:hAnsi="楷体" w:eastAsia="楷体" w:cs="楷体"/>
        <w:kern w:val="2"/>
        <w:sz w:val="18"/>
        <w:szCs w:val="18"/>
        <w:lang w:eastAsia="zh-CN"/>
      </w:rPr>
      <w:t>学生饮用水采购项目</w:t>
    </w:r>
    <w:r>
      <w:rPr>
        <w:rFonts w:hint="eastAsia" w:ascii="楷体" w:hAnsi="楷体" w:eastAsia="楷体" w:cs="楷体"/>
        <w:kern w:val="2"/>
        <w:sz w:val="18"/>
        <w:szCs w:val="18"/>
      </w:rPr>
      <w:t xml:space="preserve">                          </w:t>
    </w:r>
    <w:r>
      <w:rPr>
        <w:rFonts w:hint="eastAsia" w:ascii="楷体" w:hAnsi="楷体" w:eastAsia="楷体" w:cs="楷体"/>
        <w:kern w:val="2"/>
        <w:sz w:val="18"/>
        <w:szCs w:val="18"/>
        <w:lang w:val="en-US" w:eastAsia="zh-CN"/>
      </w:rPr>
      <w:t xml:space="preserve">                                </w:t>
    </w:r>
    <w:r>
      <w:rPr>
        <w:rFonts w:hint="eastAsia" w:ascii="楷体" w:hAnsi="楷体" w:eastAsia="楷体" w:cs="楷体"/>
        <w:kern w:val="2"/>
        <w:sz w:val="18"/>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9C11A"/>
    <w:multiLevelType w:val="singleLevel"/>
    <w:tmpl w:val="AF49C11A"/>
    <w:lvl w:ilvl="0" w:tentative="0">
      <w:start w:val="1"/>
      <w:numFmt w:val="decimal"/>
      <w:suff w:val="nothing"/>
      <w:lvlText w:val="（%1）"/>
      <w:lvlJc w:val="left"/>
    </w:lvl>
  </w:abstractNum>
  <w:abstractNum w:abstractNumId="1">
    <w:nsid w:val="DCF39329"/>
    <w:multiLevelType w:val="singleLevel"/>
    <w:tmpl w:val="DCF39329"/>
    <w:lvl w:ilvl="0" w:tentative="0">
      <w:start w:val="1"/>
      <w:numFmt w:val="decimal"/>
      <w:suff w:val="nothing"/>
      <w:lvlText w:val="（%1）"/>
      <w:lvlJc w:val="left"/>
    </w:lvl>
  </w:abstractNum>
  <w:abstractNum w:abstractNumId="2">
    <w:nsid w:val="E3DD26B6"/>
    <w:multiLevelType w:val="singleLevel"/>
    <w:tmpl w:val="E3DD26B6"/>
    <w:lvl w:ilvl="0" w:tentative="0">
      <w:start w:val="1"/>
      <w:numFmt w:val="chineseCounting"/>
      <w:suff w:val="nothing"/>
      <w:lvlText w:val="%1、"/>
      <w:lvlJc w:val="left"/>
      <w:rPr>
        <w:rFonts w:hint="eastAsia"/>
      </w:rPr>
    </w:lvl>
  </w:abstractNum>
  <w:abstractNum w:abstractNumId="3">
    <w:nsid w:val="0000001F"/>
    <w:multiLevelType w:val="singleLevel"/>
    <w:tmpl w:val="0000001F"/>
    <w:lvl w:ilvl="0" w:tentative="0">
      <w:start w:val="1"/>
      <w:numFmt w:val="decimal"/>
      <w:pStyle w:val="31"/>
      <w:lvlText w:val="%1．"/>
      <w:lvlJc w:val="left"/>
      <w:pPr>
        <w:tabs>
          <w:tab w:val="left" w:pos="720"/>
        </w:tabs>
        <w:ind w:left="720" w:hanging="720"/>
      </w:pPr>
    </w:lvl>
  </w:abstractNum>
  <w:abstractNum w:abstractNumId="4">
    <w:nsid w:val="076909C4"/>
    <w:multiLevelType w:val="singleLevel"/>
    <w:tmpl w:val="076909C4"/>
    <w:lvl w:ilvl="0" w:tentative="0">
      <w:start w:val="1"/>
      <w:numFmt w:val="decimal"/>
      <w:suff w:val="nothing"/>
      <w:lvlText w:val="（%1）"/>
      <w:lvlJc w:val="left"/>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6">
    <w:nsid w:val="5B32CE90"/>
    <w:multiLevelType w:val="singleLevel"/>
    <w:tmpl w:val="5B32CE90"/>
    <w:lvl w:ilvl="0" w:tentative="0">
      <w:start w:val="2"/>
      <w:numFmt w:val="decimal"/>
      <w:suff w:val="nothing"/>
      <w:lvlText w:val="%1、"/>
      <w:lvlJc w:val="left"/>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MWY2MjhkMDY3ZmVmNjVmNTNmYjBkMDhkYTE4YWMifQ=="/>
  </w:docVars>
  <w:rsids>
    <w:rsidRoot w:val="005E658F"/>
    <w:rsid w:val="00113354"/>
    <w:rsid w:val="00212B7E"/>
    <w:rsid w:val="005E658F"/>
    <w:rsid w:val="00671DC8"/>
    <w:rsid w:val="0072236A"/>
    <w:rsid w:val="00847DE1"/>
    <w:rsid w:val="008B4F9D"/>
    <w:rsid w:val="00987525"/>
    <w:rsid w:val="00B34A1F"/>
    <w:rsid w:val="00BA5A62"/>
    <w:rsid w:val="00DA58E7"/>
    <w:rsid w:val="00DB1C6E"/>
    <w:rsid w:val="00DE27D3"/>
    <w:rsid w:val="01230C32"/>
    <w:rsid w:val="02A514FD"/>
    <w:rsid w:val="02D9796E"/>
    <w:rsid w:val="036644E9"/>
    <w:rsid w:val="0374238F"/>
    <w:rsid w:val="03993BA4"/>
    <w:rsid w:val="039C5442"/>
    <w:rsid w:val="03A52548"/>
    <w:rsid w:val="03B31C99"/>
    <w:rsid w:val="04CD226A"/>
    <w:rsid w:val="066268A7"/>
    <w:rsid w:val="06A765D7"/>
    <w:rsid w:val="087A03C4"/>
    <w:rsid w:val="08C75AEE"/>
    <w:rsid w:val="0A0A68D2"/>
    <w:rsid w:val="0AB319EF"/>
    <w:rsid w:val="0B2D3242"/>
    <w:rsid w:val="0BC83278"/>
    <w:rsid w:val="0CD612A2"/>
    <w:rsid w:val="0F040A6B"/>
    <w:rsid w:val="0F08460A"/>
    <w:rsid w:val="0F79704C"/>
    <w:rsid w:val="0FB65540"/>
    <w:rsid w:val="0FC44E68"/>
    <w:rsid w:val="0FC712EC"/>
    <w:rsid w:val="0FFB608E"/>
    <w:rsid w:val="10753038"/>
    <w:rsid w:val="10E14147"/>
    <w:rsid w:val="10F7015B"/>
    <w:rsid w:val="11012F23"/>
    <w:rsid w:val="111E6BE4"/>
    <w:rsid w:val="11246999"/>
    <w:rsid w:val="123D122A"/>
    <w:rsid w:val="12B14F00"/>
    <w:rsid w:val="13070DDC"/>
    <w:rsid w:val="138C5AD6"/>
    <w:rsid w:val="13951544"/>
    <w:rsid w:val="144813FA"/>
    <w:rsid w:val="1485453A"/>
    <w:rsid w:val="149F622F"/>
    <w:rsid w:val="16875D76"/>
    <w:rsid w:val="16BD52B2"/>
    <w:rsid w:val="16C773E1"/>
    <w:rsid w:val="17A339A2"/>
    <w:rsid w:val="17CF598E"/>
    <w:rsid w:val="18602A8A"/>
    <w:rsid w:val="18925339"/>
    <w:rsid w:val="194E2CBF"/>
    <w:rsid w:val="19B90B4A"/>
    <w:rsid w:val="1A207F11"/>
    <w:rsid w:val="1ABE5E81"/>
    <w:rsid w:val="1BB80688"/>
    <w:rsid w:val="1C0A3439"/>
    <w:rsid w:val="1C626DD1"/>
    <w:rsid w:val="1CBA09BB"/>
    <w:rsid w:val="1CED584B"/>
    <w:rsid w:val="1DB7727D"/>
    <w:rsid w:val="1E016E79"/>
    <w:rsid w:val="1E987B7C"/>
    <w:rsid w:val="1FAB2537"/>
    <w:rsid w:val="1FED2E18"/>
    <w:rsid w:val="20160FBA"/>
    <w:rsid w:val="2049094F"/>
    <w:rsid w:val="208539D6"/>
    <w:rsid w:val="20B8097D"/>
    <w:rsid w:val="20BD7AE9"/>
    <w:rsid w:val="20C15D3C"/>
    <w:rsid w:val="21B819F7"/>
    <w:rsid w:val="22205255"/>
    <w:rsid w:val="225571BA"/>
    <w:rsid w:val="225B5F4B"/>
    <w:rsid w:val="227323B6"/>
    <w:rsid w:val="23215B5B"/>
    <w:rsid w:val="24022621"/>
    <w:rsid w:val="24297F60"/>
    <w:rsid w:val="24620E4A"/>
    <w:rsid w:val="251705B7"/>
    <w:rsid w:val="25AE3E9F"/>
    <w:rsid w:val="260871F5"/>
    <w:rsid w:val="2697382D"/>
    <w:rsid w:val="26AB0F5A"/>
    <w:rsid w:val="26ED19DF"/>
    <w:rsid w:val="276F7D34"/>
    <w:rsid w:val="279462AC"/>
    <w:rsid w:val="281B2940"/>
    <w:rsid w:val="28D52C69"/>
    <w:rsid w:val="29363AF4"/>
    <w:rsid w:val="29967214"/>
    <w:rsid w:val="29A024A4"/>
    <w:rsid w:val="29E90C36"/>
    <w:rsid w:val="2A2A3DE6"/>
    <w:rsid w:val="2B2636BF"/>
    <w:rsid w:val="2BAC0068"/>
    <w:rsid w:val="2C1C6CD4"/>
    <w:rsid w:val="2CE12564"/>
    <w:rsid w:val="2D0E0A49"/>
    <w:rsid w:val="2D39479E"/>
    <w:rsid w:val="2E211E55"/>
    <w:rsid w:val="2E670DE2"/>
    <w:rsid w:val="2E715C8A"/>
    <w:rsid w:val="2E877C6D"/>
    <w:rsid w:val="2EDF7596"/>
    <w:rsid w:val="2F995528"/>
    <w:rsid w:val="2FAC5093"/>
    <w:rsid w:val="30E42D7A"/>
    <w:rsid w:val="313758AE"/>
    <w:rsid w:val="318D3DFE"/>
    <w:rsid w:val="32CB540C"/>
    <w:rsid w:val="337F76A0"/>
    <w:rsid w:val="338B269D"/>
    <w:rsid w:val="349E7372"/>
    <w:rsid w:val="35577297"/>
    <w:rsid w:val="35FE7713"/>
    <w:rsid w:val="36452261"/>
    <w:rsid w:val="36681030"/>
    <w:rsid w:val="36A51FD4"/>
    <w:rsid w:val="36B76EFC"/>
    <w:rsid w:val="36D03D76"/>
    <w:rsid w:val="373E583E"/>
    <w:rsid w:val="37897829"/>
    <w:rsid w:val="37CA01C2"/>
    <w:rsid w:val="37F44CEC"/>
    <w:rsid w:val="38101095"/>
    <w:rsid w:val="393D3AA6"/>
    <w:rsid w:val="39481452"/>
    <w:rsid w:val="39D864CC"/>
    <w:rsid w:val="3A0D35FE"/>
    <w:rsid w:val="3A314864"/>
    <w:rsid w:val="3AC01088"/>
    <w:rsid w:val="3BBA0580"/>
    <w:rsid w:val="3C8367AB"/>
    <w:rsid w:val="3D4C4614"/>
    <w:rsid w:val="3D8766AA"/>
    <w:rsid w:val="3E292A24"/>
    <w:rsid w:val="3F06588A"/>
    <w:rsid w:val="3F3933D7"/>
    <w:rsid w:val="3F3E0498"/>
    <w:rsid w:val="3FB948E6"/>
    <w:rsid w:val="40314B39"/>
    <w:rsid w:val="406F007F"/>
    <w:rsid w:val="40C33A32"/>
    <w:rsid w:val="40E3518F"/>
    <w:rsid w:val="41E06B00"/>
    <w:rsid w:val="41F15056"/>
    <w:rsid w:val="429264AB"/>
    <w:rsid w:val="43EE70A6"/>
    <w:rsid w:val="442923B2"/>
    <w:rsid w:val="445D0586"/>
    <w:rsid w:val="44937787"/>
    <w:rsid w:val="44FC39B7"/>
    <w:rsid w:val="45560921"/>
    <w:rsid w:val="45626095"/>
    <w:rsid w:val="456865A2"/>
    <w:rsid w:val="45D86A21"/>
    <w:rsid w:val="46131589"/>
    <w:rsid w:val="46F26E20"/>
    <w:rsid w:val="47141C87"/>
    <w:rsid w:val="474C17CF"/>
    <w:rsid w:val="48C04D4D"/>
    <w:rsid w:val="48C917D8"/>
    <w:rsid w:val="48E67C3B"/>
    <w:rsid w:val="4972249A"/>
    <w:rsid w:val="499F5857"/>
    <w:rsid w:val="4A275032"/>
    <w:rsid w:val="4A282B14"/>
    <w:rsid w:val="4ACB1D37"/>
    <w:rsid w:val="4BF51E47"/>
    <w:rsid w:val="4BFB49C8"/>
    <w:rsid w:val="4BFB6D5E"/>
    <w:rsid w:val="4C3B4DC5"/>
    <w:rsid w:val="4CD97644"/>
    <w:rsid w:val="4CF83A7C"/>
    <w:rsid w:val="4ED80271"/>
    <w:rsid w:val="4EDD6607"/>
    <w:rsid w:val="4EE45588"/>
    <w:rsid w:val="4F0168E2"/>
    <w:rsid w:val="4F69153C"/>
    <w:rsid w:val="500F6132"/>
    <w:rsid w:val="50220679"/>
    <w:rsid w:val="504D156B"/>
    <w:rsid w:val="50D06F34"/>
    <w:rsid w:val="5164091A"/>
    <w:rsid w:val="51E7355C"/>
    <w:rsid w:val="5217711A"/>
    <w:rsid w:val="52A651F0"/>
    <w:rsid w:val="52B52E96"/>
    <w:rsid w:val="52EC318B"/>
    <w:rsid w:val="53005A6E"/>
    <w:rsid w:val="530A5B0E"/>
    <w:rsid w:val="53DD6A10"/>
    <w:rsid w:val="53E3453F"/>
    <w:rsid w:val="54417AF7"/>
    <w:rsid w:val="546E1041"/>
    <w:rsid w:val="547E7F44"/>
    <w:rsid w:val="549315AE"/>
    <w:rsid w:val="54FB1595"/>
    <w:rsid w:val="575F6138"/>
    <w:rsid w:val="57631674"/>
    <w:rsid w:val="57CB4A91"/>
    <w:rsid w:val="5858486D"/>
    <w:rsid w:val="589F492D"/>
    <w:rsid w:val="59181D2C"/>
    <w:rsid w:val="596F0092"/>
    <w:rsid w:val="59984399"/>
    <w:rsid w:val="59B250C0"/>
    <w:rsid w:val="5A4A0E95"/>
    <w:rsid w:val="5AFA5BD0"/>
    <w:rsid w:val="5B62410C"/>
    <w:rsid w:val="5BE21435"/>
    <w:rsid w:val="5E193563"/>
    <w:rsid w:val="5E1D0E75"/>
    <w:rsid w:val="5EB64C3B"/>
    <w:rsid w:val="5F8D4120"/>
    <w:rsid w:val="60326087"/>
    <w:rsid w:val="606E0DA3"/>
    <w:rsid w:val="608D2642"/>
    <w:rsid w:val="60A46F85"/>
    <w:rsid w:val="60FC0A4F"/>
    <w:rsid w:val="61175426"/>
    <w:rsid w:val="61E54DA4"/>
    <w:rsid w:val="623C6FF8"/>
    <w:rsid w:val="62A82D19"/>
    <w:rsid w:val="62D20199"/>
    <w:rsid w:val="63304CC7"/>
    <w:rsid w:val="63390E83"/>
    <w:rsid w:val="636B425B"/>
    <w:rsid w:val="649C190D"/>
    <w:rsid w:val="64D445E9"/>
    <w:rsid w:val="652C4F00"/>
    <w:rsid w:val="656E3764"/>
    <w:rsid w:val="65BE0A23"/>
    <w:rsid w:val="65D147F3"/>
    <w:rsid w:val="660067B8"/>
    <w:rsid w:val="66187ACD"/>
    <w:rsid w:val="67354103"/>
    <w:rsid w:val="675E5C64"/>
    <w:rsid w:val="695801C7"/>
    <w:rsid w:val="69F34AD9"/>
    <w:rsid w:val="6B7B6B34"/>
    <w:rsid w:val="6BC3720F"/>
    <w:rsid w:val="6BF47849"/>
    <w:rsid w:val="6CBE5406"/>
    <w:rsid w:val="6CD94EBD"/>
    <w:rsid w:val="6E245261"/>
    <w:rsid w:val="6E465C91"/>
    <w:rsid w:val="6EDF2AF4"/>
    <w:rsid w:val="6FA44311"/>
    <w:rsid w:val="6FB062F3"/>
    <w:rsid w:val="6FF87BB7"/>
    <w:rsid w:val="70802735"/>
    <w:rsid w:val="709F5643"/>
    <w:rsid w:val="712638CF"/>
    <w:rsid w:val="712734B7"/>
    <w:rsid w:val="71D26B2B"/>
    <w:rsid w:val="72165809"/>
    <w:rsid w:val="723846A8"/>
    <w:rsid w:val="72752E54"/>
    <w:rsid w:val="7278045C"/>
    <w:rsid w:val="72BF75DB"/>
    <w:rsid w:val="72F025F3"/>
    <w:rsid w:val="730E3D4C"/>
    <w:rsid w:val="736F3157"/>
    <w:rsid w:val="73CD4A2A"/>
    <w:rsid w:val="73D06E6A"/>
    <w:rsid w:val="74640A5F"/>
    <w:rsid w:val="74FD4A5E"/>
    <w:rsid w:val="75005FC6"/>
    <w:rsid w:val="75215851"/>
    <w:rsid w:val="755B0463"/>
    <w:rsid w:val="756E5C8B"/>
    <w:rsid w:val="75D92385"/>
    <w:rsid w:val="78AA3EB4"/>
    <w:rsid w:val="78C35456"/>
    <w:rsid w:val="78F933C2"/>
    <w:rsid w:val="795E07B3"/>
    <w:rsid w:val="798617C0"/>
    <w:rsid w:val="79CD6F33"/>
    <w:rsid w:val="7C4D58CF"/>
    <w:rsid w:val="7D0834C1"/>
    <w:rsid w:val="7D536CD7"/>
    <w:rsid w:val="7D6C452F"/>
    <w:rsid w:val="7DB10EF2"/>
    <w:rsid w:val="7EA61CC2"/>
    <w:rsid w:val="7EA63A70"/>
    <w:rsid w:val="7ECB618F"/>
    <w:rsid w:val="7ED00AED"/>
    <w:rsid w:val="7ED444FF"/>
    <w:rsid w:val="7F8244DD"/>
    <w:rsid w:val="7FAA1CAF"/>
    <w:rsid w:val="7FC8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2">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00" w:lineRule="auto"/>
      <w:ind w:firstLine="420" w:firstLineChars="200"/>
    </w:pPr>
    <w:rPr>
      <w:rFonts w:ascii="Times New Roman"/>
      <w:kern w:val="2"/>
      <w:sz w:val="21"/>
      <w:szCs w:val="24"/>
    </w:rPr>
  </w:style>
  <w:style w:type="paragraph" w:styleId="8">
    <w:name w:val="toc 4"/>
    <w:basedOn w:val="1"/>
    <w:next w:val="1"/>
    <w:unhideWhenUsed/>
    <w:qFormat/>
    <w:uiPriority w:val="39"/>
    <w:pPr>
      <w:ind w:left="1260" w:leftChars="600"/>
    </w:pPr>
  </w:style>
  <w:style w:type="paragraph" w:styleId="9">
    <w:name w:val="Document Map"/>
    <w:basedOn w:val="1"/>
    <w:qFormat/>
    <w:uiPriority w:val="0"/>
    <w:pPr>
      <w:shd w:val="clear" w:color="auto" w:fill="000080"/>
    </w:pPr>
    <w:rPr>
      <w:rFonts w:ascii="Times New Roman"/>
      <w:kern w:val="2"/>
      <w:sz w:val="21"/>
    </w:rPr>
  </w:style>
  <w:style w:type="paragraph" w:styleId="10">
    <w:name w:val="annotation text"/>
    <w:basedOn w:val="1"/>
    <w:qFormat/>
    <w:uiPriority w:val="99"/>
    <w:pPr>
      <w:jc w:val="left"/>
    </w:pPr>
    <w:rPr>
      <w:rFonts w:ascii="Times New Roman"/>
      <w:kern w:val="2"/>
      <w:sz w:val="21"/>
      <w:szCs w:val="24"/>
    </w:rPr>
  </w:style>
  <w:style w:type="paragraph" w:styleId="11">
    <w:name w:val="Body Text"/>
    <w:basedOn w:val="1"/>
    <w:next w:val="1"/>
    <w:qFormat/>
    <w:uiPriority w:val="0"/>
    <w:pPr>
      <w:spacing w:after="120"/>
    </w:pPr>
    <w:rPr>
      <w:rFonts w:ascii="Times New Roman"/>
      <w:kern w:val="2"/>
      <w:sz w:val="21"/>
    </w:rPr>
  </w:style>
  <w:style w:type="paragraph" w:styleId="12">
    <w:name w:val="Body Text Indent"/>
    <w:basedOn w:val="1"/>
    <w:next w:val="13"/>
    <w:qFormat/>
    <w:uiPriority w:val="0"/>
    <w:pPr>
      <w:widowControl/>
      <w:ind w:firstLine="652" w:firstLineChars="233"/>
    </w:pPr>
    <w:rPr>
      <w:rFonts w:ascii="Times New Roman"/>
      <w:sz w:val="28"/>
    </w:rPr>
  </w:style>
  <w:style w:type="paragraph" w:styleId="13">
    <w:name w:val="envelope return"/>
    <w:basedOn w:val="1"/>
    <w:qFormat/>
    <w:uiPriority w:val="99"/>
    <w:pPr>
      <w:snapToGrid w:val="0"/>
    </w:pPr>
    <w:rPr>
      <w:rFonts w:ascii="Arial" w:hAnsi="Arial" w:cs="Arial"/>
    </w:rPr>
  </w:style>
  <w:style w:type="paragraph" w:styleId="14">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rPr>
      <w:rFonts w:hAnsi="Courier New"/>
      <w:kern w:val="2"/>
      <w:sz w:val="21"/>
    </w:rPr>
  </w:style>
  <w:style w:type="paragraph" w:styleId="17">
    <w:name w:val="Date"/>
    <w:basedOn w:val="1"/>
    <w:next w:val="1"/>
    <w:qFormat/>
    <w:uiPriority w:val="0"/>
    <w:rPr>
      <w:rFonts w:ascii="Times New Roman"/>
      <w:kern w:val="2"/>
      <w:sz w:val="28"/>
    </w:rPr>
  </w:style>
  <w:style w:type="paragraph" w:styleId="18">
    <w:name w:val="footer"/>
    <w:basedOn w:val="1"/>
    <w:next w:val="11"/>
    <w:qFormat/>
    <w:uiPriority w:val="99"/>
    <w:pPr>
      <w:tabs>
        <w:tab w:val="center" w:pos="4153"/>
        <w:tab w:val="right" w:pos="8306"/>
      </w:tabs>
      <w:snapToGrid w:val="0"/>
      <w:jc w:val="left"/>
    </w:pPr>
    <w:rPr>
      <w:rFonts w:ascii="Times New Roman"/>
      <w:kern w:val="2"/>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0">
    <w:name w:val="toc 1"/>
    <w:basedOn w:val="1"/>
    <w:next w:val="1"/>
    <w:unhideWhenUsed/>
    <w:qFormat/>
    <w:uiPriority w:val="39"/>
  </w:style>
  <w:style w:type="paragraph" w:styleId="21">
    <w:name w:val="toc 6"/>
    <w:basedOn w:val="1"/>
    <w:next w:val="1"/>
    <w:unhideWhenUsed/>
    <w:qFormat/>
    <w:uiPriority w:val="39"/>
    <w:pPr>
      <w:ind w:left="2100" w:leftChars="1000"/>
    </w:pPr>
  </w:style>
  <w:style w:type="paragraph" w:styleId="22">
    <w:name w:val="toc 2"/>
    <w:basedOn w:val="1"/>
    <w:next w:val="1"/>
    <w:qFormat/>
    <w:uiPriority w:val="0"/>
    <w:pPr>
      <w:ind w:left="420" w:leftChars="200"/>
    </w:pPr>
  </w:style>
  <w:style w:type="paragraph" w:styleId="23">
    <w:name w:val="toc 9"/>
    <w:basedOn w:val="1"/>
    <w:next w:val="1"/>
    <w:unhideWhenUsed/>
    <w:qFormat/>
    <w:uiPriority w:val="39"/>
    <w:pPr>
      <w:ind w:left="3360" w:leftChars="1600"/>
    </w:pPr>
  </w:style>
  <w:style w:type="paragraph" w:styleId="24">
    <w:name w:val="Normal (Web)"/>
    <w:basedOn w:val="1"/>
    <w:qFormat/>
    <w:uiPriority w:val="0"/>
    <w:pPr>
      <w:widowControl/>
      <w:spacing w:before="100" w:beforeAutospacing="1" w:after="100" w:afterAutospacing="1"/>
      <w:jc w:val="left"/>
    </w:pPr>
    <w:rPr>
      <w:rFonts w:hAnsi="宋体"/>
      <w:szCs w:val="24"/>
    </w:rPr>
  </w:style>
  <w:style w:type="paragraph" w:styleId="25">
    <w:name w:val="Body Text First Indent"/>
    <w:basedOn w:val="11"/>
    <w:next w:val="1"/>
    <w:unhideWhenUsed/>
    <w:qFormat/>
    <w:uiPriority w:val="0"/>
    <w:pPr>
      <w:ind w:firstLine="420" w:firstLineChars="100"/>
    </w:pPr>
    <w:rPr>
      <w:sz w:val="18"/>
      <w:szCs w:val="18"/>
    </w:rPr>
  </w:style>
  <w:style w:type="paragraph" w:styleId="26">
    <w:name w:val="Body Text First Indent 2"/>
    <w:basedOn w:val="12"/>
    <w:unhideWhenUsed/>
    <w:qFormat/>
    <w:uiPriority w:val="99"/>
    <w:pPr>
      <w:spacing w:after="120"/>
      <w:ind w:left="420" w:leftChars="200" w:firstLine="420" w:firstLineChars="200"/>
    </w:p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paragraph" w:customStyle="1" w:styleId="31">
    <w:name w:val="Char"/>
    <w:basedOn w:val="9"/>
    <w:next w:val="5"/>
    <w:qFormat/>
    <w:uiPriority w:val="0"/>
    <w:pPr>
      <w:numPr>
        <w:ilvl w:val="0"/>
        <w:numId w:val="1"/>
      </w:numPr>
      <w:tabs>
        <w:tab w:val="left" w:pos="1200"/>
        <w:tab w:val="clear" w:pos="720"/>
      </w:tabs>
      <w:ind w:left="1200" w:hanging="360"/>
    </w:pPr>
    <w:rPr>
      <w:sz w:val="24"/>
      <w:szCs w:val="24"/>
    </w:rPr>
  </w:style>
  <w:style w:type="character" w:customStyle="1" w:styleId="32">
    <w:name w:val="font71"/>
    <w:qFormat/>
    <w:uiPriority w:val="0"/>
    <w:rPr>
      <w:rFonts w:hint="eastAsia" w:ascii="仿宋" w:hAnsi="仿宋" w:eastAsia="仿宋" w:cs="仿宋"/>
      <w:color w:val="000000"/>
      <w:sz w:val="24"/>
      <w:szCs w:val="24"/>
      <w:u w:val="none"/>
    </w:rPr>
  </w:style>
  <w:style w:type="paragraph" w:styleId="33">
    <w:name w:val="List Paragraph"/>
    <w:basedOn w:val="1"/>
    <w:next w:val="1"/>
    <w:qFormat/>
    <w:uiPriority w:val="34"/>
    <w:pPr>
      <w:ind w:firstLine="420" w:firstLineChars="200"/>
    </w:pPr>
    <w:rPr>
      <w:rFonts w:ascii="Calibri" w:hAnsi="Calibri"/>
      <w:kern w:val="2"/>
      <w:sz w:val="21"/>
      <w:szCs w:val="22"/>
    </w:rPr>
  </w:style>
  <w:style w:type="paragraph" w:customStyle="1" w:styleId="34">
    <w:name w:val="正文缩进1"/>
    <w:basedOn w:val="1"/>
    <w:qFormat/>
    <w:uiPriority w:val="0"/>
    <w:pPr>
      <w:ind w:firstLine="420" w:firstLineChars="200"/>
    </w:pPr>
  </w:style>
  <w:style w:type="paragraph" w:customStyle="1" w:styleId="35">
    <w:name w:val="表格文字中"/>
    <w:basedOn w:val="1"/>
    <w:qFormat/>
    <w:uiPriority w:val="0"/>
    <w:pPr>
      <w:adjustRightInd w:val="0"/>
      <w:snapToGrid w:val="0"/>
      <w:ind w:left="22" w:leftChars="8"/>
      <w:jc w:val="center"/>
    </w:pPr>
    <w:rPr>
      <w:szCs w:val="24"/>
    </w:rPr>
  </w:style>
  <w:style w:type="paragraph" w:customStyle="1" w:styleId="36">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37">
    <w:name w:val="font11"/>
    <w:basedOn w:val="29"/>
    <w:qFormat/>
    <w:uiPriority w:val="0"/>
    <w:rPr>
      <w:rFonts w:hint="eastAsia" w:ascii="宋体" w:hAnsi="宋体" w:eastAsia="宋体" w:cs="宋体"/>
      <w:color w:val="000000"/>
      <w:sz w:val="21"/>
      <w:szCs w:val="21"/>
      <w:u w:val="none"/>
    </w:rPr>
  </w:style>
  <w:style w:type="character" w:customStyle="1" w:styleId="38">
    <w:name w:val="font31"/>
    <w:basedOn w:val="29"/>
    <w:qFormat/>
    <w:uiPriority w:val="0"/>
    <w:rPr>
      <w:rFonts w:ascii="Arial" w:hAnsi="Arial" w:cs="Arial"/>
      <w:color w:val="000000"/>
      <w:sz w:val="21"/>
      <w:szCs w:val="21"/>
      <w:u w:val="none"/>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41"/>
    <w:basedOn w:val="29"/>
    <w:qFormat/>
    <w:uiPriority w:val="0"/>
    <w:rPr>
      <w:rFonts w:ascii="Arial" w:hAnsi="Arial" w:cs="Arial"/>
      <w:color w:val="000000"/>
      <w:sz w:val="21"/>
      <w:szCs w:val="21"/>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列出段落1"/>
    <w:basedOn w:val="1"/>
    <w:qFormat/>
    <w:uiPriority w:val="0"/>
    <w:pPr>
      <w:ind w:firstLine="420" w:firstLineChars="200"/>
    </w:pPr>
  </w:style>
  <w:style w:type="character" w:customStyle="1" w:styleId="44">
    <w:name w:val="font21"/>
    <w:basedOn w:val="29"/>
    <w:qFormat/>
    <w:uiPriority w:val="0"/>
    <w:rPr>
      <w:rFonts w:hint="eastAsia" w:ascii="宋体" w:hAnsi="宋体" w:eastAsia="宋体" w:cs="宋体"/>
      <w:b/>
      <w:bCs/>
      <w:color w:val="000000"/>
      <w:sz w:val="20"/>
      <w:szCs w:val="20"/>
      <w:u w:val="none"/>
    </w:rPr>
  </w:style>
  <w:style w:type="character" w:customStyle="1" w:styleId="45">
    <w:name w:val="font81"/>
    <w:basedOn w:val="29"/>
    <w:qFormat/>
    <w:uiPriority w:val="0"/>
    <w:rPr>
      <w:rFonts w:hint="default" w:ascii="Times New Roman" w:hAnsi="Times New Roman" w:cs="Times New Roman"/>
      <w:b/>
      <w:bCs/>
      <w:color w:val="000000"/>
      <w:sz w:val="20"/>
      <w:szCs w:val="20"/>
      <w:u w:val="none"/>
    </w:rPr>
  </w:style>
  <w:style w:type="character" w:customStyle="1" w:styleId="46">
    <w:name w:val="font61"/>
    <w:basedOn w:val="29"/>
    <w:qFormat/>
    <w:uiPriority w:val="0"/>
    <w:rPr>
      <w:rFonts w:hint="default" w:ascii="Times New Roman" w:hAnsi="Times New Roman" w:cs="Times New Roman"/>
      <w:b/>
      <w:bCs/>
      <w:color w:val="000000"/>
      <w:sz w:val="20"/>
      <w:szCs w:val="20"/>
      <w:u w:val="none"/>
    </w:rPr>
  </w:style>
  <w:style w:type="character" w:customStyle="1" w:styleId="47">
    <w:name w:val="font91"/>
    <w:basedOn w:val="29"/>
    <w:qFormat/>
    <w:uiPriority w:val="0"/>
    <w:rPr>
      <w:rFonts w:hint="eastAsia" w:ascii="宋体" w:hAnsi="宋体" w:eastAsia="宋体" w:cs="宋体"/>
      <w:color w:val="000000"/>
      <w:sz w:val="20"/>
      <w:szCs w:val="20"/>
      <w:u w:val="none"/>
    </w:rPr>
  </w:style>
  <w:style w:type="character" w:customStyle="1" w:styleId="48">
    <w:name w:val="font101"/>
    <w:basedOn w:val="29"/>
    <w:qFormat/>
    <w:uiPriority w:val="0"/>
    <w:rPr>
      <w:rFonts w:hint="eastAsia" w:ascii="宋体" w:hAnsi="宋体" w:eastAsia="宋体" w:cs="宋体"/>
      <w:color w:val="000000"/>
      <w:sz w:val="20"/>
      <w:szCs w:val="20"/>
      <w:u w:val="none"/>
    </w:rPr>
  </w:style>
  <w:style w:type="paragraph" w:customStyle="1" w:styleId="49">
    <w:name w:val="列出段落2"/>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34193</Words>
  <Characters>36406</Characters>
  <Lines>298</Lines>
  <Paragraphs>84</Paragraphs>
  <TotalTime>107</TotalTime>
  <ScaleCrop>false</ScaleCrop>
  <LinksUpToDate>false</LinksUpToDate>
  <CharactersWithSpaces>38449</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2022-11-22T01:36:00Z</dcterms:created>
  <dc:creator>Administrator</dc:creator>
  <cp:lastModifiedBy>123</cp:lastModifiedBy>
  <cp:lastPrinted>2023-04-03T00:41:00Z</cp:lastPrinted>
  <dcterms:modified xsi:type="dcterms:W3CDTF">2023-08-23T13:40:34Z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05F5869180B24FCF9FC7006FCC92377D_13</vt:lpwstr>
  </property>
</Properties>
</file>