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0"/>
        </w:tabs>
        <w:rPr>
          <w:rFonts w:hint="eastAsia" w:ascii="宋体" w:hAnsi="宋体" w:eastAsia="宋体" w:cs="宋体"/>
          <w:b/>
          <w:sz w:val="36"/>
          <w:lang w:eastAsia="zh-CN"/>
        </w:rPr>
      </w:pPr>
      <w:bookmarkStart w:id="0" w:name="_Toc339114109"/>
      <w:bookmarkStart w:id="1" w:name="_Toc17643"/>
      <w:bookmarkStart w:id="2" w:name="_Toc339114164"/>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SXJTZB-ZC-GK20230</w:t>
      </w:r>
      <w:r>
        <w:rPr>
          <w:rFonts w:hint="eastAsia" w:ascii="宋体" w:hAnsi="宋体" w:cs="宋体"/>
          <w:b/>
          <w:bCs/>
          <w:sz w:val="32"/>
          <w:szCs w:val="32"/>
          <w:lang w:val="en-US" w:eastAsia="zh-CN"/>
        </w:rPr>
        <w:t>910</w:t>
      </w:r>
      <w:r>
        <w:rPr>
          <w:rFonts w:hint="eastAsia" w:ascii="宋体" w:hAnsi="宋体" w:cs="宋体"/>
          <w:b/>
          <w:bCs/>
          <w:sz w:val="32"/>
          <w:szCs w:val="32"/>
          <w:lang w:eastAsia="zh-CN"/>
        </w:rPr>
        <w:t>（</w:t>
      </w:r>
      <w:r>
        <w:rPr>
          <w:rFonts w:hint="eastAsia" w:ascii="宋体" w:hAnsi="宋体" w:eastAsia="宋体" w:cs="宋体"/>
          <w:b/>
          <w:bCs/>
          <w:sz w:val="32"/>
          <w:szCs w:val="32"/>
          <w:lang w:eastAsia="zh-CN"/>
        </w:rPr>
        <w:t>XAGC-2023-000196-4</w:t>
      </w:r>
      <w:r>
        <w:rPr>
          <w:rFonts w:hint="eastAsia" w:ascii="宋体" w:hAnsi="宋体" w:cs="宋体"/>
          <w:b/>
          <w:bCs/>
          <w:sz w:val="32"/>
          <w:szCs w:val="32"/>
          <w:lang w:eastAsia="zh-CN"/>
        </w:rPr>
        <w:t>）</w:t>
      </w:r>
    </w:p>
    <w:p>
      <w:pPr>
        <w:jc w:val="center"/>
        <w:rPr>
          <w:rFonts w:hint="eastAsia" w:ascii="宋体" w:hAnsi="宋体" w:eastAsia="宋体" w:cs="宋体"/>
          <w:b/>
          <w:sz w:val="36"/>
        </w:rPr>
      </w:pPr>
    </w:p>
    <w:p>
      <w:pPr>
        <w:rPr>
          <w:rFonts w:hint="eastAsia" w:ascii="宋体" w:hAnsi="宋体" w:eastAsia="宋体" w:cs="宋体"/>
        </w:rPr>
      </w:pPr>
    </w:p>
    <w:p>
      <w:pPr>
        <w:rPr>
          <w:rFonts w:hint="eastAsia" w:ascii="宋体" w:hAnsi="宋体" w:eastAsia="宋体" w:cs="宋体"/>
          <w:b/>
          <w:sz w:val="36"/>
          <w:szCs w:val="36"/>
        </w:rPr>
      </w:pPr>
      <w:bookmarkStart w:id="343" w:name="_GoBack"/>
      <w:bookmarkEnd w:id="343"/>
    </w:p>
    <w:p>
      <w:pPr>
        <w:rPr>
          <w:rFonts w:hint="eastAsia" w:ascii="宋体" w:hAnsi="宋体" w:eastAsia="宋体" w:cs="宋体"/>
          <w:b/>
          <w:sz w:val="36"/>
          <w:szCs w:val="36"/>
        </w:rPr>
      </w:pPr>
    </w:p>
    <w:p>
      <w:pPr>
        <w:pStyle w:val="2"/>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西安市未央区教育局学校安全</w:t>
      </w:r>
    </w:p>
    <w:p>
      <w:pPr>
        <w:pStyle w:val="2"/>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保障项目</w:t>
      </w: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spacing w:line="780" w:lineRule="auto"/>
        <w:jc w:val="center"/>
        <w:rPr>
          <w:rFonts w:hint="eastAsia" w:ascii="宋体" w:hAnsi="宋体" w:eastAsia="宋体" w:cs="宋体"/>
          <w:b/>
          <w:bCs w:val="0"/>
          <w:sz w:val="72"/>
          <w:szCs w:val="72"/>
        </w:rPr>
      </w:pPr>
      <w:r>
        <w:rPr>
          <w:rFonts w:hint="eastAsia" w:ascii="宋体" w:hAnsi="宋体" w:eastAsia="宋体" w:cs="宋体"/>
          <w:b/>
          <w:bCs w:val="0"/>
          <w:sz w:val="72"/>
          <w:szCs w:val="72"/>
        </w:rPr>
        <w:t>招标文件</w:t>
      </w:r>
    </w:p>
    <w:p>
      <w:pPr>
        <w:jc w:val="center"/>
        <w:rPr>
          <w:rFonts w:hint="eastAsia" w:ascii="宋体" w:hAnsi="宋体" w:eastAsia="宋体" w:cs="宋体"/>
          <w:sz w:val="36"/>
          <w:szCs w:val="36"/>
        </w:rPr>
      </w:pPr>
      <w:bookmarkStart w:id="3" w:name="_Toc363463325"/>
    </w:p>
    <w:bookmarkEnd w:id="3"/>
    <w:p>
      <w:pPr>
        <w:jc w:val="center"/>
        <w:rPr>
          <w:rFonts w:hint="eastAsia" w:ascii="宋体" w:hAnsi="宋体" w:eastAsia="宋体" w:cs="宋体"/>
          <w:b/>
          <w:sz w:val="36"/>
          <w:szCs w:val="36"/>
        </w:rPr>
      </w:pPr>
    </w:p>
    <w:p>
      <w:pPr>
        <w:pStyle w:val="14"/>
        <w:rPr>
          <w:rFonts w:hint="eastAsia" w:ascii="宋体" w:hAnsi="宋体" w:eastAsia="宋体" w:cs="宋体"/>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rPr>
      </w:pPr>
    </w:p>
    <w:p>
      <w:pPr>
        <w:pStyle w:val="2"/>
        <w:rPr>
          <w:rFonts w:hint="eastAsia" w:ascii="宋体" w:hAnsi="宋体" w:eastAsia="宋体" w:cs="宋体"/>
          <w:sz w:val="36"/>
          <w:szCs w:val="36"/>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陕西嘉唐建设项目管理有限公司</w:t>
      </w:r>
    </w:p>
    <w:p>
      <w:pPr>
        <w:tabs>
          <w:tab w:val="left" w:pos="525"/>
        </w:tabs>
        <w:ind w:left="-2" w:leftChars="-1" w:firstLine="1"/>
        <w:jc w:val="center"/>
        <w:rPr>
          <w:rFonts w:hint="eastAsia" w:ascii="宋体" w:hAnsi="宋体" w:eastAsia="宋体" w:cs="宋体"/>
          <w:b/>
          <w:sz w:val="44"/>
          <w:szCs w:val="44"/>
        </w:rPr>
      </w:pPr>
      <w:r>
        <w:rPr>
          <w:rFonts w:hint="eastAsia" w:ascii="宋体" w:hAnsi="宋体" w:eastAsia="宋体" w:cs="宋体"/>
          <w:b/>
          <w:bCs/>
          <w:sz w:val="32"/>
          <w:szCs w:val="32"/>
          <w:lang w:eastAsia="zh-CN"/>
        </w:rPr>
        <w:t>二〇二三</w:t>
      </w:r>
      <w:r>
        <w:rPr>
          <w:rFonts w:hint="eastAsia" w:ascii="宋体" w:hAnsi="宋体" w:eastAsia="宋体" w:cs="宋体"/>
          <w:b/>
          <w:bCs/>
          <w:sz w:val="32"/>
          <w:szCs w:val="32"/>
        </w:rPr>
        <w:t>年</w:t>
      </w:r>
      <w:r>
        <w:rPr>
          <w:rFonts w:hint="eastAsia" w:ascii="宋体" w:hAnsi="宋体" w:cs="宋体"/>
          <w:b/>
          <w:bCs/>
          <w:sz w:val="32"/>
          <w:szCs w:val="32"/>
          <w:lang w:val="en-US" w:eastAsia="zh-CN"/>
        </w:rPr>
        <w:tab/>
      </w:r>
      <w:r>
        <w:rPr>
          <w:rFonts w:hint="eastAsia" w:ascii="宋体" w:hAnsi="宋体" w:cs="宋体"/>
          <w:b/>
          <w:bCs/>
          <w:sz w:val="32"/>
          <w:szCs w:val="32"/>
          <w:lang w:val="en-US" w:eastAsia="zh-CN"/>
        </w:rPr>
        <w:t>九</w:t>
      </w:r>
      <w:r>
        <w:rPr>
          <w:rFonts w:hint="eastAsia" w:ascii="宋体" w:hAnsi="宋体" w:eastAsia="宋体" w:cs="宋体"/>
          <w:b/>
          <w:bCs/>
          <w:sz w:val="32"/>
          <w:szCs w:val="32"/>
        </w:rPr>
        <w:t>月</w:t>
      </w:r>
    </w:p>
    <w:p>
      <w:pPr>
        <w:spacing w:line="480" w:lineRule="auto"/>
        <w:ind w:firstLine="1044" w:firstLineChars="200"/>
        <w:jc w:val="center"/>
        <w:rPr>
          <w:rFonts w:hint="eastAsia" w:ascii="宋体" w:hAnsi="宋体" w:eastAsia="宋体" w:cs="宋体"/>
          <w:b/>
          <w:sz w:val="52"/>
          <w:szCs w:val="52"/>
        </w:rPr>
        <w:sectPr>
          <w:headerReference r:id="rId4" w:type="first"/>
          <w:headerReference r:id="rId3" w:type="default"/>
          <w:footerReference r:id="rId5" w:type="default"/>
          <w:pgSz w:w="11906" w:h="16838"/>
          <w:pgMar w:top="1418" w:right="1418" w:bottom="1418" w:left="1701" w:header="851" w:footer="992" w:gutter="0"/>
          <w:pgNumType w:fmt="decimal"/>
          <w:cols w:space="720" w:num="1"/>
          <w:titlePg/>
          <w:docGrid w:type="lines" w:linePitch="312" w:charSpace="0"/>
        </w:sectPr>
      </w:pPr>
    </w:p>
    <w:p>
      <w:pPr>
        <w:spacing w:line="480" w:lineRule="auto"/>
        <w:jc w:val="center"/>
        <w:rPr>
          <w:rFonts w:hint="eastAsia" w:ascii="宋体" w:hAnsi="宋体" w:eastAsia="宋体" w:cs="宋体"/>
          <w:b/>
          <w:sz w:val="48"/>
          <w:szCs w:val="48"/>
        </w:rPr>
      </w:pPr>
      <w:r>
        <w:rPr>
          <w:rFonts w:hint="eastAsia" w:ascii="宋体" w:hAnsi="宋体" w:eastAsia="宋体" w:cs="宋体"/>
          <w:b/>
          <w:sz w:val="48"/>
          <w:szCs w:val="48"/>
        </w:rPr>
        <w:t>目   录</w:t>
      </w:r>
    </w:p>
    <w:p>
      <w:pPr>
        <w:pStyle w:val="31"/>
        <w:tabs>
          <w:tab w:val="right" w:leader="dot" w:pos="8787"/>
          <w:tab w:val="clear" w:pos="8820"/>
        </w:tabs>
        <w:spacing w:line="480" w:lineRule="auto"/>
        <w:rPr>
          <w:rFonts w:hint="eastAsia" w:ascii="宋体" w:hAnsi="宋体" w:eastAsia="宋体" w:cs="宋体"/>
          <w:b/>
          <w:bCs w:val="0"/>
          <w:sz w:val="24"/>
          <w:szCs w:val="32"/>
        </w:rPr>
      </w:pPr>
      <w:bookmarkStart w:id="4" w:name="_Toc389582033"/>
      <w:bookmarkStart w:id="5" w:name="_Toc5293"/>
      <w:bookmarkStart w:id="6" w:name="_Toc16218"/>
      <w:bookmarkStart w:id="7" w:name="_Toc21518"/>
      <w:bookmarkStart w:id="8" w:name="_Toc20652"/>
      <w:bookmarkStart w:id="9" w:name="_Toc20858"/>
      <w:bookmarkStart w:id="10" w:name="_Toc19886"/>
      <w:bookmarkStart w:id="11" w:name="_Toc27420"/>
      <w:bookmarkStart w:id="12" w:name="_Toc363473971"/>
      <w:bookmarkStart w:id="13" w:name="_Toc363474016"/>
      <w:bookmarkStart w:id="14" w:name="_Toc403077638"/>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TOC \o "1-1" \h \u </w:instrText>
      </w:r>
      <w:r>
        <w:rPr>
          <w:rFonts w:hint="eastAsia" w:ascii="宋体" w:hAnsi="宋体" w:eastAsia="宋体" w:cs="宋体"/>
          <w:b/>
          <w:bCs/>
          <w:sz w:val="30"/>
          <w:szCs w:val="30"/>
        </w:rPr>
        <w:fldChar w:fldCharType="separate"/>
      </w: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_Toc5192 </w:instrText>
      </w:r>
      <w:r>
        <w:rPr>
          <w:rFonts w:hint="eastAsia" w:ascii="宋体" w:hAnsi="宋体" w:eastAsia="宋体" w:cs="宋体"/>
          <w:b/>
          <w:bCs w:val="0"/>
          <w:sz w:val="24"/>
          <w:szCs w:val="36"/>
        </w:rPr>
        <w:fldChar w:fldCharType="separate"/>
      </w:r>
      <w:r>
        <w:rPr>
          <w:rFonts w:hint="eastAsia" w:ascii="宋体" w:hAnsi="宋体" w:eastAsia="宋体" w:cs="宋体"/>
          <w:b/>
          <w:bCs w:val="0"/>
          <w:sz w:val="24"/>
          <w:szCs w:val="44"/>
        </w:rPr>
        <w:t>第一章  招标公告</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_Toc5192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1</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pStyle w:val="31"/>
        <w:tabs>
          <w:tab w:val="right" w:leader="dot" w:pos="8787"/>
          <w:tab w:val="clear" w:pos="8820"/>
        </w:tabs>
        <w:spacing w:line="480" w:lineRule="auto"/>
        <w:rPr>
          <w:rFonts w:hint="eastAsia" w:ascii="宋体" w:hAnsi="宋体" w:eastAsia="宋体" w:cs="宋体"/>
          <w:b/>
          <w:bCs w:val="0"/>
          <w:sz w:val="24"/>
          <w:szCs w:val="32"/>
        </w:rPr>
      </w:pP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_Toc15482 </w:instrText>
      </w:r>
      <w:r>
        <w:rPr>
          <w:rFonts w:hint="eastAsia" w:ascii="宋体" w:hAnsi="宋体" w:eastAsia="宋体" w:cs="宋体"/>
          <w:b/>
          <w:bCs w:val="0"/>
          <w:sz w:val="24"/>
          <w:szCs w:val="36"/>
        </w:rPr>
        <w:fldChar w:fldCharType="separate"/>
      </w:r>
      <w:r>
        <w:rPr>
          <w:rFonts w:hint="eastAsia" w:ascii="宋体" w:hAnsi="宋体" w:eastAsia="宋体" w:cs="宋体"/>
          <w:b/>
          <w:bCs w:val="0"/>
          <w:sz w:val="24"/>
          <w:szCs w:val="44"/>
        </w:rPr>
        <w:t>第二章  投标人须知</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_Toc15482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6</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pStyle w:val="31"/>
        <w:tabs>
          <w:tab w:val="right" w:leader="dot" w:pos="8787"/>
          <w:tab w:val="clear" w:pos="8820"/>
        </w:tabs>
        <w:spacing w:line="480" w:lineRule="auto"/>
        <w:rPr>
          <w:rFonts w:hint="eastAsia" w:ascii="宋体" w:hAnsi="宋体" w:eastAsia="宋体" w:cs="宋体"/>
          <w:b/>
          <w:bCs w:val="0"/>
          <w:sz w:val="24"/>
          <w:szCs w:val="32"/>
        </w:rPr>
      </w:pP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_Toc28447 </w:instrText>
      </w:r>
      <w:r>
        <w:rPr>
          <w:rFonts w:hint="eastAsia" w:ascii="宋体" w:hAnsi="宋体" w:eastAsia="宋体" w:cs="宋体"/>
          <w:b/>
          <w:bCs w:val="0"/>
          <w:sz w:val="24"/>
          <w:szCs w:val="36"/>
        </w:rPr>
        <w:fldChar w:fldCharType="separate"/>
      </w:r>
      <w:r>
        <w:rPr>
          <w:rFonts w:hint="eastAsia" w:ascii="宋体" w:hAnsi="宋体" w:eastAsia="宋体" w:cs="宋体"/>
          <w:b/>
          <w:bCs w:val="0"/>
          <w:sz w:val="24"/>
          <w:szCs w:val="44"/>
        </w:rPr>
        <w:t>第三</w:t>
      </w:r>
      <w:r>
        <w:rPr>
          <w:rFonts w:hint="eastAsia" w:ascii="宋体" w:hAnsi="宋体" w:eastAsia="宋体" w:cs="宋体"/>
          <w:b/>
          <w:bCs w:val="0"/>
          <w:sz w:val="24"/>
          <w:szCs w:val="44"/>
          <w:lang w:val="en-US" w:eastAsia="zh-CN"/>
        </w:rPr>
        <w:t>章</w:t>
      </w:r>
      <w:r>
        <w:rPr>
          <w:rFonts w:hint="eastAsia" w:ascii="宋体" w:hAnsi="宋体" w:eastAsia="宋体" w:cs="宋体"/>
          <w:b/>
          <w:bCs w:val="0"/>
          <w:sz w:val="24"/>
          <w:szCs w:val="44"/>
        </w:rPr>
        <w:t xml:space="preserve"> </w:t>
      </w:r>
      <w:r>
        <w:rPr>
          <w:rFonts w:hint="eastAsia" w:ascii="宋体" w:hAnsi="宋体" w:eastAsia="宋体" w:cs="宋体"/>
          <w:b/>
          <w:bCs w:val="0"/>
          <w:sz w:val="24"/>
          <w:szCs w:val="44"/>
          <w:lang w:val="en-US" w:eastAsia="zh-CN"/>
        </w:rPr>
        <w:t xml:space="preserve"> </w:t>
      </w:r>
      <w:r>
        <w:rPr>
          <w:rFonts w:hint="eastAsia" w:ascii="宋体" w:hAnsi="宋体" w:eastAsia="宋体" w:cs="宋体"/>
          <w:b/>
          <w:bCs w:val="0"/>
          <w:sz w:val="24"/>
          <w:szCs w:val="44"/>
        </w:rPr>
        <w:t>评标办法</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_Toc28447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31</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pStyle w:val="31"/>
        <w:tabs>
          <w:tab w:val="right" w:leader="dot" w:pos="8787"/>
          <w:tab w:val="clear" w:pos="8820"/>
        </w:tabs>
        <w:spacing w:line="480" w:lineRule="auto"/>
        <w:rPr>
          <w:rFonts w:hint="eastAsia" w:ascii="宋体" w:hAnsi="宋体" w:eastAsia="宋体" w:cs="宋体"/>
          <w:b/>
          <w:bCs w:val="0"/>
          <w:sz w:val="24"/>
          <w:szCs w:val="32"/>
        </w:rPr>
      </w:pP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_Toc31151 </w:instrText>
      </w:r>
      <w:r>
        <w:rPr>
          <w:rFonts w:hint="eastAsia" w:ascii="宋体" w:hAnsi="宋体" w:eastAsia="宋体" w:cs="宋体"/>
          <w:b/>
          <w:bCs w:val="0"/>
          <w:sz w:val="24"/>
          <w:szCs w:val="36"/>
        </w:rPr>
        <w:fldChar w:fldCharType="separate"/>
      </w:r>
      <w:r>
        <w:rPr>
          <w:rFonts w:hint="eastAsia" w:ascii="宋体" w:hAnsi="宋体" w:eastAsia="宋体" w:cs="宋体"/>
          <w:b/>
          <w:bCs w:val="0"/>
          <w:kern w:val="2"/>
          <w:sz w:val="24"/>
          <w:szCs w:val="32"/>
          <w:lang w:val="en-US" w:eastAsia="zh-CN" w:bidi="ar-SA"/>
        </w:rPr>
        <w:t xml:space="preserve">第四章  </w:t>
      </w:r>
      <w:r>
        <w:rPr>
          <w:rFonts w:hint="eastAsia" w:ascii="宋体" w:hAnsi="宋体" w:eastAsia="宋体" w:cs="宋体"/>
          <w:b/>
          <w:bCs w:val="0"/>
          <w:sz w:val="24"/>
          <w:szCs w:val="32"/>
        </w:rPr>
        <w:t>合同条款及格式</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_Toc31151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40</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pStyle w:val="31"/>
        <w:tabs>
          <w:tab w:val="right" w:leader="dot" w:pos="8787"/>
          <w:tab w:val="clear" w:pos="8820"/>
        </w:tabs>
        <w:spacing w:line="480" w:lineRule="auto"/>
        <w:rPr>
          <w:rFonts w:hint="eastAsia" w:ascii="宋体" w:hAnsi="宋体" w:eastAsia="宋体" w:cs="宋体"/>
          <w:b/>
          <w:bCs w:val="0"/>
          <w:sz w:val="24"/>
          <w:szCs w:val="32"/>
        </w:rPr>
      </w:pP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_Toc17910 </w:instrText>
      </w:r>
      <w:r>
        <w:rPr>
          <w:rFonts w:hint="eastAsia" w:ascii="宋体" w:hAnsi="宋体" w:eastAsia="宋体" w:cs="宋体"/>
          <w:b/>
          <w:bCs w:val="0"/>
          <w:sz w:val="24"/>
          <w:szCs w:val="36"/>
        </w:rPr>
        <w:fldChar w:fldCharType="separate"/>
      </w:r>
      <w:r>
        <w:rPr>
          <w:rFonts w:hint="eastAsia" w:ascii="宋体" w:hAnsi="宋体" w:eastAsia="宋体" w:cs="宋体"/>
          <w:b/>
          <w:bCs w:val="0"/>
          <w:sz w:val="24"/>
          <w:szCs w:val="44"/>
          <w:highlight w:val="none"/>
          <w:lang w:val="en-US" w:eastAsia="zh-CN"/>
        </w:rPr>
        <w:t xml:space="preserve">第五章  </w:t>
      </w:r>
      <w:r>
        <w:rPr>
          <w:rFonts w:hint="eastAsia" w:ascii="宋体" w:hAnsi="宋体" w:eastAsia="宋体" w:cs="宋体"/>
          <w:b/>
          <w:bCs w:val="0"/>
          <w:sz w:val="24"/>
          <w:szCs w:val="44"/>
          <w:highlight w:val="none"/>
        </w:rPr>
        <w:t>工程建设标准</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_Toc17910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58</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pStyle w:val="31"/>
        <w:tabs>
          <w:tab w:val="right" w:leader="dot" w:pos="8787"/>
          <w:tab w:val="clear" w:pos="8820"/>
        </w:tabs>
        <w:spacing w:line="480" w:lineRule="auto"/>
        <w:rPr>
          <w:rFonts w:hint="eastAsia" w:ascii="宋体" w:hAnsi="宋体" w:eastAsia="宋体" w:cs="宋体"/>
          <w:b/>
          <w:bCs w:val="0"/>
          <w:sz w:val="24"/>
          <w:szCs w:val="32"/>
        </w:rPr>
      </w:pP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_Toc25326 </w:instrText>
      </w:r>
      <w:r>
        <w:rPr>
          <w:rFonts w:hint="eastAsia" w:ascii="宋体" w:hAnsi="宋体" w:eastAsia="宋体" w:cs="宋体"/>
          <w:b/>
          <w:bCs w:val="0"/>
          <w:sz w:val="24"/>
          <w:szCs w:val="36"/>
        </w:rPr>
        <w:fldChar w:fldCharType="separate"/>
      </w:r>
      <w:r>
        <w:rPr>
          <w:rFonts w:hint="eastAsia" w:ascii="宋体" w:hAnsi="宋体" w:eastAsia="宋体" w:cs="宋体"/>
          <w:b/>
          <w:bCs w:val="0"/>
          <w:sz w:val="24"/>
          <w:szCs w:val="40"/>
        </w:rPr>
        <w:t>第</w:t>
      </w:r>
      <w:r>
        <w:rPr>
          <w:rFonts w:hint="eastAsia" w:ascii="宋体" w:hAnsi="宋体" w:eastAsia="宋体" w:cs="宋体"/>
          <w:b/>
          <w:bCs w:val="0"/>
          <w:sz w:val="24"/>
          <w:szCs w:val="40"/>
          <w:lang w:eastAsia="zh-CN"/>
        </w:rPr>
        <w:t>六章</w:t>
      </w:r>
      <w:r>
        <w:rPr>
          <w:rFonts w:hint="eastAsia" w:ascii="宋体" w:hAnsi="宋体" w:eastAsia="宋体" w:cs="宋体"/>
          <w:b/>
          <w:bCs w:val="0"/>
          <w:sz w:val="24"/>
          <w:szCs w:val="40"/>
        </w:rPr>
        <w:t xml:space="preserve">  </w:t>
      </w:r>
      <w:r>
        <w:rPr>
          <w:rFonts w:hint="eastAsia" w:ascii="宋体" w:hAnsi="宋体" w:eastAsia="宋体" w:cs="宋体"/>
          <w:b/>
          <w:bCs w:val="0"/>
          <w:sz w:val="24"/>
          <w:szCs w:val="40"/>
          <w:lang w:val="en-US" w:eastAsia="zh-CN"/>
        </w:rPr>
        <w:t>工程量清单及编制说明</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_Toc25326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59</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pStyle w:val="31"/>
        <w:tabs>
          <w:tab w:val="right" w:leader="dot" w:pos="8787"/>
          <w:tab w:val="clear" w:pos="8820"/>
        </w:tabs>
        <w:spacing w:line="480" w:lineRule="auto"/>
        <w:rPr>
          <w:rFonts w:hint="eastAsia" w:ascii="宋体" w:hAnsi="宋体" w:eastAsia="宋体" w:cs="宋体"/>
        </w:rPr>
      </w:pPr>
      <w:r>
        <w:rPr>
          <w:rFonts w:hint="eastAsia" w:ascii="宋体" w:hAnsi="宋体" w:eastAsia="宋体" w:cs="宋体"/>
          <w:b/>
          <w:bCs w:val="0"/>
          <w:sz w:val="24"/>
          <w:szCs w:val="36"/>
        </w:rPr>
        <w:fldChar w:fldCharType="begin"/>
      </w:r>
      <w:r>
        <w:rPr>
          <w:rFonts w:hint="eastAsia" w:ascii="宋体" w:hAnsi="宋体" w:eastAsia="宋体" w:cs="宋体"/>
          <w:b/>
          <w:bCs w:val="0"/>
          <w:sz w:val="24"/>
          <w:szCs w:val="36"/>
        </w:rPr>
        <w:instrText xml:space="preserve"> HYPERLINK \l _Toc30090 </w:instrText>
      </w:r>
      <w:r>
        <w:rPr>
          <w:rFonts w:hint="eastAsia" w:ascii="宋体" w:hAnsi="宋体" w:eastAsia="宋体" w:cs="宋体"/>
          <w:b/>
          <w:bCs w:val="0"/>
          <w:sz w:val="24"/>
          <w:szCs w:val="36"/>
        </w:rPr>
        <w:fldChar w:fldCharType="separate"/>
      </w:r>
      <w:r>
        <w:rPr>
          <w:rFonts w:hint="eastAsia" w:ascii="宋体" w:hAnsi="宋体" w:eastAsia="宋体" w:cs="宋体"/>
          <w:b/>
          <w:bCs w:val="0"/>
          <w:sz w:val="24"/>
          <w:szCs w:val="32"/>
        </w:rPr>
        <w:t>第</w:t>
      </w:r>
      <w:r>
        <w:rPr>
          <w:rFonts w:hint="eastAsia" w:ascii="宋体" w:hAnsi="宋体" w:eastAsia="宋体" w:cs="宋体"/>
          <w:b/>
          <w:bCs w:val="0"/>
          <w:sz w:val="24"/>
          <w:szCs w:val="32"/>
          <w:lang w:eastAsia="zh-CN"/>
        </w:rPr>
        <w:t>七章</w:t>
      </w:r>
      <w:r>
        <w:rPr>
          <w:rFonts w:hint="eastAsia" w:ascii="宋体" w:hAnsi="宋体" w:eastAsia="宋体" w:cs="宋体"/>
          <w:b/>
          <w:bCs w:val="0"/>
          <w:sz w:val="24"/>
          <w:szCs w:val="32"/>
        </w:rPr>
        <w:t xml:space="preserve">  投标文件格式</w:t>
      </w:r>
      <w:r>
        <w:rPr>
          <w:rFonts w:hint="eastAsia" w:ascii="宋体" w:hAnsi="宋体" w:eastAsia="宋体" w:cs="宋体"/>
          <w:b/>
          <w:bCs w:val="0"/>
          <w:sz w:val="24"/>
          <w:szCs w:val="32"/>
        </w:rPr>
        <w:tab/>
      </w:r>
      <w:r>
        <w:rPr>
          <w:rFonts w:hint="eastAsia" w:ascii="宋体" w:hAnsi="宋体" w:eastAsia="宋体" w:cs="宋体"/>
          <w:b/>
          <w:bCs w:val="0"/>
          <w:sz w:val="24"/>
          <w:szCs w:val="32"/>
        </w:rPr>
        <w:fldChar w:fldCharType="begin"/>
      </w:r>
      <w:r>
        <w:rPr>
          <w:rFonts w:hint="eastAsia" w:ascii="宋体" w:hAnsi="宋体" w:eastAsia="宋体" w:cs="宋体"/>
          <w:b/>
          <w:bCs w:val="0"/>
          <w:sz w:val="24"/>
          <w:szCs w:val="32"/>
        </w:rPr>
        <w:instrText xml:space="preserve"> PAGEREF _Toc30090 \h </w:instrText>
      </w:r>
      <w:r>
        <w:rPr>
          <w:rFonts w:hint="eastAsia" w:ascii="宋体" w:hAnsi="宋体" w:eastAsia="宋体" w:cs="宋体"/>
          <w:b/>
          <w:bCs w:val="0"/>
          <w:sz w:val="24"/>
          <w:szCs w:val="32"/>
        </w:rPr>
        <w:fldChar w:fldCharType="separate"/>
      </w:r>
      <w:r>
        <w:rPr>
          <w:rFonts w:hint="eastAsia" w:ascii="宋体" w:hAnsi="宋体" w:eastAsia="宋体" w:cs="宋体"/>
          <w:b/>
          <w:bCs w:val="0"/>
          <w:sz w:val="24"/>
          <w:szCs w:val="32"/>
        </w:rPr>
        <w:t>61</w:t>
      </w:r>
      <w:r>
        <w:rPr>
          <w:rFonts w:hint="eastAsia" w:ascii="宋体" w:hAnsi="宋体" w:eastAsia="宋体" w:cs="宋体"/>
          <w:b/>
          <w:bCs w:val="0"/>
          <w:sz w:val="24"/>
          <w:szCs w:val="32"/>
        </w:rPr>
        <w:fldChar w:fldCharType="end"/>
      </w:r>
      <w:r>
        <w:rPr>
          <w:rFonts w:hint="eastAsia" w:ascii="宋体" w:hAnsi="宋体" w:eastAsia="宋体" w:cs="宋体"/>
          <w:b/>
          <w:bCs w:val="0"/>
          <w:sz w:val="24"/>
          <w:szCs w:val="36"/>
        </w:rPr>
        <w:fldChar w:fldCharType="end"/>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rPr>
      </w:pPr>
      <w:r>
        <w:rPr>
          <w:rFonts w:hint="eastAsia" w:ascii="宋体" w:hAnsi="宋体" w:eastAsia="宋体" w:cs="宋体"/>
          <w:bCs/>
          <w:szCs w:val="30"/>
        </w:rPr>
        <w:fldChar w:fldCharType="end"/>
      </w:r>
    </w:p>
    <w:p>
      <w:pPr>
        <w:spacing w:line="720" w:lineRule="auto"/>
        <w:rPr>
          <w:rFonts w:hint="eastAsia" w:ascii="宋体" w:hAnsi="宋体" w:eastAsia="宋体" w:cs="宋体"/>
          <w:sz w:val="36"/>
          <w:szCs w:val="36"/>
        </w:rPr>
      </w:pPr>
      <w:r>
        <w:rPr>
          <w:rFonts w:hint="eastAsia" w:ascii="宋体" w:hAnsi="宋体" w:eastAsia="宋体" w:cs="宋体"/>
          <w:sz w:val="36"/>
          <w:szCs w:val="36"/>
        </w:rPr>
        <w:t xml:space="preserve"> </w:t>
      </w:r>
    </w:p>
    <w:p>
      <w:pPr>
        <w:pStyle w:val="31"/>
        <w:tabs>
          <w:tab w:val="center" w:pos="4393"/>
          <w:tab w:val="clear" w:pos="8820"/>
        </w:tabs>
        <w:spacing w:line="720" w:lineRule="auto"/>
        <w:rPr>
          <w:rFonts w:hint="eastAsia" w:ascii="宋体" w:hAnsi="宋体" w:eastAsia="宋体" w:cs="宋体"/>
          <w:bCs/>
          <w:sz w:val="40"/>
          <w:szCs w:val="36"/>
        </w:rPr>
      </w:pPr>
      <w:r>
        <w:rPr>
          <w:rFonts w:hint="eastAsia" w:ascii="宋体" w:hAnsi="宋体" w:eastAsia="宋体" w:cs="宋体"/>
          <w:sz w:val="32"/>
          <w:szCs w:val="28"/>
        </w:rPr>
        <w:tab/>
      </w:r>
    </w:p>
    <w:p>
      <w:pPr>
        <w:rPr>
          <w:rFonts w:hint="eastAsia" w:ascii="宋体" w:hAnsi="宋体" w:eastAsia="宋体" w:cs="宋体"/>
          <w:bCs/>
          <w:sz w:val="36"/>
          <w:szCs w:val="36"/>
        </w:rPr>
      </w:pPr>
    </w:p>
    <w:p>
      <w:pPr>
        <w:rPr>
          <w:rFonts w:hint="eastAsia" w:ascii="宋体" w:hAnsi="宋体" w:eastAsia="宋体" w:cs="宋体"/>
          <w:bCs/>
          <w:sz w:val="36"/>
          <w:szCs w:val="36"/>
        </w:rPr>
      </w:pPr>
    </w:p>
    <w:p>
      <w:pPr>
        <w:rPr>
          <w:rFonts w:hint="eastAsia" w:ascii="宋体" w:hAnsi="宋体" w:eastAsia="宋体" w:cs="宋体"/>
          <w:bCs/>
          <w:sz w:val="36"/>
          <w:szCs w:val="36"/>
        </w:rPr>
      </w:pPr>
    </w:p>
    <w:p>
      <w:pPr>
        <w:tabs>
          <w:tab w:val="left" w:pos="1471"/>
        </w:tabs>
        <w:jc w:val="left"/>
        <w:rPr>
          <w:rFonts w:hint="eastAsia" w:ascii="宋体" w:hAnsi="宋体" w:eastAsia="宋体" w:cs="宋体"/>
        </w:rPr>
        <w:sectPr>
          <w:footerReference r:id="rId7" w:type="first"/>
          <w:footerReference r:id="rId6" w:type="default"/>
          <w:pgSz w:w="11906" w:h="16838"/>
          <w:pgMar w:top="1418" w:right="1418" w:bottom="1418" w:left="1701" w:header="851" w:footer="992" w:gutter="0"/>
          <w:pgNumType w:fmt="decimal" w:start="1"/>
          <w:cols w:space="720" w:num="1"/>
          <w:docGrid w:type="lines" w:linePitch="312" w:charSpace="0"/>
        </w:sectPr>
      </w:pPr>
      <w:r>
        <w:rPr>
          <w:rFonts w:hint="eastAsia" w:ascii="宋体" w:hAnsi="宋体" w:eastAsia="宋体" w:cs="宋体"/>
          <w:bCs/>
          <w:sz w:val="36"/>
          <w:szCs w:val="36"/>
        </w:rPr>
        <w:tab/>
      </w:r>
    </w:p>
    <w:p>
      <w:pPr>
        <w:pStyle w:val="4"/>
        <w:keepNext w:val="0"/>
        <w:keepLines/>
        <w:pageBreakBefore/>
        <w:spacing w:line="360" w:lineRule="auto"/>
        <w:jc w:val="center"/>
        <w:rPr>
          <w:rFonts w:hint="eastAsia" w:ascii="宋体" w:hAnsi="宋体" w:eastAsia="宋体" w:cs="宋体"/>
          <w:bCs/>
          <w:sz w:val="36"/>
          <w:szCs w:val="36"/>
        </w:rPr>
      </w:pPr>
      <w:bookmarkStart w:id="15" w:name="_Toc21031"/>
      <w:bookmarkStart w:id="16" w:name="_Toc5192"/>
      <w:bookmarkStart w:id="17" w:name="_Toc27924"/>
      <w:bookmarkStart w:id="18" w:name="_Toc32519"/>
      <w:r>
        <w:rPr>
          <w:rFonts w:hint="eastAsia" w:ascii="宋体" w:hAnsi="宋体" w:eastAsia="宋体" w:cs="宋体"/>
          <w:bCs/>
          <w:sz w:val="36"/>
          <w:szCs w:val="36"/>
        </w:rPr>
        <w:t xml:space="preserve">第一章  </w:t>
      </w:r>
      <w:bookmarkEnd w:id="4"/>
      <w:bookmarkEnd w:id="5"/>
      <w:bookmarkEnd w:id="6"/>
      <w:bookmarkEnd w:id="7"/>
      <w:bookmarkEnd w:id="8"/>
      <w:bookmarkEnd w:id="9"/>
      <w:bookmarkEnd w:id="10"/>
      <w:r>
        <w:rPr>
          <w:rFonts w:hint="eastAsia" w:ascii="宋体" w:hAnsi="宋体" w:eastAsia="宋体" w:cs="宋体"/>
          <w:bCs/>
          <w:sz w:val="36"/>
          <w:szCs w:val="36"/>
        </w:rPr>
        <w:t>招标公告</w:t>
      </w:r>
      <w:bookmarkEnd w:id="11"/>
      <w:bookmarkEnd w:id="15"/>
      <w:bookmarkEnd w:id="16"/>
      <w:bookmarkEnd w:id="17"/>
      <w:bookmarkEnd w:id="18"/>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 w:name="_Toc389582035"/>
            <w:bookmarkStart w:id="20" w:name="_Toc2929"/>
            <w:bookmarkStart w:id="21" w:name="_Toc29249"/>
            <w:r>
              <w:rPr>
                <w:rFonts w:hint="eastAsia" w:ascii="宋体" w:hAnsi="宋体" w:eastAsia="宋体" w:cs="宋体"/>
                <w:sz w:val="24"/>
                <w:szCs w:val="24"/>
              </w:rPr>
              <w:t>项目概况</w:t>
            </w:r>
          </w:p>
          <w:p>
            <w:pPr>
              <w:pStyle w:val="2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西安市未央区教育局学校安全保障项目招标项目的潜在投标人应在全国公共资源交易平台（陕西省·西安市）网站〖首页〉电子交易平台〉陕西政府采购交易系统〉企业端〗获取招标文件，并于2023年</w:t>
            </w:r>
            <w:r>
              <w:rPr>
                <w:rFonts w:hint="eastAsia" w:hAnsi="宋体" w:cs="宋体"/>
                <w:sz w:val="24"/>
                <w:szCs w:val="24"/>
                <w:lang w:val="en-US" w:eastAsia="zh-CN"/>
              </w:rPr>
              <w:t>10</w:t>
            </w:r>
            <w:r>
              <w:rPr>
                <w:rFonts w:hint="eastAsia" w:ascii="宋体" w:hAnsi="宋体" w:eastAsia="宋体" w:cs="宋体"/>
                <w:sz w:val="24"/>
                <w:szCs w:val="24"/>
                <w:lang w:eastAsia="zh-CN"/>
              </w:rPr>
              <w:t>月</w:t>
            </w:r>
            <w:r>
              <w:rPr>
                <w:rFonts w:hint="eastAsia" w:hAnsi="宋体" w:cs="宋体"/>
                <w:sz w:val="24"/>
                <w:szCs w:val="24"/>
                <w:lang w:val="en-US" w:eastAsia="zh-CN"/>
              </w:rPr>
              <w:t>09</w:t>
            </w:r>
            <w:r>
              <w:rPr>
                <w:rFonts w:hint="eastAsia" w:ascii="宋体" w:hAnsi="宋体" w:eastAsia="宋体" w:cs="宋体"/>
                <w:sz w:val="24"/>
                <w:szCs w:val="24"/>
                <w:lang w:eastAsia="zh-CN"/>
              </w:rPr>
              <w:t>日</w:t>
            </w:r>
            <w:r>
              <w:rPr>
                <w:rFonts w:hint="eastAsia" w:hAnsi="宋体" w:cs="宋体"/>
                <w:sz w:val="24"/>
                <w:szCs w:val="24"/>
                <w:lang w:val="en-US" w:eastAsia="zh-CN"/>
              </w:rPr>
              <w:t>09</w:t>
            </w:r>
            <w:r>
              <w:rPr>
                <w:rFonts w:hint="eastAsia" w:ascii="宋体" w:hAnsi="宋体" w:eastAsia="宋体" w:cs="宋体"/>
                <w:sz w:val="24"/>
                <w:szCs w:val="24"/>
                <w:lang w:eastAsia="zh-CN"/>
              </w:rPr>
              <w:t>时00分 （北京时间）前递交投标文件。</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SXJTZB-ZC-GK2023</w:t>
      </w:r>
      <w:r>
        <w:rPr>
          <w:rFonts w:hint="eastAsia" w:ascii="宋体" w:hAnsi="宋体" w:cs="宋体"/>
          <w:sz w:val="24"/>
          <w:szCs w:val="24"/>
          <w:lang w:val="en-US" w:eastAsia="zh-CN"/>
        </w:rPr>
        <w:t>0910</w:t>
      </w:r>
      <w:r>
        <w:rPr>
          <w:rFonts w:hint="eastAsia" w:ascii="宋体" w:hAnsi="宋体" w:cs="宋体"/>
          <w:sz w:val="24"/>
          <w:szCs w:val="24"/>
          <w:lang w:eastAsia="zh-CN"/>
        </w:rPr>
        <w:t>（XAGC-2023-000196-4）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西安市未央区教育局学校安全保障项目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4467563.02</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合同包1(学校安全保障项目):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3236246.77</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3236246.77</w:t>
      </w:r>
      <w:r>
        <w:rPr>
          <w:rFonts w:hint="eastAsia" w:ascii="宋体" w:hAnsi="宋体" w:eastAsia="宋体" w:cs="宋体"/>
          <w:sz w:val="24"/>
          <w:szCs w:val="24"/>
        </w:rPr>
        <w:t>元</w:t>
      </w:r>
    </w:p>
    <w:tbl>
      <w:tblPr>
        <w:tblStyle w:val="43"/>
        <w:tblW w:w="5198" w:type="pct"/>
        <w:tblInd w:w="-3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13"/>
        <w:gridCol w:w="915"/>
        <w:gridCol w:w="1564"/>
        <w:gridCol w:w="1176"/>
        <w:gridCol w:w="1275"/>
        <w:gridCol w:w="1809"/>
        <w:gridCol w:w="18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4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8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6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66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4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其他建筑物、构筑物修缮</w:t>
            </w:r>
          </w:p>
        </w:tc>
        <w:tc>
          <w:tcPr>
            <w:tcW w:w="8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学校安全保障项目</w:t>
            </w:r>
          </w:p>
        </w:tc>
        <w:tc>
          <w:tcPr>
            <w:tcW w:w="6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66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3236246.77</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3236246.77</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自合同签订之日起</w:t>
      </w:r>
      <w:r>
        <w:rPr>
          <w:rFonts w:hint="eastAsia" w:ascii="宋体" w:hAnsi="宋体" w:eastAsia="宋体" w:cs="宋体"/>
          <w:sz w:val="24"/>
          <w:szCs w:val="24"/>
          <w:highlight w:val="none"/>
          <w:lang w:val="en-US" w:eastAsia="zh-CN"/>
        </w:rPr>
        <w:t>40日历天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兴丰路小学操场改造项目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合同包预算金额：1231316.25元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cs="宋体"/>
          <w:sz w:val="24"/>
          <w:szCs w:val="24"/>
          <w:lang w:val="en-US" w:eastAsia="zh-CN"/>
        </w:rPr>
        <w:t>1231316.25</w:t>
      </w:r>
      <w:r>
        <w:rPr>
          <w:rFonts w:hint="eastAsia" w:ascii="宋体" w:hAnsi="宋体" w:eastAsia="宋体" w:cs="宋体"/>
          <w:sz w:val="24"/>
          <w:szCs w:val="24"/>
        </w:rPr>
        <w:t>元</w:t>
      </w:r>
    </w:p>
    <w:tbl>
      <w:tblPr>
        <w:tblStyle w:val="43"/>
        <w:tblW w:w="5198" w:type="pct"/>
        <w:tblInd w:w="-3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13"/>
        <w:gridCol w:w="915"/>
        <w:gridCol w:w="1564"/>
        <w:gridCol w:w="1176"/>
        <w:gridCol w:w="1275"/>
        <w:gridCol w:w="1809"/>
        <w:gridCol w:w="18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4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8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6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66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2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4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其他建筑物、构筑物修缮</w:t>
            </w:r>
          </w:p>
        </w:tc>
        <w:tc>
          <w:tcPr>
            <w:tcW w:w="8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兴丰路小学操场改造项目</w:t>
            </w:r>
          </w:p>
        </w:tc>
        <w:tc>
          <w:tcPr>
            <w:tcW w:w="6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66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1231316.25</w:t>
            </w:r>
          </w:p>
        </w:tc>
        <w:tc>
          <w:tcPr>
            <w:tcW w:w="9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1231316.25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pStyle w:val="3"/>
        <w:rPr>
          <w:rFonts w:hint="eastAsia" w:ascii="宋体" w:hAnsi="宋体" w:eastAsia="宋体" w:cs="宋体"/>
          <w:highlight w:val="none"/>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自合同签订之日起</w:t>
      </w:r>
      <w:r>
        <w:rPr>
          <w:rFonts w:hint="eastAsia" w:ascii="宋体" w:hAnsi="宋体" w:eastAsia="宋体" w:cs="宋体"/>
          <w:sz w:val="24"/>
          <w:szCs w:val="24"/>
          <w:highlight w:val="none"/>
          <w:lang w:val="en-US" w:eastAsia="zh-CN"/>
        </w:rPr>
        <w:t>40日历天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合同包1(学校安全保障项目)落实政府采购政策需满足的资格要求如下: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w:t>
      </w:r>
      <w:r>
        <w:rPr>
          <w:rFonts w:hint="eastAsia" w:ascii="宋体" w:hAnsi="宋体" w:eastAsia="宋体" w:cs="宋体"/>
          <w:sz w:val="24"/>
          <w:szCs w:val="24"/>
          <w:lang w:val="en-US" w:eastAsia="zh-CN"/>
        </w:rPr>
        <w:t>小微</w:t>
      </w:r>
      <w:r>
        <w:rPr>
          <w:rFonts w:hint="eastAsia" w:ascii="宋体" w:hAnsi="宋体" w:eastAsia="宋体" w:cs="宋体"/>
          <w:sz w:val="24"/>
          <w:szCs w:val="24"/>
        </w:rPr>
        <w:t>企业采购（残疾人福利性单位及监狱企业视同小型、微型企业）（提供声明函）。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2</w:t>
      </w:r>
      <w:r>
        <w:rPr>
          <w:rFonts w:hint="eastAsia" w:ascii="宋体" w:hAnsi="宋体" w:eastAsia="宋体" w:cs="宋体"/>
          <w:sz w:val="24"/>
          <w:szCs w:val="24"/>
        </w:rPr>
        <w:t>(兴丰路小学操场改造项目)落实政府采购政策需满足的资格要求如下: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本项目专门面向</w:t>
      </w:r>
      <w:r>
        <w:rPr>
          <w:rFonts w:hint="eastAsia" w:ascii="宋体" w:hAnsi="宋体" w:eastAsia="宋体" w:cs="宋体"/>
          <w:sz w:val="24"/>
          <w:szCs w:val="24"/>
          <w:lang w:val="en-US" w:eastAsia="zh-CN"/>
        </w:rPr>
        <w:t>小微</w:t>
      </w:r>
      <w:r>
        <w:rPr>
          <w:rFonts w:hint="eastAsia" w:ascii="宋体" w:hAnsi="宋体" w:eastAsia="宋体" w:cs="宋体"/>
          <w:sz w:val="24"/>
          <w:szCs w:val="24"/>
        </w:rPr>
        <w:t>企业采购（残疾人福利性单位及监狱企业视同小型、微型企业）（提供声明函）</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合同包1(学校安全保障项目)特定资格要求如下: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①具有建筑工程施工总承包三级及以上资质，并具备有效的安全生产许可证</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②拟派项目经理须具有建筑工程专业二级及以上注册建造师证书和有效的安全生产考核证书（B证）在本单位注册且无在建工程、无不良记录（提供无在建工程、无不良记录承诺书）；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③供应商及拟派项目经理基本信息应在“陕西省住房和城乡建设厅网站（http://js.shaanxi.gov.cn/）陕西省建筑市场监管与诚信信息发布平台”可查询；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④</w:t>
      </w:r>
      <w:r>
        <w:rPr>
          <w:rFonts w:hint="eastAsia" w:ascii="宋体" w:hAnsi="宋体" w:eastAsia="宋体" w:cs="宋体"/>
          <w:sz w:val="24"/>
          <w:szCs w:val="24"/>
          <w:highlight w:val="none"/>
        </w:rPr>
        <w:t>法定代表人参加投标的提供法定代表人身份证明及身份证，委托代理人参加投标的提供授权委托书及委托代理人身份证，备注：分支机构由分支机构负责人授权即可；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⑤本项目不接受联合体投标（提供声明材料）。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2</w:t>
      </w:r>
      <w:r>
        <w:rPr>
          <w:rFonts w:hint="eastAsia" w:ascii="宋体" w:hAnsi="宋体" w:eastAsia="宋体" w:cs="宋体"/>
          <w:sz w:val="24"/>
          <w:szCs w:val="24"/>
        </w:rPr>
        <w:t>(兴丰路小学操场改造项目)特定资格要求如下: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①具有建筑工程施工总承包三级及以上资质，并具备有效的安全生产许可证</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②拟派项目经理须具有建筑工程专业二级及以上注册建造师证书和有效的安全生产考核证书（B证）在本单位注册且无在建工程、无不良记录（提供无在建工程、无不良记录承诺书）；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③供应商及拟派项目经理基本信息应在“陕西省住房和城乡建设厅网站（http://js.shaanxi.gov.cn/）陕西省建筑市场监管与诚信信息发布平台”可查询；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highlight w:val="none"/>
          <w:lang w:eastAsia="zh-CN"/>
        </w:rPr>
        <w:t>④</w:t>
      </w:r>
      <w:r>
        <w:rPr>
          <w:rFonts w:hint="eastAsia" w:ascii="宋体" w:hAnsi="宋体" w:eastAsia="宋体" w:cs="宋体"/>
          <w:sz w:val="24"/>
          <w:szCs w:val="24"/>
          <w:highlight w:val="none"/>
        </w:rPr>
        <w:t>法定代表人参加投标的提供法定代表人身份证明及身份证，委托代理人参加投标的提供授权委托书及委托代理人身份证，备注：分支机构由分支机构负责人授权即可；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⑤</w:t>
      </w:r>
      <w:r>
        <w:rPr>
          <w:rFonts w:hint="eastAsia" w:ascii="宋体" w:hAnsi="宋体" w:eastAsia="宋体" w:cs="宋体"/>
          <w:sz w:val="24"/>
          <w:szCs w:val="24"/>
        </w:rPr>
        <w:t>本项目不接受联合体投标（提供声明材料）。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w:t>
      </w:r>
      <w:r>
        <w:rPr>
          <w:rFonts w:hint="eastAsia" w:ascii="宋体" w:hAnsi="宋体" w:cs="宋体"/>
          <w:sz w:val="24"/>
          <w:szCs w:val="24"/>
          <w:lang w:val="en-US" w:eastAsia="zh-CN"/>
        </w:rPr>
        <w:t>09</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日至2023年</w:t>
      </w:r>
      <w:r>
        <w:rPr>
          <w:rFonts w:hint="eastAsia" w:ascii="宋体" w:hAnsi="宋体" w:cs="宋体"/>
          <w:sz w:val="24"/>
          <w:szCs w:val="24"/>
          <w:lang w:val="en-US" w:eastAsia="zh-CN"/>
        </w:rPr>
        <w:t>09</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日，每天上午00:00:00至12:00:00，下午12:00:00至23:59:59（北京时间）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09</w:t>
      </w:r>
      <w:r>
        <w:rPr>
          <w:rFonts w:hint="eastAsia" w:ascii="宋体" w:hAnsi="宋体" w:eastAsia="宋体" w:cs="宋体"/>
          <w:sz w:val="24"/>
          <w:szCs w:val="24"/>
        </w:rPr>
        <w:t>日</w:t>
      </w:r>
      <w:r>
        <w:rPr>
          <w:rFonts w:hint="eastAsia" w:ascii="宋体" w:hAnsi="宋体" w:cs="宋体"/>
          <w:sz w:val="24"/>
          <w:szCs w:val="24"/>
          <w:lang w:val="en-US" w:eastAsia="zh-CN"/>
        </w:rPr>
        <w:t>09</w:t>
      </w:r>
      <w:r>
        <w:rPr>
          <w:rFonts w:hint="eastAsia" w:ascii="宋体" w:hAnsi="宋体" w:eastAsia="宋体" w:cs="宋体"/>
          <w:sz w:val="24"/>
          <w:szCs w:val="24"/>
        </w:rPr>
        <w:t>时00分00秒（北京时间）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提交投标文件地点：全国公共资源交易平台（陕西省·西安市）网站〖首页〉电子交易平台〉陕西政府采购交易系统〉企业端〗在线提交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开标地点：全国公共资源交易平台（陕西省·西安市）网站〖首页〉不见面开标大厅〉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Style w:val="37"/>
        <w:shd w:val="clear" w:color="auto" w:fill="FFFFFF"/>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1.操作流程：①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7"/>
        <w:shd w:val="clear" w:color="auto" w:fill="FFFFFF"/>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②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37"/>
        <w:shd w:val="clear" w:color="auto" w:fill="FFFFFF"/>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③请供应商务必及时下载项目招标文件并做好备份,否则会影响投标文件编制及后续投标活动。</w:t>
      </w:r>
    </w:p>
    <w:p>
      <w:pPr>
        <w:pStyle w:val="37"/>
        <w:shd w:val="clear" w:color="auto" w:fill="FFFFFF"/>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④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37"/>
        <w:shd w:val="clear" w:color="auto" w:fill="FFFFFF"/>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⑤因投标人自身设施故障或自身原因导致无法完成解密或投标的，由投标人自行承担后果。</w:t>
      </w:r>
    </w:p>
    <w:p>
      <w:pPr>
        <w:pStyle w:val="37"/>
        <w:numPr>
          <w:ilvl w:val="0"/>
          <w:numId w:val="0"/>
        </w:numPr>
        <w:shd w:val="clear" w:color="auto" w:fill="FFFFFF"/>
        <w:spacing w:before="0" w:beforeAutospacing="0" w:after="0" w:afterAutospacing="0" w:line="360" w:lineRule="auto"/>
        <w:ind w:firstLine="420" w:firstLineChars="0"/>
        <w:rPr>
          <w:rFonts w:hint="eastAsia" w:ascii="宋体" w:hAnsi="宋体" w:eastAsia="宋体" w:cs="宋体"/>
        </w:rPr>
      </w:pPr>
      <w:r>
        <w:rPr>
          <w:rFonts w:hint="eastAsia" w:ascii="宋体" w:hAnsi="宋体" w:eastAsia="宋体" w:cs="宋体"/>
          <w:kern w:val="0"/>
          <w:sz w:val="24"/>
          <w:szCs w:val="24"/>
          <w:lang w:val="en-US" w:eastAsia="zh-CN" w:bidi="ar-SA"/>
        </w:rPr>
        <w:t>2.</w:t>
      </w:r>
      <w:r>
        <w:rPr>
          <w:rFonts w:hint="eastAsia" w:ascii="宋体" w:hAnsi="宋体" w:eastAsia="宋体" w:cs="宋体"/>
        </w:rPr>
        <w:t>需要落实的政府采购政策：（1）《政府采购促进中小企业发展管理办法》（财库〔2020〕46号）；（2）《关于进一步加大政府采购支持中小企业力度的通知》（财库〔2022〕19号）；（3）《财政部司法部关于政府采购支持监狱企业发展有关问题的通知》（财库〔2014〕68号）；（4）《财政部民政部中国残疾人联合会关于促进残疾人就业政府采购政策的通知》（财库〔2017〕141号）；（5）《财政部国家发展改革委关于印发(节能产品政府采购实施意见)的通知》(财库〔2004〕185号)；（6）《国务院办公厅关于建立政府强制采购节能产品制度的通知》(国办发〔2007〕51号)；（7）《财政部环保总局关于环境标志产品政府采购实施的意见》(财库〔2006〕90号)；（8）《财政部发展改革委生态环境部市场监管总局关于调整优化节能产品、环境标志产品政府采购执行机制的通知》（财库〔2019〕9号）；（9）《关于印发环境标志产品政府采购品目清单的通知》（财库〔2019〕18号）；（10）《关于印发节能产品政府采购品目清单的通知》（财库〔2019〕19号）；（11）《财政部农业农村部国家乡村振兴局关于运用政府采购政策支持乡村产业振兴的通知》（财库〔2021〕19号）；（12）《陕西省财政厅关于印发陕西省中小企业政府采购信用融资办法》（陕财办采〔2018〕23号）；（13）《陕西省财政厅关于加快推进我省中小企业政府采购信用融资工作的通知》（陕财办采〔2020〕15号）。若享受以上政策优惠的企业，提供相应声明函或产品目录。如有最新颁发的政府采购政策，按最新的文件执行。</w:t>
      </w:r>
    </w:p>
    <w:p>
      <w:pPr>
        <w:pStyle w:val="37"/>
        <w:numPr>
          <w:ilvl w:val="0"/>
          <w:numId w:val="0"/>
        </w:numPr>
        <w:shd w:val="clear" w:color="auto" w:fill="FFFFFF"/>
        <w:spacing w:before="0" w:beforeAutospacing="0" w:after="0" w:afterAutospacing="0" w:line="360" w:lineRule="auto"/>
        <w:rPr>
          <w:rFonts w:hint="eastAsia" w:ascii="宋体" w:hAnsi="宋体" w:eastAsia="宋体" w:cs="宋体"/>
        </w:rPr>
      </w:pPr>
      <w:r>
        <w:rPr>
          <w:rFonts w:hint="eastAsia" w:cs="宋体"/>
          <w:lang w:val="en-US" w:eastAsia="zh-CN"/>
        </w:rPr>
        <w:t>3.</w:t>
      </w:r>
      <w:r>
        <w:rPr>
          <w:rFonts w:hint="eastAsia" w:ascii="宋体" w:hAnsi="宋体" w:eastAsia="宋体" w:cs="宋体"/>
        </w:rPr>
        <w:t>供应商须按照陕西省财政厅《关于政府采购供应商注册登记有关事项的通知》中的要求，通过陕西省政府采购网（http://www.ccgp-shaanxi.gov.cn/）注册登记加入陕西省政府采购供应商库。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名称：西安市未央区教育局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地址：陕西省西安市未央区汇文南路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联系方式：029-8623978</w:t>
      </w:r>
      <w:r>
        <w:rPr>
          <w:rFonts w:hint="eastAsia" w:ascii="宋体" w:hAnsi="宋体" w:cs="宋体"/>
          <w:sz w:val="24"/>
          <w:szCs w:val="24"/>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37"/>
        <w:spacing w:before="0" w:beforeAutospacing="0" w:after="0" w:afterAutospacing="0" w:line="510" w:lineRule="atLeast"/>
        <w:ind w:firstLine="420"/>
        <w:rPr>
          <w:rFonts w:hint="eastAsia" w:ascii="宋体" w:hAnsi="宋体" w:eastAsia="宋体" w:cs="宋体"/>
          <w:color w:val="000000"/>
        </w:rPr>
      </w:pPr>
      <w:r>
        <w:rPr>
          <w:rFonts w:hint="eastAsia" w:ascii="宋体" w:hAnsi="宋体" w:eastAsia="宋体" w:cs="宋体"/>
          <w:color w:val="000000"/>
        </w:rPr>
        <w:t xml:space="preserve">名称：陕西嘉唐建设项目管理有限公司 </w:t>
      </w:r>
    </w:p>
    <w:p>
      <w:pPr>
        <w:pStyle w:val="37"/>
        <w:spacing w:before="0" w:beforeAutospacing="0" w:after="0" w:afterAutospacing="0" w:line="510" w:lineRule="atLeast"/>
        <w:ind w:firstLine="420"/>
        <w:rPr>
          <w:rFonts w:hint="eastAsia" w:ascii="宋体" w:hAnsi="宋体" w:eastAsia="宋体" w:cs="宋体"/>
          <w:color w:val="000000"/>
        </w:rPr>
      </w:pPr>
      <w:r>
        <w:rPr>
          <w:rFonts w:hint="eastAsia" w:ascii="宋体" w:hAnsi="宋体" w:eastAsia="宋体" w:cs="宋体"/>
          <w:color w:val="000000"/>
        </w:rPr>
        <w:t>地址：西安市未央区凤城五路与明光路十字天朗经开中心10楼11002室</w:t>
      </w:r>
    </w:p>
    <w:p>
      <w:pPr>
        <w:pStyle w:val="37"/>
        <w:spacing w:before="0" w:beforeAutospacing="0" w:after="0" w:afterAutospacing="0" w:line="510" w:lineRule="atLeast"/>
        <w:ind w:firstLine="420"/>
        <w:rPr>
          <w:rFonts w:hint="eastAsia" w:ascii="宋体" w:hAnsi="宋体" w:eastAsia="宋体" w:cs="宋体"/>
          <w:color w:val="000000"/>
        </w:rPr>
      </w:pPr>
      <w:r>
        <w:rPr>
          <w:rFonts w:hint="eastAsia" w:ascii="宋体" w:hAnsi="宋体" w:eastAsia="宋体" w:cs="宋体"/>
          <w:color w:val="000000"/>
        </w:rPr>
        <w:t>联系方式：029-89351397</w:t>
      </w:r>
    </w:p>
    <w:p>
      <w:pPr>
        <w:pStyle w:val="37"/>
        <w:spacing w:before="0" w:beforeAutospacing="0" w:after="0" w:afterAutospacing="0" w:line="510" w:lineRule="atLeast"/>
        <w:ind w:firstLine="420"/>
        <w:rPr>
          <w:rFonts w:hint="eastAsia" w:ascii="宋体" w:hAnsi="宋体" w:eastAsia="宋体" w:cs="宋体"/>
          <w:color w:val="000000"/>
        </w:rPr>
      </w:pPr>
      <w:r>
        <w:rPr>
          <w:rFonts w:hint="eastAsia" w:ascii="宋体" w:hAnsi="宋体" w:eastAsia="宋体" w:cs="宋体"/>
          <w:color w:val="000000"/>
        </w:rPr>
        <w:t>3.项目联系方式</w:t>
      </w:r>
    </w:p>
    <w:p>
      <w:pPr>
        <w:pStyle w:val="37"/>
        <w:spacing w:before="0" w:beforeAutospacing="0" w:after="0" w:afterAutospacing="0" w:line="510" w:lineRule="atLeast"/>
        <w:ind w:firstLine="420"/>
        <w:rPr>
          <w:rFonts w:hint="eastAsia" w:ascii="宋体" w:hAnsi="宋体" w:eastAsia="宋体" w:cs="宋体"/>
          <w:color w:val="000000"/>
        </w:rPr>
      </w:pPr>
      <w:r>
        <w:rPr>
          <w:rFonts w:hint="eastAsia" w:ascii="宋体" w:hAnsi="宋体" w:eastAsia="宋体" w:cs="宋体"/>
          <w:color w:val="000000"/>
        </w:rPr>
        <w:t>项目联系人：王梦娜</w:t>
      </w:r>
    </w:p>
    <w:p>
      <w:pPr>
        <w:pStyle w:val="37"/>
        <w:spacing w:before="0" w:beforeAutospacing="0" w:after="0" w:afterAutospacing="0" w:line="510" w:lineRule="atLeast"/>
        <w:ind w:firstLine="420"/>
        <w:rPr>
          <w:rFonts w:hint="eastAsia" w:ascii="宋体" w:hAnsi="宋体" w:eastAsia="宋体" w:cs="宋体"/>
          <w:color w:val="000000"/>
        </w:rPr>
      </w:pPr>
      <w:r>
        <w:rPr>
          <w:rFonts w:hint="eastAsia" w:ascii="宋体" w:hAnsi="宋体" w:eastAsia="宋体" w:cs="宋体"/>
          <w:color w:val="000000"/>
        </w:rPr>
        <w:t>电话：029-89351397</w:t>
      </w:r>
    </w:p>
    <w:p>
      <w:pPr>
        <w:pStyle w:val="4"/>
        <w:keepNext w:val="0"/>
        <w:keepLines/>
        <w:pageBreakBefore/>
        <w:spacing w:line="360" w:lineRule="auto"/>
        <w:jc w:val="center"/>
        <w:rPr>
          <w:rFonts w:hint="eastAsia" w:ascii="宋体" w:hAnsi="宋体" w:eastAsia="宋体" w:cs="宋体"/>
          <w:bCs/>
          <w:sz w:val="36"/>
          <w:szCs w:val="36"/>
        </w:rPr>
      </w:pPr>
      <w:bookmarkStart w:id="22" w:name="_Toc26058"/>
      <w:bookmarkStart w:id="23" w:name="_Toc27672"/>
      <w:bookmarkStart w:id="24" w:name="_Toc15482"/>
      <w:bookmarkStart w:id="25" w:name="_Toc21608"/>
      <w:r>
        <w:rPr>
          <w:rFonts w:hint="eastAsia" w:ascii="宋体" w:hAnsi="宋体" w:eastAsia="宋体" w:cs="宋体"/>
          <w:bCs/>
          <w:sz w:val="36"/>
          <w:szCs w:val="36"/>
        </w:rPr>
        <w:t xml:space="preserve">第二章  </w:t>
      </w:r>
      <w:bookmarkEnd w:id="19"/>
      <w:bookmarkEnd w:id="20"/>
      <w:r>
        <w:rPr>
          <w:rFonts w:hint="eastAsia" w:ascii="宋体" w:hAnsi="宋体" w:eastAsia="宋体" w:cs="宋体"/>
          <w:bCs/>
          <w:sz w:val="36"/>
          <w:szCs w:val="36"/>
        </w:rPr>
        <w:t>投标人须知</w:t>
      </w:r>
      <w:bookmarkEnd w:id="21"/>
      <w:bookmarkEnd w:id="22"/>
      <w:bookmarkEnd w:id="23"/>
      <w:bookmarkEnd w:id="24"/>
      <w:bookmarkEnd w:id="25"/>
    </w:p>
    <w:p>
      <w:pPr>
        <w:jc w:val="center"/>
        <w:rPr>
          <w:rFonts w:hint="eastAsia" w:ascii="宋体" w:hAnsi="宋体" w:eastAsia="宋体" w:cs="宋体"/>
          <w:b/>
          <w:bCs/>
          <w:sz w:val="30"/>
          <w:szCs w:val="30"/>
        </w:rPr>
      </w:pPr>
      <w:bookmarkStart w:id="26" w:name="_Toc423973073"/>
      <w:bookmarkStart w:id="27" w:name="_Toc2257"/>
      <w:bookmarkStart w:id="28" w:name="_Toc19364"/>
      <w:r>
        <w:rPr>
          <w:rFonts w:hint="eastAsia" w:ascii="宋体" w:hAnsi="宋体" w:eastAsia="宋体" w:cs="宋体"/>
          <w:b/>
          <w:bCs/>
          <w:sz w:val="30"/>
          <w:szCs w:val="30"/>
        </w:rPr>
        <w:t>投标人须知前附表</w:t>
      </w:r>
      <w:bookmarkEnd w:id="26"/>
      <w:bookmarkEnd w:id="27"/>
      <w:bookmarkEnd w:id="28"/>
    </w:p>
    <w:bookmarkEnd w:id="12"/>
    <w:bookmarkEnd w:id="13"/>
    <w:bookmarkEnd w:id="14"/>
    <w:tbl>
      <w:tblPr>
        <w:tblStyle w:val="43"/>
        <w:tblW w:w="5328" w:type="pct"/>
        <w:jc w:val="center"/>
        <w:tblLayout w:type="fixed"/>
        <w:tblCellMar>
          <w:top w:w="0" w:type="dxa"/>
          <w:left w:w="108" w:type="dxa"/>
          <w:bottom w:w="0" w:type="dxa"/>
          <w:right w:w="108" w:type="dxa"/>
        </w:tblCellMar>
      </w:tblPr>
      <w:tblGrid>
        <w:gridCol w:w="542"/>
        <w:gridCol w:w="2217"/>
        <w:gridCol w:w="7017"/>
      </w:tblGrid>
      <w:tr>
        <w:tblPrEx>
          <w:tblCellMar>
            <w:top w:w="0" w:type="dxa"/>
            <w:left w:w="108" w:type="dxa"/>
            <w:bottom w:w="0" w:type="dxa"/>
            <w:right w:w="108" w:type="dxa"/>
          </w:tblCellMar>
        </w:tblPrEx>
        <w:trPr>
          <w:trHeight w:val="782" w:hRule="atLeast"/>
          <w:jc w:val="center"/>
        </w:trPr>
        <w:tc>
          <w:tcPr>
            <w:tcW w:w="27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编号</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条款名称</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编  列  内  容</w:t>
            </w:r>
          </w:p>
        </w:tc>
      </w:tr>
      <w:tr>
        <w:tblPrEx>
          <w:tblCellMar>
            <w:top w:w="0" w:type="dxa"/>
            <w:left w:w="108" w:type="dxa"/>
            <w:bottom w:w="0" w:type="dxa"/>
            <w:right w:w="108" w:type="dxa"/>
          </w:tblCellMar>
        </w:tblPrEx>
        <w:trPr>
          <w:trHeight w:val="432" w:hRule="atLeast"/>
          <w:jc w:val="center"/>
        </w:trPr>
        <w:tc>
          <w:tcPr>
            <w:tcW w:w="27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采购人</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采购人信息：西安市未央区教育局</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地址：陕西省西安市未央区汇文南路</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联系人：杨老师</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电话</w:t>
            </w:r>
            <w:r>
              <w:rPr>
                <w:rFonts w:hint="eastAsia" w:ascii="宋体" w:hAnsi="宋体" w:eastAsia="宋体" w:cs="宋体"/>
                <w:color w:val="000000"/>
                <w:sz w:val="24"/>
                <w:highlight w:val="none"/>
              </w:rPr>
              <w:t>：029-86239786</w:t>
            </w:r>
          </w:p>
        </w:tc>
      </w:tr>
      <w:tr>
        <w:tblPrEx>
          <w:tblCellMar>
            <w:top w:w="0" w:type="dxa"/>
            <w:left w:w="108" w:type="dxa"/>
            <w:bottom w:w="0" w:type="dxa"/>
            <w:right w:w="108" w:type="dxa"/>
          </w:tblCellMar>
        </w:tblPrEx>
        <w:trPr>
          <w:trHeight w:val="992" w:hRule="atLeast"/>
          <w:jc w:val="center"/>
        </w:trPr>
        <w:tc>
          <w:tcPr>
            <w:tcW w:w="27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采购代理机构</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名  称：陕西嘉唐建设项目管理有限公司</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地址：西安市未央区凤城五路与明光路十字天朗经开中心10楼11002室</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联系人：王梦娜</w:t>
            </w:r>
          </w:p>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电话：029-89351397</w:t>
            </w:r>
          </w:p>
        </w:tc>
      </w:tr>
      <w:tr>
        <w:tblPrEx>
          <w:tblCellMar>
            <w:top w:w="0" w:type="dxa"/>
            <w:left w:w="108" w:type="dxa"/>
            <w:bottom w:w="0" w:type="dxa"/>
            <w:right w:w="108" w:type="dxa"/>
          </w:tblCellMar>
        </w:tblPrEx>
        <w:trPr>
          <w:trHeight w:val="864" w:hRule="atLeast"/>
          <w:jc w:val="center"/>
        </w:trPr>
        <w:tc>
          <w:tcPr>
            <w:tcW w:w="27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西安市未央区教育局学校安全保障项目</w:t>
            </w:r>
          </w:p>
        </w:tc>
      </w:tr>
      <w:tr>
        <w:tblPrEx>
          <w:tblCellMar>
            <w:top w:w="0" w:type="dxa"/>
            <w:left w:w="108" w:type="dxa"/>
            <w:bottom w:w="0" w:type="dxa"/>
            <w:right w:w="108" w:type="dxa"/>
          </w:tblCellMar>
        </w:tblPrEx>
        <w:trPr>
          <w:trHeight w:val="741" w:hRule="atLeast"/>
          <w:jc w:val="center"/>
        </w:trPr>
        <w:tc>
          <w:tcPr>
            <w:tcW w:w="27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合同期限</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自合同签订之日起</w:t>
            </w:r>
            <w:r>
              <w:rPr>
                <w:rFonts w:hint="eastAsia" w:ascii="宋体" w:hAnsi="宋体" w:eastAsia="宋体" w:cs="宋体"/>
                <w:color w:val="000000"/>
                <w:sz w:val="24"/>
                <w:lang w:val="en-US" w:eastAsia="zh-CN"/>
              </w:rPr>
              <w:t>40日历</w:t>
            </w:r>
            <w:r>
              <w:rPr>
                <w:rFonts w:hint="eastAsia" w:ascii="宋体" w:hAnsi="宋体" w:cs="宋体"/>
                <w:color w:val="000000"/>
                <w:sz w:val="24"/>
                <w:lang w:val="en-US" w:eastAsia="zh-CN"/>
              </w:rPr>
              <w:t>天</w:t>
            </w:r>
          </w:p>
        </w:tc>
      </w:tr>
      <w:tr>
        <w:tblPrEx>
          <w:tblCellMar>
            <w:top w:w="0" w:type="dxa"/>
            <w:left w:w="108" w:type="dxa"/>
            <w:bottom w:w="0" w:type="dxa"/>
            <w:right w:w="108" w:type="dxa"/>
          </w:tblCellMar>
        </w:tblPrEx>
        <w:trPr>
          <w:trHeight w:val="741"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5</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预算金额</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一包：3236246.77元；二包：</w:t>
            </w:r>
            <w:r>
              <w:rPr>
                <w:rFonts w:hint="eastAsia" w:ascii="宋体" w:hAnsi="宋体" w:cs="宋体"/>
                <w:sz w:val="24"/>
                <w:szCs w:val="24"/>
                <w:lang w:val="en-US" w:eastAsia="zh-CN"/>
              </w:rPr>
              <w:t>1231316.25</w:t>
            </w:r>
            <w:r>
              <w:rPr>
                <w:rFonts w:hint="eastAsia" w:ascii="宋体" w:hAnsi="宋体" w:eastAsia="宋体" w:cs="宋体"/>
                <w:sz w:val="24"/>
                <w:szCs w:val="24"/>
                <w:lang w:val="en-US" w:eastAsia="zh-CN"/>
              </w:rPr>
              <w:t>元</w:t>
            </w:r>
          </w:p>
        </w:tc>
      </w:tr>
      <w:tr>
        <w:tblPrEx>
          <w:tblCellMar>
            <w:top w:w="0" w:type="dxa"/>
            <w:left w:w="108" w:type="dxa"/>
            <w:bottom w:w="0" w:type="dxa"/>
            <w:right w:w="108" w:type="dxa"/>
          </w:tblCellMar>
        </w:tblPrEx>
        <w:trPr>
          <w:trHeight w:val="741"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6</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sz w:val="24"/>
                <w:szCs w:val="24"/>
                <w:highlight w:val="none"/>
              </w:rPr>
              <w:t>最高限价</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本项目设最高限价，投标人的投标报价不得高于最高限</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价，否则按无效投标处理。</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最高限价为：</w:t>
            </w:r>
            <w:r>
              <w:rPr>
                <w:rFonts w:hint="eastAsia" w:ascii="宋体" w:hAnsi="宋体" w:eastAsia="宋体" w:cs="宋体"/>
                <w:sz w:val="24"/>
                <w:szCs w:val="24"/>
                <w:lang w:val="en-US" w:eastAsia="zh-CN"/>
              </w:rPr>
              <w:t>一包：3236246.77元；二包：</w:t>
            </w:r>
            <w:r>
              <w:rPr>
                <w:rFonts w:hint="eastAsia" w:ascii="宋体" w:hAnsi="宋体" w:cs="宋体"/>
                <w:sz w:val="24"/>
                <w:szCs w:val="24"/>
                <w:lang w:val="en-US" w:eastAsia="zh-CN"/>
              </w:rPr>
              <w:t>1231316.25</w:t>
            </w:r>
            <w:r>
              <w:rPr>
                <w:rFonts w:hint="eastAsia" w:ascii="宋体" w:hAnsi="宋体" w:eastAsia="宋体" w:cs="宋体"/>
                <w:sz w:val="24"/>
                <w:szCs w:val="24"/>
                <w:lang w:val="en-US" w:eastAsia="zh-CN"/>
              </w:rPr>
              <w:t>元</w:t>
            </w:r>
          </w:p>
        </w:tc>
      </w:tr>
      <w:tr>
        <w:tblPrEx>
          <w:tblCellMar>
            <w:top w:w="0" w:type="dxa"/>
            <w:left w:w="108" w:type="dxa"/>
            <w:bottom w:w="0" w:type="dxa"/>
            <w:right w:w="108" w:type="dxa"/>
          </w:tblCellMar>
        </w:tblPrEx>
        <w:trPr>
          <w:trHeight w:val="684"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kern w:val="0"/>
                <w:sz w:val="24"/>
              </w:rPr>
            </w:pPr>
            <w:r>
              <w:rPr>
                <w:rFonts w:hint="eastAsia" w:ascii="宋体" w:hAnsi="宋体" w:eastAsia="宋体" w:cs="宋体"/>
                <w:color w:val="000000"/>
                <w:sz w:val="24"/>
              </w:rPr>
              <w:t>7</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地点</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采购人指定地点</w:t>
            </w:r>
          </w:p>
        </w:tc>
      </w:tr>
      <w:tr>
        <w:tblPrEx>
          <w:tblCellMar>
            <w:top w:w="0" w:type="dxa"/>
            <w:left w:w="108" w:type="dxa"/>
            <w:bottom w:w="0" w:type="dxa"/>
            <w:right w:w="108" w:type="dxa"/>
          </w:tblCellMar>
        </w:tblPrEx>
        <w:trPr>
          <w:trHeight w:val="741"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kern w:val="0"/>
                <w:sz w:val="24"/>
              </w:rPr>
            </w:pPr>
            <w:r>
              <w:rPr>
                <w:rFonts w:hint="eastAsia" w:ascii="宋体" w:hAnsi="宋体" w:eastAsia="宋体" w:cs="宋体"/>
                <w:color w:val="000000"/>
                <w:sz w:val="24"/>
              </w:rPr>
              <w:t>8</w:t>
            </w:r>
          </w:p>
        </w:tc>
        <w:tc>
          <w:tcPr>
            <w:tcW w:w="113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rPr>
            </w:pPr>
            <w:r>
              <w:rPr>
                <w:rFonts w:hint="eastAsia" w:ascii="宋体" w:hAnsi="宋体" w:eastAsia="宋体" w:cs="宋体"/>
                <w:sz w:val="24"/>
              </w:rPr>
              <w:t>开标形式</w:t>
            </w:r>
          </w:p>
        </w:tc>
        <w:tc>
          <w:tcPr>
            <w:tcW w:w="3589" w:type="pc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000000"/>
                <w:kern w:val="0"/>
                <w:sz w:val="24"/>
              </w:rPr>
            </w:pPr>
            <w:r>
              <w:rPr>
                <w:rFonts w:hint="eastAsia" w:ascii="宋体" w:hAnsi="宋体" w:eastAsia="宋体" w:cs="宋体"/>
                <w:sz w:val="24"/>
              </w:rPr>
              <w:t>☑不见面开标  ☐见面开标</w:t>
            </w:r>
          </w:p>
        </w:tc>
      </w:tr>
      <w:tr>
        <w:tblPrEx>
          <w:tblCellMar>
            <w:top w:w="0" w:type="dxa"/>
            <w:left w:w="108" w:type="dxa"/>
            <w:bottom w:w="0" w:type="dxa"/>
            <w:right w:w="108" w:type="dxa"/>
          </w:tblCellMar>
        </w:tblPrEx>
        <w:trPr>
          <w:trHeight w:val="581"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9</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是否接受联合体投标</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不接受。</w:t>
            </w:r>
          </w:p>
        </w:tc>
      </w:tr>
      <w:tr>
        <w:tblPrEx>
          <w:tblCellMar>
            <w:top w:w="0" w:type="dxa"/>
            <w:left w:w="108" w:type="dxa"/>
            <w:bottom w:w="0" w:type="dxa"/>
            <w:right w:w="108" w:type="dxa"/>
          </w:tblCellMar>
        </w:tblPrEx>
        <w:trPr>
          <w:trHeight w:val="503"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投标保证金</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本项目不收取投标保证金。</w:t>
            </w:r>
          </w:p>
        </w:tc>
      </w:tr>
      <w:tr>
        <w:tblPrEx>
          <w:tblCellMar>
            <w:top w:w="0" w:type="dxa"/>
            <w:left w:w="108" w:type="dxa"/>
            <w:bottom w:w="0" w:type="dxa"/>
            <w:right w:w="108" w:type="dxa"/>
          </w:tblCellMar>
        </w:tblPrEx>
        <w:trPr>
          <w:trHeight w:val="703"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偏离</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本项目不允许。</w:t>
            </w:r>
          </w:p>
        </w:tc>
      </w:tr>
      <w:tr>
        <w:tblPrEx>
          <w:tblCellMar>
            <w:top w:w="0" w:type="dxa"/>
            <w:left w:w="108" w:type="dxa"/>
            <w:bottom w:w="0" w:type="dxa"/>
            <w:right w:w="108" w:type="dxa"/>
          </w:tblCellMar>
        </w:tblPrEx>
        <w:trPr>
          <w:trHeight w:val="560"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踏勘现场</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w:t>
            </w:r>
          </w:p>
        </w:tc>
      </w:tr>
      <w:tr>
        <w:tblPrEx>
          <w:tblCellMar>
            <w:top w:w="0" w:type="dxa"/>
            <w:left w:w="108" w:type="dxa"/>
            <w:bottom w:w="0" w:type="dxa"/>
            <w:right w:w="108" w:type="dxa"/>
          </w:tblCellMar>
        </w:tblPrEx>
        <w:trPr>
          <w:trHeight w:val="47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构成招标文件的</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其他材料</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对招标文件所做的澄清、修改等。</w:t>
            </w:r>
          </w:p>
        </w:tc>
      </w:tr>
      <w:tr>
        <w:tblPrEx>
          <w:tblCellMar>
            <w:top w:w="0" w:type="dxa"/>
            <w:left w:w="108" w:type="dxa"/>
            <w:bottom w:w="0" w:type="dxa"/>
            <w:right w:w="108" w:type="dxa"/>
          </w:tblCellMar>
        </w:tblPrEx>
        <w:trPr>
          <w:trHeight w:val="425"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16</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供应商要求澄清</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招标文件的截止时间</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投标截止时间 10日前。</w:t>
            </w:r>
          </w:p>
        </w:tc>
      </w:tr>
      <w:tr>
        <w:tblPrEx>
          <w:tblCellMar>
            <w:top w:w="0" w:type="dxa"/>
            <w:left w:w="108" w:type="dxa"/>
            <w:bottom w:w="0" w:type="dxa"/>
            <w:right w:w="108" w:type="dxa"/>
          </w:tblCellMar>
        </w:tblPrEx>
        <w:trPr>
          <w:trHeight w:val="722"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17</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投标截止时间</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2023年</w:t>
            </w:r>
            <w:r>
              <w:rPr>
                <w:rFonts w:hint="eastAsia" w:ascii="宋体" w:hAnsi="宋体" w:cs="宋体"/>
                <w:color w:val="000000"/>
                <w:sz w:val="24"/>
                <w:lang w:val="en-US" w:eastAsia="zh-CN"/>
              </w:rPr>
              <w:t>10</w:t>
            </w:r>
            <w:r>
              <w:rPr>
                <w:rFonts w:hint="eastAsia" w:ascii="宋体" w:hAnsi="宋体" w:eastAsia="宋体" w:cs="宋体"/>
                <w:color w:val="000000"/>
                <w:sz w:val="24"/>
              </w:rPr>
              <w:t>月</w:t>
            </w:r>
            <w:r>
              <w:rPr>
                <w:rFonts w:hint="eastAsia" w:ascii="宋体" w:hAnsi="宋体" w:cs="宋体"/>
                <w:color w:val="000000"/>
                <w:sz w:val="24"/>
                <w:lang w:val="en-US" w:eastAsia="zh-CN"/>
              </w:rPr>
              <w:t>09</w:t>
            </w:r>
            <w:r>
              <w:rPr>
                <w:rFonts w:hint="eastAsia" w:ascii="宋体" w:hAnsi="宋体" w:eastAsia="宋体" w:cs="宋体"/>
                <w:color w:val="000000"/>
                <w:sz w:val="24"/>
              </w:rPr>
              <w:t>日</w:t>
            </w:r>
            <w:r>
              <w:rPr>
                <w:rFonts w:hint="eastAsia" w:ascii="宋体" w:hAnsi="宋体" w:cs="宋体"/>
                <w:color w:val="000000"/>
                <w:sz w:val="24"/>
                <w:lang w:val="en-US" w:eastAsia="zh-CN"/>
              </w:rPr>
              <w:t>09</w:t>
            </w:r>
            <w:r>
              <w:rPr>
                <w:rFonts w:hint="eastAsia" w:ascii="宋体" w:hAnsi="宋体" w:eastAsia="宋体" w:cs="宋体"/>
                <w:color w:val="000000"/>
                <w:sz w:val="24"/>
              </w:rPr>
              <w:t>时</w:t>
            </w:r>
            <w:r>
              <w:rPr>
                <w:rFonts w:hint="eastAsia" w:ascii="宋体" w:hAnsi="宋体" w:cs="宋体"/>
                <w:color w:val="000000"/>
                <w:sz w:val="24"/>
                <w:lang w:val="en-US" w:eastAsia="zh-CN"/>
              </w:rPr>
              <w:t>00</w:t>
            </w:r>
            <w:r>
              <w:rPr>
                <w:rFonts w:hint="eastAsia" w:ascii="宋体" w:hAnsi="宋体" w:eastAsia="宋体" w:cs="宋体"/>
                <w:color w:val="000000"/>
                <w:sz w:val="24"/>
              </w:rPr>
              <w:t>分00秒（北京时间）</w:t>
            </w:r>
          </w:p>
        </w:tc>
      </w:tr>
      <w:tr>
        <w:tblPrEx>
          <w:tblCellMar>
            <w:top w:w="0" w:type="dxa"/>
            <w:left w:w="108" w:type="dxa"/>
            <w:bottom w:w="0" w:type="dxa"/>
            <w:right w:w="108" w:type="dxa"/>
          </w:tblCellMar>
        </w:tblPrEx>
        <w:trPr>
          <w:trHeight w:val="1554"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18</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供应商确认收到</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招标文件澄清的时间</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收到澄清后 24 小时内。</w:t>
            </w:r>
          </w:p>
        </w:tc>
      </w:tr>
      <w:tr>
        <w:tblPrEx>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19</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供应商确认收到</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招标文件修改的时间</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收到修改后 24 小时内。</w:t>
            </w:r>
          </w:p>
        </w:tc>
      </w:tr>
      <w:tr>
        <w:tblPrEx>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构成投标文件的</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其他材料</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rPr>
              <w:t>供应商按照招标文件的要求认为有利于自身投标的材料。</w:t>
            </w:r>
          </w:p>
        </w:tc>
      </w:tr>
      <w:tr>
        <w:tblPrEx>
          <w:tblCellMar>
            <w:top w:w="0" w:type="dxa"/>
            <w:left w:w="108" w:type="dxa"/>
            <w:bottom w:w="0" w:type="dxa"/>
            <w:right w:w="108" w:type="dxa"/>
          </w:tblCellMar>
        </w:tblPrEx>
        <w:trPr>
          <w:trHeight w:val="741"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21</w:t>
            </w:r>
          </w:p>
        </w:tc>
        <w:tc>
          <w:tcPr>
            <w:tcW w:w="1133"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sz w:val="24"/>
              </w:rPr>
              <w:t>投标有效期</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color w:val="000000"/>
                <w:sz w:val="24"/>
              </w:rPr>
            </w:pPr>
            <w:r>
              <w:rPr>
                <w:rFonts w:hint="eastAsia" w:ascii="宋体" w:hAnsi="宋体" w:eastAsia="宋体" w:cs="宋体"/>
                <w:sz w:val="24"/>
              </w:rPr>
              <w:t>90日历日（自投标截止时间之日算起）。中标供应商投标文件有效期自动延长至项目质保期结束。</w:t>
            </w:r>
          </w:p>
        </w:tc>
      </w:tr>
      <w:tr>
        <w:tblPrEx>
          <w:tblCellMar>
            <w:top w:w="0" w:type="dxa"/>
            <w:left w:w="108" w:type="dxa"/>
            <w:bottom w:w="0" w:type="dxa"/>
            <w:right w:w="108" w:type="dxa"/>
          </w:tblCellMar>
        </w:tblPrEx>
        <w:trPr>
          <w:trHeight w:val="83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22</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是否允许递交</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备选投标方案</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不允许。</w:t>
            </w:r>
          </w:p>
        </w:tc>
      </w:tr>
      <w:tr>
        <w:tblPrEx>
          <w:tblCellMar>
            <w:top w:w="0" w:type="dxa"/>
            <w:left w:w="108" w:type="dxa"/>
            <w:bottom w:w="0" w:type="dxa"/>
            <w:right w:w="108" w:type="dxa"/>
          </w:tblCellMar>
        </w:tblPrEx>
        <w:trPr>
          <w:trHeight w:val="83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23</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sz w:val="24"/>
              </w:rPr>
              <w:t>签字或盖章要求</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sz w:val="24"/>
              </w:rPr>
              <w:t>投标文件加盖供应商公章并经法定代表人或其委托代理人签字或盖章。由委托代理人签字或盖章的在投标文件中须同时提交有效投标文件签署授权委托书。</w:t>
            </w:r>
          </w:p>
        </w:tc>
      </w:tr>
      <w:tr>
        <w:tblPrEx>
          <w:tblCellMar>
            <w:top w:w="0" w:type="dxa"/>
            <w:left w:w="108" w:type="dxa"/>
            <w:bottom w:w="0" w:type="dxa"/>
            <w:right w:w="108" w:type="dxa"/>
          </w:tblCellMar>
        </w:tblPrEx>
        <w:trPr>
          <w:trHeight w:val="1209"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24</w:t>
            </w:r>
          </w:p>
        </w:tc>
        <w:tc>
          <w:tcPr>
            <w:tcW w:w="113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投标文件要求</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color w:val="000000"/>
                <w:sz w:val="24"/>
              </w:rPr>
            </w:pPr>
            <w:r>
              <w:rPr>
                <w:rFonts w:hint="eastAsia" w:ascii="宋体" w:hAnsi="宋体" w:eastAsia="宋体" w:cs="宋体"/>
                <w:color w:val="000000"/>
                <w:sz w:val="24"/>
              </w:rPr>
              <w:t>投标时供应商无需提供纸质版投标文件。</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中标人在领取中标通知书前将纸质版投标文件正本1份、副本2份打印盖章、电子版U盘2份后提交至招标代理公司处，以便采购人进行留存备案等工作，中标人应保持投标文件纸质版内容与电子版内容完全一致，否则将承担一切法律责任。</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纸质投标文件一律采用书籍（胶装）方式装订且单面或双面打印</w:t>
            </w:r>
          </w:p>
        </w:tc>
      </w:tr>
      <w:tr>
        <w:tblPrEx>
          <w:tblCellMar>
            <w:top w:w="0" w:type="dxa"/>
            <w:left w:w="108" w:type="dxa"/>
            <w:bottom w:w="0" w:type="dxa"/>
            <w:right w:w="108" w:type="dxa"/>
          </w:tblCellMar>
        </w:tblPrEx>
        <w:trPr>
          <w:trHeight w:val="1774"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25</w:t>
            </w:r>
          </w:p>
        </w:tc>
        <w:tc>
          <w:tcPr>
            <w:tcW w:w="113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rPr>
            </w:pPr>
            <w:r>
              <w:rPr>
                <w:rFonts w:hint="eastAsia" w:ascii="宋体" w:hAnsi="宋体" w:eastAsia="宋体" w:cs="宋体"/>
                <w:sz w:val="24"/>
              </w:rPr>
              <w:t>西安市公共资源交易中心电子化政府采购系统技术支持（软件开发商）</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rPr>
              <w:t>国泰新点软件股份有限公司</w:t>
            </w:r>
          </w:p>
          <w:p>
            <w:pPr>
              <w:spacing w:line="360" w:lineRule="auto"/>
              <w:rPr>
                <w:rFonts w:hint="eastAsia" w:ascii="宋体" w:hAnsi="宋体" w:eastAsia="宋体" w:cs="宋体"/>
                <w:sz w:val="24"/>
              </w:rPr>
            </w:pPr>
            <w:r>
              <w:rPr>
                <w:rFonts w:hint="eastAsia" w:ascii="宋体" w:hAnsi="宋体" w:eastAsia="宋体" w:cs="宋体"/>
                <w:sz w:val="24"/>
              </w:rPr>
              <w:t>1．技术支持热线：400-998-0000/400-928-0095</w:t>
            </w:r>
          </w:p>
          <w:p>
            <w:pPr>
              <w:spacing w:line="360" w:lineRule="auto"/>
              <w:rPr>
                <w:rFonts w:hint="eastAsia" w:ascii="宋体" w:hAnsi="宋体" w:eastAsia="宋体" w:cs="宋体"/>
                <w:sz w:val="24"/>
              </w:rPr>
            </w:pPr>
            <w:r>
              <w:rPr>
                <w:rFonts w:hint="eastAsia" w:ascii="宋体" w:hAnsi="宋体" w:eastAsia="宋体" w:cs="宋体"/>
                <w:sz w:val="24"/>
              </w:rPr>
              <w:t>2．驻场技术人员：029-86510166/86510167转80310</w:t>
            </w:r>
          </w:p>
        </w:tc>
      </w:tr>
      <w:tr>
        <w:tblPrEx>
          <w:tblCellMar>
            <w:top w:w="0" w:type="dxa"/>
            <w:left w:w="108" w:type="dxa"/>
            <w:bottom w:w="0" w:type="dxa"/>
            <w:right w:w="108" w:type="dxa"/>
          </w:tblCellMar>
        </w:tblPrEx>
        <w:trPr>
          <w:trHeight w:val="573"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26</w:t>
            </w:r>
          </w:p>
        </w:tc>
        <w:tc>
          <w:tcPr>
            <w:tcW w:w="113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rPr>
            </w:pPr>
            <w:r>
              <w:rPr>
                <w:rFonts w:hint="eastAsia" w:ascii="宋体" w:hAnsi="宋体" w:eastAsia="宋体" w:cs="宋体"/>
                <w:sz w:val="24"/>
              </w:rPr>
              <w:t>CA业务网点</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rPr>
              <w:t>陕西省数字证书认证中心股份有限公司</w:t>
            </w:r>
          </w:p>
          <w:p>
            <w:pPr>
              <w:spacing w:line="360" w:lineRule="auto"/>
              <w:rPr>
                <w:rFonts w:hint="eastAsia" w:ascii="宋体" w:hAnsi="宋体" w:eastAsia="宋体" w:cs="宋体"/>
                <w:sz w:val="24"/>
              </w:rPr>
            </w:pPr>
            <w:r>
              <w:rPr>
                <w:rFonts w:hint="eastAsia" w:ascii="宋体" w:hAnsi="宋体" w:eastAsia="宋体" w:cs="宋体"/>
                <w:sz w:val="24"/>
              </w:rPr>
              <w:t>网点1：西安市高新三路信息港大厦1楼客服中心</w:t>
            </w:r>
          </w:p>
          <w:p>
            <w:pPr>
              <w:spacing w:line="360" w:lineRule="auto"/>
              <w:rPr>
                <w:rFonts w:hint="eastAsia" w:ascii="宋体" w:hAnsi="宋体" w:eastAsia="宋体" w:cs="宋体"/>
                <w:sz w:val="24"/>
              </w:rPr>
            </w:pPr>
            <w:r>
              <w:rPr>
                <w:rFonts w:hint="eastAsia" w:ascii="宋体" w:hAnsi="宋体" w:eastAsia="宋体" w:cs="宋体"/>
                <w:sz w:val="24"/>
              </w:rPr>
              <w:t>客服电话：4006-369-888</w:t>
            </w:r>
          </w:p>
          <w:p>
            <w:pPr>
              <w:spacing w:line="360" w:lineRule="auto"/>
              <w:rPr>
                <w:rFonts w:hint="eastAsia" w:ascii="宋体" w:hAnsi="宋体" w:eastAsia="宋体" w:cs="宋体"/>
                <w:sz w:val="24"/>
              </w:rPr>
            </w:pPr>
            <w:r>
              <w:rPr>
                <w:rFonts w:hint="eastAsia" w:ascii="宋体" w:hAnsi="宋体" w:eastAsia="宋体" w:cs="宋体"/>
                <w:sz w:val="24"/>
              </w:rPr>
              <w:t>网点2：西安市长安北路14号省体育公寓B座一楼</w:t>
            </w:r>
          </w:p>
          <w:p>
            <w:pPr>
              <w:spacing w:line="360" w:lineRule="auto"/>
              <w:rPr>
                <w:rFonts w:hint="eastAsia" w:ascii="宋体" w:hAnsi="宋体" w:eastAsia="宋体" w:cs="宋体"/>
                <w:sz w:val="24"/>
              </w:rPr>
            </w:pPr>
            <w:r>
              <w:rPr>
                <w:rFonts w:hint="eastAsia" w:ascii="宋体" w:hAnsi="宋体" w:eastAsia="宋体" w:cs="宋体"/>
                <w:sz w:val="24"/>
              </w:rPr>
              <w:t>咨询电话：029-88661241</w:t>
            </w:r>
          </w:p>
          <w:p>
            <w:pPr>
              <w:spacing w:line="360" w:lineRule="auto"/>
              <w:rPr>
                <w:rFonts w:hint="eastAsia" w:ascii="宋体" w:hAnsi="宋体" w:eastAsia="宋体" w:cs="宋体"/>
                <w:sz w:val="24"/>
              </w:rPr>
            </w:pPr>
            <w:r>
              <w:rPr>
                <w:rFonts w:hint="eastAsia" w:ascii="宋体" w:hAnsi="宋体" w:eastAsia="宋体" w:cs="宋体"/>
                <w:sz w:val="24"/>
              </w:rPr>
              <w:t>网点3：西安市文景北路16号白桦林国际B座2楼11#窗口</w:t>
            </w:r>
          </w:p>
          <w:p>
            <w:pPr>
              <w:spacing w:line="360" w:lineRule="auto"/>
              <w:rPr>
                <w:rFonts w:hint="eastAsia" w:ascii="宋体" w:hAnsi="宋体" w:eastAsia="宋体" w:cs="宋体"/>
                <w:sz w:val="24"/>
              </w:rPr>
            </w:pPr>
            <w:r>
              <w:rPr>
                <w:rFonts w:hint="eastAsia" w:ascii="宋体" w:hAnsi="宋体" w:eastAsia="宋体" w:cs="宋体"/>
                <w:sz w:val="24"/>
              </w:rPr>
              <w:t>咨询电话：029-86510073转80211</w:t>
            </w:r>
          </w:p>
        </w:tc>
      </w:tr>
      <w:tr>
        <w:tblPrEx>
          <w:tblCellMar>
            <w:top w:w="0" w:type="dxa"/>
            <w:left w:w="108" w:type="dxa"/>
            <w:bottom w:w="0" w:type="dxa"/>
            <w:right w:w="108" w:type="dxa"/>
          </w:tblCellMar>
        </w:tblPrEx>
        <w:trPr>
          <w:trHeight w:val="1056"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27</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递交投标</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文件地点</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全国公共资源交易平台（陕西省·西安市）递交电子投标文件</w:t>
            </w:r>
          </w:p>
        </w:tc>
      </w:tr>
      <w:tr>
        <w:tblPrEx>
          <w:tblCellMar>
            <w:top w:w="0" w:type="dxa"/>
            <w:left w:w="108" w:type="dxa"/>
            <w:bottom w:w="0" w:type="dxa"/>
            <w:right w:w="108" w:type="dxa"/>
          </w:tblCellMar>
        </w:tblPrEx>
        <w:trPr>
          <w:trHeight w:val="143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28</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开标时间</w:t>
            </w:r>
          </w:p>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和地点</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开标时间：2023年</w:t>
            </w:r>
            <w:r>
              <w:rPr>
                <w:rFonts w:hint="eastAsia" w:ascii="宋体" w:hAnsi="宋体" w:cs="宋体"/>
                <w:color w:val="000000"/>
                <w:sz w:val="24"/>
                <w:lang w:val="en-US" w:eastAsia="zh-CN"/>
              </w:rPr>
              <w:t>10</w:t>
            </w:r>
            <w:r>
              <w:rPr>
                <w:rFonts w:hint="eastAsia" w:ascii="宋体" w:hAnsi="宋体" w:eastAsia="宋体" w:cs="宋体"/>
                <w:color w:val="000000"/>
                <w:sz w:val="24"/>
              </w:rPr>
              <w:t>月</w:t>
            </w:r>
            <w:r>
              <w:rPr>
                <w:rFonts w:hint="eastAsia" w:ascii="宋体" w:hAnsi="宋体" w:cs="宋体"/>
                <w:color w:val="000000"/>
                <w:sz w:val="24"/>
                <w:lang w:val="en-US" w:eastAsia="zh-CN"/>
              </w:rPr>
              <w:t>09</w:t>
            </w:r>
            <w:r>
              <w:rPr>
                <w:rFonts w:hint="eastAsia" w:ascii="宋体" w:hAnsi="宋体" w:eastAsia="宋体" w:cs="宋体"/>
                <w:color w:val="000000"/>
                <w:sz w:val="24"/>
              </w:rPr>
              <w:t>日</w:t>
            </w:r>
            <w:r>
              <w:rPr>
                <w:rFonts w:hint="eastAsia" w:ascii="宋体" w:hAnsi="宋体" w:cs="宋体"/>
                <w:color w:val="000000"/>
                <w:sz w:val="24"/>
                <w:lang w:val="en-US" w:eastAsia="zh-CN"/>
              </w:rPr>
              <w:t>09</w:t>
            </w:r>
            <w:r>
              <w:rPr>
                <w:rFonts w:hint="eastAsia" w:ascii="宋体" w:hAnsi="宋体" w:eastAsia="宋体" w:cs="宋体"/>
                <w:color w:val="000000"/>
                <w:sz w:val="24"/>
              </w:rPr>
              <w:t>时</w:t>
            </w:r>
            <w:r>
              <w:rPr>
                <w:rFonts w:hint="eastAsia" w:ascii="宋体" w:hAnsi="宋体" w:cs="宋体"/>
                <w:color w:val="000000"/>
                <w:sz w:val="24"/>
                <w:lang w:val="en-US" w:eastAsia="zh-CN"/>
              </w:rPr>
              <w:t>00</w:t>
            </w:r>
            <w:r>
              <w:rPr>
                <w:rFonts w:hint="eastAsia" w:ascii="宋体" w:hAnsi="宋体" w:eastAsia="宋体" w:cs="宋体"/>
                <w:color w:val="000000"/>
                <w:sz w:val="24"/>
              </w:rPr>
              <w:t>分00秒（北京时间）</w:t>
            </w:r>
          </w:p>
          <w:p>
            <w:pPr>
              <w:snapToGrid w:val="0"/>
              <w:spacing w:line="360" w:lineRule="auto"/>
              <w:textAlignment w:val="center"/>
              <w:rPr>
                <w:rFonts w:hint="eastAsia" w:ascii="宋体" w:hAnsi="宋体" w:eastAsia="宋体" w:cs="宋体"/>
                <w:color w:val="000000"/>
                <w:sz w:val="24"/>
              </w:rPr>
            </w:pPr>
            <w:r>
              <w:rPr>
                <w:rFonts w:hint="eastAsia" w:ascii="宋体" w:hAnsi="宋体" w:eastAsia="宋体" w:cs="宋体"/>
                <w:color w:val="000000"/>
                <w:sz w:val="24"/>
              </w:rPr>
              <w:t>开标地点：全国公共资源交易平台（陕西省·西安市）西安市公共资源交易不见面开标大厅（西安市公共资源交易中心三楼开标室）</w:t>
            </w:r>
          </w:p>
        </w:tc>
      </w:tr>
      <w:tr>
        <w:tblPrEx>
          <w:tblCellMar>
            <w:top w:w="0" w:type="dxa"/>
            <w:left w:w="108" w:type="dxa"/>
            <w:bottom w:w="0" w:type="dxa"/>
            <w:right w:w="108" w:type="dxa"/>
          </w:tblCellMar>
        </w:tblPrEx>
        <w:trPr>
          <w:trHeight w:val="99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29</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bCs/>
                <w:color w:val="000000"/>
                <w:sz w:val="24"/>
              </w:rPr>
              <w:t>履约保证金</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rPr>
            </w:pPr>
            <w:r>
              <w:rPr>
                <w:rFonts w:hint="eastAsia" w:ascii="宋体" w:hAnsi="宋体" w:eastAsia="宋体" w:cs="宋体"/>
                <w:sz w:val="24"/>
              </w:rPr>
              <w:t>不要求提供履约保证金</w:t>
            </w:r>
          </w:p>
        </w:tc>
      </w:tr>
      <w:tr>
        <w:tblPrEx>
          <w:tblCellMar>
            <w:top w:w="0" w:type="dxa"/>
            <w:left w:w="108" w:type="dxa"/>
            <w:bottom w:w="0" w:type="dxa"/>
            <w:right w:w="108" w:type="dxa"/>
          </w:tblCellMar>
        </w:tblPrEx>
        <w:trPr>
          <w:trHeight w:val="1292"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13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rPr>
            </w:pPr>
            <w:r>
              <w:rPr>
                <w:rFonts w:hint="eastAsia" w:ascii="宋体" w:hAnsi="宋体" w:eastAsia="宋体" w:cs="宋体"/>
                <w:sz w:val="24"/>
              </w:rPr>
              <w:t>政府采购信息发布媒体</w:t>
            </w:r>
          </w:p>
          <w:p>
            <w:pPr>
              <w:jc w:val="center"/>
              <w:rPr>
                <w:rFonts w:hint="eastAsia" w:ascii="宋体" w:hAnsi="宋体" w:eastAsia="宋体" w:cs="宋体"/>
                <w:bCs/>
                <w:color w:val="000000"/>
                <w:sz w:val="24"/>
              </w:rPr>
            </w:pPr>
            <w:r>
              <w:rPr>
                <w:rFonts w:hint="eastAsia" w:ascii="宋体" w:hAnsi="宋体" w:eastAsia="宋体" w:cs="宋体"/>
                <w:sz w:val="24"/>
              </w:rPr>
              <w:t>（采购公告、采购结果公告、变更公告）</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rPr>
              <w:t>1．陕西省政府采购网：仅提供项目公告，官网地址：http://ccgp-shaanxi.gov.cn/。</w:t>
            </w:r>
          </w:p>
          <w:p>
            <w:pPr>
              <w:spacing w:line="360" w:lineRule="auto"/>
              <w:rPr>
                <w:rFonts w:hint="eastAsia" w:ascii="宋体" w:hAnsi="宋体" w:eastAsia="宋体" w:cs="宋体"/>
                <w:sz w:val="24"/>
              </w:rPr>
            </w:pPr>
            <w:r>
              <w:rPr>
                <w:rFonts w:hint="eastAsia" w:ascii="宋体" w:hAnsi="宋体" w:eastAsia="宋体" w:cs="宋体"/>
                <w:sz w:val="24"/>
              </w:rPr>
              <w:t>2．全国公共资源交易平台（陕西省·西安市）：即西安市公共资源交易平台，提供项目公告和采购文件下载。官网地址：http://sxggzyjy.xa.gov.cn/</w:t>
            </w:r>
          </w:p>
        </w:tc>
      </w:tr>
      <w:tr>
        <w:tblPrEx>
          <w:tblCellMar>
            <w:top w:w="0" w:type="dxa"/>
            <w:left w:w="108" w:type="dxa"/>
            <w:bottom w:w="0" w:type="dxa"/>
            <w:right w:w="108" w:type="dxa"/>
          </w:tblCellMar>
        </w:tblPrEx>
        <w:trPr>
          <w:trHeight w:val="351"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31</w:t>
            </w:r>
          </w:p>
        </w:tc>
        <w:tc>
          <w:tcPr>
            <w:tcW w:w="113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rPr>
            </w:pPr>
            <w:r>
              <w:rPr>
                <w:rFonts w:hint="eastAsia" w:ascii="宋体" w:hAnsi="宋体" w:eastAsia="宋体" w:cs="宋体"/>
                <w:bCs/>
                <w:sz w:val="24"/>
              </w:rPr>
              <w:t>采购代理服务费</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textAlignment w:val="center"/>
              <w:rPr>
                <w:rFonts w:hint="eastAsia" w:ascii="宋体" w:hAnsi="宋体" w:eastAsia="宋体" w:cs="宋体"/>
                <w:sz w:val="24"/>
              </w:rPr>
            </w:pPr>
            <w:r>
              <w:rPr>
                <w:rFonts w:hint="eastAsia" w:ascii="宋体" w:hAnsi="宋体" w:eastAsia="宋体" w:cs="宋体"/>
                <w:bCs/>
                <w:sz w:val="24"/>
              </w:rPr>
              <w:t>参照国家计委印发的《招标代理服务收费管理暂行办法》（计价格[2002]1980号）和国家发展改革委员会办公厅印发的《关于招标代理服务收费有关问题的通知》（发改办价格[2003]857号）的有关规定收取</w:t>
            </w:r>
            <w:r>
              <w:rPr>
                <w:rFonts w:hint="eastAsia" w:ascii="宋体" w:hAnsi="宋体" w:eastAsia="宋体" w:cs="宋体"/>
                <w:sz w:val="24"/>
              </w:rPr>
              <w:t>。</w:t>
            </w:r>
          </w:p>
          <w:p>
            <w:pPr>
              <w:snapToGrid w:val="0"/>
              <w:spacing w:line="360" w:lineRule="auto"/>
              <w:textAlignment w:val="center"/>
              <w:rPr>
                <w:rFonts w:hint="eastAsia" w:ascii="宋体" w:hAnsi="宋体" w:eastAsia="宋体" w:cs="宋体"/>
                <w:sz w:val="24"/>
              </w:rPr>
            </w:pPr>
            <w:r>
              <w:rPr>
                <w:rFonts w:hint="eastAsia" w:ascii="宋体" w:hAnsi="宋体" w:eastAsia="宋体" w:cs="宋体"/>
                <w:sz w:val="24"/>
              </w:rPr>
              <w:t>中标单位在领取中标通知书前，须向采购代理机构一次性支付招标代理服务费。</w:t>
            </w:r>
          </w:p>
          <w:p>
            <w:pPr>
              <w:snapToGrid w:val="0"/>
              <w:spacing w:line="360" w:lineRule="auto"/>
              <w:textAlignment w:val="center"/>
              <w:rPr>
                <w:rFonts w:hint="eastAsia" w:ascii="宋体" w:hAnsi="宋体" w:eastAsia="宋体" w:cs="宋体"/>
                <w:b/>
                <w:bCs/>
                <w:sz w:val="24"/>
              </w:rPr>
            </w:pPr>
            <w:r>
              <w:rPr>
                <w:rFonts w:hint="eastAsia" w:ascii="宋体" w:hAnsi="宋体" w:eastAsia="宋体" w:cs="宋体"/>
                <w:b/>
                <w:bCs/>
                <w:sz w:val="24"/>
              </w:rPr>
              <w:t>银行账户：</w:t>
            </w:r>
          </w:p>
          <w:p>
            <w:pPr>
              <w:snapToGrid w:val="0"/>
              <w:spacing w:line="360" w:lineRule="auto"/>
              <w:textAlignment w:val="center"/>
              <w:rPr>
                <w:rFonts w:hint="eastAsia" w:ascii="宋体" w:hAnsi="宋体" w:eastAsia="宋体" w:cs="宋体"/>
                <w:b/>
                <w:bCs/>
                <w:sz w:val="24"/>
              </w:rPr>
            </w:pPr>
            <w:r>
              <w:rPr>
                <w:rFonts w:hint="eastAsia" w:ascii="宋体" w:hAnsi="宋体" w:eastAsia="宋体" w:cs="宋体"/>
                <w:b/>
                <w:bCs/>
                <w:sz w:val="24"/>
              </w:rPr>
              <w:t>公司名称：陕西嘉唐建设项目管理有限公司</w:t>
            </w:r>
          </w:p>
          <w:p>
            <w:pPr>
              <w:snapToGrid w:val="0"/>
              <w:spacing w:line="360" w:lineRule="auto"/>
              <w:textAlignment w:val="center"/>
              <w:rPr>
                <w:rFonts w:hint="eastAsia" w:ascii="宋体" w:hAnsi="宋体" w:eastAsia="宋体" w:cs="宋体"/>
                <w:b/>
                <w:bCs/>
                <w:sz w:val="24"/>
              </w:rPr>
            </w:pPr>
            <w:r>
              <w:rPr>
                <w:rFonts w:hint="eastAsia" w:ascii="宋体" w:hAnsi="宋体" w:eastAsia="宋体" w:cs="宋体"/>
                <w:b/>
                <w:bCs/>
                <w:sz w:val="24"/>
              </w:rPr>
              <w:t>账    号：112011580000141313</w:t>
            </w:r>
          </w:p>
          <w:p>
            <w:pPr>
              <w:spacing w:line="360" w:lineRule="auto"/>
              <w:rPr>
                <w:rFonts w:hint="eastAsia" w:ascii="宋体" w:hAnsi="宋体" w:eastAsia="宋体" w:cs="宋体"/>
                <w:sz w:val="24"/>
              </w:rPr>
            </w:pPr>
            <w:r>
              <w:rPr>
                <w:rFonts w:hint="eastAsia" w:ascii="宋体" w:hAnsi="宋体" w:eastAsia="宋体" w:cs="宋体"/>
                <w:b/>
                <w:bCs/>
                <w:sz w:val="24"/>
              </w:rPr>
              <w:t>开 户 行：西安银行股份有限公司含光门支行</w:t>
            </w:r>
          </w:p>
        </w:tc>
      </w:tr>
      <w:tr>
        <w:tblPrEx>
          <w:tblCellMar>
            <w:top w:w="0" w:type="dxa"/>
            <w:left w:w="108" w:type="dxa"/>
            <w:bottom w:w="0" w:type="dxa"/>
            <w:right w:w="108" w:type="dxa"/>
          </w:tblCellMar>
        </w:tblPrEx>
        <w:trPr>
          <w:trHeight w:val="3934"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rPr>
              <w:t>32</w:t>
            </w:r>
          </w:p>
        </w:tc>
        <w:tc>
          <w:tcPr>
            <w:tcW w:w="113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bCs/>
                <w:color w:val="000000"/>
                <w:sz w:val="24"/>
                <w:lang w:val="zh-CN"/>
              </w:rPr>
              <w:t>融资平台</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根据</w:t>
            </w:r>
            <w:r>
              <w:rPr>
                <w:rFonts w:hint="eastAsia" w:ascii="宋体" w:hAnsi="宋体" w:eastAsia="宋体" w:cs="宋体"/>
                <w:sz w:val="24"/>
              </w:rPr>
              <w:t>《</w:t>
            </w:r>
            <w:r>
              <w:rPr>
                <w:rFonts w:hint="eastAsia" w:ascii="宋体" w:hAnsi="宋体" w:eastAsia="宋体" w:cs="宋体"/>
                <w:sz w:val="24"/>
                <w:lang w:val="zh-CN"/>
              </w:rPr>
              <w:t>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rPr>
                <w:rFonts w:hint="eastAsia" w:ascii="宋体" w:hAnsi="宋体" w:eastAsia="宋体" w:cs="宋体"/>
                <w:color w:val="000000"/>
                <w:sz w:val="24"/>
              </w:rPr>
            </w:pPr>
            <w:r>
              <w:rPr>
                <w:rFonts w:hint="eastAsia" w:ascii="宋体" w:hAnsi="宋体" w:eastAsia="宋体" w:cs="宋体"/>
                <w:sz w:val="24"/>
                <w:lang w:val="zh-CN"/>
              </w:rPr>
              <w:t>网址:http://www.ccgp-shaanxi.gov.cn/zcdservice/zcd/shanxi/s</w:t>
            </w:r>
          </w:p>
        </w:tc>
      </w:tr>
      <w:tr>
        <w:tblPrEx>
          <w:tblCellMar>
            <w:top w:w="0" w:type="dxa"/>
            <w:left w:w="108" w:type="dxa"/>
            <w:bottom w:w="0" w:type="dxa"/>
            <w:right w:w="108" w:type="dxa"/>
          </w:tblCellMar>
        </w:tblPrEx>
        <w:trPr>
          <w:trHeight w:val="216"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5</w:t>
            </w:r>
          </w:p>
        </w:tc>
        <w:tc>
          <w:tcPr>
            <w:tcW w:w="1133" w:type="pct"/>
            <w:tcBorders>
              <w:top w:val="single" w:color="auto" w:sz="4" w:space="0"/>
              <w:left w:val="single" w:color="auto" w:sz="4" w:space="0"/>
              <w:bottom w:val="single" w:color="auto" w:sz="4" w:space="0"/>
              <w:right w:val="single" w:color="auto" w:sz="4" w:space="0"/>
            </w:tcBorders>
            <w:noWrap/>
            <w:vAlign w:val="center"/>
          </w:tcPr>
          <w:p>
            <w:pPr>
              <w:spacing w:line="360" w:lineRule="auto"/>
              <w:ind w:left="42" w:leftChars="20"/>
              <w:jc w:val="center"/>
              <w:rPr>
                <w:rFonts w:hint="eastAsia" w:ascii="宋体" w:hAnsi="宋体" w:eastAsia="宋体" w:cs="宋体"/>
                <w:color w:val="000000"/>
                <w:sz w:val="24"/>
              </w:rPr>
            </w:pPr>
            <w:r>
              <w:rPr>
                <w:rFonts w:hint="eastAsia" w:ascii="宋体" w:hAnsi="宋体" w:eastAsia="宋体" w:cs="宋体"/>
                <w:color w:val="000000"/>
                <w:sz w:val="24"/>
              </w:rPr>
              <w:t>履约验收</w:t>
            </w:r>
          </w:p>
        </w:tc>
        <w:tc>
          <w:tcPr>
            <w:tcW w:w="3589"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rPr>
              <w:t>是否委托采购代理机构组织履约验收：</w:t>
            </w:r>
          </w:p>
          <w:p>
            <w:pPr>
              <w:spacing w:line="360" w:lineRule="auto"/>
              <w:rPr>
                <w:rFonts w:hint="eastAsia" w:ascii="宋体" w:hAnsi="宋体" w:eastAsia="宋体" w:cs="宋体"/>
                <w:sz w:val="24"/>
              </w:rPr>
            </w:pPr>
            <w:r>
              <w:rPr>
                <w:rFonts w:hint="eastAsia" w:ascii="宋体" w:hAnsi="宋体" w:eastAsia="宋体" w:cs="宋体"/>
                <w:sz w:val="24"/>
              </w:rPr>
              <w:t>□是，验收费用由采购人/成交供应商支付，费用标准按成交金额的5‰计算，不足5000元的，按5000元收取。</w:t>
            </w:r>
          </w:p>
          <w:p>
            <w:pPr>
              <w:spacing w:line="360" w:lineRule="auto"/>
              <w:rPr>
                <w:rFonts w:hint="eastAsia" w:ascii="宋体" w:hAnsi="宋体" w:eastAsia="宋体" w:cs="宋体"/>
                <w:color w:val="000000"/>
                <w:sz w:val="24"/>
              </w:rPr>
            </w:pPr>
            <w:r>
              <w:rPr>
                <w:rFonts w:hint="eastAsia" w:ascii="宋体" w:hAnsi="宋体" w:eastAsia="宋体" w:cs="宋体"/>
                <w:sz w:val="24"/>
              </w:rPr>
              <w:t>☑否。</w:t>
            </w:r>
          </w:p>
        </w:tc>
      </w:tr>
      <w:tr>
        <w:tblPrEx>
          <w:tblCellMar>
            <w:top w:w="0" w:type="dxa"/>
            <w:left w:w="108" w:type="dxa"/>
            <w:bottom w:w="0" w:type="dxa"/>
            <w:right w:w="108" w:type="dxa"/>
          </w:tblCellMar>
        </w:tblPrEx>
        <w:trPr>
          <w:trHeight w:val="216"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hint="eastAsia" w:ascii="宋体" w:hAnsi="宋体" w:eastAsia="宋体" w:cs="宋体"/>
                <w:color w:val="000000"/>
                <w:sz w:val="24"/>
              </w:rPr>
            </w:pPr>
            <w:bookmarkStart w:id="29" w:name="_Toc28339"/>
            <w:r>
              <w:rPr>
                <w:rFonts w:hint="eastAsia" w:ascii="宋体" w:hAnsi="宋体" w:eastAsia="宋体" w:cs="宋体"/>
                <w:color w:val="000000"/>
                <w:kern w:val="0"/>
                <w:sz w:val="24"/>
              </w:rPr>
              <w:t>6</w:t>
            </w:r>
          </w:p>
        </w:tc>
        <w:tc>
          <w:tcPr>
            <w:tcW w:w="1133" w:type="pct"/>
            <w:tcBorders>
              <w:top w:val="single" w:color="auto" w:sz="4" w:space="0"/>
              <w:left w:val="single" w:color="auto" w:sz="4" w:space="0"/>
              <w:bottom w:val="single" w:color="auto" w:sz="4" w:space="0"/>
              <w:right w:val="single" w:color="auto" w:sz="4" w:space="0"/>
            </w:tcBorders>
            <w:noWrap/>
            <w:vAlign w:val="center"/>
          </w:tcPr>
          <w:p>
            <w:pPr>
              <w:spacing w:line="360" w:lineRule="auto"/>
              <w:ind w:left="42" w:leftChars="20"/>
              <w:jc w:val="center"/>
              <w:rPr>
                <w:rFonts w:hint="eastAsia" w:ascii="宋体" w:hAnsi="宋体" w:eastAsia="宋体" w:cs="宋体"/>
                <w:color w:val="000000"/>
                <w:sz w:val="24"/>
              </w:rPr>
            </w:pPr>
            <w:r>
              <w:rPr>
                <w:rFonts w:hint="eastAsia" w:ascii="宋体" w:hAnsi="宋体" w:eastAsia="宋体" w:cs="宋体"/>
                <w:color w:val="000000"/>
                <w:sz w:val="24"/>
              </w:rPr>
              <w:t>其他</w:t>
            </w:r>
          </w:p>
        </w:tc>
        <w:tc>
          <w:tcPr>
            <w:tcW w:w="3589"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1.本项目属性为</w:t>
            </w:r>
            <w:r>
              <w:rPr>
                <w:rFonts w:hint="eastAsia" w:ascii="宋体" w:hAnsi="宋体" w:eastAsia="宋体" w:cs="宋体"/>
                <w:b/>
                <w:bCs/>
                <w:sz w:val="24"/>
                <w:lang w:eastAsia="zh-CN"/>
              </w:rPr>
              <w:t>工程</w:t>
            </w:r>
            <w:r>
              <w:rPr>
                <w:rFonts w:hint="eastAsia" w:ascii="宋体" w:hAnsi="宋体" w:eastAsia="宋体" w:cs="宋体"/>
                <w:sz w:val="24"/>
              </w:rPr>
              <w:t>。</w:t>
            </w:r>
          </w:p>
          <w:p>
            <w:pPr>
              <w:snapToGrid w:val="0"/>
              <w:spacing w:line="360" w:lineRule="auto"/>
              <w:rPr>
                <w:rFonts w:hint="eastAsia" w:ascii="宋体" w:hAnsi="宋体" w:eastAsia="宋体" w:cs="宋体"/>
                <w:sz w:val="24"/>
              </w:rPr>
            </w:pPr>
            <w:r>
              <w:rPr>
                <w:rFonts w:hint="eastAsia" w:ascii="宋体" w:hAnsi="宋体" w:eastAsia="宋体" w:cs="宋体"/>
                <w:sz w:val="24"/>
              </w:rPr>
              <w:t>2.本项目采购标的所属行业为</w:t>
            </w:r>
            <w:r>
              <w:rPr>
                <w:rFonts w:hint="eastAsia" w:ascii="宋体" w:hAnsi="宋体" w:eastAsia="宋体" w:cs="宋体"/>
                <w:b/>
                <w:bCs/>
                <w:sz w:val="24"/>
                <w:lang w:eastAsia="zh-CN"/>
              </w:rPr>
              <w:t>建筑业</w:t>
            </w:r>
            <w:r>
              <w:rPr>
                <w:rFonts w:hint="eastAsia" w:ascii="宋体" w:hAnsi="宋体" w:eastAsia="宋体" w:cs="宋体"/>
                <w:sz w:val="24"/>
              </w:rPr>
              <w:t>。</w:t>
            </w:r>
          </w:p>
          <w:p>
            <w:pPr>
              <w:snapToGrid w:val="0"/>
              <w:spacing w:line="360" w:lineRule="auto"/>
              <w:rPr>
                <w:rFonts w:hint="eastAsia" w:ascii="宋体" w:hAnsi="宋体" w:eastAsia="宋体" w:cs="宋体"/>
                <w:sz w:val="24"/>
              </w:rPr>
            </w:pPr>
            <w:r>
              <w:rPr>
                <w:rFonts w:hint="eastAsia" w:ascii="宋体" w:hAnsi="宋体" w:eastAsia="宋体" w:cs="宋体"/>
                <w:sz w:val="24"/>
              </w:rPr>
              <w:t>3.按照《西安市财政局关于促进政府采购公平竞争优化营商环境的通知》（市财函〔2021) 431号）规定：供应商登记免费领取招标文件的，如不参与项目投标，应在递交投标文件截止时间前一日以书面形式（格式如下，签字盖章后发回代理机构邮箱shanxijiatang@163.com即可）告知釆购代理机构。否则，采购代理机构可以向财政部门反映情况并提供相应的佐证。供应商一年内累计出现三次该情形，将被监管部门记录为失信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不参与投标告知函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（招标代理机构名称）：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经研究决定，由于（不参与原因），我单位                  （单位名称）确认不参与关于（项目名称）的投标活动。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单位名称（盖章）：</w:t>
            </w:r>
          </w:p>
          <w:p>
            <w:pPr>
              <w:spacing w:line="360" w:lineRule="auto"/>
              <w:rPr>
                <w:rFonts w:hint="eastAsia" w:ascii="宋体" w:hAnsi="宋体" w:eastAsia="宋体" w:cs="宋体"/>
                <w:sz w:val="24"/>
              </w:rPr>
            </w:pPr>
            <w:r>
              <w:rPr>
                <w:rFonts w:hint="eastAsia" w:ascii="宋体" w:hAnsi="宋体" w:eastAsia="宋体" w:cs="宋体"/>
                <w:sz w:val="24"/>
              </w:rPr>
              <w:t>法定代表人或授权代表（签字或盖章）：</w:t>
            </w:r>
          </w:p>
        </w:tc>
      </w:tr>
      <w:tr>
        <w:tblPrEx>
          <w:tblCellMar>
            <w:top w:w="0" w:type="dxa"/>
            <w:left w:w="108" w:type="dxa"/>
            <w:bottom w:w="0" w:type="dxa"/>
            <w:right w:w="108" w:type="dxa"/>
          </w:tblCellMar>
        </w:tblPrEx>
        <w:trPr>
          <w:trHeight w:val="216"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pStyle w:val="141"/>
              <w:spacing w:line="360" w:lineRule="auto"/>
              <w:ind w:firstLine="0" w:firstLineChars="0"/>
              <w:rPr>
                <w:rFonts w:hint="eastAsia" w:ascii="宋体" w:hAnsi="宋体" w:eastAsia="宋体" w:cs="宋体"/>
                <w:b/>
                <w:bCs/>
                <w:sz w:val="24"/>
              </w:rPr>
            </w:pPr>
            <w:r>
              <w:rPr>
                <w:rFonts w:hint="eastAsia" w:ascii="宋体" w:hAnsi="宋体" w:eastAsia="宋体" w:cs="宋体"/>
                <w:b/>
                <w:bCs/>
                <w:sz w:val="24"/>
              </w:rPr>
              <w:t>友情提示：</w:t>
            </w:r>
          </w:p>
          <w:p>
            <w:pPr>
              <w:pStyle w:val="141"/>
              <w:spacing w:line="360" w:lineRule="auto"/>
              <w:ind w:firstLine="482"/>
              <w:rPr>
                <w:rFonts w:hint="eastAsia" w:ascii="宋体" w:hAnsi="宋体" w:eastAsia="宋体" w:cs="宋体"/>
                <w:b/>
                <w:bCs/>
                <w:sz w:val="24"/>
              </w:rPr>
            </w:pPr>
            <w:r>
              <w:rPr>
                <w:rFonts w:hint="eastAsia" w:ascii="宋体" w:hAnsi="宋体" w:eastAsia="宋体" w:cs="宋体"/>
                <w:b/>
                <w:bCs/>
                <w:sz w:val="24"/>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141"/>
              <w:spacing w:line="360" w:lineRule="auto"/>
              <w:ind w:firstLine="482"/>
              <w:rPr>
                <w:rFonts w:hint="eastAsia" w:ascii="宋体" w:hAnsi="宋体" w:eastAsia="宋体" w:cs="宋体"/>
                <w:b/>
                <w:bCs/>
                <w:sz w:val="24"/>
              </w:rPr>
            </w:pPr>
            <w:r>
              <w:rPr>
                <w:rFonts w:hint="eastAsia" w:ascii="宋体" w:hAnsi="宋体" w:eastAsia="宋体" w:cs="宋体"/>
                <w:b/>
                <w:bCs/>
                <w:sz w:val="24"/>
              </w:rPr>
              <w:t>（2）制作电子投标文件（*.SXSTF）需要使用专用制作工具。软件下载及操作说明详见西安市公共资源交易平台〖首页·〉服务指南·〉下载专区〗中的《政府采购项目投标文件制作软件及操作手册》。</w:t>
            </w:r>
          </w:p>
          <w:p>
            <w:pPr>
              <w:pStyle w:val="141"/>
              <w:spacing w:line="360" w:lineRule="auto"/>
              <w:ind w:firstLine="482"/>
              <w:rPr>
                <w:rFonts w:hint="eastAsia" w:ascii="宋体" w:hAnsi="宋体" w:eastAsia="宋体" w:cs="宋体"/>
                <w:b/>
                <w:bCs/>
                <w:sz w:val="24"/>
              </w:rPr>
            </w:pPr>
            <w:r>
              <w:rPr>
                <w:rFonts w:hint="eastAsia" w:ascii="宋体" w:hAnsi="宋体" w:eastAsia="宋体" w:cs="宋体"/>
                <w:b/>
                <w:bCs/>
                <w:sz w:val="24"/>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141"/>
              <w:spacing w:line="360" w:lineRule="auto"/>
              <w:ind w:firstLine="482"/>
              <w:rPr>
                <w:rFonts w:hint="eastAsia" w:ascii="宋体" w:hAnsi="宋体" w:eastAsia="宋体" w:cs="宋体"/>
                <w:b/>
                <w:bCs/>
                <w:sz w:val="24"/>
              </w:rPr>
            </w:pPr>
            <w:r>
              <w:rPr>
                <w:rFonts w:hint="eastAsia" w:ascii="宋体" w:hAnsi="宋体" w:eastAsia="宋体" w:cs="宋体"/>
                <w:b/>
                <w:bCs/>
                <w:sz w:val="24"/>
              </w:rPr>
              <w:t>（4）提交投标文件的方式：从西安市公共资源交易平台〖首页·〉电子交易平台·〉陕西政府采购交易系统·〉企业端〗登录，登录后切换到〖我的项目〗模块，依次点选〖项目流程·〉项目管理·〉上传响应文件〗上传加密后的电子投标文件（*.SXSTF），逾期提交的，系统将拒绝接收。</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（5）开标形式：本项目将采用“不见面开标”形式。操作说明详见平台〖首页·〉服务指南·〉下载专区〗中的《西安公共资源交易不见面开标大厅供应商操作手册》。</w:t>
            </w:r>
          </w:p>
        </w:tc>
      </w:tr>
      <w:bookmarkEnd w:id="29"/>
    </w:tbl>
    <w:p>
      <w:pP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pP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1. </w:t>
      </w:r>
      <w:bookmarkStart w:id="30" w:name="_Toc144974497"/>
      <w:bookmarkStart w:id="31" w:name="_Toc152042305"/>
      <w:bookmarkStart w:id="32" w:name="_Toc152045529"/>
      <w:r>
        <w:rPr>
          <w:rFonts w:hint="eastAsia" w:ascii="宋体" w:hAnsi="宋体" w:eastAsia="宋体" w:cs="宋体"/>
          <w:b/>
          <w:color w:val="000000" w:themeColor="text1"/>
          <w:sz w:val="24"/>
          <w14:textFill>
            <w14:solidFill>
              <w14:schemeClr w14:val="tx1"/>
            </w14:solidFill>
          </w14:textFill>
        </w:rPr>
        <w:t>总则</w:t>
      </w:r>
      <w:bookmarkEnd w:id="0"/>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33" w:name="_Toc339012127"/>
      <w:bookmarkStart w:id="34" w:name="_Toc339114110"/>
      <w:bookmarkStart w:id="35" w:name="_Toc331665289"/>
      <w:r>
        <w:rPr>
          <w:rFonts w:hint="eastAsia" w:ascii="宋体" w:hAnsi="宋体" w:eastAsia="宋体" w:cs="宋体"/>
          <w:color w:val="000000" w:themeColor="text1"/>
          <w:sz w:val="24"/>
          <w14:textFill>
            <w14:solidFill>
              <w14:schemeClr w14:val="tx1"/>
            </w14:solidFill>
          </w14:textFill>
        </w:rPr>
        <w:t>1.1</w:t>
      </w:r>
      <w:bookmarkEnd w:id="30"/>
      <w:bookmarkEnd w:id="31"/>
      <w:bookmarkEnd w:id="32"/>
      <w:r>
        <w:rPr>
          <w:rFonts w:hint="eastAsia" w:ascii="宋体" w:hAnsi="宋体" w:eastAsia="宋体" w:cs="宋体"/>
          <w:color w:val="000000" w:themeColor="text1"/>
          <w:sz w:val="24"/>
          <w14:textFill>
            <w14:solidFill>
              <w14:schemeClr w14:val="tx1"/>
            </w14:solidFill>
          </w14:textFill>
        </w:rPr>
        <w:t>项目概况</w:t>
      </w:r>
      <w:bookmarkEnd w:id="33"/>
      <w:bookmarkEnd w:id="34"/>
      <w:bookmarkEnd w:id="35"/>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1.1.1根据《中华人民共和国政府采购法》等有关法律、法规和规章的规定，本招标项目已具备招标条件，现对本项目进行招标。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1.1.2采购人：西安市未央区教育局</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1.1.3监督机构：西安市未央区财政局</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1.1.4采购代理机构：陕西嘉唐建设项目管理有限公司</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1.1.5供应商/投标人：指无条件接受招标文件的各项要求，具备相应履约能力、具有《中华人民共和国政府采购法》第22条规定的相关条件并向评标委员会提交投标文件的供应商。</w:t>
      </w:r>
    </w:p>
    <w:p>
      <w:pPr>
        <w:tabs>
          <w:tab w:val="left" w:pos="240"/>
        </w:tabs>
        <w:spacing w:line="360" w:lineRule="auto"/>
        <w:ind w:left="-120" w:leftChars="-57" w:firstLine="480" w:firstLineChars="200"/>
        <w:rPr>
          <w:rFonts w:hint="eastAsia" w:ascii="宋体" w:hAnsi="宋体" w:eastAsia="宋体" w:cs="宋体"/>
          <w:sz w:val="24"/>
        </w:rPr>
      </w:pPr>
      <w:r>
        <w:rPr>
          <w:rFonts w:hint="eastAsia" w:ascii="宋体" w:hAnsi="宋体" w:eastAsia="宋体" w:cs="宋体"/>
          <w:sz w:val="24"/>
        </w:rPr>
        <w:t>1.1.6评标委员会：依据《</w:t>
      </w:r>
      <w:r>
        <w:rPr>
          <w:rFonts w:hint="eastAsia" w:ascii="宋体" w:hAnsi="宋体" w:eastAsia="宋体" w:cs="宋体"/>
          <w:color w:val="000000" w:themeColor="text1"/>
          <w:sz w:val="24"/>
          <w14:textFill>
            <w14:solidFill>
              <w14:schemeClr w14:val="tx1"/>
            </w14:solidFill>
          </w14:textFill>
        </w:rPr>
        <w:t>中华人民共和国</w:t>
      </w:r>
      <w:r>
        <w:rPr>
          <w:rFonts w:hint="eastAsia" w:ascii="宋体" w:hAnsi="宋体" w:eastAsia="宋体" w:cs="宋体"/>
          <w:sz w:val="24"/>
        </w:rPr>
        <w:t>政府采购法》等有关规定组建，依法履行评审采购活动职责的评审成员</w:t>
      </w:r>
    </w:p>
    <w:p>
      <w:pPr>
        <w:tabs>
          <w:tab w:val="left" w:pos="240"/>
        </w:tabs>
        <w:spacing w:line="360" w:lineRule="auto"/>
        <w:ind w:left="-120" w:leftChars="-57" w:firstLine="480" w:firstLineChars="200"/>
        <w:rPr>
          <w:rFonts w:hint="eastAsia" w:ascii="宋体" w:hAnsi="宋体" w:eastAsia="宋体" w:cs="宋体"/>
          <w:sz w:val="24"/>
        </w:rPr>
      </w:pPr>
      <w:r>
        <w:rPr>
          <w:rFonts w:hint="eastAsia" w:ascii="宋体" w:hAnsi="宋体" w:eastAsia="宋体" w:cs="宋体"/>
          <w:sz w:val="24"/>
        </w:rPr>
        <w:t>1.1.7中标人：由评标委员会推荐经采购人确认的成交供应商</w:t>
      </w:r>
    </w:p>
    <w:p>
      <w:pPr>
        <w:tabs>
          <w:tab w:val="left" w:pos="240"/>
        </w:tabs>
        <w:spacing w:line="360" w:lineRule="auto"/>
        <w:ind w:left="-120" w:leftChars="-57" w:firstLine="480" w:firstLineChars="200"/>
        <w:rPr>
          <w:rFonts w:hint="eastAsia" w:ascii="宋体" w:hAnsi="宋体" w:eastAsia="宋体" w:cs="宋体"/>
          <w:sz w:val="24"/>
        </w:rPr>
      </w:pPr>
      <w:r>
        <w:rPr>
          <w:rFonts w:hint="eastAsia" w:ascii="宋体" w:hAnsi="宋体" w:eastAsia="宋体" w:cs="宋体"/>
          <w:sz w:val="24"/>
        </w:rPr>
        <w:t>1.1.8西安市公共资源交易平台：即【全国公共资源交易平台（陕西省·西安市）】的简称，官网地址</w:t>
      </w:r>
      <w:r>
        <w:rPr>
          <w:rFonts w:hint="eastAsia" w:ascii="宋体" w:hAnsi="宋体" w:eastAsia="宋体" w:cs="宋体"/>
        </w:rPr>
        <w:fldChar w:fldCharType="begin"/>
      </w:r>
      <w:r>
        <w:rPr>
          <w:rFonts w:hint="eastAsia" w:ascii="宋体" w:hAnsi="宋体" w:eastAsia="宋体" w:cs="宋体"/>
        </w:rPr>
        <w:instrText xml:space="preserve"> HYPERLINK "http://sxggzyjy.xa.gov.cn/" </w:instrText>
      </w:r>
      <w:r>
        <w:rPr>
          <w:rFonts w:hint="eastAsia" w:ascii="宋体" w:hAnsi="宋体" w:eastAsia="宋体" w:cs="宋体"/>
        </w:rPr>
        <w:fldChar w:fldCharType="separate"/>
      </w:r>
      <w:r>
        <w:rPr>
          <w:rFonts w:hint="eastAsia" w:ascii="宋体" w:hAnsi="宋体" w:eastAsia="宋体" w:cs="宋体"/>
          <w:sz w:val="24"/>
        </w:rPr>
        <w:t>http://sxggzyjy.xa.gov.cn/</w:t>
      </w:r>
      <w:r>
        <w:rPr>
          <w:rFonts w:hint="eastAsia" w:ascii="宋体" w:hAnsi="宋体" w:eastAsia="宋体" w:cs="宋体"/>
          <w:sz w:val="24"/>
        </w:rPr>
        <w:fldChar w:fldCharType="end"/>
      </w:r>
      <w:r>
        <w:rPr>
          <w:rFonts w:hint="eastAsia" w:ascii="宋体" w:hAnsi="宋体" w:eastAsia="宋体" w:cs="宋体"/>
          <w:sz w:val="24"/>
        </w:rPr>
        <w:t>。</w:t>
      </w:r>
    </w:p>
    <w:p>
      <w:pPr>
        <w:tabs>
          <w:tab w:val="left" w:pos="240"/>
        </w:tabs>
        <w:spacing w:line="360" w:lineRule="auto"/>
        <w:ind w:left="-120" w:leftChars="-57" w:firstLine="480" w:firstLineChars="200"/>
        <w:rPr>
          <w:rFonts w:hint="eastAsia" w:ascii="宋体" w:hAnsi="宋体" w:eastAsia="宋体" w:cs="宋体"/>
          <w:sz w:val="24"/>
        </w:rPr>
      </w:pPr>
      <w:r>
        <w:rPr>
          <w:rFonts w:hint="eastAsia" w:ascii="宋体" w:hAnsi="宋体" w:eastAsia="宋体" w:cs="宋体"/>
          <w:sz w:val="24"/>
        </w:rPr>
        <w:t>1.1.9企业端：指西安市公共资源交易平台〖首页·〉电子交易平台·〉陕西政府采购交易系统·〉企业端〗，快捷登录网址</w:t>
      </w:r>
      <w:r>
        <w:rPr>
          <w:rFonts w:hint="eastAsia" w:ascii="宋体" w:hAnsi="宋体" w:eastAsia="宋体" w:cs="宋体"/>
          <w:sz w:val="24"/>
        </w:rPr>
        <w:fldChar w:fldCharType="begin"/>
      </w:r>
      <w:r>
        <w:rPr>
          <w:rFonts w:hint="eastAsia" w:ascii="宋体" w:hAnsi="宋体" w:eastAsia="宋体" w:cs="宋体"/>
          <w:sz w:val="24"/>
        </w:rPr>
        <w:instrText xml:space="preserve"> HYPERLINK "http://www.sxggzyjy.cn:9002/TPBidder/memberLogin" </w:instrText>
      </w:r>
      <w:r>
        <w:rPr>
          <w:rFonts w:hint="eastAsia" w:ascii="宋体" w:hAnsi="宋体" w:eastAsia="宋体" w:cs="宋体"/>
          <w:sz w:val="24"/>
        </w:rPr>
        <w:fldChar w:fldCharType="separate"/>
      </w:r>
      <w:r>
        <w:rPr>
          <w:rFonts w:hint="eastAsia" w:ascii="宋体" w:hAnsi="宋体" w:eastAsia="宋体" w:cs="宋体"/>
          <w:sz w:val="24"/>
        </w:rPr>
        <w:t>http://www.sxggzyjy.cn:9002/TPBidder/memberLogin</w:t>
      </w:r>
      <w:r>
        <w:rPr>
          <w:rFonts w:hint="eastAsia" w:ascii="宋体" w:hAnsi="宋体" w:eastAsia="宋体" w:cs="宋体"/>
          <w:sz w:val="24"/>
        </w:rPr>
        <w:fldChar w:fldCharType="end"/>
      </w:r>
      <w:r>
        <w:rPr>
          <w:rFonts w:hint="eastAsia" w:ascii="宋体" w:hAnsi="宋体" w:eastAsia="宋体" w:cs="宋体"/>
          <w:sz w:val="24"/>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1.1.10合格供应商的基本要求：</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.1具有独立承担民事责任的能力；</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.2具有良好的商业信誉和健全的财务会计制度；</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.3具有履行合同所必需的设备和专业技术能力；</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.4有依法缴纳税收和社会保障资金的良好记录；</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.5参加政府采购活动前三年内，在经营活动中没有重大违法记录；</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.6具备法律行政法规规定的其他条件。</w:t>
      </w:r>
    </w:p>
    <w:p>
      <w:pPr>
        <w:pStyle w:val="2"/>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.7完全同意并愿意自觉遵守本招标文件中的所有规定和要求。</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36" w:name="_Toc339114111"/>
      <w:bookmarkStart w:id="37" w:name="_Toc339012128"/>
      <w:bookmarkStart w:id="38" w:name="_Toc331665290"/>
      <w:r>
        <w:rPr>
          <w:rFonts w:hint="eastAsia" w:ascii="宋体" w:hAnsi="宋体" w:eastAsia="宋体" w:cs="宋体"/>
          <w:color w:val="000000" w:themeColor="text1"/>
          <w:sz w:val="24"/>
          <w14:textFill>
            <w14:solidFill>
              <w14:schemeClr w14:val="tx1"/>
            </w14:solidFill>
          </w14:textFill>
        </w:rPr>
        <w:t xml:space="preserve">1.2 </w:t>
      </w:r>
      <w:bookmarkStart w:id="39" w:name="_Toc152045531"/>
      <w:bookmarkStart w:id="40" w:name="_Toc144974499"/>
      <w:bookmarkStart w:id="41" w:name="_Toc152042307"/>
      <w:r>
        <w:rPr>
          <w:rFonts w:hint="eastAsia" w:ascii="宋体" w:hAnsi="宋体" w:eastAsia="宋体" w:cs="宋体"/>
          <w:color w:val="000000" w:themeColor="text1"/>
          <w:sz w:val="24"/>
          <w14:textFill>
            <w14:solidFill>
              <w14:schemeClr w14:val="tx1"/>
            </w14:solidFill>
          </w14:textFill>
        </w:rPr>
        <w:t>资金来源和落实情况</w:t>
      </w:r>
      <w:bookmarkEnd w:id="36"/>
      <w:bookmarkEnd w:id="37"/>
      <w:bookmarkEnd w:id="38"/>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bookmarkEnd w:id="39"/>
      <w:bookmarkEnd w:id="40"/>
      <w:bookmarkEnd w:id="41"/>
      <w:r>
        <w:rPr>
          <w:rFonts w:hint="eastAsia" w:ascii="宋体" w:hAnsi="宋体" w:eastAsia="宋体" w:cs="宋体"/>
          <w:color w:val="000000" w:themeColor="text1"/>
          <w:sz w:val="24"/>
          <w14:textFill>
            <w14:solidFill>
              <w14:schemeClr w14:val="tx1"/>
            </w14:solidFill>
          </w14:textFill>
        </w:rPr>
        <w:t>.1 本招标项目的资金来源：财政资金。</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 本招标项目的资金落实情况：已落实</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42" w:name="_Toc339012129"/>
      <w:bookmarkStart w:id="43" w:name="_Toc331665291"/>
      <w:bookmarkStart w:id="44" w:name="_Toc339114112"/>
      <w:r>
        <w:rPr>
          <w:rFonts w:hint="eastAsia" w:ascii="宋体" w:hAnsi="宋体" w:eastAsia="宋体" w:cs="宋体"/>
          <w:color w:val="000000" w:themeColor="text1"/>
          <w:sz w:val="24"/>
          <w14:textFill>
            <w14:solidFill>
              <w14:schemeClr w14:val="tx1"/>
            </w14:solidFill>
          </w14:textFill>
        </w:rPr>
        <w:t xml:space="preserve">1.3 </w:t>
      </w:r>
      <w:bookmarkStart w:id="45" w:name="_Toc152042308"/>
      <w:bookmarkStart w:id="46" w:name="_Toc152045532"/>
      <w:bookmarkStart w:id="47" w:name="_Toc144974500"/>
      <w:r>
        <w:rPr>
          <w:rFonts w:hint="eastAsia" w:ascii="宋体" w:hAnsi="宋体" w:eastAsia="宋体" w:cs="宋体"/>
          <w:color w:val="000000" w:themeColor="text1"/>
          <w:sz w:val="24"/>
          <w14:textFill>
            <w14:solidFill>
              <w14:schemeClr w14:val="tx1"/>
            </w14:solidFill>
          </w14:textFill>
        </w:rPr>
        <w:t>工作内容、合同期限</w:t>
      </w:r>
      <w:bookmarkEnd w:id="42"/>
      <w:bookmarkEnd w:id="43"/>
      <w:bookmarkEnd w:id="44"/>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bookmarkEnd w:id="45"/>
      <w:bookmarkEnd w:id="46"/>
      <w:bookmarkEnd w:id="47"/>
      <w:r>
        <w:rPr>
          <w:rFonts w:hint="eastAsia" w:ascii="宋体" w:hAnsi="宋体" w:eastAsia="宋体" w:cs="宋体"/>
          <w:color w:val="000000" w:themeColor="text1"/>
          <w:sz w:val="24"/>
          <w14:textFill>
            <w14:solidFill>
              <w14:schemeClr w14:val="tx1"/>
            </w14:solidFill>
          </w14:textFill>
        </w:rPr>
        <w:t>.1 本次招标工作内容：</w:t>
      </w:r>
      <w:r>
        <w:rPr>
          <w:rFonts w:hint="eastAsia" w:ascii="宋体" w:hAnsi="宋体" w:eastAsia="宋体" w:cs="宋体"/>
          <w:sz w:val="24"/>
        </w:rPr>
        <w:t>本次招标内容为</w:t>
      </w:r>
      <w:r>
        <w:rPr>
          <w:rFonts w:hint="eastAsia" w:ascii="宋体" w:hAnsi="宋体" w:eastAsia="宋体" w:cs="宋体"/>
          <w:sz w:val="24"/>
          <w:lang w:eastAsia="zh-CN"/>
        </w:rPr>
        <w:t>西安市未央区教育局学校安全保障项目</w:t>
      </w:r>
      <w:r>
        <w:rPr>
          <w:rFonts w:hint="eastAsia" w:ascii="宋体" w:hAnsi="宋体" w:eastAsia="宋体" w:cs="宋体"/>
          <w:spacing w:val="-6"/>
          <w:sz w:val="24"/>
        </w:rPr>
        <w:t>，</w:t>
      </w:r>
      <w:r>
        <w:rPr>
          <w:rFonts w:hint="eastAsia" w:ascii="宋体" w:hAnsi="宋体" w:eastAsia="宋体" w:cs="宋体"/>
          <w:sz w:val="24"/>
        </w:rPr>
        <w:t>供应商</w:t>
      </w:r>
      <w:r>
        <w:rPr>
          <w:rFonts w:hint="eastAsia" w:ascii="宋体" w:hAnsi="宋体" w:eastAsia="宋体" w:cs="宋体"/>
          <w:color w:val="000000"/>
          <w:sz w:val="24"/>
        </w:rPr>
        <w:t>可根据自身的情况和经营范围</w:t>
      </w:r>
      <w:r>
        <w:rPr>
          <w:rFonts w:hint="eastAsia" w:ascii="宋体" w:hAnsi="宋体" w:eastAsia="宋体" w:cs="宋体"/>
          <w:sz w:val="24"/>
        </w:rPr>
        <w:t>对项目进行投标</w:t>
      </w:r>
      <w:r>
        <w:rPr>
          <w:rFonts w:hint="eastAsia" w:ascii="宋体" w:hAnsi="宋体" w:eastAsia="宋体" w:cs="宋体"/>
          <w:color w:val="000000"/>
          <w:sz w:val="24"/>
        </w:rPr>
        <w:t>，不得将其子目再行分解或只投其中的一部</w:t>
      </w:r>
      <w:r>
        <w:rPr>
          <w:rFonts w:hint="eastAsia" w:ascii="宋体" w:hAnsi="宋体" w:eastAsia="宋体" w:cs="宋体"/>
          <w:sz w:val="24"/>
        </w:rPr>
        <w:t>分内容，否则投标无效；开标、阅标、评标、定标、签订合同均以项目</w:t>
      </w:r>
      <w:r>
        <w:rPr>
          <w:rFonts w:hint="eastAsia" w:ascii="宋体" w:hAnsi="宋体" w:eastAsia="宋体" w:cs="宋体"/>
          <w:color w:val="000000"/>
          <w:sz w:val="24"/>
        </w:rPr>
        <w:t>为单位进行</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本项目的合同期限：</w:t>
      </w:r>
      <w:r>
        <w:rPr>
          <w:rFonts w:hint="eastAsia" w:ascii="宋体" w:hAnsi="宋体" w:eastAsia="宋体" w:cs="宋体"/>
          <w:sz w:val="24"/>
        </w:rPr>
        <w:t>见供应商须知前附表</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48" w:name="_Toc331665292"/>
      <w:bookmarkStart w:id="49" w:name="_Toc339114113"/>
      <w:bookmarkStart w:id="50" w:name="_Toc339012130"/>
      <w:r>
        <w:rPr>
          <w:rFonts w:hint="eastAsia" w:ascii="宋体" w:hAnsi="宋体" w:eastAsia="宋体" w:cs="宋体"/>
          <w:color w:val="000000" w:themeColor="text1"/>
          <w:sz w:val="24"/>
          <w14:textFill>
            <w14:solidFill>
              <w14:schemeClr w14:val="tx1"/>
            </w14:solidFill>
          </w14:textFill>
        </w:rPr>
        <w:t xml:space="preserve">1.4 </w:t>
      </w:r>
      <w:bookmarkStart w:id="51" w:name="_Toc152045533"/>
      <w:bookmarkStart w:id="52" w:name="_Toc152042309"/>
      <w:bookmarkStart w:id="53" w:name="_Toc144974501"/>
      <w:r>
        <w:rPr>
          <w:rFonts w:hint="eastAsia" w:ascii="宋体" w:hAnsi="宋体" w:eastAsia="宋体" w:cs="宋体"/>
          <w:color w:val="000000" w:themeColor="text1"/>
          <w:sz w:val="24"/>
          <w14:textFill>
            <w14:solidFill>
              <w14:schemeClr w14:val="tx1"/>
            </w14:solidFill>
          </w14:textFill>
        </w:rPr>
        <w:t>供应商资格要求</w:t>
      </w:r>
      <w:bookmarkEnd w:id="48"/>
      <w:bookmarkEnd w:id="49"/>
      <w:bookmarkEnd w:id="50"/>
    </w:p>
    <w:bookmarkEnd w:id="51"/>
    <w:bookmarkEnd w:id="52"/>
    <w:bookmarkEnd w:id="53"/>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bookmarkStart w:id="54" w:name="_Toc339012131"/>
      <w:bookmarkStart w:id="55" w:name="_Toc339114114"/>
      <w:bookmarkStart w:id="56" w:name="_Toc331665293"/>
      <w:r>
        <w:rPr>
          <w:rFonts w:hint="eastAsia" w:ascii="宋体" w:hAnsi="宋体" w:eastAsia="宋体" w:cs="宋体"/>
          <w:color w:val="000000" w:themeColor="text1"/>
          <w:kern w:val="0"/>
          <w:sz w:val="24"/>
          <w14:textFill>
            <w14:solidFill>
              <w14:schemeClr w14:val="tx1"/>
            </w14:solidFill>
          </w14:textFill>
        </w:rPr>
        <w:t>1.4.1基本资格条件：符合《中华人民共和国政府采购法》第二十二条的规定；并提供以下资料：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①具有独立承担民事责任能力的法人或其他组织，提供有效存续的营业执照或事业单位法人证书或非企业专业服务机构执业许可证或民办非企业单位登记证书或自然人的身份证明；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②财务状况报告：提供经审计的</w:t>
      </w:r>
      <w:r>
        <w:rPr>
          <w:rFonts w:hint="eastAsia" w:ascii="宋体" w:hAnsi="宋体" w:eastAsia="宋体" w:cs="宋体"/>
          <w:sz w:val="24"/>
          <w:lang w:val="en-US" w:eastAsia="zh-CN"/>
        </w:rPr>
        <w:t>2022</w:t>
      </w:r>
      <w:r>
        <w:rPr>
          <w:rFonts w:hint="eastAsia" w:ascii="宋体" w:hAnsi="宋体" w:eastAsia="宋体" w:cs="宋体"/>
          <w:sz w:val="24"/>
        </w:rPr>
        <w:t>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③税收缴纳证明：提供已缴纳的2022年</w:t>
      </w:r>
      <w:r>
        <w:rPr>
          <w:rFonts w:hint="eastAsia" w:ascii="宋体" w:hAnsi="宋体" w:cs="宋体"/>
          <w:sz w:val="24"/>
          <w:lang w:val="en-US" w:eastAsia="zh-CN"/>
        </w:rPr>
        <w:t>8</w:t>
      </w:r>
      <w:r>
        <w:rPr>
          <w:rFonts w:hint="eastAsia" w:ascii="宋体" w:hAnsi="宋体" w:eastAsia="宋体" w:cs="宋体"/>
          <w:sz w:val="24"/>
        </w:rPr>
        <w:t>月至今任意一个月的纳税证明或完税证明，纳税证明或完税证明上应有代收机构或税务机关的公章或业务专用章。依法免税的供应商应提供相关文件证明；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④供应商须提供具有履行合同所必需的设备和专业技术能力的承诺；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⑤社会保障资金缴纳证明：提供已缴存的2022年</w:t>
      </w:r>
      <w:r>
        <w:rPr>
          <w:rFonts w:hint="eastAsia" w:ascii="宋体" w:hAnsi="宋体" w:cs="宋体"/>
          <w:sz w:val="24"/>
          <w:lang w:val="en-US" w:eastAsia="zh-CN"/>
        </w:rPr>
        <w:t>8</w:t>
      </w:r>
      <w:r>
        <w:rPr>
          <w:rFonts w:hint="eastAsia" w:ascii="宋体" w:hAnsi="宋体" w:eastAsia="宋体" w:cs="宋体"/>
          <w:sz w:val="24"/>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⑥出具参加本次政府采购活动前三年内在经营活动中没有重大违法记录的书面声明；</w:t>
      </w:r>
    </w:p>
    <w:p>
      <w:pPr>
        <w:spacing w:line="360" w:lineRule="auto"/>
        <w:ind w:firstLine="480" w:firstLineChars="200"/>
        <w:rPr>
          <w:rFonts w:hint="eastAsia" w:ascii="宋体" w:hAnsi="宋体" w:eastAsia="宋体" w:cs="宋体"/>
          <w:color w:val="000000" w:themeColor="text1"/>
          <w:kern w:val="0"/>
          <w:sz w:val="24"/>
          <w:highlight w:val="yellow"/>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1.4.2落实政府采购政策需满足的资格要求：</w:t>
      </w:r>
      <w:r>
        <w:rPr>
          <w:rFonts w:hint="eastAsia" w:ascii="宋体" w:hAnsi="宋体" w:eastAsia="宋体" w:cs="宋体"/>
          <w:color w:val="000000" w:themeColor="text1"/>
          <w:kern w:val="0"/>
          <w:sz w:val="24"/>
          <w:lang w:eastAsia="zh-CN"/>
          <w14:textFill>
            <w14:solidFill>
              <w14:schemeClr w14:val="tx1"/>
            </w14:solidFill>
          </w14:textFill>
        </w:rPr>
        <w:t>本项目专门面向小微企业采购</w:t>
      </w:r>
      <w:r>
        <w:rPr>
          <w:rFonts w:hint="eastAsia" w:ascii="宋体" w:hAnsi="宋体" w:eastAsia="宋体" w:cs="宋体"/>
          <w:color w:val="000000" w:themeColor="text1"/>
          <w:kern w:val="0"/>
          <w:sz w:val="24"/>
          <w14:textFill>
            <w14:solidFill>
              <w14:schemeClr w14:val="tx1"/>
            </w14:solidFill>
          </w14:textFill>
        </w:rPr>
        <w:t>（残疾人福利性单位及监狱企业视同小型、微型企业）（提供声明函）</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1.4.3</w:t>
      </w:r>
      <w:r>
        <w:rPr>
          <w:rFonts w:hint="eastAsia" w:ascii="宋体" w:hAnsi="宋体" w:eastAsia="宋体" w:cs="宋体"/>
          <w:color w:val="000000" w:themeColor="text1"/>
          <w:kern w:val="0"/>
          <w:sz w:val="24"/>
          <w:highlight w:val="none"/>
          <w14:textFill>
            <w14:solidFill>
              <w14:schemeClr w14:val="tx1"/>
            </w14:solidFill>
          </w14:textFill>
        </w:rPr>
        <w:t>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①具有建筑工程施工总承包三级及以上资质，并具备有效的安全生产许可证</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②拟派项目经理须具有建筑工程专业二级及以上注册建造师证书和有效的安全生产考核证书（B证）在本单位注册且无在建工程、无不良记录（提供无在建工程、无不良记录承诺书）；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③供应商及拟派项目经理基本信息应在“陕西省住房和城乡建设厅网站（http://js.shaanxi.gov.cn/）陕西省建筑市场监管与诚信信息发布平台”可查询；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④</w:t>
      </w:r>
      <w:r>
        <w:rPr>
          <w:rFonts w:hint="eastAsia" w:ascii="宋体" w:hAnsi="宋体" w:eastAsia="宋体" w:cs="宋体"/>
          <w:sz w:val="24"/>
          <w:szCs w:val="24"/>
        </w:rPr>
        <w:t>法定代表人参加投标的提供法定代表人身份证明及身份证，委托代理人参加投标的提供授权委托书及委托代理人身份证，备注：分支机构由分支机构负责人授权即可；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222222"/>
          <w:highlight w:val="yellow"/>
          <w:shd w:val="clear" w:color="auto" w:fill="FFFFFF"/>
        </w:rPr>
      </w:pPr>
      <w:r>
        <w:rPr>
          <w:rFonts w:hint="eastAsia" w:ascii="宋体" w:hAnsi="宋体" w:eastAsia="宋体" w:cs="宋体"/>
          <w:sz w:val="24"/>
          <w:szCs w:val="24"/>
          <w:lang w:eastAsia="zh-CN"/>
        </w:rPr>
        <w:t>⑤</w:t>
      </w:r>
      <w:r>
        <w:rPr>
          <w:rFonts w:hint="eastAsia" w:ascii="宋体" w:hAnsi="宋体" w:eastAsia="宋体" w:cs="宋体"/>
          <w:sz w:val="24"/>
          <w:szCs w:val="24"/>
        </w:rPr>
        <w:t>本项目不接受联合体投标（提供声明材料）。</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 投标单位信用记录查询及使用：</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①查询渠道：投标单位通过“信用中国”网站(www.creditchina.gov.cn)、中国政府采购网(www.ccgp.gov.cn)等渠道查询相关主体信用记录；</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②查询截止时点：投标文件递交截止时间后 2 小时内；</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③查询记录和证据留存方式：（代理机构网站截图留存）；</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④使用规则：对列入失信被执行人、重大税收违法案件当事人名单（重大税收违法失信主体）、政府采购严重违法失信行为记录名单的投标单位，其投标无效；</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1.5.1特别说明：</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①投标单位如在中标通知书发出前出现违法失信行为，采购人仍有权利提请评标委员会取消其中标资格；</w:t>
      </w:r>
    </w:p>
    <w:p>
      <w:pPr>
        <w:pStyle w:val="37"/>
        <w:spacing w:before="0" w:beforeAutospacing="0" w:after="0" w:afterAutospacing="0" w:line="51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②投标单位在投标文件中已出具的信用查询结果并不能取代采购人或采购代理机构在开标前进行复查。</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bookmarkStart w:id="57" w:name="_Toc144974503"/>
      <w:bookmarkStart w:id="58" w:name="_Toc152042311"/>
      <w:bookmarkStart w:id="59" w:name="_Toc152045535"/>
      <w:r>
        <w:rPr>
          <w:rFonts w:hint="eastAsia" w:ascii="宋体" w:hAnsi="宋体" w:eastAsia="宋体" w:cs="宋体"/>
          <w:color w:val="000000" w:themeColor="text1"/>
          <w:sz w:val="24"/>
          <w14:textFill>
            <w14:solidFill>
              <w14:schemeClr w14:val="tx1"/>
            </w14:solidFill>
          </w14:textFill>
        </w:rPr>
        <w:t>6费用承担</w:t>
      </w:r>
      <w:bookmarkEnd w:id="54"/>
      <w:bookmarkEnd w:id="55"/>
      <w:bookmarkEnd w:id="56"/>
    </w:p>
    <w:bookmarkEnd w:id="57"/>
    <w:bookmarkEnd w:id="58"/>
    <w:bookmarkEnd w:id="59"/>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bookmarkStart w:id="60" w:name="_Toc339012132"/>
      <w:bookmarkStart w:id="61" w:name="_Toc331665294"/>
      <w:bookmarkStart w:id="62" w:name="_Toc339114115"/>
      <w:r>
        <w:rPr>
          <w:rFonts w:hint="eastAsia" w:ascii="宋体" w:hAnsi="宋体" w:eastAsia="宋体" w:cs="宋体"/>
          <w:color w:val="000000" w:themeColor="text1"/>
          <w:sz w:val="24"/>
          <w14:textFill>
            <w14:solidFill>
              <w14:schemeClr w14:val="tx1"/>
            </w14:solidFill>
          </w14:textFill>
        </w:rPr>
        <w:t>无论投标的结果如何，供应商自行承担参加投标相关的全部费用。</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w:t>
      </w:r>
      <w:bookmarkStart w:id="63" w:name="_Toc144974504"/>
      <w:bookmarkStart w:id="64" w:name="_Toc152045536"/>
      <w:bookmarkStart w:id="65" w:name="_Toc152042312"/>
      <w:r>
        <w:rPr>
          <w:rFonts w:hint="eastAsia" w:ascii="宋体" w:hAnsi="宋体" w:eastAsia="宋体" w:cs="宋体"/>
          <w:color w:val="000000" w:themeColor="text1"/>
          <w:sz w:val="24"/>
          <w14:textFill>
            <w14:solidFill>
              <w14:schemeClr w14:val="tx1"/>
            </w14:solidFill>
          </w14:textFill>
        </w:rPr>
        <w:t>保密</w:t>
      </w:r>
      <w:bookmarkEnd w:id="60"/>
      <w:bookmarkEnd w:id="61"/>
      <w:bookmarkEnd w:id="62"/>
    </w:p>
    <w:p>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参与招</w:t>
      </w:r>
      <w:bookmarkEnd w:id="63"/>
      <w:bookmarkEnd w:id="64"/>
      <w:bookmarkEnd w:id="65"/>
      <w:r>
        <w:rPr>
          <w:rFonts w:hint="eastAsia" w:ascii="宋体" w:hAnsi="宋体" w:eastAsia="宋体" w:cs="宋体"/>
          <w:color w:val="000000" w:themeColor="text1"/>
          <w:sz w:val="24"/>
          <w14:textFill>
            <w14:solidFill>
              <w14:schemeClr w14:val="tx1"/>
            </w14:solidFill>
          </w14:textFill>
        </w:rPr>
        <w:t>标投标活动的各方应对招标文件和投标文件中的商业和技术等秘密保密，违者应对由此造成的后果承担法律责任。</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bookmarkStart w:id="66" w:name="_Toc331665295"/>
      <w:bookmarkStart w:id="67" w:name="_Toc339114116"/>
      <w:bookmarkStart w:id="68" w:name="_Toc339012133"/>
      <w:r>
        <w:rPr>
          <w:rFonts w:hint="eastAsia" w:ascii="宋体" w:hAnsi="宋体" w:eastAsia="宋体" w:cs="宋体"/>
          <w:color w:val="000000" w:themeColor="text1"/>
          <w:sz w:val="24"/>
          <w14:textFill>
            <w14:solidFill>
              <w14:schemeClr w14:val="tx1"/>
            </w14:solidFill>
          </w14:textFill>
        </w:rPr>
        <w:t>1.8</w:t>
      </w:r>
      <w:bookmarkStart w:id="69" w:name="_Toc144974505"/>
      <w:bookmarkStart w:id="70" w:name="_Toc152042313"/>
      <w:bookmarkStart w:id="71" w:name="_Toc152045537"/>
      <w:r>
        <w:rPr>
          <w:rFonts w:hint="eastAsia" w:ascii="宋体" w:hAnsi="宋体" w:eastAsia="宋体" w:cs="宋体"/>
          <w:color w:val="000000" w:themeColor="text1"/>
          <w:sz w:val="24"/>
          <w14:textFill>
            <w14:solidFill>
              <w14:schemeClr w14:val="tx1"/>
            </w14:solidFill>
          </w14:textFill>
        </w:rPr>
        <w:t>语言文字</w:t>
      </w:r>
      <w:bookmarkEnd w:id="66"/>
      <w:bookmarkEnd w:id="67"/>
      <w:bookmarkEnd w:id="68"/>
    </w:p>
    <w:p>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w:t>
      </w:r>
      <w:bookmarkEnd w:id="69"/>
      <w:r>
        <w:rPr>
          <w:rFonts w:hint="eastAsia" w:ascii="宋体" w:hAnsi="宋体" w:eastAsia="宋体" w:cs="宋体"/>
          <w:color w:val="000000" w:themeColor="text1"/>
          <w:sz w:val="24"/>
          <w14:textFill>
            <w14:solidFill>
              <w14:schemeClr w14:val="tx1"/>
            </w14:solidFill>
          </w14:textFill>
        </w:rPr>
        <w:t>专用</w:t>
      </w:r>
      <w:bookmarkEnd w:id="70"/>
      <w:bookmarkEnd w:id="71"/>
      <w:r>
        <w:rPr>
          <w:rFonts w:hint="eastAsia" w:ascii="宋体" w:hAnsi="宋体" w:eastAsia="宋体" w:cs="宋体"/>
          <w:color w:val="000000" w:themeColor="text1"/>
          <w:sz w:val="24"/>
          <w14:textFill>
            <w14:solidFill>
              <w14:schemeClr w14:val="tx1"/>
            </w14:solidFill>
          </w14:textFill>
        </w:rPr>
        <w:t>术语外，与招标投标有关的语言均使用中文。必要时专用术语应附有中文注释。</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bookmarkStart w:id="72" w:name="_Toc339012134"/>
      <w:bookmarkStart w:id="73" w:name="_Toc339114117"/>
      <w:bookmarkStart w:id="74" w:name="_Toc331665296"/>
      <w:r>
        <w:rPr>
          <w:rFonts w:hint="eastAsia" w:ascii="宋体" w:hAnsi="宋体" w:eastAsia="宋体" w:cs="宋体"/>
          <w:color w:val="000000" w:themeColor="text1"/>
          <w:sz w:val="24"/>
          <w14:textFill>
            <w14:solidFill>
              <w14:schemeClr w14:val="tx1"/>
            </w14:solidFill>
          </w14:textFill>
        </w:rPr>
        <w:t>1.9</w:t>
      </w:r>
      <w:bookmarkStart w:id="75" w:name="_Toc144974506"/>
      <w:bookmarkStart w:id="76" w:name="_Toc152045538"/>
      <w:bookmarkStart w:id="77" w:name="_Toc152042314"/>
      <w:r>
        <w:rPr>
          <w:rFonts w:hint="eastAsia" w:ascii="宋体" w:hAnsi="宋体" w:eastAsia="宋体" w:cs="宋体"/>
          <w:color w:val="000000" w:themeColor="text1"/>
          <w:sz w:val="24"/>
          <w14:textFill>
            <w14:solidFill>
              <w14:schemeClr w14:val="tx1"/>
            </w14:solidFill>
          </w14:textFill>
        </w:rPr>
        <w:t>计量单位</w:t>
      </w:r>
      <w:bookmarkEnd w:id="72"/>
      <w:bookmarkEnd w:id="73"/>
      <w:bookmarkEnd w:id="74"/>
    </w:p>
    <w:p>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所有计</w:t>
      </w:r>
      <w:bookmarkEnd w:id="75"/>
      <w:bookmarkEnd w:id="76"/>
      <w:bookmarkEnd w:id="77"/>
      <w:r>
        <w:rPr>
          <w:rFonts w:hint="eastAsia" w:ascii="宋体" w:hAnsi="宋体" w:eastAsia="宋体" w:cs="宋体"/>
          <w:color w:val="000000" w:themeColor="text1"/>
          <w:sz w:val="24"/>
          <w14:textFill>
            <w14:solidFill>
              <w14:schemeClr w14:val="tx1"/>
            </w14:solidFill>
          </w14:textFill>
        </w:rPr>
        <w:t>量均采用中华人民共和国法定计量单位。</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bookmarkStart w:id="78" w:name="_Toc339114118"/>
      <w:bookmarkStart w:id="79" w:name="_Toc331665297"/>
      <w:bookmarkStart w:id="80" w:name="_Toc339012135"/>
      <w:r>
        <w:rPr>
          <w:rFonts w:hint="eastAsia" w:ascii="宋体" w:hAnsi="宋体" w:eastAsia="宋体" w:cs="宋体"/>
          <w:color w:val="000000" w:themeColor="text1"/>
          <w:sz w:val="24"/>
          <w14:textFill>
            <w14:solidFill>
              <w14:schemeClr w14:val="tx1"/>
            </w14:solidFill>
          </w14:textFill>
        </w:rPr>
        <w:t>1.10.</w:t>
      </w:r>
      <w:bookmarkStart w:id="81" w:name="_Toc152042315"/>
      <w:bookmarkStart w:id="82" w:name="_Toc144974507"/>
      <w:bookmarkStart w:id="83" w:name="_Toc152045539"/>
      <w:r>
        <w:rPr>
          <w:rFonts w:hint="eastAsia" w:ascii="宋体" w:hAnsi="宋体" w:eastAsia="宋体" w:cs="宋体"/>
          <w:color w:val="000000" w:themeColor="text1"/>
          <w:sz w:val="24"/>
          <w14:textFill>
            <w14:solidFill>
              <w14:schemeClr w14:val="tx1"/>
            </w14:solidFill>
          </w14:textFill>
        </w:rPr>
        <w:t>踏勘现场</w:t>
      </w:r>
      <w:bookmarkEnd w:id="78"/>
      <w:bookmarkEnd w:id="79"/>
      <w:bookmarkEnd w:id="80"/>
    </w:p>
    <w:bookmarkEnd w:id="81"/>
    <w:bookmarkEnd w:id="82"/>
    <w:bookmarkEnd w:id="83"/>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bookmarkStart w:id="84" w:name="_Toc331665298"/>
      <w:bookmarkStart w:id="85" w:name="_Toc339012136"/>
      <w:bookmarkStart w:id="86" w:name="_Toc339114119"/>
      <w:r>
        <w:rPr>
          <w:rFonts w:hint="eastAsia" w:ascii="宋体" w:hAnsi="宋体" w:eastAsia="宋体" w:cs="宋体"/>
          <w:color w:val="000000" w:themeColor="text1"/>
          <w:sz w:val="24"/>
          <w14:textFill>
            <w14:solidFill>
              <w14:schemeClr w14:val="tx1"/>
            </w14:solidFill>
          </w14:textFill>
        </w:rPr>
        <w:t>/</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bookmarkStart w:id="87" w:name="_Toc152042316"/>
      <w:bookmarkStart w:id="88" w:name="_Toc152045540"/>
      <w:bookmarkStart w:id="89" w:name="_Toc144974508"/>
      <w:r>
        <w:rPr>
          <w:rFonts w:hint="eastAsia" w:ascii="宋体" w:hAnsi="宋体" w:eastAsia="宋体" w:cs="宋体"/>
          <w:color w:val="000000" w:themeColor="text1"/>
          <w:sz w:val="24"/>
          <w14:textFill>
            <w14:solidFill>
              <w14:schemeClr w14:val="tx1"/>
            </w14:solidFill>
          </w14:textFill>
        </w:rPr>
        <w:t>1投标预备会</w:t>
      </w:r>
      <w:bookmarkEnd w:id="84"/>
      <w:bookmarkEnd w:id="85"/>
      <w:bookmarkEnd w:id="86"/>
    </w:p>
    <w:p>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本项目不召开</w:t>
      </w:r>
      <w:bookmarkEnd w:id="87"/>
      <w:bookmarkEnd w:id="88"/>
      <w:bookmarkEnd w:id="89"/>
      <w:r>
        <w:rPr>
          <w:rFonts w:hint="eastAsia" w:ascii="宋体" w:hAnsi="宋体" w:eastAsia="宋体" w:cs="宋体"/>
          <w:color w:val="000000" w:themeColor="text1"/>
          <w:sz w:val="24"/>
          <w14:textFill>
            <w14:solidFill>
              <w14:schemeClr w14:val="tx1"/>
            </w14:solidFill>
          </w14:textFill>
        </w:rPr>
        <w:t>投标预备会。供应商如有疑问，请以书面形式在投标须知前附表规定的时间内提交给采购代理机构。</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1.12联合体投标</w:t>
      </w:r>
    </w:p>
    <w:p>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本项目不允许分包联合体投标。</w:t>
      </w:r>
    </w:p>
    <w:p>
      <w:pPr>
        <w:spacing w:line="348" w:lineRule="auto"/>
        <w:ind w:firstLine="470" w:firstLineChars="196"/>
        <w:rPr>
          <w:rFonts w:hint="eastAsia" w:ascii="宋体" w:hAnsi="宋体" w:eastAsia="宋体" w:cs="宋体"/>
          <w:color w:val="000000" w:themeColor="text1"/>
          <w:sz w:val="24"/>
          <w14:textFill>
            <w14:solidFill>
              <w14:schemeClr w14:val="tx1"/>
            </w14:solidFill>
          </w14:textFill>
        </w:rPr>
      </w:pPr>
      <w:bookmarkStart w:id="90" w:name="_Toc331665299"/>
      <w:bookmarkStart w:id="91" w:name="_Toc339012137"/>
      <w:bookmarkStart w:id="92" w:name="_Toc339114120"/>
      <w:r>
        <w:rPr>
          <w:rFonts w:hint="eastAsia" w:ascii="宋体" w:hAnsi="宋体" w:eastAsia="宋体" w:cs="宋体"/>
          <w:color w:val="000000" w:themeColor="text1"/>
          <w:sz w:val="24"/>
          <w14:textFill>
            <w14:solidFill>
              <w14:schemeClr w14:val="tx1"/>
            </w14:solidFill>
          </w14:textFill>
        </w:rPr>
        <w:t>1.1</w:t>
      </w:r>
      <w:bookmarkStart w:id="93" w:name="_Toc152042317"/>
      <w:bookmarkStart w:id="94" w:name="_Toc144974509"/>
      <w:bookmarkStart w:id="95" w:name="_Toc152045541"/>
      <w:r>
        <w:rPr>
          <w:rFonts w:hint="eastAsia" w:ascii="宋体" w:hAnsi="宋体" w:eastAsia="宋体" w:cs="宋体"/>
          <w:color w:val="000000" w:themeColor="text1"/>
          <w:sz w:val="24"/>
          <w14:textFill>
            <w14:solidFill>
              <w14:schemeClr w14:val="tx1"/>
            </w14:solidFill>
          </w14:textFill>
        </w:rPr>
        <w:t>3分包</w:t>
      </w:r>
      <w:bookmarkEnd w:id="90"/>
      <w:bookmarkEnd w:id="91"/>
      <w:bookmarkEnd w:id="92"/>
    </w:p>
    <w:bookmarkEnd w:id="93"/>
    <w:bookmarkEnd w:id="94"/>
    <w:bookmarkEnd w:id="95"/>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本项目不允许分包。</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96" w:name="_Toc339114121"/>
      <w:bookmarkStart w:id="97" w:name="_Toc339012138"/>
      <w:bookmarkStart w:id="98" w:name="_Toc331665300"/>
      <w:r>
        <w:rPr>
          <w:rFonts w:hint="eastAsia" w:ascii="宋体" w:hAnsi="宋体" w:eastAsia="宋体" w:cs="宋体"/>
          <w:color w:val="000000" w:themeColor="text1"/>
          <w:sz w:val="24"/>
          <w14:textFill>
            <w14:solidFill>
              <w14:schemeClr w14:val="tx1"/>
            </w14:solidFill>
          </w14:textFill>
        </w:rPr>
        <w:t>1.14偏离</w:t>
      </w:r>
      <w:bookmarkEnd w:id="96"/>
      <w:bookmarkEnd w:id="97"/>
      <w:bookmarkEnd w:id="98"/>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本项目不允许负偏离。</w:t>
      </w:r>
    </w:p>
    <w:p>
      <w:pPr>
        <w:spacing w:line="360" w:lineRule="auto"/>
        <w:rPr>
          <w:rFonts w:hint="eastAsia" w:ascii="宋体" w:hAnsi="宋体" w:eastAsia="宋体" w:cs="宋体"/>
          <w:b/>
          <w:color w:val="000000" w:themeColor="text1"/>
          <w:sz w:val="24"/>
          <w14:textFill>
            <w14:solidFill>
              <w14:schemeClr w14:val="tx1"/>
            </w14:solidFill>
          </w14:textFill>
        </w:rPr>
      </w:pPr>
      <w:bookmarkStart w:id="99" w:name="_Toc339114122"/>
      <w:r>
        <w:rPr>
          <w:rFonts w:hint="eastAsia" w:ascii="宋体" w:hAnsi="宋体" w:eastAsia="宋体" w:cs="宋体"/>
          <w:b/>
          <w:color w:val="000000" w:themeColor="text1"/>
          <w:sz w:val="24"/>
          <w14:textFill>
            <w14:solidFill>
              <w14:schemeClr w14:val="tx1"/>
            </w14:solidFill>
          </w14:textFill>
        </w:rPr>
        <w:t>2. 招</w:t>
      </w:r>
      <w:bookmarkStart w:id="100" w:name="_Toc152042318"/>
      <w:bookmarkStart w:id="101" w:name="_Toc152045542"/>
      <w:bookmarkStart w:id="102" w:name="_Toc144974510"/>
      <w:r>
        <w:rPr>
          <w:rFonts w:hint="eastAsia" w:ascii="宋体" w:hAnsi="宋体" w:eastAsia="宋体" w:cs="宋体"/>
          <w:b/>
          <w:color w:val="000000" w:themeColor="text1"/>
          <w:sz w:val="24"/>
          <w14:textFill>
            <w14:solidFill>
              <w14:schemeClr w14:val="tx1"/>
            </w14:solidFill>
          </w14:textFill>
        </w:rPr>
        <w:t>标文件</w:t>
      </w:r>
      <w:bookmarkEnd w:id="99"/>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03" w:name="_Toc331665302"/>
      <w:bookmarkStart w:id="104" w:name="_Toc339114123"/>
      <w:bookmarkStart w:id="105" w:name="_Toc339012140"/>
      <w:r>
        <w:rPr>
          <w:rFonts w:hint="eastAsia" w:ascii="宋体" w:hAnsi="宋体" w:eastAsia="宋体" w:cs="宋体"/>
          <w:color w:val="000000" w:themeColor="text1"/>
          <w:sz w:val="24"/>
          <w14:textFill>
            <w14:solidFill>
              <w14:schemeClr w14:val="tx1"/>
            </w14:solidFill>
          </w14:textFill>
        </w:rPr>
        <w:t>2.1</w:t>
      </w:r>
      <w:bookmarkEnd w:id="100"/>
      <w:bookmarkEnd w:id="101"/>
      <w:bookmarkEnd w:id="102"/>
      <w:bookmarkStart w:id="106" w:name="_Toc144974511"/>
      <w:bookmarkStart w:id="107" w:name="_Toc152042319"/>
      <w:bookmarkStart w:id="108" w:name="_Toc152045543"/>
      <w:r>
        <w:rPr>
          <w:rFonts w:hint="eastAsia" w:ascii="宋体" w:hAnsi="宋体" w:eastAsia="宋体" w:cs="宋体"/>
          <w:color w:val="000000" w:themeColor="text1"/>
          <w:sz w:val="24"/>
          <w14:textFill>
            <w14:solidFill>
              <w14:schemeClr w14:val="tx1"/>
            </w14:solidFill>
          </w14:textFill>
        </w:rPr>
        <w:t>招标文件的组成</w:t>
      </w:r>
      <w:bookmarkEnd w:id="103"/>
      <w:bookmarkEnd w:id="104"/>
      <w:bookmarkEnd w:id="105"/>
      <w:bookmarkEnd w:id="106"/>
      <w:bookmarkEnd w:id="107"/>
      <w:bookmarkEnd w:id="108"/>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2.1.1招标公告；</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2.1.2供应商须知；</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2.1.3评标办法；</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2.1.4合同条款及格式；</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2.1.5</w:t>
      </w:r>
      <w:r>
        <w:rPr>
          <w:rFonts w:hint="eastAsia" w:ascii="宋体" w:hAnsi="宋体" w:eastAsia="宋体" w:cs="宋体"/>
          <w:color w:val="000000" w:themeColor="text1"/>
          <w:sz w:val="24"/>
          <w:lang w:eastAsia="zh-CN"/>
          <w14:textFill>
            <w14:solidFill>
              <w14:schemeClr w14:val="tx1"/>
            </w14:solidFill>
          </w14:textFill>
        </w:rPr>
        <w:t>工程量清单及图纸</w:t>
      </w:r>
      <w:r>
        <w:rPr>
          <w:rFonts w:hint="eastAsia" w:ascii="宋体" w:hAnsi="宋体" w:eastAsia="宋体" w:cs="宋体"/>
          <w:color w:val="000000" w:themeColor="text1"/>
          <w:sz w:val="24"/>
          <w14:textFill>
            <w14:solidFill>
              <w14:schemeClr w14:val="tx1"/>
            </w14:solidFill>
          </w14:textFill>
        </w:rPr>
        <w:t>；</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2.1.6投标文件格式。</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09" w:name="_Toc331665303"/>
      <w:bookmarkStart w:id="110" w:name="_Toc339012141"/>
      <w:bookmarkStart w:id="111" w:name="_Toc339114124"/>
      <w:r>
        <w:rPr>
          <w:rFonts w:hint="eastAsia" w:ascii="宋体" w:hAnsi="宋体" w:eastAsia="宋体" w:cs="宋体"/>
          <w:color w:val="000000" w:themeColor="text1"/>
          <w:sz w:val="24"/>
          <w14:textFill>
            <w14:solidFill>
              <w14:schemeClr w14:val="tx1"/>
            </w14:solidFill>
          </w14:textFill>
        </w:rPr>
        <w:t>招标文件由招标文件总目录所列内容组成；投标人应详细阅读招标文件中所有的事项、格式、条款和规范要求,在投标文件中对招标文件的各方面都应做出实质性的响应，按照招标文件的要求提交全部资料。</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 </w:t>
      </w:r>
      <w:bookmarkStart w:id="112" w:name="_Toc152042320"/>
      <w:bookmarkStart w:id="113" w:name="_Toc144974512"/>
      <w:bookmarkStart w:id="114" w:name="_Toc152045544"/>
      <w:r>
        <w:rPr>
          <w:rFonts w:hint="eastAsia" w:ascii="宋体" w:hAnsi="宋体" w:eastAsia="宋体" w:cs="宋体"/>
          <w:color w:val="000000" w:themeColor="text1"/>
          <w:sz w:val="24"/>
          <w14:textFill>
            <w14:solidFill>
              <w14:schemeClr w14:val="tx1"/>
            </w14:solidFill>
          </w14:textFill>
        </w:rPr>
        <w:t>招标文件的澄清</w:t>
      </w:r>
      <w:bookmarkEnd w:id="109"/>
      <w:bookmarkEnd w:id="110"/>
      <w:bookmarkEnd w:id="11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bookmarkEnd w:id="112"/>
      <w:bookmarkEnd w:id="113"/>
      <w:bookmarkEnd w:id="114"/>
      <w:r>
        <w:rPr>
          <w:rFonts w:hint="eastAsia" w:ascii="宋体" w:hAnsi="宋体" w:eastAsia="宋体" w:cs="宋体"/>
          <w:color w:val="000000" w:themeColor="text1"/>
          <w:sz w:val="24"/>
          <w14:textFill>
            <w14:solidFill>
              <w14:schemeClr w14:val="tx1"/>
            </w14:solidFill>
          </w14:textFill>
        </w:rPr>
        <w:t>.1供应商应仔细阅读和检查招标文件的全部内容。如发现缺页或附件不全，应及时向采购人提出，以便补齐。如有疑问，应在供应商须知前附表规定的时间前以书面形式要求采购人对招标文件予以澄清。</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对供应商提出问题的澄清将在供应商须知前附表规定的投标截止时间7天前以书面形式发给所有购买招标文件的供应商，但不指明澄清问题的来源。</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供应商在收到澄清后，应在供应商须知前附表规定的时间内以书面形式通知采购人，确认已收到该澄清。</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15" w:name="_Toc339012142"/>
      <w:bookmarkStart w:id="116" w:name="_Toc331665304"/>
      <w:bookmarkStart w:id="117" w:name="_Toc339114125"/>
      <w:r>
        <w:rPr>
          <w:rFonts w:hint="eastAsia" w:ascii="宋体" w:hAnsi="宋体" w:eastAsia="宋体" w:cs="宋体"/>
          <w:color w:val="000000" w:themeColor="text1"/>
          <w:sz w:val="24"/>
          <w14:textFill>
            <w14:solidFill>
              <w14:schemeClr w14:val="tx1"/>
            </w14:solidFill>
          </w14:textFill>
        </w:rPr>
        <w:t xml:space="preserve">2.3 </w:t>
      </w:r>
      <w:bookmarkStart w:id="118" w:name="_Toc152042321"/>
      <w:bookmarkStart w:id="119" w:name="_Toc152045545"/>
      <w:bookmarkStart w:id="120" w:name="_Toc144974513"/>
      <w:r>
        <w:rPr>
          <w:rFonts w:hint="eastAsia" w:ascii="宋体" w:hAnsi="宋体" w:eastAsia="宋体" w:cs="宋体"/>
          <w:color w:val="000000" w:themeColor="text1"/>
          <w:sz w:val="24"/>
          <w14:textFill>
            <w14:solidFill>
              <w14:schemeClr w14:val="tx1"/>
            </w14:solidFill>
          </w14:textFill>
        </w:rPr>
        <w:t>招标文件的修改</w:t>
      </w:r>
      <w:bookmarkEnd w:id="115"/>
      <w:bookmarkEnd w:id="116"/>
      <w:bookmarkEnd w:id="117"/>
    </w:p>
    <w:bookmarkEnd w:id="118"/>
    <w:bookmarkEnd w:id="119"/>
    <w:bookmarkEnd w:id="120"/>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在投标截止时间15天前，采购人可以书面形式修改招标文件，并通知所有已获取招标文件的供应商。如果修改招标文件的时间距投标截止时间不足15天，相应延长投标截止时间。</w:t>
      </w:r>
    </w:p>
    <w:p>
      <w:pPr>
        <w:spacing w:line="360" w:lineRule="auto"/>
        <w:rPr>
          <w:rFonts w:hint="eastAsia" w:ascii="宋体" w:hAnsi="宋体" w:eastAsia="宋体" w:cs="宋体"/>
          <w:b/>
          <w:color w:val="000000" w:themeColor="text1"/>
          <w:sz w:val="24"/>
          <w14:textFill>
            <w14:solidFill>
              <w14:schemeClr w14:val="tx1"/>
            </w14:solidFill>
          </w14:textFill>
        </w:rPr>
      </w:pPr>
      <w:bookmarkStart w:id="121" w:name="_Toc339114126"/>
      <w:r>
        <w:rPr>
          <w:rFonts w:hint="eastAsia" w:ascii="宋体" w:hAnsi="宋体" w:eastAsia="宋体" w:cs="宋体"/>
          <w:b/>
          <w:color w:val="000000" w:themeColor="text1"/>
          <w:sz w:val="24"/>
          <w14:textFill>
            <w14:solidFill>
              <w14:schemeClr w14:val="tx1"/>
            </w14:solidFill>
          </w14:textFill>
        </w:rPr>
        <w:t>3. 投</w:t>
      </w:r>
      <w:bookmarkStart w:id="122" w:name="_Toc152045546"/>
      <w:bookmarkStart w:id="123" w:name="_Toc144974514"/>
      <w:bookmarkStart w:id="124" w:name="_Toc152042322"/>
      <w:r>
        <w:rPr>
          <w:rFonts w:hint="eastAsia" w:ascii="宋体" w:hAnsi="宋体" w:eastAsia="宋体" w:cs="宋体"/>
          <w:b/>
          <w:color w:val="000000" w:themeColor="text1"/>
          <w:sz w:val="24"/>
          <w14:textFill>
            <w14:solidFill>
              <w14:schemeClr w14:val="tx1"/>
            </w14:solidFill>
          </w14:textFill>
        </w:rPr>
        <w:t>标文件</w:t>
      </w:r>
      <w:bookmarkEnd w:id="121"/>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25" w:name="_Toc339012144"/>
      <w:bookmarkStart w:id="126" w:name="_Toc339114127"/>
      <w:bookmarkStart w:id="127" w:name="_Toc331665306"/>
      <w:r>
        <w:rPr>
          <w:rFonts w:hint="eastAsia" w:ascii="宋体" w:hAnsi="宋体" w:eastAsia="宋体" w:cs="宋体"/>
          <w:color w:val="000000" w:themeColor="text1"/>
          <w:sz w:val="24"/>
          <w14:textFill>
            <w14:solidFill>
              <w14:schemeClr w14:val="tx1"/>
            </w14:solidFill>
          </w14:textFill>
        </w:rPr>
        <w:t>3.1</w:t>
      </w:r>
      <w:bookmarkEnd w:id="122"/>
      <w:bookmarkEnd w:id="123"/>
      <w:bookmarkEnd w:id="124"/>
      <w:bookmarkStart w:id="128" w:name="_Toc152042323"/>
      <w:bookmarkStart w:id="129" w:name="_Toc144974515"/>
      <w:bookmarkStart w:id="130" w:name="_Toc152045547"/>
      <w:r>
        <w:rPr>
          <w:rFonts w:hint="eastAsia" w:ascii="宋体" w:hAnsi="宋体" w:eastAsia="宋体" w:cs="宋体"/>
          <w:color w:val="000000" w:themeColor="text1"/>
          <w:sz w:val="24"/>
          <w14:textFill>
            <w14:solidFill>
              <w14:schemeClr w14:val="tx1"/>
            </w14:solidFill>
          </w14:textFill>
        </w:rPr>
        <w:t>投标文件的组成</w:t>
      </w:r>
      <w:bookmarkEnd w:id="125"/>
      <w:bookmarkEnd w:id="126"/>
      <w:bookmarkEnd w:id="127"/>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bookmarkEnd w:id="128"/>
      <w:bookmarkEnd w:id="129"/>
      <w:bookmarkEnd w:id="130"/>
      <w:r>
        <w:rPr>
          <w:rFonts w:hint="eastAsia" w:ascii="宋体" w:hAnsi="宋体" w:eastAsia="宋体" w:cs="宋体"/>
          <w:color w:val="000000" w:themeColor="text1"/>
          <w:sz w:val="24"/>
          <w14:textFill>
            <w14:solidFill>
              <w14:schemeClr w14:val="tx1"/>
            </w14:solidFill>
          </w14:textFill>
        </w:rPr>
        <w:t>.1.1投标文件应包括但不限于下列内容：</w:t>
      </w:r>
    </w:p>
    <w:p>
      <w:pPr>
        <w:spacing w:line="360" w:lineRule="auto"/>
        <w:outlineLvl w:val="0"/>
        <w:rPr>
          <w:rFonts w:hint="eastAsia" w:ascii="宋体" w:hAnsi="宋体" w:eastAsia="宋体" w:cs="宋体"/>
          <w:b/>
          <w:bCs/>
          <w:sz w:val="24"/>
          <w:highlight w:val="none"/>
        </w:rPr>
      </w:pPr>
      <w:bookmarkStart w:id="131" w:name="_Toc339114128"/>
      <w:bookmarkStart w:id="132" w:name="_Toc331665307"/>
      <w:bookmarkStart w:id="133" w:name="_Toc339012145"/>
      <w:r>
        <w:rPr>
          <w:rFonts w:hint="eastAsia" w:ascii="宋体" w:hAnsi="宋体" w:eastAsia="宋体" w:cs="宋体"/>
          <w:b/>
          <w:bCs/>
          <w:sz w:val="24"/>
          <w:highlight w:val="none"/>
        </w:rPr>
        <w:t>A、商务部分：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函；</w:t>
      </w:r>
    </w:p>
    <w:p>
      <w:pPr>
        <w:pStyle w:val="1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报价一览表；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（3）法定代表人授权委托书；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（4）工程量清单计价表；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（5）履约承诺书</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（6）</w:t>
      </w:r>
      <w:r>
        <w:rPr>
          <w:rFonts w:hint="eastAsia" w:ascii="宋体" w:hAnsi="宋体" w:eastAsia="宋体" w:cs="宋体"/>
          <w:sz w:val="24"/>
          <w:highlight w:val="none"/>
          <w:lang w:val="en-US" w:eastAsia="zh-CN"/>
        </w:rPr>
        <w:t>项目完工后的维修及保修承诺</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（7）业绩</w:t>
      </w:r>
    </w:p>
    <w:p>
      <w:pPr>
        <w:spacing w:line="480" w:lineRule="exact"/>
        <w:ind w:firstLine="241" w:firstLineChars="100"/>
        <w:outlineLvl w:val="0"/>
        <w:rPr>
          <w:rFonts w:hint="eastAsia" w:ascii="宋体" w:hAnsi="宋体" w:eastAsia="宋体" w:cs="宋体"/>
          <w:b/>
          <w:bCs/>
          <w:sz w:val="24"/>
          <w:highlight w:val="none"/>
        </w:rPr>
      </w:pPr>
      <w:r>
        <w:rPr>
          <w:rFonts w:hint="eastAsia" w:ascii="宋体" w:hAnsi="宋体" w:eastAsia="宋体" w:cs="宋体"/>
          <w:b/>
          <w:bCs/>
          <w:sz w:val="24"/>
          <w:highlight w:val="none"/>
        </w:rPr>
        <w:t>B、技术部分：</w:t>
      </w:r>
    </w:p>
    <w:p>
      <w:pPr>
        <w:spacing w:line="480" w:lineRule="exact"/>
        <w:outlineLvl w:val="2"/>
        <w:rPr>
          <w:rFonts w:hint="eastAsia" w:ascii="宋体" w:hAnsi="宋体" w:eastAsia="宋体" w:cs="宋体"/>
          <w:sz w:val="24"/>
          <w:highlight w:val="none"/>
        </w:rPr>
      </w:pPr>
      <w:r>
        <w:rPr>
          <w:rFonts w:hint="eastAsia" w:ascii="宋体" w:hAnsi="宋体" w:eastAsia="宋体" w:cs="宋体"/>
          <w:sz w:val="24"/>
          <w:highlight w:val="none"/>
        </w:rPr>
        <w:t>（一）施工组织设计</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（1）施工总体方案；</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（2）确保工程质量技术组织措施；</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（3）确保安全生产技术措施；</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（4）确保文明施工技术组织措施；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（5）确保环境保护技术组织措施；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（6）确保工期技术组织措施；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（7）施工组织和项目管理机构；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（8）施工总平面布置；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（9）施工机械设备和材料投入计划；</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（10）劳动力安排计划。 </w:t>
      </w:r>
    </w:p>
    <w:p>
      <w:pPr>
        <w:spacing w:line="480" w:lineRule="exact"/>
        <w:outlineLvl w:val="2"/>
        <w:rPr>
          <w:rFonts w:hint="eastAsia" w:ascii="宋体" w:hAnsi="宋体" w:eastAsia="宋体" w:cs="宋体"/>
          <w:sz w:val="24"/>
          <w:highlight w:val="none"/>
        </w:rPr>
      </w:pPr>
      <w:r>
        <w:rPr>
          <w:rFonts w:hint="eastAsia" w:ascii="宋体" w:hAnsi="宋体" w:eastAsia="宋体" w:cs="宋体"/>
          <w:sz w:val="24"/>
          <w:highlight w:val="none"/>
        </w:rPr>
        <w:t>（二）项目管理机构</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（1）项目管理机构组成；</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（2）主要人员简历。</w:t>
      </w:r>
    </w:p>
    <w:p>
      <w:pPr>
        <w:spacing w:line="480" w:lineRule="exact"/>
        <w:ind w:firstLine="241" w:firstLineChars="100"/>
        <w:outlineLvl w:val="0"/>
        <w:rPr>
          <w:rFonts w:hint="eastAsia" w:ascii="宋体" w:hAnsi="宋体" w:eastAsia="宋体" w:cs="宋体"/>
          <w:b/>
          <w:bCs/>
          <w:sz w:val="24"/>
          <w:highlight w:val="none"/>
        </w:rPr>
      </w:pPr>
      <w:r>
        <w:rPr>
          <w:rFonts w:hint="eastAsia" w:ascii="宋体" w:hAnsi="宋体" w:eastAsia="宋体" w:cs="宋体"/>
          <w:b/>
          <w:bCs/>
          <w:sz w:val="24"/>
          <w:highlight w:val="none"/>
        </w:rPr>
        <w:t>C、资格证明部分：</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必备资格证明文件；</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3.2 </w:t>
      </w:r>
      <w:bookmarkStart w:id="134" w:name="_Toc144974516"/>
      <w:bookmarkStart w:id="135" w:name="_Toc152045548"/>
      <w:bookmarkStart w:id="136" w:name="_Toc152042324"/>
      <w:r>
        <w:rPr>
          <w:rFonts w:hint="eastAsia" w:ascii="宋体" w:hAnsi="宋体" w:eastAsia="宋体" w:cs="宋体"/>
          <w:sz w:val="24"/>
          <w:highlight w:val="none"/>
        </w:rPr>
        <w:t>投标报价</w:t>
      </w:r>
      <w:bookmarkEnd w:id="131"/>
      <w:bookmarkEnd w:id="132"/>
      <w:bookmarkEnd w:id="133"/>
    </w:p>
    <w:bookmarkEnd w:id="134"/>
    <w:bookmarkEnd w:id="135"/>
    <w:bookmarkEnd w:id="136"/>
    <w:p>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3.2.1投标报价表中标明的价格应为履行合同的固定价格，不得以任何理由予以变更。以可调整的价格提交的投标文件将按无效投标处理。</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3.2.1.1最低报价不是中标的唯一依据</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3.2.1.2投标人不得以低于成本的报价进行投标，当评标委员会认为某个供应商的报价低于成本或明显低于其他通过符合性审查供应商的报价，有可能影响</w:t>
      </w:r>
      <w:r>
        <w:rPr>
          <w:rFonts w:hint="eastAsia" w:ascii="宋体" w:hAnsi="宋体" w:eastAsia="宋体" w:cs="宋体"/>
          <w:sz w:val="24"/>
          <w:highlight w:val="none"/>
          <w:lang w:eastAsia="zh-CN"/>
        </w:rPr>
        <w:t>项目</w:t>
      </w:r>
      <w:r>
        <w:rPr>
          <w:rFonts w:hint="eastAsia" w:ascii="宋体" w:hAnsi="宋体" w:eastAsia="宋体" w:cs="宋体"/>
          <w:sz w:val="24"/>
          <w:highlight w:val="none"/>
        </w:rPr>
        <w:t>质量或者不能诚信履约的，应当要求其在评标现场合理的时间内提供书面说明，必要时提交相关证明材料；供应商不能证明其报价合理性的，评标委员会应当将其作为无效投标处理。</w:t>
      </w:r>
    </w:p>
    <w:p>
      <w:pPr>
        <w:pStyle w:val="2"/>
        <w:ind w:firstLine="723" w:firstLineChars="300"/>
        <w:rPr>
          <w:rFonts w:hint="eastAsia" w:ascii="宋体" w:hAnsi="宋体" w:eastAsia="宋体" w:cs="宋体"/>
        </w:rPr>
      </w:pPr>
      <w:r>
        <w:rPr>
          <w:rFonts w:hint="eastAsia" w:ascii="宋体" w:hAnsi="宋体" w:eastAsia="宋体" w:cs="宋体"/>
          <w:b/>
          <w:bCs/>
          <w:color w:val="000000"/>
          <w:sz w:val="24"/>
        </w:rPr>
        <w:t>注：</w:t>
      </w:r>
      <w:r>
        <w:rPr>
          <w:rFonts w:hint="eastAsia" w:ascii="宋体" w:hAnsi="宋体" w:eastAsia="宋体" w:cs="宋体"/>
          <w:color w:val="000000"/>
          <w:sz w:val="24"/>
        </w:rPr>
        <w:t>如发生额外费用与甲方自行协定</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3.2.2计算错误将按以下方法更正：</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（1）投标文件中开标一览表(报价表)内容与投标文件中相应内容不一致的，以开标一览表(报价表)为准。</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（2）投标文件的大写金额和小写金额不一致的，以大写金额为准；</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（3）单价金额小数点或者百分比有明显错位的，以开标一览表为准，并修改单价；</w:t>
      </w:r>
    </w:p>
    <w:p>
      <w:pPr>
        <w:spacing w:line="360" w:lineRule="auto"/>
        <w:ind w:firstLine="482"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3.2.3凡因供应商对招标文件阅读不深、理解不透、误解、疏漏、或因市场行情了解不清造成的后果和风险均由供应商自负。</w:t>
      </w:r>
      <w:r>
        <w:rPr>
          <w:rFonts w:hint="eastAsia" w:ascii="宋体" w:hAnsi="宋体" w:eastAsia="宋体" w:cs="宋体"/>
          <w:color w:val="000000" w:themeColor="text1"/>
          <w:sz w:val="24"/>
          <w14:textFill>
            <w14:solidFill>
              <w14:schemeClr w14:val="tx1"/>
            </w14:solidFill>
          </w14:textFill>
        </w:rPr>
        <w:t>　　　　</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37" w:name="_Toc339114129"/>
      <w:bookmarkStart w:id="138" w:name="_Toc331665308"/>
      <w:bookmarkStart w:id="139" w:name="_Toc339012146"/>
      <w:r>
        <w:rPr>
          <w:rFonts w:hint="eastAsia" w:ascii="宋体" w:hAnsi="宋体" w:eastAsia="宋体" w:cs="宋体"/>
          <w:color w:val="000000" w:themeColor="text1"/>
          <w:sz w:val="24"/>
          <w14:textFill>
            <w14:solidFill>
              <w14:schemeClr w14:val="tx1"/>
            </w14:solidFill>
          </w14:textFill>
        </w:rPr>
        <w:t xml:space="preserve">3.3 </w:t>
      </w:r>
      <w:bookmarkStart w:id="140" w:name="_Toc152045549"/>
      <w:bookmarkStart w:id="141" w:name="_Toc152042325"/>
      <w:bookmarkStart w:id="142" w:name="_Toc144974517"/>
      <w:r>
        <w:rPr>
          <w:rFonts w:hint="eastAsia" w:ascii="宋体" w:hAnsi="宋体" w:eastAsia="宋体" w:cs="宋体"/>
          <w:color w:val="000000" w:themeColor="text1"/>
          <w:sz w:val="24"/>
          <w14:textFill>
            <w14:solidFill>
              <w14:schemeClr w14:val="tx1"/>
            </w14:solidFill>
          </w14:textFill>
        </w:rPr>
        <w:t>投标有效期</w:t>
      </w:r>
      <w:bookmarkEnd w:id="137"/>
      <w:bookmarkEnd w:id="138"/>
      <w:bookmarkEnd w:id="139"/>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w:t>
      </w:r>
      <w:bookmarkEnd w:id="140"/>
      <w:bookmarkEnd w:id="141"/>
      <w:bookmarkEnd w:id="142"/>
      <w:r>
        <w:rPr>
          <w:rFonts w:hint="eastAsia" w:ascii="宋体" w:hAnsi="宋体" w:eastAsia="宋体" w:cs="宋体"/>
          <w:color w:val="000000" w:themeColor="text1"/>
          <w:sz w:val="24"/>
          <w14:textFill>
            <w14:solidFill>
              <w14:schemeClr w14:val="tx1"/>
            </w14:solidFill>
          </w14:textFill>
        </w:rPr>
        <w:t>.1 投标有效期及授权书有效期为从提交投标文件的截止时间起90日历天，在供应商须知前附表规定的投标有效期内，供应商不得要求撤销或修改其投标文件。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3.3.2出现特殊情况需要延长投标有效期的，采购人以书面形式通知所有供应商延长投标有效期。供应商同意延长的，应相应延长其投标有效期，但不得要求或被允许修改或撤销其投标文件；供应商拒绝延长的，其投标失效。</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43" w:name="_Toc339114131"/>
      <w:bookmarkStart w:id="144" w:name="_Toc339012148"/>
      <w:bookmarkStart w:id="145" w:name="_Toc331665310"/>
      <w:r>
        <w:rPr>
          <w:rFonts w:hint="eastAsia" w:ascii="宋体" w:hAnsi="宋体" w:eastAsia="宋体" w:cs="宋体"/>
          <w:color w:val="000000" w:themeColor="text1"/>
          <w:sz w:val="24"/>
          <w14:textFill>
            <w14:solidFill>
              <w14:schemeClr w14:val="tx1"/>
            </w14:solidFill>
          </w14:textFill>
        </w:rPr>
        <w:t>3.</w:t>
      </w:r>
      <w:bookmarkStart w:id="146" w:name="_Toc152045551"/>
      <w:bookmarkStart w:id="147" w:name="_Toc152042327"/>
      <w:bookmarkStart w:id="148" w:name="_Toc144974519"/>
      <w:r>
        <w:rPr>
          <w:rFonts w:hint="eastAsia" w:ascii="宋体" w:hAnsi="宋体" w:eastAsia="宋体" w:cs="宋体"/>
          <w:color w:val="000000" w:themeColor="text1"/>
          <w:sz w:val="24"/>
          <w14:textFill>
            <w14:solidFill>
              <w14:schemeClr w14:val="tx1"/>
            </w14:solidFill>
          </w14:textFill>
        </w:rPr>
        <w:t>4资格审查资料</w:t>
      </w:r>
      <w:bookmarkEnd w:id="143"/>
      <w:bookmarkEnd w:id="144"/>
      <w:bookmarkEnd w:id="145"/>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w:t>
      </w:r>
      <w:bookmarkEnd w:id="146"/>
      <w:bookmarkEnd w:id="147"/>
      <w:bookmarkEnd w:id="148"/>
      <w:r>
        <w:rPr>
          <w:rFonts w:hint="eastAsia" w:ascii="宋体" w:hAnsi="宋体" w:eastAsia="宋体" w:cs="宋体"/>
          <w:color w:val="000000" w:themeColor="text1"/>
          <w:sz w:val="24"/>
          <w14:textFill>
            <w14:solidFill>
              <w14:schemeClr w14:val="tx1"/>
            </w14:solidFill>
          </w14:textFill>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49" w:name="_Toc339114132"/>
      <w:bookmarkStart w:id="150" w:name="_Toc331665311"/>
      <w:bookmarkStart w:id="151" w:name="_Toc339012149"/>
      <w:r>
        <w:rPr>
          <w:rFonts w:hint="eastAsia" w:ascii="宋体" w:hAnsi="宋体" w:eastAsia="宋体" w:cs="宋体"/>
          <w:color w:val="000000" w:themeColor="text1"/>
          <w:sz w:val="24"/>
          <w14:textFill>
            <w14:solidFill>
              <w14:schemeClr w14:val="tx1"/>
            </w14:solidFill>
          </w14:textFill>
        </w:rPr>
        <w:t>3.5</w:t>
      </w:r>
      <w:bookmarkStart w:id="152" w:name="_Toc152045553"/>
      <w:bookmarkStart w:id="153" w:name="_Toc144974521"/>
      <w:bookmarkStart w:id="154" w:name="_Toc152042329"/>
      <w:r>
        <w:rPr>
          <w:rFonts w:hint="eastAsia" w:ascii="宋体" w:hAnsi="宋体" w:eastAsia="宋体" w:cs="宋体"/>
          <w:color w:val="000000" w:themeColor="text1"/>
          <w:sz w:val="24"/>
          <w14:textFill>
            <w14:solidFill>
              <w14:schemeClr w14:val="tx1"/>
            </w14:solidFill>
          </w14:textFill>
        </w:rPr>
        <w:t>备选投标方案</w:t>
      </w:r>
      <w:bookmarkEnd w:id="149"/>
      <w:bookmarkEnd w:id="150"/>
      <w:bookmarkEnd w:id="15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w:t>
      </w:r>
      <w:bookmarkEnd w:id="152"/>
      <w:bookmarkEnd w:id="153"/>
      <w:bookmarkEnd w:id="154"/>
      <w:r>
        <w:rPr>
          <w:rFonts w:hint="eastAsia" w:ascii="宋体" w:hAnsi="宋体" w:eastAsia="宋体" w:cs="宋体"/>
          <w:color w:val="000000" w:themeColor="text1"/>
          <w:sz w:val="24"/>
          <w14:textFill>
            <w14:solidFill>
              <w14:schemeClr w14:val="tx1"/>
            </w14:solidFill>
          </w14:textFill>
        </w:rPr>
        <w:t>招标文件另有规定外，供应商不得递交备选投标方案。</w:t>
      </w:r>
    </w:p>
    <w:p>
      <w:pPr>
        <w:spacing w:line="360" w:lineRule="auto"/>
        <w:ind w:firstLine="470" w:firstLineChars="196"/>
        <w:rPr>
          <w:rFonts w:hint="eastAsia" w:ascii="宋体" w:hAnsi="宋体" w:eastAsia="宋体" w:cs="宋体"/>
          <w:color w:val="000000" w:themeColor="text1"/>
          <w:sz w:val="24"/>
          <w14:textFill>
            <w14:solidFill>
              <w14:schemeClr w14:val="tx1"/>
            </w14:solidFill>
          </w14:textFill>
        </w:rPr>
      </w:pPr>
      <w:bookmarkStart w:id="155" w:name="_Toc331665312"/>
      <w:bookmarkStart w:id="156" w:name="_Toc339114133"/>
      <w:bookmarkStart w:id="157" w:name="_Toc339012150"/>
      <w:r>
        <w:rPr>
          <w:rFonts w:hint="eastAsia" w:ascii="宋体" w:hAnsi="宋体" w:eastAsia="宋体" w:cs="宋体"/>
          <w:color w:val="000000" w:themeColor="text1"/>
          <w:sz w:val="24"/>
          <w14:textFill>
            <w14:solidFill>
              <w14:schemeClr w14:val="tx1"/>
            </w14:solidFill>
          </w14:textFill>
        </w:rPr>
        <w:t>3.6</w:t>
      </w:r>
      <w:bookmarkStart w:id="158" w:name="_Toc152042330"/>
      <w:bookmarkStart w:id="159" w:name="_Toc152045554"/>
      <w:bookmarkStart w:id="160" w:name="_Toc144974522"/>
      <w:r>
        <w:rPr>
          <w:rFonts w:hint="eastAsia" w:ascii="宋体" w:hAnsi="宋体" w:eastAsia="宋体" w:cs="宋体"/>
          <w:color w:val="000000" w:themeColor="text1"/>
          <w:sz w:val="24"/>
          <w14:textFill>
            <w14:solidFill>
              <w14:schemeClr w14:val="tx1"/>
            </w14:solidFill>
          </w14:textFill>
        </w:rPr>
        <w:t>投标文件的编制</w:t>
      </w:r>
      <w:bookmarkEnd w:id="155"/>
      <w:bookmarkEnd w:id="156"/>
      <w:bookmarkEnd w:id="157"/>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bookmarkEnd w:id="158"/>
      <w:bookmarkEnd w:id="159"/>
      <w:bookmarkEnd w:id="160"/>
      <w:r>
        <w:rPr>
          <w:rFonts w:hint="eastAsia" w:ascii="宋体" w:hAnsi="宋体" w:eastAsia="宋体" w:cs="宋体"/>
          <w:color w:val="000000" w:themeColor="text1"/>
          <w:sz w:val="24"/>
          <w14:textFill>
            <w14:solidFill>
              <w14:schemeClr w14:val="tx1"/>
            </w14:solidFill>
          </w14:textFill>
        </w:rPr>
        <w:t>6.1投标文件应按第</w:t>
      </w:r>
      <w:r>
        <w:rPr>
          <w:rFonts w:hint="eastAsia" w:ascii="宋体" w:hAnsi="宋体" w:eastAsia="宋体" w:cs="宋体"/>
          <w:color w:val="000000" w:themeColor="text1"/>
          <w:sz w:val="24"/>
          <w:lang w:val="en-US" w:eastAsia="zh-CN"/>
          <w14:textFill>
            <w14:solidFill>
              <w14:schemeClr w14:val="tx1"/>
            </w14:solidFill>
          </w14:textFill>
        </w:rPr>
        <w:t>七章</w:t>
      </w:r>
      <w:r>
        <w:rPr>
          <w:rFonts w:hint="eastAsia" w:ascii="宋体" w:hAnsi="宋体" w:eastAsia="宋体" w:cs="宋体"/>
          <w:color w:val="000000" w:themeColor="text1"/>
          <w:sz w:val="24"/>
          <w14:textFill>
            <w14:solidFill>
              <w14:schemeClr w14:val="tx1"/>
            </w14:solidFill>
          </w14:textFill>
        </w:rPr>
        <w:t>“投标文件格式”进行编写，如有必要，可以增加附页，作为投标文件的组成部分。其中，投标函附录在满足招标文件实质性要求的基础上，可以提出比招标文件要求更有利于采购人的承诺。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3.6.2 投标文件应当对招标文件有关合同期限、投标有效期、工作内容和要求等实质性内容作出响应。</w:t>
      </w:r>
    </w:p>
    <w:p>
      <w:pPr>
        <w:spacing w:line="360" w:lineRule="auto"/>
        <w:ind w:firstLine="482" w:firstLineChars="200"/>
        <w:rPr>
          <w:rFonts w:hint="eastAsia" w:ascii="宋体" w:hAnsi="宋体" w:eastAsia="宋体" w:cs="宋体"/>
          <w:b/>
          <w:bCs/>
          <w:color w:val="000000"/>
          <w:sz w:val="24"/>
          <w:lang w:val="zh-CN"/>
        </w:rPr>
      </w:pPr>
      <w:r>
        <w:rPr>
          <w:rFonts w:hint="eastAsia" w:ascii="宋体" w:hAnsi="宋体" w:eastAsia="宋体" w:cs="宋体"/>
          <w:b/>
          <w:bCs/>
          <w:color w:val="000000"/>
          <w:sz w:val="24"/>
        </w:rPr>
        <w:t>3.7</w:t>
      </w:r>
      <w:r>
        <w:rPr>
          <w:rFonts w:hint="eastAsia" w:ascii="宋体" w:hAnsi="宋体" w:eastAsia="宋体" w:cs="宋体"/>
          <w:b/>
          <w:bCs/>
          <w:color w:val="000000"/>
          <w:sz w:val="24"/>
          <w:lang w:val="zh-CN"/>
        </w:rPr>
        <w:t>限制投标要求</w:t>
      </w:r>
    </w:p>
    <w:p>
      <w:pPr>
        <w:spacing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3.7.1</w:t>
      </w:r>
      <w:r>
        <w:rPr>
          <w:rFonts w:hint="eastAsia" w:ascii="宋体" w:hAnsi="宋体" w:eastAsia="宋体" w:cs="宋体"/>
          <w:color w:val="000000" w:themeColor="text1"/>
          <w:sz w:val="24"/>
          <w:lang w:val="zh-CN"/>
          <w14:textFill>
            <w14:solidFill>
              <w14:schemeClr w14:val="tx1"/>
            </w14:solidFill>
          </w14:textFill>
        </w:rPr>
        <w:t>投标人单位负责人为同一人或者存在直接控股、参股、管理关系的不同投标人，不得参加同一项目或同一标段的政府采购活动。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3.7.2</w:t>
      </w:r>
      <w:r>
        <w:rPr>
          <w:rFonts w:hint="eastAsia" w:ascii="宋体" w:hAnsi="宋体" w:eastAsia="宋体" w:cs="宋体"/>
          <w:color w:val="000000" w:themeColor="text1"/>
          <w:sz w:val="24"/>
          <w:lang w:val="zh-CN"/>
          <w14:textFill>
            <w14:solidFill>
              <w14:schemeClr w14:val="tx1"/>
            </w14:solidFill>
          </w14:textFill>
        </w:rPr>
        <w:t>除单一来源采购项目外，为采购项目提供过整体设计、规范编制或者项目管理、监理、检测等服务的投标人，不得再参加同一项目的其他采购活动</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2" w:firstLineChars="200"/>
        <w:rPr>
          <w:rFonts w:hint="eastAsia" w:ascii="宋体" w:hAnsi="宋体" w:eastAsia="宋体" w:cs="宋体"/>
          <w:b/>
          <w:bCs/>
          <w:color w:val="000000"/>
          <w:sz w:val="24"/>
          <w:lang w:val="zh-CN"/>
        </w:rPr>
      </w:pPr>
      <w:r>
        <w:rPr>
          <w:rFonts w:hint="eastAsia" w:ascii="宋体" w:hAnsi="宋体" w:eastAsia="宋体" w:cs="宋体"/>
          <w:b/>
          <w:bCs/>
          <w:color w:val="000000"/>
          <w:sz w:val="24"/>
        </w:rPr>
        <w:t>3.8投标文件的签署及规定</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3.8.1投标人须依据招标文件内容和投标文件格式的要求编制投标文件；</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3.8.2投标文件需统一编码；</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3.8.3 投标人在投标文件中指定的页面的落款处，按招标文件要求加盖公章或签字；</w:t>
      </w:r>
    </w:p>
    <w:p>
      <w:pPr>
        <w:spacing w:line="360" w:lineRule="auto"/>
        <w:ind w:left="476" w:leftChars="172" w:hanging="115" w:hangingChars="48"/>
        <w:rPr>
          <w:rFonts w:hint="eastAsia" w:ascii="宋体" w:hAnsi="宋体" w:eastAsia="宋体" w:cs="宋体"/>
          <w:sz w:val="24"/>
        </w:rPr>
      </w:pPr>
      <w:r>
        <w:rPr>
          <w:rFonts w:hint="eastAsia" w:ascii="宋体" w:hAnsi="宋体" w:eastAsia="宋体" w:cs="宋体"/>
          <w:sz w:val="24"/>
        </w:rPr>
        <w:t>3.8.4投标人名称应填写全称，同时加盖公章；</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3.8.5投标文件的任何行间插字、涂改和增删，必须由法定代表人或被授权人在改动处旁签字方为有效；</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3.8.6投标文件因字迹潦草或表达不清所引起的后果由投标人负责。</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3.8.7投标文件的制作和签章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3.8.7.1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链接地址：</w:t>
      </w:r>
    </w:p>
    <w:p>
      <w:pPr>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http://sxggzyjy.xa.gov.cn/fwzn/004003/20181115/4d59c184-e8f6-4d5a-a416-c2f6b0601e66.html</w:t>
      </w:r>
    </w:p>
    <w:p>
      <w:pPr>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3.8.7.2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72" w:firstLineChars="196"/>
        <w:rPr>
          <w:rFonts w:hint="eastAsia" w:ascii="宋体" w:hAnsi="宋体" w:eastAsia="宋体" w:cs="宋体"/>
          <w:color w:val="000000"/>
          <w:sz w:val="24"/>
        </w:rPr>
      </w:pPr>
      <w:r>
        <w:rPr>
          <w:rFonts w:hint="eastAsia" w:ascii="宋体" w:hAnsi="宋体" w:eastAsia="宋体" w:cs="宋体"/>
          <w:b/>
          <w:bCs/>
          <w:color w:val="000000"/>
          <w:sz w:val="24"/>
        </w:rPr>
        <w:t>再次提醒：</w:t>
      </w:r>
      <w:r>
        <w:rPr>
          <w:rFonts w:hint="eastAsia" w:ascii="宋体" w:hAnsi="宋体" w:eastAsia="宋体" w:cs="宋体"/>
          <w:color w:val="000000"/>
          <w:sz w:val="24"/>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3.8.7.3．电子投标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3.8.7.4 投标文件应按第</w:t>
      </w:r>
      <w:r>
        <w:rPr>
          <w:rFonts w:hint="eastAsia" w:ascii="宋体" w:hAnsi="宋体" w:eastAsia="宋体" w:cs="宋体"/>
          <w:color w:val="000000"/>
          <w:sz w:val="24"/>
          <w:lang w:val="en-US" w:eastAsia="zh-CN"/>
        </w:rPr>
        <w:t>七</w:t>
      </w:r>
      <w:r>
        <w:rPr>
          <w:rFonts w:hint="eastAsia" w:ascii="宋体" w:hAnsi="宋体" w:eastAsia="宋体" w:cs="宋体"/>
          <w:color w:val="000000"/>
          <w:sz w:val="24"/>
        </w:rPr>
        <w:t>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3.8.7.5投标文件应当对招标文件有关合同期限、投标有效期、工作内容和要求等实质性内容作出响应。</w:t>
      </w:r>
    </w:p>
    <w:p>
      <w:pPr>
        <w:spacing w:line="360" w:lineRule="auto"/>
        <w:ind w:firstLine="361" w:firstLineChars="150"/>
        <w:rPr>
          <w:rFonts w:hint="eastAsia" w:ascii="宋体" w:hAnsi="宋体" w:eastAsia="宋体" w:cs="宋体"/>
          <w:color w:val="000000"/>
          <w:sz w:val="24"/>
        </w:rPr>
      </w:pPr>
      <w:r>
        <w:rPr>
          <w:rFonts w:hint="eastAsia" w:ascii="宋体" w:hAnsi="宋体" w:eastAsia="宋体" w:cs="宋体"/>
          <w:b/>
          <w:bCs/>
          <w:color w:val="000000"/>
          <w:sz w:val="24"/>
        </w:rPr>
        <w:t>3.9、文字要求</w:t>
      </w:r>
    </w:p>
    <w:p>
      <w:pPr>
        <w:spacing w:line="360" w:lineRule="auto"/>
        <w:ind w:firstLine="480" w:firstLineChars="200"/>
        <w:rPr>
          <w:rFonts w:hint="eastAsia" w:ascii="宋体" w:hAnsi="宋体" w:eastAsia="宋体" w:cs="宋体"/>
        </w:rPr>
      </w:pPr>
      <w:r>
        <w:rPr>
          <w:rFonts w:hint="eastAsia" w:ascii="宋体" w:hAnsi="宋体" w:eastAsia="宋体" w:cs="宋体"/>
          <w:color w:val="000000"/>
          <w:sz w:val="24"/>
        </w:rPr>
        <w:t>本次招标只接受简体中文文字的投标文件。</w:t>
      </w:r>
    </w:p>
    <w:p>
      <w:pPr>
        <w:spacing w:line="360" w:lineRule="auto"/>
        <w:rPr>
          <w:rFonts w:hint="eastAsia" w:ascii="宋体" w:hAnsi="宋体" w:eastAsia="宋体" w:cs="宋体"/>
          <w:b/>
          <w:color w:val="000000" w:themeColor="text1"/>
          <w:sz w:val="24"/>
          <w14:textFill>
            <w14:solidFill>
              <w14:schemeClr w14:val="tx1"/>
            </w14:solidFill>
          </w14:textFill>
        </w:rPr>
      </w:pPr>
      <w:bookmarkStart w:id="161" w:name="_Toc339114134"/>
      <w:r>
        <w:rPr>
          <w:rFonts w:hint="eastAsia" w:ascii="宋体" w:hAnsi="宋体" w:eastAsia="宋体" w:cs="宋体"/>
          <w:b/>
          <w:color w:val="000000" w:themeColor="text1"/>
          <w:sz w:val="24"/>
          <w14:textFill>
            <w14:solidFill>
              <w14:schemeClr w14:val="tx1"/>
            </w14:solidFill>
          </w14:textFill>
        </w:rPr>
        <w:t>4. 投</w:t>
      </w:r>
      <w:bookmarkStart w:id="162" w:name="_Toc152045555"/>
      <w:bookmarkStart w:id="163" w:name="_Toc152042331"/>
      <w:bookmarkStart w:id="164" w:name="_Toc144974523"/>
      <w:r>
        <w:rPr>
          <w:rFonts w:hint="eastAsia" w:ascii="宋体" w:hAnsi="宋体" w:eastAsia="宋体" w:cs="宋体"/>
          <w:b/>
          <w:color w:val="000000" w:themeColor="text1"/>
          <w:sz w:val="24"/>
          <w14:textFill>
            <w14:solidFill>
              <w14:schemeClr w14:val="tx1"/>
            </w14:solidFill>
          </w14:textFill>
        </w:rPr>
        <w:t>标</w:t>
      </w:r>
      <w:bookmarkEnd w:id="161"/>
    </w:p>
    <w:bookmarkEnd w:id="162"/>
    <w:bookmarkEnd w:id="163"/>
    <w:bookmarkEnd w:id="164"/>
    <w:p>
      <w:pPr>
        <w:spacing w:line="520" w:lineRule="exact"/>
        <w:ind w:firstLine="241" w:firstLineChars="100"/>
        <w:rPr>
          <w:rFonts w:hint="eastAsia" w:ascii="宋体" w:hAnsi="宋体" w:eastAsia="宋体" w:cs="宋体"/>
          <w:b/>
          <w:sz w:val="24"/>
        </w:rPr>
      </w:pPr>
      <w:bookmarkStart w:id="165" w:name="_Toc339114141"/>
      <w:r>
        <w:rPr>
          <w:rFonts w:hint="eastAsia" w:ascii="宋体" w:hAnsi="宋体" w:eastAsia="宋体" w:cs="宋体"/>
          <w:b/>
          <w:sz w:val="24"/>
        </w:rPr>
        <w:t>4.1提交投标文件的方式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提交投标文件的方式：从西安市公共资源交易平台〖首页〉电子交易平台〉陕西政府采购交易系统〉企业端〗登录，登录后切换到〖我的项目〗模块，依次点选〖项目流程〉项目管理〉上传响应文件〗上传加密后的电子投标文件（*.SXSTF）。上传成功后，电子化平台将予以记录。</w:t>
      </w:r>
    </w:p>
    <w:p>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4.2投标文件递交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投标文件以西安市公共资源交易平台系统公示的开标时间为准，在开标前上传至西安市公共资源交易平台。因供应商自身原因造成无法解密投标文件，按无效投标对待。</w:t>
      </w:r>
    </w:p>
    <w:p>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4.3投标截止时间</w:t>
      </w:r>
    </w:p>
    <w:p>
      <w:pPr>
        <w:pStyle w:val="37"/>
        <w:shd w:val="clear" w:color="auto" w:fill="FFFFFF"/>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2023年</w:t>
      </w:r>
      <w:r>
        <w:rPr>
          <w:rFonts w:hint="eastAsia" w:cs="宋体"/>
          <w:color w:val="000000"/>
          <w:lang w:val="en-US" w:eastAsia="zh-CN"/>
        </w:rPr>
        <w:t>10</w:t>
      </w:r>
      <w:r>
        <w:rPr>
          <w:rFonts w:hint="eastAsia" w:ascii="宋体" w:hAnsi="宋体" w:eastAsia="宋体" w:cs="宋体"/>
          <w:color w:val="000000"/>
        </w:rPr>
        <w:t>月</w:t>
      </w:r>
      <w:r>
        <w:rPr>
          <w:rFonts w:hint="eastAsia" w:cs="宋体"/>
          <w:color w:val="000000"/>
          <w:lang w:val="en-US" w:eastAsia="zh-CN"/>
        </w:rPr>
        <w:t>09</w:t>
      </w:r>
      <w:r>
        <w:rPr>
          <w:rFonts w:hint="eastAsia" w:ascii="宋体" w:hAnsi="宋体" w:eastAsia="宋体" w:cs="宋体"/>
          <w:color w:val="000000"/>
        </w:rPr>
        <w:t>日</w:t>
      </w:r>
      <w:r>
        <w:rPr>
          <w:rFonts w:hint="eastAsia" w:cs="宋体"/>
          <w:color w:val="000000"/>
          <w:lang w:val="en-US" w:eastAsia="zh-CN"/>
        </w:rPr>
        <w:t>09</w:t>
      </w:r>
      <w:r>
        <w:rPr>
          <w:rFonts w:hint="eastAsia" w:ascii="宋体" w:hAnsi="宋体" w:eastAsia="宋体" w:cs="宋体"/>
          <w:color w:val="000000"/>
        </w:rPr>
        <w:t>时</w:t>
      </w:r>
      <w:r>
        <w:rPr>
          <w:rFonts w:hint="eastAsia" w:cs="宋体"/>
          <w:color w:val="000000"/>
          <w:lang w:val="en-US" w:eastAsia="zh-CN"/>
        </w:rPr>
        <w:t>00</w:t>
      </w:r>
      <w:r>
        <w:rPr>
          <w:rFonts w:hint="eastAsia" w:ascii="宋体" w:hAnsi="宋体" w:eastAsia="宋体" w:cs="宋体"/>
          <w:color w:val="000000"/>
        </w:rPr>
        <w:t>分00秒（北京时间）</w:t>
      </w:r>
    </w:p>
    <w:p>
      <w:pPr>
        <w:pStyle w:val="37"/>
        <w:shd w:val="clear" w:color="auto" w:fill="FFFFFF"/>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地点：全国公共资源交易平台（陕西省·西安市）</w:t>
      </w:r>
      <w:r>
        <w:rPr>
          <w:rFonts w:hint="eastAsia" w:ascii="宋体" w:hAnsi="宋体" w:eastAsia="宋体" w:cs="宋体"/>
        </w:rPr>
        <w:t>递交电子投标文件</w:t>
      </w:r>
    </w:p>
    <w:p>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4.4投标文件的修改和澄清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4.4.1提交投标文件截止之日前，采购人或采购代理机构可能对已发出的招标文件进行澄清或者修改，澄清或者修改的内容为招标文件的组成部分。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4.4.2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4.4.3请各供应商在提交投标文件截止时间之前，务必随时关注“政府采购信息发布媒体”上发布的变更公告，采购代理机构不再另行通知，因供应商未及时关注所造成的一切后果由供应商自行承担：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rPr>
        <w:fldChar w:fldCharType="begin"/>
      </w:r>
      <w:r>
        <w:rPr>
          <w:rFonts w:hint="eastAsia" w:ascii="宋体" w:hAnsi="宋体" w:eastAsia="宋体" w:cs="宋体"/>
        </w:rPr>
        <w:instrText xml:space="preserve"> HYPERLINK "http://www.ccgp-shaanxi.gov.cn" </w:instrText>
      </w:r>
      <w:r>
        <w:rPr>
          <w:rFonts w:hint="eastAsia" w:ascii="宋体" w:hAnsi="宋体" w:eastAsia="宋体" w:cs="宋体"/>
        </w:rPr>
        <w:fldChar w:fldCharType="separate"/>
      </w:r>
      <w:r>
        <w:rPr>
          <w:rFonts w:hint="eastAsia" w:ascii="宋体" w:hAnsi="宋体" w:eastAsia="宋体" w:cs="宋体"/>
          <w:sz w:val="24"/>
        </w:rPr>
        <w:t>陕西省政府采购网</w:t>
      </w:r>
      <w:r>
        <w:rPr>
          <w:rFonts w:hint="eastAsia" w:ascii="宋体" w:hAnsi="宋体" w:eastAsia="宋体" w:cs="宋体"/>
          <w:sz w:val="24"/>
        </w:rPr>
        <w:fldChar w:fldCharType="end"/>
      </w:r>
      <w:r>
        <w:rPr>
          <w:rFonts w:hint="eastAsia" w:ascii="宋体" w:hAnsi="宋体" w:eastAsia="宋体" w:cs="宋体"/>
          <w:sz w:val="24"/>
        </w:rPr>
        <w:t>】（</w:t>
      </w:r>
      <w:r>
        <w:rPr>
          <w:rFonts w:hint="eastAsia" w:ascii="宋体" w:hAnsi="宋体" w:eastAsia="宋体" w:cs="宋体"/>
        </w:rPr>
        <w:fldChar w:fldCharType="begin"/>
      </w:r>
      <w:r>
        <w:rPr>
          <w:rFonts w:hint="eastAsia" w:ascii="宋体" w:hAnsi="宋体" w:eastAsia="宋体" w:cs="宋体"/>
        </w:rPr>
        <w:instrText xml:space="preserve"> HYPERLINK "http://www.ccgp-shaanxi.gov.cn/" </w:instrText>
      </w:r>
      <w:r>
        <w:rPr>
          <w:rFonts w:hint="eastAsia" w:ascii="宋体" w:hAnsi="宋体" w:eastAsia="宋体" w:cs="宋体"/>
        </w:rPr>
        <w:fldChar w:fldCharType="separate"/>
      </w:r>
      <w:r>
        <w:rPr>
          <w:rFonts w:hint="eastAsia" w:ascii="宋体" w:hAnsi="宋体" w:eastAsia="宋体" w:cs="宋体"/>
          <w:sz w:val="24"/>
        </w:rPr>
        <w:t>http://www.ccgp-shaanxi.gov.cn/</w:t>
      </w:r>
      <w:r>
        <w:rPr>
          <w:rFonts w:hint="eastAsia" w:ascii="宋体" w:hAnsi="宋体" w:eastAsia="宋体" w:cs="宋体"/>
          <w:sz w:val="24"/>
        </w:rPr>
        <w:fldChar w:fldCharType="end"/>
      </w:r>
      <w:r>
        <w:rPr>
          <w:rFonts w:hint="eastAsia" w:ascii="宋体" w:hAnsi="宋体" w:eastAsia="宋体" w:cs="宋体"/>
          <w:sz w:val="24"/>
        </w:rPr>
        <w:t>）中的〖首页〉信息公告〉市级〉西安市〗；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rPr>
        <w:fldChar w:fldCharType="begin"/>
      </w:r>
      <w:r>
        <w:rPr>
          <w:rFonts w:hint="eastAsia" w:ascii="宋体" w:hAnsi="宋体" w:eastAsia="宋体" w:cs="宋体"/>
        </w:rPr>
        <w:instrText xml:space="preserve"> HYPERLINK "http://xa.sxggzyjy.cn/" </w:instrText>
      </w:r>
      <w:r>
        <w:rPr>
          <w:rFonts w:hint="eastAsia" w:ascii="宋体" w:hAnsi="宋体" w:eastAsia="宋体" w:cs="宋体"/>
        </w:rPr>
        <w:fldChar w:fldCharType="separate"/>
      </w:r>
      <w:r>
        <w:rPr>
          <w:rFonts w:hint="eastAsia" w:ascii="宋体" w:hAnsi="宋体" w:eastAsia="宋体" w:cs="宋体"/>
          <w:sz w:val="24"/>
        </w:rPr>
        <w:t>全国公共资源交易网（陕西省·西安市）</w:t>
      </w:r>
      <w:r>
        <w:rPr>
          <w:rFonts w:hint="eastAsia" w:ascii="宋体" w:hAnsi="宋体" w:eastAsia="宋体" w:cs="宋体"/>
          <w:sz w:val="24"/>
        </w:rPr>
        <w:fldChar w:fldCharType="end"/>
      </w:r>
      <w:r>
        <w:rPr>
          <w:rFonts w:hint="eastAsia" w:ascii="宋体" w:hAnsi="宋体" w:eastAsia="宋体" w:cs="宋体"/>
          <w:sz w:val="24"/>
        </w:rPr>
        <w:t>】（</w:t>
      </w:r>
      <w:r>
        <w:rPr>
          <w:rFonts w:hint="eastAsia" w:ascii="宋体" w:hAnsi="宋体" w:eastAsia="宋体" w:cs="宋体"/>
        </w:rPr>
        <w:fldChar w:fldCharType="begin"/>
      </w:r>
      <w:r>
        <w:rPr>
          <w:rFonts w:hint="eastAsia" w:ascii="宋体" w:hAnsi="宋体" w:eastAsia="宋体" w:cs="宋体"/>
        </w:rPr>
        <w:instrText xml:space="preserve"> HYPERLINK "http://sxggzyjy.xa.gov.cn/" </w:instrText>
      </w:r>
      <w:r>
        <w:rPr>
          <w:rFonts w:hint="eastAsia" w:ascii="宋体" w:hAnsi="宋体" w:eastAsia="宋体" w:cs="宋体"/>
        </w:rPr>
        <w:fldChar w:fldCharType="separate"/>
      </w:r>
      <w:r>
        <w:rPr>
          <w:rFonts w:hint="eastAsia" w:ascii="宋体" w:hAnsi="宋体" w:eastAsia="宋体" w:cs="宋体"/>
          <w:sz w:val="24"/>
        </w:rPr>
        <w:t>http://sxggzyjy.xa.gov.cn/</w:t>
      </w:r>
      <w:r>
        <w:rPr>
          <w:rFonts w:hint="eastAsia" w:ascii="宋体" w:hAnsi="宋体" w:eastAsia="宋体" w:cs="宋体"/>
          <w:sz w:val="24"/>
        </w:rPr>
        <w:fldChar w:fldCharType="end"/>
      </w:r>
      <w:r>
        <w:rPr>
          <w:rFonts w:hint="eastAsia" w:ascii="宋体" w:hAnsi="宋体" w:eastAsia="宋体" w:cs="宋体"/>
          <w:sz w:val="24"/>
        </w:rPr>
        <w:t>）中的〖首页〉交易大厅〉政府采购〗。</w:t>
      </w:r>
    </w:p>
    <w:p>
      <w:pPr>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5.开标程序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5.1开标工作由采购代理机构组织实施，整个过程受同级政府采购监管机构的监督、管理。开标大会由采购代理机构主持、采购人参会人员及有关工作人员参加。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5.2本项目采取“不见面开标”流程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5.2.1供应商登录：开标前，请各供应商至少提前半小时登录西安市公共资源交易平台〖首页〉不见面开标〗系统。</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5.2.2主持人宣布开标：提交投标文件截止时间过后，系统将不再接收任何投标文件。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5.2.3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5.2.4唱标：公开招标项目，“不见面开标”系统将自动展示供应商名单及其投标报价。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5.2.5开标结束：进入评审环节。供应商请保持在线，评审期间评标委员会可能会要求供应商做相应的澄清。因供应商擅自离席造成的不利后果，由供应商自行承担。</w:t>
      </w:r>
    </w:p>
    <w:p>
      <w:pPr>
        <w:pStyle w:val="137"/>
        <w:spacing w:before="120" w:after="120"/>
        <w:ind w:firstLine="482"/>
        <w:rPr>
          <w:rFonts w:hint="eastAsia" w:ascii="宋体" w:hAnsi="宋体" w:eastAsia="宋体" w:cs="宋体"/>
          <w:sz w:val="24"/>
          <w:szCs w:val="24"/>
        </w:rPr>
      </w:pPr>
      <w:bookmarkStart w:id="166" w:name="_Toc27805"/>
      <w:bookmarkStart w:id="167" w:name="_Toc24529"/>
      <w:bookmarkStart w:id="168" w:name="_Toc27809"/>
      <w:r>
        <w:rPr>
          <w:rFonts w:hint="eastAsia" w:ascii="宋体" w:hAnsi="宋体" w:eastAsia="宋体" w:cs="宋体"/>
          <w:sz w:val="24"/>
          <w:szCs w:val="24"/>
        </w:rPr>
        <w:t>5.3开标环节投标文件视为无效的情形</w:t>
      </w:r>
      <w:bookmarkEnd w:id="166"/>
      <w:bookmarkEnd w:id="167"/>
      <w:bookmarkEnd w:id="16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5.3.1供应商放弃或拒绝对电子投标文件进行解密的；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5.3.2因供应商自身原因，导致未在规定的解密时限内完整解密的，如忘带CA锁、或携带的CA锁与加密文件的CA锁不同、或使用旧版招标文件编制投标文件等情形；</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5.3.3上传的电子投标文件无法正常打开的；</w:t>
      </w:r>
    </w:p>
    <w:p>
      <w:pPr>
        <w:spacing w:line="560" w:lineRule="exact"/>
        <w:ind w:firstLine="480" w:firstLineChars="200"/>
        <w:rPr>
          <w:rFonts w:hint="eastAsia" w:ascii="宋体" w:hAnsi="宋体" w:eastAsia="宋体" w:cs="宋体"/>
        </w:rPr>
      </w:pPr>
      <w:r>
        <w:rPr>
          <w:rFonts w:hint="eastAsia" w:ascii="宋体" w:hAnsi="宋体" w:eastAsia="宋体" w:cs="宋体"/>
          <w:sz w:val="24"/>
        </w:rPr>
        <w:t>5.3.4政府采购法律法规规定的其他无效情形。</w:t>
      </w:r>
    </w:p>
    <w:p>
      <w:pPr>
        <w:spacing w:line="560" w:lineRule="exact"/>
        <w:rPr>
          <w:rFonts w:hint="eastAsia" w:ascii="宋体" w:hAnsi="宋体" w:eastAsia="宋体" w:cs="宋体"/>
          <w:b/>
          <w:bCs/>
          <w:sz w:val="24"/>
        </w:rPr>
      </w:pPr>
      <w:r>
        <w:rPr>
          <w:rFonts w:hint="eastAsia" w:ascii="宋体" w:hAnsi="宋体" w:eastAsia="宋体" w:cs="宋体"/>
          <w:b/>
          <w:bCs/>
          <w:sz w:val="24"/>
        </w:rPr>
        <w:t>6.投标文件的补充、修改和撤回</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6.1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6.2供应商在提交投标文件截止时间后，撤回投标文件的，投标保证金不予退还。</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6.3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560" w:lineRule="exact"/>
        <w:rPr>
          <w:rFonts w:hint="eastAsia" w:ascii="宋体" w:hAnsi="宋体" w:eastAsia="宋体" w:cs="宋体"/>
          <w:b/>
          <w:bCs/>
          <w:sz w:val="24"/>
        </w:rPr>
      </w:pPr>
      <w:r>
        <w:rPr>
          <w:rFonts w:hint="eastAsia" w:ascii="宋体" w:hAnsi="宋体" w:eastAsia="宋体" w:cs="宋体"/>
          <w:b/>
          <w:bCs/>
          <w:sz w:val="24"/>
        </w:rPr>
        <w:t>7. 评</w:t>
      </w:r>
      <w:bookmarkStart w:id="169" w:name="_Toc152045562"/>
      <w:bookmarkStart w:id="170" w:name="_Toc152042338"/>
      <w:bookmarkStart w:id="171" w:name="_Toc144974530"/>
      <w:r>
        <w:rPr>
          <w:rFonts w:hint="eastAsia" w:ascii="宋体" w:hAnsi="宋体" w:eastAsia="宋体" w:cs="宋体"/>
          <w:b/>
          <w:bCs/>
          <w:sz w:val="24"/>
        </w:rPr>
        <w:t>标</w:t>
      </w:r>
      <w:bookmarkEnd w:id="165"/>
    </w:p>
    <w:p>
      <w:pPr>
        <w:spacing w:line="560" w:lineRule="exact"/>
        <w:ind w:firstLine="480" w:firstLineChars="200"/>
        <w:rPr>
          <w:rFonts w:hint="eastAsia" w:ascii="宋体" w:hAnsi="宋体" w:eastAsia="宋体" w:cs="宋体"/>
          <w:sz w:val="24"/>
          <w:lang w:val="zh-CN"/>
        </w:rPr>
      </w:pPr>
      <w:bookmarkStart w:id="172" w:name="_Toc339114142"/>
      <w:bookmarkStart w:id="173" w:name="_Toc331665321"/>
      <w:bookmarkStart w:id="174" w:name="_Toc339012159"/>
      <w:r>
        <w:rPr>
          <w:rFonts w:hint="eastAsia" w:ascii="宋体" w:hAnsi="宋体" w:eastAsia="宋体" w:cs="宋体"/>
          <w:sz w:val="24"/>
        </w:rPr>
        <w:t>7.1</w:t>
      </w:r>
      <w:bookmarkEnd w:id="169"/>
      <w:bookmarkEnd w:id="170"/>
      <w:bookmarkEnd w:id="171"/>
      <w:bookmarkEnd w:id="172"/>
      <w:bookmarkEnd w:id="173"/>
      <w:bookmarkEnd w:id="174"/>
      <w:r>
        <w:rPr>
          <w:rFonts w:hint="eastAsia" w:ascii="宋体" w:hAnsi="宋体" w:eastAsia="宋体" w:cs="宋体"/>
          <w:sz w:val="24"/>
          <w:lang w:val="zh-CN"/>
        </w:rPr>
        <w:t>评标委员会的组建</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7.1.1采购人或采购代理机构依法组建评标委员会，评标委员会由采购人代表、评审专家组成，成员人数为5人以上单数，采购人代表须持有评审授权书。评审专家在省级以上财政部门设立的政府采购评审专家库中随机抽取，其中评审专家不得少于成员总数的三分之二，评标委员会成员与投标人有利害关系的应当回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7.1.2评标委员会成员到位后，推荐一名评审专家担任评审组长，并由评审组长牵头组织该项目评审工作，采购人授权的评审专家，不得担任评审组长。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7.1.3评标委员会有权对整个招标过程中出现的一切问题，根据《中华人民共和国政府采购法》、《中华人民共和国政府采购实施条例》和《政府采购货物和服务招标投标管理办法》的精神，本着公开、公平、公正的原则，进行处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7.1.4开标后到向中标的投标人授予合同为止，凡与审查、澄清、评价和比较投标的有关资料及授标意见等内容，评标委员会成员均不得向投标人及与评标无关的其他人透露。</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7.1.5评标委员会负责具体评标事务，并独立履行下列职责：</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A、审查、评价投标文件是否符合招标文件的商务、技术、服务等实质性要求；</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B、要求投标人对投标文件有关事项作出澄清或者说明；</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C、对投标文件进行比较和评价；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D、确定中标候选人名单，以及根据采购人委托直接确定中标人；</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E、向采购人、采购代理机构或者有关部门报告评标中发现的违法行为。</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7.1.6评标委员会成员有下列情形之一的，应当回避：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7.1.6.1采购人或供应商的主要负责人的近亲属；</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7.1.6.2项目主管部门或者行政监督部门的人员；</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7.1.6.3与供应商有经济利益关系，可能影响对投标公正评审的；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7.1.6.4曾因在招标、评标以及其他与招标投标有关活动中从事违法行为而受过行政处罚或刑事处罚的。</w:t>
      </w:r>
    </w:p>
    <w:p>
      <w:pPr>
        <w:spacing w:line="560" w:lineRule="exact"/>
        <w:ind w:firstLine="480" w:firstLineChars="200"/>
        <w:rPr>
          <w:rFonts w:hint="eastAsia" w:ascii="宋体" w:hAnsi="宋体" w:eastAsia="宋体" w:cs="宋体"/>
          <w:sz w:val="24"/>
        </w:rPr>
      </w:pPr>
      <w:bookmarkStart w:id="175" w:name="_Toc339012160"/>
      <w:bookmarkStart w:id="176" w:name="_Toc339114143"/>
      <w:bookmarkStart w:id="177" w:name="_Toc331665322"/>
      <w:r>
        <w:rPr>
          <w:rFonts w:hint="eastAsia" w:ascii="宋体" w:hAnsi="宋体" w:eastAsia="宋体" w:cs="宋体"/>
          <w:sz w:val="24"/>
        </w:rPr>
        <w:t xml:space="preserve">7.2 </w:t>
      </w:r>
      <w:bookmarkStart w:id="178" w:name="_Toc152042340"/>
      <w:bookmarkStart w:id="179" w:name="_Toc144974532"/>
      <w:bookmarkStart w:id="180" w:name="_Toc152045564"/>
      <w:r>
        <w:rPr>
          <w:rFonts w:hint="eastAsia" w:ascii="宋体" w:hAnsi="宋体" w:eastAsia="宋体" w:cs="宋体"/>
          <w:sz w:val="24"/>
        </w:rPr>
        <w:t>评标原则</w:t>
      </w:r>
      <w:bookmarkEnd w:id="175"/>
      <w:bookmarkEnd w:id="176"/>
      <w:bookmarkEnd w:id="177"/>
      <w:r>
        <w:rPr>
          <w:rFonts w:hint="eastAsia" w:ascii="宋体" w:hAnsi="宋体" w:eastAsia="宋体" w:cs="宋体"/>
          <w:sz w:val="24"/>
        </w:rPr>
        <w:tab/>
      </w:r>
    </w:p>
    <w:bookmarkEnd w:id="178"/>
    <w:bookmarkEnd w:id="179"/>
    <w:bookmarkEnd w:id="180"/>
    <w:p>
      <w:pPr>
        <w:spacing w:line="560" w:lineRule="exact"/>
        <w:ind w:firstLine="480" w:firstLineChars="200"/>
        <w:rPr>
          <w:rFonts w:hint="eastAsia" w:ascii="宋体" w:hAnsi="宋体" w:eastAsia="宋体" w:cs="宋体"/>
          <w:sz w:val="24"/>
        </w:rPr>
      </w:pPr>
      <w:bookmarkStart w:id="181" w:name="_Toc339114144"/>
      <w:bookmarkStart w:id="182" w:name="_Toc339012161"/>
      <w:bookmarkStart w:id="183" w:name="_Toc331665323"/>
      <w:r>
        <w:rPr>
          <w:rFonts w:hint="eastAsia" w:ascii="宋体" w:hAnsi="宋体" w:eastAsia="宋体" w:cs="宋体"/>
          <w:sz w:val="24"/>
        </w:rPr>
        <w:t>评标活动遵循公平、公正、科学和择优的原则。严格按照招标文件的要求和内容进行评标，同时考虑以下因素：</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7.2.1价格；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7.2.2工作计划、实施方案及服务承诺等；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7.2.3企业的资信及资质情况；</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7.2.4拟投入本项目主要人员；</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7.2.5合同期限；</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7.2.6类似业绩；</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7.3 </w:t>
      </w:r>
      <w:bookmarkStart w:id="184" w:name="_Toc144974533"/>
      <w:bookmarkStart w:id="185" w:name="_Toc152042341"/>
      <w:bookmarkStart w:id="186" w:name="_Toc152045565"/>
      <w:r>
        <w:rPr>
          <w:rFonts w:hint="eastAsia" w:ascii="宋体" w:hAnsi="宋体" w:eastAsia="宋体" w:cs="宋体"/>
          <w:sz w:val="24"/>
        </w:rPr>
        <w:t>评标</w:t>
      </w:r>
      <w:bookmarkEnd w:id="181"/>
      <w:bookmarkEnd w:id="182"/>
      <w:bookmarkEnd w:id="1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评标委</w:t>
      </w:r>
      <w:bookmarkEnd w:id="184"/>
      <w:bookmarkEnd w:id="185"/>
      <w:bookmarkEnd w:id="186"/>
      <w:r>
        <w:rPr>
          <w:rFonts w:hint="eastAsia" w:ascii="宋体" w:hAnsi="宋体" w:eastAsia="宋体" w:cs="宋体"/>
          <w:sz w:val="24"/>
        </w:rPr>
        <w:t>员会按照第三</w:t>
      </w:r>
      <w:r>
        <w:rPr>
          <w:rFonts w:hint="eastAsia" w:ascii="宋体" w:hAnsi="宋体" w:eastAsia="宋体" w:cs="宋体"/>
          <w:sz w:val="24"/>
          <w:lang w:val="en-US" w:eastAsia="zh-CN"/>
        </w:rPr>
        <w:t>章</w:t>
      </w:r>
      <w:r>
        <w:rPr>
          <w:rFonts w:hint="eastAsia" w:ascii="宋体" w:hAnsi="宋体" w:eastAsia="宋体" w:cs="宋体"/>
          <w:sz w:val="24"/>
        </w:rPr>
        <w:t>“评标办法”规定的方法、评审因素、标准和程序对投标文件进行评审。第三</w:t>
      </w:r>
      <w:r>
        <w:rPr>
          <w:rFonts w:hint="eastAsia" w:ascii="宋体" w:hAnsi="宋体" w:eastAsia="宋体" w:cs="宋体"/>
          <w:sz w:val="24"/>
          <w:lang w:val="en-US" w:eastAsia="zh-CN"/>
        </w:rPr>
        <w:t>章</w:t>
      </w:r>
      <w:r>
        <w:rPr>
          <w:rFonts w:hint="eastAsia" w:ascii="宋体" w:hAnsi="宋体" w:eastAsia="宋体" w:cs="宋体"/>
          <w:sz w:val="24"/>
        </w:rPr>
        <w:t>“评标办法”没有规定的方法、评审因素和标准，不作为评标依据。</w:t>
      </w:r>
    </w:p>
    <w:p>
      <w:pPr>
        <w:spacing w:line="560" w:lineRule="exact"/>
        <w:rPr>
          <w:rFonts w:hint="eastAsia" w:ascii="宋体" w:hAnsi="宋体" w:eastAsia="宋体" w:cs="宋体"/>
          <w:b/>
          <w:bCs/>
          <w:sz w:val="24"/>
        </w:rPr>
      </w:pPr>
      <w:bookmarkStart w:id="187" w:name="_Toc339114145"/>
      <w:r>
        <w:rPr>
          <w:rFonts w:hint="eastAsia" w:ascii="宋体" w:hAnsi="宋体" w:eastAsia="宋体" w:cs="宋体"/>
          <w:b/>
          <w:bCs/>
          <w:sz w:val="24"/>
        </w:rPr>
        <w:t>8. 合</w:t>
      </w:r>
      <w:bookmarkStart w:id="188" w:name="_Toc152045566"/>
      <w:bookmarkStart w:id="189" w:name="_Toc152042342"/>
      <w:bookmarkStart w:id="190" w:name="_Toc144974534"/>
      <w:r>
        <w:rPr>
          <w:rFonts w:hint="eastAsia" w:ascii="宋体" w:hAnsi="宋体" w:eastAsia="宋体" w:cs="宋体"/>
          <w:b/>
          <w:bCs/>
          <w:sz w:val="24"/>
        </w:rPr>
        <w:t>同授予</w:t>
      </w:r>
      <w:bookmarkEnd w:id="187"/>
    </w:p>
    <w:p>
      <w:pPr>
        <w:spacing w:line="560" w:lineRule="exact"/>
        <w:ind w:firstLine="480" w:firstLineChars="200"/>
        <w:rPr>
          <w:rFonts w:hint="eastAsia" w:ascii="宋体" w:hAnsi="宋体" w:eastAsia="宋体" w:cs="宋体"/>
          <w:sz w:val="24"/>
        </w:rPr>
      </w:pPr>
      <w:bookmarkStart w:id="191" w:name="_Toc339114146"/>
      <w:bookmarkStart w:id="192" w:name="_Toc339012163"/>
      <w:bookmarkStart w:id="193" w:name="_Toc331665325"/>
      <w:r>
        <w:rPr>
          <w:rFonts w:hint="eastAsia" w:ascii="宋体" w:hAnsi="宋体" w:eastAsia="宋体" w:cs="宋体"/>
          <w:sz w:val="24"/>
        </w:rPr>
        <w:t>8.1</w:t>
      </w:r>
      <w:bookmarkEnd w:id="188"/>
      <w:bookmarkEnd w:id="189"/>
      <w:bookmarkEnd w:id="190"/>
      <w:bookmarkStart w:id="194" w:name="_Toc152042343"/>
      <w:bookmarkStart w:id="195" w:name="_Toc144974535"/>
      <w:bookmarkStart w:id="196" w:name="_Toc152045567"/>
      <w:r>
        <w:rPr>
          <w:rFonts w:hint="eastAsia" w:ascii="宋体" w:hAnsi="宋体" w:eastAsia="宋体" w:cs="宋体"/>
          <w:sz w:val="24"/>
        </w:rPr>
        <w:t>定标方式</w:t>
      </w:r>
      <w:bookmarkEnd w:id="191"/>
      <w:bookmarkEnd w:id="192"/>
      <w:bookmarkEnd w:id="193"/>
    </w:p>
    <w:bookmarkEnd w:id="194"/>
    <w:bookmarkEnd w:id="195"/>
    <w:bookmarkEnd w:id="196"/>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8.1.1在采购代理机构将评标报告提交采购人5个工作日内，采购人在评标报告确定的中标候选人名单中按顺序确定中标人，复函采购代理机构。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8.2采购代理机构在接到采购人的“中标”复函后，在财政部门指定的政府采购信息发布媒体上公告，公示期满无异议并同时向中标供应商发放“中标通知书”。</w:t>
      </w:r>
    </w:p>
    <w:p>
      <w:pPr>
        <w:spacing w:line="560" w:lineRule="exact"/>
        <w:ind w:firstLine="480" w:firstLineChars="200"/>
        <w:rPr>
          <w:rFonts w:hint="eastAsia" w:ascii="宋体" w:hAnsi="宋体" w:eastAsia="宋体" w:cs="宋体"/>
          <w:sz w:val="24"/>
        </w:rPr>
      </w:pPr>
      <w:bookmarkStart w:id="197" w:name="_Toc331665328"/>
      <w:bookmarkStart w:id="198" w:name="_Toc339012166"/>
      <w:bookmarkStart w:id="199" w:name="_Toc339114149"/>
      <w:r>
        <w:rPr>
          <w:rFonts w:hint="eastAsia" w:ascii="宋体" w:hAnsi="宋体" w:eastAsia="宋体" w:cs="宋体"/>
          <w:sz w:val="24"/>
        </w:rPr>
        <w:t xml:space="preserve">8.3 </w:t>
      </w:r>
      <w:bookmarkStart w:id="200" w:name="_Toc144974538"/>
      <w:bookmarkStart w:id="201" w:name="_Toc152045570"/>
      <w:bookmarkStart w:id="202" w:name="_Toc152042346"/>
      <w:r>
        <w:rPr>
          <w:rFonts w:hint="eastAsia" w:ascii="宋体" w:hAnsi="宋体" w:eastAsia="宋体" w:cs="宋体"/>
          <w:sz w:val="24"/>
        </w:rPr>
        <w:t>签订合同</w:t>
      </w:r>
      <w:bookmarkEnd w:id="197"/>
      <w:bookmarkEnd w:id="198"/>
      <w:bookmarkEnd w:id="19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w:t>
      </w:r>
      <w:bookmarkEnd w:id="200"/>
      <w:bookmarkEnd w:id="201"/>
      <w:bookmarkEnd w:id="202"/>
      <w:r>
        <w:rPr>
          <w:rFonts w:hint="eastAsia" w:ascii="宋体" w:hAnsi="宋体" w:eastAsia="宋体" w:cs="宋体"/>
          <w:sz w:val="24"/>
        </w:rPr>
        <w:t>3.1采购人和中标供应商应当自中标通知书发出之日起</w:t>
      </w:r>
      <w:r>
        <w:rPr>
          <w:rFonts w:hint="eastAsia" w:ascii="宋体" w:hAnsi="宋体" w:eastAsia="宋体" w:cs="宋体"/>
          <w:sz w:val="24"/>
          <w:lang w:val="en-US" w:eastAsia="zh-CN"/>
        </w:rPr>
        <w:t>25</w:t>
      </w:r>
      <w:r>
        <w:rPr>
          <w:rFonts w:hint="eastAsia" w:ascii="宋体" w:hAnsi="宋体" w:eastAsia="宋体" w:cs="宋体"/>
          <w:sz w:val="24"/>
        </w:rPr>
        <w:t xml:space="preserve">天内，根据招标文件和中标供应商的投标文件订立书面合同。中标供应商无正当理由拒签合同的，采购人取消其中标资格；给采购人造成的损失的，中标供应商还应当对超过部分予以赔偿。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8.3.2发出中标通知书后，采购人无正当理由拒签合同的；给中标供应商造成损失的，还应当赔偿损失。</w:t>
      </w:r>
    </w:p>
    <w:p>
      <w:pPr>
        <w:spacing w:line="560" w:lineRule="exact"/>
        <w:rPr>
          <w:rFonts w:hint="eastAsia" w:ascii="宋体" w:hAnsi="宋体" w:eastAsia="宋体" w:cs="宋体"/>
          <w:b/>
          <w:bCs/>
          <w:sz w:val="24"/>
        </w:rPr>
      </w:pPr>
      <w:bookmarkStart w:id="203" w:name="_Toc339114150"/>
      <w:r>
        <w:rPr>
          <w:rFonts w:hint="eastAsia" w:ascii="宋体" w:hAnsi="宋体" w:eastAsia="宋体" w:cs="宋体"/>
          <w:b/>
          <w:bCs/>
          <w:sz w:val="24"/>
        </w:rPr>
        <w:t>9. 重</w:t>
      </w:r>
      <w:bookmarkStart w:id="204" w:name="_Toc152045571"/>
      <w:bookmarkStart w:id="205" w:name="_Toc144974539"/>
      <w:bookmarkStart w:id="206" w:name="_Toc152042347"/>
      <w:r>
        <w:rPr>
          <w:rFonts w:hint="eastAsia" w:ascii="宋体" w:hAnsi="宋体" w:eastAsia="宋体" w:cs="宋体"/>
          <w:b/>
          <w:bCs/>
          <w:sz w:val="24"/>
        </w:rPr>
        <w:t>新招标、变更采购方式和不再招标</w:t>
      </w:r>
      <w:bookmarkEnd w:id="203"/>
      <w:r>
        <w:rPr>
          <w:rFonts w:hint="eastAsia" w:ascii="宋体" w:hAnsi="宋体" w:eastAsia="宋体" w:cs="宋体"/>
          <w:b/>
          <w:bCs/>
          <w:sz w:val="24"/>
        </w:rPr>
        <w:t>重新招标</w:t>
      </w:r>
    </w:p>
    <w:p>
      <w:pPr>
        <w:spacing w:line="56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9</w:t>
      </w:r>
      <w:r>
        <w:rPr>
          <w:rFonts w:hint="eastAsia" w:ascii="宋体" w:hAnsi="宋体" w:eastAsia="宋体" w:cs="宋体"/>
          <w:sz w:val="24"/>
        </w:rPr>
        <w:t>.1 在采购中，出现下列情形之一的，应予废标：</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9.1.1 投标截止时间后有效投标人不足3个；</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9.1.2 资格审查或初步审查后有效投标人不足3个；</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9.1.3 出现影响采购公正的违法、违规行为的；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9.1.4 因重大变故，采购任务取消的。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9.2 废标后，除采购任务取消情形外，报告政府采购监督管理部门批准，重新组织招标或采用其他方式进行采购：</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9.2.1 在招标过程中，提交投标文件或者通过资格审查或初步审查的投标人只有2家时，根据中华人民共和国财政部2017年第87号部长令--《政府采购货物和服务招标投标管理办法》第四十三条、2013年第74号部长令--《政府采购非招标采购方式管理办法》第二十七条规定，经采购人书面请示政府采购管理机构同意后，可以现场转为竞争性谈判或者竞争性磋商的方式继续采购。</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①如果转为竞争性谈判方式，则原招标文件转为竞争性谈判文件，原投标人即为供应商，原投标文件报价作为竞争性谈判的第一次报价，评审方法按照竞争性谈判的评审原则，在质量和服务均能满足采购文件实质性要求的基础上，按照最后报价由低到高的顺序，确定成交候选供应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②如果转为竞争性磋商方式，则原招标文件转为竞争性磋商文件，原投标文件报价作为竞争性磋商的第一次报价，评审方法采用原评标方法。</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8.2.2 在招标过程中，提交投标文件或者通过资格审查或符合性审查的投标人只有1家时，按废标处理，重新开展采购活动。</w:t>
      </w:r>
    </w:p>
    <w:bookmarkEnd w:id="204"/>
    <w:bookmarkEnd w:id="205"/>
    <w:bookmarkEnd w:id="206"/>
    <w:p>
      <w:pPr>
        <w:spacing w:line="560" w:lineRule="exact"/>
        <w:rPr>
          <w:rFonts w:hint="eastAsia" w:ascii="宋体" w:hAnsi="宋体" w:eastAsia="宋体" w:cs="宋体"/>
          <w:b/>
          <w:bCs/>
          <w:sz w:val="24"/>
        </w:rPr>
      </w:pPr>
      <w:bookmarkStart w:id="207" w:name="_Toc339114153"/>
      <w:r>
        <w:rPr>
          <w:rFonts w:hint="eastAsia" w:ascii="宋体" w:hAnsi="宋体" w:eastAsia="宋体" w:cs="宋体"/>
          <w:b/>
          <w:bCs/>
          <w:sz w:val="24"/>
        </w:rPr>
        <w:t>10. 纪</w:t>
      </w:r>
      <w:bookmarkStart w:id="208" w:name="_Toc152045574"/>
      <w:bookmarkStart w:id="209" w:name="_Toc144974542"/>
      <w:bookmarkStart w:id="210" w:name="_Toc152042350"/>
      <w:r>
        <w:rPr>
          <w:rFonts w:hint="eastAsia" w:ascii="宋体" w:hAnsi="宋体" w:eastAsia="宋体" w:cs="宋体"/>
          <w:b/>
          <w:bCs/>
          <w:sz w:val="24"/>
        </w:rPr>
        <w:t>律和监督</w:t>
      </w:r>
      <w:bookmarkEnd w:id="207"/>
    </w:p>
    <w:p>
      <w:pPr>
        <w:spacing w:line="560" w:lineRule="exact"/>
        <w:ind w:firstLine="480" w:firstLineChars="200"/>
        <w:rPr>
          <w:rFonts w:hint="eastAsia" w:ascii="宋体" w:hAnsi="宋体" w:eastAsia="宋体" w:cs="宋体"/>
          <w:sz w:val="24"/>
        </w:rPr>
      </w:pPr>
      <w:bookmarkStart w:id="211" w:name="_Toc339114154"/>
      <w:bookmarkStart w:id="212" w:name="_Toc339012171"/>
      <w:bookmarkStart w:id="213" w:name="_Toc331665333"/>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sz w:val="24"/>
        </w:rPr>
        <w:t>0.1</w:t>
      </w:r>
      <w:bookmarkEnd w:id="208"/>
      <w:bookmarkEnd w:id="209"/>
      <w:bookmarkEnd w:id="210"/>
      <w:bookmarkStart w:id="214" w:name="_Toc144974543"/>
      <w:bookmarkStart w:id="215" w:name="_Toc152042351"/>
      <w:bookmarkStart w:id="216" w:name="_Toc152045575"/>
      <w:r>
        <w:rPr>
          <w:rFonts w:hint="eastAsia" w:ascii="宋体" w:hAnsi="宋体" w:eastAsia="宋体" w:cs="宋体"/>
          <w:sz w:val="24"/>
        </w:rPr>
        <w:t>对采购人的纪律要求</w:t>
      </w:r>
      <w:bookmarkEnd w:id="211"/>
      <w:bookmarkEnd w:id="212"/>
      <w:bookmarkEnd w:id="21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采购人</w:t>
      </w:r>
      <w:bookmarkEnd w:id="214"/>
      <w:bookmarkEnd w:id="215"/>
      <w:bookmarkEnd w:id="216"/>
      <w:r>
        <w:rPr>
          <w:rFonts w:hint="eastAsia" w:ascii="宋体" w:hAnsi="宋体" w:eastAsia="宋体" w:cs="宋体"/>
          <w:sz w:val="24"/>
        </w:rPr>
        <w:t>不得泄漏招标投标活动中应当保密的情况和资料，不得与供应商串通损害国家利益、社会公共利益或者他人合法权益。</w:t>
      </w:r>
    </w:p>
    <w:p>
      <w:pPr>
        <w:spacing w:line="560" w:lineRule="exact"/>
        <w:ind w:firstLine="480" w:firstLineChars="200"/>
        <w:rPr>
          <w:rFonts w:hint="eastAsia" w:ascii="宋体" w:hAnsi="宋体" w:eastAsia="宋体" w:cs="宋体"/>
          <w:sz w:val="24"/>
        </w:rPr>
      </w:pPr>
      <w:bookmarkStart w:id="217" w:name="_Toc331665334"/>
      <w:bookmarkStart w:id="218" w:name="_Toc339012172"/>
      <w:bookmarkStart w:id="219" w:name="_Toc339114155"/>
      <w:r>
        <w:rPr>
          <w:rFonts w:hint="eastAsia" w:ascii="宋体" w:hAnsi="宋体" w:eastAsia="宋体" w:cs="宋体"/>
          <w:sz w:val="24"/>
        </w:rPr>
        <w:t xml:space="preserve">10.2 </w:t>
      </w:r>
      <w:bookmarkStart w:id="220" w:name="_Toc144974544"/>
      <w:bookmarkStart w:id="221" w:name="_Toc152045576"/>
      <w:bookmarkStart w:id="222" w:name="_Toc152042352"/>
      <w:r>
        <w:rPr>
          <w:rFonts w:hint="eastAsia" w:ascii="宋体" w:hAnsi="宋体" w:eastAsia="宋体" w:cs="宋体"/>
          <w:sz w:val="24"/>
        </w:rPr>
        <w:t>对供应商的纪律要求</w:t>
      </w:r>
      <w:bookmarkEnd w:id="217"/>
      <w:bookmarkEnd w:id="218"/>
      <w:bookmarkEnd w:id="21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供应商</w:t>
      </w:r>
      <w:bookmarkEnd w:id="220"/>
      <w:bookmarkEnd w:id="221"/>
      <w:bookmarkEnd w:id="222"/>
      <w:r>
        <w:rPr>
          <w:rFonts w:hint="eastAsia" w:ascii="宋体" w:hAnsi="宋体" w:eastAsia="宋体" w:cs="宋体"/>
          <w:sz w:val="24"/>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560" w:lineRule="exact"/>
        <w:ind w:firstLine="480" w:firstLineChars="200"/>
        <w:rPr>
          <w:rFonts w:hint="eastAsia" w:ascii="宋体" w:hAnsi="宋体" w:eastAsia="宋体" w:cs="宋体"/>
          <w:sz w:val="24"/>
        </w:rPr>
      </w:pPr>
      <w:bookmarkStart w:id="223" w:name="_Toc331665335"/>
      <w:bookmarkStart w:id="224" w:name="_Toc339012173"/>
      <w:bookmarkStart w:id="225" w:name="_Toc339114156"/>
      <w:r>
        <w:rPr>
          <w:rFonts w:hint="eastAsia" w:ascii="宋体" w:hAnsi="宋体" w:eastAsia="宋体" w:cs="宋体"/>
          <w:sz w:val="24"/>
        </w:rPr>
        <w:t xml:space="preserve">10.3 </w:t>
      </w:r>
      <w:bookmarkStart w:id="226" w:name="_Toc144974545"/>
      <w:bookmarkStart w:id="227" w:name="_Toc152042353"/>
      <w:bookmarkStart w:id="228" w:name="_Toc152045577"/>
      <w:r>
        <w:rPr>
          <w:rFonts w:hint="eastAsia" w:ascii="宋体" w:hAnsi="宋体" w:eastAsia="宋体" w:cs="宋体"/>
          <w:sz w:val="24"/>
        </w:rPr>
        <w:t>对评标委员会成员的纪律要求</w:t>
      </w:r>
      <w:bookmarkEnd w:id="223"/>
      <w:bookmarkEnd w:id="224"/>
      <w:bookmarkEnd w:id="22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评标委</w:t>
      </w:r>
      <w:bookmarkEnd w:id="226"/>
      <w:bookmarkEnd w:id="227"/>
      <w:bookmarkEnd w:id="228"/>
      <w:r>
        <w:rPr>
          <w:rFonts w:hint="eastAsia" w:ascii="宋体" w:hAnsi="宋体" w:eastAsia="宋体" w:cs="宋体"/>
          <w:sz w:val="24"/>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560" w:lineRule="exact"/>
        <w:ind w:firstLine="480" w:firstLineChars="200"/>
        <w:rPr>
          <w:rFonts w:hint="eastAsia" w:ascii="宋体" w:hAnsi="宋体" w:eastAsia="宋体" w:cs="宋体"/>
          <w:sz w:val="24"/>
        </w:rPr>
      </w:pPr>
      <w:bookmarkStart w:id="229" w:name="_Toc331665336"/>
      <w:bookmarkStart w:id="230" w:name="_Toc339012174"/>
      <w:bookmarkStart w:id="231" w:name="_Toc339114157"/>
      <w:r>
        <w:rPr>
          <w:rFonts w:hint="eastAsia" w:ascii="宋体" w:hAnsi="宋体" w:eastAsia="宋体" w:cs="宋体"/>
          <w:sz w:val="24"/>
        </w:rPr>
        <w:t xml:space="preserve">10.4 </w:t>
      </w:r>
      <w:bookmarkStart w:id="232" w:name="_Toc152042354"/>
      <w:bookmarkStart w:id="233" w:name="_Toc152045578"/>
      <w:bookmarkStart w:id="234" w:name="_Toc144974546"/>
      <w:r>
        <w:rPr>
          <w:rFonts w:hint="eastAsia" w:ascii="宋体" w:hAnsi="宋体" w:eastAsia="宋体" w:cs="宋体"/>
          <w:sz w:val="24"/>
        </w:rPr>
        <w:t>对与评标活动有关的工作人员的纪律要求</w:t>
      </w:r>
      <w:bookmarkEnd w:id="229"/>
      <w:bookmarkEnd w:id="230"/>
      <w:bookmarkEnd w:id="23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与评标</w:t>
      </w:r>
      <w:bookmarkEnd w:id="232"/>
      <w:bookmarkEnd w:id="233"/>
      <w:r>
        <w:rPr>
          <w:rFonts w:hint="eastAsia" w:ascii="宋体" w:hAnsi="宋体" w:eastAsia="宋体" w:cs="宋体"/>
          <w:sz w:val="24"/>
        </w:rPr>
        <w:t>活</w:t>
      </w:r>
      <w:bookmarkStart w:id="235" w:name="_Toc152042355"/>
      <w:r>
        <w:rPr>
          <w:rFonts w:hint="eastAsia" w:ascii="宋体" w:hAnsi="宋体" w:eastAsia="宋体" w:cs="宋体"/>
          <w:sz w:val="24"/>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bookmarkEnd w:id="234"/>
    <w:bookmarkEnd w:id="235"/>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10.5特别说明：</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10.5.1供应商投标所使用的资格、信誉、荣誉、业绩与企业认证必须为本法人所拥有。供应商投标所使用的采购项目实施人员必须为本法人员工（或必须为本法人或控股公司正式员工）。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10.5.2供应商应仔细阅读招标文件的所有内容，按照招标文件的要求提交投标文件，并对所提供的全部资料的真实性承担法律责任。</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10.5.3供应商在投标活动中提供任何虚假材料,其投标无效，并报监管部门查处；中标后发现的,中标人须依照《中华人民共和国消费者权益保护法》第49条之规定双倍赔偿采购人，且民事赔偿并不免除违法供应商的行政与刑事责任。</w:t>
      </w:r>
    </w:p>
    <w:p>
      <w:pPr>
        <w:spacing w:line="560" w:lineRule="exact"/>
        <w:rPr>
          <w:rFonts w:hint="eastAsia" w:ascii="宋体" w:hAnsi="宋体" w:eastAsia="宋体" w:cs="宋体"/>
          <w:b/>
          <w:bCs/>
          <w:sz w:val="24"/>
        </w:rPr>
      </w:pPr>
      <w:r>
        <w:rPr>
          <w:rFonts w:hint="eastAsia" w:ascii="宋体" w:hAnsi="宋体" w:eastAsia="宋体" w:cs="宋体"/>
          <w:b/>
          <w:bCs/>
          <w:sz w:val="24"/>
        </w:rPr>
        <w:t>11. 采购项目需要落实的政府采购政策：</w:t>
      </w:r>
    </w:p>
    <w:p>
      <w:pPr>
        <w:spacing w:line="560" w:lineRule="exact"/>
        <w:ind w:firstLine="482" w:firstLineChars="200"/>
        <w:rPr>
          <w:rFonts w:hint="eastAsia" w:ascii="宋体" w:hAnsi="宋体" w:eastAsia="宋体" w:cs="宋体"/>
          <w:sz w:val="24"/>
        </w:rPr>
      </w:pPr>
      <w:r>
        <w:rPr>
          <w:rFonts w:hint="eastAsia" w:ascii="宋体" w:hAnsi="宋体" w:eastAsia="宋体" w:cs="宋体"/>
          <w:b/>
          <w:bCs/>
          <w:sz w:val="24"/>
        </w:rPr>
        <w:t>11.1《政府采购促进中小企业发展管理办法》的通知--财库〔2020〕46号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根据《政府采购促进中小企业发展管理办法》（财库（2020）46号）规定，参加政府采购活动的中小企业应当提供《中小企业声明函》。供应商提供的《中小企业声明函》资料必须真实，否则，按照有关规定予以处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对于未预留份额专门面向中小企业采购的采购项目，以及预留份额项目的非预留部分采购包中符合条件的小微企业报价给予</w:t>
      </w:r>
      <w:r>
        <w:rPr>
          <w:rFonts w:hint="eastAsia" w:ascii="宋体" w:hAnsi="宋体" w:eastAsia="宋体" w:cs="宋体"/>
          <w:sz w:val="24"/>
          <w:lang w:val="en-US" w:eastAsia="zh-CN"/>
        </w:rPr>
        <w:t>3</w:t>
      </w:r>
      <w:r>
        <w:rPr>
          <w:rFonts w:hint="eastAsia" w:ascii="宋体" w:hAnsi="宋体" w:eastAsia="宋体" w:cs="宋体"/>
          <w:sz w:val="24"/>
        </w:rPr>
        <w:t>%的扣除，用扣除后的价格参加评审。</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11.2财政部司法部关于政府采购支持监狱企业发展有关问题的通知--财库〔2014〕68号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根据《关于政府采购支持监狱企业发展有关问题的通知》（财库（2014）68号）规定，在政府采购活动中，监狱企业视同小型、微型企业，享受政府采购促进中小企业发展的政府采购政策。</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11.3《关于政府采购优先购买福利性企业产品和服务的意见》（陕民发〔2015〕1号）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根据《关于政府采购优先购买福利性企业产品和服务的意见》（陕民发〔2015〕1号）规定，在政府采购活动中，本省福利性企业享受我省规定的采购扶持政策。</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11.4《国务院办公厅关于建立政府强制采购节能产品制度的通知》--国办发〔2007〕51号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各级政府机构使用财政性资金进行政府采购活动时，在技术、服务等指标满足采购需求的前提下，要优先采购节能产品，对部分节能效果、性能等达到要求的产品，实行强制采购。</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11.5《环境标志产品政府采购实施的意见》--财库〔2006〕90号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政府采购属于环境标志品目清单中产品时，在技术、服务等指标同等条件下，应当优先采购环境标志清单品目所列的节能产品。</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在投标时供应商应提供有效证明材料。（注：属于环境标志品目清单范围中实施政府优先采购的，依据提供的品目清单和国家确认的认证机构出具的认证证书实施政府优先采购）。</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11.6《关于促进残疾人就业政府采购政策的通知》--财库〔2017〕141号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   符合条件的残疾人福利性单位在参加政府采购活动时，应当提供本通知规定的《残疾人福利性单位声明函》，并对声明的真实性负责。 供应商提供的《残疾人福利性单位声明函》与事实不符的，依照《</w:t>
      </w:r>
      <w:r>
        <w:rPr>
          <w:rFonts w:hint="eastAsia" w:ascii="宋体" w:hAnsi="宋体" w:eastAsia="宋体" w:cs="宋体"/>
          <w:color w:val="000000" w:themeColor="text1"/>
          <w:sz w:val="24"/>
          <w14:textFill>
            <w14:solidFill>
              <w14:schemeClr w14:val="tx1"/>
            </w14:solidFill>
          </w14:textFill>
        </w:rPr>
        <w:t>中华人民共和国</w:t>
      </w:r>
      <w:r>
        <w:rPr>
          <w:rFonts w:hint="eastAsia" w:ascii="宋体" w:hAnsi="宋体" w:eastAsia="宋体" w:cs="宋体"/>
          <w:sz w:val="24"/>
        </w:rPr>
        <w:t>政府采购法》第七十七条第一款的规定追究法律责任。</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11.7财政部国家发展改革委关于印发《节能产品政府采购实施意见》的通知--（财库〔2004〕185号）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政府采购属于节能品目清单中产品时，在技术、服务等指标同等条件下，应当优先采购节能清单品目所列的节能产品。</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在投标时供应商应提供有效证明材料。（注：属于节能品目清单范围中实施政府优先采购的，依据提供的品目清单和国家确认的认证机构出具的认证证书实施政府优先采购）。</w:t>
      </w:r>
    </w:p>
    <w:p>
      <w:pPr>
        <w:spacing w:line="560" w:lineRule="exact"/>
        <w:ind w:firstLine="482" w:firstLineChars="200"/>
        <w:rPr>
          <w:rFonts w:hint="eastAsia" w:ascii="宋体" w:hAnsi="宋体" w:eastAsia="宋体" w:cs="宋体"/>
          <w:b/>
          <w:bCs/>
          <w:sz w:val="24"/>
        </w:rPr>
      </w:pPr>
      <w:r>
        <w:rPr>
          <w:rFonts w:hint="eastAsia" w:ascii="宋体" w:hAnsi="宋体" w:eastAsia="宋体" w:cs="宋体"/>
          <w:b/>
          <w:bCs/>
          <w:sz w:val="24"/>
        </w:rPr>
        <w:t>11.8 陕西省财政厅关于印发《陕西省中小企业政府采购信用融资办法》--陕财办采〔2018〕23号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宋体" w:hAnsi="宋体" w:eastAsia="宋体" w:cs="宋体"/>
          <w:sz w:val="24"/>
        </w:rPr>
      </w:pPr>
      <w:r>
        <w:rPr>
          <w:rFonts w:hint="eastAsia" w:ascii="宋体" w:hAnsi="宋体" w:eastAsia="宋体" w:cs="宋体"/>
          <w:b/>
          <w:bCs/>
          <w:sz w:val="24"/>
        </w:rPr>
        <w:t>11.9《关于运用政府采购政策支持乡村产业振兴的通知》--财库〔2021〕19 号</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财政部、农业农村部、国家乡村振兴局发布《关于运用政府采购政策支持乡村产业振兴的通知》，《通知》指出，自2021年起各级预算单位应当按照不低于10%的比例预留年度食堂食材采购份额，通过脱贫地区农副产品网络销售平台（原贫困地区农副产品网络销售平台）采购脱贫地区农副产品。</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通知》明确，财政部会同农业农村部、国家乡村振兴局等部门制定政府采购脱贫地区农副产品工作的实施意见，加强脱贫地区农副产品货源组织、供应链管理和网络销售平台运营管理，积极组织预算单位采购脱贫地区农副产品。</w:t>
      </w:r>
    </w:p>
    <w:p>
      <w:pPr>
        <w:spacing w:line="560" w:lineRule="exact"/>
        <w:ind w:firstLine="482" w:firstLineChars="200"/>
        <w:rPr>
          <w:rFonts w:hint="eastAsia" w:ascii="宋体" w:hAnsi="宋体" w:eastAsia="宋体" w:cs="宋体"/>
          <w:sz w:val="24"/>
          <w:lang w:val="zh-CN"/>
        </w:rPr>
      </w:pPr>
      <w:r>
        <w:rPr>
          <w:rFonts w:hint="eastAsia" w:ascii="宋体" w:hAnsi="宋体" w:eastAsia="宋体" w:cs="宋体"/>
          <w:b/>
          <w:bCs/>
          <w:sz w:val="24"/>
        </w:rPr>
        <w:t>11.10</w:t>
      </w:r>
      <w:r>
        <w:rPr>
          <w:rFonts w:hint="eastAsia" w:ascii="宋体" w:hAnsi="宋体" w:eastAsia="宋体" w:cs="宋体"/>
          <w:b/>
          <w:bCs/>
          <w:sz w:val="24"/>
          <w:lang w:val="zh-CN"/>
        </w:rPr>
        <w:t>《关于进一步加大政府采购支持中小企业力度的通知》（财库﹝2022﹞19号）</w:t>
      </w:r>
    </w:p>
    <w:p>
      <w:pPr>
        <w:spacing w:line="560" w:lineRule="exact"/>
        <w:ind w:firstLine="480" w:firstLineChars="200"/>
        <w:rPr>
          <w:rFonts w:hint="eastAsia" w:ascii="宋体" w:hAnsi="宋体" w:eastAsia="宋体" w:cs="宋体"/>
        </w:rPr>
      </w:pPr>
      <w:r>
        <w:rPr>
          <w:rFonts w:hint="eastAsia" w:ascii="宋体" w:hAnsi="宋体" w:eastAsia="宋体" w:cs="宋体"/>
          <w:sz w:val="24"/>
          <w:lang w:val="zh-CN"/>
        </w:rPr>
        <w:t>对于未预留份额专门面向中小企业采购的采购项目，以及预留份额项目的非预留部分采购包中符合条件的小微企业报价给予</w:t>
      </w:r>
      <w:r>
        <w:rPr>
          <w:rFonts w:hint="eastAsia" w:ascii="宋体" w:hAnsi="宋体" w:eastAsia="宋体" w:cs="宋体"/>
          <w:sz w:val="24"/>
          <w:lang w:val="en-US" w:eastAsia="zh-CN"/>
        </w:rPr>
        <w:t>3</w:t>
      </w:r>
      <w:r>
        <w:rPr>
          <w:rFonts w:hint="eastAsia" w:ascii="宋体" w:hAnsi="宋体" w:eastAsia="宋体" w:cs="宋体"/>
          <w:sz w:val="24"/>
          <w:lang w:val="zh-CN"/>
        </w:rPr>
        <w:t>%的扣除。用扣除后的价格参加评审。</w:t>
      </w:r>
    </w:p>
    <w:p>
      <w:pPr>
        <w:spacing w:line="560" w:lineRule="exact"/>
        <w:rPr>
          <w:rFonts w:hint="eastAsia" w:ascii="宋体" w:hAnsi="宋体" w:eastAsia="宋体" w:cs="宋体"/>
          <w:b/>
          <w:bCs/>
          <w:sz w:val="24"/>
          <w:lang w:val="zh-CN"/>
        </w:rPr>
      </w:pPr>
      <w:r>
        <w:rPr>
          <w:rFonts w:hint="eastAsia" w:ascii="宋体" w:hAnsi="宋体" w:eastAsia="宋体" w:cs="宋体"/>
          <w:b/>
          <w:bCs/>
          <w:sz w:val="24"/>
          <w:lang w:val="zh-CN"/>
        </w:rPr>
        <w:t>12.评标过程的监控</w:t>
      </w:r>
    </w:p>
    <w:p>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本项目评标过程实行全程录音、录像监控，供应商在评标过程中所进行的试图影响评标结果的不公正活动，可能导致其投标被拒绝。</w:t>
      </w:r>
    </w:p>
    <w:p>
      <w:pPr>
        <w:pStyle w:val="95"/>
        <w:rPr>
          <w:rFonts w:hint="eastAsia" w:ascii="宋体" w:hAnsi="宋体" w:eastAsia="宋体" w:cs="宋体"/>
          <w:szCs w:val="24"/>
        </w:rPr>
      </w:pPr>
      <w:r>
        <w:rPr>
          <w:rFonts w:hint="eastAsia" w:ascii="宋体" w:hAnsi="宋体" w:eastAsia="宋体" w:cs="宋体"/>
          <w:szCs w:val="24"/>
        </w:rPr>
        <w:t>13．询问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供应商对政府采购活动事项有疑问的，可以向采购人或采购代理机构提出询问。采购人或采购代理机构将在3个工作日内对供应商依法提出的询问作出答复。</w:t>
      </w:r>
    </w:p>
    <w:p>
      <w:pPr>
        <w:spacing w:line="560" w:lineRule="exact"/>
        <w:ind w:firstLine="480" w:firstLineChars="200"/>
        <w:rPr>
          <w:rFonts w:hint="eastAsia" w:ascii="宋体" w:hAnsi="宋体" w:eastAsia="宋体" w:cs="宋体"/>
          <w:sz w:val="32"/>
          <w:szCs w:val="32"/>
        </w:rPr>
      </w:pPr>
      <w:r>
        <w:rPr>
          <w:rFonts w:hint="eastAsia" w:ascii="宋体" w:hAnsi="宋体" w:eastAsia="宋体" w:cs="宋体"/>
          <w:sz w:val="24"/>
        </w:rPr>
        <w:t>根据采购人和采购代理机构签订的《政府采购委托代理协议》，针对采购需求（包括采购内容、技术或服务要求、商务要求、合同条款、供应商资格条件、评审要素及分值一览表）的询问请向采购人提出。</w:t>
      </w:r>
    </w:p>
    <w:p>
      <w:pPr>
        <w:pStyle w:val="95"/>
        <w:rPr>
          <w:rFonts w:hint="eastAsia" w:ascii="宋体" w:hAnsi="宋体" w:eastAsia="宋体" w:cs="宋体"/>
          <w:szCs w:val="24"/>
        </w:rPr>
      </w:pPr>
      <w:r>
        <w:rPr>
          <w:rFonts w:hint="eastAsia" w:ascii="宋体" w:hAnsi="宋体" w:eastAsia="宋体" w:cs="宋体"/>
        </w:rPr>
        <w:t>14．</w:t>
      </w:r>
      <w:r>
        <w:rPr>
          <w:rFonts w:hint="eastAsia" w:ascii="宋体" w:hAnsi="宋体" w:eastAsia="宋体" w:cs="宋体"/>
          <w:szCs w:val="24"/>
        </w:rPr>
        <w:t>质疑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14.1供应商认为采购文件、采购过程、成交结果使自己的权益受到损害的，可以在知道或应知其权益受到损害之日起7个工作日内以书面形式向采购人、采购代理机构提出。</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14.2质疑方式：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14.2.1在线质疑：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登录西安市公共资源交易平台〖首页·〉电子交易平台·〉企业端〗，在〖我的项目〗中点击“项目流程·〉提出质疑”，填写表单并提交质疑。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14.2.2书面质疑：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书面质疑函应按照财政部国库司制定的《政府采购供应商质疑函范本》（见下方链接）进行填写，签字、盖章后提交至采购人、采购代理机构。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质疑函范本地址：</w:t>
      </w:r>
      <w:r>
        <w:rPr>
          <w:rFonts w:hint="eastAsia" w:ascii="宋体" w:hAnsi="宋体" w:eastAsia="宋体" w:cs="宋体"/>
        </w:rPr>
        <w:fldChar w:fldCharType="begin"/>
      </w:r>
      <w:r>
        <w:rPr>
          <w:rFonts w:hint="eastAsia" w:ascii="宋体" w:hAnsi="宋体" w:eastAsia="宋体" w:cs="宋体"/>
        </w:rPr>
        <w:instrText xml:space="preserve"> HYPERLINK "http://download.ccgp.gov.cn/2018/zhiyihanfanben.zip" </w:instrText>
      </w:r>
      <w:r>
        <w:rPr>
          <w:rFonts w:hint="eastAsia" w:ascii="宋体" w:hAnsi="宋体" w:eastAsia="宋体" w:cs="宋体"/>
        </w:rPr>
        <w:fldChar w:fldCharType="separate"/>
      </w:r>
      <w:r>
        <w:rPr>
          <w:rStyle w:val="54"/>
          <w:rFonts w:hint="eastAsia" w:ascii="宋体" w:hAnsi="宋体" w:eastAsia="宋体" w:cs="宋体"/>
          <w:color w:val="auto"/>
          <w:sz w:val="24"/>
          <w:u w:val="none"/>
        </w:rPr>
        <w:t>http://download.ccgp.gov.cn/2018/zhiyihanfanben.zip</w:t>
      </w:r>
      <w:r>
        <w:rPr>
          <w:rStyle w:val="54"/>
          <w:rFonts w:hint="eastAsia" w:ascii="宋体" w:hAnsi="宋体" w:eastAsia="宋体" w:cs="宋体"/>
          <w:color w:val="auto"/>
          <w:sz w:val="24"/>
          <w:u w:val="none"/>
        </w:rPr>
        <w:fldChar w:fldCharType="end"/>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14.5有下列情形之一的，属于无效质疑：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14.5.1对采购文件提出质疑的质疑人不是依法获取采购文件的潜在供应商；对采购过程、中标结果提出质疑的质疑人不是参与本次政府采购项目的供应商；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14.5.2超过法定期限或未以书面形式提出的；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14.5.3缺乏必要的证明材料，或捏造事实、提供虚假材料，或以非法手段取得证明材料的；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14.5.4 质疑函没有合法有效的签字、盖章或委托授权书的（代理人提出质疑和投诉，应当提交供应商签署的授权委托书）；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14.5.5 针对同一采购程序环节又提出其他质疑事项的，或质疑答复后就同一事项再次提出质疑的；</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14.5.6不符合法律、法规、规章和政府采购监管机构规定的其他条件的。</w:t>
      </w:r>
    </w:p>
    <w:p>
      <w:pPr>
        <w:pStyle w:val="95"/>
        <w:rPr>
          <w:rFonts w:hint="eastAsia" w:ascii="宋体" w:hAnsi="宋体" w:eastAsia="宋体" w:cs="宋体"/>
        </w:rPr>
      </w:pPr>
      <w:r>
        <w:rPr>
          <w:rFonts w:hint="eastAsia" w:ascii="宋体" w:hAnsi="宋体" w:eastAsia="宋体" w:cs="宋体"/>
        </w:rPr>
        <w:t>15．投诉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15.2供应商投诉的事项不得超出已质疑事项的范围。供应商提出投诉时，应当提交投诉书和必要的证明材料，并按财政部《投诉书范本》给定的格式进行填写。</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投诉书范本地址：</w:t>
      </w:r>
    </w:p>
    <w:p>
      <w:pPr>
        <w:spacing w:line="560" w:lineRule="exact"/>
        <w:ind w:firstLine="420" w:firstLineChars="200"/>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"http://download.ccgp.gov.cn/2018/tousushufanben.zip" </w:instrText>
      </w:r>
      <w:r>
        <w:rPr>
          <w:rFonts w:hint="eastAsia" w:ascii="宋体" w:hAnsi="宋体" w:eastAsia="宋体" w:cs="宋体"/>
        </w:rPr>
        <w:fldChar w:fldCharType="separate"/>
      </w:r>
      <w:r>
        <w:rPr>
          <w:rStyle w:val="54"/>
          <w:rFonts w:hint="eastAsia" w:ascii="宋体" w:hAnsi="宋体" w:eastAsia="宋体" w:cs="宋体"/>
          <w:sz w:val="24"/>
        </w:rPr>
        <w:t>http://download.ccgp.gov.cn/2018/tousushufanben.zip</w:t>
      </w:r>
      <w:r>
        <w:rPr>
          <w:rStyle w:val="54"/>
          <w:rFonts w:hint="eastAsia" w:ascii="宋体" w:hAnsi="宋体" w:eastAsia="宋体" w:cs="宋体"/>
          <w:sz w:val="24"/>
        </w:rPr>
        <w:fldChar w:fldCharType="end"/>
      </w:r>
    </w:p>
    <w:p>
      <w:pPr>
        <w:pStyle w:val="95"/>
        <w:rPr>
          <w:rFonts w:hint="eastAsia" w:ascii="宋体" w:hAnsi="宋体" w:eastAsia="宋体" w:cs="宋体"/>
        </w:rPr>
      </w:pPr>
      <w:r>
        <w:rPr>
          <w:rFonts w:hint="eastAsia" w:ascii="宋体" w:hAnsi="宋体" w:eastAsia="宋体" w:cs="宋体"/>
        </w:rPr>
        <w:t>16．恶意质疑、投诉的法律后果</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（1）对捏造事实、提供虚假材料进行质疑、投诉的行为予以严肃处理：</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（2）对捏造事实诬告陷害他人、诽谤他人的法律适用：</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《中华人民共和国刑法》第246条【侮辱罪、诽谤罪】以暴力或者其他方法公然侮辱他人或者捏造事实诽谤他人，情节严重的，处三年以下有期徒刑、拘役、管制或者剥夺政治权利。</w:t>
      </w:r>
    </w:p>
    <w:p>
      <w:pPr>
        <w:pStyle w:val="41"/>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17.履约保证金：本项目不要求提供</w:t>
      </w:r>
    </w:p>
    <w:p>
      <w:pPr>
        <w:pStyle w:val="41"/>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18.投标保证金：本项目不要求提供</w:t>
      </w:r>
    </w:p>
    <w:p>
      <w:pPr>
        <w:pStyle w:val="41"/>
        <w:ind w:firstLine="482" w:firstLineChars="200"/>
        <w:rPr>
          <w:rFonts w:hint="eastAsia" w:ascii="宋体" w:hAnsi="宋体" w:eastAsia="宋体" w:cs="宋体"/>
          <w:b/>
          <w:sz w:val="24"/>
          <w:lang w:val="zh-CN"/>
        </w:rPr>
      </w:pPr>
      <w:r>
        <w:rPr>
          <w:rFonts w:hint="eastAsia" w:ascii="宋体" w:hAnsi="宋体" w:eastAsia="宋体" w:cs="宋体"/>
          <w:b/>
          <w:sz w:val="24"/>
        </w:rPr>
        <w:t>19.</w:t>
      </w:r>
      <w:r>
        <w:rPr>
          <w:rFonts w:hint="eastAsia" w:ascii="宋体" w:hAnsi="宋体" w:eastAsia="宋体" w:cs="宋体"/>
          <w:b/>
          <w:sz w:val="24"/>
          <w:lang w:val="zh-CN"/>
        </w:rPr>
        <w:t>融资平台</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宋体" w:hAnsi="宋体" w:eastAsia="宋体" w:cs="宋体"/>
          <w:sz w:val="24"/>
          <w:lang w:val="zh-CN"/>
        </w:rPr>
      </w:pPr>
      <w:r>
        <w:rPr>
          <w:rFonts w:hint="eastAsia" w:ascii="宋体" w:hAnsi="宋体" w:eastAsia="宋体" w:cs="宋体"/>
          <w:b/>
          <w:sz w:val="24"/>
          <w:lang w:val="zh-CN"/>
        </w:rPr>
        <w:t>网址:http://www.ccgp-</w:t>
      </w:r>
      <w:r>
        <w:rPr>
          <w:rFonts w:hint="eastAsia" w:ascii="宋体" w:hAnsi="宋体" w:eastAsia="宋体" w:cs="宋体"/>
          <w:sz w:val="24"/>
          <w:lang w:val="zh-CN"/>
        </w:rPr>
        <w:t>shaanxi.gov.cn/zcdservice/zcd/shanxi/s</w:t>
      </w:r>
    </w:p>
    <w:p>
      <w:pPr>
        <w:spacing w:line="560" w:lineRule="exact"/>
        <w:ind w:firstLine="482" w:firstLineChars="200"/>
        <w:rPr>
          <w:rFonts w:hint="eastAsia" w:ascii="宋体" w:hAnsi="宋体" w:eastAsia="宋体" w:cs="宋体"/>
          <w:sz w:val="24"/>
        </w:rPr>
      </w:pPr>
      <w:r>
        <w:rPr>
          <w:rFonts w:hint="eastAsia" w:ascii="宋体" w:hAnsi="宋体" w:eastAsia="宋体" w:cs="宋体"/>
          <w:b/>
          <w:bCs/>
          <w:sz w:val="24"/>
        </w:rPr>
        <w:t>20.采购代理服务费</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招标代理服务费的计算方法：参照国家计委印发的《招标代理服务收费管理暂行办法》（计价格[2002]1980号）和国家发展改革委员会办公厅印发的《关于招标代理服务收费有关问题的通知》（发改办价格[2003]857号）的有关规定收取。</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中标单位在领取中标通知书前，须向采购代理机构一次性支付招标代理服务费。</w:t>
      </w:r>
    </w:p>
    <w:p>
      <w:pPr>
        <w:spacing w:line="560" w:lineRule="exact"/>
        <w:ind w:firstLine="480" w:firstLineChars="200"/>
        <w:rPr>
          <w:rFonts w:hint="eastAsia" w:ascii="宋体" w:hAnsi="宋体" w:eastAsia="宋体" w:cs="宋体"/>
          <w:b/>
          <w:color w:val="000000" w:themeColor="text1"/>
          <w:sz w:val="24"/>
          <w14:textFill>
            <w14:solidFill>
              <w14:schemeClr w14:val="tx1"/>
            </w14:solidFill>
          </w14:textFill>
        </w:rPr>
        <w:sectPr>
          <w:headerReference r:id="rId9" w:type="first"/>
          <w:footerReference r:id="rId11" w:type="first"/>
          <w:headerReference r:id="rId8" w:type="default"/>
          <w:footerReference r:id="rId10" w:type="default"/>
          <w:pgSz w:w="11906" w:h="16838"/>
          <w:pgMar w:top="1417" w:right="1417" w:bottom="1417" w:left="1531" w:header="850" w:footer="850" w:gutter="0"/>
          <w:pgNumType w:start="1"/>
          <w:cols w:space="0" w:num="1"/>
          <w:titlePg/>
          <w:docGrid w:linePitch="312" w:charSpace="0"/>
        </w:sectPr>
      </w:pPr>
      <w:r>
        <w:rPr>
          <w:rFonts w:hint="eastAsia" w:ascii="宋体" w:hAnsi="宋体" w:eastAsia="宋体" w:cs="宋体"/>
          <w:sz w:val="24"/>
        </w:rPr>
        <w:tab/>
      </w:r>
    </w:p>
    <w:p>
      <w:pPr>
        <w:pStyle w:val="4"/>
        <w:jc w:val="center"/>
        <w:rPr>
          <w:rFonts w:hint="eastAsia" w:ascii="宋体" w:hAnsi="宋体" w:eastAsia="宋体" w:cs="宋体"/>
          <w:sz w:val="36"/>
          <w:szCs w:val="36"/>
        </w:rPr>
      </w:pPr>
      <w:bookmarkStart w:id="236" w:name="_Toc28447"/>
      <w:bookmarkStart w:id="237" w:name="_Toc19397"/>
      <w:bookmarkStart w:id="238" w:name="_Toc26949"/>
      <w:r>
        <w:rPr>
          <w:rFonts w:hint="eastAsia" w:ascii="宋体" w:hAnsi="宋体" w:eastAsia="宋体" w:cs="宋体"/>
          <w:sz w:val="36"/>
          <w:szCs w:val="36"/>
        </w:rPr>
        <w:t>第三</w:t>
      </w:r>
      <w:r>
        <w:rPr>
          <w:rFonts w:hint="eastAsia" w:ascii="宋体" w:hAnsi="宋体" w:eastAsia="宋体" w:cs="宋体"/>
          <w:sz w:val="36"/>
          <w:szCs w:val="36"/>
          <w:lang w:val="en-US" w:eastAsia="zh-CN"/>
        </w:rPr>
        <w:t>章</w:t>
      </w:r>
      <w:r>
        <w:rPr>
          <w:rFonts w:hint="eastAsia" w:ascii="宋体" w:hAnsi="宋体" w:eastAsia="宋体" w:cs="宋体"/>
          <w:sz w:val="36"/>
          <w:szCs w:val="36"/>
        </w:rPr>
        <w:t xml:space="preserve"> </w:t>
      </w:r>
      <w:bookmarkStart w:id="239" w:name="_Toc152042375"/>
      <w:bookmarkStart w:id="240" w:name="_Toc152045598"/>
      <w:bookmarkStart w:id="241" w:name="_Toc144974565"/>
      <w:r>
        <w:rPr>
          <w:rFonts w:hint="eastAsia" w:ascii="宋体" w:hAnsi="宋体" w:eastAsia="宋体" w:cs="宋体"/>
          <w:sz w:val="36"/>
          <w:szCs w:val="36"/>
        </w:rPr>
        <w:t>评标办法</w:t>
      </w:r>
      <w:bookmarkEnd w:id="1"/>
      <w:bookmarkEnd w:id="2"/>
      <w:bookmarkEnd w:id="236"/>
      <w:bookmarkEnd w:id="237"/>
      <w:bookmarkEnd w:id="238"/>
    </w:p>
    <w:p>
      <w:pPr>
        <w:pStyle w:val="8"/>
        <w:keepNext w:val="0"/>
        <w:keepLines w:val="0"/>
        <w:spacing w:before="0"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1．评标委员会与评标</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1.1评标委员会依法组建，负责本项目的评标活动。</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1.2开标结束后，开始评标，评标采用保密方式进行。</w:t>
      </w:r>
    </w:p>
    <w:p>
      <w:pPr>
        <w:pStyle w:val="8"/>
        <w:keepNext w:val="0"/>
        <w:keepLines w:val="0"/>
        <w:spacing w:before="0"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2．评标过程的保密</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2.2在投标文件的评审和比较、中标候选人推荐以及授予合同的过程中，供应商向采购人和评标委员会施加影响的任何行为，都将会导致其投标被拒绝。</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2.3中标人确定后，采购人不对未中标人就评标过程以及未能中标原因做出任何解释，亦不退回投标文件。未中标人不得向评标委员会组成人员或其他有关人员索问评标过程的情况和材料。</w:t>
      </w:r>
    </w:p>
    <w:p>
      <w:pPr>
        <w:pStyle w:val="8"/>
        <w:keepNext w:val="0"/>
        <w:keepLines w:val="0"/>
        <w:spacing w:before="0"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3．投标文件的澄清</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5条规定，凡属于评标委员会在评标中发现的计算错误并进行核实的修改不在此列。</w:t>
      </w:r>
    </w:p>
    <w:p>
      <w:pPr>
        <w:pStyle w:val="8"/>
        <w:keepNext w:val="0"/>
        <w:keepLines w:val="0"/>
        <w:numPr>
          <w:ilvl w:val="0"/>
          <w:numId w:val="1"/>
        </w:numPr>
        <w:spacing w:before="0"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投标文件的资格评审、初步评审</w:t>
      </w:r>
    </w:p>
    <w:p>
      <w:pPr>
        <w:spacing w:line="360" w:lineRule="auto"/>
        <w:ind w:firstLine="5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评审过程中对投标文件的判定，只依据投标文件的内容本身，不依据任何外来证明。</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资格性评审：</w:t>
      </w:r>
      <w:r>
        <w:rPr>
          <w:rFonts w:hint="eastAsia" w:ascii="宋体" w:hAnsi="宋体" w:eastAsia="宋体" w:cs="宋体"/>
          <w:color w:val="000000" w:themeColor="text1"/>
          <w:sz w:val="24"/>
          <w14:textFill>
            <w14:solidFill>
              <w14:schemeClr w14:val="tx1"/>
            </w14:solidFill>
          </w14:textFill>
        </w:rPr>
        <w:t>开标后，</w:t>
      </w:r>
      <w:r>
        <w:rPr>
          <w:rFonts w:hint="eastAsia" w:ascii="宋体" w:hAnsi="宋体" w:cs="宋体"/>
          <w:color w:val="000000" w:themeColor="text1"/>
          <w:sz w:val="24"/>
          <w:lang w:val="en-US" w:eastAsia="zh-CN"/>
          <w14:textFill>
            <w14:solidFill>
              <w14:schemeClr w14:val="tx1"/>
            </w14:solidFill>
          </w14:textFill>
        </w:rPr>
        <w:t>评标委员会</w:t>
      </w:r>
      <w:r>
        <w:rPr>
          <w:rFonts w:hint="eastAsia" w:ascii="宋体" w:hAnsi="宋体" w:eastAsia="宋体" w:cs="宋体"/>
          <w:color w:val="000000" w:themeColor="text1"/>
          <w:sz w:val="24"/>
          <w14:textFill>
            <w14:solidFill>
              <w14:schemeClr w14:val="tx1"/>
            </w14:solidFill>
          </w14:textFill>
        </w:rPr>
        <w:t>对投标文件的资格进行审查</w:t>
      </w:r>
    </w:p>
    <w:p>
      <w:pPr>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基本资格条件：符合《中华人民共和国政府采购法》第二十二条的规定；并提供以下资料：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（2）财务状况报告：提供经审计的</w:t>
      </w:r>
      <w:r>
        <w:rPr>
          <w:rFonts w:hint="eastAsia" w:ascii="宋体" w:hAnsi="宋体" w:eastAsia="宋体" w:cs="宋体"/>
          <w:sz w:val="24"/>
          <w:lang w:val="en-US" w:eastAsia="zh-CN"/>
        </w:rPr>
        <w:t>2022</w:t>
      </w:r>
      <w:r>
        <w:rPr>
          <w:rFonts w:hint="eastAsia" w:ascii="宋体" w:hAnsi="宋体" w:eastAsia="宋体" w:cs="宋体"/>
          <w:sz w:val="24"/>
        </w:rPr>
        <w:t>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（3）税收缴纳证明：提供已缴纳的2022年</w:t>
      </w:r>
      <w:r>
        <w:rPr>
          <w:rFonts w:hint="eastAsia" w:ascii="宋体" w:hAnsi="宋体" w:cs="宋体"/>
          <w:sz w:val="24"/>
          <w:lang w:val="en-US" w:eastAsia="zh-CN"/>
        </w:rPr>
        <w:t>8</w:t>
      </w:r>
      <w:r>
        <w:rPr>
          <w:rFonts w:hint="eastAsia" w:ascii="宋体" w:hAnsi="宋体" w:eastAsia="宋体" w:cs="宋体"/>
          <w:sz w:val="24"/>
        </w:rPr>
        <w:t>月至今任意一个月的纳税证明或完税证明，纳税证明或完税证明上应有代收机构或税务机关的公章或业务专用章。依法免税的供应商应提供相关文件证明；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（4）供应商须提供具有履行合同所必需的设备和专业技术能力的承诺；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（5）社会保障资金缴纳证明：提供已缴存的2022年</w:t>
      </w:r>
      <w:r>
        <w:rPr>
          <w:rFonts w:hint="eastAsia" w:ascii="宋体" w:hAnsi="宋体" w:cs="宋体"/>
          <w:sz w:val="24"/>
          <w:lang w:val="en-US" w:eastAsia="zh-CN"/>
        </w:rPr>
        <w:t>8</w:t>
      </w:r>
      <w:r>
        <w:rPr>
          <w:rFonts w:hint="eastAsia" w:ascii="宋体" w:hAnsi="宋体" w:eastAsia="宋体" w:cs="宋体"/>
          <w:sz w:val="24"/>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（6）出具参加本次政府采购活动前三年内在经营活动中没有重大违法记录的书面声明；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落实政府采购政策需满足的资格要求:本项目专门面向小微企业采购（残疾人福利性单位及监狱企业视同小型、微型企业）（提供声明函）。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①具有建筑工程施工总承包三级及以上资质，并具备有效的安全生产许可证</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②拟派项目经理须具有建筑工程专业二级及以上注册建造师证书和有效的安全生产考核证书（B证）在本单位注册且无在建工程、无不良记录（提供无在建工程、无不良记录承诺书）；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③供应商及拟派项目经理基本信息应在“陕西省住房和城乡建设厅网站（http://js.shaanxi.gov.cn/）陕西省建筑市场监管与诚信信息发布平台”可查询；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④</w:t>
      </w:r>
      <w:r>
        <w:rPr>
          <w:rFonts w:hint="eastAsia" w:ascii="宋体" w:hAnsi="宋体" w:eastAsia="宋体" w:cs="宋体"/>
          <w:sz w:val="24"/>
          <w:szCs w:val="24"/>
        </w:rPr>
        <w:t>法定代表人参加投标的提供法定代表人身份证明及身份证，委托代理人参加投标的提供授权委托书及委托代理人身份证，备注：分支机构由分支机构负责人授权即可；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szCs w:val="24"/>
          <w:lang w:eastAsia="zh-CN"/>
        </w:rPr>
        <w:t>⑤</w:t>
      </w:r>
      <w:r>
        <w:rPr>
          <w:rFonts w:hint="eastAsia" w:ascii="宋体" w:hAnsi="宋体" w:eastAsia="宋体" w:cs="宋体"/>
          <w:sz w:val="24"/>
          <w:szCs w:val="24"/>
        </w:rPr>
        <w:t>本项目不接受联合体投标（提供声明材料）。</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符合性评审：</w:t>
      </w:r>
      <w:r>
        <w:rPr>
          <w:rFonts w:hint="eastAsia" w:ascii="宋体" w:hAnsi="宋体" w:eastAsia="宋体" w:cs="宋体"/>
          <w:color w:val="000000" w:themeColor="text1"/>
          <w:sz w:val="24"/>
          <w14:textFill>
            <w14:solidFill>
              <w14:schemeClr w14:val="tx1"/>
            </w14:solidFill>
          </w14:textFill>
        </w:rPr>
        <w:t>评标委员会从投标文件的对招标文件的响应程度进行审查，以确定其是否对招标文件实质性内容作出响应：</w:t>
      </w:r>
    </w:p>
    <w:tbl>
      <w:tblPr>
        <w:tblStyle w:val="43"/>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712"/>
        <w:gridCol w:w="3249"/>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20" w:lineRule="exact"/>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396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实质性条款</w:t>
            </w:r>
          </w:p>
        </w:tc>
        <w:tc>
          <w:tcPr>
            <w:tcW w:w="43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19" w:type="dxa"/>
            <w:vMerge w:val="restart"/>
            <w:tcBorders>
              <w:top w:val="single" w:color="auto" w:sz="4" w:space="0"/>
              <w:left w:val="single" w:color="auto" w:sz="4" w:space="0"/>
              <w:right w:val="single" w:color="auto" w:sz="4" w:space="0"/>
            </w:tcBorders>
            <w:noWrap/>
            <w:vAlign w:val="center"/>
          </w:tcPr>
          <w:p>
            <w:pPr>
              <w:spacing w:line="320" w:lineRule="exact"/>
              <w:jc w:val="center"/>
              <w:rPr>
                <w:rFonts w:hint="eastAsia" w:ascii="宋体" w:hAnsi="宋体" w:eastAsia="宋体" w:cs="宋体"/>
                <w:bCs/>
                <w:kern w:val="0"/>
                <w:sz w:val="24"/>
              </w:rPr>
            </w:pPr>
            <w:r>
              <w:rPr>
                <w:rFonts w:hint="eastAsia" w:ascii="宋体" w:hAnsi="宋体" w:eastAsia="宋体" w:cs="宋体"/>
                <w:bCs/>
                <w:kern w:val="0"/>
                <w:sz w:val="24"/>
              </w:rPr>
              <w:t>1</w:t>
            </w:r>
          </w:p>
        </w:tc>
        <w:tc>
          <w:tcPr>
            <w:tcW w:w="712"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val="zh-CN"/>
              </w:rPr>
              <w:t>有效性审查</w:t>
            </w:r>
          </w:p>
        </w:tc>
        <w:tc>
          <w:tcPr>
            <w:tcW w:w="3249"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投标文件封面、投标函两处的项目名称</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rPr>
              <w:t>两处均无遗漏，且与项目名称完全一致。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9" w:type="dxa"/>
            <w:vMerge w:val="continue"/>
            <w:tcBorders>
              <w:left w:val="single" w:color="auto" w:sz="4" w:space="0"/>
              <w:right w:val="single" w:color="auto" w:sz="4" w:space="0"/>
            </w:tcBorders>
            <w:noWrap/>
            <w:vAlign w:val="center"/>
          </w:tcPr>
          <w:p>
            <w:pPr>
              <w:spacing w:line="320" w:lineRule="exact"/>
              <w:jc w:val="center"/>
              <w:rPr>
                <w:rFonts w:hint="eastAsia" w:ascii="宋体" w:hAnsi="宋体" w:eastAsia="宋体" w:cs="宋体"/>
                <w:bCs/>
                <w:kern w:val="0"/>
                <w:sz w:val="24"/>
              </w:rPr>
            </w:pPr>
          </w:p>
        </w:tc>
        <w:tc>
          <w:tcPr>
            <w:tcW w:w="712" w:type="dxa"/>
            <w:vMerge w:val="continue"/>
            <w:tcBorders>
              <w:left w:val="single" w:color="auto" w:sz="4" w:space="0"/>
              <w:right w:val="single" w:color="auto" w:sz="4" w:space="0"/>
            </w:tcBorders>
            <w:noWrap/>
          </w:tcPr>
          <w:p>
            <w:pPr>
              <w:spacing w:line="360" w:lineRule="auto"/>
              <w:jc w:val="center"/>
              <w:rPr>
                <w:rFonts w:hint="eastAsia" w:ascii="宋体" w:hAnsi="宋体" w:eastAsia="宋体" w:cs="宋体"/>
                <w:sz w:val="24"/>
              </w:rPr>
            </w:pP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投标文件签署、盖章</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rPr>
              <w:t>均按招标文件要求签字、盖章。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hint="eastAsia" w:ascii="宋体" w:hAnsi="宋体" w:eastAsia="宋体" w:cs="宋体"/>
                <w:bCs/>
                <w:kern w:val="0"/>
                <w:sz w:val="24"/>
              </w:rPr>
            </w:pPr>
          </w:p>
        </w:tc>
        <w:tc>
          <w:tcPr>
            <w:tcW w:w="712" w:type="dxa"/>
            <w:vMerge w:val="continue"/>
            <w:tcBorders>
              <w:left w:val="single" w:color="auto" w:sz="4" w:space="0"/>
              <w:bottom w:val="single" w:color="auto" w:sz="4" w:space="0"/>
              <w:right w:val="single" w:color="auto" w:sz="4" w:space="0"/>
            </w:tcBorders>
            <w:noWrap/>
          </w:tcPr>
          <w:p>
            <w:pPr>
              <w:spacing w:line="360" w:lineRule="auto"/>
              <w:jc w:val="center"/>
              <w:rPr>
                <w:rFonts w:hint="eastAsia" w:ascii="宋体" w:hAnsi="宋体" w:eastAsia="宋体" w:cs="宋体"/>
                <w:sz w:val="24"/>
              </w:rPr>
            </w:pP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投标文件的计量单位、语言、报价货币、投标有效期</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eastAsia="宋体" w:cs="宋体"/>
                <w:sz w:val="24"/>
              </w:rPr>
            </w:pPr>
            <w:r>
              <w:rPr>
                <w:rFonts w:hint="eastAsia" w:ascii="宋体" w:hAnsi="宋体" w:eastAsia="宋体" w:cs="宋体"/>
                <w:sz w:val="24"/>
              </w:rPr>
              <w:t>计量单位、语言、报价货币、投标有效期均符合招标文件的要求。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restart"/>
            <w:tcBorders>
              <w:top w:val="single" w:color="auto" w:sz="4" w:space="0"/>
              <w:left w:val="single" w:color="auto" w:sz="4" w:space="0"/>
              <w:right w:val="single" w:color="auto" w:sz="4" w:space="0"/>
            </w:tcBorders>
            <w:noWrap/>
            <w:vAlign w:val="center"/>
          </w:tcPr>
          <w:p>
            <w:pPr>
              <w:spacing w:line="320" w:lineRule="exact"/>
              <w:jc w:val="center"/>
              <w:rPr>
                <w:rFonts w:hint="eastAsia" w:ascii="宋体" w:hAnsi="宋体" w:eastAsia="宋体" w:cs="宋体"/>
                <w:bCs/>
                <w:kern w:val="0"/>
                <w:sz w:val="24"/>
              </w:rPr>
            </w:pPr>
            <w:r>
              <w:rPr>
                <w:rFonts w:hint="eastAsia" w:ascii="宋体" w:hAnsi="宋体" w:eastAsia="宋体" w:cs="宋体"/>
                <w:bCs/>
                <w:kern w:val="0"/>
                <w:sz w:val="24"/>
              </w:rPr>
              <w:t>2</w:t>
            </w:r>
          </w:p>
        </w:tc>
        <w:tc>
          <w:tcPr>
            <w:tcW w:w="712" w:type="dxa"/>
            <w:vMerge w:val="restart"/>
            <w:tcBorders>
              <w:top w:val="single" w:color="auto" w:sz="4" w:space="0"/>
              <w:left w:val="single" w:color="auto" w:sz="4" w:space="0"/>
              <w:right w:val="single" w:color="auto" w:sz="4" w:space="0"/>
            </w:tcBorders>
            <w:noWrap/>
          </w:tcPr>
          <w:p>
            <w:pPr>
              <w:spacing w:line="360" w:lineRule="auto"/>
              <w:jc w:val="center"/>
              <w:rPr>
                <w:rFonts w:hint="eastAsia" w:ascii="宋体" w:hAnsi="宋体" w:eastAsia="宋体" w:cs="宋体"/>
                <w:sz w:val="24"/>
              </w:rPr>
            </w:pPr>
            <w:r>
              <w:rPr>
                <w:rFonts w:hint="eastAsia" w:ascii="宋体" w:hAnsi="宋体" w:eastAsia="宋体" w:cs="宋体"/>
                <w:sz w:val="24"/>
                <w:lang w:val="zh-CN"/>
              </w:rPr>
              <w:t>完整性审查</w:t>
            </w: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投标文件组成</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rPr>
            </w:pPr>
            <w:r>
              <w:rPr>
                <w:rFonts w:hint="eastAsia" w:ascii="宋体" w:hAnsi="宋体" w:eastAsia="宋体" w:cs="宋体"/>
                <w:sz w:val="24"/>
                <w:lang w:val="zh-CN"/>
              </w:rPr>
              <w:t>按照招标文件</w:t>
            </w:r>
            <w:r>
              <w:rPr>
                <w:rFonts w:hint="eastAsia" w:ascii="宋体" w:hAnsi="宋体" w:eastAsia="宋体" w:cs="宋体"/>
                <w:sz w:val="24"/>
              </w:rPr>
              <w:t>第</w:t>
            </w:r>
            <w:r>
              <w:rPr>
                <w:rFonts w:hint="eastAsia" w:ascii="宋体" w:hAnsi="宋体" w:eastAsia="宋体" w:cs="宋体"/>
                <w:sz w:val="24"/>
                <w:lang w:val="en-US" w:eastAsia="zh-CN"/>
              </w:rPr>
              <w:t>七章</w:t>
            </w:r>
            <w:r>
              <w:rPr>
                <w:rFonts w:hint="eastAsia" w:ascii="宋体" w:hAnsi="宋体" w:eastAsia="宋体" w:cs="宋体"/>
                <w:sz w:val="24"/>
                <w:lang w:val="zh-CN"/>
              </w:rPr>
              <w:t>格式编写，无缺漏项。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hint="eastAsia" w:ascii="宋体" w:hAnsi="宋体" w:eastAsia="宋体" w:cs="宋体"/>
                <w:bCs/>
                <w:kern w:val="0"/>
                <w:sz w:val="24"/>
              </w:rPr>
            </w:pPr>
          </w:p>
        </w:tc>
        <w:tc>
          <w:tcPr>
            <w:tcW w:w="712" w:type="dxa"/>
            <w:vMerge w:val="continue"/>
            <w:tcBorders>
              <w:left w:val="single" w:color="auto" w:sz="4" w:space="0"/>
              <w:right w:val="single" w:color="auto" w:sz="4" w:space="0"/>
            </w:tcBorders>
            <w:noWrap/>
          </w:tcPr>
          <w:p>
            <w:pPr>
              <w:spacing w:line="360" w:lineRule="auto"/>
              <w:jc w:val="center"/>
              <w:rPr>
                <w:rFonts w:hint="eastAsia" w:ascii="宋体" w:hAnsi="宋体" w:eastAsia="宋体" w:cs="宋体"/>
                <w:sz w:val="24"/>
              </w:rPr>
            </w:pP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投标内容的完整性</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val="zh-CN"/>
              </w:rPr>
              <w:t>投标文件内容未出现漏项或数量与要求不符。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19" w:type="dxa"/>
            <w:vMerge w:val="restart"/>
            <w:tcBorders>
              <w:top w:val="single" w:color="auto" w:sz="4" w:space="0"/>
              <w:left w:val="single" w:color="auto" w:sz="4" w:space="0"/>
              <w:right w:val="single" w:color="auto" w:sz="4" w:space="0"/>
            </w:tcBorders>
            <w:noWrap/>
            <w:vAlign w:val="center"/>
          </w:tcPr>
          <w:p>
            <w:pPr>
              <w:spacing w:line="320" w:lineRule="exact"/>
              <w:jc w:val="center"/>
              <w:rPr>
                <w:rFonts w:hint="eastAsia" w:ascii="宋体" w:hAnsi="宋体" w:eastAsia="宋体" w:cs="宋体"/>
                <w:bCs/>
                <w:kern w:val="0"/>
                <w:sz w:val="24"/>
              </w:rPr>
            </w:pPr>
            <w:r>
              <w:rPr>
                <w:rFonts w:hint="eastAsia" w:ascii="宋体" w:hAnsi="宋体" w:eastAsia="宋体" w:cs="宋体"/>
                <w:bCs/>
                <w:kern w:val="0"/>
                <w:sz w:val="24"/>
              </w:rPr>
              <w:t>3</w:t>
            </w:r>
          </w:p>
        </w:tc>
        <w:tc>
          <w:tcPr>
            <w:tcW w:w="712"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sz w:val="24"/>
                <w:lang w:val="zh-CN"/>
              </w:rPr>
            </w:pPr>
          </w:p>
          <w:p>
            <w:pPr>
              <w:spacing w:line="360" w:lineRule="auto"/>
              <w:jc w:val="center"/>
              <w:rPr>
                <w:rFonts w:hint="eastAsia" w:ascii="宋体" w:hAnsi="宋体" w:eastAsia="宋体" w:cs="宋体"/>
                <w:sz w:val="24"/>
              </w:rPr>
            </w:pPr>
            <w:r>
              <w:rPr>
                <w:rFonts w:hint="eastAsia" w:ascii="宋体" w:hAnsi="宋体" w:eastAsia="宋体" w:cs="宋体"/>
                <w:sz w:val="24"/>
                <w:lang w:val="zh-CN"/>
              </w:rPr>
              <w:t>响应程度审查</w:t>
            </w:r>
          </w:p>
        </w:tc>
        <w:tc>
          <w:tcPr>
            <w:tcW w:w="3249"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投标报价</w:t>
            </w:r>
          </w:p>
        </w:tc>
        <w:tc>
          <w:tcPr>
            <w:tcW w:w="4318" w:type="dxa"/>
            <w:tcBorders>
              <w:top w:val="single" w:color="auto" w:sz="4" w:space="0"/>
              <w:left w:val="single" w:color="auto" w:sz="4" w:space="0"/>
              <w:right w:val="single" w:color="auto" w:sz="4" w:space="0"/>
            </w:tcBorders>
            <w:noWrap/>
            <w:vAlign w:val="center"/>
          </w:tcPr>
          <w:p>
            <w:pPr>
              <w:spacing w:line="360" w:lineRule="auto"/>
              <w:jc w:val="left"/>
              <w:rPr>
                <w:rFonts w:hint="eastAsia" w:ascii="宋体" w:hAnsi="宋体" w:eastAsia="宋体" w:cs="宋体"/>
                <w:sz w:val="24"/>
              </w:rPr>
            </w:pPr>
            <w:r>
              <w:rPr>
                <w:rFonts w:hint="eastAsia" w:ascii="宋体" w:hAnsi="宋体" w:eastAsia="宋体" w:cs="宋体"/>
                <w:sz w:val="24"/>
              </w:rPr>
              <w:t>符合招标文件要求</w:t>
            </w:r>
          </w:p>
          <w:p>
            <w:pPr>
              <w:spacing w:line="360" w:lineRule="auto"/>
              <w:jc w:val="left"/>
              <w:rPr>
                <w:rFonts w:hint="eastAsia" w:ascii="宋体" w:hAnsi="宋体" w:eastAsia="宋体" w:cs="宋体"/>
                <w:sz w:val="24"/>
              </w:rPr>
            </w:pPr>
            <w:r>
              <w:rPr>
                <w:rFonts w:hint="eastAsia" w:ascii="宋体" w:hAnsi="宋体" w:eastAsia="宋体" w:cs="宋体"/>
                <w:sz w:val="24"/>
              </w:rPr>
              <w:t>1.投标报价符合唯一性要求；</w:t>
            </w:r>
          </w:p>
          <w:p>
            <w:pPr>
              <w:spacing w:line="360" w:lineRule="auto"/>
              <w:jc w:val="left"/>
              <w:rPr>
                <w:rFonts w:hint="eastAsia" w:ascii="宋体" w:hAnsi="宋体" w:eastAsia="宋体" w:cs="宋体"/>
                <w:sz w:val="24"/>
              </w:rPr>
            </w:pPr>
            <w:r>
              <w:rPr>
                <w:rFonts w:hint="eastAsia" w:ascii="宋体" w:hAnsi="宋体" w:eastAsia="宋体" w:cs="宋体"/>
                <w:sz w:val="24"/>
              </w:rPr>
              <w:t>2.未超出采购预算或招标文件规定的最高限价；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19" w:type="dxa"/>
            <w:vMerge w:val="continue"/>
            <w:tcBorders>
              <w:left w:val="single" w:color="auto" w:sz="4" w:space="0"/>
              <w:right w:val="single" w:color="auto" w:sz="4" w:space="0"/>
            </w:tcBorders>
            <w:noWrap/>
            <w:vAlign w:val="center"/>
          </w:tcPr>
          <w:p>
            <w:pPr>
              <w:spacing w:line="320" w:lineRule="exact"/>
              <w:jc w:val="center"/>
              <w:rPr>
                <w:rFonts w:hint="eastAsia" w:ascii="宋体" w:hAnsi="宋体" w:eastAsia="宋体" w:cs="宋体"/>
                <w:sz w:val="24"/>
              </w:rPr>
            </w:pPr>
          </w:p>
        </w:tc>
        <w:tc>
          <w:tcPr>
            <w:tcW w:w="712" w:type="dxa"/>
            <w:vMerge w:val="continue"/>
            <w:tcBorders>
              <w:left w:val="single" w:color="auto" w:sz="4" w:space="0"/>
              <w:right w:val="single" w:color="auto" w:sz="4" w:space="0"/>
            </w:tcBorders>
            <w:noWrap/>
          </w:tcPr>
          <w:p>
            <w:pPr>
              <w:spacing w:line="360" w:lineRule="auto"/>
              <w:jc w:val="center"/>
              <w:rPr>
                <w:rFonts w:hint="eastAsia" w:ascii="宋体" w:hAnsi="宋体" w:eastAsia="宋体" w:cs="宋体"/>
                <w:sz w:val="24"/>
              </w:rPr>
            </w:pPr>
          </w:p>
        </w:tc>
        <w:tc>
          <w:tcPr>
            <w:tcW w:w="3249"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合同条款响应</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eastAsia="宋体" w:cs="宋体"/>
                <w:sz w:val="24"/>
              </w:rPr>
            </w:pPr>
            <w:r>
              <w:rPr>
                <w:rFonts w:hint="eastAsia" w:ascii="宋体" w:hAnsi="宋体" w:eastAsia="宋体" w:cs="宋体"/>
                <w:sz w:val="24"/>
              </w:rPr>
              <w:t>完整响应招标文件合同条款。</w:t>
            </w:r>
          </w:p>
        </w:tc>
      </w:tr>
    </w:tbl>
    <w:p>
      <w:pPr>
        <w:spacing w:line="6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说明：以上各项有1项不合格，评审不予通过，作为未实质性响应招标文件。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4.1经审查符合以下条款有关规定的投标文件，才能提交评标委员会进行评审。</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4.1.1开标时，投标文件出现下列情形之一的，应当作为</w:t>
      </w:r>
      <w:r>
        <w:rPr>
          <w:rFonts w:hint="eastAsia" w:ascii="宋体" w:hAnsi="宋体" w:eastAsia="宋体" w:cs="宋体"/>
          <w:b/>
          <w:color w:val="000000" w:themeColor="text1"/>
          <w:sz w:val="24"/>
          <w14:textFill>
            <w14:solidFill>
              <w14:schemeClr w14:val="tx1"/>
            </w14:solidFill>
          </w14:textFill>
        </w:rPr>
        <w:t>无效投标</w:t>
      </w:r>
      <w:r>
        <w:rPr>
          <w:rFonts w:hint="eastAsia" w:ascii="宋体" w:hAnsi="宋体" w:eastAsia="宋体" w:cs="宋体"/>
          <w:color w:val="000000" w:themeColor="text1"/>
          <w:sz w:val="24"/>
          <w14:textFill>
            <w14:solidFill>
              <w14:schemeClr w14:val="tx1"/>
            </w14:solidFill>
          </w14:textFill>
        </w:rPr>
        <w:t>文件：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（1）投标截止时间以后上传的投标文件；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（2）供应商没有经过正常渠道下载招标文件或供应商的名称与登记领取招标文件单位的名称不符的（有工商行政管理部门提供相关变更手续的除外）；</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（3）投标文件未按照本招标文件的要求加密的；</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4.1.2采购人将有效投标文件，送评标委员会进行评审。</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如果投标文件实质上不响应招标文件的各项要求，或投标文件的编制、内容及责任与招标文件的要求有重大偏差，经评标委员会2/3以上成员确认后，评标委员会将予以拒绝投标，并且不允许供应商通过修改或撤销其不符合要求的差异或保留，使之成为具有响应性的投标。</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4.3.1投标文件有下列情形之一的，评标委员会应当认定投标文件初步评审（符合性评审）不合格，否决其投标：</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4.3.1.1投标文件未按招标文件要求签署、盖章的；</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4.3.1.2不具备招标文件中规定的资格要求的；</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4.3.1.3报价超过招标文件中规定的预算金额或者最高限价的；</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4.3.1.4投标文件的技术、商务要求</w:t>
      </w:r>
      <w:r>
        <w:rPr>
          <w:rFonts w:hint="eastAsia" w:ascii="宋体" w:hAnsi="宋体" w:eastAsia="宋体" w:cs="宋体"/>
          <w:color w:val="000000" w:themeColor="text1"/>
          <w:sz w:val="24"/>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合同期限要求，提出不同的质量标准、验收方法、计量方法和纠纷处理办法，含有采购人不能接受的附加条件的。</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4.3.1.5</w:t>
      </w:r>
      <w:r>
        <w:rPr>
          <w:rFonts w:hint="eastAsia" w:ascii="宋体" w:hAnsi="宋体" w:eastAsia="宋体" w:cs="宋体"/>
          <w:color w:val="000000" w:themeColor="text1"/>
          <w:sz w:val="24"/>
          <w14:textFill>
            <w14:solidFill>
              <w14:schemeClr w14:val="tx1"/>
            </w14:solidFill>
          </w14:textFill>
        </w:rPr>
        <w:t>无投标有效期或有效期达不到招标文件的要求；</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4.3.1.6</w:t>
      </w:r>
      <w:r>
        <w:rPr>
          <w:rFonts w:hint="eastAsia" w:ascii="宋体" w:hAnsi="宋体" w:eastAsia="宋体" w:cs="宋体"/>
          <w:color w:val="000000" w:themeColor="text1"/>
          <w:kern w:val="0"/>
          <w:sz w:val="24"/>
          <w14:textFill>
            <w14:solidFill>
              <w14:schemeClr w14:val="tx1"/>
            </w14:solidFill>
          </w14:textFill>
        </w:rPr>
        <w:t>法律、法规及行业有关规定的其他情形。</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4.3.2投标文件有下列情形之一的，评标委员会应当认定投标文件按废标处理：</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4.3.2.1同一投标人提交两个以上不同的投标文件或者投标报价，但招标文件要求提交备选投标的除外；</w:t>
      </w:r>
    </w:p>
    <w:p>
      <w:pPr>
        <w:spacing w:line="360" w:lineRule="auto"/>
        <w:ind w:firstLine="5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4.3.2.2投标人有串通投标、弄虚作假、行贿等违法行为。</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4.3.2.3供应商</w:t>
      </w:r>
      <w:r>
        <w:rPr>
          <w:rFonts w:hint="eastAsia" w:ascii="宋体" w:hAnsi="宋体" w:eastAsia="宋体" w:cs="宋体"/>
          <w:color w:val="000000" w:themeColor="text1"/>
          <w:kern w:val="0"/>
          <w:sz w:val="24"/>
          <w14:textFill>
            <w14:solidFill>
              <w14:schemeClr w14:val="tx1"/>
            </w14:solidFill>
          </w14:textFill>
        </w:rPr>
        <w:t>恶意竞标，供应商代表恶意扰乱开标会场秩序且不听劝阻的；</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4.3.2.4拒绝或不按评标委员会要求澄清、说明或补正的</w:t>
      </w:r>
      <w:r>
        <w:rPr>
          <w:rFonts w:hint="eastAsia" w:ascii="宋体" w:hAnsi="宋体" w:eastAsia="宋体" w:cs="宋体"/>
          <w:color w:val="000000" w:themeColor="text1"/>
          <w:kern w:val="0"/>
          <w:sz w:val="24"/>
          <w14:textFill>
            <w14:solidFill>
              <w14:schemeClr w14:val="tx1"/>
            </w14:solidFill>
          </w14:textFill>
        </w:rPr>
        <w:t>；</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4.3.2.5未按招标文件指定格式填写“开标一览表”或“分项报价表”，或出现漏项或投标产品品目、数量、服务内容与招标文件要求不符(数量不足)；</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4.4供应商有下列情形之一的，应认定为串通投标行为：</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4.4.1不同投标人的投标文件由同一单位或者个人编制；</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4.4.2不同投标人委托同一单位或者个人办理投标事宜；</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4.4.3不同投标人的投标文件载明的项目管理成员为同一人；</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4.4.4不同投标人的投标文件异常一致或者投标报价呈规律性差异；</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4.5使用通过受让或者租借等方式获取的资格、资质证书投标的，属于以他人名义投标。投标人有下列情形之一的，属于以其他方式弄虚作假的行为：</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4.5.1使用伪造、变造的许可证件；</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4.5.2提供虚假的财务状况或者业绩；</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4.5.3提供虚假的项目负责人或者主要技术人员简历、劳动关系证明；</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4.5.4提供虚假的信用状况；</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4.5.5其他弄虚作假的行为。</w:t>
      </w:r>
    </w:p>
    <w:p>
      <w:pPr>
        <w:pStyle w:val="8"/>
        <w:keepNext w:val="0"/>
        <w:keepLines w:val="0"/>
        <w:spacing w:before="0"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5．投标文件计算错误的修正</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5.1评标委员会将对确定为实质上响应招标文件要求的投标文件进行校核，看其是否有计算或表达上的错误，修正错误的原则如下：</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5.1.1投标文件中开标一览表（报价表）内容与投标文件中相应内容不一致的，以开标一览表（报价表）为准；</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5.1.2大写金额和小写金额不一致的，以大写金额为准；</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5.1.3单价金额小数点或者百分比有明显错位的，以开标一览表为准，并修改单价；</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5.2同时出现两种以上不一致的，按照前款规定的顺序修正。修正后的报价经投标人确认后产生约束力，投标人不确认的，其投标无效。</w:t>
      </w:r>
    </w:p>
    <w:p>
      <w:pPr>
        <w:pStyle w:val="8"/>
        <w:keepNext w:val="0"/>
        <w:keepLines w:val="0"/>
        <w:spacing w:before="0"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6．投标文件的评审、比较和否决</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6.1评标委员会将按照本章“评标办法”第4条规定，仅对在实质上响应招标文件要求的投标文件进行评估和比较。</w:t>
      </w:r>
    </w:p>
    <w:p>
      <w:pPr>
        <w:spacing w:line="360" w:lineRule="auto"/>
        <w:ind w:firstLine="480"/>
        <w:rPr>
          <w:rFonts w:hint="eastAsia" w:ascii="宋体" w:hAnsi="宋体" w:eastAsia="宋体" w:cs="宋体"/>
          <w:i/>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6.2在评审过程中,评标委员会可以以书面形式要求供应商就投标文件中含义不明确的内容进行书面说明并提供相关材料。</w:t>
      </w:r>
    </w:p>
    <w:p>
      <w:pPr>
        <w:spacing w:line="360" w:lineRule="auto"/>
        <w:ind w:firstLine="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6.4评标方法和标准</w:t>
      </w:r>
    </w:p>
    <w:p>
      <w:pPr>
        <w:spacing w:line="360" w:lineRule="auto"/>
        <w:ind w:firstLine="500"/>
        <w:rPr>
          <w:rFonts w:hint="eastAsia" w:ascii="宋体" w:hAnsi="宋体" w:eastAsia="宋体" w:cs="宋体"/>
          <w:color w:val="000000" w:themeColor="text1"/>
          <w:sz w:val="24"/>
          <w:shd w:val="pct10" w:color="auto" w:fill="FFFFFF"/>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6.4.1本次招标采用百分制评标方法。在满足招标文件的实质性要求（合同期限、投标有效期、工作内容和要求、安全和合理低价）条件下，评标委员会选择综合得分由最高到低排序前三名的供应商作为中标候选人并向采购人推荐。</w:t>
      </w:r>
    </w:p>
    <w:p>
      <w:pPr>
        <w:spacing w:line="360" w:lineRule="auto"/>
        <w:ind w:firstLine="49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6.4.2评分内容及步骤</w:t>
      </w:r>
    </w:p>
    <w:p>
      <w:pPr>
        <w:spacing w:line="360" w:lineRule="auto"/>
        <w:ind w:firstLine="49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6.4.2.1评审内容：</w:t>
      </w:r>
    </w:p>
    <w:p>
      <w:pPr>
        <w:numPr>
          <w:ilvl w:val="0"/>
          <w:numId w:val="2"/>
        </w:numPr>
        <w:autoSpaceDE w:val="0"/>
        <w:autoSpaceDN w:val="0"/>
        <w:adjustRightInd w:val="0"/>
        <w:spacing w:after="60"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投标文件评审内容和分值：评审总分100分，各分值分配如下：</w:t>
      </w:r>
    </w:p>
    <w:p>
      <w:pPr>
        <w:rPr>
          <w:rFonts w:hint="eastAsia" w:ascii="宋体" w:hAnsi="宋体" w:eastAsia="宋体" w:cs="宋体"/>
          <w:b/>
          <w:color w:val="000000" w:themeColor="text1"/>
          <w:spacing w:val="4"/>
          <w:sz w:val="24"/>
          <w:szCs w:val="32"/>
          <w14:textFill>
            <w14:solidFill>
              <w14:schemeClr w14:val="tx1"/>
            </w14:solidFill>
          </w14:textFill>
        </w:rPr>
      </w:pPr>
    </w:p>
    <w:tbl>
      <w:tblPr>
        <w:tblStyle w:val="43"/>
        <w:tblW w:w="9045"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906"/>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045" w:type="dxa"/>
            <w:gridSpan w:val="3"/>
            <w:noWrap w:val="0"/>
            <w:vAlign w:val="center"/>
          </w:tcPr>
          <w:p>
            <w:pPr>
              <w:spacing w:line="360" w:lineRule="auto"/>
              <w:jc w:val="both"/>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投标报价</w:t>
            </w:r>
            <w:r>
              <w:rPr>
                <w:rFonts w:hint="eastAsia" w:ascii="宋体" w:hAnsi="宋体" w:eastAsia="宋体" w:cs="宋体"/>
                <w:b/>
                <w:bCs/>
                <w:color w:val="auto"/>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1115" w:type="dxa"/>
            <w:noWrap w:val="0"/>
            <w:vAlign w:val="center"/>
          </w:tcPr>
          <w:p>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报价评分标准</w:t>
            </w:r>
          </w:p>
        </w:tc>
        <w:tc>
          <w:tcPr>
            <w:tcW w:w="1906" w:type="dxa"/>
            <w:noWrap w:val="0"/>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投标总报价</w:t>
            </w:r>
          </w:p>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（30分）</w:t>
            </w:r>
          </w:p>
        </w:tc>
        <w:tc>
          <w:tcPr>
            <w:tcW w:w="6024" w:type="dxa"/>
            <w:noWrap w:val="0"/>
            <w:vAlign w:val="center"/>
          </w:tcPr>
          <w:p>
            <w:pPr>
              <w:spacing w:line="360" w:lineRule="auto"/>
              <w:rPr>
                <w:rFonts w:hint="eastAsia" w:ascii="宋体" w:hAnsi="宋体" w:eastAsia="宋体" w:cs="宋体"/>
                <w:color w:val="auto"/>
                <w:kern w:val="2"/>
                <w:sz w:val="24"/>
                <w:szCs w:val="24"/>
                <w:highlight w:val="none"/>
                <w:lang w:val="en-US" w:eastAsia="zh-CN" w:bidi="ar-SA"/>
              </w:rPr>
            </w:pP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（1）评标基准价：所有有效投标总报价的算数平均值作为评标基准价。</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（2）供应商有效投标总报价等于评标基准价的，得满分30分；与该值相比，每高1％扣1分，每低1％扣0.5分，不足1%的按插入法计算保留两位小数，扣完为止。</w:t>
            </w:r>
          </w:p>
          <w:p>
            <w:pPr>
              <w:spacing w:line="360" w:lineRule="auto"/>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b/>
                <w:snapToGrid w:val="0"/>
                <w:color w:val="000000"/>
                <w:kern w:val="0"/>
                <w:sz w:val="24"/>
                <w:szCs w:val="24"/>
              </w:rPr>
              <w:t>评标委员会认为投标人的报价明显低于其他通过符合性审查投标人的报价，有可能不能诚信履约的，应当要求其在评标现场合理的时间内提供书面说明，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45" w:type="dxa"/>
            <w:gridSpan w:val="3"/>
            <w:noWrap w:val="0"/>
            <w:vAlign w:val="center"/>
          </w:tcPr>
          <w:p>
            <w:pPr>
              <w:spacing w:line="360" w:lineRule="auto"/>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技术部分（</w:t>
            </w:r>
            <w:r>
              <w:rPr>
                <w:rFonts w:hint="eastAsia" w:ascii="宋体" w:hAnsi="宋体" w:eastAsia="宋体" w:cs="宋体"/>
                <w:b/>
                <w:bCs/>
                <w:color w:val="auto"/>
                <w:sz w:val="24"/>
                <w:highlight w:val="none"/>
                <w:lang w:val="en-US" w:eastAsia="zh-CN"/>
              </w:rPr>
              <w:t>54</w:t>
            </w:r>
            <w:r>
              <w:rPr>
                <w:rFonts w:hint="eastAsia" w:ascii="宋体" w:hAnsi="宋体" w:eastAsia="宋体" w:cs="宋体"/>
                <w:b/>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15" w:type="dxa"/>
            <w:vMerge w:val="restart"/>
            <w:noWrap w:val="0"/>
            <w:vAlign w:val="top"/>
          </w:tcPr>
          <w:p>
            <w:pPr>
              <w:spacing w:line="360" w:lineRule="auto"/>
              <w:jc w:val="center"/>
              <w:rPr>
                <w:rFonts w:hint="eastAsia" w:ascii="宋体" w:hAnsi="宋体" w:eastAsia="宋体" w:cs="宋体"/>
                <w:bCs/>
                <w:color w:val="auto"/>
                <w:sz w:val="24"/>
                <w:highlight w:val="none"/>
              </w:rPr>
            </w:pPr>
          </w:p>
          <w:p>
            <w:pPr>
              <w:spacing w:line="360" w:lineRule="auto"/>
              <w:jc w:val="center"/>
              <w:rPr>
                <w:rFonts w:hint="eastAsia" w:ascii="宋体" w:hAnsi="宋体" w:eastAsia="宋体" w:cs="宋体"/>
                <w:bCs/>
                <w:color w:val="auto"/>
                <w:sz w:val="24"/>
                <w:highlight w:val="none"/>
              </w:rPr>
            </w:pPr>
          </w:p>
          <w:p>
            <w:pPr>
              <w:spacing w:line="360" w:lineRule="auto"/>
              <w:jc w:val="center"/>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p>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技术部分评分标准</w:t>
            </w:r>
          </w:p>
        </w:tc>
        <w:tc>
          <w:tcPr>
            <w:tcW w:w="190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w:t>
            </w:r>
            <w:r>
              <w:rPr>
                <w:rFonts w:hint="eastAsia" w:ascii="宋体" w:hAnsi="宋体" w:eastAsia="宋体" w:cs="宋体"/>
                <w:color w:val="auto"/>
                <w:sz w:val="24"/>
                <w:highlight w:val="none"/>
                <w:lang w:val="en-US" w:eastAsia="zh-CN"/>
              </w:rPr>
              <w:t>总体</w:t>
            </w:r>
            <w:r>
              <w:rPr>
                <w:rFonts w:hint="eastAsia" w:ascii="宋体" w:hAnsi="宋体" w:eastAsia="宋体" w:cs="宋体"/>
                <w:color w:val="auto"/>
                <w:sz w:val="24"/>
                <w:highlight w:val="none"/>
              </w:rPr>
              <w:t>方案</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8分</w:t>
            </w:r>
            <w:r>
              <w:rPr>
                <w:rFonts w:hint="eastAsia" w:ascii="宋体" w:hAnsi="宋体" w:eastAsia="宋体" w:cs="宋体"/>
                <w:color w:val="auto"/>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要求方案针对性强，完整可行，计划合理，能满足采购人的实际需求。</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方案明确、细节考虑到位，赋</w:t>
            </w:r>
            <w:r>
              <w:rPr>
                <w:rFonts w:hint="eastAsia" w:ascii="宋体" w:hAnsi="宋体" w:eastAsia="宋体" w:cs="宋体"/>
                <w:bCs/>
                <w:color w:val="auto"/>
                <w:sz w:val="24"/>
                <w:highlight w:val="none"/>
                <w:lang w:val="en-US" w:eastAsia="zh-CN"/>
              </w:rPr>
              <w:t>4-8</w:t>
            </w:r>
            <w:r>
              <w:rPr>
                <w:rFonts w:hint="eastAsia" w:ascii="宋体" w:hAnsi="宋体" w:eastAsia="宋体" w:cs="宋体"/>
                <w:bCs/>
                <w:color w:val="auto"/>
                <w:sz w:val="24"/>
                <w:highlight w:val="none"/>
              </w:rPr>
              <w:t>分；</w:t>
            </w:r>
          </w:p>
          <w:p>
            <w:pPr>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方案、细节基本明确，描述良好，赋</w:t>
            </w:r>
            <w:r>
              <w:rPr>
                <w:rFonts w:hint="eastAsia" w:ascii="宋体" w:hAnsi="宋体" w:eastAsia="宋体" w:cs="宋体"/>
                <w:bCs/>
                <w:color w:val="auto"/>
                <w:sz w:val="24"/>
                <w:highlight w:val="none"/>
                <w:lang w:val="en-US" w:eastAsia="zh-CN"/>
              </w:rPr>
              <w:t>0-4</w:t>
            </w:r>
            <w:r>
              <w:rPr>
                <w:rFonts w:hint="eastAsia" w:ascii="宋体" w:hAnsi="宋体" w:eastAsia="宋体" w:cs="宋体"/>
                <w:bCs/>
                <w:color w:val="auto"/>
                <w:sz w:val="24"/>
                <w:highlight w:val="none"/>
              </w:rPr>
              <w:t>（含）分</w:t>
            </w:r>
            <w:r>
              <w:rPr>
                <w:rFonts w:hint="eastAsia" w:ascii="宋体" w:hAnsi="宋体" w:eastAsia="宋体" w:cs="宋体"/>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15" w:type="dxa"/>
            <w:vMerge w:val="continue"/>
            <w:noWrap w:val="0"/>
            <w:vAlign w:val="top"/>
          </w:tcPr>
          <w:p>
            <w:pPr>
              <w:spacing w:line="360" w:lineRule="auto"/>
              <w:jc w:val="center"/>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确保工程质量的技术组织措施</w:t>
            </w:r>
          </w:p>
          <w:p>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6分</w:t>
            </w:r>
            <w:r>
              <w:rPr>
                <w:rFonts w:hint="eastAsia" w:ascii="宋体" w:hAnsi="宋体" w:eastAsia="宋体" w:cs="宋体"/>
                <w:bCs/>
                <w:color w:val="auto"/>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措施详尽、合理、可行性度高，赋</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措施基本完善、较为合理、可行性一般，赋0-</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15" w:type="dxa"/>
            <w:vMerge w:val="continue"/>
            <w:noWrap w:val="0"/>
            <w:vAlign w:val="top"/>
          </w:tcPr>
          <w:p>
            <w:pPr>
              <w:spacing w:line="360" w:lineRule="auto"/>
              <w:jc w:val="center"/>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确保安全生产的技术组织措施</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6分</w:t>
            </w:r>
            <w:r>
              <w:rPr>
                <w:rFonts w:hint="eastAsia" w:ascii="宋体" w:hAnsi="宋体" w:eastAsia="宋体" w:cs="宋体"/>
                <w:bCs/>
                <w:color w:val="auto"/>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1.措施详尽、合理、可行性度高，赋3-6分；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2.措施基本完善、较为合理、可行性一般，赋0-3（含）分。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确保文明施工的技术组织措施</w:t>
            </w:r>
          </w:p>
          <w:p>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6分</w:t>
            </w:r>
            <w:r>
              <w:rPr>
                <w:rFonts w:hint="eastAsia" w:ascii="宋体" w:hAnsi="宋体" w:eastAsia="宋体" w:cs="宋体"/>
                <w:color w:val="auto"/>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1.措施详尽、合理、可行性度高，赋3-6分；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2.措施基本完善、较为合理、可行性一般，赋0-3（含）分。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确保环境保护</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技术组织措施</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5分</w:t>
            </w:r>
            <w:r>
              <w:rPr>
                <w:rFonts w:hint="eastAsia" w:ascii="宋体" w:hAnsi="宋体" w:eastAsia="宋体" w:cs="宋体"/>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1.措施详尽、合理、可行性度高，赋3-</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2.措施基本完善、较为合理、可行性一般，赋0-3（含）分。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确保工期的技术组织措施</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5分</w:t>
            </w:r>
            <w:r>
              <w:rPr>
                <w:rFonts w:hint="eastAsia" w:ascii="宋体" w:hAnsi="宋体" w:eastAsia="宋体" w:cs="宋体"/>
                <w:bCs/>
                <w:color w:val="auto"/>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1.措施详尽、合理、可行性度高，赋3-</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2.措施基本完善、较为合理、可行性一般，赋0-3（含）分。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rPr>
              <w:t>施工组织和项目管理机构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5分</w:t>
            </w:r>
            <w:r>
              <w:rPr>
                <w:rFonts w:hint="eastAsia" w:ascii="宋体" w:hAnsi="宋体" w:eastAsia="宋体" w:cs="宋体"/>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要求项目经理部组成，组织架构人员配备，人员分工合理、责任明确，员工管理制度完善详细并具有可行性。</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人员配备合理、分工明确、管理制度完善，赋</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p>
          <w:p>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人员配备、分工较为明确、管理制度较为完善，赋</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（含）分</w:t>
            </w:r>
            <w:r>
              <w:rPr>
                <w:rFonts w:hint="eastAsia" w:ascii="宋体" w:hAnsi="宋体" w:eastAsia="宋体" w:cs="宋体"/>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施工总平面布置</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4分</w:t>
            </w:r>
            <w:r>
              <w:rPr>
                <w:rFonts w:hint="eastAsia" w:ascii="宋体" w:hAnsi="宋体" w:eastAsia="宋体" w:cs="宋体"/>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合理、可行赋0-</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施工机械配备和材料投入计划</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6分</w:t>
            </w:r>
            <w:r>
              <w:rPr>
                <w:rFonts w:hint="eastAsia" w:ascii="宋体" w:hAnsi="宋体" w:eastAsia="宋体" w:cs="宋体"/>
                <w:sz w:val="24"/>
                <w:highlight w:val="none"/>
                <w:lang w:eastAsia="zh-CN"/>
              </w:rPr>
              <w:t>）</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施工机械设施齐全，性能指标及材料投入能够满足项目要求。根据证明材料进行赋分。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提供的证明材料齐全，满足项目要求，赋</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分；</w:t>
            </w:r>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提供的证明材料一般，赋0-</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5" w:type="dxa"/>
            <w:vMerge w:val="continue"/>
            <w:noWrap w:val="0"/>
            <w:vAlign w:val="top"/>
          </w:tcPr>
          <w:p>
            <w:pPr>
              <w:spacing w:line="360" w:lineRule="auto"/>
              <w:rPr>
                <w:rFonts w:hint="eastAsia" w:ascii="宋体" w:hAnsi="宋体" w:eastAsia="宋体" w:cs="宋体"/>
                <w:bCs/>
                <w:color w:val="auto"/>
                <w:sz w:val="24"/>
                <w:highlight w:val="none"/>
              </w:rPr>
            </w:pPr>
          </w:p>
        </w:tc>
        <w:tc>
          <w:tcPr>
            <w:tcW w:w="1906" w:type="dxa"/>
            <w:noWrap w:val="0"/>
            <w:vAlign w:val="center"/>
          </w:tcPr>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劳动力安排计划</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3分</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合理、可行、完整、可操作性强赋0-</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045" w:type="dxa"/>
            <w:gridSpan w:val="3"/>
            <w:noWrap w:val="0"/>
            <w:vAlign w:val="top"/>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商务</w:t>
            </w:r>
            <w:r>
              <w:rPr>
                <w:rFonts w:hint="eastAsia" w:ascii="宋体" w:hAnsi="宋体" w:eastAsia="宋体" w:cs="宋体"/>
                <w:b/>
                <w:bCs/>
                <w:color w:val="auto"/>
                <w:sz w:val="24"/>
                <w:highlight w:val="none"/>
              </w:rPr>
              <w:t>部分（</w:t>
            </w:r>
            <w:r>
              <w:rPr>
                <w:rFonts w:hint="eastAsia" w:ascii="宋体" w:hAnsi="宋体" w:eastAsia="宋体" w:cs="宋体"/>
                <w:b/>
                <w:bCs/>
                <w:color w:val="auto"/>
                <w:sz w:val="24"/>
                <w:highlight w:val="none"/>
                <w:lang w:val="en-US" w:eastAsia="zh-CN"/>
              </w:rPr>
              <w:t>16</w:t>
            </w:r>
            <w:r>
              <w:rPr>
                <w:rFonts w:hint="eastAsia" w:ascii="宋体" w:hAnsi="宋体" w:eastAsia="宋体" w:cs="宋体"/>
                <w:b/>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15" w:type="dxa"/>
            <w:vMerge w:val="restart"/>
            <w:noWrap w:val="0"/>
            <w:vAlign w:val="center"/>
          </w:tcPr>
          <w:p>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商务部分</w:t>
            </w:r>
            <w:r>
              <w:rPr>
                <w:rFonts w:hint="eastAsia" w:ascii="宋体" w:hAnsi="宋体" w:eastAsia="宋体" w:cs="宋体"/>
                <w:bCs/>
                <w:color w:val="auto"/>
                <w:sz w:val="24"/>
                <w:highlight w:val="none"/>
              </w:rPr>
              <w:t>评分标准</w:t>
            </w:r>
          </w:p>
        </w:tc>
        <w:tc>
          <w:tcPr>
            <w:tcW w:w="1906" w:type="dxa"/>
            <w:noWrap w:val="0"/>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项目完工后的维修及保修承诺</w:t>
            </w:r>
          </w:p>
        </w:tc>
        <w:tc>
          <w:tcPr>
            <w:tcW w:w="6024" w:type="dxa"/>
            <w:noWrap w:val="0"/>
            <w:vAlign w:val="center"/>
          </w:tcPr>
          <w:p>
            <w:pPr>
              <w:spacing w:line="360" w:lineRule="auto"/>
              <w:jc w:val="left"/>
              <w:rPr>
                <w:rFonts w:hint="eastAsia" w:ascii="宋体" w:hAnsi="宋体" w:eastAsia="宋体" w:cs="宋体"/>
                <w:bCs/>
                <w:color w:val="auto"/>
                <w:sz w:val="24"/>
                <w:highlight w:val="none"/>
              </w:rPr>
            </w:pPr>
            <w:r>
              <w:rPr>
                <w:rFonts w:hint="eastAsia" w:ascii="宋体" w:hAnsi="宋体" w:eastAsia="宋体" w:cs="宋体"/>
                <w:sz w:val="24"/>
                <w:highlight w:val="none"/>
              </w:rPr>
              <w:t>项目完工后的维修服务及保修承诺</w:t>
            </w:r>
            <w:r>
              <w:rPr>
                <w:rFonts w:hint="eastAsia" w:ascii="宋体" w:hAnsi="宋体" w:eastAsia="宋体" w:cs="宋体"/>
                <w:sz w:val="24"/>
                <w:highlight w:val="none"/>
                <w:lang w:eastAsia="zh-CN"/>
              </w:rPr>
              <w:t>：全面、可行、完善</w:t>
            </w:r>
            <w:r>
              <w:rPr>
                <w:rFonts w:hint="eastAsia" w:ascii="宋体" w:hAnsi="宋体" w:eastAsia="宋体" w:cs="宋体"/>
                <w:bCs/>
                <w:color w:val="auto"/>
                <w:sz w:val="24"/>
                <w:highlight w:val="none"/>
              </w:rPr>
              <w:t>赋</w:t>
            </w:r>
            <w:r>
              <w:rPr>
                <w:rFonts w:hint="eastAsia" w:ascii="宋体" w:hAnsi="宋体" w:eastAsia="宋体" w:cs="宋体"/>
                <w:sz w:val="24"/>
                <w:highlight w:val="none"/>
                <w:lang w:val="en-US" w:eastAsia="zh-CN"/>
              </w:rPr>
              <w:t>7-10</w:t>
            </w:r>
            <w:r>
              <w:rPr>
                <w:rFonts w:hint="eastAsia" w:ascii="宋体" w:hAnsi="宋体" w:eastAsia="宋体" w:cs="宋体"/>
                <w:sz w:val="24"/>
                <w:highlight w:val="none"/>
              </w:rPr>
              <w:t>分，一般</w:t>
            </w:r>
            <w:r>
              <w:rPr>
                <w:rFonts w:hint="eastAsia" w:ascii="宋体" w:hAnsi="宋体" w:eastAsia="宋体" w:cs="宋体"/>
                <w:sz w:val="24"/>
                <w:highlight w:val="none"/>
                <w:lang w:eastAsia="zh-CN"/>
              </w:rPr>
              <w:t>可行、较全面</w:t>
            </w:r>
            <w:r>
              <w:rPr>
                <w:rFonts w:hint="eastAsia" w:ascii="宋体" w:hAnsi="宋体" w:eastAsia="宋体" w:cs="宋体"/>
                <w:bCs/>
                <w:color w:val="auto"/>
                <w:sz w:val="24"/>
                <w:highlight w:val="none"/>
              </w:rPr>
              <w:t>赋</w:t>
            </w:r>
            <w:r>
              <w:rPr>
                <w:rFonts w:hint="eastAsia" w:ascii="宋体" w:hAnsi="宋体" w:eastAsia="宋体" w:cs="宋体"/>
                <w:sz w:val="24"/>
                <w:highlight w:val="none"/>
                <w:lang w:val="en-US" w:eastAsia="zh-CN"/>
              </w:rPr>
              <w:t>3-7（含）</w:t>
            </w:r>
            <w:r>
              <w:rPr>
                <w:rFonts w:hint="eastAsia" w:ascii="宋体" w:hAnsi="宋体" w:eastAsia="宋体" w:cs="宋体"/>
                <w:sz w:val="24"/>
                <w:highlight w:val="none"/>
              </w:rPr>
              <w:t>分，</w:t>
            </w:r>
            <w:r>
              <w:rPr>
                <w:rFonts w:hint="eastAsia" w:ascii="宋体" w:hAnsi="宋体" w:eastAsia="宋体" w:cs="宋体"/>
                <w:sz w:val="24"/>
                <w:highlight w:val="none"/>
                <w:lang w:eastAsia="zh-CN"/>
              </w:rPr>
              <w:t>不太可行、不够全面</w:t>
            </w:r>
            <w:r>
              <w:rPr>
                <w:rFonts w:hint="eastAsia" w:ascii="宋体" w:hAnsi="宋体" w:eastAsia="宋体" w:cs="宋体"/>
                <w:bCs/>
                <w:color w:val="auto"/>
                <w:sz w:val="24"/>
                <w:highlight w:val="none"/>
              </w:rPr>
              <w:t>赋</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3（含）</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15" w:type="dxa"/>
            <w:vMerge w:val="continue"/>
            <w:noWrap w:val="0"/>
            <w:vAlign w:val="center"/>
          </w:tcPr>
          <w:p>
            <w:pPr>
              <w:spacing w:line="360" w:lineRule="auto"/>
              <w:jc w:val="center"/>
              <w:rPr>
                <w:rFonts w:hint="eastAsia" w:ascii="宋体" w:hAnsi="宋体" w:eastAsia="宋体" w:cs="宋体"/>
                <w:bCs/>
                <w:color w:val="auto"/>
                <w:sz w:val="24"/>
                <w:highlight w:val="none"/>
              </w:rPr>
            </w:pPr>
          </w:p>
        </w:tc>
        <w:tc>
          <w:tcPr>
            <w:tcW w:w="1906" w:type="dxa"/>
            <w:noWrap w:val="0"/>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业绩</w:t>
            </w:r>
          </w:p>
        </w:tc>
        <w:tc>
          <w:tcPr>
            <w:tcW w:w="6024"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月1日至今</w:t>
            </w:r>
            <w:r>
              <w:rPr>
                <w:rFonts w:hint="eastAsia" w:ascii="宋体" w:hAnsi="宋体" w:eastAsia="宋体" w:cs="宋体"/>
                <w:color w:val="auto"/>
                <w:sz w:val="24"/>
                <w:highlight w:val="none"/>
                <w:lang w:eastAsia="zh-CN"/>
              </w:rPr>
              <w:t>类似项目</w:t>
            </w:r>
            <w:r>
              <w:rPr>
                <w:rFonts w:hint="eastAsia" w:ascii="宋体" w:hAnsi="宋体" w:eastAsia="宋体" w:cs="宋体"/>
                <w:color w:val="auto"/>
                <w:sz w:val="24"/>
                <w:highlight w:val="none"/>
              </w:rPr>
              <w:t>业绩（</w:t>
            </w:r>
            <w:r>
              <w:rPr>
                <w:rFonts w:hint="eastAsia" w:ascii="宋体" w:hAnsi="宋体" w:eastAsia="宋体" w:cs="宋体"/>
                <w:color w:val="auto"/>
                <w:sz w:val="24"/>
                <w:highlight w:val="none"/>
                <w:lang w:eastAsia="zh-CN"/>
              </w:rPr>
              <w:t>以</w:t>
            </w:r>
            <w:r>
              <w:rPr>
                <w:rFonts w:hint="eastAsia" w:ascii="宋体" w:hAnsi="宋体" w:eastAsia="宋体" w:cs="宋体"/>
                <w:color w:val="auto"/>
                <w:sz w:val="24"/>
                <w:highlight w:val="none"/>
              </w:rPr>
              <w:t>施工合同</w:t>
            </w:r>
            <w:r>
              <w:rPr>
                <w:rFonts w:hint="eastAsia" w:ascii="宋体" w:hAnsi="宋体" w:eastAsia="宋体" w:cs="宋体"/>
                <w:color w:val="auto"/>
                <w:sz w:val="24"/>
                <w:highlight w:val="none"/>
                <w:lang w:val="en-US" w:eastAsia="zh-CN"/>
              </w:rPr>
              <w:t>或中标通知书</w:t>
            </w:r>
            <w:r>
              <w:rPr>
                <w:rFonts w:hint="eastAsia" w:ascii="宋体" w:hAnsi="宋体" w:eastAsia="宋体" w:cs="宋体"/>
                <w:color w:val="auto"/>
                <w:sz w:val="24"/>
                <w:highlight w:val="none"/>
                <w:lang w:eastAsia="zh-CN"/>
              </w:rPr>
              <w:t>复印件为准</w:t>
            </w:r>
            <w:r>
              <w:rPr>
                <w:rFonts w:hint="eastAsia" w:ascii="宋体" w:hAnsi="宋体" w:eastAsia="宋体" w:cs="宋体"/>
                <w:color w:val="auto"/>
                <w:sz w:val="24"/>
                <w:highlight w:val="none"/>
              </w:rPr>
              <w:t>）每个计</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分，最高得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tc>
      </w:tr>
    </w:tbl>
    <w:p>
      <w:pPr>
        <w:rPr>
          <w:rFonts w:hint="eastAsia" w:ascii="宋体" w:hAnsi="宋体" w:eastAsia="宋体" w:cs="宋体"/>
          <w:b/>
          <w:color w:val="000000" w:themeColor="text1"/>
          <w:spacing w:val="4"/>
          <w:sz w:val="24"/>
          <w:szCs w:val="32"/>
          <w14:textFill>
            <w14:solidFill>
              <w14:schemeClr w14:val="tx1"/>
            </w14:solidFill>
          </w14:textFill>
        </w:rPr>
      </w:pPr>
      <w:r>
        <w:rPr>
          <w:rFonts w:hint="eastAsia" w:ascii="宋体" w:hAnsi="宋体" w:eastAsia="宋体" w:cs="宋体"/>
          <w:b/>
          <w:color w:val="000000" w:themeColor="text1"/>
          <w:spacing w:val="4"/>
          <w:sz w:val="24"/>
          <w:szCs w:val="32"/>
          <w14:textFill>
            <w14:solidFill>
              <w14:schemeClr w14:val="tx1"/>
            </w14:solidFill>
          </w14:textFill>
        </w:rPr>
        <w:br w:type="page"/>
      </w:r>
    </w:p>
    <w:p>
      <w:pPr>
        <w:pStyle w:val="29"/>
        <w:rPr>
          <w:rFonts w:hint="eastAsia" w:ascii="宋体" w:hAnsi="宋体" w:eastAsia="宋体" w:cs="宋体"/>
          <w:color w:val="000000" w:themeColor="text1"/>
          <w:sz w:val="24"/>
          <w14:textFill>
            <w14:solidFill>
              <w14:schemeClr w14:val="tx1"/>
            </w14:solidFill>
          </w14:textFill>
        </w:rPr>
      </w:pPr>
    </w:p>
    <w:p>
      <w:pPr>
        <w:autoSpaceDE w:val="0"/>
        <w:autoSpaceDN w:val="0"/>
        <w:adjustRightInd w:val="0"/>
        <w:spacing w:after="60"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注：1.评委打分超过得分界限或未按本方法赋分时，该评委的打分无效。</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2.各种计算数字均保留两位小数，第三位“四舍五入”。 </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3.漏项缺项、或只有标题而无内容的，该项按0分计算。</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4.政策性扣减：</w:t>
      </w:r>
    </w:p>
    <w:p>
      <w:pPr>
        <w:spacing w:line="360" w:lineRule="auto"/>
        <w:ind w:firstLine="500"/>
        <w:rPr>
          <w:rFonts w:hint="eastAsia" w:ascii="宋体" w:hAnsi="宋体" w:eastAsia="宋体" w:cs="宋体"/>
          <w:sz w:val="24"/>
        </w:rPr>
      </w:pPr>
      <w:r>
        <w:rPr>
          <w:rFonts w:hint="eastAsia" w:ascii="宋体" w:hAnsi="宋体" w:eastAsia="宋体" w:cs="宋体"/>
          <w:sz w:val="24"/>
        </w:rPr>
        <w:t>a政策性扣减范围</w:t>
      </w:r>
    </w:p>
    <w:p>
      <w:pPr>
        <w:autoSpaceDE w:val="0"/>
        <w:autoSpaceDN w:val="0"/>
        <w:adjustRightInd w:val="0"/>
        <w:spacing w:after="60" w:line="360" w:lineRule="auto"/>
        <w:ind w:firstLine="480" w:firstLineChars="200"/>
        <w:rPr>
          <w:rFonts w:hint="eastAsia" w:ascii="宋体" w:hAnsi="宋体" w:eastAsia="宋体" w:cs="宋体"/>
          <w:sz w:val="24"/>
        </w:rPr>
      </w:pPr>
      <w:r>
        <w:rPr>
          <w:rFonts w:hint="eastAsia" w:ascii="宋体" w:hAnsi="宋体" w:eastAsia="宋体" w:cs="宋体"/>
          <w:sz w:val="24"/>
        </w:rPr>
        <w:t>供应商符合小型、微型企业或监狱企业、残疾人福利性单位条件的，其投标报价价格评审时将按相应比例进行扣减。</w:t>
      </w:r>
    </w:p>
    <w:p>
      <w:pPr>
        <w:autoSpaceDE w:val="0"/>
        <w:autoSpaceDN w:val="0"/>
        <w:adjustRightInd w:val="0"/>
        <w:spacing w:after="60" w:line="360" w:lineRule="auto"/>
        <w:ind w:firstLine="480" w:firstLineChars="200"/>
        <w:rPr>
          <w:rFonts w:hint="eastAsia" w:ascii="宋体" w:hAnsi="宋体" w:eastAsia="宋体" w:cs="宋体"/>
          <w:sz w:val="24"/>
        </w:rPr>
      </w:pPr>
      <w:r>
        <w:rPr>
          <w:rFonts w:hint="eastAsia" w:ascii="宋体" w:hAnsi="宋体" w:eastAsia="宋体" w:cs="宋体"/>
          <w:sz w:val="24"/>
        </w:rPr>
        <w:t>b依据关于印发《政府采购促进中小企业发展管理办法》的通知（财库〔2020〕46号）的规定，在政府采购活动中，供应商提供的货物、工程或者服务符合下列情形的，享受中小企业扶持政策：</w:t>
      </w:r>
    </w:p>
    <w:p>
      <w:pPr>
        <w:autoSpaceDE w:val="0"/>
        <w:autoSpaceDN w:val="0"/>
        <w:adjustRightInd w:val="0"/>
        <w:spacing w:after="60" w:line="360" w:lineRule="auto"/>
        <w:ind w:firstLine="480" w:firstLineChars="200"/>
        <w:rPr>
          <w:rFonts w:hint="eastAsia" w:ascii="宋体" w:hAnsi="宋体" w:eastAsia="宋体" w:cs="宋体"/>
          <w:sz w:val="24"/>
        </w:rPr>
      </w:pPr>
      <w:r>
        <w:rPr>
          <w:rFonts w:hint="eastAsia" w:ascii="宋体" w:hAnsi="宋体" w:eastAsia="宋体" w:cs="宋体"/>
          <w:sz w:val="24"/>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中小企业参加政府采购活动，应当出具符合财库〔2020〕46号规定的《中小企业声明函》,否则不得享受相关中小企业扶持政策。</w:t>
      </w:r>
    </w:p>
    <w:p>
      <w:pPr>
        <w:autoSpaceDE w:val="0"/>
        <w:autoSpaceDN w:val="0"/>
        <w:adjustRightInd w:val="0"/>
        <w:spacing w:after="60" w:line="360" w:lineRule="auto"/>
        <w:ind w:firstLine="480" w:firstLineChars="200"/>
        <w:rPr>
          <w:rFonts w:hint="eastAsia" w:ascii="宋体" w:hAnsi="宋体" w:eastAsia="宋体" w:cs="宋体"/>
          <w:sz w:val="24"/>
        </w:rPr>
      </w:pPr>
      <w:r>
        <w:rPr>
          <w:rFonts w:hint="eastAsia" w:ascii="宋体" w:hAnsi="宋体" w:eastAsia="宋体" w:cs="宋体"/>
          <w:sz w:val="24"/>
        </w:rPr>
        <w:t>c采购人拟采购产品属于优先采购节能、环境标志产品范围的，应当优先采购节能、环境标志产品；拟采购产品符合政府采购强制采购政策的，实行强制采购。采购人依据节能产品、环境标志产品品目清单和节能、环境标志产品认证证书实施政府优先采购和强制采购。采购人拟采购的产品属于品目清单范围的，采购人及其委托的采购代理机构将依据国家确定的认证机构出具的、处于有效期之内的节能、环境标志产品认证书的产品实施政府优先采购或强制采购。</w:t>
      </w:r>
    </w:p>
    <w:p>
      <w:pPr>
        <w:autoSpaceDE w:val="0"/>
        <w:autoSpaceDN w:val="0"/>
        <w:adjustRightInd w:val="0"/>
        <w:spacing w:after="60" w:line="360" w:lineRule="auto"/>
        <w:ind w:firstLine="480" w:firstLineChars="200"/>
        <w:rPr>
          <w:rFonts w:hint="eastAsia" w:ascii="宋体" w:hAnsi="宋体" w:eastAsia="宋体" w:cs="宋体"/>
          <w:sz w:val="24"/>
        </w:rPr>
      </w:pPr>
      <w:r>
        <w:rPr>
          <w:rFonts w:hint="eastAsia" w:ascii="宋体" w:hAnsi="宋体" w:eastAsia="宋体" w:cs="宋体"/>
          <w:sz w:val="24"/>
        </w:rPr>
        <w:t>d监狱企业参加政府采购活动时，应当提供由省级以上监狱管理局、戒毒管理局(含新疆生产建设兵团)出具的属于监狱企业的证明文件。监狱企业参加政府采购活动时，视同小型、微型企业。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pacing w:after="60" w:line="360" w:lineRule="auto"/>
        <w:ind w:firstLine="480" w:firstLineChars="200"/>
        <w:rPr>
          <w:rFonts w:hint="eastAsia" w:ascii="宋体" w:hAnsi="宋体" w:eastAsia="宋体" w:cs="宋体"/>
          <w:sz w:val="24"/>
        </w:rPr>
      </w:pPr>
      <w:r>
        <w:rPr>
          <w:rFonts w:hint="eastAsia" w:ascii="宋体" w:hAnsi="宋体" w:eastAsia="宋体" w:cs="宋体"/>
          <w:sz w:val="24"/>
        </w:rPr>
        <w:t>e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pStyle w:val="8"/>
        <w:keepNext w:val="0"/>
        <w:keepLines w:val="0"/>
        <w:spacing w:before="0" w:after="0"/>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5.政策性扣减方式</w:t>
      </w:r>
    </w:p>
    <w:p>
      <w:pPr>
        <w:spacing w:line="360" w:lineRule="auto"/>
        <w:ind w:firstLine="500"/>
        <w:rPr>
          <w:rFonts w:hint="eastAsia" w:ascii="宋体" w:hAnsi="宋体" w:eastAsia="宋体" w:cs="宋体"/>
          <w:sz w:val="24"/>
        </w:rPr>
      </w:pPr>
      <w:r>
        <w:rPr>
          <w:rFonts w:hint="eastAsia" w:ascii="宋体" w:hAnsi="宋体" w:eastAsia="宋体" w:cs="宋体"/>
          <w:sz w:val="24"/>
        </w:rPr>
        <w:t>a对于未预留份额专门面向中小企业采购的采购项目，以及预留份额项目的非预留部分采购包中符合条件的小微企业报价给予</w:t>
      </w:r>
      <w:r>
        <w:rPr>
          <w:rFonts w:hint="eastAsia" w:ascii="宋体" w:hAnsi="宋体" w:eastAsia="宋体" w:cs="宋体"/>
          <w:sz w:val="24"/>
          <w:lang w:val="en-US" w:eastAsia="zh-CN"/>
        </w:rPr>
        <w:t>3</w:t>
      </w:r>
      <w:r>
        <w:rPr>
          <w:rFonts w:hint="eastAsia" w:ascii="宋体" w:hAnsi="宋体" w:eastAsia="宋体" w:cs="宋体"/>
          <w:sz w:val="24"/>
        </w:rPr>
        <w:t>%的扣除。</w:t>
      </w:r>
    </w:p>
    <w:p>
      <w:pPr>
        <w:spacing w:line="360" w:lineRule="auto"/>
        <w:ind w:firstLine="500"/>
        <w:rPr>
          <w:rFonts w:hint="eastAsia" w:ascii="宋体" w:hAnsi="宋体" w:eastAsia="宋体" w:cs="宋体"/>
          <w:sz w:val="24"/>
        </w:rPr>
      </w:pPr>
      <w:r>
        <w:rPr>
          <w:rFonts w:hint="eastAsia" w:ascii="宋体" w:hAnsi="宋体" w:eastAsia="宋体" w:cs="宋体"/>
          <w:sz w:val="24"/>
        </w:rPr>
        <w:t>适用招标投标法的政府采购工程建设项目，采用综合评估法但未采用低价优先法计算价格分的，评标时应当在采用原报价进行评分的基础上增加其价格得分的 3%作为其价格分。</w:t>
      </w:r>
    </w:p>
    <w:p>
      <w:pPr>
        <w:spacing w:line="360" w:lineRule="auto"/>
        <w:ind w:firstLine="500"/>
        <w:rPr>
          <w:rFonts w:hint="eastAsia" w:ascii="宋体" w:hAnsi="宋体" w:eastAsia="宋体" w:cs="宋体"/>
          <w:sz w:val="24"/>
        </w:rPr>
      </w:pPr>
      <w:r>
        <w:rPr>
          <w:rFonts w:hint="eastAsia" w:ascii="宋体" w:hAnsi="宋体" w:eastAsia="宋体" w:cs="宋体"/>
          <w:sz w:val="24"/>
        </w:rPr>
        <w:t>b监狱企业、残疾人福利性单位视同小微企业，享受预留份额、评审中价格扣除等促进中小企业发展的政府采购政策。监狱企业、残疾人福利性单位属于小微企业的，不重复享受政策。</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6.5评标委员会完成评标后，向采购人提出书面评标报告，并推荐综合得分由高到低排名前三名为中标候选人。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6.6若出现综合得分相同时，则比较投标报价得分。</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6.7评标过程中，若出现本评标办法以外的特殊情况时，将暂停评标，有关情况待评标委员会确定后，再进行评定。</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6.8未尽事宜以现行招标有关规定为准。</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6.9本招标文件的解释权归采购代理公司所有。</w:t>
      </w:r>
      <w:bookmarkEnd w:id="239"/>
      <w:bookmarkEnd w:id="240"/>
      <w:bookmarkEnd w:id="241"/>
      <w:bookmarkStart w:id="242" w:name="_Toc339114165"/>
      <w:bookmarkStart w:id="243" w:name="_Toc31190"/>
    </w:p>
    <w:p>
      <w:pPr>
        <w:rPr>
          <w:rFonts w:hint="eastAsia" w:ascii="宋体" w:hAnsi="宋体" w:eastAsia="宋体" w:cs="宋体"/>
        </w:rPr>
      </w:pPr>
      <w:r>
        <w:rPr>
          <w:rFonts w:hint="eastAsia" w:ascii="宋体" w:hAnsi="宋体" w:eastAsia="宋体" w:cs="宋体"/>
          <w:color w:val="000000" w:themeColor="text1"/>
          <w:sz w:val="24"/>
          <w14:textFill>
            <w14:solidFill>
              <w14:schemeClr w14:val="tx1"/>
            </w14:solidFill>
          </w14:textFill>
        </w:rPr>
        <w:br w:type="page"/>
      </w:r>
    </w:p>
    <w:p>
      <w:pPr>
        <w:numPr>
          <w:ilvl w:val="0"/>
          <w:numId w:val="0"/>
        </w:numPr>
        <w:jc w:val="center"/>
        <w:outlineLvl w:val="0"/>
        <w:rPr>
          <w:rFonts w:hint="eastAsia" w:ascii="宋体" w:hAnsi="宋体" w:eastAsia="宋体" w:cs="宋体"/>
          <w:b/>
          <w:bCs/>
          <w:color w:val="000000" w:themeColor="text1"/>
          <w:sz w:val="32"/>
          <w14:textFill>
            <w14:solidFill>
              <w14:schemeClr w14:val="tx1"/>
            </w14:solidFill>
          </w14:textFill>
        </w:rPr>
      </w:pPr>
      <w:bookmarkStart w:id="244" w:name="_Toc31219"/>
      <w:bookmarkStart w:id="245" w:name="_Toc31151"/>
      <w:bookmarkStart w:id="246" w:name="_Toc3749"/>
      <w:r>
        <w:rPr>
          <w:rFonts w:hint="eastAsia" w:ascii="宋体" w:hAnsi="宋体" w:eastAsia="宋体" w:cs="宋体"/>
          <w:b/>
          <w:bCs/>
          <w:color w:val="000000" w:themeColor="text1"/>
          <w:kern w:val="2"/>
          <w:sz w:val="32"/>
          <w:szCs w:val="24"/>
          <w:lang w:val="en-US" w:eastAsia="zh-CN" w:bidi="ar-SA"/>
          <w14:textFill>
            <w14:solidFill>
              <w14:schemeClr w14:val="tx1"/>
            </w14:solidFill>
          </w14:textFill>
        </w:rPr>
        <w:t xml:space="preserve">第四章  </w:t>
      </w:r>
      <w:r>
        <w:rPr>
          <w:rFonts w:hint="eastAsia" w:ascii="宋体" w:hAnsi="宋体" w:eastAsia="宋体" w:cs="宋体"/>
          <w:b/>
          <w:bCs/>
          <w:color w:val="000000" w:themeColor="text1"/>
          <w:sz w:val="32"/>
          <w14:textFill>
            <w14:solidFill>
              <w14:schemeClr w14:val="tx1"/>
            </w14:solidFill>
          </w14:textFill>
        </w:rPr>
        <w:t>合同条款及格式</w:t>
      </w:r>
      <w:bookmarkEnd w:id="242"/>
      <w:bookmarkEnd w:id="243"/>
      <w:bookmarkEnd w:id="244"/>
      <w:bookmarkEnd w:id="245"/>
      <w:bookmarkEnd w:id="246"/>
      <w:bookmarkStart w:id="247" w:name="_Toc152045609"/>
      <w:bookmarkStart w:id="248" w:name="_Toc144974577"/>
      <w:bookmarkStart w:id="249" w:name="_Toc152042387"/>
    </w:p>
    <w:bookmarkEnd w:id="247"/>
    <w:bookmarkEnd w:id="248"/>
    <w:bookmarkEnd w:id="249"/>
    <w:p>
      <w:pPr>
        <w:adjustRightInd w:val="0"/>
        <w:snapToGrid w:val="0"/>
        <w:spacing w:before="60" w:after="60" w:line="360" w:lineRule="auto"/>
        <w:jc w:val="center"/>
        <w:outlineLvl w:val="1"/>
        <w:rPr>
          <w:rFonts w:hint="eastAsia" w:ascii="宋体" w:hAnsi="宋体" w:eastAsia="宋体" w:cs="宋体"/>
          <w:b/>
          <w:bCs/>
          <w:spacing w:val="100"/>
          <w:kern w:val="16"/>
          <w:sz w:val="52"/>
          <w:szCs w:val="52"/>
          <w:highlight w:val="none"/>
        </w:rPr>
      </w:pPr>
      <w:bookmarkStart w:id="250" w:name="_Toc30224_WPSOffice_Level1"/>
      <w:r>
        <w:rPr>
          <w:rFonts w:hint="eastAsia" w:ascii="宋体" w:hAnsi="宋体" w:eastAsia="宋体" w:cs="宋体"/>
          <w:b/>
          <w:bCs/>
          <w:spacing w:val="100"/>
          <w:kern w:val="16"/>
          <w:sz w:val="52"/>
          <w:szCs w:val="52"/>
          <w:highlight w:val="none"/>
        </w:rPr>
        <w:t>建设工程施工合同</w:t>
      </w:r>
    </w:p>
    <w:p>
      <w:pPr>
        <w:adjustRightInd w:val="0"/>
        <w:snapToGrid w:val="0"/>
        <w:spacing w:before="60" w:after="60" w:line="360" w:lineRule="auto"/>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（示范文本）</w:t>
      </w: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rPr>
          <w:rFonts w:hint="eastAsia" w:ascii="宋体" w:hAnsi="宋体" w:eastAsia="宋体" w:cs="宋体"/>
          <w:sz w:val="24"/>
          <w:szCs w:val="24"/>
          <w:highlight w:val="none"/>
        </w:rPr>
      </w:pPr>
    </w:p>
    <w:p>
      <w:pPr>
        <w:adjustRightInd w:val="0"/>
        <w:snapToGrid w:val="0"/>
        <w:spacing w:before="60" w:after="60" w:line="360" w:lineRule="auto"/>
        <w:jc w:val="center"/>
        <w:rPr>
          <w:rFonts w:hint="eastAsia" w:ascii="宋体" w:hAnsi="宋体" w:eastAsia="宋体" w:cs="宋体"/>
          <w:sz w:val="24"/>
          <w:szCs w:val="24"/>
          <w:highlight w:val="none"/>
        </w:rPr>
      </w:pPr>
    </w:p>
    <w:p>
      <w:pPr>
        <w:tabs>
          <w:tab w:val="left" w:pos="709"/>
          <w:tab w:val="left" w:pos="851"/>
        </w:tabs>
        <w:adjustRightInd w:val="0"/>
        <w:snapToGrid w:val="0"/>
        <w:spacing w:before="60" w:after="60" w:line="360" w:lineRule="auto"/>
        <w:ind w:firstLine="2785" w:firstLineChars="867"/>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中华人民共和国建设部制定</w:t>
      </w:r>
    </w:p>
    <w:p>
      <w:pPr>
        <w:tabs>
          <w:tab w:val="left" w:pos="709"/>
          <w:tab w:val="left" w:pos="851"/>
        </w:tabs>
        <w:adjustRightInd w:val="0"/>
        <w:snapToGrid w:val="0"/>
        <w:spacing w:before="60" w:after="60" w:line="360" w:lineRule="auto"/>
        <w:ind w:firstLine="3132" w:firstLineChars="867"/>
        <w:rPr>
          <w:rFonts w:hint="eastAsia" w:ascii="宋体" w:hAnsi="宋体" w:eastAsia="宋体" w:cs="宋体"/>
          <w:b/>
          <w:bCs/>
          <w:spacing w:val="20"/>
          <w:sz w:val="32"/>
          <w:szCs w:val="32"/>
          <w:highlight w:val="none"/>
        </w:rPr>
      </w:pPr>
      <w:r>
        <w:rPr>
          <w:rFonts w:hint="eastAsia" w:ascii="宋体" w:hAnsi="宋体" w:eastAsia="宋体" w:cs="宋体"/>
          <w:b/>
          <w:bCs/>
          <w:spacing w:val="20"/>
          <w:sz w:val="32"/>
          <w:szCs w:val="32"/>
          <w:highlight w:val="none"/>
        </w:rPr>
        <w:t>国家工商行政管理局</w:t>
      </w:r>
    </w:p>
    <w:p>
      <w:pPr>
        <w:adjustRightInd w:val="0"/>
        <w:snapToGrid w:val="0"/>
        <w:spacing w:before="60" w:after="60" w:line="360" w:lineRule="auto"/>
        <w:jc w:val="center"/>
        <w:rPr>
          <w:rFonts w:hint="eastAsia" w:ascii="宋体" w:hAnsi="宋体" w:eastAsia="宋体" w:cs="宋体"/>
          <w:sz w:val="24"/>
          <w:szCs w:val="24"/>
          <w:highlight w:val="none"/>
        </w:rPr>
      </w:pPr>
    </w:p>
    <w:p>
      <w:pPr>
        <w:adjustRightInd w:val="0"/>
        <w:snapToGrid w:val="0"/>
        <w:spacing w:before="60" w:after="60" w:line="360" w:lineRule="auto"/>
        <w:jc w:val="center"/>
        <w:rPr>
          <w:rFonts w:hint="eastAsia" w:ascii="宋体" w:hAnsi="宋体" w:eastAsia="宋体" w:cs="宋体"/>
          <w:sz w:val="24"/>
          <w:szCs w:val="24"/>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sectPr>
          <w:footerReference r:id="rId13" w:type="first"/>
          <w:footerReference r:id="rId12" w:type="default"/>
          <w:pgSz w:w="11907" w:h="16840"/>
          <w:pgMar w:top="1247" w:right="1304" w:bottom="1247" w:left="1304" w:header="907" w:footer="533" w:gutter="0"/>
          <w:pgBorders>
            <w:top w:val="none" w:sz="0" w:space="0"/>
            <w:left w:val="none" w:sz="0" w:space="0"/>
            <w:bottom w:val="none" w:sz="0" w:space="0"/>
            <w:right w:val="none" w:sz="0" w:space="0"/>
          </w:pgBorders>
          <w:pgNumType w:fmt="decimal" w:chapStyle="1"/>
          <w:cols w:space="720" w:num="1"/>
          <w:docGrid w:linePitch="326" w:charSpace="0"/>
        </w:sectPr>
      </w:pPr>
    </w:p>
    <w:p>
      <w:pPr>
        <w:pStyle w:val="3"/>
        <w:rPr>
          <w:rFonts w:hint="eastAsia" w:ascii="宋体" w:hAnsi="宋体" w:eastAsia="宋体" w:cs="宋体"/>
        </w:rPr>
      </w:pPr>
    </w:p>
    <w:p>
      <w:pPr>
        <w:jc w:val="center"/>
        <w:outlineLvl w:val="1"/>
        <w:rPr>
          <w:rFonts w:hint="eastAsia" w:ascii="宋体" w:hAnsi="宋体" w:eastAsia="宋体" w:cs="宋体"/>
          <w:b/>
          <w:bCs/>
          <w:sz w:val="32"/>
          <w:szCs w:val="32"/>
          <w:highlight w:val="none"/>
        </w:rPr>
      </w:pPr>
      <w:bookmarkStart w:id="251" w:name="_Toc136243342"/>
      <w:r>
        <w:rPr>
          <w:rFonts w:hint="eastAsia" w:ascii="宋体" w:hAnsi="宋体" w:eastAsia="宋体" w:cs="宋体"/>
          <w:b/>
          <w:bCs/>
          <w:sz w:val="32"/>
          <w:szCs w:val="32"/>
          <w:highlight w:val="none"/>
        </w:rPr>
        <w:t>第一部分  合同文件格式</w:t>
      </w:r>
      <w:bookmarkEnd w:id="251"/>
    </w:p>
    <w:p>
      <w:p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lang w:val="en-US" w:eastAsia="zh-CN"/>
        </w:rPr>
        <w:t>西安市未央区教育局</w:t>
      </w:r>
    </w:p>
    <w:p>
      <w:pPr>
        <w:tabs>
          <w:tab w:val="left" w:pos="630"/>
        </w:tabs>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lang w:val="en-US" w:eastAsia="zh-CN"/>
        </w:rPr>
        <w:t xml:space="preserve">                            </w:t>
      </w:r>
    </w:p>
    <w:p>
      <w:pPr>
        <w:pStyle w:val="33"/>
        <w:spacing w:line="46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》、《中华人民共和国建筑法》及其他有关法律、行政法规，遵循平等、自愿、公平和诚实信用的原则，双方就本建设工程施工事项协商一致，订立本合同。</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一、工程概况</w:t>
      </w:r>
    </w:p>
    <w:p>
      <w:pPr>
        <w:pStyle w:val="33"/>
        <w:spacing w:line="460" w:lineRule="exact"/>
        <w:ind w:left="0" w:leftChars="0"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工程名称：</w:t>
      </w:r>
      <w:r>
        <w:rPr>
          <w:rFonts w:hint="eastAsia" w:ascii="宋体" w:hAnsi="宋体" w:eastAsia="宋体" w:cs="宋体"/>
          <w:sz w:val="24"/>
          <w:szCs w:val="24"/>
          <w:highlight w:val="none"/>
          <w:u w:val="single"/>
          <w:lang w:val="en-US" w:eastAsia="zh-CN"/>
        </w:rPr>
        <w:t>XXXXXXXXXX</w:t>
      </w:r>
      <w:r>
        <w:rPr>
          <w:rFonts w:hint="eastAsia" w:ascii="宋体" w:hAnsi="宋体" w:eastAsia="宋体" w:cs="宋体"/>
          <w:sz w:val="24"/>
          <w:szCs w:val="24"/>
          <w:highlight w:val="none"/>
          <w:u w:val="single"/>
          <w:lang w:eastAsia="zh-CN"/>
        </w:rPr>
        <w:t>项目</w:t>
      </w:r>
    </w:p>
    <w:p>
      <w:pPr>
        <w:pStyle w:val="33"/>
        <w:spacing w:line="460" w:lineRule="exact"/>
        <w:ind w:left="0" w:leftChars="0"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工程地点：</w:t>
      </w:r>
      <w:r>
        <w:rPr>
          <w:rFonts w:hint="eastAsia" w:ascii="宋体" w:hAnsi="宋体" w:eastAsia="宋体" w:cs="宋体"/>
          <w:sz w:val="24"/>
          <w:szCs w:val="24"/>
          <w:highlight w:val="none"/>
          <w:u w:val="single"/>
          <w:lang w:val="en-US" w:eastAsia="zh-CN"/>
        </w:rPr>
        <w:t xml:space="preserve">                                    </w:t>
      </w:r>
    </w:p>
    <w:p>
      <w:pPr>
        <w:pStyle w:val="33"/>
        <w:spacing w:line="46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建筑面积：</w:t>
      </w:r>
      <w:r>
        <w:rPr>
          <w:rFonts w:hint="eastAsia" w:ascii="宋体" w:hAnsi="宋体" w:eastAsia="宋体" w:cs="宋体"/>
          <w:sz w:val="24"/>
          <w:szCs w:val="24"/>
          <w:highlight w:val="none"/>
          <w:u w:val="single"/>
          <w:lang w:val="en-US" w:eastAsia="zh-CN"/>
        </w:rPr>
        <w:t xml:space="preserve">                                    </w:t>
      </w:r>
    </w:p>
    <w:p>
      <w:pPr>
        <w:pStyle w:val="33"/>
        <w:spacing w:line="46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工程结构类型、层：</w:t>
      </w:r>
      <w:r>
        <w:rPr>
          <w:rFonts w:hint="eastAsia" w:ascii="宋体" w:hAnsi="宋体" w:eastAsia="宋体" w:cs="宋体"/>
          <w:sz w:val="24"/>
          <w:szCs w:val="24"/>
          <w:highlight w:val="none"/>
          <w:lang w:val="en-US" w:eastAsia="zh-CN"/>
        </w:rPr>
        <w:t>/</w:t>
      </w:r>
    </w:p>
    <w:p>
      <w:pPr>
        <w:pStyle w:val="33"/>
        <w:spacing w:line="46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工程立项批准文号：</w:t>
      </w:r>
      <w:r>
        <w:rPr>
          <w:rFonts w:hint="eastAsia" w:ascii="宋体" w:hAnsi="宋体" w:eastAsia="宋体" w:cs="宋体"/>
          <w:sz w:val="24"/>
          <w:szCs w:val="24"/>
          <w:highlight w:val="none"/>
          <w:lang w:val="en-US" w:eastAsia="zh-CN"/>
        </w:rPr>
        <w:t>/</w:t>
      </w:r>
    </w:p>
    <w:p>
      <w:pPr>
        <w:pStyle w:val="33"/>
        <w:spacing w:line="46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r>
        <w:rPr>
          <w:rFonts w:hint="eastAsia" w:ascii="宋体" w:hAnsi="宋体" w:eastAsia="宋体" w:cs="宋体"/>
          <w:sz w:val="24"/>
          <w:szCs w:val="24"/>
          <w:highlight w:val="none"/>
          <w:u w:val="single"/>
        </w:rPr>
        <w:t>财政拨款</w:t>
      </w:r>
    </w:p>
    <w:p>
      <w:pPr>
        <w:tabs>
          <w:tab w:val="left" w:pos="851"/>
        </w:tabs>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二、工程承包范围</w:t>
      </w:r>
    </w:p>
    <w:p>
      <w:pPr>
        <w:adjustRightInd w:val="0"/>
        <w:snapToGrid w:val="0"/>
        <w:spacing w:line="46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承包范围：</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三、合同工期</w:t>
      </w:r>
    </w:p>
    <w:p>
      <w:pPr>
        <w:adjustRightInd w:val="0"/>
        <w:snapToGrid w:val="0"/>
        <w:spacing w:line="46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u w:val="singl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adjustRightInd w:val="0"/>
        <w:snapToGrid w:val="0"/>
        <w:spacing w:line="46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u w:val="singl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adjustRightInd w:val="0"/>
        <w:snapToGrid w:val="0"/>
        <w:spacing w:line="460" w:lineRule="exact"/>
        <w:ind w:firstLine="1080" w:firstLineChars="4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合同工期总日历天数:自合同签订之日起</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日历</w:t>
      </w:r>
      <w:r>
        <w:rPr>
          <w:rFonts w:hint="eastAsia" w:ascii="宋体" w:hAnsi="宋体" w:cs="宋体"/>
          <w:sz w:val="24"/>
          <w:szCs w:val="24"/>
          <w:highlight w:val="none"/>
          <w:lang w:val="en-US" w:eastAsia="zh-CN"/>
        </w:rPr>
        <w:t>天</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四、质量标准</w:t>
      </w:r>
    </w:p>
    <w:p>
      <w:pPr>
        <w:adjustRightInd w:val="0"/>
        <w:snapToGrid w:val="0"/>
        <w:spacing w:line="46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工程质量标准：</w:t>
      </w:r>
      <w:r>
        <w:rPr>
          <w:rFonts w:hint="eastAsia" w:ascii="宋体" w:hAnsi="宋体" w:eastAsia="宋体" w:cs="宋体"/>
          <w:sz w:val="24"/>
          <w:szCs w:val="24"/>
          <w:highlight w:val="none"/>
          <w:u w:val="single"/>
        </w:rPr>
        <w:t>符合国家现行有关施工质量验收规范“合格”要求。</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五、合同价款</w:t>
      </w:r>
    </w:p>
    <w:p>
      <w:pPr>
        <w:adjustRightInd w:val="0"/>
        <w:snapToGrid w:val="0"/>
        <w:spacing w:line="46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签订合同后预付合同金额的30%即人民币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元），项目竣工验收后，支付到合同金额的</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0%即人民币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元）。经项目实施单位向财政部门报送项目决算资料进行决算投资评审，评审后支付到合同金额的97%即人民币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元）。剩余合同金额的3%即人民币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元）作为质保金，质保期结束后</w:t>
      </w:r>
      <w:r>
        <w:rPr>
          <w:rFonts w:hint="eastAsia" w:ascii="宋体" w:hAnsi="宋体" w:cs="宋体"/>
          <w:color w:val="auto"/>
          <w:sz w:val="24"/>
          <w:szCs w:val="24"/>
          <w:highlight w:val="none"/>
          <w:u w:val="none"/>
          <w:lang w:val="en-US" w:eastAsia="zh-CN"/>
        </w:rPr>
        <w:t>无息</w:t>
      </w:r>
      <w:r>
        <w:rPr>
          <w:rFonts w:hint="eastAsia" w:ascii="宋体" w:hAnsi="宋体" w:eastAsia="宋体" w:cs="宋体"/>
          <w:color w:val="auto"/>
          <w:sz w:val="24"/>
          <w:szCs w:val="24"/>
          <w:highlight w:val="none"/>
          <w:u w:val="none"/>
          <w:lang w:val="en-US" w:eastAsia="zh-CN"/>
        </w:rPr>
        <w:t>退还。</w:t>
      </w:r>
    </w:p>
    <w:p>
      <w:pPr>
        <w:adjustRightInd w:val="0"/>
        <w:snapToGrid w:val="0"/>
        <w:spacing w:line="46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六、组成合同的文件</w:t>
      </w:r>
    </w:p>
    <w:p>
      <w:pPr>
        <w:adjustRightInd w:val="0"/>
        <w:snapToGrid w:val="0"/>
        <w:spacing w:line="46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组成本合同的文件包括：</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本合同协议书</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中标通知书</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投标文件及其附件</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本合同专用条款</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本合同通用条款</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标准、规范及有关技术文件</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图纸</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w:t>
      </w:r>
    </w:p>
    <w:p>
      <w:pPr>
        <w:numPr>
          <w:ilvl w:val="0"/>
          <w:numId w:val="3"/>
        </w:numPr>
        <w:tabs>
          <w:tab w:val="left" w:pos="920"/>
        </w:tabs>
        <w:adjustRightInd w:val="0"/>
        <w:snapToGrid w:val="0"/>
        <w:spacing w:line="460" w:lineRule="exact"/>
        <w:ind w:left="92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工程报价单或预算书</w:t>
      </w:r>
    </w:p>
    <w:p>
      <w:pPr>
        <w:adjustRightInd w:val="0"/>
        <w:snapToGrid w:val="0"/>
        <w:spacing w:line="460" w:lineRule="exact"/>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双方有关工程的洽商、变更等书面协议、文件及招标文件视为本合同的组成部分。</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七、本协议书中有关词语含义与本合同第二部分《通用条款》中分别赋予它们的定义相同。</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八、承包人向发包人承诺按照合同约定进行施工、竣工并在质量保修期内承担工程质量保修责任。</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九、发包人向承包人承诺按照合同约定的期限和方式支付合同价款及其他应当支付的款项。</w:t>
      </w:r>
    </w:p>
    <w:p>
      <w:pPr>
        <w:adjustRightInd w:val="0"/>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十、合同生效</w:t>
      </w:r>
    </w:p>
    <w:p>
      <w:pPr>
        <w:adjustRightInd w:val="0"/>
        <w:snapToGrid w:val="0"/>
        <w:spacing w:line="46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        年        月        日</w:t>
      </w:r>
    </w:p>
    <w:p>
      <w:pPr>
        <w:adjustRightInd w:val="0"/>
        <w:snapToGrid w:val="0"/>
        <w:spacing w:line="46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  ___________________________________</w:t>
      </w:r>
    </w:p>
    <w:p>
      <w:pPr>
        <w:adjustRightInd w:val="0"/>
        <w:snapToGrid w:val="0"/>
        <w:spacing w:line="46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本合同双方约定后生效。</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                  承包人：（公章）</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住所：                            住所：</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委托代表人：                      委托代表人：</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电话：                            电话：</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传真：                            传真：</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帐号：                            帐号：</w:t>
      </w:r>
    </w:p>
    <w:p>
      <w:pPr>
        <w:adjustRightInd w:val="0"/>
        <w:snapToGrid w:val="0"/>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                        邮政编码：</w:t>
      </w:r>
    </w:p>
    <w:p>
      <w:pPr>
        <w:rPr>
          <w:rFonts w:hint="eastAsia" w:ascii="宋体" w:hAnsi="宋体" w:eastAsia="宋体" w:cs="宋体"/>
          <w:highlight w:val="none"/>
        </w:rPr>
      </w:pPr>
    </w:p>
    <w:p>
      <w:pPr>
        <w:pStyle w:val="7"/>
        <w:outlineLvl w:val="9"/>
        <w:rPr>
          <w:rFonts w:hint="eastAsia" w:ascii="宋体" w:hAnsi="宋体" w:eastAsia="宋体" w:cs="宋体"/>
          <w:highlight w:val="none"/>
        </w:rPr>
      </w:pPr>
    </w:p>
    <w:p>
      <w:pPr>
        <w:rPr>
          <w:rFonts w:hint="eastAsia" w:ascii="宋体" w:hAnsi="宋体" w:eastAsia="宋体" w:cs="宋体"/>
          <w:highlight w:val="none"/>
        </w:rPr>
      </w:pPr>
    </w:p>
    <w:p>
      <w:pPr>
        <w:pStyle w:val="8"/>
        <w:outlineLvl w:val="9"/>
        <w:rPr>
          <w:rFonts w:hint="eastAsia" w:ascii="宋体" w:hAnsi="宋体" w:eastAsia="宋体" w:cs="宋体"/>
          <w:highlight w:val="none"/>
        </w:rPr>
      </w:pPr>
    </w:p>
    <w:p>
      <w:pPr>
        <w:numPr>
          <w:ilvl w:val="0"/>
          <w:numId w:val="4"/>
        </w:numPr>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通用条款</w:t>
      </w:r>
    </w:p>
    <w:p>
      <w:pPr>
        <w:pStyle w:val="7"/>
        <w:numPr>
          <w:ilvl w:val="0"/>
          <w:numId w:val="0"/>
        </w:numPr>
        <w:outlineLvl w:val="9"/>
        <w:rPr>
          <w:rFonts w:hint="eastAsia" w:ascii="宋体" w:hAnsi="宋体" w:eastAsia="宋体" w:cs="宋体"/>
          <w:highlight w:val="none"/>
        </w:rPr>
      </w:pPr>
    </w:p>
    <w:p>
      <w:pPr>
        <w:pStyle w:val="23"/>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执行《陕西省建设工程施工合同》（示范文本）。略</w:t>
      </w:r>
    </w:p>
    <w:p>
      <w:pPr>
        <w:rPr>
          <w:rFonts w:hint="eastAsia" w:ascii="宋体" w:hAnsi="宋体" w:eastAsia="宋体" w:cs="宋体"/>
          <w:sz w:val="24"/>
          <w:szCs w:val="24"/>
          <w:highlight w:val="none"/>
        </w:rPr>
      </w:pPr>
    </w:p>
    <w:p>
      <w:pPr>
        <w:keepLines/>
        <w:pageBreakBefore/>
        <w:spacing w:line="360" w:lineRule="auto"/>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第三部分  专用条款</w:t>
      </w:r>
    </w:p>
    <w:p>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一、词语定义及合同文件</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2、合同文件及解释顺序</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合同文件组成及解释顺序：</w:t>
      </w:r>
      <w:r>
        <w:rPr>
          <w:rFonts w:hint="eastAsia" w:ascii="宋体" w:hAnsi="宋体" w:eastAsia="宋体" w:cs="宋体"/>
          <w:kern w:val="0"/>
          <w:sz w:val="24"/>
          <w:szCs w:val="24"/>
          <w:highlight w:val="none"/>
          <w:u w:val="single"/>
        </w:rPr>
        <w:t>﹙1﹚本合同协议书；﹙2﹚本合同专用条款；﹙3﹚中标通知书；﹙4﹚投标书，工程报价单或预算书及其附件；</w:t>
      </w:r>
      <w:bookmarkStart w:id="252" w:name="OLE_LINK69"/>
      <w:r>
        <w:rPr>
          <w:rFonts w:hint="eastAsia" w:ascii="宋体" w:hAnsi="宋体" w:eastAsia="宋体" w:cs="宋体"/>
          <w:kern w:val="0"/>
          <w:sz w:val="24"/>
          <w:szCs w:val="24"/>
          <w:highlight w:val="none"/>
          <w:u w:val="single"/>
        </w:rPr>
        <w:t>﹙5﹚</w:t>
      </w:r>
      <w:bookmarkEnd w:id="252"/>
      <w:r>
        <w:rPr>
          <w:rFonts w:hint="eastAsia" w:ascii="宋体" w:hAnsi="宋体" w:eastAsia="宋体" w:cs="宋体"/>
          <w:kern w:val="0"/>
          <w:sz w:val="24"/>
          <w:szCs w:val="24"/>
          <w:highlight w:val="none"/>
          <w:u w:val="single"/>
        </w:rPr>
        <w:t>招标文件、答疑纪要及工程量清单；﹙6﹚本合同通用条款；﹙7﹚图纸；﹙8﹚标准规范及有关技术文件。</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3、语言文字和适用法律语言文字和适用法律、标准及规范</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本合同除使用汉语外，还使用______</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______语言文字。</w:t>
      </w:r>
    </w:p>
    <w:p>
      <w:pPr>
        <w:spacing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3.2  适用法律和法规需要明示的法律、行政法规：</w:t>
      </w:r>
      <w:r>
        <w:rPr>
          <w:rFonts w:hint="eastAsia" w:ascii="宋体" w:hAnsi="宋体" w:eastAsia="宋体" w:cs="宋体"/>
          <w:kern w:val="0"/>
          <w:sz w:val="24"/>
          <w:szCs w:val="24"/>
          <w:highlight w:val="none"/>
          <w:u w:val="single"/>
        </w:rPr>
        <w:t>本合同适用于中华人民共和国法律，行政法规,陕西省及</w:t>
      </w:r>
      <w:r>
        <w:rPr>
          <w:rFonts w:hint="eastAsia" w:ascii="宋体" w:hAnsi="宋体" w:eastAsia="宋体" w:cs="宋体"/>
          <w:kern w:val="0"/>
          <w:sz w:val="24"/>
          <w:szCs w:val="24"/>
          <w:highlight w:val="none"/>
          <w:u w:val="single"/>
          <w:lang w:eastAsia="zh-CN"/>
        </w:rPr>
        <w:t>西安</w:t>
      </w:r>
      <w:r>
        <w:rPr>
          <w:rFonts w:hint="eastAsia" w:ascii="宋体" w:hAnsi="宋体" w:eastAsia="宋体" w:cs="宋体"/>
          <w:kern w:val="0"/>
          <w:sz w:val="24"/>
          <w:szCs w:val="24"/>
          <w:highlight w:val="none"/>
          <w:u w:val="single"/>
        </w:rPr>
        <w:t>市地方法规。</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  适用标准、规范</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适用标准、规范的名称：</w:t>
      </w:r>
      <w:r>
        <w:rPr>
          <w:rFonts w:hint="eastAsia" w:ascii="宋体" w:hAnsi="宋体" w:eastAsia="宋体" w:cs="宋体"/>
          <w:kern w:val="0"/>
          <w:sz w:val="24"/>
          <w:szCs w:val="24"/>
          <w:highlight w:val="none"/>
          <w:u w:val="single"/>
        </w:rPr>
        <w:t>﹙1﹚国家现行和相关技术规程；﹙2﹚工程所在地建设主管部门的标准、规范；﹙3﹚工程所在地行业的标准、规范；﹙4﹚发包人施工图纸的具体要求。</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发包人提供标准、规范的时间：</w:t>
      </w:r>
      <w:r>
        <w:rPr>
          <w:rFonts w:hint="eastAsia" w:ascii="宋体" w:hAnsi="宋体" w:eastAsia="宋体" w:cs="宋体"/>
          <w:sz w:val="24"/>
          <w:szCs w:val="24"/>
          <w:highlight w:val="none"/>
          <w:u w:val="single"/>
        </w:rPr>
        <w:t xml:space="preserve">               /                    _</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国内没有相应标准、规范时的约定：</w:t>
      </w:r>
      <w:r>
        <w:rPr>
          <w:rFonts w:hint="eastAsia" w:ascii="宋体" w:hAnsi="宋体" w:eastAsia="宋体" w:cs="宋体"/>
          <w:kern w:val="0"/>
          <w:sz w:val="24"/>
          <w:szCs w:val="24"/>
          <w:highlight w:val="none"/>
          <w:u w:val="single"/>
        </w:rPr>
        <w:t>以发包人的要求为准。</w:t>
      </w:r>
    </w:p>
    <w:p>
      <w:pPr>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highlight w:val="none"/>
        </w:rPr>
        <w:t>图纸</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4.1发包人向承包人提供图纸日期和套数：</w:t>
      </w:r>
      <w:r>
        <w:rPr>
          <w:rFonts w:hint="eastAsia" w:ascii="宋体" w:hAnsi="宋体" w:eastAsia="宋体" w:cs="宋体"/>
          <w:kern w:val="0"/>
          <w:sz w:val="24"/>
          <w:szCs w:val="24"/>
          <w:highlight w:val="none"/>
          <w:u w:val="single"/>
        </w:rPr>
        <w:t>合同签订之日起七日内，发包人向承包人提供五套图纸，其中两套竣工图归档﹙工程完工时提供﹚。</w:t>
      </w:r>
    </w:p>
    <w:p>
      <w:pPr>
        <w:spacing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发包人对图纸的保密要求：</w:t>
      </w:r>
      <w:r>
        <w:rPr>
          <w:rFonts w:hint="eastAsia" w:ascii="宋体" w:hAnsi="宋体" w:eastAsia="宋体" w:cs="宋体"/>
          <w:kern w:val="0"/>
          <w:sz w:val="24"/>
          <w:szCs w:val="24"/>
          <w:highlight w:val="none"/>
          <w:u w:val="single"/>
        </w:rPr>
        <w:t>知识产权属发包人所有，承包人不得将此类图纸用于任何与本工程以外的项目。</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使用国外图纸的要求及费用承担：</w:t>
      </w:r>
      <w:r>
        <w:rPr>
          <w:rFonts w:hint="eastAsia" w:ascii="宋体" w:hAnsi="宋体" w:eastAsia="宋体" w:cs="宋体"/>
          <w:kern w:val="0"/>
          <w:sz w:val="24"/>
          <w:szCs w:val="24"/>
          <w:highlight w:val="none"/>
          <w:u w:val="single"/>
        </w:rPr>
        <w:t>无</w:t>
      </w:r>
    </w:p>
    <w:p>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二、双方一般权利和义务</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5、工程师</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5.2监理单位委派的工程师</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姓名：________/_______职务：_______/_______</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职权：________/____________________</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5.6不实行监理的，工程师的职权：</w:t>
      </w:r>
      <w:r>
        <w:rPr>
          <w:rFonts w:hint="eastAsia" w:ascii="宋体" w:hAnsi="宋体" w:eastAsia="宋体" w:cs="宋体"/>
          <w:sz w:val="24"/>
          <w:szCs w:val="24"/>
          <w:highlight w:val="none"/>
          <w:u w:val="single"/>
        </w:rPr>
        <w:t>工程师专指发包人派驻施工场地履行合同的代表。工程师应按合同约定，及时向承包人提供所需指令、批准并履行约定的其他义务。</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7、项目经理</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姓名：___________职务：___________________</w:t>
      </w:r>
    </w:p>
    <w:p>
      <w:pPr>
        <w:autoSpaceDE w:val="0"/>
        <w:autoSpaceDN w:val="0"/>
        <w:adjustRightInd w:val="0"/>
        <w:snapToGrid w:val="0"/>
        <w:spacing w:line="560" w:lineRule="exact"/>
        <w:ind w:firstLine="475"/>
        <w:jc w:val="left"/>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①本工程项目经理不准在其他工程任职，项目经理必须坚守工地，每周在工程现场工作时间不得少于5天，每天在工地时间不得小于8小时，否则按违约对待，每发现一次承包人支付违约金3000元（由采购人直接从其履约保证金中扣除）；项目经理外出必须征得业主同意，</w:t>
      </w:r>
      <w:r>
        <w:rPr>
          <w:rFonts w:hint="eastAsia" w:ascii="宋体" w:hAnsi="宋体" w:eastAsia="宋体" w:cs="宋体"/>
          <w:sz w:val="24"/>
          <w:szCs w:val="24"/>
          <w:highlight w:val="none"/>
          <w:u w:val="single"/>
        </w:rPr>
        <w:t>同时书面指定委托代理人行使项目经理的全部职责，若项目经理</w:t>
      </w:r>
      <w:r>
        <w:rPr>
          <w:rFonts w:hint="eastAsia" w:ascii="宋体" w:hAnsi="宋体" w:eastAsia="宋体" w:cs="宋体"/>
          <w:sz w:val="24"/>
          <w:szCs w:val="24"/>
          <w:highlight w:val="none"/>
          <w:u w:val="single"/>
          <w:lang w:val="zh-CN"/>
        </w:rPr>
        <w:t>不在施工现场或未经业主同意外出的，按违约对待，每出现一次承包人支付违约金3000元（由采购人直接从其履约保证金中扣除）；项目经理长期不在工地现场（30天以上）的发包人有权终止合同，由承包人支付违约金，违约金额为合同总价的5％，在工程结算时直接扣除，</w:t>
      </w:r>
      <w:r>
        <w:rPr>
          <w:rFonts w:hint="eastAsia" w:ascii="宋体" w:hAnsi="宋体" w:eastAsia="宋体" w:cs="宋体"/>
          <w:sz w:val="24"/>
          <w:szCs w:val="24"/>
          <w:highlight w:val="none"/>
          <w:u w:val="single"/>
        </w:rPr>
        <w:t>并报建设行政主管相关部门建议记入不良记录。</w:t>
      </w:r>
      <w:r>
        <w:rPr>
          <w:rFonts w:hint="eastAsia" w:ascii="宋体" w:hAnsi="宋体" w:eastAsia="宋体" w:cs="宋体"/>
          <w:sz w:val="24"/>
          <w:szCs w:val="24"/>
          <w:highlight w:val="none"/>
          <w:u w:val="single"/>
          <w:lang w:val="zh-CN"/>
        </w:rPr>
        <w:t>②承包人未征得发包人同意，不得擅自变更投标时确定的项目经理，否则将视为承包人违约，发包人有权解除合同，并追究由此给发包人带来的一切损失。承包人无论何种理由更换投标项目经理，承包人须承担合同金额</w:t>
      </w:r>
      <w:r>
        <w:rPr>
          <w:rFonts w:hint="eastAsia" w:ascii="宋体" w:hAnsi="宋体" w:eastAsia="宋体" w:cs="宋体"/>
          <w:sz w:val="24"/>
          <w:szCs w:val="24"/>
          <w:highlight w:val="none"/>
          <w:u w:val="single"/>
        </w:rPr>
        <w:t>10万元</w:t>
      </w:r>
      <w:r>
        <w:rPr>
          <w:rFonts w:hint="eastAsia" w:ascii="宋体" w:hAnsi="宋体" w:eastAsia="宋体" w:cs="宋体"/>
          <w:sz w:val="24"/>
          <w:szCs w:val="24"/>
          <w:highlight w:val="none"/>
          <w:u w:val="single"/>
          <w:lang w:val="zh-CN"/>
        </w:rPr>
        <w:t>的违约金，违约金由发包人直接从其履约保证金或工程款中扣除。③发包人认为该项目经理不称职有权要求更换，承包人应该在5日更换合格的项目经理，且其须具备招标要求相应的资质和能力。④项目经理在接受发包人派驻现场工程师书面通知所述事实后，应按书面通知的要求，采用对应措施并要求取得显著效果，如因项目经理不按要求执行或因工作失职造成损失，视为承包人违约，并承担</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u w:val="single"/>
          <w:lang w:val="zh-CN"/>
        </w:rPr>
        <w:t>万元/次违约金。</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8、发包人工作</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8.1发包人应按约定的时间和要求完成以下工作：</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（1）施工场地具备施工条件的要求及完成的时间：</w:t>
      </w:r>
      <w:r>
        <w:rPr>
          <w:rFonts w:hint="eastAsia" w:ascii="宋体" w:hAnsi="宋体" w:eastAsia="宋体" w:cs="宋体"/>
          <w:sz w:val="24"/>
          <w:szCs w:val="24"/>
          <w:highlight w:val="none"/>
          <w:u w:val="single"/>
        </w:rPr>
        <w:t>工程开工前五日内完成。</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（2）将施工所需的水、电、电讯线路接至施工场地的时间、地点和供应要求：</w:t>
      </w:r>
      <w:r>
        <w:rPr>
          <w:rFonts w:hint="eastAsia" w:ascii="宋体" w:hAnsi="宋体" w:eastAsia="宋体" w:cs="宋体"/>
          <w:sz w:val="24"/>
          <w:szCs w:val="24"/>
          <w:highlight w:val="none"/>
          <w:u w:val="single"/>
        </w:rPr>
        <w:t>开工前七日内将施工用水、用电接至现场并配备水电表，表外由承包人施工并承担费用。</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其计量和计价方法为：</w:t>
      </w:r>
      <w:r>
        <w:rPr>
          <w:rFonts w:hint="eastAsia" w:ascii="宋体" w:hAnsi="宋体" w:eastAsia="宋体" w:cs="宋体"/>
          <w:sz w:val="24"/>
          <w:szCs w:val="24"/>
          <w:highlight w:val="none"/>
          <w:u w:val="single"/>
        </w:rPr>
        <w:t>由承包人承担费用，按月以表摊量﹙加耗损分摊量﹚计量按</w:t>
      </w:r>
      <w:r>
        <w:rPr>
          <w:rFonts w:hint="eastAsia" w:ascii="宋体" w:hAnsi="宋体" w:eastAsia="宋体" w:cs="宋体"/>
          <w:sz w:val="24"/>
          <w:szCs w:val="24"/>
          <w:highlight w:val="none"/>
          <w:u w:val="single"/>
          <w:lang w:eastAsia="zh-CN"/>
        </w:rPr>
        <w:t>西安</w:t>
      </w:r>
      <w:r>
        <w:rPr>
          <w:rFonts w:hint="eastAsia" w:ascii="宋体" w:hAnsi="宋体" w:eastAsia="宋体" w:cs="宋体"/>
          <w:sz w:val="24"/>
          <w:szCs w:val="24"/>
          <w:highlight w:val="none"/>
          <w:u w:val="single"/>
        </w:rPr>
        <w:t>市建设用水，用电等费用标准计价，结算时不再调整。</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（3）施工场地与公共道路的通道开通时间和要求：</w:t>
      </w:r>
      <w:r>
        <w:rPr>
          <w:rFonts w:hint="eastAsia" w:ascii="宋体" w:hAnsi="宋体" w:eastAsia="宋体" w:cs="宋体"/>
          <w:sz w:val="24"/>
          <w:szCs w:val="24"/>
          <w:highlight w:val="none"/>
          <w:u w:val="single"/>
        </w:rPr>
        <w:t>已通。</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（4）工程地质和地下管线资料的提供时间：</w:t>
      </w:r>
      <w:r>
        <w:rPr>
          <w:rFonts w:hint="eastAsia" w:ascii="宋体" w:hAnsi="宋体" w:eastAsia="宋体" w:cs="宋体"/>
          <w:sz w:val="24"/>
          <w:szCs w:val="24"/>
          <w:highlight w:val="none"/>
          <w:u w:val="single"/>
        </w:rPr>
        <w:t>合同签订七日内提供发包人已知的情况，其它由承包人自行勘测和解决。</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（5）由发包人办理的施工所需证件、批件的名称和完成时间：</w:t>
      </w:r>
      <w:r>
        <w:rPr>
          <w:rFonts w:hint="eastAsia" w:ascii="宋体" w:hAnsi="宋体" w:eastAsia="宋体" w:cs="宋体"/>
          <w:sz w:val="24"/>
          <w:szCs w:val="24"/>
          <w:highlight w:val="none"/>
          <w:u w:val="single"/>
        </w:rPr>
        <w:t>合同签订后发包人积极办理，需要承包人配合的承包人必须积极配合在开工前完成</w:t>
      </w:r>
      <w:r>
        <w:rPr>
          <w:rFonts w:hint="eastAsia" w:ascii="宋体" w:hAnsi="宋体" w:eastAsia="宋体" w:cs="宋体"/>
          <w:sz w:val="24"/>
          <w:szCs w:val="24"/>
          <w:highlight w:val="none"/>
        </w:rPr>
        <w:t>。</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（6）水准点与座标控制点交验要求：</w:t>
      </w:r>
      <w:r>
        <w:rPr>
          <w:rFonts w:hint="eastAsia" w:ascii="宋体" w:hAnsi="宋体" w:eastAsia="宋体" w:cs="宋体"/>
          <w:sz w:val="24"/>
          <w:szCs w:val="24"/>
          <w:highlight w:val="none"/>
          <w:u w:val="single"/>
        </w:rPr>
        <w:t>进场后七日内。</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（7）图纸会审和设计交底时间：</w:t>
      </w:r>
      <w:r>
        <w:rPr>
          <w:rFonts w:hint="eastAsia" w:ascii="宋体" w:hAnsi="宋体" w:eastAsia="宋体" w:cs="宋体"/>
          <w:sz w:val="24"/>
          <w:szCs w:val="24"/>
          <w:highlight w:val="none"/>
          <w:u w:val="single"/>
        </w:rPr>
        <w:t>开工前十日内完成。</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（8）协调处理施工场地周围地下管线和邻近建筑物、构筑物（含文物保护建筑）、古树名木的保护工作：</w:t>
      </w:r>
      <w:r>
        <w:rPr>
          <w:rFonts w:hint="eastAsia" w:ascii="宋体" w:hAnsi="宋体" w:eastAsia="宋体" w:cs="宋体"/>
          <w:sz w:val="24"/>
          <w:szCs w:val="24"/>
          <w:highlight w:val="none"/>
          <w:u w:val="single"/>
        </w:rPr>
        <w:t>由发包人和承包人负责协商确定。</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（9）双方约定发包人应做的其他工作：</w:t>
      </w:r>
      <w:r>
        <w:rPr>
          <w:rFonts w:hint="eastAsia" w:ascii="宋体" w:hAnsi="宋体" w:eastAsia="宋体" w:cs="宋体"/>
          <w:sz w:val="24"/>
          <w:szCs w:val="24"/>
          <w:highlight w:val="none"/>
          <w:u w:val="single"/>
        </w:rPr>
        <w:t>施工中的协调配合工作。</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8.2发包人委托承包人办理的工作：</w:t>
      </w:r>
      <w:r>
        <w:rPr>
          <w:rFonts w:hint="eastAsia" w:ascii="宋体" w:hAnsi="宋体" w:eastAsia="宋体" w:cs="宋体"/>
          <w:sz w:val="24"/>
          <w:szCs w:val="24"/>
          <w:highlight w:val="none"/>
          <w:u w:val="single"/>
        </w:rPr>
        <w:t>配合发包人办理施工许可证、质量监督备案手续。</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9、承包人工作</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9.1承包人应按约定时间和要求，完成以下工作：</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（1）需由设计资质等级和业务范围允许的承包人完成的设计文件提交时间：</w:t>
      </w:r>
      <w:r>
        <w:rPr>
          <w:rFonts w:hint="eastAsia" w:ascii="宋体" w:hAnsi="宋体" w:eastAsia="宋体" w:cs="宋体"/>
          <w:sz w:val="24"/>
          <w:szCs w:val="24"/>
          <w:highlight w:val="none"/>
          <w:u w:val="single"/>
        </w:rPr>
        <w:t>按发包人的要求提供。</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（2）应提供计划、报表的名称及完成时间：</w:t>
      </w:r>
      <w:r>
        <w:rPr>
          <w:rFonts w:hint="eastAsia" w:ascii="宋体" w:hAnsi="宋体" w:eastAsia="宋体" w:cs="宋体"/>
          <w:sz w:val="24"/>
          <w:szCs w:val="24"/>
          <w:highlight w:val="none"/>
          <w:u w:val="single"/>
        </w:rPr>
        <w:t>a、合同签订后15日内向发包人提供切实可行的施工方案，项目部组成人员名单（须与投标文件一致，否则视为违约，承包人须要承担违约金，更换项目经理承担10万元</w:t>
      </w:r>
      <w:bookmarkStart w:id="253" w:name="OLE_LINK56"/>
      <w:r>
        <w:rPr>
          <w:rFonts w:hint="eastAsia" w:ascii="宋体" w:hAnsi="宋体" w:eastAsia="宋体" w:cs="宋体"/>
          <w:sz w:val="24"/>
          <w:szCs w:val="24"/>
          <w:highlight w:val="none"/>
          <w:u w:val="single"/>
        </w:rPr>
        <w:t>违约金</w:t>
      </w:r>
      <w:bookmarkEnd w:id="253"/>
      <w:r>
        <w:rPr>
          <w:rFonts w:hint="eastAsia" w:ascii="宋体" w:hAnsi="宋体" w:eastAsia="宋体" w:cs="宋体"/>
          <w:sz w:val="24"/>
          <w:szCs w:val="24"/>
          <w:highlight w:val="none"/>
          <w:u w:val="single"/>
        </w:rPr>
        <w:t>，更换技术负责人承担5万元违约金，更换其他人员承担2万元/人违约金）；b、每月26日向发包人提供当月25日以前完成的工程量报表。</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（3）承担施工安全保卫工作及非夜间施工照明的责任和要求：</w:t>
      </w:r>
      <w:r>
        <w:rPr>
          <w:rFonts w:hint="eastAsia" w:ascii="宋体" w:hAnsi="宋体" w:eastAsia="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（4）向发包人提供的办公和生活房屋及设施的要求：</w:t>
      </w:r>
      <w:r>
        <w:rPr>
          <w:rFonts w:hint="eastAsia" w:ascii="宋体" w:hAnsi="宋体" w:eastAsia="宋体" w:cs="宋体"/>
          <w:sz w:val="24"/>
          <w:szCs w:val="24"/>
          <w:highlight w:val="none"/>
          <w:u w:val="single"/>
        </w:rPr>
        <w:t>免费为发包人提供办公和生活用房，以及必要的办公桌椅和设备。</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（5）需承包人办理的有关施工场地交通、环卫和施工噪音管理等手续：</w:t>
      </w:r>
      <w:r>
        <w:rPr>
          <w:rFonts w:hint="eastAsia" w:ascii="宋体" w:hAnsi="宋体" w:eastAsia="宋体" w:cs="宋体"/>
          <w:sz w:val="24"/>
          <w:szCs w:val="24"/>
          <w:highlight w:val="none"/>
          <w:u w:val="single"/>
        </w:rPr>
        <w:t>由承包人负责各项手续的办理并承担费用。</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（6）已完工程成品保护的特殊要求及费用承担：</w:t>
      </w:r>
      <w:r>
        <w:rPr>
          <w:rFonts w:hint="eastAsia" w:ascii="宋体" w:hAnsi="宋体" w:eastAsia="宋体" w:cs="宋体"/>
          <w:sz w:val="24"/>
          <w:szCs w:val="24"/>
          <w:highlight w:val="none"/>
          <w:u w:val="single"/>
        </w:rPr>
        <w:t>承包人负责，费用由承包人承担。</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（7）施工场地周围地下管线和邻近建筑物、构筑物（含文物保护建筑）、古树名木的保护要求及费用承担：</w:t>
      </w:r>
      <w:r>
        <w:rPr>
          <w:rFonts w:hint="eastAsia" w:ascii="宋体" w:hAnsi="宋体" w:eastAsia="宋体" w:cs="宋体"/>
          <w:sz w:val="24"/>
          <w:szCs w:val="24"/>
          <w:highlight w:val="none"/>
          <w:u w:val="single"/>
        </w:rPr>
        <w:t>由发包人和承包人负责协商确定。</w:t>
      </w:r>
    </w:p>
    <w:p>
      <w:pPr>
        <w:spacing w:line="360" w:lineRule="auto"/>
        <w:ind w:firstLine="480" w:firstLineChars="200"/>
        <w:jc w:val="left"/>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（8）施工场地清洁卫生的要求：</w:t>
      </w:r>
      <w:r>
        <w:rPr>
          <w:rFonts w:hint="eastAsia" w:ascii="宋体" w:hAnsi="宋体" w:eastAsia="宋体" w:cs="宋体"/>
          <w:sz w:val="24"/>
          <w:szCs w:val="24"/>
          <w:highlight w:val="none"/>
          <w:u w:val="single"/>
        </w:rPr>
        <w:t>由承包人负责。</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（9）双方约定承包人应做的其他工作：</w:t>
      </w:r>
      <w:r>
        <w:rPr>
          <w:rFonts w:hint="eastAsia" w:ascii="宋体" w:hAnsi="宋体" w:eastAsia="宋体" w:cs="宋体"/>
          <w:sz w:val="24"/>
          <w:szCs w:val="24"/>
          <w:highlight w:val="none"/>
          <w:u w:val="single"/>
        </w:rPr>
        <w:t>相关的对外协调工作。</w:t>
      </w:r>
    </w:p>
    <w:p>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三、施工组织设计和工期</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10、进度计划</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10.1承包人提供施工组织设计（施工方案）和进度计划的时间：</w:t>
      </w:r>
      <w:r>
        <w:rPr>
          <w:rFonts w:hint="eastAsia" w:ascii="宋体" w:hAnsi="宋体" w:eastAsia="宋体" w:cs="宋体"/>
          <w:kern w:val="0"/>
          <w:sz w:val="24"/>
          <w:szCs w:val="24"/>
          <w:highlight w:val="none"/>
          <w:u w:val="single"/>
        </w:rPr>
        <w:t>合同签订后15日内。</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工程师确认的时间：</w:t>
      </w:r>
      <w:r>
        <w:rPr>
          <w:rFonts w:hint="eastAsia" w:ascii="宋体" w:hAnsi="宋体" w:eastAsia="宋体" w:cs="宋体"/>
          <w:kern w:val="0"/>
          <w:sz w:val="24"/>
          <w:szCs w:val="24"/>
          <w:highlight w:val="none"/>
          <w:u w:val="single"/>
        </w:rPr>
        <w:t>承包人接交之日起七日内。</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10.2群体工程中有关进度计划的要求：</w:t>
      </w:r>
      <w:r>
        <w:rPr>
          <w:rFonts w:hint="eastAsia" w:ascii="宋体" w:hAnsi="宋体" w:eastAsia="宋体" w:cs="宋体"/>
          <w:kern w:val="0"/>
          <w:sz w:val="24"/>
          <w:szCs w:val="24"/>
          <w:highlight w:val="none"/>
          <w:u w:val="single"/>
        </w:rPr>
        <w:t>以发包人的要求为准。</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13、工期延误</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13.1双方约定工期顺延的其他情况：</w:t>
      </w:r>
      <w:r>
        <w:rPr>
          <w:rFonts w:hint="eastAsia" w:ascii="宋体" w:hAnsi="宋体" w:eastAsia="宋体" w:cs="宋体"/>
          <w:kern w:val="0"/>
          <w:sz w:val="24"/>
          <w:szCs w:val="24"/>
          <w:highlight w:val="none"/>
          <w:u w:val="single"/>
        </w:rPr>
        <w:t>执行《通用条款》13条。</w:t>
      </w:r>
    </w:p>
    <w:p>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四、质量与检验</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17、隐蔽工程和中间验收</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17.1双方约定中间验收部位：</w:t>
      </w:r>
      <w:r>
        <w:rPr>
          <w:rFonts w:hint="eastAsia" w:ascii="宋体" w:hAnsi="宋体" w:eastAsia="宋体" w:cs="宋体"/>
          <w:kern w:val="0"/>
          <w:sz w:val="24"/>
          <w:szCs w:val="24"/>
          <w:highlight w:val="none"/>
          <w:u w:val="single"/>
        </w:rPr>
        <w:t>执行《通用条款》17条，除按规定进行正常隐蔽工程验收外，中间验收部位：基础验收及竣工验收。</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19、工程试车</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19.5试车费用的承担：</w:t>
      </w:r>
      <w:r>
        <w:rPr>
          <w:rFonts w:hint="eastAsia" w:ascii="宋体" w:hAnsi="宋体" w:eastAsia="宋体" w:cs="宋体"/>
          <w:kern w:val="0"/>
          <w:sz w:val="24"/>
          <w:szCs w:val="24"/>
          <w:highlight w:val="none"/>
          <w:u w:val="single"/>
        </w:rPr>
        <w:t>由承包人承担。</w:t>
      </w:r>
    </w:p>
    <w:p>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五、安全防护文明施工</w:t>
      </w:r>
    </w:p>
    <w:p>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六、合同价款</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26、合同价款约定</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26.2本合同价款采用</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方式确定。</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（1）采用固定总价合同：</w:t>
      </w:r>
    </w:p>
    <w:p>
      <w:pPr>
        <w:autoSpaceDE w:val="0"/>
        <w:autoSpaceDN w:val="0"/>
        <w:adjustRightInd w:val="0"/>
        <w:spacing w:line="360" w:lineRule="auto"/>
        <w:ind w:firstLine="475"/>
        <w:rPr>
          <w:rFonts w:hint="eastAsia" w:ascii="宋体" w:hAnsi="宋体" w:eastAsia="宋体" w:cs="宋体"/>
          <w:sz w:val="24"/>
          <w:szCs w:val="24"/>
          <w:highlight w:val="none"/>
        </w:rPr>
      </w:pPr>
      <w:r>
        <w:rPr>
          <w:rFonts w:hint="eastAsia" w:ascii="宋体" w:hAnsi="宋体" w:eastAsia="宋体" w:cs="宋体"/>
          <w:sz w:val="24"/>
          <w:szCs w:val="24"/>
          <w:highlight w:val="none"/>
        </w:rPr>
        <w:t>（2）采用固定综合单价合同，综合单价中包括的风险范围：</w:t>
      </w:r>
      <w:r>
        <w:rPr>
          <w:rFonts w:hint="eastAsia" w:ascii="宋体" w:hAnsi="宋体" w:eastAsia="宋体" w:cs="宋体"/>
          <w:sz w:val="24"/>
          <w:szCs w:val="24"/>
          <w:highlight w:val="none"/>
          <w:u w:val="single"/>
        </w:rPr>
        <w:t>本合同中确定的各项综合单价均包括承包人投标报价中应考虑的施工期间如下风险内容、幅度内自主报价的风险，具体指：</w:t>
      </w:r>
    </w:p>
    <w:p>
      <w:pPr>
        <w:autoSpaceDE w:val="0"/>
        <w:autoSpaceDN w:val="0"/>
        <w:adjustRightInd w:val="0"/>
        <w:spacing w:line="360" w:lineRule="auto"/>
        <w:ind w:firstLine="475"/>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①主要建筑材料、设备市场价格波动的风险。</w:t>
      </w:r>
    </w:p>
    <w:p>
      <w:pPr>
        <w:autoSpaceDE w:val="0"/>
        <w:autoSpaceDN w:val="0"/>
        <w:adjustRightInd w:val="0"/>
        <w:spacing w:line="360" w:lineRule="auto"/>
        <w:ind w:firstLine="475"/>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②施工项目所耗用的人工、机械的价格，当在基准日后有法律、法规与规章并通过授权的工程造价管理机构发布的政策强制性价格调整时市场价格波动的风险。</w:t>
      </w:r>
    </w:p>
    <w:p>
      <w:pPr>
        <w:spacing w:line="360" w:lineRule="auto"/>
        <w:ind w:firstLine="540" w:firstLineChars="225"/>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③施工难易程度、气候条件、地质地基条件的变化以及本合同第43条、第27.1条规定之外发生的其他意外困难事件引起的技术风险和管理风险，即承包人完全能够自我控制的管理费用支出、利润水平高低等的风险。</w:t>
      </w:r>
    </w:p>
    <w:p>
      <w:pPr>
        <w:autoSpaceDE w:val="0"/>
        <w:autoSpaceDN w:val="0"/>
        <w:adjustRightInd w:val="0"/>
        <w:spacing w:line="360" w:lineRule="auto"/>
        <w:ind w:firstLine="475"/>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④施工期间</w:t>
      </w:r>
      <w:r>
        <w:rPr>
          <w:rFonts w:hint="eastAsia" w:ascii="宋体" w:hAnsi="宋体" w:eastAsia="宋体" w:cs="宋体"/>
          <w:sz w:val="24"/>
          <w:szCs w:val="24"/>
          <w:highlight w:val="none"/>
          <w:u w:val="single"/>
          <w:lang w:val="zh-CN"/>
        </w:rPr>
        <w:t>国家法律、法规、规章和政策变化影响工程造价的。</w:t>
      </w:r>
    </w:p>
    <w:p>
      <w:pPr>
        <w:autoSpaceDE w:val="0"/>
        <w:autoSpaceDN w:val="0"/>
        <w:adjustRightInd w:val="0"/>
        <w:spacing w:line="360" w:lineRule="auto"/>
        <w:ind w:firstLine="475"/>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⑤投标人在招标文件规定的答疑澄清时间内所确定的工程量的变化。</w:t>
      </w:r>
    </w:p>
    <w:p>
      <w:pPr>
        <w:autoSpaceDE w:val="0"/>
        <w:autoSpaceDN w:val="0"/>
        <w:adjustRightInd w:val="0"/>
        <w:spacing w:line="420" w:lineRule="exact"/>
        <w:ind w:firstLine="47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风险范围以外综合单价调整方法：</w:t>
      </w:r>
      <w:r>
        <w:rPr>
          <w:rFonts w:hint="eastAsia" w:ascii="宋体" w:hAnsi="宋体" w:eastAsia="宋体" w:cs="宋体"/>
          <w:sz w:val="24"/>
          <w:szCs w:val="24"/>
          <w:highlight w:val="none"/>
          <w:u w:val="single"/>
        </w:rPr>
        <w:t>当前款约定风险内容、幅度以外的风险因素出现时，调整合同价款，但不进入综合单价，即按“差价”方式处理。具体调整合同价款办法按本合同第27条执行。</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（3）采用可调价格合同，合同价款调整方法：</w:t>
      </w:r>
      <w:r>
        <w:rPr>
          <w:rFonts w:hint="eastAsia" w:ascii="宋体" w:hAnsi="宋体" w:eastAsia="宋体" w:cs="宋体"/>
          <w:kern w:val="0"/>
          <w:sz w:val="24"/>
          <w:szCs w:val="24"/>
          <w:highlight w:val="none"/>
          <w:u w:val="single"/>
        </w:rPr>
        <w:t xml:space="preserve">  /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27、合同价款调整</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27.1双方约定合同价款的其他调整因素：</w:t>
      </w:r>
    </w:p>
    <w:p>
      <w:pPr>
        <w:autoSpaceDE w:val="0"/>
        <w:autoSpaceDN w:val="0"/>
        <w:adjustRightInd w:val="0"/>
        <w:spacing w:line="360" w:lineRule="auto"/>
        <w:ind w:firstLine="54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（1）施工中出现施工图纸与工程量清单项目特征描述不符的，由承包人按实际施工的项目特征提出新的综合单价[具体方法参照本条款第（3）目]，发包人确认。</w:t>
      </w:r>
    </w:p>
    <w:p>
      <w:pPr>
        <w:autoSpaceDE w:val="0"/>
        <w:autoSpaceDN w:val="0"/>
        <w:adjustRightInd w:val="0"/>
        <w:spacing w:line="360" w:lineRule="auto"/>
        <w:ind w:firstLine="54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（2）因分部分项工程量清单漏项或非承包人原因的设计变更及现场签证造成增加新的工程量清单项目，其对应的综合单价按下列方法确定：</w:t>
      </w:r>
    </w:p>
    <w:p>
      <w:pPr>
        <w:autoSpaceDE w:val="0"/>
        <w:autoSpaceDN w:val="0"/>
        <w:adjustRightInd w:val="0"/>
        <w:spacing w:line="360" w:lineRule="auto"/>
        <w:ind w:firstLine="54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rPr>
        <w:t>①</w:t>
      </w:r>
      <w:r>
        <w:rPr>
          <w:rFonts w:hint="eastAsia" w:ascii="宋体" w:hAnsi="宋体" w:eastAsia="宋体" w:cs="宋体"/>
          <w:sz w:val="24"/>
          <w:szCs w:val="24"/>
          <w:highlight w:val="none"/>
          <w:u w:val="single"/>
          <w:lang w:val="zh-CN"/>
        </w:rPr>
        <w:t>合同中已有适用的综合单价，按合同中已有适用的综合单价确定；</w:t>
      </w:r>
    </w:p>
    <w:p>
      <w:pPr>
        <w:autoSpaceDE w:val="0"/>
        <w:autoSpaceDN w:val="0"/>
        <w:adjustRightInd w:val="0"/>
        <w:spacing w:line="360" w:lineRule="auto"/>
        <w:ind w:firstLine="54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rPr>
        <w:t>②</w:t>
      </w:r>
      <w:r>
        <w:rPr>
          <w:rFonts w:hint="eastAsia" w:ascii="宋体" w:hAnsi="宋体" w:eastAsia="宋体" w:cs="宋体"/>
          <w:sz w:val="24"/>
          <w:szCs w:val="24"/>
          <w:highlight w:val="none"/>
          <w:u w:val="single"/>
          <w:lang w:val="zh-CN"/>
        </w:rPr>
        <w:t>合同中有类似的综合单价，参照类似的综合单价确定（所谓参照即换算执行）；</w:t>
      </w:r>
    </w:p>
    <w:p>
      <w:pPr>
        <w:autoSpaceDE w:val="0"/>
        <w:autoSpaceDN w:val="0"/>
        <w:adjustRightInd w:val="0"/>
        <w:spacing w:line="360" w:lineRule="auto"/>
        <w:ind w:firstLine="54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rPr>
        <w:t>③</w:t>
      </w:r>
      <w:r>
        <w:rPr>
          <w:rFonts w:hint="eastAsia" w:ascii="宋体" w:hAnsi="宋体" w:eastAsia="宋体" w:cs="宋体"/>
          <w:sz w:val="24"/>
          <w:szCs w:val="24"/>
          <w:highlight w:val="none"/>
          <w:u w:val="single"/>
          <w:lang w:val="zh-CN"/>
        </w:rPr>
        <w:t>合同中没有适用或类似的综合单价，由承包人提出，</w:t>
      </w:r>
      <w:r>
        <w:rPr>
          <w:rFonts w:hint="eastAsia" w:ascii="宋体" w:hAnsi="宋体" w:eastAsia="宋体" w:cs="宋体"/>
          <w:sz w:val="24"/>
          <w:szCs w:val="24"/>
          <w:highlight w:val="none"/>
          <w:u w:val="single"/>
        </w:rPr>
        <w:t>按招标最高限价的编制原则先确定一个综合单价，然后再乘以中标总价与招标最高限价的比率作为结算时的综合单价，经发包人确认后执行。</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（3）承包人中标的措施项目为合同价款的组成部分，一般不作调整，当出现下列情况时可做调整：</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①发包人更改已审定的施工方案（修正错误除外），引起措施项目费用增加时予以增加、减少时不予减少。</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②由于工程量变化引起的措施项目费用增加时予以增加，减少时予以减少。</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上述两类情况发生时，承包人原中标价以综合单价计算的措施项目费按本条款第（3）目规定调整其综合单价后再计算措施项目费，原中标价以系数计算的仍按原中标系数标准执行，按新变化的基数计算、调整相应的措施项目费。</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zh-CN"/>
        </w:rPr>
        <w:t>（4）因非承包人原因引起的工程量增减，当增减幅度在本合同第26.2.(2).④目约定范围以内的，工程量按实计量。</w:t>
      </w:r>
    </w:p>
    <w:p>
      <w:pPr>
        <w:spacing w:line="360" w:lineRule="auto"/>
        <w:ind w:firstLine="480" w:firstLineChars="200"/>
        <w:rPr>
          <w:rFonts w:hint="eastAsia" w:ascii="宋体" w:hAnsi="宋体" w:eastAsia="宋体" w:cs="宋体"/>
          <w:sz w:val="24"/>
          <w:szCs w:val="24"/>
          <w:highlight w:val="none"/>
          <w:u w:val="single"/>
          <w:shd w:val="pct10" w:color="auto" w:fill="FFFFFF"/>
          <w:lang w:val="zh-CN"/>
        </w:rPr>
      </w:pP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u w:val="single"/>
          <w:lang w:val="zh-CN"/>
        </w:rPr>
        <w:t>）因不可抗力事件导致的费用及延误的工期由双方按本合同通用条款第43.3条款办理。</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rPr>
        <w:t>6</w:t>
      </w:r>
      <w:r>
        <w:rPr>
          <w:rFonts w:hint="eastAsia" w:ascii="宋体" w:hAnsi="宋体" w:eastAsia="宋体" w:cs="宋体"/>
          <w:sz w:val="24"/>
          <w:szCs w:val="24"/>
          <w:highlight w:val="none"/>
          <w:u w:val="single"/>
          <w:lang w:val="zh-CN"/>
        </w:rPr>
        <w:t>）合同价款调整报告应由受益方在调整因素确定后14天内向合同另一方提出，经对方确认后调整合同价款。受益方未在合同约定时间内提出工程价款调整报告的，视为不涉及合同价款的调整。收到工程价款调整报告的一方，应在收到调整报告起之日起14天内确认或提出协商意见，否则，视为调整报告已经确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rPr>
        <w:t>7</w:t>
      </w:r>
      <w:r>
        <w:rPr>
          <w:rFonts w:hint="eastAsia" w:ascii="宋体" w:hAnsi="宋体" w:eastAsia="宋体" w:cs="宋体"/>
          <w:sz w:val="24"/>
          <w:szCs w:val="24"/>
          <w:highlight w:val="none"/>
          <w:u w:val="single"/>
          <w:lang w:val="zh-CN"/>
        </w:rPr>
        <w:t>）经发、承包双方确定调整的工程价款，作为追加（减）合同价款与工程进度款同期支付。</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28、工程预付款</w:t>
      </w:r>
    </w:p>
    <w:p>
      <w:pPr>
        <w:spacing w:line="360" w:lineRule="auto"/>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发包人向承包人预付工程款的时间和金额或占合同价款总额的比例：</w:t>
      </w:r>
      <w:r>
        <w:rPr>
          <w:rFonts w:hint="eastAsia" w:ascii="宋体" w:hAnsi="宋体" w:eastAsia="宋体" w:cs="宋体"/>
          <w:kern w:val="0"/>
          <w:sz w:val="24"/>
          <w:szCs w:val="24"/>
          <w:highlight w:val="none"/>
          <w:u w:val="single"/>
        </w:rPr>
        <w:t xml:space="preserve">/  </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扣回工程款的时间、比例：</w:t>
      </w:r>
      <w:r>
        <w:rPr>
          <w:rFonts w:hint="eastAsia" w:ascii="宋体" w:hAnsi="宋体" w:eastAsia="宋体" w:cs="宋体"/>
          <w:kern w:val="0"/>
          <w:sz w:val="24"/>
          <w:szCs w:val="24"/>
          <w:highlight w:val="none"/>
          <w:u w:val="single"/>
        </w:rPr>
        <w:t xml:space="preserve">/   </w:t>
      </w:r>
    </w:p>
    <w:p>
      <w:pPr>
        <w:widowControl/>
        <w:spacing w:line="360" w:lineRule="auto"/>
        <w:ind w:firstLine="480" w:firstLineChars="200"/>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预付安全防护、文明施工措施费用的比例和时间：</w:t>
      </w:r>
      <w:r>
        <w:rPr>
          <w:rFonts w:hint="eastAsia" w:ascii="宋体" w:hAnsi="宋体" w:eastAsia="宋体" w:cs="宋体"/>
          <w:kern w:val="0"/>
          <w:sz w:val="24"/>
          <w:szCs w:val="24"/>
          <w:highlight w:val="none"/>
          <w:u w:val="single"/>
        </w:rPr>
        <w:t xml:space="preserve">/  </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29、工程量确认</w:t>
      </w:r>
    </w:p>
    <w:p>
      <w:pPr>
        <w:spacing w:line="360" w:lineRule="auto"/>
        <w:ind w:firstLine="480" w:firstLineChars="200"/>
        <w:jc w:val="left"/>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29.1承包人向工程师提交已完工程量报告的时间：</w:t>
      </w:r>
      <w:r>
        <w:rPr>
          <w:rFonts w:hint="eastAsia" w:ascii="宋体" w:hAnsi="宋体" w:eastAsia="宋体" w:cs="宋体"/>
          <w:kern w:val="0"/>
          <w:sz w:val="24"/>
          <w:szCs w:val="24"/>
          <w:highlight w:val="none"/>
          <w:u w:val="single"/>
        </w:rPr>
        <w:t>每月的26日承包人向发包人提交25日以前已完工程量报告。</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30、工程进度款结算与支付</w:t>
      </w:r>
    </w:p>
    <w:p>
      <w:pPr>
        <w:widowControl/>
        <w:spacing w:line="360" w:lineRule="auto"/>
        <w:ind w:firstLine="480" w:firstLineChars="200"/>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30.1签订合同后预付合同金额的30%即人民币      （￥      元），项目竣工验收后，支付到合同金额的</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0%即人民币         （￥      元）。经项目实施单位向财政部门报送项目决算资料进行决算投资评审，评审后支付到合同金额的97%即人民币      （￥      元）。剩余合同金额的3%即人民币        （￥      元）作为质保金，</w:t>
      </w:r>
      <w:r>
        <w:rPr>
          <w:rFonts w:hint="eastAsia" w:ascii="宋体" w:hAnsi="宋体" w:eastAsia="宋体" w:cs="宋体"/>
          <w:color w:val="auto"/>
          <w:sz w:val="24"/>
          <w:szCs w:val="24"/>
          <w:highlight w:val="none"/>
          <w:u w:val="none"/>
          <w:lang w:val="en-US" w:eastAsia="zh-CN"/>
        </w:rPr>
        <w:t>质保期结束后</w:t>
      </w:r>
      <w:r>
        <w:rPr>
          <w:rFonts w:hint="eastAsia" w:ascii="宋体" w:hAnsi="宋体" w:cs="宋体"/>
          <w:color w:val="auto"/>
          <w:sz w:val="24"/>
          <w:szCs w:val="24"/>
          <w:highlight w:val="none"/>
          <w:u w:val="none"/>
          <w:lang w:val="en-US" w:eastAsia="zh-CN"/>
        </w:rPr>
        <w:t>无息</w:t>
      </w:r>
      <w:r>
        <w:rPr>
          <w:rFonts w:hint="eastAsia" w:ascii="宋体" w:hAnsi="宋体" w:eastAsia="宋体" w:cs="宋体"/>
          <w:color w:val="auto"/>
          <w:sz w:val="24"/>
          <w:szCs w:val="24"/>
          <w:highlight w:val="none"/>
          <w:u w:val="none"/>
          <w:lang w:val="en-US" w:eastAsia="zh-CN"/>
        </w:rPr>
        <w:t>退还</w:t>
      </w:r>
      <w:r>
        <w:rPr>
          <w:rFonts w:hint="eastAsia" w:ascii="宋体" w:hAnsi="宋体" w:eastAsia="宋体" w:cs="宋体"/>
          <w:kern w:val="0"/>
          <w:sz w:val="24"/>
          <w:szCs w:val="24"/>
          <w:highlight w:val="none"/>
        </w:rPr>
        <w:t>。</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工程结算交由发包人或发包人委托的审计单位审计，最终结算以发包人或发包人委托的审计单位出具的审计报告为结算依据。</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审计费用：本工程决算审计工作采用在乙方决算书的基础上，甲方由审计部门委托上级主管部门采用以审代决的办法进行审计。根据审计协议双方承担相应的审计费用。</w:t>
      </w:r>
    </w:p>
    <w:p>
      <w:pPr>
        <w:widowControl/>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七、材料设备供应</w:t>
      </w:r>
    </w:p>
    <w:p>
      <w:pPr>
        <w:widowControl/>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31、发包人供应材料设备（无）</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31.4发包人供应的材料设备与一览表不符时，双方约定发包人承担责任如下：</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（1）材料设备单价与一览表不符：</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执行《通用条款》31.4.（1）款</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（2）材料设备的品种、规格、型号、质量等级与一览表不符：</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_执行《通用条款》31.4(2)款</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（3）承包人可代为调剂串换的材料：</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执行《通用条款》31.4.（3）款_</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（4）到货地点与一览表不符：</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执行《通用条款》31.4.（4）款</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（5）供应数量与一览表不符：</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执行《通用条款》31.4.（5）款</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（6）到货时间与一览表不符：</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执行《通用条款》31.4.（6）款</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31.6发包人供应材料设备的结算方法：</w:t>
      </w:r>
      <w:r>
        <w:rPr>
          <w:rFonts w:hint="eastAsia" w:ascii="宋体" w:hAnsi="宋体" w:eastAsia="宋体" w:cs="宋体"/>
          <w:kern w:val="0"/>
          <w:sz w:val="24"/>
          <w:szCs w:val="24"/>
          <w:highlight w:val="none"/>
          <w:u w:val="single"/>
        </w:rPr>
        <w:t xml:space="preserve">   /  </w:t>
      </w:r>
    </w:p>
    <w:p>
      <w:pPr>
        <w:widowControl/>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32、承包人采购材料设备</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32.1承包人采购材料设备的约定：</w:t>
      </w:r>
      <w:r>
        <w:rPr>
          <w:rFonts w:hint="eastAsia" w:ascii="宋体" w:hAnsi="宋体" w:eastAsia="宋体" w:cs="宋体"/>
          <w:sz w:val="24"/>
          <w:szCs w:val="24"/>
          <w:highlight w:val="none"/>
          <w:u w:val="single"/>
        </w:rPr>
        <w:t>中</w:t>
      </w:r>
      <w:bookmarkStart w:id="254" w:name="OLE_LINK66"/>
      <w:r>
        <w:rPr>
          <w:rFonts w:hint="eastAsia" w:ascii="宋体" w:hAnsi="宋体" w:eastAsia="宋体" w:cs="宋体"/>
          <w:sz w:val="24"/>
          <w:szCs w:val="24"/>
          <w:highlight w:val="none"/>
          <w:u w:val="single"/>
        </w:rPr>
        <w:t>标人报价时所选用的材料必须是符合图纸要求并且达到国家和行业要求的合格产品。</w:t>
      </w:r>
    </w:p>
    <w:bookmarkEnd w:id="254"/>
    <w:p>
      <w:pPr>
        <w:spacing w:line="360" w:lineRule="auto"/>
        <w:ind w:firstLine="516" w:firstLineChars="21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32.2</w:t>
      </w:r>
      <w:r>
        <w:rPr>
          <w:rFonts w:hint="eastAsia" w:ascii="宋体" w:hAnsi="宋体" w:eastAsia="宋体" w:cs="宋体"/>
          <w:sz w:val="24"/>
          <w:szCs w:val="24"/>
          <w:highlight w:val="none"/>
          <w:u w:val="single"/>
        </w:rPr>
        <w:t>由承包人采购供应的材料与设备区别下列几种不同情况，分别计价。</w:t>
      </w:r>
    </w:p>
    <w:p>
      <w:pPr>
        <w:spacing w:line="360" w:lineRule="auto"/>
        <w:ind w:firstLine="516" w:firstLineChars="215"/>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当发包人在风险控制投标单位自主报价材料、设备表即中给出材料、设备的指定品牌与档次时，投标人在保证指定品牌与档次的情况下对其材料、设备单价自主进行报价，且应承担施工期间市场价格波动风险，并据此单价进入对应的工程量清单项目的综合单价内。在施工期间，若发包人没有改变品牌，且市场价格波动未超出上述幅度范围时，任何情况的发生都不得成为其调整此种自主报价材料与设备价格的依据，此种情况对应的工程量清单项目的综合单价亦不做调整。在施工期间，若材料、设备价格市场波动幅度超出上述约定幅度时，超出幅度的部分按本合同专用条款第</w:t>
      </w:r>
      <w:r>
        <w:rPr>
          <w:rFonts w:hint="eastAsia" w:ascii="宋体" w:hAnsi="宋体" w:eastAsia="宋体" w:cs="宋体"/>
          <w:sz w:val="24"/>
          <w:szCs w:val="24"/>
          <w:highlight w:val="none"/>
          <w:u w:val="single"/>
          <w:lang w:val="zh-CN"/>
        </w:rPr>
        <w:t>27.1.(6)条款的相应规定处理</w:t>
      </w:r>
      <w:r>
        <w:rPr>
          <w:rFonts w:hint="eastAsia" w:ascii="宋体" w:hAnsi="宋体" w:eastAsia="宋体" w:cs="宋体"/>
          <w:sz w:val="24"/>
          <w:szCs w:val="24"/>
          <w:highlight w:val="none"/>
          <w:u w:val="single"/>
        </w:rPr>
        <w:t>。但此种材料或设备对应的工程量清单项目的综合单价不做调整。</w:t>
      </w:r>
    </w:p>
    <w:p>
      <w:pPr>
        <w:spacing w:line="360" w:lineRule="auto"/>
        <w:ind w:firstLine="516" w:firstLineChars="215"/>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对发包方在“报价表”中没有给出指定品牌、档次的材料与设备，投标方在保证这些材料、设备必须是施工图所要求的“合格产品”的情况下，对其单价按市场价进行自主报价，且应承担施工期间市场价格波动风险。</w:t>
      </w:r>
    </w:p>
    <w:p>
      <w:pPr>
        <w:spacing w:line="360" w:lineRule="auto"/>
        <w:ind w:firstLine="516" w:firstLineChars="215"/>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在施工期间，若发包人调换指定品牌与档次时，将对实际使用品牌与档次的材料、设备进行认价，结算时以认价结果与该材料、设备单价找差价，与实际使用材料、设备价格的涨跌幅度没有关系，即品牌认价。并按下式计算差价并调整合同总价款：调换指定品牌与档次材料设备的差价=材料消耗量×（确认新品牌单价-合同单价）。但此种材料或设备对应的工程量清单项目的综合单价不做调整。当调换后的品牌与档次在“报价表”中能找到对应者时，按本合同专用条款第</w:t>
      </w:r>
      <w:r>
        <w:rPr>
          <w:rFonts w:hint="eastAsia" w:ascii="宋体" w:hAnsi="宋体" w:eastAsia="宋体" w:cs="宋体"/>
          <w:sz w:val="24"/>
          <w:szCs w:val="24"/>
          <w:highlight w:val="none"/>
          <w:u w:val="single"/>
          <w:lang w:val="zh-CN"/>
        </w:rPr>
        <w:t>27.1.(6)条款的相应规定处理</w:t>
      </w:r>
      <w:r>
        <w:rPr>
          <w:rFonts w:hint="eastAsia" w:ascii="宋体" w:hAnsi="宋体" w:eastAsia="宋体" w:cs="宋体"/>
          <w:sz w:val="24"/>
          <w:szCs w:val="24"/>
          <w:highlight w:val="none"/>
          <w:u w:val="single"/>
        </w:rPr>
        <w:t>。</w:t>
      </w:r>
    </w:p>
    <w:p>
      <w:pPr>
        <w:widowControl/>
        <w:spacing w:line="360" w:lineRule="auto"/>
        <w:ind w:firstLine="482" w:firstLineChars="200"/>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八、工程变更</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33、在本工程实施过程中若发生变更，按下列各项执行：</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33.1</w:t>
      </w:r>
      <w:r>
        <w:rPr>
          <w:rFonts w:hint="eastAsia" w:ascii="宋体" w:hAnsi="宋体" w:eastAsia="宋体" w:cs="宋体"/>
          <w:kern w:val="0"/>
          <w:sz w:val="24"/>
          <w:szCs w:val="24"/>
          <w:highlight w:val="none"/>
          <w:u w:val="single"/>
        </w:rPr>
        <w:t>合同中已有使用综合单价的，可参照类似综合单价调整；</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w:t>
      </w:r>
      <w:r>
        <w:rPr>
          <w:rFonts w:hint="eastAsia" w:ascii="宋体" w:hAnsi="宋体" w:eastAsia="宋体" w:cs="宋体"/>
          <w:kern w:val="0"/>
          <w:sz w:val="24"/>
          <w:szCs w:val="24"/>
          <w:highlight w:val="none"/>
          <w:u w:val="single"/>
        </w:rPr>
        <w:t>合同中有类似综合单价的，可参照类似综合单价调整；</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33.3</w:t>
      </w:r>
      <w:r>
        <w:rPr>
          <w:rFonts w:hint="eastAsia" w:ascii="宋体" w:hAnsi="宋体" w:eastAsia="宋体" w:cs="宋体"/>
          <w:kern w:val="0"/>
          <w:sz w:val="24"/>
          <w:szCs w:val="24"/>
          <w:highlight w:val="none"/>
          <w:u w:val="single"/>
        </w:rPr>
        <w:t>合同中没有使用或类似综合单价的发包人和承包人依据2009《陕西省建设工程工程量清单计价规划》、2009《陕西省建筑、装饰工程价目表》、2013《陕西省建筑、装饰工程消耗量定额》和2009陕西省建设工程工程量清单计价费率（管理费、利润、风险费的费率执行投标人报价时所报的费率）</w:t>
      </w:r>
      <w:r>
        <w:rPr>
          <w:rFonts w:hint="eastAsia" w:ascii="宋体" w:hAnsi="宋体" w:eastAsia="宋体" w:cs="宋体"/>
          <w:sz w:val="24"/>
          <w:szCs w:val="24"/>
          <w:highlight w:val="none"/>
          <w:u w:val="single"/>
        </w:rPr>
        <w:t>可根据相关计价规则重新组价，并按中标价与上限控制价的比例进行优惠。</w:t>
      </w:r>
    </w:p>
    <w:p>
      <w:pPr>
        <w:widowControl/>
        <w:spacing w:line="360" w:lineRule="auto"/>
        <w:ind w:firstLine="482" w:firstLineChars="200"/>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九、竣工验收与结算、</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36、竣工验收</w:t>
      </w:r>
    </w:p>
    <w:p>
      <w:pPr>
        <w:widowControl/>
        <w:spacing w:line="360" w:lineRule="auto"/>
        <w:ind w:firstLine="480" w:firstLineChars="200"/>
        <w:rPr>
          <w:rFonts w:hint="eastAsia" w:ascii="宋体" w:hAnsi="宋体" w:eastAsia="宋体" w:cs="宋体"/>
          <w:kern w:val="0"/>
          <w:sz w:val="24"/>
          <w:szCs w:val="24"/>
          <w:highlight w:val="none"/>
          <w:u w:val="thick"/>
        </w:rPr>
      </w:pPr>
      <w:r>
        <w:rPr>
          <w:rFonts w:hint="eastAsia" w:ascii="宋体" w:hAnsi="宋体" w:eastAsia="宋体" w:cs="宋体"/>
          <w:kern w:val="0"/>
          <w:sz w:val="24"/>
          <w:szCs w:val="24"/>
          <w:highlight w:val="none"/>
        </w:rPr>
        <w:t>36.1承包人提供竣工图的约定：</w:t>
      </w:r>
      <w:r>
        <w:rPr>
          <w:rFonts w:hint="eastAsia" w:ascii="宋体" w:hAnsi="宋体" w:eastAsia="宋体" w:cs="宋体"/>
          <w:kern w:val="0"/>
          <w:sz w:val="24"/>
          <w:szCs w:val="24"/>
          <w:highlight w:val="none"/>
          <w:u w:val="single"/>
        </w:rPr>
        <w:t>电子文档陆套，晒印蓝图和完整资料文件陆套。</w:t>
      </w:r>
    </w:p>
    <w:p>
      <w:pPr>
        <w:autoSpaceDE w:val="0"/>
        <w:autoSpaceDN w:val="0"/>
        <w:adjustRightInd w:val="0"/>
        <w:spacing w:line="360" w:lineRule="auto"/>
        <w:ind w:firstLine="47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36.6中间交工工程的范围和竣工时间：</w:t>
      </w:r>
      <w:r>
        <w:rPr>
          <w:rFonts w:hint="eastAsia" w:ascii="宋体" w:hAnsi="宋体" w:eastAsia="宋体" w:cs="宋体"/>
          <w:sz w:val="24"/>
          <w:szCs w:val="24"/>
          <w:highlight w:val="none"/>
          <w:u w:val="single"/>
          <w:lang w:val="zh-CN"/>
        </w:rPr>
        <w:t>视具体工程情况而定</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37、竣工结算</w:t>
      </w:r>
    </w:p>
    <w:p>
      <w:pPr>
        <w:widowControl/>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37.1结算审查期限：</w:t>
      </w:r>
      <w:r>
        <w:rPr>
          <w:rFonts w:hint="eastAsia" w:ascii="宋体" w:hAnsi="宋体" w:eastAsia="宋体" w:cs="宋体"/>
          <w:sz w:val="24"/>
          <w:szCs w:val="24"/>
          <w:highlight w:val="none"/>
          <w:u w:val="single"/>
        </w:rPr>
        <w:t>执行《通用条款》第37.3条。工程竣工验收合格，发包人在收到竣工结算报告及完整的结算资料后，委托审价机构在90日内进行审查确认。若发包人对结算报告及资料没有提出意见，则视同认可。</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工程竣工结算依据：</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1）《陕西省建设工程工程量清单计价规则》（2009）；（2）施工合同；（3）投标文件；（4）招标文件；（5）工程竣工图纸及资料；（6）双方确认的工程量；（7）双方确认追加（减）的工程价款；（8）双方确认的索赔、现场签证事项及价款；（9）其他依据。</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lang w:val="zh-CN"/>
        </w:rPr>
        <w:t>分部分项工程费依据双方确认的工程量、合同约定的综合单价和按规定应计列的价差计算；如综合单价发生调整的，以发、承包方确认调整的综合单价计算。</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4</w:t>
      </w:r>
      <w:r>
        <w:rPr>
          <w:rFonts w:hint="eastAsia" w:ascii="宋体" w:hAnsi="宋体" w:eastAsia="宋体" w:cs="宋体"/>
          <w:sz w:val="24"/>
          <w:szCs w:val="24"/>
          <w:highlight w:val="none"/>
          <w:u w:val="single"/>
          <w:lang w:val="zh-CN"/>
        </w:rPr>
        <w:t>措施项目费依据合同约定的项目和金额计算；如发生调整的，以发、承包双方确认调整的金额计算，其中安全文明施工措施费为不可竞争费，必须按《陕西省建设工程工程量清单计价规则》（2009）的计价程序和省建设主管部门发布的费率，参照规费计价基数计取。但其基数不包括安全文明施工措施费本身。</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其他项目费用按下列规定计算：</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（1）计日工按发包人实际签证确认的事项和金额计算；（</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u w:val="single"/>
          <w:lang w:val="zh-CN"/>
        </w:rPr>
        <w:t>）总承包服务费依据合同约定金额计算，如发生调整的，以发、承包双方确认调整的金额计算；（</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u w:val="single"/>
          <w:lang w:val="zh-CN"/>
        </w:rPr>
        <w:t>）索赔费用依据发、承包双方确认的索赔事项和金额计算；（</w:t>
      </w:r>
      <w:r>
        <w:rPr>
          <w:rFonts w:hint="eastAsia" w:ascii="宋体" w:hAnsi="宋体" w:eastAsia="宋体" w:cs="宋体"/>
          <w:sz w:val="24"/>
          <w:szCs w:val="24"/>
          <w:highlight w:val="none"/>
          <w:u w:val="single"/>
        </w:rPr>
        <w:t>4</w:t>
      </w:r>
      <w:r>
        <w:rPr>
          <w:rFonts w:hint="eastAsia" w:ascii="宋体" w:hAnsi="宋体" w:eastAsia="宋体" w:cs="宋体"/>
          <w:sz w:val="24"/>
          <w:szCs w:val="24"/>
          <w:highlight w:val="none"/>
          <w:u w:val="single"/>
          <w:lang w:val="zh-CN"/>
        </w:rPr>
        <w:t>）现场签证费用依据发、承包双方签证资料确认的金额计算。</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6</w:t>
      </w:r>
      <w:r>
        <w:rPr>
          <w:rFonts w:hint="eastAsia" w:ascii="宋体" w:hAnsi="宋体" w:eastAsia="宋体" w:cs="宋体"/>
          <w:sz w:val="24"/>
          <w:szCs w:val="24"/>
          <w:highlight w:val="none"/>
          <w:u w:val="single"/>
          <w:lang w:val="zh-CN"/>
        </w:rPr>
        <w:t>规费和税金按国家、省政府和省级有关主管部门的规定计算。</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7</w:t>
      </w:r>
      <w:r>
        <w:rPr>
          <w:rFonts w:hint="eastAsia" w:ascii="宋体" w:hAnsi="宋体" w:eastAsia="宋体" w:cs="宋体"/>
          <w:sz w:val="24"/>
          <w:szCs w:val="24"/>
          <w:highlight w:val="none"/>
          <w:u w:val="single"/>
          <w:lang w:val="zh-CN"/>
        </w:rPr>
        <w:t>承包人应在本合同专用条款约定的时间内编制完成竣工结算书，并在提交竣工验收报告的同时递交给发包人。</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承包人未在本合同专用条款约定的时间内递交竣工结算书，经发包人催促后仍未提供或没有明确答复的，发包人可以根据已有的资料办理计算。</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8</w:t>
      </w:r>
      <w:r>
        <w:rPr>
          <w:rFonts w:hint="eastAsia" w:ascii="宋体" w:hAnsi="宋体" w:eastAsia="宋体" w:cs="宋体"/>
          <w:sz w:val="24"/>
          <w:szCs w:val="24"/>
          <w:highlight w:val="none"/>
          <w:u w:val="single"/>
          <w:lang w:val="zh-CN"/>
        </w:rPr>
        <w:t>发包人在收到承包人递交的竣工结算书后，应按本合同专用条款约定的时间进行核对。</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同一工程竣工结算核对完成，发、承包人双方签字确认后，发包人不得要求承包人与另一个或多个工程造价咨询人重复核对竣工结算，承包人也不得要求发包人重复核对竣工结算。</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w:t>
      </w:r>
      <w:r>
        <w:rPr>
          <w:rFonts w:hint="eastAsia" w:ascii="宋体" w:hAnsi="宋体" w:eastAsia="宋体" w:cs="宋体"/>
          <w:sz w:val="24"/>
          <w:szCs w:val="24"/>
          <w:highlight w:val="none"/>
        </w:rPr>
        <w:t>9</w:t>
      </w:r>
      <w:r>
        <w:rPr>
          <w:rFonts w:hint="eastAsia" w:ascii="宋体" w:hAnsi="宋体" w:eastAsia="宋体" w:cs="宋体"/>
          <w:sz w:val="24"/>
          <w:szCs w:val="24"/>
          <w:highlight w:val="none"/>
          <w:u w:val="single"/>
          <w:lang w:val="zh-CN"/>
        </w:rPr>
        <w:t>发包人收到承包人递交的竣工结算书后，在合同约定时间内，不核对竣工结算或未提出核对意见的，视为承包人递交的竣工结算书已经认可，发包人应向承包人支付工程结算价款。</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lang w:val="zh-CN"/>
        </w:rPr>
        <w:t>承包人在接到发包人提出的核对意见后，在合同约定时间内，不确认也未提出异议的，视为发包人提出的核对意见已经认可，竣工结算办理完毕。</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37.1</w:t>
      </w: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lang w:val="zh-CN"/>
        </w:rPr>
        <w:t>发包人应对承包人递交的竣工结算书予以签收，拒不签收的，承包人可以不交付竣工工程。</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zh-CN"/>
        </w:rPr>
        <w:t>承包人未在合同约定时间内递交竣工结算书的，发包人要求交付竣工工程，承包人应当交付。</w:t>
      </w:r>
    </w:p>
    <w:p>
      <w:pPr>
        <w:widowControl/>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十、违约、索赔和争议</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39、违约</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39.1  本合同中关于发包人违约的具体责任如下：</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本合同通用条款第28.1条约定发包人违约应承担的违约责任：</w:t>
      </w:r>
      <w:r>
        <w:rPr>
          <w:rFonts w:hint="eastAsia" w:ascii="宋体" w:hAnsi="宋体" w:eastAsia="宋体" w:cs="宋体"/>
          <w:kern w:val="0"/>
          <w:sz w:val="24"/>
          <w:szCs w:val="24"/>
          <w:highlight w:val="none"/>
          <w:u w:val="single"/>
        </w:rPr>
        <w:t>/</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本合同通用条款第30.5款约定发包人违约应承担的违约责任：</w:t>
      </w:r>
      <w:r>
        <w:rPr>
          <w:rFonts w:hint="eastAsia" w:ascii="宋体" w:hAnsi="宋体" w:eastAsia="宋体" w:cs="宋体"/>
          <w:kern w:val="0"/>
          <w:sz w:val="24"/>
          <w:szCs w:val="24"/>
          <w:highlight w:val="none"/>
          <w:u w:val="single"/>
        </w:rPr>
        <w:t>执行《通用条款》30.5款。</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本合同通用条款第37.6款约定发包人违约应承担的违约责任：</w:t>
      </w:r>
      <w:r>
        <w:rPr>
          <w:rFonts w:hint="eastAsia" w:ascii="宋体" w:hAnsi="宋体" w:eastAsia="宋体" w:cs="宋体"/>
          <w:kern w:val="0"/>
          <w:sz w:val="24"/>
          <w:szCs w:val="24"/>
          <w:highlight w:val="none"/>
          <w:u w:val="single"/>
        </w:rPr>
        <w:t>执行《通用条款》37.6款。</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双方约定的发包人其他违约责任：</w:t>
      </w:r>
      <w:r>
        <w:rPr>
          <w:rFonts w:hint="eastAsia" w:ascii="宋体" w:hAnsi="宋体" w:eastAsia="宋体" w:cs="宋体"/>
          <w:kern w:val="0"/>
          <w:sz w:val="24"/>
          <w:szCs w:val="24"/>
          <w:highlight w:val="none"/>
          <w:u w:val="single"/>
        </w:rPr>
        <w:t xml:space="preserve">          /          </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39.2  本合同中关于承包人违约的具体责任如下：本合同通用条款第14.2款约定承包人违约承担的违约责任：</w:t>
      </w:r>
      <w:r>
        <w:rPr>
          <w:rFonts w:hint="eastAsia" w:ascii="宋体" w:hAnsi="宋体" w:eastAsia="宋体" w:cs="宋体"/>
          <w:kern w:val="0"/>
          <w:sz w:val="24"/>
          <w:szCs w:val="24"/>
          <w:highlight w:val="none"/>
          <w:u w:val="single"/>
        </w:rPr>
        <w:t>承包人工期每推迟一天罚款2000元，若影响到发包人使用另行赔偿给甲方造成的损失。</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本合同通用条款第15.1款约定承包人违约应承担的违约责任：</w:t>
      </w:r>
      <w:r>
        <w:rPr>
          <w:rFonts w:hint="eastAsia" w:ascii="宋体" w:hAnsi="宋体" w:eastAsia="宋体" w:cs="宋体"/>
          <w:kern w:val="0"/>
          <w:sz w:val="24"/>
          <w:szCs w:val="24"/>
          <w:highlight w:val="none"/>
          <w:u w:val="single"/>
        </w:rPr>
        <w:t>承包方除按合同价款的2%承担违约金外，另按国务院279号令有关规定执行。</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双方约定的承包人其他违约责任：</w:t>
      </w:r>
      <w:r>
        <w:rPr>
          <w:rFonts w:hint="eastAsia" w:ascii="宋体" w:hAnsi="宋体" w:eastAsia="宋体" w:cs="宋体"/>
          <w:kern w:val="0"/>
          <w:sz w:val="24"/>
          <w:szCs w:val="24"/>
          <w:highlight w:val="none"/>
        </w:rPr>
        <w:t>______</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________</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41、争议</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41.1双方当事人约定，在履行合同过程中产生争议时：</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（1）请</w:t>
      </w:r>
      <w:r>
        <w:rPr>
          <w:rFonts w:hint="eastAsia" w:ascii="宋体" w:hAnsi="宋体" w:eastAsia="宋体" w:cs="宋体"/>
          <w:sz w:val="24"/>
          <w:szCs w:val="24"/>
          <w:highlight w:val="none"/>
          <w:u w:val="single"/>
        </w:rPr>
        <w:t>合同管理部门和其他有关部门</w:t>
      </w:r>
      <w:r>
        <w:rPr>
          <w:rFonts w:hint="eastAsia" w:ascii="宋体" w:hAnsi="宋体" w:eastAsia="宋体" w:cs="宋体"/>
          <w:sz w:val="24"/>
          <w:szCs w:val="24"/>
          <w:highlight w:val="none"/>
        </w:rPr>
        <w:t>调解；</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（2）合同争议调解不成的，按下列第</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种方式解决：</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仲裁委员会申请仲裁；</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2）依法向人民法院提起诉讼。</w:t>
      </w:r>
    </w:p>
    <w:p>
      <w:pPr>
        <w:widowControl/>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十一、其他</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42、工程分包</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42.1本工程发包人同意承包人分包的专业工程：</w:t>
      </w:r>
      <w:r>
        <w:rPr>
          <w:rFonts w:hint="eastAsia" w:ascii="宋体" w:hAnsi="宋体" w:eastAsia="宋体" w:cs="宋体"/>
          <w:kern w:val="0"/>
          <w:sz w:val="24"/>
          <w:szCs w:val="24"/>
          <w:highlight w:val="none"/>
          <w:u w:val="single"/>
        </w:rPr>
        <w:t>无</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43、不可抗力</w:t>
      </w:r>
    </w:p>
    <w:p>
      <w:pPr>
        <w:widowControl/>
        <w:spacing w:line="360" w:lineRule="auto"/>
        <w:ind w:firstLine="480" w:firstLineChars="200"/>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43.1双方关于不可抗力的约定：</w:t>
      </w:r>
      <w:r>
        <w:rPr>
          <w:rFonts w:hint="eastAsia" w:ascii="宋体" w:hAnsi="宋体" w:eastAsia="宋体" w:cs="宋体"/>
          <w:kern w:val="0"/>
          <w:sz w:val="24"/>
          <w:szCs w:val="24"/>
          <w:highlight w:val="none"/>
          <w:u w:val="single"/>
        </w:rPr>
        <w:t>根据国家的法律规定执行。</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44、保险</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44.6本工程双方约定投保内容如下：</w:t>
      </w:r>
    </w:p>
    <w:p>
      <w:pPr>
        <w:widowControl/>
        <w:spacing w:line="360" w:lineRule="auto"/>
        <w:ind w:firstLine="480" w:firstLineChars="200"/>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（1）发包人投保内容：</w:t>
      </w:r>
      <w:r>
        <w:rPr>
          <w:rFonts w:hint="eastAsia" w:ascii="宋体" w:hAnsi="宋体" w:eastAsia="宋体" w:cs="宋体"/>
          <w:kern w:val="0"/>
          <w:sz w:val="24"/>
          <w:szCs w:val="24"/>
          <w:highlight w:val="none"/>
          <w:u w:val="single"/>
        </w:rPr>
        <w:t>执行《通用条款》44.1款，费用由发包人承担。</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发包人委托承包人办理的保险事项：</w:t>
      </w:r>
      <w:r>
        <w:rPr>
          <w:rFonts w:hint="eastAsia" w:ascii="宋体" w:hAnsi="宋体" w:eastAsia="宋体" w:cs="宋体"/>
          <w:kern w:val="0"/>
          <w:sz w:val="24"/>
          <w:szCs w:val="24"/>
          <w:highlight w:val="none"/>
        </w:rPr>
        <w:t>____________/________________</w:t>
      </w:r>
    </w:p>
    <w:p>
      <w:pPr>
        <w:widowControl/>
        <w:spacing w:line="360" w:lineRule="auto"/>
        <w:ind w:firstLine="480" w:firstLineChars="200"/>
        <w:rPr>
          <w:rFonts w:hint="eastAsia" w:ascii="宋体" w:hAnsi="宋体" w:eastAsia="宋体" w:cs="宋体"/>
          <w:kern w:val="0"/>
          <w:sz w:val="24"/>
          <w:szCs w:val="24"/>
          <w:highlight w:val="none"/>
          <w:u w:val="thick"/>
        </w:rPr>
      </w:pPr>
      <w:r>
        <w:rPr>
          <w:rFonts w:hint="eastAsia" w:ascii="宋体" w:hAnsi="宋体" w:eastAsia="宋体" w:cs="宋体"/>
          <w:sz w:val="24"/>
          <w:szCs w:val="24"/>
          <w:highlight w:val="none"/>
        </w:rPr>
        <w:t>（2）承包人投保内容：</w:t>
      </w:r>
      <w:r>
        <w:rPr>
          <w:rFonts w:hint="eastAsia" w:ascii="宋体" w:hAnsi="宋体" w:eastAsia="宋体" w:cs="宋体"/>
          <w:kern w:val="0"/>
          <w:sz w:val="24"/>
          <w:szCs w:val="24"/>
          <w:highlight w:val="none"/>
          <w:u w:val="single"/>
        </w:rPr>
        <w:t>执行《通用条款》44.4款，费用由承包人承担。</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45、担保</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45.3本工程双方约定担保事项如下：</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（1）发包人向承包人提供支付担保，担保方式为：</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，担保金额：</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，担保有效期：</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（2）承包人向发包人提供履约担保，</w:t>
      </w:r>
      <w:r>
        <w:rPr>
          <w:rFonts w:hint="eastAsia" w:ascii="宋体" w:hAnsi="宋体" w:eastAsia="宋体" w:cs="宋体"/>
          <w:kern w:val="0"/>
          <w:sz w:val="24"/>
          <w:szCs w:val="24"/>
          <w:highlight w:val="none"/>
          <w:u w:val="single"/>
        </w:rPr>
        <w:t>执行</w:t>
      </w:r>
      <w:r>
        <w:rPr>
          <w:rFonts w:hint="eastAsia" w:ascii="宋体" w:hAnsi="宋体" w:eastAsia="宋体" w:cs="宋体"/>
          <w:sz w:val="24"/>
          <w:szCs w:val="24"/>
          <w:highlight w:val="none"/>
          <w:u w:val="single"/>
        </w:rPr>
        <w:t>履约保证保函，担保金额</w:t>
      </w:r>
      <w:r>
        <w:rPr>
          <w:rFonts w:hint="eastAsia" w:ascii="宋体" w:hAnsi="宋体" w:eastAsia="宋体" w:cs="宋体"/>
          <w:sz w:val="24"/>
          <w:szCs w:val="24"/>
          <w:highlight w:val="none"/>
        </w:rPr>
        <w:t>为合同价的10%，担保合同作为本合同附件。</w:t>
      </w:r>
    </w:p>
    <w:p>
      <w:pPr>
        <w:widowControl/>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（3）双方约定的其他担保事项：</w:t>
      </w:r>
      <w:r>
        <w:rPr>
          <w:rFonts w:hint="eastAsia" w:ascii="宋体" w:hAnsi="宋体" w:eastAsia="宋体" w:cs="宋体"/>
          <w:kern w:val="0"/>
          <w:sz w:val="24"/>
          <w:szCs w:val="24"/>
          <w:highlight w:val="none"/>
          <w:u w:val="single"/>
        </w:rPr>
        <w:t xml:space="preserve">           /               </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50、合同份数</w:t>
      </w:r>
    </w:p>
    <w:p>
      <w:pPr>
        <w:widowControl/>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50.2双方约定合同副本份数：</w:t>
      </w:r>
      <w:r>
        <w:rPr>
          <w:rFonts w:hint="eastAsia" w:ascii="宋体" w:hAnsi="宋体" w:eastAsia="宋体" w:cs="宋体"/>
          <w:kern w:val="0"/>
          <w:sz w:val="24"/>
          <w:szCs w:val="24"/>
          <w:highlight w:val="none"/>
          <w:u w:val="single"/>
        </w:rPr>
        <w:t>捌份。</w:t>
      </w:r>
    </w:p>
    <w:p>
      <w:pPr>
        <w:widowControl/>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51、补充条款</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51.1</w:t>
      </w:r>
      <w:r>
        <w:rPr>
          <w:rFonts w:hint="eastAsia" w:ascii="宋体" w:hAnsi="宋体" w:eastAsia="宋体" w:cs="宋体"/>
          <w:sz w:val="24"/>
          <w:szCs w:val="24"/>
          <w:highlight w:val="none"/>
          <w:u w:val="single"/>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由发包人承担由此发生的追加合同价款，相应顺延工期；责任在承包人，由承包人承担费用，不顺延工期；责任在第三人，由承包人按照相关程序追究第三人责任。</w:t>
      </w:r>
    </w:p>
    <w:p>
      <w:pPr>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51.2</w:t>
      </w:r>
      <w:r>
        <w:rPr>
          <w:rFonts w:hint="eastAsia" w:ascii="宋体" w:hAnsi="宋体" w:eastAsia="宋体" w:cs="宋体"/>
          <w:kern w:val="0"/>
          <w:sz w:val="24"/>
          <w:szCs w:val="24"/>
          <w:highlight w:val="none"/>
          <w:u w:val="single"/>
        </w:rPr>
        <w:t>承包人须承诺：达到省级文明工地验收标准，严格按安全文明工地和卫生城市标准施工，设立专用垃圾场，不得在施工区内任意堆放或乱倒垃圾，定期将建筑垃圾清理外运。若达不到省级文明工地验收标准处罚承包人合同价款的2%。</w:t>
      </w:r>
    </w:p>
    <w:p>
      <w:pPr>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51.3</w:t>
      </w:r>
      <w:r>
        <w:rPr>
          <w:rFonts w:hint="eastAsia" w:ascii="宋体" w:hAnsi="宋体" w:eastAsia="宋体" w:cs="宋体"/>
          <w:kern w:val="0"/>
          <w:sz w:val="24"/>
          <w:szCs w:val="24"/>
          <w:highlight w:val="none"/>
          <w:u w:val="single"/>
        </w:rPr>
        <w:t>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作表复印一份加盖公章交发包人备案。农民工工资除按月发放外，其劳务费下余部分应按照劳动分包合同付款办法支付。承包人若未支付，发包人有权在工程款结算期间用其余款支付农民工劳务费,</w:t>
      </w:r>
      <w:bookmarkStart w:id="255" w:name="OLE_LINK70"/>
      <w:r>
        <w:rPr>
          <w:rFonts w:hint="eastAsia" w:ascii="宋体" w:hAnsi="宋体" w:eastAsia="宋体" w:cs="宋体"/>
          <w:b/>
          <w:bCs/>
          <w:sz w:val="24"/>
          <w:szCs w:val="24"/>
          <w:highlight w:val="none"/>
          <w:u w:val="single"/>
        </w:rPr>
        <w:t>并另按发放金额的50%从承包人的工程结算款中扣除作为罚金。</w:t>
      </w:r>
      <w:bookmarkEnd w:id="255"/>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51.4</w:t>
      </w:r>
      <w:r>
        <w:rPr>
          <w:rFonts w:hint="eastAsia" w:ascii="宋体" w:hAnsi="宋体" w:eastAsia="宋体" w:cs="宋体"/>
          <w:sz w:val="24"/>
          <w:szCs w:val="24"/>
          <w:highlight w:val="none"/>
          <w:u w:val="single"/>
        </w:rPr>
        <w:t>本工程竣工后，应免费将建筑物周围和施工单位生活区周围内施工现场清除干净；无建筑材料、无建筑设备、无建筑垃圾、无坑池渠沟、无掩埋的硬化道路和施工垃圾，做到场地整洁,</w:t>
      </w:r>
      <w:r>
        <w:rPr>
          <w:rFonts w:hint="eastAsia" w:ascii="宋体" w:hAnsi="宋体" w:eastAsia="宋体" w:cs="宋体"/>
          <w:b/>
          <w:bCs/>
          <w:sz w:val="24"/>
          <w:szCs w:val="24"/>
          <w:highlight w:val="none"/>
          <w:u w:val="single"/>
        </w:rPr>
        <w:t>否则，发包人有权对承包人进行处罚，罚金直接从工程款中扣除。</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51.5</w:t>
      </w:r>
      <w:r>
        <w:rPr>
          <w:rFonts w:hint="eastAsia" w:ascii="宋体" w:hAnsi="宋体" w:eastAsia="宋体" w:cs="宋体"/>
          <w:sz w:val="24"/>
          <w:szCs w:val="24"/>
          <w:highlight w:val="none"/>
          <w:u w:val="single"/>
        </w:rPr>
        <w:t>承包人在施工过程中应服从、遵守发包人和当地政府职能部门的管理制度。关于安全防护、文明施工措施费用的其他约定如下：</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1、承包人需提供安全防护、文明施工措施费用的支付计划落实情况；</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2、工程师对承包人落实安全防护、文明施工措施分情况进行现场监理，若发现承包人为落实安全防护、文明施工措施的，有权责令其立即整改；</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3、发包人和承包人应在财务管理中单独列支安全防护、文明施工措施项目费用的支付情况。</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51.6施工过程中，资料和工程进度必须同步。每月发包管理人员对施工进度和资料进行检查，出现问题限期整改，否则罚款1000元人民币。在工程竣工验收前，承包人要按规定将竣工资料交至甲方验收，由甲方出据相应证明后，发包人方可组织验收。</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51.7安全管理人员必须持证上岗，并负责检查现场和施工人员安全情况，如甲方和发包管理人员发现有不安全因素存在，经指出仍未纠正的每次罚款500元人民币；出现任何安全事故，均由承包人自负。</w:t>
      </w:r>
    </w:p>
    <w:p>
      <w:pPr>
        <w:spacing w:line="360" w:lineRule="auto"/>
        <w:ind w:firstLine="480" w:firstLineChars="200"/>
        <w:jc w:val="left"/>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rPr>
        <w:t>51.8现场用电必须按照发包人要求，三相五线制，一机一闸必须带漏电保护，不允许用电炉。如施工现场出现用电漏电或短路跳闸，造成停电、影响发包人用电，每次罚款2000元。</w:t>
      </w:r>
    </w:p>
    <w:p>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zh-CN"/>
        </w:rPr>
        <w:t>51.</w:t>
      </w:r>
      <w:r>
        <w:rPr>
          <w:rFonts w:hint="eastAsia" w:ascii="宋体" w:hAnsi="宋体" w:eastAsia="宋体" w:cs="宋体"/>
          <w:sz w:val="24"/>
          <w:szCs w:val="24"/>
          <w:highlight w:val="none"/>
          <w:u w:val="single"/>
        </w:rPr>
        <w:t>9安全防护、文明施工措施费必须专款专用，如果承包人挪用其费用则视为承包人违约，承包人承担挪用金额100%的违约金。</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51.10</w:t>
      </w:r>
      <w:r>
        <w:rPr>
          <w:rFonts w:hint="eastAsia" w:ascii="宋体" w:hAnsi="宋体" w:eastAsia="宋体" w:cs="宋体"/>
          <w:sz w:val="24"/>
          <w:szCs w:val="24"/>
          <w:highlight w:val="none"/>
          <w:u w:val="single"/>
          <w:lang w:val="zh-CN"/>
        </w:rPr>
        <w:t>承包人不得以挂靠、联营、转包或变相转包名义或形式承担本工程，否则视承包人违约，发包人有权终止合同，且有权拒绝支付已完工程费用，承包人无条件退场本项目施工，并承担本项目中标金额或合同金额30%的违约金，</w:t>
      </w:r>
      <w:r>
        <w:rPr>
          <w:rFonts w:hint="eastAsia" w:ascii="宋体" w:hAnsi="宋体" w:eastAsia="宋体" w:cs="宋体"/>
          <w:sz w:val="24"/>
          <w:szCs w:val="24"/>
          <w:highlight w:val="none"/>
          <w:u w:val="single"/>
        </w:rPr>
        <w:t>且因此造成的一切损失由承包人承担，并赔偿因此给发包人造成的损失。</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51.11本工程严格按照合同约定的付款方式执行，承包人须合理安排材料供应商、劳务分包等下游单位所需资金，以确保本工程顺利进行，不得出现工人或材料供应商堵门、围攻项目负责人等恶性事件发生，若发生以上事件或因拖欠工人工资、材料供应商材料款问题被行政主管部门通报等，则视为承包人违约，并须承担50万元/次的违约金。</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51.12承包人须遵守发包人的相关管理规定，且必须服从发包人项目负责人、现场代表及的管理，严禁不听指挥、野蛮施工，否则，视为承包人违约，并须承担5万元/次的违约金，违约金直接从当期工程款中扣除。</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51.13本工程的工程款必须专款专用，严禁承包人私自挪用，否则视为承包人违约，并须承担挪用工程款相同数额的违约金，违约金直接从当期工程款中扣除。</w:t>
      </w:r>
    </w:p>
    <w:p>
      <w:pPr>
        <w:autoSpaceDE w:val="0"/>
        <w:autoSpaceDN w:val="0"/>
        <w:adjustRightInd w:val="0"/>
        <w:snapToGrid w:val="0"/>
        <w:spacing w:line="560" w:lineRule="exact"/>
        <w:ind w:firstLine="475"/>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51.14合同履行期间，国家法律、法规、规章和政策变化影响工程造价的，不执行任何调价文件。</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51.15承包人在施工过程中偷工减料、违规操作、弄虚作假或因与材料供应商及分包单位不签合同或对其提出任何让利要求而影响工程质量、进度的，则视为承包人违约，发包人有权对承包人进行严厉处罚，且不得延误工期。</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51.16施工过程中，承包人不得以任何理由随意停工（不可抗力除外），否则视为承包人违约，承包人须承担3万元/天的违约金，并赔偿因此给发包人造成的损失，赔偿上限为合同总金额，且工期不予顺延。</w:t>
      </w:r>
    </w:p>
    <w:p>
      <w:pPr>
        <w:adjustRightInd w:val="0"/>
        <w:snapToGrid w:val="0"/>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51.17本工程在保修期内，承包人均应无条件在接到发包人通知后24小时内进场维修，费用承包人自理。如承包人未能按时派人及时维修，或经过多次维修，依然存在问题，发包人有权自行或委托他人处理，发生的一切费用从承包人的保修款中扣除，不足部分由承包人承担。</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51.18</w:t>
      </w:r>
      <w:r>
        <w:rPr>
          <w:rFonts w:hint="eastAsia" w:ascii="宋体" w:hAnsi="宋体" w:eastAsia="宋体" w:cs="宋体"/>
          <w:sz w:val="24"/>
          <w:szCs w:val="24"/>
          <w:highlight w:val="none"/>
          <w:u w:val="single"/>
        </w:rPr>
        <w:t>在不改变合同其他条款的前提下，甲方有权在合同价款10%的范围内追加与合同标的相同的工程和服务，并就此与乙方签订补充合同，乙方不得拒绝。</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51.19以上未尽事宜，双方协商解决或另行签署补充协议。</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360" w:lineRule="auto"/>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附件1：</w:t>
      </w:r>
    </w:p>
    <w:p>
      <w:pPr>
        <w:spacing w:line="360" w:lineRule="auto"/>
        <w:ind w:firstLine="803" w:firstLineChars="250"/>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工程质量保修书</w:t>
      </w:r>
    </w:p>
    <w:p>
      <w:pPr>
        <w:spacing w:line="360" w:lineRule="auto"/>
        <w:ind w:left="120"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发包人(全称)_____________________________________</w:t>
      </w:r>
    </w:p>
    <w:p>
      <w:pPr>
        <w:spacing w:line="360" w:lineRule="auto"/>
        <w:ind w:left="120"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承包人(全称)： __________________________________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为保证____________________________________（工程名称）在合理使用期限内正常使用，发包人、承包人协商一致签订工程质量保修书。承包人在质量保修期内按照有关管理规定及双方约定承担工程质量保修责任。</w:t>
      </w:r>
    </w:p>
    <w:p>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一、工程质量保修范围和内容</w:t>
      </w:r>
      <w:r>
        <w:rPr>
          <w:rFonts w:hint="eastAsia" w:ascii="宋体" w:hAnsi="宋体" w:eastAsia="宋体" w:cs="宋体"/>
          <w:sz w:val="24"/>
          <w:szCs w:val="24"/>
          <w:highlight w:val="none"/>
        </w:rPr>
        <w:t>_______________________________________________________________________________________________________________________________________________________________________________________________________________</w:t>
      </w:r>
    </w:p>
    <w:p>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二、质量保修期</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质量保修期自工程竣工验收合格之日起</w:t>
      </w:r>
      <w:r>
        <w:rPr>
          <w:rFonts w:hint="eastAsia" w:ascii="宋体" w:hAnsi="宋体" w:eastAsia="宋体" w:cs="宋体"/>
          <w:sz w:val="24"/>
          <w:szCs w:val="24"/>
          <w:highlight w:val="none"/>
          <w:lang w:eastAsia="zh-CN"/>
        </w:rPr>
        <w:t>一年</w:t>
      </w:r>
      <w:r>
        <w:rPr>
          <w:rFonts w:hint="eastAsia" w:ascii="宋体" w:hAnsi="宋体" w:eastAsia="宋体" w:cs="宋体"/>
          <w:sz w:val="24"/>
          <w:szCs w:val="24"/>
          <w:highlight w:val="none"/>
        </w:rPr>
        <w:t>计算。分单项竣工验收的工程，按单项工程分别计算质量保修期。双方根据《建设工程质量管理条例》及国家有关规定，结合具体工程约定质量保修期如下：</w:t>
      </w:r>
    </w:p>
    <w:p>
      <w:pPr>
        <w:snapToGrid w:val="0"/>
        <w:spacing w:before="0" w:beforeAutospacing="0" w:after="0" w:afterAutospacing="0" w:line="360" w:lineRule="auto"/>
        <w:ind w:firstLine="480" w:firstLineChars="200"/>
        <w:jc w:val="left"/>
        <w:textAlignment w:val="baseline"/>
        <w:rPr>
          <w:rStyle w:val="136"/>
          <w:rFonts w:hint="eastAsia" w:ascii="宋体" w:hAnsi="宋体" w:eastAsia="宋体" w:cs="宋体"/>
          <w:b w:val="0"/>
          <w:i w:val="0"/>
          <w:caps w:val="0"/>
          <w:spacing w:val="0"/>
          <w:w w:val="100"/>
          <w:kern w:val="2"/>
          <w:sz w:val="24"/>
          <w:szCs w:val="24"/>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1、采暖工程为</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  2 </w:t>
      </w:r>
      <w:r>
        <w:rPr>
          <w:rStyle w:val="136"/>
          <w:rFonts w:hint="eastAsia" w:ascii="宋体" w:hAnsi="宋体" w:eastAsia="宋体" w:cs="宋体"/>
          <w:b w:val="0"/>
          <w:i w:val="0"/>
          <w:caps w:val="0"/>
          <w:spacing w:val="0"/>
          <w:w w:val="100"/>
          <w:kern w:val="2"/>
          <w:sz w:val="24"/>
          <w:szCs w:val="24"/>
          <w:lang w:val="en-US" w:eastAsia="zh-CN" w:bidi="ar-SA"/>
        </w:rPr>
        <w:t>年；</w:t>
      </w:r>
    </w:p>
    <w:p>
      <w:pPr>
        <w:snapToGrid w:val="0"/>
        <w:spacing w:before="0" w:beforeAutospacing="0" w:after="0" w:afterAutospacing="0" w:line="360" w:lineRule="auto"/>
        <w:ind w:left="479" w:leftChars="228"/>
        <w:jc w:val="left"/>
        <w:textAlignment w:val="baseline"/>
        <w:rPr>
          <w:rStyle w:val="136"/>
          <w:rFonts w:hint="eastAsia" w:ascii="宋体" w:hAnsi="宋体" w:eastAsia="宋体" w:cs="宋体"/>
          <w:b w:val="0"/>
          <w:i w:val="0"/>
          <w:caps w:val="0"/>
          <w:spacing w:val="0"/>
          <w:w w:val="100"/>
          <w:kern w:val="2"/>
          <w:sz w:val="24"/>
          <w:szCs w:val="24"/>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2、电气工程为</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2  </w:t>
      </w:r>
      <w:r>
        <w:rPr>
          <w:rStyle w:val="136"/>
          <w:rFonts w:hint="eastAsia" w:ascii="宋体" w:hAnsi="宋体" w:eastAsia="宋体" w:cs="宋体"/>
          <w:b w:val="0"/>
          <w:i w:val="0"/>
          <w:caps w:val="0"/>
          <w:spacing w:val="0"/>
          <w:w w:val="100"/>
          <w:kern w:val="2"/>
          <w:sz w:val="24"/>
          <w:szCs w:val="24"/>
          <w:lang w:val="en-US" w:eastAsia="zh-CN" w:bidi="ar-SA"/>
        </w:rPr>
        <w:t>年；</w:t>
      </w:r>
    </w:p>
    <w:p>
      <w:pPr>
        <w:snapToGrid w:val="0"/>
        <w:spacing w:before="0" w:beforeAutospacing="0" w:after="0" w:afterAutospacing="0" w:line="360" w:lineRule="auto"/>
        <w:ind w:left="479" w:leftChars="228"/>
        <w:jc w:val="left"/>
        <w:textAlignment w:val="baseline"/>
        <w:rPr>
          <w:rStyle w:val="136"/>
          <w:rFonts w:hint="eastAsia" w:ascii="宋体" w:hAnsi="宋体" w:eastAsia="宋体" w:cs="宋体"/>
          <w:b w:val="0"/>
          <w:i w:val="0"/>
          <w:caps w:val="0"/>
          <w:spacing w:val="0"/>
          <w:w w:val="100"/>
          <w:kern w:val="2"/>
          <w:sz w:val="24"/>
          <w:szCs w:val="24"/>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3、给排水工程为</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2 </w:t>
      </w:r>
      <w:r>
        <w:rPr>
          <w:rStyle w:val="136"/>
          <w:rFonts w:hint="eastAsia" w:ascii="宋体" w:hAnsi="宋体" w:eastAsia="宋体" w:cs="宋体"/>
          <w:b w:val="0"/>
          <w:i w:val="0"/>
          <w:caps w:val="0"/>
          <w:spacing w:val="0"/>
          <w:w w:val="100"/>
          <w:kern w:val="2"/>
          <w:sz w:val="24"/>
          <w:szCs w:val="24"/>
          <w:lang w:val="en-US" w:eastAsia="zh-CN" w:bidi="ar-SA"/>
        </w:rPr>
        <w:t>年；</w:t>
      </w:r>
    </w:p>
    <w:p>
      <w:pPr>
        <w:snapToGrid w:val="0"/>
        <w:spacing w:before="0" w:beforeAutospacing="0" w:after="0" w:afterAutospacing="0" w:line="360" w:lineRule="auto"/>
        <w:ind w:left="479" w:leftChars="228"/>
        <w:jc w:val="left"/>
        <w:textAlignment w:val="baseline"/>
        <w:rPr>
          <w:rStyle w:val="136"/>
          <w:rFonts w:hint="eastAsia" w:ascii="宋体" w:hAnsi="宋体" w:eastAsia="宋体" w:cs="宋体"/>
          <w:b w:val="0"/>
          <w:i w:val="0"/>
          <w:caps w:val="0"/>
          <w:spacing w:val="0"/>
          <w:w w:val="100"/>
          <w:kern w:val="2"/>
          <w:sz w:val="24"/>
          <w:szCs w:val="24"/>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4、土建工程为：</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5 </w:t>
      </w:r>
      <w:r>
        <w:rPr>
          <w:rStyle w:val="136"/>
          <w:rFonts w:hint="eastAsia" w:ascii="宋体" w:hAnsi="宋体" w:eastAsia="宋体" w:cs="宋体"/>
          <w:b w:val="0"/>
          <w:i w:val="0"/>
          <w:caps w:val="0"/>
          <w:spacing w:val="0"/>
          <w:w w:val="100"/>
          <w:kern w:val="2"/>
          <w:sz w:val="24"/>
          <w:szCs w:val="24"/>
          <w:lang w:val="en-US" w:eastAsia="zh-CN" w:bidi="ar-SA"/>
        </w:rPr>
        <w:t>年；</w:t>
      </w:r>
    </w:p>
    <w:p>
      <w:pPr>
        <w:snapToGrid w:val="0"/>
        <w:spacing w:before="0" w:beforeAutospacing="0" w:after="0" w:afterAutospacing="0" w:line="360" w:lineRule="auto"/>
        <w:ind w:left="479" w:leftChars="228"/>
        <w:jc w:val="left"/>
        <w:textAlignment w:val="baseline"/>
        <w:rPr>
          <w:rStyle w:val="136"/>
          <w:rFonts w:hint="eastAsia" w:ascii="宋体" w:hAnsi="宋体" w:eastAsia="宋体" w:cs="宋体"/>
          <w:b w:val="0"/>
          <w:i w:val="0"/>
          <w:caps w:val="0"/>
          <w:spacing w:val="0"/>
          <w:w w:val="100"/>
          <w:kern w:val="2"/>
          <w:sz w:val="24"/>
          <w:szCs w:val="24"/>
          <w:u w:val="single"/>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5、消防工程：</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 2 </w:t>
      </w:r>
      <w:r>
        <w:rPr>
          <w:rStyle w:val="136"/>
          <w:rFonts w:hint="eastAsia" w:ascii="宋体" w:hAnsi="宋体" w:eastAsia="宋体" w:cs="宋体"/>
          <w:b w:val="0"/>
          <w:i w:val="0"/>
          <w:caps w:val="0"/>
          <w:spacing w:val="0"/>
          <w:w w:val="100"/>
          <w:kern w:val="2"/>
          <w:sz w:val="24"/>
          <w:szCs w:val="24"/>
          <w:lang w:val="en-US" w:eastAsia="zh-CN" w:bidi="ar-SA"/>
        </w:rPr>
        <w:t>年；</w:t>
      </w:r>
    </w:p>
    <w:p>
      <w:pPr>
        <w:snapToGrid w:val="0"/>
        <w:spacing w:before="0" w:beforeAutospacing="0" w:after="0" w:afterAutospacing="0" w:line="360" w:lineRule="auto"/>
        <w:ind w:left="479" w:leftChars="228"/>
        <w:jc w:val="left"/>
        <w:textAlignment w:val="baseline"/>
        <w:rPr>
          <w:rStyle w:val="136"/>
          <w:rFonts w:hint="eastAsia" w:ascii="宋体" w:hAnsi="宋体" w:eastAsia="宋体" w:cs="宋体"/>
          <w:b w:val="0"/>
          <w:i w:val="0"/>
          <w:caps w:val="0"/>
          <w:spacing w:val="0"/>
          <w:w w:val="100"/>
          <w:kern w:val="2"/>
          <w:sz w:val="24"/>
          <w:szCs w:val="24"/>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6、通风工程：</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 2 </w:t>
      </w:r>
      <w:r>
        <w:rPr>
          <w:rStyle w:val="136"/>
          <w:rFonts w:hint="eastAsia" w:ascii="宋体" w:hAnsi="宋体" w:eastAsia="宋体" w:cs="宋体"/>
          <w:b w:val="0"/>
          <w:i w:val="0"/>
          <w:caps w:val="0"/>
          <w:spacing w:val="0"/>
          <w:w w:val="100"/>
          <w:kern w:val="2"/>
          <w:sz w:val="24"/>
          <w:szCs w:val="24"/>
          <w:lang w:val="en-US" w:eastAsia="zh-CN" w:bidi="ar-SA"/>
        </w:rPr>
        <w:t>年；</w:t>
      </w:r>
    </w:p>
    <w:p>
      <w:pPr>
        <w:snapToGrid w:val="0"/>
        <w:spacing w:before="0" w:beforeAutospacing="0" w:after="0" w:afterAutospacing="0" w:line="360" w:lineRule="auto"/>
        <w:ind w:left="479" w:leftChars="228"/>
        <w:jc w:val="left"/>
        <w:textAlignment w:val="baseline"/>
        <w:rPr>
          <w:rStyle w:val="136"/>
          <w:rFonts w:hint="eastAsia" w:ascii="宋体" w:hAnsi="宋体" w:eastAsia="宋体" w:cs="宋体"/>
          <w:b w:val="0"/>
          <w:i w:val="0"/>
          <w:caps w:val="0"/>
          <w:spacing w:val="0"/>
          <w:w w:val="100"/>
          <w:kern w:val="2"/>
          <w:sz w:val="24"/>
          <w:szCs w:val="24"/>
          <w:u w:val="single"/>
          <w:lang w:val="en-US" w:eastAsia="zh-CN" w:bidi="ar-SA"/>
        </w:rPr>
      </w:pPr>
      <w:r>
        <w:rPr>
          <w:rStyle w:val="136"/>
          <w:rFonts w:hint="eastAsia" w:ascii="宋体" w:hAnsi="宋体" w:eastAsia="宋体" w:cs="宋体"/>
          <w:b w:val="0"/>
          <w:i w:val="0"/>
          <w:caps w:val="0"/>
          <w:spacing w:val="0"/>
          <w:w w:val="100"/>
          <w:kern w:val="2"/>
          <w:sz w:val="24"/>
          <w:szCs w:val="24"/>
          <w:lang w:val="en-US" w:eastAsia="zh-CN" w:bidi="ar-SA"/>
        </w:rPr>
        <w:t>7、其他约定：</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136"/>
          <w:rFonts w:hint="eastAsia" w:ascii="宋体" w:hAnsi="宋体" w:eastAsia="宋体" w:cs="宋体"/>
          <w:b w:val="0"/>
          <w:i w:val="0"/>
          <w:caps w:val="0"/>
          <w:spacing w:val="0"/>
          <w:w w:val="100"/>
          <w:kern w:val="2"/>
          <w:sz w:val="24"/>
          <w:szCs w:val="24"/>
          <w:lang w:val="en-US" w:eastAsia="zh-CN" w:bidi="ar-SA"/>
        </w:rPr>
        <w:t>工程为</w:t>
      </w:r>
      <w:r>
        <w:rPr>
          <w:rStyle w:val="136"/>
          <w:rFonts w:hint="eastAsia" w:ascii="宋体" w:hAnsi="宋体" w:eastAsia="宋体" w:cs="宋体"/>
          <w:b w:val="0"/>
          <w:i w:val="0"/>
          <w:caps w:val="0"/>
          <w:spacing w:val="0"/>
          <w:w w:val="100"/>
          <w:kern w:val="2"/>
          <w:sz w:val="24"/>
          <w:szCs w:val="24"/>
          <w:u w:val="single" w:color="000000"/>
          <w:lang w:val="en-US" w:eastAsia="zh-CN" w:bidi="ar-SA"/>
        </w:rPr>
        <w:t xml:space="preserve">      </w:t>
      </w:r>
      <w:r>
        <w:rPr>
          <w:rStyle w:val="136"/>
          <w:rFonts w:hint="eastAsia" w:ascii="宋体" w:hAnsi="宋体" w:eastAsia="宋体" w:cs="宋体"/>
          <w:b w:val="0"/>
          <w:i w:val="0"/>
          <w:caps w:val="0"/>
          <w:spacing w:val="0"/>
          <w:w w:val="100"/>
          <w:kern w:val="2"/>
          <w:sz w:val="24"/>
          <w:szCs w:val="24"/>
          <w:lang w:val="en-US" w:eastAsia="zh-CN" w:bidi="ar-SA"/>
        </w:rPr>
        <w:t>年。</w:t>
      </w:r>
    </w:p>
    <w:p>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三、质量保修责任</w:t>
      </w:r>
    </w:p>
    <w:p>
      <w:pPr>
        <w:spacing w:line="360" w:lineRule="auto"/>
        <w:ind w:firstLine="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1、属于保修范围和内容的项目，承包人应在接到修理通知之日后7天内派人修理。承包人不在约定期限内派人修理，发包人可委托其他人员修理，保修费用从质量保修金内扣除。</w:t>
      </w:r>
    </w:p>
    <w:p>
      <w:pPr>
        <w:spacing w:line="360" w:lineRule="auto"/>
        <w:ind w:firstLine="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2、发生须紧急抢修事故，承包人接到事故通知后，应立即到达事故现场抢修。非承包人施工质量引起的事故，抢修费用由发包人承担。</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3、在国家规定的工程合理使用期限内，承包人确保地基基础工程和主体结构的质量。因承包人原因致使工程在合理使用期限内造成人身和财产损害的，承包人应承担损害赔偿责任。</w:t>
      </w:r>
    </w:p>
    <w:p>
      <w:pPr>
        <w:numPr>
          <w:ilvl w:val="0"/>
          <w:numId w:val="5"/>
        </w:num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质量保修金的支付</w:t>
      </w:r>
    </w:p>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pPr>
        <w:numPr>
          <w:ilvl w:val="0"/>
          <w:numId w:val="5"/>
        </w:num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质量保修金的返还</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发包人在质量保修期满后14天内，将剩余保修金和利息返还承包人。</w:t>
      </w:r>
    </w:p>
    <w:p>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六、其他</w:t>
      </w:r>
    </w:p>
    <w:p>
      <w:pPr>
        <w:spacing w:line="360" w:lineRule="auto"/>
        <w:ind w:firstLine="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双方约定的其他工程质量保修事项：</w:t>
      </w:r>
    </w:p>
    <w:p>
      <w:pPr>
        <w:spacing w:line="360" w:lineRule="auto"/>
        <w:ind w:left="240" w:hanging="240" w:hanging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______________________________________________________________本工程质量保修作书为施工合同的附件，由施工合同发包人、承包人双方共同签订。</w:t>
      </w:r>
    </w:p>
    <w:p>
      <w:pPr>
        <w:spacing w:line="360" w:lineRule="auto"/>
        <w:ind w:left="240" w:hanging="240" w:hangingChars="100"/>
        <w:jc w:val="left"/>
        <w:rPr>
          <w:rFonts w:hint="eastAsia" w:ascii="宋体" w:hAnsi="宋体" w:eastAsia="宋体" w:cs="宋体"/>
          <w:sz w:val="24"/>
          <w:szCs w:val="24"/>
          <w:highlight w:val="none"/>
        </w:rPr>
      </w:pPr>
    </w:p>
    <w:p>
      <w:pPr>
        <w:spacing w:line="360" w:lineRule="auto"/>
        <w:ind w:firstLine="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发包人（公章）：______________           承包人（公章）：____________</w:t>
      </w:r>
    </w:p>
    <w:p>
      <w:pPr>
        <w:spacing w:line="360" w:lineRule="auto"/>
        <w:ind w:firstLine="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法定代表人（签字）：法定代表人（签字）：</w:t>
      </w:r>
    </w:p>
    <w:p>
      <w:pPr>
        <w:pStyle w:val="42"/>
        <w:rPr>
          <w:rFonts w:hint="eastAsia" w:ascii="宋体" w:hAnsi="宋体" w:eastAsia="宋体" w:cs="宋体"/>
          <w:color w:val="auto"/>
          <w:sz w:val="28"/>
          <w:szCs w:val="28"/>
          <w:highlight w:val="none"/>
          <w:u w:val="single"/>
          <w:lang w:val="en-US" w:eastAsia="zh-CN"/>
        </w:rPr>
        <w:sectPr>
          <w:pgSz w:w="11907" w:h="16840"/>
          <w:pgMar w:top="1247" w:right="1304" w:bottom="1247" w:left="1304" w:header="907" w:footer="533" w:gutter="0"/>
          <w:pgBorders>
            <w:top w:val="none" w:sz="0" w:space="0"/>
            <w:left w:val="none" w:sz="0" w:space="0"/>
            <w:bottom w:val="none" w:sz="0" w:space="0"/>
            <w:right w:val="none" w:sz="0" w:space="0"/>
          </w:pgBorders>
          <w:pgNumType w:fmt="decimal" w:chapStyle="1"/>
          <w:cols w:space="720" w:num="1"/>
          <w:docGrid w:linePitch="326" w:charSpace="0"/>
        </w:sectPr>
      </w:pPr>
      <w:r>
        <w:rPr>
          <w:rFonts w:hint="eastAsia" w:ascii="宋体" w:hAnsi="宋体" w:eastAsia="宋体" w:cs="宋体"/>
          <w:sz w:val="24"/>
          <w:szCs w:val="24"/>
          <w:highlight w:val="none"/>
        </w:rPr>
        <w:t>_____年_____月_____日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_____ 年_____月_____日</w:t>
      </w:r>
    </w:p>
    <w:p>
      <w:pPr>
        <w:numPr>
          <w:ilvl w:val="0"/>
          <w:numId w:val="0"/>
        </w:numPr>
        <w:spacing w:line="700" w:lineRule="exact"/>
        <w:jc w:val="center"/>
        <w:outlineLvl w:val="0"/>
        <w:rPr>
          <w:rFonts w:hint="eastAsia" w:ascii="宋体" w:hAnsi="宋体" w:eastAsia="宋体" w:cs="宋体"/>
          <w:b/>
          <w:color w:val="auto"/>
          <w:sz w:val="36"/>
          <w:szCs w:val="36"/>
          <w:highlight w:val="none"/>
        </w:rPr>
      </w:pPr>
      <w:bookmarkStart w:id="256" w:name="_Toc17910"/>
      <w:bookmarkStart w:id="257" w:name="_Toc25561"/>
      <w:bookmarkStart w:id="258" w:name="_Toc4285"/>
      <w:r>
        <w:rPr>
          <w:rFonts w:hint="eastAsia" w:ascii="宋体" w:hAnsi="宋体" w:eastAsia="宋体" w:cs="宋体"/>
          <w:b/>
          <w:color w:val="auto"/>
          <w:sz w:val="36"/>
          <w:szCs w:val="36"/>
          <w:highlight w:val="none"/>
          <w:lang w:val="en-US" w:eastAsia="zh-CN"/>
        </w:rPr>
        <w:t xml:space="preserve">第五章  </w:t>
      </w:r>
      <w:r>
        <w:rPr>
          <w:rFonts w:hint="eastAsia" w:ascii="宋体" w:hAnsi="宋体" w:eastAsia="宋体" w:cs="宋体"/>
          <w:b/>
          <w:color w:val="auto"/>
          <w:sz w:val="36"/>
          <w:szCs w:val="36"/>
          <w:highlight w:val="none"/>
        </w:rPr>
        <w:t>工程建设标准</w:t>
      </w:r>
      <w:bookmarkEnd w:id="256"/>
      <w:bookmarkEnd w:id="257"/>
      <w:bookmarkEnd w:id="258"/>
    </w:p>
    <w:p>
      <w:pPr>
        <w:pStyle w:val="7"/>
        <w:numPr>
          <w:ilvl w:val="0"/>
          <w:numId w:val="0"/>
        </w:numPr>
        <w:ind w:leftChars="0"/>
        <w:outlineLvl w:val="9"/>
        <w:rPr>
          <w:rFonts w:hint="eastAsia" w:ascii="宋体" w:hAnsi="宋体" w:eastAsia="宋体" w:cs="宋体"/>
          <w:highlight w:val="none"/>
        </w:rPr>
      </w:pP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一、依据设计文件的要求，本招标工程项目的材料、设备、施工须达到所涉及到的现行中华人民共和国以及省、自治区、直辖市或行业的工程建设标准、规范的要求。</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二、根据工程设计要求，该项工程项目的材料、设备、施工除必须达到上述第一条标准外，还应满足设计要求和采购人在招标文件中的有关要求。</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三、该工程项目的材料、设备、施工如无上述第一、二条的标准，在材料、设备的订货采购和施工安装时，应出具生产厂家或施工安装企业在技术监督部门已备案企业标准，并经监理和业主批准后方可实施。</w:t>
      </w:r>
    </w:p>
    <w:p>
      <w:pPr>
        <w:widowControl/>
        <w:jc w:val="left"/>
        <w:rPr>
          <w:rFonts w:hint="eastAsia" w:ascii="宋体" w:hAnsi="宋体" w:eastAsia="宋体" w:cs="宋体"/>
          <w:b/>
          <w:color w:val="auto"/>
          <w:sz w:val="44"/>
          <w:szCs w:val="44"/>
          <w:highlight w:val="none"/>
        </w:rPr>
      </w:pPr>
    </w:p>
    <w:p>
      <w:pPr>
        <w:spacing w:line="500" w:lineRule="exact"/>
        <w:ind w:firstLine="883" w:firstLineChars="200"/>
        <w:rPr>
          <w:rFonts w:hint="eastAsia" w:ascii="宋体" w:hAnsi="宋体" w:eastAsia="宋体" w:cs="宋体"/>
          <w:b/>
          <w:color w:val="auto"/>
          <w:sz w:val="44"/>
          <w:szCs w:val="44"/>
          <w:highlight w:val="none"/>
        </w:rPr>
      </w:pPr>
    </w:p>
    <w:p>
      <w:pPr>
        <w:spacing w:line="500" w:lineRule="exact"/>
        <w:ind w:firstLine="883" w:firstLineChars="200"/>
        <w:rPr>
          <w:rFonts w:hint="eastAsia" w:ascii="宋体" w:hAnsi="宋体" w:eastAsia="宋体" w:cs="宋体"/>
          <w:b/>
          <w:color w:val="auto"/>
          <w:sz w:val="44"/>
          <w:szCs w:val="44"/>
          <w:highlight w:val="none"/>
        </w:rPr>
      </w:pPr>
    </w:p>
    <w:p>
      <w:pPr>
        <w:spacing w:line="500" w:lineRule="exact"/>
        <w:ind w:firstLine="883" w:firstLineChars="200"/>
        <w:rPr>
          <w:rFonts w:hint="eastAsia" w:ascii="宋体" w:hAnsi="宋体" w:eastAsia="宋体" w:cs="宋体"/>
          <w:b/>
          <w:color w:val="auto"/>
          <w:sz w:val="44"/>
          <w:szCs w:val="44"/>
          <w:highlight w:val="none"/>
        </w:rPr>
      </w:pPr>
    </w:p>
    <w:p>
      <w:pPr>
        <w:spacing w:line="500" w:lineRule="exact"/>
        <w:ind w:firstLine="883" w:firstLineChars="200"/>
        <w:rPr>
          <w:rFonts w:hint="eastAsia" w:ascii="宋体" w:hAnsi="宋体" w:eastAsia="宋体" w:cs="宋体"/>
          <w:b/>
          <w:color w:val="auto"/>
          <w:sz w:val="44"/>
          <w:szCs w:val="44"/>
          <w:highlight w:val="none"/>
        </w:rPr>
      </w:pPr>
    </w:p>
    <w:p>
      <w:pPr>
        <w:pStyle w:val="41"/>
        <w:ind w:firstLine="280"/>
        <w:jc w:val="center"/>
        <w:rPr>
          <w:rFonts w:hint="eastAsia" w:ascii="宋体" w:hAnsi="宋体" w:eastAsia="宋体" w:cs="宋体"/>
          <w:szCs w:val="28"/>
        </w:rPr>
      </w:pPr>
    </w:p>
    <w:bookmarkEnd w:id="250"/>
    <w:p>
      <w:pPr>
        <w:rPr>
          <w:rFonts w:hint="eastAsia" w:ascii="宋体" w:hAnsi="宋体" w:eastAsia="宋体" w:cs="宋体"/>
          <w:b/>
          <w:bCs/>
          <w:color w:val="000000" w:themeColor="text1"/>
          <w:sz w:val="32"/>
          <w14:textFill>
            <w14:solidFill>
              <w14:schemeClr w14:val="tx1"/>
            </w14:solidFill>
          </w14:textFill>
        </w:rPr>
      </w:pPr>
      <w:bookmarkStart w:id="259" w:name="_Toc32648"/>
      <w:r>
        <w:rPr>
          <w:rFonts w:hint="eastAsia" w:ascii="宋体" w:hAnsi="宋体" w:eastAsia="宋体" w:cs="宋体"/>
          <w:b/>
          <w:bCs/>
          <w:color w:val="000000" w:themeColor="text1"/>
          <w:sz w:val="32"/>
          <w14:textFill>
            <w14:solidFill>
              <w14:schemeClr w14:val="tx1"/>
            </w14:solidFill>
          </w14:textFill>
        </w:rPr>
        <w:br w:type="page"/>
      </w:r>
    </w:p>
    <w:p>
      <w:pPr>
        <w:pStyle w:val="3"/>
        <w:jc w:val="center"/>
        <w:outlineLvl w:val="0"/>
        <w:rPr>
          <w:rFonts w:hint="eastAsia" w:ascii="宋体" w:hAnsi="宋体" w:eastAsia="宋体" w:cs="宋体"/>
          <w:sz w:val="24"/>
          <w:szCs w:val="24"/>
          <w:lang w:val="en-US" w:eastAsia="zh-CN"/>
        </w:rPr>
      </w:pPr>
      <w:bookmarkStart w:id="260" w:name="_Toc27150"/>
      <w:bookmarkStart w:id="261" w:name="_Toc21421"/>
      <w:bookmarkStart w:id="262" w:name="_Toc25326"/>
      <w:r>
        <w:rPr>
          <w:rFonts w:hint="eastAsia" w:ascii="宋体" w:hAnsi="宋体" w:eastAsia="宋体" w:cs="宋体"/>
          <w:b/>
          <w:sz w:val="32"/>
          <w:szCs w:val="32"/>
        </w:rPr>
        <w:t>第</w:t>
      </w:r>
      <w:r>
        <w:rPr>
          <w:rFonts w:hint="eastAsia" w:ascii="宋体" w:hAnsi="宋体" w:eastAsia="宋体" w:cs="宋体"/>
          <w:b/>
          <w:sz w:val="32"/>
          <w:szCs w:val="32"/>
          <w:lang w:eastAsia="zh-CN"/>
        </w:rPr>
        <w:t>六章</w:t>
      </w:r>
      <w:r>
        <w:rPr>
          <w:rFonts w:hint="eastAsia" w:ascii="宋体" w:hAnsi="宋体" w:eastAsia="宋体" w:cs="宋体"/>
          <w:b/>
          <w:sz w:val="32"/>
          <w:szCs w:val="32"/>
        </w:rPr>
        <w:t xml:space="preserve">  </w:t>
      </w:r>
      <w:bookmarkEnd w:id="259"/>
      <w:bookmarkEnd w:id="260"/>
      <w:bookmarkEnd w:id="261"/>
      <w:r>
        <w:rPr>
          <w:rFonts w:hint="eastAsia" w:ascii="宋体" w:hAnsi="宋体" w:eastAsia="宋体" w:cs="宋体"/>
          <w:b/>
          <w:sz w:val="32"/>
          <w:szCs w:val="32"/>
          <w:lang w:val="en-US" w:eastAsia="zh-CN"/>
        </w:rPr>
        <w:t>工程量清单及编制说明</w:t>
      </w:r>
      <w:bookmarkEnd w:id="262"/>
      <w:bookmarkStart w:id="263" w:name="_Toc339114188"/>
      <w:bookmarkStart w:id="264" w:name="_Toc144974855"/>
      <w:bookmarkStart w:id="265" w:name="_Toc152042575"/>
      <w:bookmarkStart w:id="266" w:name="_Toc152045786"/>
    </w:p>
    <w:p>
      <w:pPr>
        <w:spacing w:line="48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第一包：</w:t>
      </w:r>
      <w:r>
        <w:rPr>
          <w:rFonts w:hint="eastAsia" w:ascii="宋体" w:hAnsi="宋体" w:eastAsia="宋体" w:cs="宋体"/>
          <w:b/>
          <w:bCs/>
          <w:sz w:val="24"/>
          <w:szCs w:val="24"/>
        </w:rPr>
        <w:t>学校安全保障项目</w:t>
      </w:r>
    </w:p>
    <w:p>
      <w:pPr>
        <w:spacing w:line="48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编制说明</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一、工程概况</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工程名称：学校安全保障项目</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编制</w:t>
      </w:r>
      <w:r>
        <w:rPr>
          <w:rFonts w:hint="eastAsia" w:ascii="宋体" w:hAnsi="宋体" w:eastAsia="宋体" w:cs="宋体"/>
          <w:sz w:val="24"/>
          <w:szCs w:val="24"/>
        </w:rPr>
        <w:t xml:space="preserve">范围：学校安全保障项目设计图纸及确认工程量范围内的施工内容。 </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编制</w:t>
      </w:r>
      <w:r>
        <w:rPr>
          <w:rFonts w:hint="eastAsia" w:ascii="宋体" w:hAnsi="宋体" w:eastAsia="宋体" w:cs="宋体"/>
          <w:sz w:val="24"/>
          <w:szCs w:val="24"/>
        </w:rPr>
        <w:t>依据</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《陕西省建设工程工程量清单计价规则》（2009）。</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《陕西省建设工程工程量清单计价费率》（2009）。</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《全国统一房屋修缮工程预算定额陕西省价目表》（2001）。</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《陕西省建筑工程、安装工程、装饰工程、市政工程园林绿化工程消耗量定额》(2004)及相关的配套文件。</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与建设工程有关的标准、规范、图集、技术资料等。</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人工费调整执行陕建发陕建发〔2021〕1097号文件。</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关于调整陕西省建设工程计价依据的通知陕建〔2019〕45号文件。</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劳保统筹执行关于全省统一停止收缴建筑业劳保费用的通知陕建发﹝2021﹞1021号。</w:t>
      </w:r>
    </w:p>
    <w:p>
      <w:pPr>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材料价格执行《陕西省工程造价管理信息（材料信息价）》2023年6月及市场询价。</w:t>
      </w:r>
    </w:p>
    <w:p>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10.采用新点清单造价陕西版V10.X。</w:t>
      </w:r>
    </w:p>
    <w:p>
      <w:pPr>
        <w:pStyle w:val="3"/>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hAnsi="宋体" w:cs="宋体"/>
          <w:sz w:val="24"/>
          <w:szCs w:val="24"/>
          <w:lang w:val="en-US" w:eastAsia="zh-CN"/>
        </w:rPr>
        <w:t>1</w:t>
      </w:r>
      <w:r>
        <w:rPr>
          <w:rFonts w:hint="eastAsia" w:ascii="宋体" w:hAnsi="宋体" w:eastAsia="宋体" w:cs="宋体"/>
          <w:sz w:val="24"/>
          <w:szCs w:val="24"/>
          <w:lang w:val="en-US" w:eastAsia="zh-CN"/>
        </w:rPr>
        <w:t>.清单另附。</w:t>
      </w:r>
    </w:p>
    <w:p>
      <w:pPr>
        <w:pStyle w:val="3"/>
        <w:ind w:firstLine="480" w:firstLineChars="200"/>
        <w:rPr>
          <w:rFonts w:hint="eastAsia" w:ascii="宋体" w:hAnsi="宋体" w:eastAsia="宋体" w:cs="宋体"/>
          <w:sz w:val="24"/>
          <w:szCs w:val="24"/>
          <w:lang w:val="en-US" w:eastAsia="zh-CN"/>
        </w:rPr>
      </w:pPr>
    </w:p>
    <w:p>
      <w:pPr>
        <w:pStyle w:val="3"/>
        <w:ind w:firstLine="480" w:firstLineChars="200"/>
        <w:rPr>
          <w:rFonts w:hint="eastAsia" w:ascii="宋体" w:hAnsi="宋体" w:eastAsia="宋体" w:cs="宋体"/>
          <w:sz w:val="24"/>
          <w:szCs w:val="24"/>
          <w:lang w:val="en-US" w:eastAsia="zh-CN"/>
        </w:rPr>
        <w:sectPr>
          <w:pgSz w:w="11906" w:h="16838"/>
          <w:pgMar w:top="1418" w:right="1417" w:bottom="1418" w:left="1531" w:header="851" w:footer="992" w:gutter="0"/>
          <w:cols w:space="720" w:num="1"/>
          <w:titlePg/>
          <w:docGrid w:type="lines" w:linePitch="312" w:charSpace="0"/>
        </w:sectPr>
      </w:pPr>
    </w:p>
    <w:p>
      <w:pPr>
        <w:spacing w:line="360" w:lineRule="auto"/>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第二包：</w:t>
      </w:r>
      <w:r>
        <w:rPr>
          <w:rFonts w:hint="eastAsia" w:ascii="宋体" w:hAnsi="宋体" w:eastAsia="宋体" w:cs="宋体"/>
          <w:b/>
          <w:bCs w:val="0"/>
          <w:sz w:val="24"/>
          <w:szCs w:val="24"/>
          <w:lang w:val="en-US" w:eastAsia="zh-CN" w:bidi="ar-SA"/>
        </w:rPr>
        <w:t>兴丰路小学操场改造项目</w:t>
      </w:r>
    </w:p>
    <w:p>
      <w:pPr>
        <w:spacing w:line="360" w:lineRule="auto"/>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rPr>
        <w:t>编制说</w:t>
      </w:r>
      <w:r>
        <w:rPr>
          <w:rFonts w:hint="eastAsia" w:ascii="宋体" w:hAnsi="宋体" w:eastAsia="宋体" w:cs="宋体"/>
          <w:b w:val="0"/>
          <w:bCs/>
          <w:sz w:val="24"/>
          <w:szCs w:val="24"/>
        </w:rPr>
        <w:t>明</w:t>
      </w:r>
      <w:r>
        <w:rPr>
          <w:rFonts w:hint="eastAsia" w:ascii="宋体" w:hAnsi="宋体" w:eastAsia="宋体" w:cs="宋体"/>
          <w:b w:val="0"/>
          <w:bCs/>
          <w:sz w:val="24"/>
          <w:szCs w:val="24"/>
          <w:lang w:val="en-US" w:eastAsia="zh-CN" w:bidi="ar-SA"/>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一、工程概况：</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本项目为兴丰路小学操场改造项目</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二、编制依据：</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1.工程施工图纸、招标文件；</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2.《陕西省建设工程工程量清单计价规则》（2009）；</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3.《工程量清单计价规范》（2009）；</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4.《陕西省建设工程量清单计价费率》（2009）；</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5.《陕西省建筑 装饰 安装工程价目表2009》；</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6.《陕西省建筑 装饰 安装工程消耗量定额》（2004年）；</w:t>
      </w:r>
    </w:p>
    <w:p>
      <w:pPr>
        <w:widowControl w:val="0"/>
        <w:spacing w:line="360" w:lineRule="auto"/>
        <w:ind w:firstLine="480" w:firstLineChars="20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7.《陕西省市政工程消耗量定额》（2004）及补充定额等；</w:t>
      </w:r>
    </w:p>
    <w:p>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8.人工费调整按照陕建发【2021】1097号文件；</w:t>
      </w:r>
    </w:p>
    <w:p>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9.采用新点清单造价陕西版V10.X</w:t>
      </w:r>
      <w:r>
        <w:rPr>
          <w:rFonts w:hint="eastAsia" w:ascii="宋体" w:hAnsi="宋体" w:cs="宋体"/>
          <w:b w:val="0"/>
          <w:bCs w:val="0"/>
          <w:sz w:val="24"/>
          <w:szCs w:val="24"/>
          <w:lang w:val="en-US" w:eastAsia="zh-CN" w:bidi="ar-SA"/>
        </w:rPr>
        <w:t>编制</w:t>
      </w:r>
      <w:r>
        <w:rPr>
          <w:rFonts w:hint="eastAsia" w:ascii="宋体" w:hAnsi="宋体" w:eastAsia="宋体" w:cs="宋体"/>
          <w:b w:val="0"/>
          <w:bCs w:val="0"/>
          <w:sz w:val="24"/>
          <w:szCs w:val="24"/>
          <w:lang w:val="en-US" w:eastAsia="zh-CN" w:bidi="ar-SA"/>
        </w:rPr>
        <w:t>。</w:t>
      </w:r>
    </w:p>
    <w:p>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10</w:t>
      </w:r>
      <w:r>
        <w:rPr>
          <w:rFonts w:hint="eastAsia" w:ascii="宋体" w:hAnsi="宋体" w:eastAsia="宋体" w:cs="宋体"/>
          <w:b w:val="0"/>
          <w:bCs w:val="0"/>
          <w:sz w:val="24"/>
          <w:szCs w:val="24"/>
          <w:lang w:val="en-US" w:eastAsia="zh-CN" w:bidi="ar-SA"/>
        </w:rPr>
        <w:t>.清单另附。</w:t>
      </w:r>
    </w:p>
    <w:p>
      <w:pPr>
        <w:pStyle w:val="3"/>
        <w:ind w:firstLine="480" w:firstLineChars="200"/>
        <w:rPr>
          <w:rFonts w:hint="eastAsia" w:ascii="宋体" w:hAnsi="宋体" w:eastAsia="宋体" w:cs="宋体"/>
          <w:sz w:val="24"/>
          <w:szCs w:val="24"/>
          <w:lang w:val="en-US" w:eastAsia="zh-CN"/>
        </w:rPr>
        <w:sectPr>
          <w:pgSz w:w="11906" w:h="16838"/>
          <w:pgMar w:top="1418" w:right="1417" w:bottom="1418" w:left="1531" w:header="851" w:footer="992" w:gutter="0"/>
          <w:cols w:space="720" w:num="1"/>
          <w:titlePg/>
          <w:docGrid w:type="lines" w:linePitch="312" w:charSpace="0"/>
        </w:sectPr>
      </w:pPr>
    </w:p>
    <w:p>
      <w:pPr>
        <w:pStyle w:val="3"/>
        <w:ind w:firstLine="480" w:firstLineChars="200"/>
        <w:rPr>
          <w:rFonts w:hint="eastAsia" w:ascii="宋体" w:hAnsi="宋体" w:eastAsia="宋体" w:cs="宋体"/>
          <w:sz w:val="24"/>
          <w:szCs w:val="24"/>
          <w:lang w:val="en-US" w:eastAsia="zh-CN"/>
        </w:rPr>
      </w:pPr>
    </w:p>
    <w:p>
      <w:pPr>
        <w:spacing w:line="500" w:lineRule="exact"/>
        <w:textAlignment w:val="baseline"/>
        <w:rPr>
          <w:rFonts w:hint="eastAsia" w:ascii="宋体" w:hAnsi="宋体" w:eastAsia="宋体" w:cs="宋体"/>
          <w:b/>
          <w:color w:val="000000" w:themeColor="text1"/>
          <w:kern w:val="0"/>
          <w:sz w:val="32"/>
          <w:szCs w:val="32"/>
          <w14:textFill>
            <w14:solidFill>
              <w14:schemeClr w14:val="tx1"/>
            </w14:solidFill>
          </w14:textFill>
        </w:rPr>
      </w:pPr>
    </w:p>
    <w:p>
      <w:pPr>
        <w:jc w:val="center"/>
        <w:outlineLvl w:val="0"/>
        <w:rPr>
          <w:rFonts w:hint="eastAsia" w:ascii="宋体" w:hAnsi="宋体" w:eastAsia="宋体" w:cs="宋体"/>
          <w:b/>
          <w:bCs/>
          <w:color w:val="000000" w:themeColor="text1"/>
          <w:sz w:val="32"/>
          <w14:textFill>
            <w14:solidFill>
              <w14:schemeClr w14:val="tx1"/>
            </w14:solidFill>
          </w14:textFill>
        </w:rPr>
      </w:pPr>
      <w:bookmarkStart w:id="267" w:name="_Toc20857"/>
      <w:bookmarkStart w:id="268" w:name="_Toc3982"/>
      <w:bookmarkStart w:id="269" w:name="_Toc30090"/>
      <w:bookmarkStart w:id="270" w:name="_Toc30604"/>
      <w:r>
        <w:rPr>
          <w:rFonts w:hint="eastAsia" w:ascii="宋体" w:hAnsi="宋体" w:eastAsia="宋体" w:cs="宋体"/>
          <w:b/>
          <w:bCs/>
          <w:color w:val="000000" w:themeColor="text1"/>
          <w:sz w:val="32"/>
          <w14:textFill>
            <w14:solidFill>
              <w14:schemeClr w14:val="tx1"/>
            </w14:solidFill>
          </w14:textFill>
        </w:rPr>
        <w:t>第</w:t>
      </w:r>
      <w:r>
        <w:rPr>
          <w:rFonts w:hint="eastAsia" w:ascii="宋体" w:hAnsi="宋体" w:eastAsia="宋体" w:cs="宋体"/>
          <w:b/>
          <w:bCs/>
          <w:color w:val="000000" w:themeColor="text1"/>
          <w:sz w:val="32"/>
          <w:lang w:eastAsia="zh-CN"/>
          <w14:textFill>
            <w14:solidFill>
              <w14:schemeClr w14:val="tx1"/>
            </w14:solidFill>
          </w14:textFill>
        </w:rPr>
        <w:t>七章</w:t>
      </w:r>
      <w:r>
        <w:rPr>
          <w:rFonts w:hint="eastAsia" w:ascii="宋体" w:hAnsi="宋体" w:eastAsia="宋体" w:cs="宋体"/>
          <w:b/>
          <w:bCs/>
          <w:color w:val="000000" w:themeColor="text1"/>
          <w:sz w:val="32"/>
          <w14:textFill>
            <w14:solidFill>
              <w14:schemeClr w14:val="tx1"/>
            </w14:solidFill>
          </w14:textFill>
        </w:rPr>
        <w:t xml:space="preserve">  投标文件格式</w:t>
      </w:r>
      <w:bookmarkEnd w:id="263"/>
      <w:bookmarkEnd w:id="267"/>
      <w:bookmarkEnd w:id="268"/>
      <w:bookmarkEnd w:id="269"/>
      <w:bookmarkEnd w:id="270"/>
    </w:p>
    <w:bookmarkEnd w:id="264"/>
    <w:bookmarkEnd w:id="265"/>
    <w:bookmarkEnd w:id="266"/>
    <w:p>
      <w:pPr>
        <w:spacing w:line="400" w:lineRule="exact"/>
        <w:rPr>
          <w:rFonts w:hint="eastAsia" w:ascii="宋体" w:hAnsi="宋体" w:eastAsia="宋体" w:cs="宋体"/>
          <w:color w:val="000000" w:themeColor="text1"/>
          <w:szCs w:val="21"/>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投标文件编制说明</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1、投标文件应当使用招标文件规定的全部格式（表格可以按同样格式扩展）编写，除明确允许投标人可以自行编写的外，投标人不得以“投标文件格式”规定之外的方式填写相关内容。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2、投标文件的编制应按照样本格式提供的内容，做出逐一明确的答复；投标人认为有必要，还可以做其它补充说明。</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3、投标人必须按照招标文件的规定和要求由法定代表人或被授权人签字（或盖章）。</w:t>
      </w: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Cs w:val="21"/>
          <w14:textFill>
            <w14:solidFill>
              <w14:schemeClr w14:val="tx1"/>
            </w14:solidFill>
          </w14:textFill>
        </w:rPr>
      </w:pP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tabs>
          <w:tab w:val="left" w:pos="360"/>
        </w:tabs>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项目编号：</w:t>
      </w: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rPr>
      </w:pPr>
    </w:p>
    <w:p>
      <w:pPr>
        <w:spacing w:line="560" w:lineRule="exact"/>
        <w:jc w:val="center"/>
        <w:rPr>
          <w:rFonts w:hint="eastAsia" w:ascii="宋体" w:hAnsi="宋体" w:eastAsia="宋体" w:cs="宋体"/>
          <w:b/>
          <w:bCs/>
          <w:color w:val="000000" w:themeColor="text1"/>
          <w:sz w:val="52"/>
          <w:szCs w:val="52"/>
          <w14:textFill>
            <w14:solidFill>
              <w14:schemeClr w14:val="tx1"/>
            </w14:solidFill>
          </w14:textFill>
        </w:rPr>
      </w:pPr>
    </w:p>
    <w:p>
      <w:pPr>
        <w:pStyle w:val="2"/>
        <w:rPr>
          <w:rFonts w:hint="eastAsia" w:ascii="宋体" w:hAnsi="宋体" w:eastAsia="宋体" w:cs="宋体"/>
          <w:b/>
          <w:color w:val="000000" w:themeColor="text1"/>
          <w:sz w:val="96"/>
          <w:szCs w:val="96"/>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tabs>
          <w:tab w:val="left" w:pos="360"/>
        </w:tabs>
        <w:spacing w:line="360" w:lineRule="auto"/>
        <w:jc w:val="center"/>
        <w:rPr>
          <w:rFonts w:hint="eastAsia" w:ascii="宋体" w:hAnsi="宋体" w:eastAsia="宋体" w:cs="宋体"/>
          <w:b/>
          <w:color w:val="000000" w:themeColor="text1"/>
          <w:sz w:val="52"/>
          <w:szCs w:val="52"/>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西安市未央区教育局学校安全保障项目</w:t>
      </w:r>
    </w:p>
    <w:p>
      <w:pPr>
        <w:ind w:firstLine="186" w:firstLineChars="42"/>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w:t>
      </w:r>
      <w:r>
        <w:rPr>
          <w:rFonts w:hint="eastAsia" w:ascii="宋体" w:hAnsi="宋体" w:cs="宋体"/>
          <w:b/>
          <w:bCs/>
          <w:color w:val="000000" w:themeColor="text1"/>
          <w:sz w:val="44"/>
          <w:szCs w:val="44"/>
          <w:lang w:val="en-US" w:eastAsia="zh-CN"/>
          <w14:textFill>
            <w14:solidFill>
              <w14:schemeClr w14:val="tx1"/>
            </w14:solidFill>
          </w14:textFill>
        </w:rPr>
        <w:t>包号</w:t>
      </w:r>
      <w:r>
        <w:rPr>
          <w:rFonts w:hint="eastAsia" w:ascii="宋体" w:hAnsi="宋体" w:cs="宋体"/>
          <w:b/>
          <w:bCs/>
          <w:color w:val="000000" w:themeColor="text1"/>
          <w:sz w:val="44"/>
          <w:szCs w:val="44"/>
          <w:lang w:eastAsia="zh-CN"/>
          <w14:textFill>
            <w14:solidFill>
              <w14:schemeClr w14:val="tx1"/>
            </w14:solidFill>
          </w14:textFill>
        </w:rPr>
        <w:t>）</w:t>
      </w:r>
    </w:p>
    <w:p>
      <w:pPr>
        <w:tabs>
          <w:tab w:val="left" w:pos="360"/>
        </w:tabs>
        <w:spacing w:line="360" w:lineRule="auto"/>
        <w:jc w:val="center"/>
        <w:rPr>
          <w:rFonts w:hint="eastAsia" w:ascii="宋体" w:hAnsi="宋体" w:eastAsia="宋体" w:cs="宋体"/>
          <w:b/>
          <w:color w:val="000000" w:themeColor="text1"/>
          <w:sz w:val="100"/>
          <w:szCs w:val="100"/>
          <w14:textFill>
            <w14:solidFill>
              <w14:schemeClr w14:val="tx1"/>
            </w14:solidFill>
          </w14:textFill>
        </w:rPr>
      </w:pPr>
    </w:p>
    <w:p>
      <w:pPr>
        <w:tabs>
          <w:tab w:val="left" w:pos="360"/>
        </w:tabs>
        <w:spacing w:line="360" w:lineRule="auto"/>
        <w:jc w:val="center"/>
        <w:rPr>
          <w:rFonts w:hint="eastAsia" w:ascii="宋体" w:hAnsi="宋体" w:eastAsia="宋体" w:cs="宋体"/>
          <w:b/>
          <w:color w:val="000000" w:themeColor="text1"/>
          <w:sz w:val="100"/>
          <w:szCs w:val="100"/>
          <w14:textFill>
            <w14:solidFill>
              <w14:schemeClr w14:val="tx1"/>
            </w14:solidFill>
          </w14:textFill>
        </w:rPr>
      </w:pPr>
      <w:r>
        <w:rPr>
          <w:rFonts w:hint="eastAsia" w:ascii="宋体" w:hAnsi="宋体" w:eastAsia="宋体" w:cs="宋体"/>
          <w:b/>
          <w:color w:val="000000" w:themeColor="text1"/>
          <w:sz w:val="100"/>
          <w:szCs w:val="100"/>
          <w14:textFill>
            <w14:solidFill>
              <w14:schemeClr w14:val="tx1"/>
            </w14:solidFill>
          </w14:textFill>
        </w:rPr>
        <w:t>投标文件</w:t>
      </w:r>
    </w:p>
    <w:p>
      <w:pPr>
        <w:tabs>
          <w:tab w:val="left" w:pos="360"/>
        </w:tabs>
        <w:spacing w:line="360" w:lineRule="auto"/>
        <w:jc w:val="center"/>
        <w:rPr>
          <w:rFonts w:hint="eastAsia" w:ascii="宋体" w:hAnsi="宋体" w:eastAsia="宋体" w:cs="宋体"/>
          <w:b/>
          <w:color w:val="000000" w:themeColor="text1"/>
          <w:sz w:val="30"/>
          <w:szCs w:val="30"/>
          <w14:textFill>
            <w14:solidFill>
              <w14:schemeClr w14:val="tx1"/>
            </w14:solidFill>
          </w14:textFill>
        </w:rPr>
      </w:pPr>
    </w:p>
    <w:p>
      <w:pPr>
        <w:pStyle w:val="2"/>
        <w:rPr>
          <w:rFonts w:hint="eastAsia" w:ascii="宋体" w:hAnsi="宋体" w:eastAsia="宋体" w:cs="宋体"/>
        </w:rPr>
      </w:pPr>
    </w:p>
    <w:p>
      <w:pPr>
        <w:tabs>
          <w:tab w:val="left" w:pos="360"/>
        </w:tabs>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tabs>
          <w:tab w:val="left" w:pos="360"/>
        </w:tabs>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pPr>
        <w:tabs>
          <w:tab w:val="left" w:pos="360"/>
        </w:tabs>
        <w:spacing w:line="360" w:lineRule="auto"/>
        <w:ind w:firstLine="1254" w:firstLineChars="446"/>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法定代表人或被委托人：（签字或盖章）</w:t>
      </w:r>
    </w:p>
    <w:p>
      <w:pPr>
        <w:tabs>
          <w:tab w:val="left" w:pos="360"/>
        </w:tabs>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月</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日</w:t>
      </w:r>
    </w:p>
    <w:p>
      <w:pPr>
        <w:rPr>
          <w:rFonts w:hint="eastAsia" w:ascii="宋体" w:hAnsi="宋体" w:eastAsia="宋体" w:cs="宋体"/>
          <w:b/>
          <w:color w:val="000000" w:themeColor="text1"/>
          <w:sz w:val="32"/>
          <w:szCs w:val="32"/>
          <w14:textFill>
            <w14:solidFill>
              <w14:schemeClr w14:val="tx1"/>
            </w14:solidFill>
          </w14:textFill>
        </w:rPr>
        <w:sectPr>
          <w:pgSz w:w="11906" w:h="16838"/>
          <w:pgMar w:top="1418" w:right="1417" w:bottom="1418" w:left="1531" w:header="851" w:footer="992" w:gutter="0"/>
          <w:cols w:space="720" w:num="1"/>
          <w:titlePg/>
          <w:docGrid w:type="lines" w:linePitch="312" w:charSpace="0"/>
        </w:sectPr>
      </w:pPr>
    </w:p>
    <w:p>
      <w:pPr>
        <w:spacing w:line="460" w:lineRule="exact"/>
        <w:jc w:val="center"/>
        <w:rPr>
          <w:rFonts w:hint="eastAsia" w:ascii="宋体" w:hAnsi="宋体" w:eastAsia="宋体" w:cs="宋体"/>
          <w:b/>
          <w:color w:val="000000" w:themeColor="text1"/>
          <w:sz w:val="44"/>
          <w:szCs w:val="44"/>
          <w14:textFill>
            <w14:solidFill>
              <w14:schemeClr w14:val="tx1"/>
            </w14:solidFill>
          </w14:textFill>
        </w:rPr>
      </w:pPr>
    </w:p>
    <w:p>
      <w:pPr>
        <w:spacing w:line="460" w:lineRule="exact"/>
        <w:jc w:val="center"/>
        <w:rPr>
          <w:rFonts w:hint="eastAsia" w:ascii="宋体" w:hAnsi="宋体" w:eastAsia="宋体" w:cs="宋体"/>
          <w:b/>
          <w:color w:val="000000" w:themeColor="text1"/>
          <w:sz w:val="44"/>
          <w:szCs w:val="44"/>
          <w14:textFill>
            <w14:solidFill>
              <w14:schemeClr w14:val="tx1"/>
            </w14:solidFill>
          </w14:textFill>
        </w:rPr>
        <w:sectPr>
          <w:type w:val="continuous"/>
          <w:pgSz w:w="11906" w:h="16838"/>
          <w:pgMar w:top="1247" w:right="1304" w:bottom="1247" w:left="1304" w:header="907" w:footer="533" w:gutter="0"/>
          <w:pgBorders>
            <w:top w:val="none" w:sz="0" w:space="0"/>
            <w:left w:val="none" w:sz="0" w:space="0"/>
            <w:bottom w:val="none" w:sz="0" w:space="0"/>
            <w:right w:val="none" w:sz="0" w:space="0"/>
          </w:pgBorders>
          <w:pgNumType w:fmt="decimal"/>
          <w:cols w:space="720" w:num="1"/>
          <w:docGrid w:type="lines" w:linePitch="312" w:charSpace="0"/>
        </w:sectPr>
      </w:pPr>
      <w:bookmarkStart w:id="271" w:name="_Toc18344"/>
    </w:p>
    <w:p>
      <w:pPr>
        <w:spacing w:line="460" w:lineRule="exact"/>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目录</w:t>
      </w:r>
      <w:bookmarkEnd w:id="271"/>
    </w:p>
    <w:p>
      <w:pPr>
        <w:spacing w:line="360" w:lineRule="auto"/>
        <w:outlineLvl w:val="0"/>
        <w:rPr>
          <w:rFonts w:hint="eastAsia" w:ascii="宋体" w:hAnsi="宋体" w:eastAsia="宋体" w:cs="宋体"/>
          <w:b/>
          <w:bCs/>
          <w:sz w:val="24"/>
          <w:highlight w:val="none"/>
        </w:rPr>
      </w:pPr>
      <w:bookmarkStart w:id="272" w:name="_Toc29788"/>
      <w:r>
        <w:rPr>
          <w:rFonts w:hint="eastAsia" w:ascii="宋体" w:hAnsi="宋体" w:eastAsia="宋体" w:cs="宋体"/>
          <w:b/>
          <w:bCs/>
          <w:sz w:val="24"/>
          <w:highlight w:val="none"/>
        </w:rPr>
        <w:t>A、商务部分：</w:t>
      </w:r>
      <w:bookmarkEnd w:id="272"/>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函；</w:t>
      </w:r>
    </w:p>
    <w:p>
      <w:pPr>
        <w:pStyle w:val="1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报价一览表；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（3）法定代表人授权委托书；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（4）工程量清单计价表；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（5）履约承诺书（格式）</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（6）</w:t>
      </w:r>
      <w:r>
        <w:rPr>
          <w:rFonts w:hint="eastAsia" w:ascii="宋体" w:hAnsi="宋体" w:eastAsia="宋体" w:cs="宋体"/>
          <w:sz w:val="24"/>
          <w:highlight w:val="none"/>
          <w:lang w:val="en-US" w:eastAsia="zh-CN"/>
        </w:rPr>
        <w:t>项目完工后的维修及保修承诺</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（7）业绩</w:t>
      </w:r>
    </w:p>
    <w:p>
      <w:pPr>
        <w:spacing w:line="480" w:lineRule="exact"/>
        <w:ind w:firstLine="241" w:firstLineChars="100"/>
        <w:outlineLvl w:val="0"/>
        <w:rPr>
          <w:rFonts w:hint="eastAsia" w:ascii="宋体" w:hAnsi="宋体" w:eastAsia="宋体" w:cs="宋体"/>
          <w:b/>
          <w:bCs/>
          <w:sz w:val="24"/>
          <w:highlight w:val="none"/>
        </w:rPr>
      </w:pPr>
      <w:bookmarkStart w:id="273" w:name="_Toc11011"/>
      <w:bookmarkStart w:id="274" w:name="_Toc14946"/>
      <w:bookmarkStart w:id="275" w:name="_Toc25647"/>
      <w:r>
        <w:rPr>
          <w:rFonts w:hint="eastAsia" w:ascii="宋体" w:hAnsi="宋体" w:eastAsia="宋体" w:cs="宋体"/>
          <w:b/>
          <w:bCs/>
          <w:sz w:val="24"/>
          <w:highlight w:val="none"/>
        </w:rPr>
        <w:t>B、技术部分：</w:t>
      </w:r>
      <w:bookmarkEnd w:id="273"/>
      <w:bookmarkEnd w:id="274"/>
      <w:bookmarkEnd w:id="275"/>
    </w:p>
    <w:p>
      <w:pPr>
        <w:spacing w:line="480" w:lineRule="exact"/>
        <w:outlineLvl w:val="2"/>
        <w:rPr>
          <w:rFonts w:hint="eastAsia" w:ascii="宋体" w:hAnsi="宋体" w:eastAsia="宋体" w:cs="宋体"/>
          <w:sz w:val="24"/>
          <w:highlight w:val="none"/>
        </w:rPr>
      </w:pPr>
      <w:r>
        <w:rPr>
          <w:rFonts w:hint="eastAsia" w:ascii="宋体" w:hAnsi="宋体" w:eastAsia="宋体" w:cs="宋体"/>
          <w:sz w:val="24"/>
          <w:highlight w:val="none"/>
        </w:rPr>
        <w:t>（一）施工组织设计</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（1）施工总体方案；</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（2）确保工程质量技术组织措施；</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（3）确保安全生产技术措施；</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（4）确保文明施工技术组织措施；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（5）确保环境保护技术组织措施；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（6）确保工期技术组织措施；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（7）施工组织和项目管理机构；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（8）施工总平面布置；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（9）施工机械设备和材料投入计划；</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（10）劳动力安排计划。 </w:t>
      </w:r>
    </w:p>
    <w:p>
      <w:pPr>
        <w:spacing w:line="480" w:lineRule="exact"/>
        <w:outlineLvl w:val="2"/>
        <w:rPr>
          <w:rFonts w:hint="eastAsia" w:ascii="宋体" w:hAnsi="宋体" w:eastAsia="宋体" w:cs="宋体"/>
          <w:sz w:val="24"/>
          <w:highlight w:val="none"/>
        </w:rPr>
      </w:pPr>
      <w:r>
        <w:rPr>
          <w:rFonts w:hint="eastAsia" w:ascii="宋体" w:hAnsi="宋体" w:eastAsia="宋体" w:cs="宋体"/>
          <w:sz w:val="24"/>
          <w:highlight w:val="none"/>
        </w:rPr>
        <w:t>（二）项目管理机构</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（1）项目管理机构组成；</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（2）主要人员简历。</w:t>
      </w:r>
    </w:p>
    <w:p>
      <w:pPr>
        <w:spacing w:line="480" w:lineRule="exact"/>
        <w:ind w:firstLine="241" w:firstLineChars="100"/>
        <w:outlineLvl w:val="0"/>
        <w:rPr>
          <w:rFonts w:hint="eastAsia" w:ascii="宋体" w:hAnsi="宋体" w:eastAsia="宋体" w:cs="宋体"/>
          <w:b/>
          <w:bCs/>
          <w:sz w:val="24"/>
          <w:highlight w:val="none"/>
        </w:rPr>
      </w:pPr>
      <w:bookmarkStart w:id="276" w:name="_Toc11661"/>
      <w:r>
        <w:rPr>
          <w:rFonts w:hint="eastAsia" w:ascii="宋体" w:hAnsi="宋体" w:eastAsia="宋体" w:cs="宋体"/>
          <w:b/>
          <w:bCs/>
          <w:sz w:val="24"/>
          <w:highlight w:val="none"/>
        </w:rPr>
        <w:t>C、资格证明部分：</w:t>
      </w:r>
      <w:bookmarkEnd w:id="276"/>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必备资格证明文件；</w:t>
      </w:r>
    </w:p>
    <w:p>
      <w:pPr>
        <w:pStyle w:val="97"/>
        <w:ind w:firstLine="2530" w:firstLineChars="84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30"/>
          <w14:textFill>
            <w14:solidFill>
              <w14:schemeClr w14:val="tx1"/>
            </w14:solidFill>
          </w14:textFill>
        </w:rPr>
        <w:br w:type="page"/>
      </w:r>
    </w:p>
    <w:p>
      <w:pPr>
        <w:widowControl/>
        <w:jc w:val="left"/>
        <w:outlineLvl w:val="0"/>
        <w:rPr>
          <w:rFonts w:hint="eastAsia" w:ascii="宋体" w:hAnsi="宋体" w:eastAsia="宋体" w:cs="宋体"/>
          <w:b/>
          <w:bCs/>
          <w:color w:val="auto"/>
          <w:sz w:val="28"/>
          <w:szCs w:val="28"/>
          <w:highlight w:val="none"/>
          <w:lang w:eastAsia="zh-CN"/>
        </w:rPr>
      </w:pPr>
      <w:bookmarkStart w:id="277" w:name="_Toc7748"/>
      <w:r>
        <w:rPr>
          <w:rFonts w:hint="eastAsia" w:ascii="宋体" w:hAnsi="宋体" w:eastAsia="宋体" w:cs="宋体"/>
          <w:b/>
          <w:bCs/>
          <w:color w:val="auto"/>
          <w:sz w:val="28"/>
          <w:szCs w:val="28"/>
          <w:highlight w:val="none"/>
        </w:rPr>
        <w:t>A.  商务</w:t>
      </w:r>
      <w:r>
        <w:rPr>
          <w:rFonts w:hint="eastAsia" w:ascii="宋体" w:hAnsi="宋体" w:eastAsia="宋体" w:cs="宋体"/>
          <w:b/>
          <w:bCs/>
          <w:color w:val="auto"/>
          <w:sz w:val="28"/>
          <w:szCs w:val="28"/>
          <w:highlight w:val="none"/>
          <w:lang w:val="en-US" w:eastAsia="zh-CN"/>
        </w:rPr>
        <w:t>部分</w:t>
      </w:r>
      <w:bookmarkEnd w:id="277"/>
    </w:p>
    <w:p>
      <w:pPr>
        <w:tabs>
          <w:tab w:val="left" w:pos="3500"/>
          <w:tab w:val="left" w:pos="3700"/>
        </w:tabs>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（1）</w:t>
      </w:r>
      <w:r>
        <w:rPr>
          <w:rFonts w:hint="eastAsia" w:ascii="宋体" w:hAnsi="宋体" w:eastAsia="宋体" w:cs="宋体"/>
          <w:b/>
          <w:color w:val="auto"/>
          <w:sz w:val="32"/>
          <w:szCs w:val="32"/>
          <w:highlight w:val="none"/>
        </w:rPr>
        <w:t>投标函</w:t>
      </w:r>
    </w:p>
    <w:p>
      <w:pPr>
        <w:tabs>
          <w:tab w:val="left" w:pos="3500"/>
          <w:tab w:val="left" w:pos="3700"/>
        </w:tabs>
        <w:spacing w:line="48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rPr>
        <w:t>：</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1、根据贵方的</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rPr>
        <w:t>的招标文件，经踏勘项目现场和研究上述招标文件的投标须知、合同条款、工程建设标准、工程量清单及其他有关文件后，我方愿以人民币（大写）</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元的投标报价承包工程的施工、竣工，并承担任何质量缺陷保修责任。</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2、我方已详细审核全部招标文件，包括答疑纪要及有关附件。</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3、我方保证上述投标报价不低于我单位工程施工的成本价。</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4、若我方中标，我方保证按投标工期</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日历天内完成合同约定的竣工日要求并移交全部工程。</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5、我方保证工程质量等级达到</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6、我方同意所提交的投标文件在招标文件规定的投标有效期内有效，在此期间内如果中标，我方将受此约束。</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7、在合同协议书正式签署生效之前，你方的招标文件、答疑纪要、中标通知书和本投</w:t>
      </w:r>
      <w:r>
        <w:rPr>
          <w:rFonts w:hint="eastAsia" w:ascii="宋体" w:hAnsi="宋体" w:eastAsia="宋体" w:cs="宋体"/>
          <w:spacing w:val="-6"/>
          <w:sz w:val="24"/>
          <w:szCs w:val="24"/>
          <w:highlight w:val="none"/>
        </w:rPr>
        <w:t>标文件以及我方的有关承诺将构成我们约束双方之间共同遵守的文件，对双方具有约束力。</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8、我方理解你方不负担我们的任何投标费用，我方不要求你方对未中标原因作任何解释，也不退回投标文件。</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、若我方被选为成交供应商，我方保证按有关规定向贵方支付招标服务费。</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有效期为自</w:t>
      </w:r>
      <w:r>
        <w:rPr>
          <w:rFonts w:hint="eastAsia" w:ascii="宋体" w:hAnsi="宋体" w:eastAsia="宋体" w:cs="宋体"/>
          <w:sz w:val="24"/>
          <w:szCs w:val="24"/>
          <w:highlight w:val="none"/>
          <w:lang w:val="en-US" w:eastAsia="zh-CN"/>
        </w:rPr>
        <w:t>投标截止</w:t>
      </w:r>
      <w:r>
        <w:rPr>
          <w:rFonts w:hint="eastAsia" w:ascii="宋体" w:hAnsi="宋体" w:eastAsia="宋体" w:cs="宋体"/>
          <w:sz w:val="24"/>
          <w:szCs w:val="24"/>
          <w:highlight w:val="none"/>
        </w:rPr>
        <w:t>日起90个日历天。</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、本项目委派项目经理是</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，注册证号：</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w:t>
      </w:r>
    </w:p>
    <w:p>
      <w:pPr>
        <w:spacing w:line="560" w:lineRule="exact"/>
        <w:ind w:firstLine="1490" w:firstLineChars="621"/>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thick"/>
        </w:rPr>
        <w:t xml:space="preserve">                                 （盖章）</w:t>
      </w:r>
    </w:p>
    <w:p>
      <w:pPr>
        <w:spacing w:line="560" w:lineRule="exact"/>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u w:val="thick"/>
        </w:rPr>
        <w:t xml:space="preserve">                                       </w:t>
      </w:r>
    </w:p>
    <w:p>
      <w:pPr>
        <w:spacing w:line="560" w:lineRule="exact"/>
        <w:ind w:firstLine="1490" w:firstLineChars="621"/>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thick"/>
        </w:rPr>
        <w:t xml:space="preserve">         （签字或盖章）</w:t>
      </w:r>
    </w:p>
    <w:p>
      <w:pPr>
        <w:spacing w:line="560" w:lineRule="exact"/>
        <w:ind w:firstLine="1490" w:firstLineChars="621"/>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pPr>
        <w:spacing w:line="560" w:lineRule="exact"/>
        <w:ind w:firstLine="1490" w:firstLineChars="621"/>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rPr>
        <w:t>日</w:t>
      </w:r>
    </w:p>
    <w:p>
      <w:pPr>
        <w:pStyle w:val="97"/>
        <w:spacing w:line="540" w:lineRule="exact"/>
        <w:rPr>
          <w:rFonts w:hint="eastAsia" w:ascii="宋体" w:hAnsi="宋体" w:eastAsia="宋体" w:cs="宋体"/>
          <w:color w:val="auto"/>
          <w:sz w:val="28"/>
          <w:szCs w:val="28"/>
          <w:highlight w:val="none"/>
        </w:rPr>
      </w:pPr>
    </w:p>
    <w:p>
      <w:pPr>
        <w:pStyle w:val="8"/>
        <w:jc w:val="center"/>
        <w:rPr>
          <w:rFonts w:hint="eastAsia" w:ascii="宋体" w:hAnsi="宋体" w:eastAsia="宋体" w:cs="宋体"/>
          <w:b/>
          <w:bCs/>
          <w:color w:val="auto"/>
          <w:sz w:val="32"/>
          <w:szCs w:val="32"/>
          <w:highlight w:val="none"/>
        </w:rPr>
      </w:pPr>
      <w:r>
        <w:rPr>
          <w:rFonts w:hint="eastAsia" w:ascii="宋体" w:hAnsi="宋体" w:eastAsia="宋体" w:cs="宋体"/>
          <w:highlight w:val="none"/>
        </w:rPr>
        <w:br w:type="page"/>
      </w:r>
      <w:r>
        <w:rPr>
          <w:rFonts w:hint="eastAsia" w:ascii="宋体" w:hAnsi="宋体" w:eastAsia="宋体" w:cs="宋体"/>
          <w:b/>
          <w:color w:val="auto"/>
          <w:spacing w:val="0"/>
          <w:kern w:val="2"/>
          <w:sz w:val="32"/>
          <w:szCs w:val="32"/>
          <w:highlight w:val="none"/>
          <w:lang w:val="en-US" w:eastAsia="zh-CN" w:bidi="ar-SA"/>
        </w:rPr>
        <w:t>（2）报价一览表</w:t>
      </w:r>
    </w:p>
    <w:p>
      <w:pPr>
        <w:pStyle w:val="26"/>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p>
    <w:p>
      <w:pPr>
        <w:pStyle w:val="26"/>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p>
    <w:tbl>
      <w:tblPr>
        <w:tblStyle w:val="43"/>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676"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包号</w:t>
            </w:r>
          </w:p>
        </w:tc>
        <w:tc>
          <w:tcPr>
            <w:tcW w:w="6783"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676"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p>
        </w:tc>
        <w:tc>
          <w:tcPr>
            <w:tcW w:w="6783"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67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投标总报价（元）</w:t>
            </w:r>
          </w:p>
        </w:tc>
        <w:tc>
          <w:tcPr>
            <w:tcW w:w="6783"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67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工期</w:t>
            </w:r>
          </w:p>
        </w:tc>
        <w:tc>
          <w:tcPr>
            <w:tcW w:w="6783"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676"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质量等级</w:t>
            </w:r>
          </w:p>
        </w:tc>
        <w:tc>
          <w:tcPr>
            <w:tcW w:w="6783"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676"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项目经理</w:t>
            </w:r>
          </w:p>
        </w:tc>
        <w:tc>
          <w:tcPr>
            <w:tcW w:w="6783"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676" w:type="dxa"/>
            <w:noWrap w:val="0"/>
            <w:vAlign w:val="center"/>
          </w:tcPr>
          <w:p>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c>
          <w:tcPr>
            <w:tcW w:w="6783" w:type="dxa"/>
            <w:noWrap w:val="0"/>
            <w:vAlign w:val="center"/>
          </w:tcPr>
          <w:p>
            <w:pPr>
              <w:snapToGrid w:val="0"/>
              <w:spacing w:line="360" w:lineRule="auto"/>
              <w:jc w:val="center"/>
              <w:rPr>
                <w:rFonts w:hint="eastAsia" w:ascii="宋体" w:hAnsi="宋体" w:eastAsia="宋体" w:cs="宋体"/>
                <w:sz w:val="24"/>
                <w:szCs w:val="24"/>
                <w:highlight w:val="none"/>
              </w:rPr>
            </w:pPr>
          </w:p>
        </w:tc>
      </w:tr>
    </w:tbl>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val="en-US" w:eastAsia="zh-CN"/>
        </w:rPr>
        <w:t>报价包含工人、材料、机械、管理、风险、利润、规费、税费、验收等本项目全部费用</w:t>
      </w:r>
      <w:r>
        <w:rPr>
          <w:rFonts w:hint="eastAsia" w:ascii="宋体" w:hAnsi="宋体" w:eastAsia="宋体" w:cs="宋体"/>
          <w:color w:val="auto"/>
          <w:sz w:val="21"/>
          <w:szCs w:val="21"/>
          <w:highlight w:val="none"/>
        </w:rPr>
        <w:t>。</w:t>
      </w:r>
    </w:p>
    <w:p>
      <w:pPr>
        <w:spacing w:line="480" w:lineRule="auto"/>
        <w:ind w:firstLine="315" w:firstLineChars="15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 xml:space="preserve"> 2、报价</w:t>
      </w:r>
      <w:r>
        <w:rPr>
          <w:rFonts w:hint="eastAsia" w:ascii="宋体" w:hAnsi="宋体" w:eastAsia="宋体" w:cs="宋体"/>
          <w:color w:val="auto"/>
          <w:sz w:val="21"/>
          <w:szCs w:val="21"/>
          <w:highlight w:val="none"/>
          <w:lang w:val="en-US" w:eastAsia="zh-CN"/>
        </w:rPr>
        <w:t>内容保留</w:t>
      </w:r>
      <w:r>
        <w:rPr>
          <w:rFonts w:hint="eastAsia" w:ascii="宋体" w:hAnsi="宋体" w:eastAsia="宋体" w:cs="宋体"/>
          <w:color w:val="auto"/>
          <w:sz w:val="21"/>
          <w:szCs w:val="21"/>
          <w:highlight w:val="none"/>
        </w:rPr>
        <w:t>小数点后两位；</w:t>
      </w:r>
    </w:p>
    <w:p>
      <w:pPr>
        <w:spacing w:line="440" w:lineRule="exact"/>
        <w:ind w:firstLine="1200" w:firstLineChars="500"/>
        <w:rPr>
          <w:rFonts w:hint="eastAsia" w:ascii="宋体" w:hAnsi="宋体" w:eastAsia="宋体" w:cs="宋体"/>
          <w:color w:val="auto"/>
          <w:sz w:val="24"/>
          <w:highlight w:val="none"/>
        </w:rPr>
      </w:pPr>
    </w:p>
    <w:p>
      <w:pPr>
        <w:spacing w:line="440" w:lineRule="exact"/>
        <w:ind w:firstLine="1200" w:firstLineChars="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（全称、盖章）电话：</w:t>
      </w:r>
      <w:r>
        <w:rPr>
          <w:rFonts w:hint="eastAsia" w:ascii="宋体" w:hAnsi="宋体" w:eastAsia="宋体" w:cs="宋体"/>
          <w:color w:val="auto"/>
          <w:sz w:val="24"/>
          <w:highlight w:val="none"/>
          <w:u w:val="single"/>
        </w:rPr>
        <w:t xml:space="preserve">                </w:t>
      </w:r>
    </w:p>
    <w:p>
      <w:pPr>
        <w:spacing w:line="440" w:lineRule="exact"/>
        <w:ind w:firstLine="1200" w:firstLineChars="500"/>
        <w:rPr>
          <w:rFonts w:hint="eastAsia" w:ascii="宋体" w:hAnsi="宋体" w:eastAsia="宋体" w:cs="宋体"/>
          <w:color w:val="auto"/>
          <w:sz w:val="24"/>
          <w:highlight w:val="none"/>
          <w:u w:val="single"/>
        </w:rPr>
      </w:pPr>
    </w:p>
    <w:p>
      <w:pPr>
        <w:spacing w:line="60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 xml:space="preserve">签字）        </w:t>
      </w:r>
    </w:p>
    <w:p>
      <w:pPr>
        <w:spacing w:line="600" w:lineRule="auto"/>
        <w:ind w:firstLine="1200" w:firstLineChars="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pStyle w:val="8"/>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（3）法定代表人授权委托书</w:t>
      </w:r>
    </w:p>
    <w:p>
      <w:pPr>
        <w:tabs>
          <w:tab w:val="left" w:pos="8820"/>
        </w:tabs>
        <w:spacing w:line="360" w:lineRule="auto"/>
        <w:ind w:left="0" w:leftChars="0" w:firstLine="570"/>
        <w:jc w:val="center"/>
        <w:rPr>
          <w:rFonts w:hint="eastAsia" w:ascii="宋体" w:hAnsi="宋体" w:eastAsia="宋体" w:cs="宋体"/>
          <w:b/>
          <w:bCs/>
          <w:sz w:val="28"/>
          <w:szCs w:val="28"/>
          <w:highlight w:val="none"/>
        </w:rPr>
      </w:pPr>
    </w:p>
    <w:p>
      <w:pPr>
        <w:pStyle w:val="26"/>
        <w:rPr>
          <w:rFonts w:hint="eastAsia" w:ascii="宋体" w:hAnsi="宋体" w:eastAsia="宋体" w:cs="宋体"/>
          <w:highlight w:val="none"/>
        </w:rPr>
      </w:pPr>
    </w:p>
    <w:p>
      <w:pPr>
        <w:tabs>
          <w:tab w:val="left" w:pos="8820"/>
        </w:tabs>
        <w:spacing w:line="360" w:lineRule="auto"/>
        <w:ind w:left="0" w:leftChars="0" w:firstLine="57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法定代表人证明书</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成立时间：年  月  日</w:t>
      </w:r>
    </w:p>
    <w:p>
      <w:pPr>
        <w:spacing w:line="48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p>
    <w:p>
      <w:pPr>
        <w:spacing w:line="48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     性别：      年龄：      职务：</w:t>
      </w:r>
    </w:p>
    <w:p>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系（投标人名称）的法定代表人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附：法定代表人身份证复印件。（正反面）</w:t>
      </w:r>
    </w:p>
    <w:p>
      <w:pPr>
        <w:spacing w:line="480" w:lineRule="auto"/>
        <w:ind w:firstLine="960" w:firstLineChars="400"/>
        <w:rPr>
          <w:rFonts w:hint="eastAsia" w:ascii="宋体" w:hAnsi="宋体" w:eastAsia="宋体" w:cs="宋体"/>
          <w:sz w:val="24"/>
          <w:szCs w:val="24"/>
          <w:highlight w:val="none"/>
        </w:rPr>
      </w:pPr>
    </w:p>
    <w:p>
      <w:pPr>
        <w:spacing w:line="48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p>
    <w:p>
      <w:pPr>
        <w:spacing w:line="360" w:lineRule="auto"/>
        <w:ind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投标人：            （盖章）</w:t>
      </w:r>
    </w:p>
    <w:p>
      <w:pPr>
        <w:spacing w:line="360" w:lineRule="auto"/>
        <w:ind w:firstLine="5160" w:firstLineChars="2150"/>
        <w:rPr>
          <w:rFonts w:hint="eastAsia" w:ascii="宋体" w:hAnsi="宋体" w:eastAsia="宋体" w:cs="宋体"/>
          <w:sz w:val="24"/>
          <w:szCs w:val="24"/>
          <w:highlight w:val="none"/>
          <w:u w:val="single"/>
        </w:rPr>
      </w:pPr>
    </w:p>
    <w:p>
      <w:pPr>
        <w:spacing w:line="360" w:lineRule="auto"/>
        <w:ind w:firstLine="5040" w:firstLineChars="2100"/>
        <w:rPr>
          <w:rFonts w:hint="eastAsia" w:ascii="宋体" w:hAnsi="宋体" w:eastAsia="宋体" w:cs="宋体"/>
          <w:sz w:val="24"/>
          <w:szCs w:val="24"/>
          <w:highlight w:val="none"/>
          <w:lang w:val="en-US" w:eastAsia="zh-CN"/>
        </w:rPr>
        <w:sectPr>
          <w:pgSz w:w="11906" w:h="16838"/>
          <w:pgMar w:top="1247" w:right="1304" w:bottom="1247" w:left="1304" w:header="907" w:footer="533"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highlight w:val="none"/>
        </w:rPr>
        <w:t xml:space="preserve">年  月  </w:t>
      </w:r>
      <w:r>
        <w:rPr>
          <w:rFonts w:hint="eastAsia" w:ascii="宋体" w:hAnsi="宋体" w:eastAsia="宋体" w:cs="宋体"/>
          <w:sz w:val="24"/>
          <w:szCs w:val="24"/>
          <w:highlight w:val="none"/>
          <w:lang w:val="en-US" w:eastAsia="zh-CN"/>
        </w:rPr>
        <w:t>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643" w:firstLineChars="200"/>
        <w:jc w:val="center"/>
        <w:outlineLvl w:val="2"/>
        <w:rPr>
          <w:rFonts w:hint="eastAsia" w:ascii="宋体" w:hAnsi="宋体" w:eastAsia="宋体" w:cs="宋体"/>
          <w:sz w:val="24"/>
          <w:szCs w:val="24"/>
          <w:highlight w:val="none"/>
        </w:rPr>
      </w:pPr>
      <w:r>
        <w:rPr>
          <w:rFonts w:hint="eastAsia" w:ascii="宋体" w:hAnsi="宋体" w:eastAsia="宋体" w:cs="宋体"/>
          <w:b/>
          <w:bCs/>
          <w:sz w:val="32"/>
          <w:szCs w:val="32"/>
          <w:highlight w:val="none"/>
        </w:rPr>
        <w:t>法人授权委托书</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为我方代理人。代理人根据授权，以我方名义签署、澄清、说明、补正、递交、撤回、修改</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施工投标文件、签订合同和处理有关事宜，其法律后果由我方承担。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spacing w:line="360" w:lineRule="auto"/>
        <w:ind w:firstLine="480" w:firstLineChars="200"/>
        <w:rPr>
          <w:rFonts w:hint="eastAsia" w:ascii="宋体" w:hAnsi="宋体" w:eastAsia="宋体" w:cs="宋体"/>
          <w:sz w:val="24"/>
          <w:szCs w:val="24"/>
          <w:highlight w:val="none"/>
        </w:rPr>
      </w:pPr>
      <w:bookmarkStart w:id="278" w:name="_Toc214090947"/>
      <w:bookmarkStart w:id="279" w:name="_Toc201637979"/>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签字生效，特此证明！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委托期限：自投标截止日起90个日历天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        被授权人签字：</w:t>
      </w:r>
      <w:bookmarkEnd w:id="278"/>
      <w:bookmarkEnd w:id="279"/>
    </w:p>
    <w:p>
      <w:pPr>
        <w:spacing w:line="360" w:lineRule="auto"/>
        <w:ind w:firstLine="480" w:firstLineChars="200"/>
        <w:rPr>
          <w:rFonts w:hint="eastAsia" w:ascii="宋体" w:hAnsi="宋体" w:eastAsia="宋体" w:cs="宋体"/>
          <w:sz w:val="24"/>
          <w:szCs w:val="24"/>
          <w:highlight w:val="none"/>
        </w:rPr>
      </w:pPr>
      <w:bookmarkStart w:id="280" w:name="_Toc201637980"/>
      <w:bookmarkStart w:id="281" w:name="_Toc214090948"/>
      <w:r>
        <w:rPr>
          <w:rFonts w:hint="eastAsia" w:ascii="宋体" w:hAnsi="宋体" w:eastAsia="宋体" w:cs="宋体"/>
          <w:sz w:val="24"/>
          <w:szCs w:val="24"/>
          <w:highlight w:val="none"/>
        </w:rPr>
        <w:t>职务：</w:t>
      </w:r>
      <w:bookmarkEnd w:id="280"/>
      <w:bookmarkEnd w:id="281"/>
      <w:r>
        <w:rPr>
          <w:rFonts w:hint="eastAsia" w:ascii="宋体" w:hAnsi="宋体" w:eastAsia="宋体" w:cs="宋体"/>
          <w:sz w:val="24"/>
          <w:szCs w:val="24"/>
          <w:highlight w:val="none"/>
        </w:rPr>
        <w:t xml:space="preserve">                        职务：</w:t>
      </w:r>
    </w:p>
    <w:p>
      <w:pPr>
        <w:spacing w:line="360" w:lineRule="auto"/>
        <w:rPr>
          <w:rFonts w:hint="eastAsia" w:ascii="宋体" w:hAnsi="宋体" w:eastAsia="宋体" w:cs="宋体"/>
          <w:sz w:val="24"/>
          <w:szCs w:val="24"/>
          <w:highlight w:val="none"/>
        </w:rPr>
      </w:pPr>
    </w:p>
    <w:p>
      <w:pPr>
        <w:spacing w:line="360" w:lineRule="auto"/>
        <w:ind w:firstLine="240" w:firstLineChars="100"/>
        <w:rPr>
          <w:rFonts w:hint="eastAsia" w:ascii="宋体" w:hAnsi="宋体" w:eastAsia="宋体" w:cs="宋体"/>
          <w:sz w:val="24"/>
          <w:szCs w:val="24"/>
          <w:highlight w:val="none"/>
        </w:rPr>
      </w:pPr>
      <w:bookmarkStart w:id="282" w:name="_Toc214090950"/>
      <w:bookmarkStart w:id="283" w:name="_Toc201637982"/>
      <w:r>
        <w:rPr>
          <w:rFonts w:hint="eastAsia" w:ascii="宋体" w:hAnsi="宋体" w:eastAsia="宋体" w:cs="宋体"/>
          <w:sz w:val="24"/>
          <w:szCs w:val="24"/>
          <w:highlight w:val="none"/>
        </w:rPr>
        <w:t>附：法定代表人、被授权人身份证复印件。（正反面）</w:t>
      </w:r>
      <w:bookmarkEnd w:id="282"/>
      <w:bookmarkEnd w:id="283"/>
    </w:p>
    <w:p>
      <w:pPr>
        <w:pStyle w:val="7"/>
        <w:outlineLvl w:val="9"/>
        <w:rPr>
          <w:rFonts w:hint="eastAsia" w:ascii="宋体" w:hAnsi="宋体" w:eastAsia="宋体" w:cs="宋体"/>
          <w:highlight w:val="none"/>
          <w:lang w:val="en-US" w:eastAsia="zh-CN"/>
        </w:rPr>
        <w:sectPr>
          <w:pgSz w:w="11906" w:h="16838"/>
          <w:pgMar w:top="1247" w:right="1304" w:bottom="1247" w:left="1304" w:header="907" w:footer="533" w:gutter="0"/>
          <w:pgBorders>
            <w:top w:val="none" w:sz="0" w:space="0"/>
            <w:left w:val="none" w:sz="0" w:space="0"/>
            <w:bottom w:val="none" w:sz="0" w:space="0"/>
            <w:right w:val="none" w:sz="0" w:space="0"/>
          </w:pgBorders>
          <w:pgNumType w:fmt="decimal"/>
          <w:cols w:space="720" w:num="1"/>
          <w:docGrid w:type="lines" w:linePitch="312" w:charSpace="0"/>
        </w:sectPr>
      </w:pPr>
    </w:p>
    <w:p>
      <w:pPr>
        <w:tabs>
          <w:tab w:val="left" w:pos="3500"/>
          <w:tab w:val="left" w:pos="3700"/>
        </w:tabs>
        <w:jc w:val="center"/>
        <w:rPr>
          <w:rFonts w:hint="eastAsia" w:ascii="宋体" w:hAnsi="宋体" w:eastAsia="宋体" w:cs="宋体"/>
          <w:b/>
          <w:color w:val="auto"/>
          <w:sz w:val="36"/>
          <w:szCs w:val="36"/>
          <w:highlight w:val="none"/>
        </w:rPr>
      </w:pPr>
    </w:p>
    <w:p>
      <w:pPr>
        <w:spacing w:line="480" w:lineRule="exact"/>
        <w:ind w:firstLine="3092" w:firstLineChars="1100"/>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（4）工程量清单计价表</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（封面）</w:t>
      </w:r>
    </w:p>
    <w:p>
      <w:pPr>
        <w:pStyle w:val="14"/>
        <w:ind w:firstLine="562"/>
        <w:rPr>
          <w:rFonts w:hint="eastAsia" w:ascii="宋体" w:hAnsi="宋体" w:eastAsia="宋体" w:cs="宋体"/>
          <w:b/>
          <w:sz w:val="28"/>
          <w:szCs w:val="28"/>
          <w:highlight w:val="none"/>
        </w:rPr>
      </w:pPr>
    </w:p>
    <w:p>
      <w:pPr>
        <w:spacing w:line="500" w:lineRule="exact"/>
        <w:rPr>
          <w:rFonts w:hint="eastAsia" w:ascii="宋体" w:hAnsi="宋体" w:eastAsia="宋体" w:cs="宋体"/>
          <w:sz w:val="28"/>
          <w:szCs w:val="28"/>
          <w:highlight w:val="none"/>
        </w:rPr>
      </w:pPr>
    </w:p>
    <w:p>
      <w:pPr>
        <w:spacing w:line="500" w:lineRule="exact"/>
        <w:rPr>
          <w:rFonts w:hint="eastAsia" w:ascii="宋体" w:hAnsi="宋体" w:eastAsia="宋体" w:cs="宋体"/>
          <w:sz w:val="28"/>
          <w:szCs w:val="28"/>
          <w:highlight w:val="none"/>
        </w:rPr>
      </w:pPr>
    </w:p>
    <w:p>
      <w:pPr>
        <w:spacing w:line="500" w:lineRule="exact"/>
        <w:rPr>
          <w:rFonts w:hint="eastAsia" w:ascii="宋体" w:hAnsi="宋体" w:eastAsia="宋体" w:cs="宋体"/>
          <w:sz w:val="28"/>
          <w:szCs w:val="28"/>
          <w:highlight w:val="none"/>
        </w:rPr>
      </w:pPr>
    </w:p>
    <w:p>
      <w:pPr>
        <w:jc w:val="center"/>
        <w:outlineLvl w:val="3"/>
        <w:rPr>
          <w:rFonts w:hint="eastAsia" w:ascii="宋体" w:hAnsi="宋体" w:eastAsia="宋体" w:cs="宋体"/>
          <w:b/>
          <w:sz w:val="44"/>
          <w:szCs w:val="44"/>
          <w:highlight w:val="none"/>
        </w:rPr>
      </w:pPr>
      <w:r>
        <w:rPr>
          <w:rFonts w:hint="eastAsia" w:ascii="宋体" w:hAnsi="宋体" w:eastAsia="宋体" w:cs="宋体"/>
          <w:b/>
          <w:sz w:val="36"/>
          <w:highlight w:val="none"/>
          <w:u w:val="single"/>
        </w:rPr>
        <w:t xml:space="preserve">                            </w:t>
      </w:r>
      <w:r>
        <w:rPr>
          <w:rFonts w:hint="eastAsia" w:ascii="宋体" w:hAnsi="宋体" w:eastAsia="宋体" w:cs="宋体"/>
          <w:b/>
          <w:sz w:val="44"/>
          <w:szCs w:val="44"/>
          <w:highlight w:val="none"/>
        </w:rPr>
        <w:t>工程</w:t>
      </w:r>
    </w:p>
    <w:p>
      <w:pPr>
        <w:rPr>
          <w:rFonts w:hint="eastAsia" w:ascii="宋体" w:hAnsi="宋体" w:eastAsia="宋体" w:cs="宋体"/>
          <w:b/>
          <w:sz w:val="36"/>
          <w:highlight w:val="none"/>
        </w:rPr>
      </w:pPr>
    </w:p>
    <w:p>
      <w:pPr>
        <w:jc w:val="center"/>
        <w:rPr>
          <w:rFonts w:hint="eastAsia" w:ascii="宋体" w:hAnsi="宋体" w:eastAsia="宋体" w:cs="宋体"/>
          <w:b/>
          <w:sz w:val="44"/>
          <w:highlight w:val="none"/>
        </w:rPr>
      </w:pPr>
    </w:p>
    <w:p>
      <w:pPr>
        <w:jc w:val="center"/>
        <w:outlineLvl w:val="3"/>
        <w:rPr>
          <w:rFonts w:hint="eastAsia" w:ascii="宋体" w:hAnsi="宋体" w:eastAsia="宋体" w:cs="宋体"/>
          <w:b/>
          <w:sz w:val="44"/>
          <w:highlight w:val="none"/>
        </w:rPr>
      </w:pPr>
      <w:r>
        <w:rPr>
          <w:rFonts w:hint="eastAsia" w:ascii="宋体" w:hAnsi="宋体" w:eastAsia="宋体" w:cs="宋体"/>
          <w:b/>
          <w:sz w:val="44"/>
          <w:highlight w:val="none"/>
        </w:rPr>
        <w:t xml:space="preserve">投 标 总 价 </w:t>
      </w:r>
    </w:p>
    <w:p>
      <w:pPr>
        <w:ind w:firstLine="984" w:firstLineChars="350"/>
        <w:rPr>
          <w:rFonts w:hint="eastAsia" w:ascii="宋体" w:hAnsi="宋体" w:eastAsia="宋体" w:cs="宋体"/>
          <w:b/>
          <w:sz w:val="28"/>
          <w:szCs w:val="28"/>
          <w:highlight w:val="none"/>
        </w:rPr>
      </w:pPr>
    </w:p>
    <w:p>
      <w:pPr>
        <w:spacing w:line="360" w:lineRule="auto"/>
        <w:ind w:firstLine="984" w:firstLineChars="350"/>
        <w:rPr>
          <w:rFonts w:hint="eastAsia" w:ascii="宋体" w:hAnsi="宋体" w:eastAsia="宋体" w:cs="宋体"/>
          <w:b/>
          <w:sz w:val="28"/>
          <w:szCs w:val="28"/>
          <w:highlight w:val="none"/>
        </w:rPr>
      </w:pPr>
      <w:r>
        <w:rPr>
          <w:rFonts w:hint="eastAsia" w:ascii="宋体" w:hAnsi="宋体" w:eastAsia="宋体" w:cs="宋体"/>
          <w:b/>
          <w:sz w:val="28"/>
          <w:szCs w:val="28"/>
          <w:highlight w:val="none"/>
        </w:rPr>
        <w:t>投标总价(小写)：__________________________________</w:t>
      </w:r>
    </w:p>
    <w:p>
      <w:pPr>
        <w:spacing w:line="360" w:lineRule="auto"/>
        <w:ind w:firstLine="2108" w:firstLineChars="750"/>
        <w:rPr>
          <w:rFonts w:hint="eastAsia" w:ascii="宋体" w:hAnsi="宋体" w:eastAsia="宋体" w:cs="宋体"/>
          <w:b/>
          <w:sz w:val="28"/>
          <w:szCs w:val="28"/>
          <w:highlight w:val="none"/>
        </w:rPr>
      </w:pPr>
      <w:r>
        <w:rPr>
          <w:rFonts w:hint="eastAsia" w:ascii="宋体" w:hAnsi="宋体" w:eastAsia="宋体" w:cs="宋体"/>
          <w:b/>
          <w:sz w:val="28"/>
          <w:szCs w:val="28"/>
          <w:highlight w:val="none"/>
        </w:rPr>
        <w:t>(大写)：__________________________________</w:t>
      </w:r>
    </w:p>
    <w:p>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工期：____________________________</w:t>
      </w:r>
    </w:p>
    <w:p>
      <w:pPr>
        <w:ind w:firstLine="2108" w:firstLineChars="750"/>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spacing w:line="480" w:lineRule="auto"/>
        <w:ind w:firstLine="984" w:firstLineChars="35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法定代表人或其授权人：</w:t>
      </w:r>
      <w:r>
        <w:rPr>
          <w:rFonts w:hint="eastAsia" w:ascii="宋体" w:hAnsi="宋体" w:eastAsia="宋体" w:cs="宋体"/>
          <w:b/>
          <w:sz w:val="28"/>
          <w:szCs w:val="28"/>
          <w:highlight w:val="none"/>
          <w:u w:val="single"/>
        </w:rPr>
        <w:t xml:space="preserve">              (签字或盖章)</w:t>
      </w:r>
    </w:p>
    <w:p>
      <w:pPr>
        <w:spacing w:line="480" w:lineRule="auto"/>
        <w:ind w:firstLine="984" w:firstLineChars="350"/>
        <w:rPr>
          <w:rFonts w:hint="eastAsia" w:ascii="宋体" w:hAnsi="宋体" w:eastAsia="宋体" w:cs="宋体"/>
          <w:b/>
          <w:sz w:val="28"/>
          <w:szCs w:val="28"/>
          <w:highlight w:val="none"/>
        </w:rPr>
      </w:pPr>
      <w:r>
        <w:rPr>
          <w:rFonts w:hint="eastAsia" w:ascii="宋体" w:hAnsi="宋体" w:eastAsia="宋体" w:cs="宋体"/>
          <w:b/>
          <w:sz w:val="28"/>
          <w:szCs w:val="28"/>
          <w:highlight w:val="none"/>
        </w:rPr>
        <w:t>编  制 人：</w:t>
      </w:r>
      <w:r>
        <w:rPr>
          <w:rFonts w:hint="eastAsia" w:ascii="宋体" w:hAnsi="宋体" w:eastAsia="宋体" w:cs="宋体"/>
          <w:b/>
          <w:sz w:val="28"/>
          <w:szCs w:val="28"/>
          <w:highlight w:val="none"/>
          <w:u w:val="single"/>
        </w:rPr>
        <w:t xml:space="preserve">               (造价人员签字盖专用章)</w:t>
      </w:r>
      <w:r>
        <w:rPr>
          <w:rFonts w:hint="eastAsia" w:ascii="宋体" w:hAnsi="宋体" w:eastAsia="宋体" w:cs="宋体"/>
          <w:b/>
          <w:sz w:val="28"/>
          <w:szCs w:val="28"/>
          <w:highlight w:val="none"/>
        </w:rPr>
        <w:t xml:space="preserve">   </w:t>
      </w:r>
    </w:p>
    <w:p>
      <w:pPr>
        <w:spacing w:line="480" w:lineRule="auto"/>
        <w:ind w:firstLine="967" w:firstLineChars="344"/>
        <w:rPr>
          <w:rFonts w:hint="eastAsia" w:ascii="宋体" w:hAnsi="宋体" w:eastAsia="宋体" w:cs="宋体"/>
          <w:b/>
          <w:sz w:val="28"/>
          <w:szCs w:val="28"/>
          <w:highlight w:val="none"/>
        </w:rPr>
      </w:pPr>
      <w:r>
        <w:rPr>
          <w:rFonts w:hint="eastAsia" w:ascii="宋体" w:hAnsi="宋体" w:eastAsia="宋体" w:cs="宋体"/>
          <w:b/>
          <w:sz w:val="28"/>
          <w:szCs w:val="28"/>
          <w:highlight w:val="none"/>
        </w:rPr>
        <w:t>编制时间：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pPr>
        <w:pStyle w:val="97"/>
        <w:jc w:val="both"/>
        <w:rPr>
          <w:rFonts w:hint="eastAsia" w:ascii="宋体" w:hAnsi="宋体" w:eastAsia="宋体" w:cs="宋体"/>
          <w:color w:val="auto"/>
          <w:szCs w:val="36"/>
          <w:highlight w:val="none"/>
        </w:rPr>
      </w:pPr>
    </w:p>
    <w:p>
      <w:pPr>
        <w:spacing w:line="500" w:lineRule="exact"/>
        <w:rPr>
          <w:rFonts w:hint="eastAsia" w:ascii="宋体" w:hAnsi="宋体" w:eastAsia="宋体" w:cs="宋体"/>
          <w:color w:val="auto"/>
          <w:sz w:val="28"/>
          <w:szCs w:val="28"/>
          <w:highlight w:val="none"/>
        </w:rPr>
      </w:pPr>
    </w:p>
    <w:p>
      <w:pPr>
        <w:spacing w:line="480" w:lineRule="exact"/>
        <w:ind w:firstLine="420" w:firstLineChars="200"/>
        <w:rPr>
          <w:rFonts w:hint="eastAsia" w:ascii="宋体" w:hAnsi="宋体" w:eastAsia="宋体" w:cs="宋体"/>
          <w:color w:val="auto"/>
          <w:szCs w:val="36"/>
          <w:highlight w:val="none"/>
          <w:lang w:val="en-US" w:eastAsia="zh-CN"/>
        </w:rPr>
      </w:pPr>
      <w:r>
        <w:rPr>
          <w:rFonts w:hint="eastAsia" w:ascii="宋体" w:hAnsi="宋体" w:eastAsia="宋体" w:cs="宋体"/>
          <w:color w:val="auto"/>
          <w:szCs w:val="36"/>
          <w:highlight w:val="none"/>
        </w:rPr>
        <w:br w:type="page"/>
      </w:r>
      <w:r>
        <w:rPr>
          <w:rFonts w:hint="eastAsia" w:ascii="宋体" w:hAnsi="宋体" w:eastAsia="宋体" w:cs="宋体"/>
          <w:color w:val="auto"/>
          <w:szCs w:val="36"/>
          <w:highlight w:val="none"/>
          <w:lang w:val="en-US" w:eastAsia="zh-CN"/>
        </w:rPr>
        <w:t xml:space="preserve">      </w:t>
      </w:r>
    </w:p>
    <w:p>
      <w:pPr>
        <w:spacing w:line="480" w:lineRule="exact"/>
        <w:ind w:firstLine="1968" w:firstLineChars="7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工程量清单计价表 （已标价工程量清单）</w:t>
      </w:r>
    </w:p>
    <w:p>
      <w:pPr>
        <w:adjustRightInd w:val="0"/>
        <w:snapToGrid w:val="0"/>
        <w:jc w:val="left"/>
        <w:rPr>
          <w:rFonts w:hint="eastAsia" w:ascii="宋体" w:hAnsi="宋体" w:eastAsia="宋体" w:cs="宋体"/>
          <w:b/>
          <w:sz w:val="36"/>
          <w:szCs w:val="36"/>
          <w:highlight w:val="none"/>
        </w:rPr>
      </w:pPr>
    </w:p>
    <w:p>
      <w:pPr>
        <w:adjustRightInd w:val="0"/>
        <w:snapToGrid w:val="0"/>
        <w:jc w:val="left"/>
        <w:rPr>
          <w:rFonts w:hint="eastAsia" w:ascii="宋体" w:hAnsi="宋体" w:eastAsia="宋体" w:cs="宋体"/>
          <w:b/>
          <w:sz w:val="28"/>
          <w:szCs w:val="28"/>
          <w:highlight w:val="none"/>
        </w:rPr>
      </w:pPr>
    </w:p>
    <w:p>
      <w:pPr>
        <w:pStyle w:val="26"/>
        <w:rPr>
          <w:rFonts w:hint="eastAsia" w:ascii="宋体" w:hAnsi="宋体" w:eastAsia="宋体" w:cs="宋体"/>
          <w:highlight w:val="none"/>
        </w:rPr>
      </w:pPr>
    </w:p>
    <w:tbl>
      <w:tblPr>
        <w:tblStyle w:val="43"/>
        <w:tblW w:w="9776" w:type="dxa"/>
        <w:tblInd w:w="0" w:type="dxa"/>
        <w:tblLayout w:type="autofit"/>
        <w:tblCellMar>
          <w:top w:w="0" w:type="dxa"/>
          <w:left w:w="0" w:type="dxa"/>
          <w:bottom w:w="0" w:type="dxa"/>
          <w:right w:w="0" w:type="dxa"/>
        </w:tblCellMar>
      </w:tblPr>
      <w:tblGrid>
        <w:gridCol w:w="623"/>
        <w:gridCol w:w="1282"/>
        <w:gridCol w:w="1833"/>
        <w:gridCol w:w="1802"/>
        <w:gridCol w:w="1801"/>
        <w:gridCol w:w="1059"/>
        <w:gridCol w:w="1376"/>
      </w:tblGrid>
      <w:tr>
        <w:tblPrEx>
          <w:tblCellMar>
            <w:top w:w="0" w:type="dxa"/>
            <w:left w:w="0" w:type="dxa"/>
            <w:bottom w:w="0" w:type="dxa"/>
            <w:right w:w="0" w:type="dxa"/>
          </w:tblCellMar>
        </w:tblPrEx>
        <w:trPr>
          <w:trHeight w:val="520" w:hRule="atLeast"/>
        </w:trPr>
        <w:tc>
          <w:tcPr>
            <w:tcW w:w="623" w:type="dxa"/>
            <w:tcBorders>
              <w:top w:val="single" w:color="000000" w:sz="8"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序号</w:t>
            </w:r>
          </w:p>
        </w:tc>
        <w:tc>
          <w:tcPr>
            <w:tcW w:w="1282"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项目编码</w:t>
            </w:r>
          </w:p>
        </w:tc>
        <w:tc>
          <w:tcPr>
            <w:tcW w:w="1833"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项目名称</w:t>
            </w:r>
          </w:p>
        </w:tc>
        <w:tc>
          <w:tcPr>
            <w:tcW w:w="1802"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计量单位</w:t>
            </w:r>
          </w:p>
        </w:tc>
        <w:tc>
          <w:tcPr>
            <w:tcW w:w="1801"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工程数量</w:t>
            </w:r>
          </w:p>
        </w:tc>
        <w:tc>
          <w:tcPr>
            <w:tcW w:w="1059"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综合单价</w:t>
            </w:r>
          </w:p>
        </w:tc>
        <w:tc>
          <w:tcPr>
            <w:tcW w:w="1376"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合价</w:t>
            </w:r>
          </w:p>
        </w:tc>
      </w:tr>
      <w:tr>
        <w:tblPrEx>
          <w:tblCellMar>
            <w:top w:w="0" w:type="dxa"/>
            <w:left w:w="0" w:type="dxa"/>
            <w:bottom w:w="0" w:type="dxa"/>
            <w:right w:w="0" w:type="dxa"/>
          </w:tblCellMar>
        </w:tblPrEx>
        <w:trPr>
          <w:trHeight w:val="780" w:hRule="atLeast"/>
        </w:trPr>
        <w:tc>
          <w:tcPr>
            <w:tcW w:w="623" w:type="dxa"/>
            <w:tcBorders>
              <w:top w:val="single" w:color="000000" w:sz="8"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282"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833"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802"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801"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059"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376"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r>
      <w:tr>
        <w:tblPrEx>
          <w:tblCellMar>
            <w:top w:w="0" w:type="dxa"/>
            <w:left w:w="0" w:type="dxa"/>
            <w:bottom w:w="0" w:type="dxa"/>
            <w:right w:w="0" w:type="dxa"/>
          </w:tblCellMar>
        </w:tblPrEx>
        <w:trPr>
          <w:trHeight w:val="832" w:hRule="atLeast"/>
        </w:trPr>
        <w:tc>
          <w:tcPr>
            <w:tcW w:w="623" w:type="dxa"/>
            <w:tcBorders>
              <w:top w:val="single" w:color="000000" w:sz="8"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282"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833"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802" w:type="dxa"/>
            <w:tcBorders>
              <w:top w:val="single" w:color="000000" w:sz="8"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801"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059"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c>
          <w:tcPr>
            <w:tcW w:w="1376" w:type="dxa"/>
            <w:tcBorders>
              <w:top w:val="single" w:color="000000" w:sz="8"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w:t>
            </w:r>
          </w:p>
        </w:tc>
      </w:tr>
    </w:tbl>
    <w:p>
      <w:pPr>
        <w:adjustRightInd w:val="0"/>
        <w:spacing w:line="400" w:lineRule="exact"/>
        <w:jc w:val="left"/>
        <w:rPr>
          <w:rFonts w:hint="eastAsia" w:ascii="宋体" w:hAnsi="宋体" w:eastAsia="宋体" w:cs="宋体"/>
          <w:sz w:val="21"/>
          <w:szCs w:val="21"/>
          <w:highlight w:val="none"/>
        </w:rPr>
      </w:pPr>
    </w:p>
    <w:p>
      <w:pPr>
        <w:adjustRightIn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r>
        <w:rPr>
          <w:rFonts w:hint="eastAsia" w:ascii="宋体" w:hAnsi="宋体" w:eastAsia="宋体" w:cs="宋体"/>
          <w:sz w:val="21"/>
          <w:szCs w:val="21"/>
          <w:highlight w:val="none"/>
          <w:lang w:val="en-US" w:eastAsia="zh-CN"/>
        </w:rPr>
        <w:t>工程量清单计价表以新点清单造价陕西版V10.X版本为准</w:t>
      </w:r>
      <w:r>
        <w:rPr>
          <w:rFonts w:hint="eastAsia" w:ascii="宋体" w:hAnsi="宋体" w:eastAsia="宋体" w:cs="宋体"/>
          <w:sz w:val="21"/>
          <w:szCs w:val="21"/>
          <w:highlight w:val="none"/>
        </w:rPr>
        <w:t>。</w:t>
      </w:r>
    </w:p>
    <w:p>
      <w:pPr>
        <w:adjustRightInd w:val="0"/>
        <w:spacing w:line="400" w:lineRule="exact"/>
        <w:ind w:firstLine="630" w:firstLineChars="300"/>
        <w:jc w:val="left"/>
        <w:rPr>
          <w:rFonts w:hint="eastAsia" w:ascii="宋体" w:hAnsi="宋体" w:eastAsia="宋体" w:cs="宋体"/>
          <w:highlight w:val="none"/>
          <w:lang w:val="en-US" w:eastAsia="zh-CN"/>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spacing w:line="560" w:lineRule="exact"/>
        <w:ind w:right="-51" w:firstLine="1120" w:firstLineChars="400"/>
        <w:rPr>
          <w:rFonts w:hint="eastAsia" w:ascii="宋体" w:hAnsi="宋体" w:eastAsia="宋体" w:cs="宋体"/>
          <w:color w:val="auto"/>
          <w:sz w:val="28"/>
          <w:szCs w:val="28"/>
          <w:highlight w:val="none"/>
        </w:rPr>
      </w:pPr>
    </w:p>
    <w:p>
      <w:pPr>
        <w:pStyle w:val="26"/>
        <w:rPr>
          <w:rFonts w:hint="eastAsia" w:ascii="宋体" w:hAnsi="宋体" w:eastAsia="宋体" w:cs="宋体"/>
          <w:highlight w:val="none"/>
        </w:rPr>
      </w:pPr>
    </w:p>
    <w:p>
      <w:pPr>
        <w:spacing w:line="560" w:lineRule="exact"/>
        <w:ind w:right="-51"/>
        <w:rPr>
          <w:rFonts w:hint="eastAsia" w:ascii="宋体" w:hAnsi="宋体" w:eastAsia="宋体" w:cs="宋体"/>
          <w:color w:val="auto"/>
          <w:sz w:val="28"/>
          <w:szCs w:val="28"/>
          <w:highlight w:val="none"/>
        </w:rPr>
      </w:pPr>
    </w:p>
    <w:p>
      <w:pPr>
        <w:pStyle w:val="26"/>
        <w:rPr>
          <w:rFonts w:hint="eastAsia" w:ascii="宋体" w:hAnsi="宋体" w:eastAsia="宋体" w:cs="宋体"/>
          <w:highlight w:val="none"/>
        </w:rPr>
      </w:pPr>
    </w:p>
    <w:p>
      <w:pPr>
        <w:jc w:val="both"/>
        <w:rPr>
          <w:rFonts w:hint="eastAsia" w:ascii="宋体" w:hAnsi="宋体" w:eastAsia="宋体" w:cs="宋体"/>
          <w:b/>
          <w:color w:val="auto"/>
          <w:kern w:val="0"/>
          <w:sz w:val="36"/>
          <w:szCs w:val="36"/>
          <w:highlight w:val="none"/>
        </w:rPr>
      </w:pPr>
    </w:p>
    <w:p>
      <w:pPr>
        <w:spacing w:line="480" w:lineRule="exact"/>
        <w:ind w:firstLine="562" w:firstLineChars="200"/>
        <w:jc w:val="center"/>
        <w:outlineLvl w:val="2"/>
        <w:rPr>
          <w:rFonts w:hint="eastAsia" w:ascii="宋体" w:hAnsi="宋体" w:eastAsia="宋体" w:cs="宋体"/>
          <w:b/>
          <w:bCs/>
          <w:highlight w:val="none"/>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）履约承诺书（格式）</w:t>
      </w:r>
    </w:p>
    <w:p>
      <w:pPr>
        <w:pStyle w:val="6"/>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履约承诺书</w:t>
      </w:r>
    </w:p>
    <w:p>
      <w:pPr>
        <w:spacing w:before="240" w:beforeLines="100" w:after="240" w:afterLines="100" w:line="600" w:lineRule="exact"/>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（采购人名称）</w:t>
      </w:r>
      <w:r>
        <w:rPr>
          <w:rFonts w:hint="eastAsia" w:ascii="宋体" w:hAnsi="宋体" w:eastAsia="宋体" w:cs="宋体"/>
          <w:sz w:val="24"/>
          <w:highlight w:val="none"/>
          <w:u w:val="single"/>
        </w:rPr>
        <w:t xml:space="preserve">            </w:t>
      </w:r>
    </w:p>
    <w:p>
      <w:pPr>
        <w:spacing w:line="360" w:lineRule="auto"/>
        <w:jc w:val="center"/>
        <w:outlineLvl w:val="0"/>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284" w:name="_Toc9970"/>
      <w:bookmarkStart w:id="285" w:name="_Toc1060"/>
      <w:bookmarkStart w:id="286" w:name="_Toc24491"/>
      <w:r>
        <w:rPr>
          <w:rFonts w:hint="eastAsia" w:ascii="宋体" w:hAnsi="宋体" w:eastAsia="宋体" w:cs="宋体"/>
          <w:sz w:val="24"/>
          <w:highlight w:val="none"/>
        </w:rPr>
        <w:t>我公司完全承诺</w:t>
      </w:r>
      <w:r>
        <w:rPr>
          <w:rFonts w:hint="eastAsia" w:ascii="宋体" w:hAnsi="宋体" w:eastAsia="宋体" w:cs="宋体"/>
          <w:bCs/>
          <w:spacing w:val="20"/>
          <w:szCs w:val="18"/>
          <w:highlight w:val="none"/>
        </w:rPr>
        <w:t xml:space="preserve"> </w:t>
      </w:r>
      <w:r>
        <w:rPr>
          <w:rFonts w:hint="eastAsia" w:ascii="宋体" w:hAnsi="宋体" w:eastAsia="宋体" w:cs="宋体"/>
          <w:sz w:val="24"/>
          <w:highlight w:val="none"/>
          <w:u w:val="single"/>
        </w:rPr>
        <w:t xml:space="preserve">                    （项目名称）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文件和合同条款。</w:t>
      </w:r>
      <w:bookmarkEnd w:id="284"/>
      <w:bookmarkEnd w:id="285"/>
      <w:bookmarkEnd w:id="286"/>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在此</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（供应商名称）的法人代表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（姓名）以合法地位郑重做如下承诺：</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一旦成交，我们将承担合同规定的全部责任和义务。如果成交后不能履行合同规定义务，出现如下情况：</w:t>
      </w:r>
    </w:p>
    <w:p>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1、投入的主要管理人员、机械设备数量和型号、管理及施工队伍的配置等与合同约定不符；</w:t>
      </w:r>
    </w:p>
    <w:p>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2、工程质量达不到合同要求，进度严重滞后，或该合同段控制工程进度影响了整体工程进度和项目总目标的实现；</w:t>
      </w:r>
    </w:p>
    <w:p>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3、将工程转包或将主体工程违法分包，或以劳务协作为名，将工程违法分包给不具备相应资质的施工队伍或个体承包者；</w:t>
      </w:r>
    </w:p>
    <w:p>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4、在项目建设过程中因工程管理（包括：质量、进度、安全、廉政、资金使用、文明工地）受到省级以上主管部门通报批评或被新闻媒体曝光；</w:t>
      </w:r>
    </w:p>
    <w:p>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5、违规使用工程预付款，将建设资金从该合同段项目经理部抽走，或拖欠工程款、材料款和劳务费用。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（供应商名称）承诺出现上述任何一种情况后，采购人有权没收履约担保。我公司还承诺，如果没收履约担保不能免除我们的合同义务，接受采购人对我们所采取的如下任何处理措施：</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（1）限期整改纠正，使工程建设满足采购人要求；</w:t>
      </w:r>
    </w:p>
    <w:p>
      <w:pPr>
        <w:tabs>
          <w:tab w:val="left" w:pos="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（2）同意采购人从正常支付中扣除相应款项，直接支付所欠工程款和劳务费用；</w:t>
      </w:r>
    </w:p>
    <w:p>
      <w:pPr>
        <w:tabs>
          <w:tab w:val="left" w:pos="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（3）采购人有权终止供应商在本合同段的承包，或将本合同段工程中部分工作交由其他供应商或特殊分包人完成，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（供应商名称）无条件按照采购人规定的期限退场或接受调遣。在不解除本合同规定的承包人和义务的同时，由此引起的责任及相关费用均由供应商承担。</w:t>
      </w:r>
    </w:p>
    <w:p>
      <w:pPr>
        <w:tabs>
          <w:tab w:val="left" w:pos="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（4）同意承担合同段清场而引起的材料、供货、设备租用、民工工资和其他相关损失费用，否则采购人有权采取必要的手段和措施，并无条件没收履约担保。</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本承诺和履约担保自合同签定之日起生效，在采购人向供应商颁发交工证书之日失效。</w:t>
      </w:r>
    </w:p>
    <w:p>
      <w:pPr>
        <w:spacing w:line="360" w:lineRule="auto"/>
        <w:jc w:val="center"/>
        <w:rPr>
          <w:rFonts w:hint="eastAsia" w:ascii="宋体" w:hAnsi="宋体" w:eastAsia="宋体" w:cs="宋体"/>
          <w:b/>
          <w:bCs/>
          <w:sz w:val="30"/>
          <w:szCs w:val="30"/>
          <w:highlight w:val="none"/>
        </w:rPr>
      </w:pPr>
    </w:p>
    <w:p>
      <w:pPr>
        <w:spacing w:line="360" w:lineRule="auto"/>
        <w:jc w:val="center"/>
        <w:rPr>
          <w:rFonts w:hint="eastAsia" w:ascii="宋体" w:hAnsi="宋体" w:eastAsia="宋体" w:cs="宋体"/>
          <w:b/>
          <w:bCs/>
          <w:sz w:val="30"/>
          <w:szCs w:val="30"/>
          <w:highlight w:val="none"/>
        </w:rPr>
      </w:pPr>
    </w:p>
    <w:p>
      <w:pPr>
        <w:autoSpaceDE w:val="0"/>
        <w:autoSpaceDN w:val="0"/>
        <w:adjustRightInd w:val="0"/>
        <w:spacing w:line="360" w:lineRule="auto"/>
        <w:jc w:val="right"/>
        <w:rPr>
          <w:rFonts w:hint="eastAsia" w:ascii="宋体" w:hAnsi="宋体" w:eastAsia="宋体" w:cs="宋体"/>
          <w:kern w:val="0"/>
          <w:sz w:val="24"/>
          <w:highlight w:val="none"/>
        </w:rPr>
      </w:pPr>
    </w:p>
    <w:p>
      <w:pPr>
        <w:autoSpaceDE w:val="0"/>
        <w:autoSpaceDN w:val="0"/>
        <w:adjustRightInd w:val="0"/>
        <w:spacing w:line="360" w:lineRule="auto"/>
        <w:jc w:val="right"/>
        <w:rPr>
          <w:rFonts w:hint="eastAsia" w:ascii="宋体" w:hAnsi="宋体" w:eastAsia="宋体" w:cs="宋体"/>
          <w:kern w:val="0"/>
          <w:sz w:val="24"/>
          <w:highlight w:val="none"/>
        </w:rPr>
      </w:pPr>
    </w:p>
    <w:p>
      <w:pPr>
        <w:autoSpaceDE w:val="0"/>
        <w:autoSpaceDN w:val="0"/>
        <w:adjustRightInd w:val="0"/>
        <w:spacing w:line="360" w:lineRule="auto"/>
        <w:jc w:val="right"/>
        <w:rPr>
          <w:rFonts w:hint="eastAsia" w:ascii="宋体" w:hAnsi="宋体" w:eastAsia="宋体" w:cs="宋体"/>
          <w:kern w:val="0"/>
          <w:sz w:val="24"/>
          <w:highlight w:val="none"/>
        </w:rPr>
      </w:pPr>
    </w:p>
    <w:p>
      <w:pPr>
        <w:autoSpaceDE w:val="0"/>
        <w:autoSpaceDN w:val="0"/>
        <w:adjustRightInd w:val="0"/>
        <w:spacing w:line="360" w:lineRule="auto"/>
        <w:ind w:right="480" w:firstLine="3600" w:firstLineChars="1500"/>
        <w:rPr>
          <w:rFonts w:hint="eastAsia" w:ascii="宋体" w:hAnsi="宋体" w:eastAsia="宋体" w:cs="宋体"/>
          <w:kern w:val="0"/>
          <w:sz w:val="24"/>
          <w:highlight w:val="none"/>
        </w:rPr>
      </w:pP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（盖单位章）</w:t>
      </w:r>
    </w:p>
    <w:p>
      <w:pPr>
        <w:autoSpaceDE w:val="0"/>
        <w:autoSpaceDN w:val="0"/>
        <w:adjustRightInd w:val="0"/>
        <w:spacing w:line="360" w:lineRule="auto"/>
        <w:jc w:val="right"/>
        <w:rPr>
          <w:rFonts w:hint="eastAsia" w:ascii="宋体" w:hAnsi="宋体" w:eastAsia="宋体" w:cs="宋体"/>
          <w:kern w:val="0"/>
          <w:sz w:val="24"/>
          <w:highlight w:val="none"/>
        </w:rPr>
      </w:pPr>
    </w:p>
    <w:p>
      <w:pPr>
        <w:wordWrap w:val="0"/>
        <w:autoSpaceDE w:val="0"/>
        <w:autoSpaceDN w:val="0"/>
        <w:adjustRightInd w:val="0"/>
        <w:spacing w:line="360" w:lineRule="auto"/>
        <w:ind w:right="240"/>
        <w:jc w:val="center"/>
        <w:outlineLvl w:val="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 xml:space="preserve">             </w:t>
      </w:r>
      <w:bookmarkStart w:id="287" w:name="_Toc7111"/>
      <w:bookmarkStart w:id="288" w:name="_Toc10209"/>
      <w:bookmarkStart w:id="289" w:name="_Toc19011"/>
      <w:r>
        <w:rPr>
          <w:rFonts w:hint="eastAsia" w:ascii="宋体" w:hAnsi="宋体" w:eastAsia="宋体" w:cs="宋体"/>
          <w:kern w:val="0"/>
          <w:sz w:val="24"/>
          <w:highlight w:val="none"/>
        </w:rPr>
        <w:t>法定代表人或其授权代表：</w:t>
      </w:r>
      <w:r>
        <w:rPr>
          <w:rFonts w:hint="eastAsia" w:ascii="宋体" w:hAnsi="宋体" w:eastAsia="宋体" w:cs="宋体"/>
          <w:kern w:val="0"/>
          <w:sz w:val="24"/>
          <w:highlight w:val="none"/>
          <w:u w:val="single"/>
        </w:rPr>
        <w:t xml:space="preserve">   （签字或盖章）</w:t>
      </w:r>
      <w:bookmarkEnd w:id="287"/>
      <w:bookmarkEnd w:id="288"/>
      <w:bookmarkEnd w:id="289"/>
    </w:p>
    <w:p>
      <w:pPr>
        <w:autoSpaceDE w:val="0"/>
        <w:autoSpaceDN w:val="0"/>
        <w:adjustRightInd w:val="0"/>
        <w:spacing w:before="240" w:beforeLines="100" w:line="360" w:lineRule="auto"/>
        <w:ind w:right="240" w:firstLine="3480" w:firstLineChars="145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pPr>
        <w:spacing w:before="240" w:beforeLines="100"/>
        <w:jc w:val="center"/>
        <w:rPr>
          <w:rFonts w:hint="eastAsia" w:ascii="宋体" w:hAnsi="宋体" w:eastAsia="宋体" w:cs="宋体"/>
          <w:b/>
          <w:bCs/>
          <w:sz w:val="30"/>
          <w:szCs w:val="30"/>
          <w:highlight w:val="none"/>
        </w:rPr>
      </w:pPr>
    </w:p>
    <w:p>
      <w:pPr>
        <w:spacing w:line="480" w:lineRule="exact"/>
        <w:ind w:firstLine="240" w:firstLineChars="100"/>
        <w:rPr>
          <w:rFonts w:hint="eastAsia" w:ascii="宋体" w:hAnsi="宋体" w:eastAsia="宋体" w:cs="宋体"/>
          <w:sz w:val="24"/>
          <w:highlight w:val="none"/>
        </w:rPr>
      </w:pPr>
    </w:p>
    <w:p>
      <w:pPr>
        <w:spacing w:line="480" w:lineRule="exact"/>
        <w:ind w:firstLine="240" w:firstLineChars="100"/>
        <w:rPr>
          <w:rFonts w:hint="eastAsia" w:ascii="宋体" w:hAnsi="宋体" w:eastAsia="宋体" w:cs="宋体"/>
          <w:sz w:val="24"/>
          <w:highlight w:val="none"/>
        </w:rPr>
      </w:pPr>
    </w:p>
    <w:p>
      <w:pPr>
        <w:spacing w:line="480" w:lineRule="exact"/>
        <w:ind w:firstLine="240" w:firstLineChars="100"/>
        <w:rPr>
          <w:rFonts w:hint="eastAsia" w:ascii="宋体" w:hAnsi="宋体" w:eastAsia="宋体" w:cs="宋体"/>
          <w:sz w:val="24"/>
          <w:highlight w:val="none"/>
        </w:rPr>
      </w:pPr>
    </w:p>
    <w:p>
      <w:pPr>
        <w:spacing w:line="480" w:lineRule="exact"/>
        <w:ind w:firstLine="240" w:firstLineChars="100"/>
        <w:rPr>
          <w:rFonts w:hint="eastAsia" w:ascii="宋体" w:hAnsi="宋体" w:eastAsia="宋体" w:cs="宋体"/>
          <w:sz w:val="24"/>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562" w:firstLineChars="200"/>
        <w:rPr>
          <w:rFonts w:hint="eastAsia" w:ascii="宋体" w:hAnsi="宋体" w:eastAsia="宋体" w:cs="宋体"/>
          <w:b/>
          <w:bCs/>
          <w:sz w:val="28"/>
          <w:szCs w:val="28"/>
          <w:highlight w:val="none"/>
        </w:rPr>
      </w:pPr>
    </w:p>
    <w:p>
      <w:pPr>
        <w:spacing w:line="480" w:lineRule="exact"/>
        <w:ind w:firstLine="420" w:firstLineChars="0"/>
        <w:jc w:val="center"/>
        <w:outlineLvl w:val="0"/>
        <w:rPr>
          <w:rFonts w:hint="eastAsia" w:ascii="宋体" w:hAnsi="宋体" w:eastAsia="宋体" w:cs="宋体"/>
          <w:b/>
          <w:bCs/>
          <w:sz w:val="28"/>
          <w:szCs w:val="28"/>
          <w:highlight w:val="none"/>
          <w:lang w:val="en-US" w:eastAsia="zh-CN"/>
        </w:rPr>
      </w:pPr>
      <w:bookmarkStart w:id="290" w:name="_Toc452"/>
      <w:bookmarkStart w:id="291" w:name="_Toc18264"/>
      <w:bookmarkStart w:id="292" w:name="_Toc11791"/>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项目完工后的维修及保修承诺</w:t>
      </w:r>
      <w:bookmarkEnd w:id="290"/>
      <w:bookmarkEnd w:id="291"/>
      <w:bookmarkEnd w:id="292"/>
    </w:p>
    <w:p>
      <w:pPr>
        <w:spacing w:line="480" w:lineRule="exact"/>
        <w:ind w:firstLine="240" w:firstLineChars="100"/>
        <w:rPr>
          <w:rFonts w:hint="eastAsia" w:ascii="宋体" w:hAnsi="宋体" w:eastAsia="宋体" w:cs="宋体"/>
          <w:sz w:val="24"/>
          <w:highlight w:val="none"/>
        </w:rPr>
      </w:pPr>
    </w:p>
    <w:p>
      <w:pPr>
        <w:spacing w:line="480" w:lineRule="exact"/>
        <w:rPr>
          <w:rFonts w:hint="eastAsia" w:ascii="宋体" w:hAnsi="宋体" w:eastAsia="宋体" w:cs="宋体"/>
          <w:sz w:val="24"/>
          <w:highlight w:val="none"/>
        </w:rPr>
      </w:pPr>
    </w:p>
    <w:p>
      <w:pPr>
        <w:spacing w:line="480" w:lineRule="exact"/>
        <w:ind w:firstLine="240" w:firstLineChars="100"/>
        <w:rPr>
          <w:rFonts w:hint="eastAsia" w:ascii="宋体" w:hAnsi="宋体" w:eastAsia="宋体" w:cs="宋体"/>
          <w:sz w:val="24"/>
          <w:highlight w:val="none"/>
        </w:rPr>
      </w:pPr>
    </w:p>
    <w:p>
      <w:pPr>
        <w:spacing w:line="480" w:lineRule="exact"/>
        <w:ind w:firstLine="240" w:firstLineChars="100"/>
        <w:rPr>
          <w:rFonts w:hint="eastAsia" w:ascii="宋体" w:hAnsi="宋体" w:eastAsia="宋体" w:cs="宋体"/>
          <w:sz w:val="24"/>
          <w:highlight w:val="none"/>
        </w:rPr>
      </w:pPr>
    </w:p>
    <w:p>
      <w:pPr>
        <w:pStyle w:val="5"/>
        <w:ind w:firstLine="562" w:firstLineChars="200"/>
        <w:outlineLvl w:val="9"/>
        <w:rPr>
          <w:rFonts w:hint="eastAsia" w:ascii="宋体" w:hAnsi="宋体" w:eastAsia="宋体" w:cs="宋体"/>
          <w:b/>
          <w:bCs/>
          <w:kern w:val="2"/>
          <w:sz w:val="28"/>
          <w:szCs w:val="28"/>
          <w:highlight w:val="none"/>
          <w:lang w:val="en-US" w:eastAsia="zh-CN" w:bidi="ar-SA"/>
        </w:rPr>
      </w:pPr>
    </w:p>
    <w:p>
      <w:pPr>
        <w:pStyle w:val="5"/>
        <w:ind w:firstLine="562" w:firstLineChars="200"/>
        <w:outlineLvl w:val="9"/>
        <w:rPr>
          <w:rFonts w:hint="eastAsia" w:ascii="宋体" w:hAnsi="宋体" w:eastAsia="宋体" w:cs="宋体"/>
          <w:b/>
          <w:bCs/>
          <w:kern w:val="2"/>
          <w:sz w:val="28"/>
          <w:szCs w:val="28"/>
          <w:highlight w:val="none"/>
          <w:lang w:val="en-US" w:eastAsia="zh-CN" w:bidi="ar-SA"/>
        </w:rPr>
      </w:pPr>
    </w:p>
    <w:p>
      <w:pPr>
        <w:pStyle w:val="5"/>
        <w:ind w:firstLine="562" w:firstLineChars="200"/>
        <w:outlineLvl w:val="9"/>
        <w:rPr>
          <w:rFonts w:hint="eastAsia" w:ascii="宋体" w:hAnsi="宋体" w:eastAsia="宋体" w:cs="宋体"/>
          <w:b/>
          <w:bCs/>
          <w:kern w:val="2"/>
          <w:sz w:val="28"/>
          <w:szCs w:val="28"/>
          <w:highlight w:val="none"/>
          <w:lang w:val="en-US" w:eastAsia="zh-CN" w:bidi="ar-SA"/>
        </w:rPr>
      </w:pPr>
    </w:p>
    <w:p>
      <w:pPr>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42"/>
        <w:rPr>
          <w:rFonts w:hint="eastAsia" w:ascii="宋体" w:hAnsi="宋体" w:eastAsia="宋体" w:cs="宋体"/>
          <w:b/>
          <w:bCs/>
          <w:kern w:val="2"/>
          <w:sz w:val="28"/>
          <w:szCs w:val="28"/>
          <w:highlight w:val="none"/>
          <w:lang w:val="en-US" w:eastAsia="zh-CN" w:bidi="ar-SA"/>
        </w:rPr>
      </w:pPr>
    </w:p>
    <w:p>
      <w:pPr>
        <w:pStyle w:val="5"/>
        <w:jc w:val="center"/>
        <w:outlineLvl w:val="0"/>
        <w:rPr>
          <w:rFonts w:hint="eastAsia" w:ascii="宋体" w:hAnsi="宋体" w:eastAsia="宋体" w:cs="宋体"/>
          <w:b/>
          <w:bCs/>
          <w:kern w:val="2"/>
          <w:sz w:val="28"/>
          <w:szCs w:val="28"/>
          <w:highlight w:val="none"/>
          <w:lang w:val="en-US" w:eastAsia="zh-CN" w:bidi="ar-SA"/>
        </w:rPr>
      </w:pPr>
      <w:bookmarkStart w:id="293" w:name="_Toc32334"/>
      <w:bookmarkStart w:id="294" w:name="_Toc16282"/>
      <w:bookmarkStart w:id="295" w:name="_Toc10840"/>
      <w:r>
        <w:rPr>
          <w:rFonts w:hint="eastAsia" w:ascii="宋体" w:hAnsi="宋体" w:eastAsia="宋体" w:cs="宋体"/>
          <w:b/>
          <w:bCs/>
          <w:kern w:val="2"/>
          <w:sz w:val="28"/>
          <w:szCs w:val="28"/>
          <w:highlight w:val="none"/>
          <w:lang w:val="en-US" w:eastAsia="zh-CN" w:bidi="ar-SA"/>
        </w:rPr>
        <w:t>（7）业绩</w:t>
      </w:r>
      <w:bookmarkEnd w:id="293"/>
      <w:bookmarkEnd w:id="294"/>
      <w:bookmarkEnd w:id="295"/>
    </w:p>
    <w:p>
      <w:pPr>
        <w:spacing w:before="240" w:beforeLines="100" w:line="400" w:lineRule="exact"/>
        <w:jc w:val="center"/>
        <w:outlineLvl w:val="1"/>
        <w:rPr>
          <w:rFonts w:hint="eastAsia" w:ascii="宋体" w:hAnsi="宋体" w:eastAsia="宋体" w:cs="宋体"/>
          <w:b/>
          <w:color w:val="000000"/>
          <w:sz w:val="28"/>
          <w:szCs w:val="28"/>
          <w:highlight w:val="none"/>
        </w:rPr>
      </w:pPr>
      <w:bookmarkStart w:id="296" w:name="_Toc28568"/>
      <w:r>
        <w:rPr>
          <w:rFonts w:hint="eastAsia" w:ascii="宋体" w:hAnsi="宋体" w:eastAsia="宋体" w:cs="宋体"/>
          <w:b/>
          <w:color w:val="000000"/>
          <w:sz w:val="28"/>
          <w:szCs w:val="28"/>
          <w:highlight w:val="none"/>
        </w:rPr>
        <w:t>近3年类似项目业绩一览表</w:t>
      </w:r>
      <w:bookmarkEnd w:id="296"/>
    </w:p>
    <w:p>
      <w:pPr>
        <w:pStyle w:val="26"/>
        <w:rPr>
          <w:rFonts w:hint="eastAsia" w:ascii="宋体" w:hAnsi="宋体" w:eastAsia="宋体" w:cs="宋体"/>
          <w:highlight w:val="none"/>
        </w:rPr>
      </w:pPr>
    </w:p>
    <w:p>
      <w:pPr>
        <w:pStyle w:val="14"/>
        <w:rPr>
          <w:rFonts w:hint="eastAsia" w:ascii="宋体" w:hAnsi="宋体" w:eastAsia="宋体" w:cs="宋体"/>
          <w:highlight w:val="none"/>
        </w:rPr>
      </w:pPr>
    </w:p>
    <w:p>
      <w:pPr>
        <w:spacing w:line="480" w:lineRule="exact"/>
        <w:ind w:firstLine="480" w:firstLineChars="200"/>
        <w:rPr>
          <w:rFonts w:hint="eastAsia" w:ascii="宋体" w:hAnsi="宋体" w:eastAsia="宋体" w:cs="宋体"/>
          <w:sz w:val="24"/>
          <w:highlight w:val="none"/>
        </w:rPr>
      </w:pPr>
    </w:p>
    <w:p>
      <w:pPr>
        <w:spacing w:line="480" w:lineRule="exact"/>
        <w:ind w:firstLine="480" w:firstLineChars="200"/>
        <w:rPr>
          <w:rFonts w:hint="eastAsia" w:ascii="宋体" w:hAnsi="宋体" w:eastAsia="宋体" w:cs="宋体"/>
          <w:sz w:val="24"/>
          <w:highlight w:val="none"/>
        </w:rPr>
      </w:pPr>
    </w:p>
    <w:p>
      <w:pPr>
        <w:spacing w:line="480" w:lineRule="exact"/>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pStyle w:val="26"/>
        <w:rPr>
          <w:rFonts w:hint="eastAsia" w:ascii="宋体" w:hAnsi="宋体" w:eastAsia="宋体" w:cs="宋体"/>
          <w:sz w:val="24"/>
          <w:highlight w:val="none"/>
        </w:rPr>
      </w:pPr>
    </w:p>
    <w:p>
      <w:pPr>
        <w:spacing w:line="480" w:lineRule="exact"/>
        <w:ind w:firstLine="482" w:firstLineChars="200"/>
        <w:outlineLvl w:val="1"/>
        <w:rPr>
          <w:rFonts w:hint="eastAsia" w:ascii="宋体" w:hAnsi="宋体" w:eastAsia="宋体" w:cs="宋体"/>
          <w:sz w:val="24"/>
          <w:highlight w:val="none"/>
        </w:rPr>
      </w:pPr>
      <w:r>
        <w:rPr>
          <w:rFonts w:hint="eastAsia" w:ascii="宋体" w:hAnsi="宋体" w:eastAsia="宋体" w:cs="宋体"/>
          <w:b/>
          <w:bCs/>
          <w:sz w:val="24"/>
          <w:highlight w:val="none"/>
        </w:rPr>
        <w:t>B、技术部分：</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（一）施工组织设计</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（1）施工总体方案；</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（2）确保工程质量技术组织措施；</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（3）确保安全生产技术措施；</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（4）确保文明施工技术组织措施；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（5）确保环境保护技术组织措施；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（6）确保工期技术组织措施；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（7）施工组织和项目管理机构；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（8）施工总平面布置；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（9）施工机械设备和材料投入计划；</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（10）劳动力安排计划。 </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（二）项目管理机构</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（1）项目管理机构组成；</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（2）主要人员简历。</w:t>
      </w:r>
    </w:p>
    <w:p>
      <w:pPr>
        <w:spacing w:line="480" w:lineRule="exact"/>
        <w:outlineLvl w:val="0"/>
        <w:rPr>
          <w:rFonts w:hint="eastAsia" w:ascii="宋体" w:hAnsi="宋体" w:eastAsia="宋体" w:cs="宋体"/>
          <w:sz w:val="24"/>
          <w:highlight w:val="none"/>
        </w:rPr>
      </w:pPr>
      <w:r>
        <w:rPr>
          <w:rFonts w:hint="eastAsia" w:ascii="宋体" w:hAnsi="宋体" w:eastAsia="宋体" w:cs="宋体"/>
          <w:b/>
          <w:sz w:val="24"/>
          <w:highlight w:val="none"/>
        </w:rPr>
        <w:t xml:space="preserve">    </w:t>
      </w:r>
      <w:bookmarkStart w:id="297" w:name="_Toc25736"/>
      <w:bookmarkStart w:id="298" w:name="_Toc11985"/>
      <w:bookmarkStart w:id="299" w:name="_Toc11254"/>
      <w:r>
        <w:rPr>
          <w:rFonts w:hint="eastAsia" w:ascii="宋体" w:hAnsi="宋体" w:eastAsia="宋体" w:cs="宋体"/>
          <w:sz w:val="24"/>
          <w:highlight w:val="none"/>
        </w:rPr>
        <w:t>附表一    拟投入本工程的主要施工设备表</w:t>
      </w:r>
      <w:bookmarkEnd w:id="297"/>
      <w:bookmarkEnd w:id="298"/>
      <w:bookmarkEnd w:id="299"/>
    </w:p>
    <w:p>
      <w:pPr>
        <w:spacing w:line="480" w:lineRule="exact"/>
        <w:outlineLvl w:val="0"/>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300" w:name="_Toc30370"/>
      <w:bookmarkStart w:id="301" w:name="_Toc27842"/>
      <w:bookmarkStart w:id="302" w:name="_Toc1382"/>
      <w:r>
        <w:rPr>
          <w:rFonts w:hint="eastAsia" w:ascii="宋体" w:hAnsi="宋体" w:eastAsia="宋体" w:cs="宋体"/>
          <w:sz w:val="24"/>
          <w:highlight w:val="none"/>
        </w:rPr>
        <w:t>附表二    拟配备本工程的试验和检测仪器设备表</w:t>
      </w:r>
      <w:bookmarkEnd w:id="300"/>
      <w:bookmarkEnd w:id="301"/>
      <w:bookmarkEnd w:id="302"/>
    </w:p>
    <w:p>
      <w:pPr>
        <w:spacing w:line="480" w:lineRule="exact"/>
        <w:outlineLvl w:val="0"/>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303" w:name="_Toc10500"/>
      <w:bookmarkStart w:id="304" w:name="_Toc7751"/>
      <w:bookmarkStart w:id="305" w:name="_Toc20589"/>
      <w:r>
        <w:rPr>
          <w:rFonts w:hint="eastAsia" w:ascii="宋体" w:hAnsi="宋体" w:eastAsia="宋体" w:cs="宋体"/>
          <w:sz w:val="24"/>
          <w:highlight w:val="none"/>
        </w:rPr>
        <w:t>附表三    劳动力计划表</w:t>
      </w:r>
      <w:bookmarkEnd w:id="303"/>
      <w:bookmarkEnd w:id="304"/>
      <w:bookmarkEnd w:id="305"/>
    </w:p>
    <w:p>
      <w:pPr>
        <w:spacing w:line="480" w:lineRule="exact"/>
        <w:outlineLvl w:val="0"/>
        <w:rPr>
          <w:rFonts w:hint="eastAsia" w:ascii="宋体" w:hAnsi="宋体" w:eastAsia="宋体" w:cs="宋体"/>
          <w:sz w:val="24"/>
          <w:highlight w:val="none"/>
        </w:rPr>
      </w:pPr>
      <w:r>
        <w:rPr>
          <w:rFonts w:hint="eastAsia" w:ascii="宋体" w:hAnsi="宋体" w:eastAsia="宋体" w:cs="宋体"/>
          <w:b/>
          <w:sz w:val="24"/>
          <w:highlight w:val="none"/>
        </w:rPr>
        <w:t xml:space="preserve"> </w:t>
      </w:r>
      <w:r>
        <w:rPr>
          <w:rFonts w:hint="eastAsia" w:ascii="宋体" w:hAnsi="宋体" w:eastAsia="宋体" w:cs="宋体"/>
          <w:sz w:val="24"/>
          <w:highlight w:val="none"/>
        </w:rPr>
        <w:t xml:space="preserve">   </w:t>
      </w:r>
      <w:bookmarkStart w:id="306" w:name="_Toc4275"/>
      <w:bookmarkStart w:id="307" w:name="_Toc6079"/>
      <w:bookmarkStart w:id="308" w:name="_Toc31343"/>
      <w:r>
        <w:rPr>
          <w:rFonts w:hint="eastAsia" w:ascii="宋体" w:hAnsi="宋体" w:eastAsia="宋体" w:cs="宋体"/>
          <w:sz w:val="24"/>
          <w:highlight w:val="none"/>
        </w:rPr>
        <w:t>附表四    计划开、竣工日期和施工进度网络图</w:t>
      </w:r>
      <w:bookmarkEnd w:id="306"/>
      <w:bookmarkEnd w:id="307"/>
      <w:bookmarkEnd w:id="308"/>
    </w:p>
    <w:p>
      <w:pPr>
        <w:spacing w:line="480" w:lineRule="exact"/>
        <w:outlineLvl w:val="0"/>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309" w:name="_Toc28290"/>
      <w:bookmarkStart w:id="310" w:name="_Toc709"/>
      <w:bookmarkStart w:id="311" w:name="_Toc14872"/>
      <w:r>
        <w:rPr>
          <w:rFonts w:hint="eastAsia" w:ascii="宋体" w:hAnsi="宋体" w:eastAsia="宋体" w:cs="宋体"/>
          <w:sz w:val="24"/>
          <w:highlight w:val="none"/>
        </w:rPr>
        <w:t>附表五    施工总平面图</w:t>
      </w:r>
      <w:bookmarkEnd w:id="309"/>
      <w:bookmarkEnd w:id="310"/>
      <w:bookmarkEnd w:id="311"/>
    </w:p>
    <w:p>
      <w:pPr>
        <w:spacing w:line="480" w:lineRule="exact"/>
        <w:outlineLvl w:val="9"/>
        <w:rPr>
          <w:rFonts w:hint="eastAsia" w:ascii="宋体" w:hAnsi="宋体" w:eastAsia="宋体" w:cs="宋体"/>
          <w:b/>
          <w:sz w:val="48"/>
          <w:highlight w:val="none"/>
        </w:rPr>
      </w:pPr>
    </w:p>
    <w:p>
      <w:pPr>
        <w:pStyle w:val="14"/>
        <w:ind w:firstLine="482"/>
        <w:rPr>
          <w:rFonts w:hint="eastAsia" w:ascii="宋体" w:hAnsi="宋体" w:eastAsia="宋体" w:cs="宋体"/>
          <w:highlight w:val="none"/>
        </w:rPr>
      </w:pPr>
      <w:r>
        <w:rPr>
          <w:rFonts w:hint="eastAsia" w:ascii="宋体" w:hAnsi="宋体" w:eastAsia="宋体" w:cs="宋体"/>
          <w:b/>
          <w:sz w:val="24"/>
          <w:highlight w:val="none"/>
        </w:rPr>
        <w:t>技术标须包括但不限于上述内容。</w:t>
      </w:r>
    </w:p>
    <w:p>
      <w:pPr>
        <w:spacing w:line="480" w:lineRule="auto"/>
        <w:ind w:firstLine="560" w:firstLineChars="200"/>
        <w:rPr>
          <w:rFonts w:hint="eastAsia" w:ascii="宋体" w:hAnsi="宋体" w:eastAsia="宋体" w:cs="宋体"/>
          <w:color w:val="auto"/>
          <w:sz w:val="28"/>
          <w:szCs w:val="28"/>
          <w:highlight w:val="none"/>
        </w:rPr>
      </w:pPr>
    </w:p>
    <w:p>
      <w:pPr>
        <w:spacing w:line="500" w:lineRule="exact"/>
        <w:ind w:firstLine="560" w:firstLineChars="200"/>
        <w:rPr>
          <w:rFonts w:hint="eastAsia" w:ascii="宋体" w:hAnsi="宋体" w:eastAsia="宋体" w:cs="宋体"/>
          <w:color w:val="auto"/>
          <w:sz w:val="28"/>
          <w:szCs w:val="28"/>
          <w:highlight w:val="none"/>
        </w:rPr>
      </w:pPr>
    </w:p>
    <w:p>
      <w:pPr>
        <w:spacing w:line="500" w:lineRule="exact"/>
        <w:ind w:firstLine="560" w:firstLineChars="200"/>
        <w:rPr>
          <w:rFonts w:hint="eastAsia" w:ascii="宋体" w:hAnsi="宋体" w:eastAsia="宋体" w:cs="宋体"/>
          <w:color w:val="auto"/>
          <w:sz w:val="28"/>
          <w:szCs w:val="28"/>
          <w:highlight w:val="none"/>
        </w:rPr>
      </w:pPr>
    </w:p>
    <w:p>
      <w:pPr>
        <w:spacing w:line="500" w:lineRule="exact"/>
        <w:ind w:firstLine="560" w:firstLineChars="200"/>
        <w:rPr>
          <w:rFonts w:hint="eastAsia" w:ascii="宋体" w:hAnsi="宋体" w:eastAsia="宋体" w:cs="宋体"/>
          <w:color w:val="auto"/>
          <w:sz w:val="28"/>
          <w:szCs w:val="28"/>
          <w:highlight w:val="none"/>
        </w:rPr>
      </w:pPr>
    </w:p>
    <w:p>
      <w:pPr>
        <w:spacing w:line="500" w:lineRule="exact"/>
        <w:ind w:firstLine="560" w:firstLineChars="200"/>
        <w:rPr>
          <w:rFonts w:hint="eastAsia" w:ascii="宋体" w:hAnsi="宋体" w:eastAsia="宋体" w:cs="宋体"/>
          <w:color w:val="auto"/>
          <w:sz w:val="28"/>
          <w:szCs w:val="28"/>
          <w:highlight w:val="none"/>
        </w:rPr>
      </w:pPr>
    </w:p>
    <w:p>
      <w:pPr>
        <w:spacing w:line="500" w:lineRule="exact"/>
        <w:ind w:firstLine="560" w:firstLineChars="200"/>
        <w:rPr>
          <w:rFonts w:hint="eastAsia" w:ascii="宋体" w:hAnsi="宋体" w:eastAsia="宋体" w:cs="宋体"/>
          <w:color w:val="auto"/>
          <w:sz w:val="28"/>
          <w:szCs w:val="28"/>
          <w:highlight w:val="none"/>
        </w:rPr>
      </w:pPr>
    </w:p>
    <w:p>
      <w:pPr>
        <w:spacing w:line="500" w:lineRule="exact"/>
        <w:ind w:firstLine="560" w:firstLineChars="200"/>
        <w:rPr>
          <w:rFonts w:hint="eastAsia" w:ascii="宋体" w:hAnsi="宋体" w:eastAsia="宋体" w:cs="宋体"/>
          <w:color w:val="auto"/>
          <w:sz w:val="28"/>
          <w:szCs w:val="28"/>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pStyle w:val="6"/>
        <w:jc w:val="center"/>
        <w:outlineLvl w:val="0"/>
        <w:rPr>
          <w:rFonts w:hint="eastAsia" w:ascii="宋体" w:hAnsi="宋体" w:eastAsia="宋体" w:cs="宋体"/>
          <w:b/>
          <w:bCs/>
          <w:kern w:val="2"/>
          <w:sz w:val="28"/>
          <w:szCs w:val="28"/>
          <w:highlight w:val="none"/>
          <w:lang w:val="en-US" w:eastAsia="zh-CN" w:bidi="ar-SA"/>
        </w:rPr>
      </w:pPr>
      <w:bookmarkStart w:id="312" w:name="_Toc18144"/>
      <w:bookmarkStart w:id="313" w:name="_Toc3857"/>
      <w:bookmarkStart w:id="314" w:name="_Toc10389"/>
      <w:r>
        <w:rPr>
          <w:rFonts w:hint="eastAsia" w:ascii="宋体" w:hAnsi="宋体" w:eastAsia="宋体" w:cs="宋体"/>
          <w:b/>
          <w:bCs/>
          <w:kern w:val="2"/>
          <w:sz w:val="28"/>
          <w:szCs w:val="28"/>
          <w:highlight w:val="none"/>
          <w:lang w:val="en-US" w:eastAsia="zh-CN" w:bidi="ar-SA"/>
        </w:rPr>
        <w:t>（1）项目管理机构组成</w:t>
      </w:r>
      <w:bookmarkEnd w:id="312"/>
      <w:bookmarkEnd w:id="313"/>
      <w:bookmarkEnd w:id="314"/>
    </w:p>
    <w:p>
      <w:pPr>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工程名称：  </w:t>
      </w:r>
    </w:p>
    <w:tbl>
      <w:tblPr>
        <w:tblStyle w:val="43"/>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7"/>
        <w:gridCol w:w="780"/>
        <w:gridCol w:w="971"/>
        <w:gridCol w:w="1090"/>
        <w:gridCol w:w="1951"/>
        <w:gridCol w:w="1854"/>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763" w:type="dxa"/>
            <w:vMerge w:val="restart"/>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职务</w:t>
            </w:r>
          </w:p>
        </w:tc>
        <w:tc>
          <w:tcPr>
            <w:tcW w:w="647" w:type="dxa"/>
            <w:vMerge w:val="restart"/>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姓名</w:t>
            </w:r>
          </w:p>
        </w:tc>
        <w:tc>
          <w:tcPr>
            <w:tcW w:w="780" w:type="dxa"/>
            <w:vMerge w:val="restart"/>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职称</w:t>
            </w:r>
          </w:p>
        </w:tc>
        <w:tc>
          <w:tcPr>
            <w:tcW w:w="7155" w:type="dxa"/>
            <w:gridSpan w:val="5"/>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63" w:type="dxa"/>
            <w:vMerge w:val="continue"/>
            <w:noWrap w:val="0"/>
            <w:vAlign w:val="top"/>
          </w:tcPr>
          <w:p>
            <w:pPr>
              <w:rPr>
                <w:rFonts w:hint="eastAsia" w:ascii="宋体" w:hAnsi="宋体" w:eastAsia="宋体" w:cs="宋体"/>
                <w:sz w:val="18"/>
                <w:szCs w:val="18"/>
                <w:highlight w:val="none"/>
              </w:rPr>
            </w:pPr>
          </w:p>
        </w:tc>
        <w:tc>
          <w:tcPr>
            <w:tcW w:w="647" w:type="dxa"/>
            <w:vMerge w:val="continue"/>
            <w:noWrap w:val="0"/>
            <w:vAlign w:val="top"/>
          </w:tcPr>
          <w:p>
            <w:pPr>
              <w:rPr>
                <w:rFonts w:hint="eastAsia" w:ascii="宋体" w:hAnsi="宋体" w:eastAsia="宋体" w:cs="宋体"/>
                <w:sz w:val="18"/>
                <w:szCs w:val="18"/>
                <w:highlight w:val="none"/>
              </w:rPr>
            </w:pPr>
          </w:p>
        </w:tc>
        <w:tc>
          <w:tcPr>
            <w:tcW w:w="780" w:type="dxa"/>
            <w:vMerge w:val="continue"/>
            <w:noWrap w:val="0"/>
            <w:vAlign w:val="top"/>
          </w:tcPr>
          <w:p>
            <w:pPr>
              <w:rPr>
                <w:rFonts w:hint="eastAsia" w:ascii="宋体" w:hAnsi="宋体" w:eastAsia="宋体" w:cs="宋体"/>
                <w:sz w:val="18"/>
                <w:szCs w:val="18"/>
                <w:highlight w:val="none"/>
              </w:rPr>
            </w:pPr>
          </w:p>
        </w:tc>
        <w:tc>
          <w:tcPr>
            <w:tcW w:w="971"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证书名称</w:t>
            </w:r>
          </w:p>
        </w:tc>
        <w:tc>
          <w:tcPr>
            <w:tcW w:w="1090"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级别</w:t>
            </w:r>
          </w:p>
        </w:tc>
        <w:tc>
          <w:tcPr>
            <w:tcW w:w="1951"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证号</w:t>
            </w:r>
          </w:p>
        </w:tc>
        <w:tc>
          <w:tcPr>
            <w:tcW w:w="1854"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专业</w:t>
            </w:r>
          </w:p>
        </w:tc>
        <w:tc>
          <w:tcPr>
            <w:tcW w:w="1289" w:type="dxa"/>
            <w:noWrap w:val="0"/>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3" w:type="dxa"/>
            <w:noWrap w:val="0"/>
            <w:vAlign w:val="top"/>
          </w:tcPr>
          <w:p>
            <w:pPr>
              <w:rPr>
                <w:rFonts w:hint="eastAsia" w:ascii="宋体" w:hAnsi="宋体" w:eastAsia="宋体" w:cs="宋体"/>
                <w:sz w:val="18"/>
                <w:szCs w:val="18"/>
                <w:highlight w:val="none"/>
              </w:rPr>
            </w:pPr>
          </w:p>
        </w:tc>
        <w:tc>
          <w:tcPr>
            <w:tcW w:w="647" w:type="dxa"/>
            <w:noWrap w:val="0"/>
            <w:vAlign w:val="top"/>
          </w:tcPr>
          <w:p>
            <w:pPr>
              <w:rPr>
                <w:rFonts w:hint="eastAsia" w:ascii="宋体" w:hAnsi="宋体" w:eastAsia="宋体" w:cs="宋体"/>
                <w:sz w:val="18"/>
                <w:szCs w:val="18"/>
                <w:highlight w:val="none"/>
              </w:rPr>
            </w:pPr>
          </w:p>
        </w:tc>
        <w:tc>
          <w:tcPr>
            <w:tcW w:w="780" w:type="dxa"/>
            <w:noWrap w:val="0"/>
            <w:vAlign w:val="top"/>
          </w:tcPr>
          <w:p>
            <w:pPr>
              <w:rPr>
                <w:rFonts w:hint="eastAsia" w:ascii="宋体" w:hAnsi="宋体" w:eastAsia="宋体" w:cs="宋体"/>
                <w:sz w:val="18"/>
                <w:szCs w:val="18"/>
                <w:highlight w:val="none"/>
              </w:rPr>
            </w:pPr>
          </w:p>
        </w:tc>
        <w:tc>
          <w:tcPr>
            <w:tcW w:w="971" w:type="dxa"/>
            <w:noWrap w:val="0"/>
            <w:vAlign w:val="top"/>
          </w:tcPr>
          <w:p>
            <w:pPr>
              <w:rPr>
                <w:rFonts w:hint="eastAsia" w:ascii="宋体" w:hAnsi="宋体" w:eastAsia="宋体" w:cs="宋体"/>
                <w:sz w:val="18"/>
                <w:szCs w:val="18"/>
                <w:highlight w:val="none"/>
              </w:rPr>
            </w:pPr>
          </w:p>
        </w:tc>
        <w:tc>
          <w:tcPr>
            <w:tcW w:w="1090" w:type="dxa"/>
            <w:noWrap w:val="0"/>
            <w:vAlign w:val="top"/>
          </w:tcPr>
          <w:p>
            <w:pPr>
              <w:rPr>
                <w:rFonts w:hint="eastAsia" w:ascii="宋体" w:hAnsi="宋体" w:eastAsia="宋体" w:cs="宋体"/>
                <w:sz w:val="18"/>
                <w:szCs w:val="18"/>
                <w:highlight w:val="none"/>
              </w:rPr>
            </w:pPr>
          </w:p>
        </w:tc>
        <w:tc>
          <w:tcPr>
            <w:tcW w:w="1951" w:type="dxa"/>
            <w:noWrap w:val="0"/>
            <w:vAlign w:val="top"/>
          </w:tcPr>
          <w:p>
            <w:pPr>
              <w:rPr>
                <w:rFonts w:hint="eastAsia" w:ascii="宋体" w:hAnsi="宋体" w:eastAsia="宋体" w:cs="宋体"/>
                <w:sz w:val="18"/>
                <w:szCs w:val="18"/>
                <w:highlight w:val="none"/>
              </w:rPr>
            </w:pPr>
          </w:p>
        </w:tc>
        <w:tc>
          <w:tcPr>
            <w:tcW w:w="1854" w:type="dxa"/>
            <w:noWrap w:val="0"/>
            <w:vAlign w:val="top"/>
          </w:tcPr>
          <w:p>
            <w:pPr>
              <w:rPr>
                <w:rFonts w:hint="eastAsia" w:ascii="宋体" w:hAnsi="宋体" w:eastAsia="宋体" w:cs="宋体"/>
                <w:sz w:val="18"/>
                <w:szCs w:val="18"/>
                <w:highlight w:val="none"/>
              </w:rPr>
            </w:pPr>
          </w:p>
        </w:tc>
        <w:tc>
          <w:tcPr>
            <w:tcW w:w="1289" w:type="dxa"/>
            <w:noWrap w:val="0"/>
            <w:vAlign w:val="top"/>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9345" w:type="dxa"/>
            <w:gridSpan w:val="8"/>
            <w:noWrap w:val="0"/>
            <w:vAlign w:val="top"/>
          </w:tcPr>
          <w:p>
            <w:pPr>
              <w:ind w:firstLine="360"/>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pPr>
        <w:rPr>
          <w:rFonts w:hint="eastAsia" w:ascii="宋体" w:hAnsi="宋体" w:eastAsia="宋体" w:cs="宋体"/>
          <w:b/>
          <w:sz w:val="18"/>
          <w:szCs w:val="18"/>
          <w:highlight w:val="none"/>
        </w:rPr>
        <w:sectPr>
          <w:pgSz w:w="11906" w:h="16838"/>
          <w:pgMar w:top="1304" w:right="926" w:bottom="1304" w:left="1469" w:header="907" w:footer="533" w:gutter="0"/>
          <w:pgBorders>
            <w:top w:val="none" w:sz="0" w:space="0"/>
            <w:left w:val="none" w:sz="0" w:space="0"/>
            <w:bottom w:val="none" w:sz="0" w:space="0"/>
            <w:right w:val="none" w:sz="0" w:space="0"/>
          </w:pgBorders>
          <w:pgNumType w:fmt="decimal"/>
          <w:cols w:space="720" w:num="1"/>
          <w:docGrid w:linePitch="291" w:charSpace="0"/>
        </w:sectPr>
      </w:pPr>
    </w:p>
    <w:p>
      <w:pPr>
        <w:spacing w:line="500" w:lineRule="exact"/>
        <w:rPr>
          <w:rFonts w:hint="eastAsia" w:ascii="宋体" w:hAnsi="宋体" w:eastAsia="宋体" w:cs="宋体"/>
          <w:color w:val="auto"/>
          <w:sz w:val="28"/>
          <w:szCs w:val="28"/>
          <w:highlight w:val="none"/>
        </w:rPr>
      </w:pPr>
    </w:p>
    <w:p>
      <w:pPr>
        <w:pStyle w:val="5"/>
        <w:jc w:val="center"/>
        <w:outlineLvl w:val="0"/>
        <w:rPr>
          <w:rFonts w:hint="eastAsia" w:ascii="宋体" w:hAnsi="宋体" w:eastAsia="宋体" w:cs="宋体"/>
          <w:b/>
          <w:bCs/>
          <w:kern w:val="2"/>
          <w:sz w:val="28"/>
          <w:szCs w:val="28"/>
          <w:highlight w:val="none"/>
          <w:lang w:val="en-US" w:eastAsia="zh-CN" w:bidi="ar-SA"/>
        </w:rPr>
        <w:sectPr>
          <w:footerReference r:id="rId14" w:type="default"/>
          <w:type w:val="continuous"/>
          <w:pgSz w:w="11906" w:h="16838"/>
          <w:pgMar w:top="1418" w:right="1417" w:bottom="1418" w:left="1531" w:header="851" w:footer="850" w:gutter="0"/>
          <w:cols w:space="720" w:num="1"/>
        </w:sectPr>
      </w:pPr>
      <w:bookmarkStart w:id="315" w:name="_Toc4378"/>
      <w:bookmarkStart w:id="316" w:name="_Toc26530"/>
    </w:p>
    <w:p>
      <w:pPr>
        <w:pStyle w:val="5"/>
        <w:jc w:val="center"/>
        <w:outlineLvl w:val="0"/>
        <w:rPr>
          <w:rFonts w:hint="eastAsia" w:ascii="宋体" w:hAnsi="宋体" w:eastAsia="宋体" w:cs="宋体"/>
          <w:b/>
          <w:bCs/>
          <w:kern w:val="2"/>
          <w:sz w:val="28"/>
          <w:szCs w:val="28"/>
          <w:highlight w:val="none"/>
          <w:lang w:val="en-US" w:eastAsia="zh-CN" w:bidi="ar-SA"/>
        </w:rPr>
      </w:pPr>
      <w:bookmarkStart w:id="317" w:name="_Toc18107"/>
      <w:r>
        <w:rPr>
          <w:rFonts w:hint="eastAsia" w:ascii="宋体" w:hAnsi="宋体" w:eastAsia="宋体" w:cs="宋体"/>
          <w:b/>
          <w:bCs/>
          <w:kern w:val="2"/>
          <w:sz w:val="28"/>
          <w:szCs w:val="28"/>
          <w:highlight w:val="none"/>
          <w:lang w:val="en-US" w:eastAsia="zh-CN" w:bidi="ar-SA"/>
        </w:rPr>
        <w:t>（2）主要人员简历表</w:t>
      </w:r>
      <w:bookmarkEnd w:id="315"/>
      <w:bookmarkEnd w:id="316"/>
      <w:bookmarkEnd w:id="317"/>
    </w:p>
    <w:p>
      <w:pPr>
        <w:spacing w:before="156" w:beforeLines="50" w:after="312" w:afterLines="100"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注：每人填写一张，标明序号</w:t>
      </w:r>
    </w:p>
    <w:tbl>
      <w:tblPr>
        <w:tblStyle w:val="43"/>
        <w:tblW w:w="0" w:type="auto"/>
        <w:tblInd w:w="135" w:type="dxa"/>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CellMar>
            <w:top w:w="0" w:type="dxa"/>
            <w:left w:w="108" w:type="dxa"/>
            <w:bottom w:w="0" w:type="dxa"/>
            <w:right w:w="108" w:type="dxa"/>
          </w:tblCellMar>
        </w:tblPrEx>
        <w:trPr>
          <w:trHeight w:val="55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姓  名</w:t>
            </w:r>
          </w:p>
        </w:tc>
        <w:tc>
          <w:tcPr>
            <w:tcW w:w="1079" w:type="dxa"/>
            <w:gridSpan w:val="2"/>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p>
        </w:tc>
        <w:tc>
          <w:tcPr>
            <w:tcW w:w="927"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年 龄</w:t>
            </w:r>
          </w:p>
        </w:tc>
        <w:tc>
          <w:tcPr>
            <w:tcW w:w="1065"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p>
        </w:tc>
        <w:tc>
          <w:tcPr>
            <w:tcW w:w="2130" w:type="dxa"/>
            <w:gridSpan w:val="3"/>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学 历</w:t>
            </w:r>
          </w:p>
        </w:tc>
        <w:tc>
          <w:tcPr>
            <w:tcW w:w="2135"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p>
        </w:tc>
      </w:tr>
      <w:tr>
        <w:tblPrEx>
          <w:tblCellMar>
            <w:top w:w="0" w:type="dxa"/>
            <w:left w:w="108" w:type="dxa"/>
            <w:bottom w:w="0" w:type="dxa"/>
            <w:right w:w="108" w:type="dxa"/>
          </w:tblCellMar>
        </w:tblPrEx>
        <w:trPr>
          <w:trHeight w:val="615"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职  称</w:t>
            </w:r>
          </w:p>
        </w:tc>
        <w:tc>
          <w:tcPr>
            <w:tcW w:w="1079" w:type="dxa"/>
            <w:gridSpan w:val="2"/>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p>
        </w:tc>
        <w:tc>
          <w:tcPr>
            <w:tcW w:w="927"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职 务</w:t>
            </w:r>
          </w:p>
        </w:tc>
        <w:tc>
          <w:tcPr>
            <w:tcW w:w="1065"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p>
        </w:tc>
        <w:tc>
          <w:tcPr>
            <w:tcW w:w="2130" w:type="dxa"/>
            <w:gridSpan w:val="3"/>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拟在本项目任职</w:t>
            </w:r>
          </w:p>
        </w:tc>
        <w:tc>
          <w:tcPr>
            <w:tcW w:w="2135"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p>
        </w:tc>
      </w:tr>
      <w:tr>
        <w:tblPrEx>
          <w:tblCellMar>
            <w:top w:w="0" w:type="dxa"/>
            <w:left w:w="108" w:type="dxa"/>
            <w:bottom w:w="0" w:type="dxa"/>
            <w:right w:w="108" w:type="dxa"/>
          </w:tblCellMar>
        </w:tblPrEx>
        <w:trPr>
          <w:trHeight w:val="664" w:hRule="atLeast"/>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 xml:space="preserve">  主要工作经历</w:t>
            </w:r>
          </w:p>
        </w:tc>
      </w:tr>
      <w:tr>
        <w:tblPrEx>
          <w:tblCellMar>
            <w:top w:w="0" w:type="dxa"/>
            <w:left w:w="108" w:type="dxa"/>
            <w:bottom w:w="0" w:type="dxa"/>
            <w:right w:w="108" w:type="dxa"/>
          </w:tblCellMar>
        </w:tblPrEx>
        <w:trPr>
          <w:trHeight w:val="644" w:hRule="atLeast"/>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时  间</w:t>
            </w:r>
          </w:p>
        </w:tc>
        <w:tc>
          <w:tcPr>
            <w:tcW w:w="3420" w:type="dxa"/>
            <w:gridSpan w:val="4"/>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参加过的类似项目</w:t>
            </w:r>
          </w:p>
        </w:tc>
        <w:tc>
          <w:tcPr>
            <w:tcW w:w="1261" w:type="dxa"/>
            <w:tcBorders>
              <w:top w:val="single" w:color="auto" w:sz="4" w:space="0"/>
              <w:left w:val="nil"/>
              <w:bottom w:val="single" w:color="auto" w:sz="4" w:space="0"/>
              <w:right w:val="single" w:color="auto" w:sz="4" w:space="0"/>
            </w:tcBorders>
            <w:noWrap w:val="0"/>
            <w:vAlign w:val="center"/>
          </w:tcPr>
          <w:p>
            <w:pPr>
              <w:pStyle w:val="143"/>
              <w:spacing w:line="440" w:lineRule="exact"/>
              <w:jc w:val="center"/>
              <w:rPr>
                <w:rFonts w:hint="eastAsia" w:ascii="宋体" w:hAnsi="宋体" w:eastAsia="宋体" w:cs="宋体"/>
                <w:highlight w:val="none"/>
              </w:rPr>
            </w:pPr>
            <w:r>
              <w:rPr>
                <w:rFonts w:hint="eastAsia" w:ascii="宋体" w:hAnsi="宋体" w:eastAsia="宋体" w:cs="宋体"/>
                <w:highlight w:val="none"/>
              </w:rPr>
              <w:t>担任职务</w:t>
            </w:r>
          </w:p>
        </w:tc>
        <w:tc>
          <w:tcPr>
            <w:tcW w:w="2296" w:type="dxa"/>
            <w:gridSpan w:val="2"/>
            <w:tcBorders>
              <w:top w:val="single" w:color="auto" w:sz="4" w:space="0"/>
              <w:left w:val="nil"/>
              <w:bottom w:val="single" w:color="auto" w:sz="4" w:space="0"/>
              <w:right w:val="single" w:color="auto" w:sz="4" w:space="0"/>
            </w:tcBorders>
            <w:noWrap w:val="0"/>
            <w:vAlign w:val="center"/>
          </w:tcPr>
          <w:p>
            <w:pPr>
              <w:pStyle w:val="143"/>
              <w:spacing w:line="440" w:lineRule="exact"/>
              <w:ind w:firstLine="210" w:firstLineChars="100"/>
              <w:rPr>
                <w:rFonts w:hint="eastAsia" w:ascii="宋体" w:hAnsi="宋体" w:eastAsia="宋体" w:cs="宋体"/>
                <w:highlight w:val="none"/>
              </w:rPr>
            </w:pPr>
            <w:r>
              <w:rPr>
                <w:rFonts w:hint="eastAsia" w:ascii="宋体" w:hAnsi="宋体" w:eastAsia="宋体" w:cs="宋体"/>
                <w:highlight w:val="none"/>
              </w:rPr>
              <w:t>发包人及联系电话</w:t>
            </w:r>
          </w:p>
        </w:tc>
      </w:tr>
      <w:tr>
        <w:tblPrEx>
          <w:tblCellMar>
            <w:top w:w="0" w:type="dxa"/>
            <w:left w:w="108" w:type="dxa"/>
            <w:bottom w:w="0" w:type="dxa"/>
            <w:right w:w="108" w:type="dxa"/>
          </w:tblCellMar>
        </w:tblPrEx>
        <w:trPr>
          <w:trHeight w:val="690" w:hRule="atLeast"/>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3420" w:type="dxa"/>
            <w:gridSpan w:val="4"/>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1261" w:type="dxa"/>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2296" w:type="dxa"/>
            <w:gridSpan w:val="2"/>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r>
      <w:tr>
        <w:tblPrEx>
          <w:tblCellMar>
            <w:top w:w="0" w:type="dxa"/>
            <w:left w:w="108" w:type="dxa"/>
            <w:bottom w:w="0" w:type="dxa"/>
            <w:right w:w="108" w:type="dxa"/>
          </w:tblCellMar>
        </w:tblPrEx>
        <w:trPr>
          <w:trHeight w:val="690" w:hRule="atLeast"/>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3420" w:type="dxa"/>
            <w:gridSpan w:val="4"/>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1261" w:type="dxa"/>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2296" w:type="dxa"/>
            <w:gridSpan w:val="2"/>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r>
      <w:tr>
        <w:tblPrEx>
          <w:tblCellMar>
            <w:top w:w="0" w:type="dxa"/>
            <w:left w:w="108" w:type="dxa"/>
            <w:bottom w:w="0" w:type="dxa"/>
            <w:right w:w="108" w:type="dxa"/>
          </w:tblCellMar>
        </w:tblPrEx>
        <w:trPr>
          <w:trHeight w:val="690" w:hRule="atLeast"/>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3420" w:type="dxa"/>
            <w:gridSpan w:val="4"/>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1261" w:type="dxa"/>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c>
          <w:tcPr>
            <w:tcW w:w="2296" w:type="dxa"/>
            <w:gridSpan w:val="2"/>
            <w:tcBorders>
              <w:top w:val="single" w:color="auto" w:sz="4" w:space="0"/>
              <w:left w:val="nil"/>
              <w:bottom w:val="single" w:color="auto" w:sz="4" w:space="0"/>
              <w:right w:val="single" w:color="auto" w:sz="4" w:space="0"/>
            </w:tcBorders>
            <w:noWrap w:val="0"/>
            <w:vAlign w:val="top"/>
          </w:tcPr>
          <w:p>
            <w:pPr>
              <w:pStyle w:val="143"/>
              <w:spacing w:line="440" w:lineRule="exact"/>
              <w:rPr>
                <w:rFonts w:hint="eastAsia" w:ascii="宋体" w:hAnsi="宋体" w:eastAsia="宋体" w:cs="宋体"/>
                <w:highlight w:val="none"/>
              </w:rPr>
            </w:pPr>
          </w:p>
        </w:tc>
      </w:tr>
    </w:tbl>
    <w:p>
      <w:pPr>
        <w:pStyle w:val="143"/>
        <w:spacing w:line="400" w:lineRule="exact"/>
        <w:rPr>
          <w:rFonts w:hint="eastAsia" w:ascii="宋体" w:hAnsi="宋体" w:eastAsia="宋体" w:cs="宋体"/>
          <w:highlight w:val="none"/>
        </w:rPr>
      </w:pPr>
      <w:r>
        <w:rPr>
          <w:rFonts w:hint="eastAsia" w:ascii="宋体" w:hAnsi="宋体" w:eastAsia="宋体" w:cs="宋体"/>
          <w:highlight w:val="none"/>
        </w:rPr>
        <w:t>附：</w:t>
      </w:r>
      <w:r>
        <w:rPr>
          <w:rFonts w:hint="eastAsia" w:ascii="宋体" w:hAnsi="宋体" w:eastAsia="宋体" w:cs="宋体"/>
          <w:highlight w:val="none"/>
          <w:lang w:val="en-US" w:eastAsia="zh-CN"/>
        </w:rPr>
        <w:t>人员相关注册证或职业资格证</w:t>
      </w:r>
      <w:r>
        <w:rPr>
          <w:rFonts w:hint="eastAsia" w:ascii="宋体" w:hAnsi="宋体" w:eastAsia="宋体" w:cs="宋体"/>
          <w:highlight w:val="none"/>
        </w:rPr>
        <w:t>。</w:t>
      </w:r>
    </w:p>
    <w:p>
      <w:pPr>
        <w:spacing w:before="156" w:beforeLines="50" w:after="312" w:afterLines="100" w:line="500" w:lineRule="exact"/>
        <w:outlineLvl w:val="0"/>
        <w:rPr>
          <w:rFonts w:hint="eastAsia" w:ascii="宋体" w:hAnsi="宋体" w:eastAsia="宋体" w:cs="宋体"/>
          <w:sz w:val="28"/>
          <w:szCs w:val="28"/>
          <w:highlight w:val="none"/>
        </w:rPr>
      </w:pPr>
      <w:r>
        <w:rPr>
          <w:rFonts w:hint="eastAsia" w:ascii="宋体" w:hAnsi="宋体" w:eastAsia="宋体" w:cs="宋体"/>
          <w:b/>
          <w:color w:val="auto"/>
          <w:sz w:val="36"/>
          <w:highlight w:val="none"/>
          <w:lang w:val="en-GB"/>
        </w:rPr>
        <w:br w:type="page"/>
      </w:r>
      <w:bookmarkStart w:id="318" w:name="_Toc3971"/>
      <w:bookmarkStart w:id="319" w:name="_Toc27366"/>
      <w:bookmarkStart w:id="320" w:name="_Toc4638"/>
      <w:r>
        <w:rPr>
          <w:rFonts w:hint="eastAsia" w:ascii="宋体" w:hAnsi="宋体" w:eastAsia="宋体" w:cs="宋体"/>
          <w:sz w:val="24"/>
          <w:szCs w:val="24"/>
          <w:highlight w:val="none"/>
        </w:rPr>
        <w:t>附表一：拟投入本工程的主要施工设备表</w:t>
      </w:r>
      <w:bookmarkEnd w:id="318"/>
      <w:bookmarkEnd w:id="319"/>
      <w:bookmarkEnd w:id="320"/>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812"/>
        <w:gridCol w:w="882"/>
        <w:gridCol w:w="709"/>
        <w:gridCol w:w="709"/>
        <w:gridCol w:w="1176"/>
        <w:gridCol w:w="872"/>
        <w:gridCol w:w="87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6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设备名称</w:t>
            </w:r>
          </w:p>
        </w:tc>
        <w:tc>
          <w:tcPr>
            <w:tcW w:w="812"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型号</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82"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数  量</w:t>
            </w:r>
          </w:p>
        </w:tc>
        <w:tc>
          <w:tcPr>
            <w:tcW w:w="709"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国别</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09"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制造</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6"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872"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生产</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872"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用于施</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1080"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812" w:type="dxa"/>
            <w:noWrap w:val="0"/>
            <w:vAlign w:val="center"/>
          </w:tcPr>
          <w:p>
            <w:pPr>
              <w:spacing w:line="500" w:lineRule="exact"/>
              <w:jc w:val="center"/>
              <w:rPr>
                <w:rFonts w:hint="eastAsia" w:ascii="宋体" w:hAnsi="宋体" w:eastAsia="宋体" w:cs="宋体"/>
                <w:szCs w:val="21"/>
                <w:highlight w:val="none"/>
              </w:rPr>
            </w:pPr>
          </w:p>
        </w:tc>
        <w:tc>
          <w:tcPr>
            <w:tcW w:w="88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872" w:type="dxa"/>
            <w:noWrap w:val="0"/>
            <w:vAlign w:val="center"/>
          </w:tcPr>
          <w:p>
            <w:pPr>
              <w:spacing w:line="500" w:lineRule="exact"/>
              <w:jc w:val="center"/>
              <w:rPr>
                <w:rFonts w:hint="eastAsia" w:ascii="宋体" w:hAnsi="宋体" w:eastAsia="宋体" w:cs="宋体"/>
                <w:szCs w:val="21"/>
                <w:highlight w:val="none"/>
              </w:rPr>
            </w:pPr>
          </w:p>
        </w:tc>
        <w:tc>
          <w:tcPr>
            <w:tcW w:w="1080" w:type="dxa"/>
            <w:noWrap w:val="0"/>
            <w:vAlign w:val="center"/>
          </w:tcPr>
          <w:p>
            <w:pPr>
              <w:spacing w:line="500" w:lineRule="exact"/>
              <w:jc w:val="center"/>
              <w:rPr>
                <w:rFonts w:hint="eastAsia" w:ascii="宋体" w:hAnsi="宋体" w:eastAsia="宋体" w:cs="宋体"/>
                <w:szCs w:val="21"/>
                <w:highlight w:val="none"/>
              </w:rPr>
            </w:pPr>
          </w:p>
        </w:tc>
      </w:tr>
    </w:tbl>
    <w:p>
      <w:pPr>
        <w:spacing w:before="156" w:beforeLines="50" w:after="312" w:afterLines="100" w:line="500" w:lineRule="exact"/>
        <w:outlineLvl w:val="0"/>
        <w:rPr>
          <w:rFonts w:hint="eastAsia" w:ascii="宋体" w:hAnsi="宋体" w:eastAsia="宋体" w:cs="宋体"/>
          <w:sz w:val="24"/>
          <w:szCs w:val="24"/>
          <w:highlight w:val="none"/>
        </w:rPr>
      </w:pPr>
      <w:bookmarkStart w:id="321" w:name="_Toc3448"/>
      <w:bookmarkStart w:id="322" w:name="_Toc27469"/>
      <w:bookmarkStart w:id="323" w:name="_Toc32697"/>
      <w:r>
        <w:rPr>
          <w:rFonts w:hint="eastAsia" w:ascii="宋体" w:hAnsi="宋体" w:eastAsia="宋体" w:cs="宋体"/>
          <w:sz w:val="24"/>
          <w:szCs w:val="24"/>
          <w:highlight w:val="none"/>
        </w:rPr>
        <w:t>附表二：拟配备本工程的试验和检测仪器设备表</w:t>
      </w:r>
      <w:bookmarkEnd w:id="321"/>
      <w:bookmarkEnd w:id="322"/>
      <w:bookmarkEnd w:id="323"/>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6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名    称</w:t>
            </w:r>
          </w:p>
        </w:tc>
        <w:tc>
          <w:tcPr>
            <w:tcW w:w="672"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型号</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1022"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数  量</w:t>
            </w:r>
          </w:p>
        </w:tc>
        <w:tc>
          <w:tcPr>
            <w:tcW w:w="709"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国别</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09"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制造</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6"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已使用台</w:t>
            </w:r>
          </w:p>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时    数</w:t>
            </w:r>
          </w:p>
        </w:tc>
        <w:tc>
          <w:tcPr>
            <w:tcW w:w="1659"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1165"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672" w:type="dxa"/>
            <w:noWrap w:val="0"/>
            <w:vAlign w:val="center"/>
          </w:tcPr>
          <w:p>
            <w:pPr>
              <w:spacing w:line="500" w:lineRule="exact"/>
              <w:jc w:val="center"/>
              <w:rPr>
                <w:rFonts w:hint="eastAsia" w:ascii="宋体" w:hAnsi="宋体" w:eastAsia="宋体" w:cs="宋体"/>
                <w:szCs w:val="21"/>
                <w:highlight w:val="none"/>
              </w:rPr>
            </w:pPr>
          </w:p>
        </w:tc>
        <w:tc>
          <w:tcPr>
            <w:tcW w:w="102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1659" w:type="dxa"/>
            <w:noWrap w:val="0"/>
            <w:vAlign w:val="center"/>
          </w:tcPr>
          <w:p>
            <w:pPr>
              <w:spacing w:line="500" w:lineRule="exact"/>
              <w:jc w:val="center"/>
              <w:rPr>
                <w:rFonts w:hint="eastAsia" w:ascii="宋体" w:hAnsi="宋体" w:eastAsia="宋体" w:cs="宋体"/>
                <w:szCs w:val="21"/>
                <w:highlight w:val="none"/>
              </w:rPr>
            </w:pPr>
          </w:p>
        </w:tc>
        <w:tc>
          <w:tcPr>
            <w:tcW w:w="1165"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672" w:type="dxa"/>
            <w:noWrap w:val="0"/>
            <w:vAlign w:val="center"/>
          </w:tcPr>
          <w:p>
            <w:pPr>
              <w:spacing w:line="500" w:lineRule="exact"/>
              <w:jc w:val="center"/>
              <w:rPr>
                <w:rFonts w:hint="eastAsia" w:ascii="宋体" w:hAnsi="宋体" w:eastAsia="宋体" w:cs="宋体"/>
                <w:szCs w:val="21"/>
                <w:highlight w:val="none"/>
              </w:rPr>
            </w:pPr>
          </w:p>
        </w:tc>
        <w:tc>
          <w:tcPr>
            <w:tcW w:w="102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1659" w:type="dxa"/>
            <w:noWrap w:val="0"/>
            <w:vAlign w:val="center"/>
          </w:tcPr>
          <w:p>
            <w:pPr>
              <w:spacing w:line="500" w:lineRule="exact"/>
              <w:jc w:val="center"/>
              <w:rPr>
                <w:rFonts w:hint="eastAsia" w:ascii="宋体" w:hAnsi="宋体" w:eastAsia="宋体" w:cs="宋体"/>
                <w:szCs w:val="21"/>
                <w:highlight w:val="none"/>
              </w:rPr>
            </w:pPr>
          </w:p>
        </w:tc>
        <w:tc>
          <w:tcPr>
            <w:tcW w:w="1165"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672" w:type="dxa"/>
            <w:noWrap w:val="0"/>
            <w:vAlign w:val="center"/>
          </w:tcPr>
          <w:p>
            <w:pPr>
              <w:spacing w:line="500" w:lineRule="exact"/>
              <w:jc w:val="center"/>
              <w:rPr>
                <w:rFonts w:hint="eastAsia" w:ascii="宋体" w:hAnsi="宋体" w:eastAsia="宋体" w:cs="宋体"/>
                <w:szCs w:val="21"/>
                <w:highlight w:val="none"/>
              </w:rPr>
            </w:pPr>
          </w:p>
        </w:tc>
        <w:tc>
          <w:tcPr>
            <w:tcW w:w="102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1659" w:type="dxa"/>
            <w:noWrap w:val="0"/>
            <w:vAlign w:val="center"/>
          </w:tcPr>
          <w:p>
            <w:pPr>
              <w:spacing w:line="500" w:lineRule="exact"/>
              <w:jc w:val="center"/>
              <w:rPr>
                <w:rFonts w:hint="eastAsia" w:ascii="宋体" w:hAnsi="宋体" w:eastAsia="宋体" w:cs="宋体"/>
                <w:szCs w:val="21"/>
                <w:highlight w:val="none"/>
              </w:rPr>
            </w:pPr>
          </w:p>
        </w:tc>
        <w:tc>
          <w:tcPr>
            <w:tcW w:w="1165"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672" w:type="dxa"/>
            <w:noWrap w:val="0"/>
            <w:vAlign w:val="center"/>
          </w:tcPr>
          <w:p>
            <w:pPr>
              <w:spacing w:line="500" w:lineRule="exact"/>
              <w:jc w:val="center"/>
              <w:rPr>
                <w:rFonts w:hint="eastAsia" w:ascii="宋体" w:hAnsi="宋体" w:eastAsia="宋体" w:cs="宋体"/>
                <w:szCs w:val="21"/>
                <w:highlight w:val="none"/>
              </w:rPr>
            </w:pPr>
          </w:p>
        </w:tc>
        <w:tc>
          <w:tcPr>
            <w:tcW w:w="102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1659" w:type="dxa"/>
            <w:noWrap w:val="0"/>
            <w:vAlign w:val="center"/>
          </w:tcPr>
          <w:p>
            <w:pPr>
              <w:spacing w:line="500" w:lineRule="exact"/>
              <w:jc w:val="center"/>
              <w:rPr>
                <w:rFonts w:hint="eastAsia" w:ascii="宋体" w:hAnsi="宋体" w:eastAsia="宋体" w:cs="宋体"/>
                <w:szCs w:val="21"/>
                <w:highlight w:val="none"/>
              </w:rPr>
            </w:pPr>
          </w:p>
        </w:tc>
        <w:tc>
          <w:tcPr>
            <w:tcW w:w="1165" w:type="dxa"/>
            <w:noWrap w:val="0"/>
            <w:vAlign w:val="center"/>
          </w:tcPr>
          <w:p>
            <w:pPr>
              <w:spacing w:line="50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064" w:type="dxa"/>
            <w:noWrap w:val="0"/>
            <w:vAlign w:val="center"/>
          </w:tcPr>
          <w:p>
            <w:pPr>
              <w:spacing w:line="500" w:lineRule="exact"/>
              <w:jc w:val="center"/>
              <w:rPr>
                <w:rFonts w:hint="eastAsia" w:ascii="宋体" w:hAnsi="宋体" w:eastAsia="宋体" w:cs="宋体"/>
                <w:szCs w:val="21"/>
                <w:highlight w:val="none"/>
              </w:rPr>
            </w:pPr>
          </w:p>
        </w:tc>
        <w:tc>
          <w:tcPr>
            <w:tcW w:w="672" w:type="dxa"/>
            <w:noWrap w:val="0"/>
            <w:vAlign w:val="center"/>
          </w:tcPr>
          <w:p>
            <w:pPr>
              <w:spacing w:line="500" w:lineRule="exact"/>
              <w:jc w:val="center"/>
              <w:rPr>
                <w:rFonts w:hint="eastAsia" w:ascii="宋体" w:hAnsi="宋体" w:eastAsia="宋体" w:cs="宋体"/>
                <w:szCs w:val="21"/>
                <w:highlight w:val="none"/>
              </w:rPr>
            </w:pPr>
          </w:p>
        </w:tc>
        <w:tc>
          <w:tcPr>
            <w:tcW w:w="1022"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709" w:type="dxa"/>
            <w:noWrap w:val="0"/>
            <w:vAlign w:val="center"/>
          </w:tcPr>
          <w:p>
            <w:pPr>
              <w:spacing w:line="500" w:lineRule="exact"/>
              <w:jc w:val="center"/>
              <w:rPr>
                <w:rFonts w:hint="eastAsia" w:ascii="宋体" w:hAnsi="宋体" w:eastAsia="宋体" w:cs="宋体"/>
                <w:szCs w:val="21"/>
                <w:highlight w:val="none"/>
              </w:rPr>
            </w:pPr>
          </w:p>
        </w:tc>
        <w:tc>
          <w:tcPr>
            <w:tcW w:w="1176" w:type="dxa"/>
            <w:noWrap w:val="0"/>
            <w:vAlign w:val="center"/>
          </w:tcPr>
          <w:p>
            <w:pPr>
              <w:spacing w:line="500" w:lineRule="exact"/>
              <w:jc w:val="center"/>
              <w:rPr>
                <w:rFonts w:hint="eastAsia" w:ascii="宋体" w:hAnsi="宋体" w:eastAsia="宋体" w:cs="宋体"/>
                <w:szCs w:val="21"/>
                <w:highlight w:val="none"/>
              </w:rPr>
            </w:pPr>
          </w:p>
        </w:tc>
        <w:tc>
          <w:tcPr>
            <w:tcW w:w="1659" w:type="dxa"/>
            <w:noWrap w:val="0"/>
            <w:vAlign w:val="center"/>
          </w:tcPr>
          <w:p>
            <w:pPr>
              <w:spacing w:line="500" w:lineRule="exact"/>
              <w:jc w:val="center"/>
              <w:rPr>
                <w:rFonts w:hint="eastAsia" w:ascii="宋体" w:hAnsi="宋体" w:eastAsia="宋体" w:cs="宋体"/>
                <w:szCs w:val="21"/>
                <w:highlight w:val="none"/>
              </w:rPr>
            </w:pPr>
          </w:p>
        </w:tc>
        <w:tc>
          <w:tcPr>
            <w:tcW w:w="1165" w:type="dxa"/>
            <w:noWrap w:val="0"/>
            <w:vAlign w:val="center"/>
          </w:tcPr>
          <w:p>
            <w:pPr>
              <w:spacing w:line="500" w:lineRule="exact"/>
              <w:jc w:val="center"/>
              <w:rPr>
                <w:rFonts w:hint="eastAsia" w:ascii="宋体" w:hAnsi="宋体" w:eastAsia="宋体" w:cs="宋体"/>
                <w:szCs w:val="21"/>
                <w:highlight w:val="none"/>
              </w:rPr>
            </w:pPr>
          </w:p>
        </w:tc>
      </w:tr>
    </w:tbl>
    <w:p>
      <w:pPr>
        <w:spacing w:before="156" w:beforeLines="50" w:after="156" w:afterLines="50" w:line="500" w:lineRule="exact"/>
        <w:outlineLvl w:val="0"/>
        <w:rPr>
          <w:rFonts w:hint="eastAsia" w:ascii="宋体" w:hAnsi="宋体" w:eastAsia="宋体" w:cs="宋体"/>
          <w:sz w:val="28"/>
          <w:szCs w:val="28"/>
          <w:highlight w:val="none"/>
        </w:rPr>
      </w:pPr>
      <w:r>
        <w:rPr>
          <w:rFonts w:hint="eastAsia" w:ascii="宋体" w:hAnsi="宋体" w:eastAsia="宋体" w:cs="宋体"/>
          <w:szCs w:val="21"/>
          <w:highlight w:val="none"/>
        </w:rPr>
        <w:br w:type="page"/>
      </w:r>
      <w:bookmarkStart w:id="324" w:name="_Toc21703"/>
      <w:bookmarkStart w:id="325" w:name="_Toc18426"/>
      <w:bookmarkStart w:id="326" w:name="_Toc22000"/>
      <w:r>
        <w:rPr>
          <w:rFonts w:hint="eastAsia" w:ascii="宋体" w:hAnsi="宋体" w:eastAsia="宋体" w:cs="宋体"/>
          <w:sz w:val="24"/>
          <w:szCs w:val="24"/>
          <w:highlight w:val="none"/>
        </w:rPr>
        <w:t>附表三：劳动力计划表</w:t>
      </w:r>
      <w:bookmarkEnd w:id="324"/>
      <w:bookmarkEnd w:id="325"/>
      <w:bookmarkEnd w:id="326"/>
    </w:p>
    <w:p>
      <w:pPr>
        <w:spacing w:line="500" w:lineRule="exact"/>
        <w:ind w:right="420"/>
        <w:jc w:val="center"/>
        <w:rPr>
          <w:rFonts w:hint="eastAsia" w:ascii="宋体" w:hAnsi="宋体" w:eastAsia="宋体" w:cs="宋体"/>
          <w:sz w:val="21"/>
          <w:szCs w:val="21"/>
          <w:highlight w:val="none"/>
        </w:rPr>
      </w:pPr>
      <w:r>
        <w:rPr>
          <w:rFonts w:hint="eastAsia" w:ascii="宋体" w:hAnsi="宋体" w:eastAsia="宋体" w:cs="宋体"/>
          <w:szCs w:val="21"/>
          <w:highlight w:val="non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1"/>
          <w:szCs w:val="21"/>
          <w:highlight w:val="none"/>
        </w:rPr>
        <w:t xml:space="preserve">单位：人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09" w:type="dxa"/>
            <w:noWrap w:val="0"/>
            <w:vAlign w:val="center"/>
          </w:tcPr>
          <w:p>
            <w:pPr>
              <w:spacing w:line="5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工种</w:t>
            </w:r>
          </w:p>
        </w:tc>
        <w:tc>
          <w:tcPr>
            <w:tcW w:w="7796" w:type="dxa"/>
            <w:gridSpan w:val="7"/>
            <w:noWrap w:val="0"/>
            <w:vAlign w:val="center"/>
          </w:tcPr>
          <w:p>
            <w:pPr>
              <w:spacing w:line="5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1"/>
                <w:szCs w:val="21"/>
                <w:highlight w:val="none"/>
              </w:rPr>
            </w:pPr>
          </w:p>
        </w:tc>
        <w:tc>
          <w:tcPr>
            <w:tcW w:w="1418"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1"/>
                <w:szCs w:val="21"/>
                <w:highlight w:val="none"/>
              </w:rPr>
            </w:pPr>
          </w:p>
        </w:tc>
        <w:tc>
          <w:tcPr>
            <w:tcW w:w="1418"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1"/>
                <w:szCs w:val="21"/>
                <w:highlight w:val="none"/>
              </w:rPr>
            </w:pPr>
          </w:p>
        </w:tc>
        <w:tc>
          <w:tcPr>
            <w:tcW w:w="1418"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c>
          <w:tcPr>
            <w:tcW w:w="1063" w:type="dxa"/>
            <w:noWrap w:val="0"/>
            <w:vAlign w:val="center"/>
          </w:tcPr>
          <w:p>
            <w:pPr>
              <w:spacing w:line="50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4"/>
                <w:szCs w:val="24"/>
                <w:highlight w:val="none"/>
              </w:rPr>
            </w:pPr>
          </w:p>
        </w:tc>
        <w:tc>
          <w:tcPr>
            <w:tcW w:w="1418"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4"/>
                <w:szCs w:val="24"/>
                <w:highlight w:val="none"/>
              </w:rPr>
            </w:pPr>
          </w:p>
        </w:tc>
        <w:tc>
          <w:tcPr>
            <w:tcW w:w="1418"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4"/>
                <w:szCs w:val="24"/>
                <w:highlight w:val="none"/>
              </w:rPr>
            </w:pPr>
          </w:p>
        </w:tc>
        <w:tc>
          <w:tcPr>
            <w:tcW w:w="1418"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spacing w:line="500" w:lineRule="exact"/>
              <w:jc w:val="center"/>
              <w:rPr>
                <w:rFonts w:hint="eastAsia" w:ascii="宋体" w:hAnsi="宋体" w:eastAsia="宋体" w:cs="宋体"/>
                <w:sz w:val="24"/>
                <w:szCs w:val="24"/>
                <w:highlight w:val="none"/>
              </w:rPr>
            </w:pPr>
          </w:p>
        </w:tc>
        <w:tc>
          <w:tcPr>
            <w:tcW w:w="1418"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c>
          <w:tcPr>
            <w:tcW w:w="1063" w:type="dxa"/>
            <w:noWrap w:val="0"/>
            <w:vAlign w:val="center"/>
          </w:tcPr>
          <w:p>
            <w:pPr>
              <w:spacing w:line="500" w:lineRule="exact"/>
              <w:jc w:val="center"/>
              <w:rPr>
                <w:rFonts w:hint="eastAsia" w:ascii="宋体" w:hAnsi="宋体" w:eastAsia="宋体" w:cs="宋体"/>
                <w:sz w:val="24"/>
                <w:szCs w:val="24"/>
                <w:highlight w:val="none"/>
              </w:rPr>
            </w:pPr>
          </w:p>
        </w:tc>
      </w:tr>
    </w:tbl>
    <w:p>
      <w:pPr>
        <w:spacing w:before="156" w:beforeLines="50" w:after="312" w:afterLines="100" w:line="500" w:lineRule="exact"/>
        <w:rPr>
          <w:rFonts w:hint="eastAsia" w:ascii="宋体" w:hAnsi="宋体" w:eastAsia="宋体" w:cs="宋体"/>
          <w:sz w:val="24"/>
          <w:szCs w:val="24"/>
          <w:highlight w:val="none"/>
        </w:rPr>
      </w:pPr>
    </w:p>
    <w:p>
      <w:pPr>
        <w:spacing w:before="156" w:beforeLines="50" w:after="312" w:afterLines="100" w:line="500" w:lineRule="exact"/>
        <w:outlineLvl w:val="0"/>
        <w:rPr>
          <w:rFonts w:hint="eastAsia" w:ascii="宋体" w:hAnsi="宋体" w:eastAsia="宋体" w:cs="宋体"/>
          <w:sz w:val="28"/>
          <w:szCs w:val="28"/>
          <w:highlight w:val="none"/>
        </w:rPr>
      </w:pPr>
      <w:bookmarkStart w:id="327" w:name="_Toc27268"/>
      <w:bookmarkStart w:id="328" w:name="_Toc27772"/>
      <w:bookmarkStart w:id="329" w:name="_Toc3109"/>
      <w:r>
        <w:rPr>
          <w:rFonts w:hint="eastAsia" w:ascii="宋体" w:hAnsi="宋体" w:eastAsia="宋体" w:cs="宋体"/>
          <w:sz w:val="24"/>
          <w:szCs w:val="24"/>
          <w:highlight w:val="none"/>
        </w:rPr>
        <w:t>附表四：计划开、竣工日期和施工进度网络图</w:t>
      </w:r>
      <w:bookmarkEnd w:id="327"/>
      <w:bookmarkEnd w:id="328"/>
      <w:bookmarkEnd w:id="329"/>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1．投标人应递交施工进度网络图或施工进度表，说明按招标文件要求的计划工期进行施工的各个关键日期。</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2．施工进度表可采用网络图和（或）横道图表示。</w:t>
      </w:r>
    </w:p>
    <w:p>
      <w:pPr>
        <w:spacing w:before="156" w:beforeLines="50" w:after="312" w:afterLines="100" w:line="500" w:lineRule="exact"/>
        <w:rPr>
          <w:rFonts w:hint="eastAsia" w:ascii="宋体" w:hAnsi="宋体" w:eastAsia="宋体" w:cs="宋体"/>
          <w:sz w:val="24"/>
          <w:szCs w:val="24"/>
          <w:highlight w:val="none"/>
        </w:rPr>
      </w:pPr>
    </w:p>
    <w:p>
      <w:pPr>
        <w:spacing w:before="156" w:beforeLines="50" w:after="312" w:afterLines="100" w:line="500" w:lineRule="exact"/>
        <w:outlineLvl w:val="0"/>
        <w:rPr>
          <w:rFonts w:hint="eastAsia" w:ascii="宋体" w:hAnsi="宋体" w:eastAsia="宋体" w:cs="宋体"/>
          <w:sz w:val="24"/>
          <w:szCs w:val="24"/>
          <w:highlight w:val="none"/>
        </w:rPr>
      </w:pPr>
      <w:bookmarkStart w:id="330" w:name="_Toc15644"/>
      <w:bookmarkStart w:id="331" w:name="_Toc32549"/>
      <w:bookmarkStart w:id="332" w:name="_Toc11375"/>
      <w:r>
        <w:rPr>
          <w:rFonts w:hint="eastAsia" w:ascii="宋体" w:hAnsi="宋体" w:eastAsia="宋体" w:cs="宋体"/>
          <w:sz w:val="24"/>
          <w:szCs w:val="24"/>
          <w:highlight w:val="none"/>
        </w:rPr>
        <w:t>附表五：施工总平面图</w:t>
      </w:r>
      <w:bookmarkEnd w:id="330"/>
      <w:bookmarkEnd w:id="331"/>
      <w:bookmarkEnd w:id="332"/>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pPr>
        <w:spacing w:line="480" w:lineRule="exact"/>
        <w:outlineLvl w:val="9"/>
        <w:rPr>
          <w:rFonts w:hint="eastAsia" w:ascii="宋体" w:hAnsi="宋体" w:eastAsia="宋体" w:cs="宋体"/>
          <w:b/>
          <w:sz w:val="4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42"/>
        <w:rPr>
          <w:rFonts w:hint="eastAsia" w:ascii="宋体" w:hAnsi="宋体" w:eastAsia="宋体" w:cs="宋体"/>
          <w:b/>
          <w:color w:val="auto"/>
          <w:sz w:val="28"/>
          <w:szCs w:val="28"/>
          <w:highlight w:val="none"/>
        </w:rPr>
      </w:pPr>
    </w:p>
    <w:p>
      <w:pPr>
        <w:pStyle w:val="33"/>
        <w:numPr>
          <w:ilvl w:val="0"/>
          <w:numId w:val="0"/>
        </w:numPr>
        <w:bidi w:val="0"/>
        <w:ind w:left="420" w:leftChars="200"/>
        <w:rPr>
          <w:rFonts w:hint="eastAsia" w:ascii="宋体" w:hAnsi="宋体" w:eastAsia="宋体" w:cs="宋体"/>
          <w:b/>
          <w:bCs/>
          <w:sz w:val="24"/>
          <w:highlight w:val="none"/>
        </w:rPr>
      </w:pPr>
      <w:r>
        <w:rPr>
          <w:rFonts w:hint="eastAsia" w:ascii="宋体" w:hAnsi="宋体" w:eastAsia="宋体" w:cs="宋体"/>
          <w:b/>
          <w:bCs/>
          <w:kern w:val="2"/>
          <w:sz w:val="24"/>
          <w:szCs w:val="16"/>
          <w:lang w:val="en-US" w:eastAsia="zh-CN" w:bidi="ar-SA"/>
        </w:rPr>
        <w:t>C、</w:t>
      </w:r>
      <w:r>
        <w:rPr>
          <w:rFonts w:hint="eastAsia" w:ascii="宋体" w:hAnsi="宋体" w:eastAsia="宋体" w:cs="宋体"/>
          <w:b/>
          <w:bCs/>
          <w:sz w:val="24"/>
          <w:highlight w:val="none"/>
        </w:rPr>
        <w:t>资格证明部分：</w:t>
      </w:r>
    </w:p>
    <w:p>
      <w:pPr>
        <w:pStyle w:val="33"/>
        <w:numPr>
          <w:ilvl w:val="0"/>
          <w:numId w:val="0"/>
        </w:numPr>
        <w:bidi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（一）基本资格条件：符合《中华人民共和国政府采购法》第二十二条的规定，并提供以下资料：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（2）财务状况报告：提供经审计的</w:t>
      </w:r>
      <w:r>
        <w:rPr>
          <w:rFonts w:hint="eastAsia" w:ascii="宋体" w:hAnsi="宋体" w:eastAsia="宋体" w:cs="宋体"/>
          <w:sz w:val="24"/>
          <w:lang w:val="en-US" w:eastAsia="zh-CN"/>
        </w:rPr>
        <w:t>2022</w:t>
      </w:r>
      <w:r>
        <w:rPr>
          <w:rFonts w:hint="eastAsia" w:ascii="宋体" w:hAnsi="宋体" w:eastAsia="宋体" w:cs="宋体"/>
          <w:sz w:val="24"/>
        </w:rPr>
        <w:t>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（3）税收缴纳证明：提供已缴纳的2022年</w:t>
      </w:r>
      <w:r>
        <w:rPr>
          <w:rFonts w:hint="eastAsia" w:ascii="宋体" w:hAnsi="宋体" w:cs="宋体"/>
          <w:sz w:val="24"/>
          <w:lang w:val="en-US" w:eastAsia="zh-CN"/>
        </w:rPr>
        <w:t>8</w:t>
      </w:r>
      <w:r>
        <w:rPr>
          <w:rFonts w:hint="eastAsia" w:ascii="宋体" w:hAnsi="宋体" w:eastAsia="宋体" w:cs="宋体"/>
          <w:sz w:val="24"/>
        </w:rPr>
        <w:t>月至今任意一个月的纳税证明或完税证明，纳税证明或完税证明上应有代收机构或税务机关的公章或业务专用章。依法免税的供应商应提供相关文件证明；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（4）供应商须提供具有履行合同所必需的设备和专业技术能力的承诺；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（5）社会保障资金缴纳证明：提供已缴存的2022年</w:t>
      </w:r>
      <w:r>
        <w:rPr>
          <w:rFonts w:hint="eastAsia" w:ascii="宋体" w:hAnsi="宋体" w:cs="宋体"/>
          <w:sz w:val="24"/>
          <w:lang w:val="en-US" w:eastAsia="zh-CN"/>
        </w:rPr>
        <w:t>8</w:t>
      </w:r>
      <w:r>
        <w:rPr>
          <w:rFonts w:hint="eastAsia" w:ascii="宋体" w:hAnsi="宋体" w:eastAsia="宋体" w:cs="宋体"/>
          <w:sz w:val="24"/>
        </w:rPr>
        <w:t>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（6）出具参加本次政府采购活动前三年内在经营活动中没有重大违法记录的书面声明；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（二）落实政府采购政策需满足的资格要求如下：本项目专门面向小微企业采购（残疾人福利性单位及监狱企业视同小型、微型企业）（提供声明函）。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具有建筑工程施工总承包三级及以上资质，并具备有效的安全生产许可证</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lang w:eastAsia="zh-CN"/>
        </w:rPr>
        <w:t>拟派项目经理须具有建筑工程专业二级及以上注册建造师证书和有效的安全生产考核证书（B证）在本单位注册且无在建工程、无不良记录（提供无在建工程、无不良记录承诺书）；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lang w:eastAsia="zh-CN"/>
        </w:rPr>
        <w:t>供应商及拟派项目经理基本信息应在“陕西省住房和城乡建设厅网站（http://js.shaanxi.gov.cn/）陕西省建筑市场监管与诚信信息发布平台”可查询；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法定代表人参加投标的提供法定代表人身份证明及身份证，委托代理人参加投标的提供授权委托书及委托代理人身份证，备注：分支机构由分支机构负责人授权即可；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本项目不接受联合体投标（提供声明材料）。</w:t>
      </w:r>
    </w:p>
    <w:p>
      <w:pPr>
        <w:pStyle w:val="33"/>
        <w:numPr>
          <w:ilvl w:val="0"/>
          <w:numId w:val="0"/>
        </w:numPr>
        <w:bidi w:val="0"/>
        <w:spacing w:line="360" w:lineRule="auto"/>
        <w:ind w:firstLine="480" w:firstLineChars="200"/>
        <w:rPr>
          <w:rFonts w:hint="eastAsia" w:ascii="宋体" w:hAnsi="宋体" w:eastAsia="宋体" w:cs="宋体"/>
          <w:b w:val="0"/>
          <w:bCs w:val="0"/>
          <w:sz w:val="24"/>
          <w:szCs w:val="24"/>
          <w:highlight w:val="none"/>
          <w:lang w:val="en-US" w:eastAsia="zh-CN"/>
        </w:rPr>
      </w:pPr>
    </w:p>
    <w:p>
      <w:pPr>
        <w:spacing w:line="480" w:lineRule="exact"/>
        <w:ind w:firstLine="480" w:firstLineChars="200"/>
        <w:rPr>
          <w:rFonts w:hint="eastAsia" w:ascii="宋体" w:hAnsi="宋体" w:eastAsia="宋体" w:cs="宋体"/>
          <w:sz w:val="28"/>
          <w:szCs w:val="28"/>
          <w:highlight w:val="none"/>
        </w:rPr>
      </w:pPr>
      <w:r>
        <w:rPr>
          <w:rFonts w:hint="eastAsia" w:ascii="宋体" w:hAnsi="宋体" w:eastAsia="宋体" w:cs="宋体"/>
          <w:sz w:val="24"/>
          <w:highlight w:val="none"/>
        </w:rPr>
        <w:br w:type="page"/>
      </w:r>
      <w:bookmarkStart w:id="333" w:name="_Toc13392"/>
      <w:bookmarkStart w:id="334" w:name="_Toc26660"/>
      <w:r>
        <w:rPr>
          <w:rFonts w:hint="eastAsia" w:ascii="宋体" w:hAnsi="宋体" w:eastAsia="宋体" w:cs="宋体"/>
          <w:b/>
          <w:sz w:val="28"/>
          <w:szCs w:val="28"/>
          <w:highlight w:val="none"/>
        </w:rPr>
        <w:t>附件1</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《拒绝政府采购领域商业贿赂承诺书》 </w:t>
      </w:r>
      <w:bookmarkEnd w:id="333"/>
      <w:bookmarkEnd w:id="334"/>
    </w:p>
    <w:p>
      <w:pPr>
        <w:widowControl/>
        <w:spacing w:line="480" w:lineRule="exact"/>
        <w:jc w:val="left"/>
        <w:rPr>
          <w:rFonts w:hint="eastAsia" w:ascii="宋体" w:hAnsi="宋体" w:eastAsia="宋体" w:cs="宋体"/>
          <w:b/>
          <w:kern w:val="0"/>
          <w:sz w:val="28"/>
          <w:szCs w:val="28"/>
          <w:highlight w:val="none"/>
        </w:rPr>
      </w:pPr>
    </w:p>
    <w:p>
      <w:pPr>
        <w:widowControl/>
        <w:spacing w:line="480" w:lineRule="exact"/>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陕西省政府采购供应商</w:t>
      </w:r>
    </w:p>
    <w:p>
      <w:pPr>
        <w:widowControl/>
        <w:spacing w:line="480" w:lineRule="exact"/>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拒绝政府采购领域商业贿赂承诺书</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为响应党中央、国务院关于治理政府采购领域商业贿赂行为的号召，我单位在此庄严承诺：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1、在参与政府采购活动中遵纪守法、诚信经营、公平竞标。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2、不向采购人、采购代理机构和政府采购评审专家进行任何形式的商业贿赂以谋取交易机会。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3、不向政府采购采购代理机构和采购人提供虚假资质文件或采用虚假应标方式参与政府采购市场竞争并谋取中标。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4、不采取“围标、陪标”等商业欺诈手段获得政府采购定单。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5、不采取不正当手段低毁、排挤其他供应商。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6、不在提供商品和服务时“偷梁换柱、以次充好”损害采购人的合法权益。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7、不与采购人、采购代理机构政府采购评审专家或其它供应商恶意串通，进行质疑和投诉，维护政府采购市场秩序。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8、尊重和接受政府采购监督管理部门的监督和政府采购代理机构采购要求，承担因违约行为给采购人造成的损失。 </w:t>
      </w:r>
    </w:p>
    <w:p>
      <w:pPr>
        <w:widowControl/>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9、不发生其他有悖于政府采购公开、公平、公正和诚信原则的行为。 </w:t>
      </w:r>
    </w:p>
    <w:p>
      <w:pPr>
        <w:widowControl/>
        <w:spacing w:line="520" w:lineRule="exact"/>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 xml:space="preserve">        承诺单位：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（盖章） </w:t>
      </w:r>
    </w:p>
    <w:p>
      <w:pPr>
        <w:widowControl/>
        <w:spacing w:line="52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全权代表：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（签字） </w:t>
      </w:r>
    </w:p>
    <w:p>
      <w:pPr>
        <w:widowControl/>
        <w:spacing w:line="520" w:lineRule="exact"/>
        <w:ind w:firstLine="1440" w:firstLineChars="6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rPr>
        <w:t xml:space="preserve">                    </w:t>
      </w:r>
    </w:p>
    <w:p>
      <w:pPr>
        <w:widowControl/>
        <w:spacing w:line="520" w:lineRule="exac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xml:space="preserve">  邮    编：</w:t>
      </w:r>
      <w:r>
        <w:rPr>
          <w:rFonts w:hint="eastAsia" w:ascii="宋体" w:hAnsi="宋体" w:eastAsia="宋体" w:cs="宋体"/>
          <w:kern w:val="0"/>
          <w:sz w:val="24"/>
          <w:highlight w:val="none"/>
          <w:u w:val="single"/>
        </w:rPr>
        <w:t xml:space="preserve">                    </w:t>
      </w:r>
    </w:p>
    <w:p>
      <w:pPr>
        <w:widowControl/>
        <w:spacing w:line="520" w:lineRule="exac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xml:space="preserve">   电    话：</w:t>
      </w:r>
      <w:r>
        <w:rPr>
          <w:rFonts w:hint="eastAsia" w:ascii="宋体" w:hAnsi="宋体" w:eastAsia="宋体" w:cs="宋体"/>
          <w:kern w:val="0"/>
          <w:sz w:val="24"/>
          <w:highlight w:val="none"/>
          <w:u w:val="single"/>
        </w:rPr>
        <w:t xml:space="preserve">                    </w:t>
      </w:r>
    </w:p>
    <w:p>
      <w:pPr>
        <w:spacing w:line="480" w:lineRule="exact"/>
        <w:jc w:val="left"/>
        <w:rPr>
          <w:rFonts w:hint="eastAsia" w:ascii="宋体" w:hAnsi="宋体" w:eastAsia="宋体" w:cs="宋体"/>
          <w:b/>
          <w:color w:val="auto"/>
          <w:sz w:val="28"/>
          <w:szCs w:val="28"/>
          <w:highlight w:val="none"/>
        </w:rPr>
      </w:pPr>
    </w:p>
    <w:p>
      <w:pPr>
        <w:spacing w:line="480" w:lineRule="exact"/>
        <w:jc w:val="left"/>
        <w:rPr>
          <w:rFonts w:hint="eastAsia" w:ascii="宋体" w:hAnsi="宋体" w:eastAsia="宋体" w:cs="宋体"/>
          <w:b/>
          <w:color w:val="auto"/>
          <w:sz w:val="28"/>
          <w:szCs w:val="28"/>
          <w:highlight w:val="none"/>
        </w:rPr>
      </w:pPr>
    </w:p>
    <w:p>
      <w:pPr>
        <w:spacing w:line="480" w:lineRule="exact"/>
        <w:jc w:val="left"/>
        <w:rPr>
          <w:rFonts w:hint="eastAsia" w:ascii="宋体" w:hAnsi="宋体" w:eastAsia="宋体" w:cs="宋体"/>
          <w:b/>
          <w:color w:val="auto"/>
          <w:sz w:val="28"/>
          <w:szCs w:val="28"/>
          <w:highlight w:val="none"/>
        </w:rPr>
      </w:pPr>
    </w:p>
    <w:p>
      <w:pPr>
        <w:spacing w:line="480" w:lineRule="exact"/>
        <w:jc w:val="left"/>
        <w:rPr>
          <w:rFonts w:hint="eastAsia" w:ascii="宋体" w:hAnsi="宋体" w:eastAsia="宋体" w:cs="宋体"/>
          <w:b/>
          <w:color w:val="auto"/>
          <w:sz w:val="28"/>
          <w:szCs w:val="28"/>
          <w:highlight w:val="none"/>
        </w:rPr>
      </w:pPr>
    </w:p>
    <w:p>
      <w:pPr>
        <w:spacing w:line="480" w:lineRule="exact"/>
        <w:jc w:val="left"/>
        <w:outlineLvl w:val="0"/>
        <w:rPr>
          <w:rFonts w:hint="eastAsia" w:ascii="宋体" w:hAnsi="宋体" w:eastAsia="宋体" w:cs="宋体"/>
          <w:b/>
          <w:bCs/>
          <w:kern w:val="0"/>
          <w:sz w:val="28"/>
          <w:szCs w:val="28"/>
          <w:highlight w:val="none"/>
          <w:lang w:eastAsia="zh-CN"/>
        </w:rPr>
      </w:pPr>
      <w:bookmarkStart w:id="335" w:name="_Toc17204"/>
      <w:bookmarkStart w:id="336" w:name="_Toc6840"/>
      <w:bookmarkStart w:id="337" w:name="_Toc28340"/>
      <w:r>
        <w:rPr>
          <w:rFonts w:hint="eastAsia" w:ascii="宋体" w:hAnsi="宋体" w:eastAsia="宋体" w:cs="宋体"/>
          <w:b/>
          <w:sz w:val="28"/>
          <w:szCs w:val="28"/>
          <w:highlight w:val="none"/>
        </w:rPr>
        <w:t>附件2</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中小企业声明函</w:t>
      </w:r>
      <w:r>
        <w:rPr>
          <w:rFonts w:hint="eastAsia" w:ascii="宋体" w:hAnsi="宋体" w:eastAsia="宋体" w:cs="宋体"/>
          <w:b/>
          <w:sz w:val="28"/>
          <w:szCs w:val="28"/>
          <w:highlight w:val="none"/>
          <w:lang w:eastAsia="zh-CN"/>
        </w:rPr>
        <w:t>》</w:t>
      </w:r>
      <w:bookmarkEnd w:id="335"/>
      <w:bookmarkEnd w:id="336"/>
      <w:bookmarkEnd w:id="337"/>
    </w:p>
    <w:p>
      <w:pPr>
        <w:spacing w:line="480" w:lineRule="exact"/>
        <w:jc w:val="center"/>
        <w:rPr>
          <w:rFonts w:hint="eastAsia" w:ascii="宋体" w:hAnsi="宋体" w:eastAsia="宋体" w:cs="宋体"/>
          <w:b/>
          <w:bCs/>
          <w:kern w:val="0"/>
          <w:sz w:val="32"/>
          <w:szCs w:val="32"/>
          <w:highlight w:val="none"/>
        </w:rPr>
      </w:pPr>
    </w:p>
    <w:p>
      <w:pPr>
        <w:jc w:val="center"/>
        <w:rPr>
          <w:rFonts w:hint="eastAsia" w:ascii="宋体" w:hAnsi="宋体" w:eastAsia="宋体" w:cs="宋体"/>
          <w:b/>
          <w:sz w:val="32"/>
          <w:szCs w:val="32"/>
          <w:highlight w:val="none"/>
          <w:lang w:eastAsia="zh-CN"/>
        </w:rPr>
      </w:pPr>
      <w:bookmarkStart w:id="338" w:name="_Hlk3903711"/>
      <w:r>
        <w:rPr>
          <w:rFonts w:hint="eastAsia" w:ascii="宋体" w:hAnsi="宋体" w:eastAsia="宋体" w:cs="宋体"/>
          <w:b/>
          <w:sz w:val="32"/>
          <w:szCs w:val="32"/>
          <w:highlight w:val="none"/>
        </w:rPr>
        <w:t>中小企业声明函</w:t>
      </w:r>
      <w:r>
        <w:rPr>
          <w:rFonts w:hint="eastAsia" w:ascii="宋体" w:hAnsi="宋体" w:eastAsia="宋体" w:cs="宋体"/>
          <w:b/>
          <w:sz w:val="32"/>
          <w:szCs w:val="32"/>
          <w:highlight w:val="none"/>
          <w:lang w:eastAsia="zh-CN"/>
        </w:rPr>
        <w:t>（工程、服务）</w:t>
      </w:r>
    </w:p>
    <w:p>
      <w:pPr>
        <w:pStyle w:val="61"/>
        <w:ind w:firstLine="643"/>
        <w:rPr>
          <w:rFonts w:hint="eastAsia" w:ascii="宋体" w:hAnsi="宋体" w:eastAsia="宋体" w:cs="宋体"/>
          <w:b/>
          <w:sz w:val="32"/>
          <w:szCs w:val="32"/>
          <w:highlight w:val="none"/>
        </w:rPr>
      </w:pPr>
    </w:p>
    <w:p>
      <w:pPr>
        <w:spacing w:line="360" w:lineRule="auto"/>
        <w:ind w:firstLine="420" w:firstLineChars="200"/>
        <w:rPr>
          <w:rFonts w:hint="eastAsia" w:ascii="宋体" w:hAnsi="宋体" w:eastAsia="宋体" w:cs="宋体"/>
          <w:sz w:val="24"/>
          <w:highlight w:val="none"/>
        </w:rPr>
      </w:pPr>
      <w:r>
        <w:rPr>
          <w:rFonts w:hint="eastAsia" w:ascii="宋体" w:hAnsi="宋体" w:eastAsia="宋体" w:cs="宋体"/>
          <w:szCs w:val="21"/>
          <w:highlight w:val="none"/>
        </w:rPr>
        <w:t xml:space="preserve"> </w:t>
      </w:r>
      <w:r>
        <w:rPr>
          <w:rFonts w:hint="eastAsia" w:ascii="宋体" w:hAnsi="宋体" w:eastAsia="宋体" w:cs="宋体"/>
          <w:sz w:val="24"/>
          <w:highlight w:val="none"/>
        </w:rPr>
        <w:t>本公司（联合体）郑重声明，根据《政府采购促进中小企业发展管理办法》（财库﹝2020﹞46 号）的规定，本公司（联合体）参加（</w:t>
      </w:r>
      <w:r>
        <w:rPr>
          <w:rFonts w:hint="eastAsia" w:ascii="宋体" w:hAnsi="宋体" w:eastAsia="宋体" w:cs="宋体"/>
          <w:sz w:val="24"/>
          <w:highlight w:val="none"/>
          <w:u w:val="single"/>
        </w:rPr>
        <w:t xml:space="preserve"> 单位名称 </w:t>
      </w:r>
      <w:r>
        <w:rPr>
          <w:rFonts w:hint="eastAsia" w:ascii="宋体" w:hAnsi="宋体" w:eastAsia="宋体" w:cs="宋体"/>
          <w:sz w:val="24"/>
          <w:highlight w:val="none"/>
        </w:rPr>
        <w:t>）的（</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），属于（采购文件中明确的所属行业）；承建（承接）企业为（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 xml:space="preserve">），从业人员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32"/>
          <w:szCs w:val="32"/>
          <w:highlight w:val="none"/>
          <w:vertAlign w:val="superscript"/>
          <w:lang w:val="en-US" w:eastAsia="zh-CN"/>
        </w:rPr>
        <w:t>1</w:t>
      </w:r>
      <w:r>
        <w:rPr>
          <w:rFonts w:hint="eastAsia" w:ascii="宋体" w:hAnsi="宋体" w:eastAsia="宋体" w:cs="宋体"/>
          <w:sz w:val="24"/>
          <w:highlight w:val="none"/>
        </w:rPr>
        <w:t>，属于（中型企业、小型企业、微型企业）；</w:t>
      </w:r>
    </w:p>
    <w:p>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（标的名称），属于（采购文件中明确的所属行业）；承建（承接）企业为（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万元，属于（中型企业、小型企业、微型企业）；</w:t>
      </w:r>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spacing w:line="360" w:lineRule="auto"/>
        <w:ind w:left="420" w:left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left="420" w:leftChars="200"/>
        <w:rPr>
          <w:rFonts w:hint="eastAsia" w:ascii="宋体" w:hAnsi="宋体" w:eastAsia="宋体" w:cs="宋体"/>
          <w:sz w:val="24"/>
          <w:highlight w:val="none"/>
        </w:rPr>
      </w:pPr>
    </w:p>
    <w:p>
      <w:pPr>
        <w:spacing w:line="360" w:lineRule="auto"/>
        <w:ind w:left="420" w:leftChars="200" w:firstLine="5280" w:firstLineChars="2200"/>
        <w:rPr>
          <w:rFonts w:hint="eastAsia" w:ascii="宋体" w:hAnsi="宋体" w:eastAsia="宋体" w:cs="宋体"/>
          <w:sz w:val="24"/>
          <w:highlight w:val="none"/>
        </w:rPr>
      </w:pPr>
      <w:r>
        <w:rPr>
          <w:rFonts w:hint="eastAsia" w:ascii="宋体" w:hAnsi="宋体" w:eastAsia="宋体" w:cs="宋体"/>
          <w:sz w:val="24"/>
          <w:highlight w:val="none"/>
        </w:rPr>
        <w:t>企业名称（盖章）：</w:t>
      </w:r>
    </w:p>
    <w:p>
      <w:pPr>
        <w:spacing w:line="360" w:lineRule="auto"/>
        <w:ind w:left="420" w:leftChars="200" w:firstLine="5280" w:firstLineChars="2200"/>
        <w:rPr>
          <w:rFonts w:hint="eastAsia" w:ascii="宋体" w:hAnsi="宋体" w:eastAsia="宋体" w:cs="宋体"/>
          <w:sz w:val="24"/>
          <w:highlight w:val="none"/>
        </w:rPr>
      </w:pPr>
      <w:r>
        <w:rPr>
          <w:rFonts w:hint="eastAsia" w:ascii="宋体" w:hAnsi="宋体" w:eastAsia="宋体" w:cs="宋体"/>
          <w:sz w:val="24"/>
          <w:highlight w:val="none"/>
        </w:rPr>
        <w:t>日 期：</w:t>
      </w:r>
    </w:p>
    <w:bookmarkEnd w:id="338"/>
    <w:p>
      <w:pPr>
        <w:jc w:val="right"/>
        <w:rPr>
          <w:rFonts w:hint="eastAsia" w:ascii="宋体" w:hAnsi="宋体" w:eastAsia="宋体" w:cs="宋体"/>
          <w:szCs w:val="21"/>
          <w:highlight w:val="none"/>
        </w:rPr>
      </w:pPr>
    </w:p>
    <w:p>
      <w:pPr>
        <w:jc w:val="both"/>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u w:val="single"/>
          <w:lang w:val="en-US" w:eastAsia="zh-CN"/>
        </w:rPr>
        <w:t xml:space="preserve">                   </w:t>
      </w:r>
    </w:p>
    <w:p>
      <w:pPr>
        <w:rPr>
          <w:rFonts w:hint="eastAsia" w:ascii="宋体" w:hAnsi="宋体" w:eastAsia="宋体" w:cs="宋体"/>
          <w:highlight w:val="none"/>
        </w:rPr>
      </w:pPr>
      <w:r>
        <w:rPr>
          <w:rFonts w:hint="eastAsia" w:ascii="宋体" w:hAnsi="宋体" w:eastAsia="宋体" w:cs="宋体"/>
          <w:sz w:val="32"/>
          <w:szCs w:val="32"/>
          <w:highlight w:val="none"/>
          <w:vertAlign w:val="superscript"/>
          <w:lang w:val="en-US" w:eastAsia="zh-CN"/>
        </w:rPr>
        <w:t>1</w:t>
      </w:r>
      <w:r>
        <w:rPr>
          <w:rFonts w:hint="eastAsia" w:ascii="宋体" w:hAnsi="宋体" w:eastAsia="宋体" w:cs="宋体"/>
          <w:sz w:val="18"/>
          <w:szCs w:val="18"/>
          <w:highlight w:val="none"/>
        </w:rPr>
        <w:t>从业人员、营业收入、资产总额填报上一年度数据，无上一年度数据的新成立企业可不填报。</w:t>
      </w:r>
    </w:p>
    <w:p>
      <w:pPr>
        <w:pStyle w:val="42"/>
        <w:rPr>
          <w:rFonts w:hint="eastAsia" w:ascii="宋体" w:hAnsi="宋体" w:eastAsia="宋体" w:cs="宋体"/>
          <w:color w:val="auto"/>
          <w:highlight w:val="none"/>
        </w:rPr>
      </w:pPr>
    </w:p>
    <w:p>
      <w:pPr>
        <w:pStyle w:val="42"/>
        <w:rPr>
          <w:rFonts w:hint="eastAsia" w:ascii="宋体" w:hAnsi="宋体" w:eastAsia="宋体" w:cs="宋体"/>
          <w:color w:val="auto"/>
          <w:highlight w:val="none"/>
        </w:rPr>
      </w:pPr>
    </w:p>
    <w:p>
      <w:pPr>
        <w:widowControl/>
        <w:spacing w:line="480" w:lineRule="exact"/>
        <w:rPr>
          <w:rFonts w:hint="eastAsia" w:ascii="宋体" w:hAnsi="宋体" w:eastAsia="宋体" w:cs="宋体"/>
          <w:b/>
          <w:color w:val="auto"/>
          <w:sz w:val="30"/>
          <w:szCs w:val="28"/>
          <w:highlight w:val="none"/>
        </w:rPr>
      </w:pPr>
      <w:bookmarkStart w:id="339" w:name="_Toc7434025"/>
    </w:p>
    <w:bookmarkEnd w:id="339"/>
    <w:p>
      <w:pPr>
        <w:spacing w:line="588" w:lineRule="exact"/>
        <w:rPr>
          <w:rFonts w:hint="eastAsia" w:ascii="宋体" w:hAnsi="宋体" w:eastAsia="宋体" w:cs="宋体"/>
          <w:spacing w:val="6"/>
          <w:sz w:val="30"/>
          <w:szCs w:val="30"/>
          <w:highlight w:val="none"/>
        </w:rPr>
      </w:pPr>
      <w:bookmarkStart w:id="340" w:name="_Toc7094"/>
      <w:bookmarkStart w:id="341" w:name="_Toc3556"/>
      <w:r>
        <w:rPr>
          <w:rFonts w:hint="eastAsia" w:ascii="宋体" w:hAnsi="宋体" w:eastAsia="宋体" w:cs="宋体"/>
          <w:b/>
          <w:bCs/>
          <w:kern w:val="0"/>
          <w:sz w:val="28"/>
          <w:szCs w:val="28"/>
          <w:highlight w:val="none"/>
        </w:rPr>
        <w:br w:type="page"/>
      </w:r>
      <w:r>
        <w:rPr>
          <w:rFonts w:hint="eastAsia" w:ascii="宋体" w:hAnsi="宋体" w:eastAsia="宋体" w:cs="宋体"/>
          <w:b/>
          <w:bCs/>
          <w:kern w:val="0"/>
          <w:sz w:val="28"/>
          <w:szCs w:val="28"/>
          <w:highlight w:val="none"/>
        </w:rPr>
        <w:t>附件</w:t>
      </w:r>
      <w:r>
        <w:rPr>
          <w:rFonts w:hint="eastAsia" w:ascii="宋体" w:hAnsi="宋体" w:eastAsia="宋体" w:cs="宋体"/>
          <w:b/>
          <w:bCs/>
          <w:kern w:val="0"/>
          <w:sz w:val="28"/>
          <w:szCs w:val="28"/>
          <w:highlight w:val="none"/>
          <w:lang w:val="en-US" w:eastAsia="zh-CN"/>
        </w:rPr>
        <w:t>3：《残疾人福利性单位声明函》</w:t>
      </w:r>
    </w:p>
    <w:p>
      <w:pPr>
        <w:spacing w:line="360" w:lineRule="auto"/>
        <w:jc w:val="center"/>
        <w:rPr>
          <w:rFonts w:hint="eastAsia" w:ascii="宋体" w:hAnsi="宋体" w:eastAsia="宋体" w:cs="宋体"/>
          <w:b/>
          <w:spacing w:val="6"/>
          <w:sz w:val="24"/>
          <w:highlight w:val="none"/>
        </w:rPr>
      </w:pPr>
    </w:p>
    <w:p>
      <w:pPr>
        <w:spacing w:line="360" w:lineRule="auto"/>
        <w:jc w:val="center"/>
        <w:rPr>
          <w:rFonts w:hint="eastAsia" w:ascii="宋体" w:hAnsi="宋体" w:eastAsia="宋体" w:cs="宋体"/>
          <w:b/>
          <w:spacing w:val="6"/>
          <w:sz w:val="24"/>
          <w:highlight w:val="none"/>
        </w:rPr>
      </w:pPr>
      <w:r>
        <w:rPr>
          <w:rFonts w:hint="eastAsia" w:ascii="宋体" w:hAnsi="宋体" w:eastAsia="宋体" w:cs="宋体"/>
          <w:b/>
          <w:spacing w:val="6"/>
          <w:sz w:val="32"/>
          <w:szCs w:val="32"/>
          <w:highlight w:val="none"/>
        </w:rPr>
        <w:t>残疾人福利性单位声明函</w:t>
      </w:r>
    </w:p>
    <w:p>
      <w:pPr>
        <w:spacing w:line="360" w:lineRule="auto"/>
        <w:rPr>
          <w:rFonts w:hint="eastAsia" w:ascii="宋体" w:hAnsi="宋体" w:eastAsia="宋体" w:cs="宋体"/>
          <w:b/>
          <w:spacing w:val="6"/>
          <w:sz w:val="24"/>
          <w:highlight w:val="none"/>
        </w:rPr>
      </w:pPr>
    </w:p>
    <w:p>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pPr>
        <w:spacing w:line="480" w:lineRule="auto"/>
        <w:ind w:firstLine="504" w:firstLineChars="200"/>
        <w:rPr>
          <w:rFonts w:hint="eastAsia" w:ascii="宋体" w:hAnsi="宋体" w:eastAsia="宋体" w:cs="宋体"/>
          <w:spacing w:val="6"/>
          <w:sz w:val="24"/>
          <w:highlight w:val="none"/>
        </w:rPr>
      </w:pPr>
    </w:p>
    <w:p>
      <w:pPr>
        <w:spacing w:line="480" w:lineRule="auto"/>
        <w:ind w:firstLine="504" w:firstLineChars="200"/>
        <w:rPr>
          <w:rFonts w:hint="eastAsia" w:ascii="宋体" w:hAnsi="宋体" w:eastAsia="宋体" w:cs="宋体"/>
          <w:spacing w:val="6"/>
          <w:sz w:val="24"/>
          <w:highlight w:val="none"/>
        </w:rPr>
      </w:pPr>
    </w:p>
    <w:p>
      <w:pPr>
        <w:tabs>
          <w:tab w:val="left" w:pos="4860"/>
        </w:tabs>
        <w:spacing w:line="480" w:lineRule="auto"/>
        <w:ind w:right="1560" w:firstLine="480" w:firstLineChars="200"/>
        <w:jc w:val="center"/>
        <w:rPr>
          <w:rFonts w:hint="eastAsia" w:ascii="宋体" w:hAnsi="宋体" w:eastAsia="宋体" w:cs="宋体"/>
          <w:spacing w:val="6"/>
          <w:sz w:val="24"/>
          <w:highlight w:val="none"/>
        </w:rPr>
      </w:pPr>
      <w:r>
        <w:rPr>
          <w:rFonts w:hint="eastAsia" w:ascii="宋体" w:hAnsi="宋体" w:eastAsia="宋体" w:cs="宋体"/>
          <w:sz w:val="24"/>
          <w:highlight w:val="none"/>
        </w:rPr>
        <w:t>供应商全称</w:t>
      </w:r>
      <w:r>
        <w:rPr>
          <w:rFonts w:hint="eastAsia" w:ascii="宋体" w:hAnsi="宋体" w:eastAsia="宋体" w:cs="宋体"/>
          <w:spacing w:val="6"/>
          <w:sz w:val="24"/>
          <w:highlight w:val="none"/>
        </w:rPr>
        <w:t>（盖章）：</w:t>
      </w:r>
    </w:p>
    <w:p>
      <w:pPr>
        <w:spacing w:line="480" w:lineRule="auto"/>
        <w:ind w:firstLine="5292" w:firstLineChars="2100"/>
        <w:rPr>
          <w:rFonts w:hint="eastAsia" w:ascii="宋体" w:hAnsi="宋体" w:eastAsia="宋体" w:cs="宋体"/>
          <w:spacing w:val="6"/>
          <w:sz w:val="24"/>
          <w:highlight w:val="none"/>
        </w:rPr>
      </w:pPr>
      <w:r>
        <w:rPr>
          <w:rFonts w:hint="eastAsia" w:ascii="宋体" w:hAnsi="宋体" w:eastAsia="宋体" w:cs="宋体"/>
          <w:spacing w:val="6"/>
          <w:sz w:val="24"/>
          <w:highlight w:val="none"/>
        </w:rPr>
        <w:t>日  期： 年 月 日</w:t>
      </w:r>
    </w:p>
    <w:p>
      <w:pPr>
        <w:widowControl/>
        <w:snapToGrid w:val="0"/>
        <w:spacing w:before="0" w:beforeAutospacing="0" w:after="240" w:afterAutospacing="0" w:line="360" w:lineRule="auto"/>
        <w:jc w:val="both"/>
        <w:textAlignment w:val="baseline"/>
        <w:rPr>
          <w:rFonts w:hint="eastAsia" w:ascii="宋体" w:hAnsi="宋体" w:eastAsia="宋体" w:cs="宋体"/>
        </w:rPr>
      </w:pPr>
      <w:r>
        <w:rPr>
          <w:rFonts w:hint="eastAsia" w:ascii="宋体" w:hAnsi="宋体" w:eastAsia="宋体" w:cs="宋体"/>
          <w:spacing w:val="6"/>
          <w:sz w:val="24"/>
          <w:highlight w:val="none"/>
        </w:rPr>
        <w:br w:type="page"/>
      </w:r>
      <w:r>
        <w:rPr>
          <w:rFonts w:hint="eastAsia" w:ascii="宋体" w:hAnsi="宋体" w:eastAsia="宋体" w:cs="宋体"/>
          <w:b/>
          <w:sz w:val="28"/>
          <w:szCs w:val="28"/>
          <w:highlight w:val="none"/>
          <w:lang w:eastAsia="zh-CN"/>
        </w:rPr>
        <w:t>附件</w:t>
      </w:r>
      <w:r>
        <w:rPr>
          <w:rFonts w:hint="eastAsia" w:ascii="宋体" w:hAnsi="宋体" w:eastAsia="宋体" w:cs="宋体"/>
          <w:b/>
          <w:sz w:val="28"/>
          <w:szCs w:val="28"/>
          <w:highlight w:val="none"/>
          <w:lang w:val="en-US" w:eastAsia="zh-CN"/>
        </w:rPr>
        <w:t>4：</w:t>
      </w:r>
      <w:r>
        <w:rPr>
          <w:rFonts w:hint="eastAsia" w:ascii="宋体" w:hAnsi="宋体" w:eastAsia="宋体" w:cs="宋体"/>
          <w:b/>
          <w:sz w:val="28"/>
          <w:szCs w:val="28"/>
          <w:highlight w:val="none"/>
        </w:rPr>
        <w:t>《监狱企业声明函》及证明文件</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监狱企业声明函</w:t>
      </w:r>
    </w:p>
    <w:p>
      <w:pPr>
        <w:jc w:val="center"/>
        <w:rPr>
          <w:rFonts w:hint="eastAsia" w:ascii="宋体" w:hAnsi="宋体" w:eastAsia="宋体" w:cs="宋体"/>
          <w:b/>
          <w:sz w:val="32"/>
          <w:szCs w:val="32"/>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本单位郑重声明，根据《财政部、司法部关于政府采购支持监狱企业发展有关问题的通知》（财库〔2014〕68号）的规定。因本单位</w:t>
      </w:r>
      <w:r>
        <w:rPr>
          <w:rFonts w:hint="eastAsia" w:ascii="宋体" w:hAnsi="宋体" w:eastAsia="宋体" w:cs="宋体"/>
          <w:b/>
          <w:sz w:val="24"/>
          <w:u w:val="single"/>
        </w:rPr>
        <w:t>（符合/不符合）</w:t>
      </w:r>
      <w:r>
        <w:rPr>
          <w:rFonts w:hint="eastAsia" w:ascii="宋体" w:hAnsi="宋体" w:eastAsia="宋体" w:cs="宋体"/>
          <w:sz w:val="24"/>
        </w:rPr>
        <w:t>条件，故本单位为</w:t>
      </w:r>
      <w:r>
        <w:rPr>
          <w:rFonts w:hint="eastAsia" w:ascii="宋体" w:hAnsi="宋体" w:eastAsia="宋体" w:cs="宋体"/>
          <w:b/>
          <w:sz w:val="24"/>
          <w:u w:val="single"/>
        </w:rPr>
        <w:t>（监狱/非监狱）</w:t>
      </w:r>
      <w:r>
        <w:rPr>
          <w:rFonts w:hint="eastAsia" w:ascii="宋体" w:hAnsi="宋体" w:eastAsia="宋体" w:cs="宋体"/>
          <w:sz w:val="24"/>
        </w:rPr>
        <w:t xml:space="preserve">企业。 </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line="360" w:lineRule="auto"/>
        <w:ind w:firstLine="602" w:firstLineChars="250"/>
        <w:rPr>
          <w:rFonts w:hint="eastAsia" w:ascii="宋体" w:hAnsi="宋体" w:eastAsia="宋体" w:cs="宋体"/>
          <w:sz w:val="24"/>
        </w:rPr>
      </w:pPr>
      <w:r>
        <w:rPr>
          <w:rFonts w:hint="eastAsia" w:ascii="宋体" w:hAnsi="宋体" w:eastAsia="宋体" w:cs="宋体"/>
          <w:b/>
          <w:sz w:val="24"/>
        </w:rPr>
        <w:t>注：监狱企业参加政府采购活动时，应当提供由省级以上监狱管理局、戒毒管理局（含新疆生产建设兵团）出具的属于监狱企业的证明文件。</w:t>
      </w:r>
    </w:p>
    <w:p>
      <w:pPr>
        <w:spacing w:line="440" w:lineRule="exact"/>
        <w:jc w:val="center"/>
        <w:rPr>
          <w:rFonts w:hint="eastAsia" w:ascii="宋体" w:hAnsi="宋体" w:eastAsia="宋体" w:cs="宋体"/>
          <w:szCs w:val="21"/>
        </w:rPr>
      </w:pPr>
    </w:p>
    <w:p>
      <w:pPr>
        <w:spacing w:line="440" w:lineRule="exact"/>
        <w:jc w:val="center"/>
        <w:rPr>
          <w:rFonts w:hint="eastAsia" w:ascii="宋体" w:hAnsi="宋体" w:eastAsia="宋体" w:cs="宋体"/>
          <w:sz w:val="24"/>
        </w:rPr>
      </w:pPr>
      <w:r>
        <w:rPr>
          <w:rFonts w:hint="eastAsia" w:ascii="宋体" w:hAnsi="宋体" w:eastAsia="宋体" w:cs="宋体"/>
          <w:szCs w:val="21"/>
        </w:rPr>
        <w:t xml:space="preserve">                             </w:t>
      </w:r>
      <w:r>
        <w:rPr>
          <w:rFonts w:hint="eastAsia" w:ascii="宋体" w:hAnsi="宋体" w:eastAsia="宋体" w:cs="宋体"/>
          <w:sz w:val="24"/>
        </w:rPr>
        <w:t>单位名称（盖章）：</w:t>
      </w:r>
    </w:p>
    <w:p>
      <w:pPr>
        <w:spacing w:line="440" w:lineRule="exact"/>
        <w:jc w:val="center"/>
        <w:rPr>
          <w:rFonts w:hint="eastAsia" w:ascii="宋体" w:hAnsi="宋体" w:eastAsia="宋体" w:cs="宋体"/>
          <w:sz w:val="24"/>
        </w:rPr>
      </w:pPr>
      <w:r>
        <w:rPr>
          <w:rFonts w:hint="eastAsia" w:ascii="宋体" w:hAnsi="宋体" w:eastAsia="宋体" w:cs="宋体"/>
          <w:sz w:val="24"/>
        </w:rPr>
        <w:t xml:space="preserve">                         日  期：</w:t>
      </w:r>
    </w:p>
    <w:p>
      <w:pPr>
        <w:spacing w:line="480" w:lineRule="auto"/>
        <w:rPr>
          <w:rFonts w:hint="eastAsia" w:ascii="宋体" w:hAnsi="宋体" w:eastAsia="宋体" w:cs="宋体"/>
          <w:spacing w:val="6"/>
          <w:sz w:val="24"/>
          <w:highlight w:val="none"/>
          <w:lang w:val="en-US" w:eastAsia="zh-CN"/>
        </w:rPr>
      </w:pPr>
      <w:r>
        <w:rPr>
          <w:rFonts w:hint="eastAsia" w:ascii="宋体" w:hAnsi="宋体" w:eastAsia="宋体" w:cs="宋体"/>
          <w:spacing w:val="6"/>
          <w:sz w:val="24"/>
          <w:highlight w:val="none"/>
          <w:lang w:val="en-US" w:eastAsia="zh-CN"/>
        </w:rPr>
        <w:br w:type="page"/>
      </w:r>
      <w:r>
        <w:rPr>
          <w:rFonts w:hint="eastAsia" w:ascii="宋体" w:hAnsi="宋体" w:eastAsia="宋体" w:cs="宋体"/>
          <w:b/>
          <w:bCs/>
          <w:kern w:val="0"/>
          <w:sz w:val="28"/>
          <w:szCs w:val="28"/>
          <w:highlight w:val="none"/>
          <w:lang w:val="en-US" w:eastAsia="zh-CN"/>
        </w:rPr>
        <w:t>附件5：</w:t>
      </w:r>
    </w:p>
    <w:p>
      <w:pPr>
        <w:widowControl/>
        <w:spacing w:line="480" w:lineRule="exact"/>
        <w:outlineLvl w:val="0"/>
        <w:rPr>
          <w:rFonts w:hint="eastAsia" w:ascii="宋体" w:hAnsi="宋体" w:eastAsia="宋体" w:cs="宋体"/>
          <w:b/>
          <w:bCs/>
          <w:kern w:val="0"/>
          <w:sz w:val="28"/>
          <w:szCs w:val="28"/>
          <w:highlight w:val="none"/>
        </w:rPr>
      </w:pPr>
    </w:p>
    <w:p>
      <w:pPr>
        <w:widowControl/>
        <w:spacing w:line="480" w:lineRule="exact"/>
        <w:outlineLvl w:val="0"/>
        <w:rPr>
          <w:rFonts w:hint="eastAsia" w:ascii="宋体" w:hAnsi="宋体" w:eastAsia="宋体" w:cs="宋体"/>
          <w:b/>
          <w:bCs/>
          <w:kern w:val="0"/>
          <w:sz w:val="28"/>
          <w:szCs w:val="28"/>
          <w:highlight w:val="none"/>
        </w:rPr>
      </w:pPr>
      <w:bookmarkStart w:id="342" w:name="_Toc4364"/>
      <w:r>
        <w:rPr>
          <w:rFonts w:hint="eastAsia" w:ascii="宋体" w:hAnsi="宋体" w:eastAsia="宋体" w:cs="宋体"/>
          <w:b/>
          <w:bCs/>
          <w:kern w:val="0"/>
          <w:sz w:val="28"/>
          <w:szCs w:val="28"/>
          <w:highlight w:val="none"/>
        </w:rPr>
        <w:t>“节能产品”，“环境标志产品”证明材料（若有）</w:t>
      </w:r>
      <w:bookmarkEnd w:id="340"/>
      <w:bookmarkEnd w:id="341"/>
      <w:bookmarkEnd w:id="342"/>
    </w:p>
    <w:p>
      <w:pPr>
        <w:widowControl/>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pPr>
        <w:widowControl/>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1、投标人提供的产品属于下列情形，应按照招标文件要求</w:t>
      </w:r>
      <w:r>
        <w:rPr>
          <w:rFonts w:hint="eastAsia" w:ascii="宋体" w:hAnsi="宋体" w:eastAsia="宋体" w:cs="宋体"/>
          <w:sz w:val="24"/>
          <w:szCs w:val="24"/>
          <w:highlight w:val="none"/>
        </w:rPr>
        <w:t>提供属于清单内产品的证明资料（从中国政府采购网上下载的网页公告等，</w:t>
      </w:r>
      <w:r>
        <w:rPr>
          <w:rFonts w:hint="eastAsia" w:ascii="宋体" w:hAnsi="宋体" w:eastAsia="宋体" w:cs="宋体"/>
          <w:spacing w:val="6"/>
          <w:sz w:val="24"/>
          <w:szCs w:val="24"/>
          <w:highlight w:val="none"/>
        </w:rPr>
        <w:t>包含制造商或企业名称或申请单位名称、规格型号、有效期截止日期等内容），并加盖投标单位章。</w:t>
      </w:r>
    </w:p>
    <w:p>
      <w:pPr>
        <w:widowControl/>
        <w:numPr>
          <w:ilvl w:val="0"/>
          <w:numId w:val="7"/>
        </w:numPr>
        <w:spacing w:line="360" w:lineRule="auto"/>
        <w:ind w:firstLine="504" w:firstLineChars="2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符合政府采购强制采购政策的</w:t>
      </w:r>
      <w:r>
        <w:rPr>
          <w:rFonts w:hint="eastAsia" w:ascii="宋体" w:hAnsi="宋体" w:eastAsia="宋体" w:cs="宋体"/>
          <w:sz w:val="24"/>
          <w:szCs w:val="24"/>
          <w:highlight w:val="none"/>
        </w:rPr>
        <w:t>财政部、环境保护部发布的《节能产品政府采购清单》中标记的“强制采购节能产品”。</w:t>
      </w:r>
    </w:p>
    <w:p>
      <w:pPr>
        <w:widowControl/>
        <w:numPr>
          <w:ilvl w:val="0"/>
          <w:numId w:val="7"/>
        </w:numPr>
        <w:spacing w:line="360" w:lineRule="auto"/>
        <w:ind w:firstLine="504" w:firstLineChars="2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符合政府采购强制采购政策的</w:t>
      </w:r>
      <w:r>
        <w:rPr>
          <w:rFonts w:hint="eastAsia" w:ascii="宋体" w:hAnsi="宋体" w:eastAsia="宋体" w:cs="宋体"/>
          <w:sz w:val="24"/>
          <w:szCs w:val="24"/>
          <w:highlight w:val="none"/>
        </w:rPr>
        <w:t>财政部、环境保护部发布的《环境标志产品政府采购清单》中标记的的“环境标志产品”。</w:t>
      </w:r>
    </w:p>
    <w:p>
      <w:pPr>
        <w:pStyle w:val="41"/>
        <w:ind w:firstLine="280"/>
        <w:rPr>
          <w:rFonts w:hint="eastAsia" w:ascii="宋体" w:hAnsi="宋体" w:eastAsia="宋体" w:cs="宋体"/>
        </w:rPr>
      </w:pPr>
      <w:r>
        <w:rPr>
          <w:rFonts w:hint="eastAsia" w:ascii="宋体" w:hAnsi="宋体" w:eastAsia="宋体" w:cs="宋体"/>
          <w:sz w:val="24"/>
          <w:szCs w:val="24"/>
          <w:highlight w:val="none"/>
        </w:rPr>
        <w:t xml:space="preserve">2、未按照上述要求提供的，评审时不予以考虑。 </w:t>
      </w:r>
    </w:p>
    <w:sectPr>
      <w:pgSz w:w="11906" w:h="16838"/>
      <w:pgMar w:top="1418" w:right="1417" w:bottom="1418" w:left="1531" w:header="851"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00" w:usb3="00000000" w:csb0="0004009F" w:csb1="DFD70000"/>
  </w:font>
  <w:font w:name="Futura Bk BT">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line="276" w:lineRule="auto"/>
      <w:jc w:val="both"/>
      <w:rPr>
        <w:rFonts w:hint="eastAsia"/>
        <w:b/>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四十三</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四十三</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29"/>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9"/>
                    </w:pPr>
                  </w:p>
                </w:txbxContent>
              </v:textbox>
            </v:shape>
          </w:pict>
        </mc:Fallback>
      </mc:AlternateContent>
    </w:r>
  </w:p>
  <w:p>
    <w:pPr>
      <w:pStyle w:val="29"/>
      <w:spacing w:line="276" w:lineRule="auto"/>
      <w:rPr>
        <w:rFonts w:hint="eastAsia" w:ascii="宋体" w:hAnsi="宋体"/>
        <w:b/>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margin">
                <wp:posOffset>2705100</wp:posOffset>
              </wp:positionH>
              <wp:positionV relativeFrom="paragraph">
                <wp:posOffset>-45720</wp:posOffset>
              </wp:positionV>
              <wp:extent cx="548005" cy="3003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48005" cy="300355"/>
                      </a:xfrm>
                      <a:prstGeom prst="rect">
                        <a:avLst/>
                      </a:prstGeom>
                      <a:noFill/>
                      <a:ln>
                        <a:noFill/>
                      </a:ln>
                    </wps:spPr>
                    <wps:txbx>
                      <w:txbxContent>
                        <w:p>
                          <w:pPr>
                            <w:pStyle w:val="29"/>
                            <w:rPr>
                              <w:rFonts w:hint="eastAsia" w:eastAsia="宋体"/>
                              <w:lang w:eastAsia="zh-CN"/>
                            </w:rPr>
                          </w:pPr>
                        </w:p>
                      </w:txbxContent>
                    </wps:txbx>
                    <wps:bodyPr lIns="0" tIns="0" rIns="0" bIns="0" upright="0"/>
                  </wps:wsp>
                </a:graphicData>
              </a:graphic>
            </wp:anchor>
          </w:drawing>
        </mc:Choice>
        <mc:Fallback>
          <w:pict>
            <v:shape id="_x0000_s1026" o:spid="_x0000_s1026" o:spt="202" type="#_x0000_t202" style="position:absolute;left:0pt;margin-left:213pt;margin-top:-3.6pt;height:23.65pt;width:43.15pt;mso-position-horizontal-relative:margin;z-index:251666432;mso-width-relative:page;mso-height-relative:page;" filled="f" stroked="f" coordsize="21600,21600" o:gfxdata="UEsDBAoAAAAAAIdO4kAAAAAAAAAAAAAAAAAEAAAAZHJzL1BLAwQUAAAACACHTuJA3H2uZNgAAAAJ&#10;AQAADwAAAGRycy9kb3ducmV2LnhtbE2PzU7DMBCE70i8g7VI3Fo7AUIJcSqE4ISESMOhRyfeJlHj&#10;dYjdH96e5QTH0YxmvinWZzeKI85h8KQhWSoQSK23A3UaPuvXxQpEiIasGT2hhm8MsC4vLwqTW3+i&#10;Co+b2AkuoZAbDX2MUy5laHt0Jiz9hMTezs/ORJZzJ+1sTlzuRpkqlUlnBuKF3kz43GO73xychqct&#10;VS/D13vzUe2qoa4fFL1le62vrxL1CCLiOf6F4Ref0aFkpsYfyAYxarhNM/4SNSzuUxAcuEvSGxAN&#10;OyoBWRby/4PyB1BLAwQUAAAACACHTuJAC+sOaLoBAABzAwAADgAAAGRycy9lMm9Eb2MueG1srVNL&#10;btswEN0X6B0I7msqSV0EguUAhZGiQJEWSHMAmiItAiSHIGlLvkBzg6666b7n8jk6pCznt8kiG2o0&#10;M3p8781ocTVYQ3YyRA2uoWezihLpBLTabRp69/P6wyUlMXHXcgNONnQvI71avn+36H0tz6ED08pA&#10;EMTFuvcN7VLyNWNRdNLyOAMvHRYVBMsTvoYNawPvEd0adl5Vn1gPofUBhIwRs6uxSI+I4TWAoJQW&#10;cgVia6VLI2qQhieUFDvtI10WtkpJkb4rFWUipqGoNJUTL8F4nU+2XPB6E7jvtDhS4K+h8EyT5drh&#10;pSeoFU+cbIN+AWW1CBBBpZkAy0YhxRFUcVY98+a2414WLWh19CfT49vBipvdj0B0i5uAljhuceKH&#10;3/eHP/8Of38RzKFBvY819t167EzDZxiwecpHTGbdgwo2P1ERwTpi7U/2yiERgcn5x8uqmlMisHRR&#10;VRfzeUZhDx/7ENMXCZbkoKEBp1dM5btvMY2tU0u+y8G1NqZM0LgnCcTMGZaZjwxzlIb1cJSzhnaP&#10;asxXh17mvZiCMAXrKdj6oDddWZxMIQPhLArv497kYT9+L10P/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x9rmTYAAAACQEAAA8AAAAAAAAAAQAgAAAAIgAAAGRycy9kb3ducmV2LnhtbFBLAQIU&#10;ABQAAAAIAIdO4kAL6w5ougEAAHMDAAAOAAAAAAAAAAEAIAAAACcBAABkcnMvZTJvRG9jLnhtbFBL&#10;BQYAAAAABgAGAFkBAABTBQAAAAA=&#10;">
              <v:fill on="f" focussize="0,0"/>
              <v:stroke on="f"/>
              <v:imagedata o:title=""/>
              <o:lock v:ext="edit" aspectratio="f"/>
              <v:textbox inset="0mm,0mm,0mm,0mm">
                <w:txbxContent>
                  <w:p>
                    <w:pPr>
                      <w:pStyle w:val="29"/>
                      <w:rPr>
                        <w:rFonts w:hint="eastAsia" w:eastAsia="宋体"/>
                        <w:lang w:eastAsia="zh-CN"/>
                      </w:rP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723900" cy="2832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23900" cy="283210"/>
                      </a:xfrm>
                      <a:prstGeom prst="rect">
                        <a:avLst/>
                      </a:prstGeom>
                      <a:noFill/>
                      <a:ln>
                        <a:noFill/>
                      </a:ln>
                    </wps:spPr>
                    <wps:txbx>
                      <w:txbxContent>
                        <w:p>
                          <w:pPr>
                            <w:pStyle w:val="29"/>
                            <w:rPr>
                              <w:rFonts w:hint="eastAsia" w:eastAsia="宋体"/>
                              <w:lang w:eastAsia="zh-CN"/>
                            </w:rPr>
                          </w:pPr>
                        </w:p>
                      </w:txbxContent>
                    </wps:txbx>
                    <wps:bodyPr lIns="0" tIns="0" rIns="0" bIns="0" upright="0"/>
                  </wps:wsp>
                </a:graphicData>
              </a:graphic>
            </wp:anchor>
          </w:drawing>
        </mc:Choice>
        <mc:Fallback>
          <w:pict>
            <v:shape id="_x0000_s1026" o:spid="_x0000_s1026" o:spt="202" type="#_x0000_t202" style="position:absolute;left:0pt;margin-top:0pt;height:22.3pt;width:57pt;mso-position-horizontal:center;mso-position-horizontal-relative:margin;z-index:251663360;mso-width-relative:page;mso-height-relative:page;" filled="f" stroked="f" coordsize="21600,21600" o:gfxdata="UEsDBAoAAAAAAIdO4kAAAAAAAAAAAAAAAAAEAAAAZHJzL1BLAwQUAAAACACHTuJAhMFu8tIAAAAE&#10;AQAADwAAAGRycy9kb3ducmV2LnhtbE2PT0vEMBDF74LfIYzgzU0qpWhtuojoSRC79eBx2sy2YZtJ&#10;bbJ//PZmvejlweMN7/2mWp/cJA60BOtZQ7ZSIIh7bywPGj7al5s7ECEiG5w8k4ZvCrCuLy8qLI0/&#10;ckOHTRxEKuFQooYxxrmUMvQjOQwrPxOnbOsXhzHZZZBmwWMqd5O8VaqQDi2nhRFnehqp3232TsPj&#10;JzfP9uute2+2jW3be8WvxU7r66tMPYCIdIp/x3DGT+hQJ6bO79kEMWlIj8RfPWdZnmynIc8LkHUl&#10;/8PXP1BLAwQUAAAACACHTuJA/LDVbLsBAABxAwAADgAAAGRycy9lMm9Eb2MueG1srVPBjtMwEL0j&#10;8Q+W79RpVoJt1HQlVC1CQoC07Ae4jt1Ysj2W7TbpD8AfcOLCne/qdzB2my7sXvawF2cyM3l+781k&#10;eTNaQ/YyRA2upfNZRYl0Ajrtti29/3b75pqSmLjruAEnW3qQkd6sXr9aDr6RNfRgOhkIgrjYDL6l&#10;fUq+YSyKXloeZ+Clw6KCYHnC17BlXeADolvD6qp6ywYInQ8gZIyYXZ+K9IwYngMISmkh1yB2Vrp0&#10;Qg3S8ISSYq99pKvCVikp0helokzEtBSVpnLiJRhv8slWS95sA/e9FmcK/DkUHmmyXDu89AK15omT&#10;XdBPoKwWASKoNBNg2UlIcQRVzKtH3tz13MuiBa2O/mJ6fDlY8Xn/NRDdtXRBieMWB378+eP468/x&#10;93eyyPYMPjbYdeexL43vYcSlmfIRk1n1qILNT9RDsI7mHi7myjERgcl39dWiworAUn19Vc+L+ezh&#10;Yx9i+iDBkhy0NODsiqV8/ykmJIKtU0u+y8GtNqbMz7j/EtiYMywzPzHMURo341nOBroDqjEfHTqZ&#10;t2IKwhRspmDng972ZW0yhQyEkyhkzluTR/3ve+l6+FN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wW7y0gAAAAQBAAAPAAAAAAAAAAEAIAAAACIAAABkcnMvZG93bnJldi54bWxQSwECFAAUAAAA&#10;CACHTuJA/LDVbLsBAABxAwAADgAAAAAAAAABACAAAAAhAQAAZHJzL2Uyb0RvYy54bWxQSwUGAAAA&#10;AAYABgBZAQAATgUAAAAA&#10;">
              <v:fill on="f" focussize="0,0"/>
              <v:stroke on="f"/>
              <v:imagedata o:title=""/>
              <o:lock v:ext="edit" aspectratio="f"/>
              <v:textbox inset="0mm,0mm,0mm,0mm">
                <w:txbxContent>
                  <w:p>
                    <w:pPr>
                      <w:pStyle w:val="29"/>
                      <w:rPr>
                        <w:rFonts w:hint="eastAsia" w:eastAsia="宋体"/>
                        <w:lang w:eastAsia="zh-CN"/>
                      </w:rPr>
                    </w:pPr>
                  </w:p>
                </w:txbxContent>
              </v:textbox>
            </v:shape>
          </w:pict>
        </mc:Fallback>
      </mc:AlternateContent>
    </w:r>
  </w:p>
  <w:p>
    <w:pPr>
      <w:pStyle w:val="29"/>
      <w:spacing w:line="276" w:lineRule="auto"/>
      <w:jc w:val="both"/>
      <w:rPr>
        <w:rFonts w:hint="eastAsia"/>
        <w:b/>
      </w:rPr>
    </w:pPr>
  </w:p>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080" w:hanging="1080" w:hangingChars="600"/>
      <w:jc w:val="left"/>
      <w:rPr>
        <w:rFonts w:ascii="宋体" w:hAnsi="宋体" w:cs="宋体"/>
      </w:rPr>
    </w:pPr>
    <w:r>
      <w:rPr>
        <w:rFonts w:hint="eastAsia" w:ascii="宋体" w:hAnsi="宋体" w:cs="宋体"/>
        <w:lang w:val="en-US" w:eastAsia="zh-CN"/>
      </w:rPr>
      <w:t xml:space="preserve">西安市未央区教育局学校安全保障项目                                                         </w:t>
    </w:r>
    <w:r>
      <w:rPr>
        <w:rFonts w:hint="eastAsia" w:ascii="宋体" w:hAnsi="宋体" w:cs="宋体"/>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080" w:hanging="1080" w:hangingChars="600"/>
      <w:jc w:val="left"/>
      <w:rPr>
        <w:rFonts w:ascii="宋体" w:hAnsi="宋体" w:cs="宋体"/>
      </w:rPr>
    </w:pPr>
    <w:r>
      <w:rPr>
        <w:rFonts w:hint="eastAsia" w:ascii="宋体" w:hAnsi="宋体" w:cs="宋体"/>
        <w:lang w:val="en-US" w:eastAsia="zh-CN"/>
      </w:rPr>
      <w:t xml:space="preserve">西安市未央区教育局学校安全保障项目                                                         </w:t>
    </w:r>
    <w:r>
      <w:rPr>
        <w:rFonts w:hint="eastAsia" w:ascii="宋体" w:hAnsi="宋体" w:cs="宋体"/>
      </w:rPr>
      <w:t>招标文件</w:t>
    </w:r>
  </w:p>
  <w:p>
    <w:pPr>
      <w:pStyle w:val="30"/>
      <w:pBdr>
        <w:top w:val="none" w:color="auto" w:sz="0" w:space="1"/>
        <w:left w:val="none" w:color="auto" w:sz="0" w:space="4"/>
        <w:bottom w:val="none" w:color="auto" w:sz="0" w:space="1"/>
        <w:right w:val="none" w:color="auto" w:sz="0" w:space="4"/>
      </w:pBdr>
      <w:ind w:left="1084" w:hanging="1084" w:hangingChars="600"/>
      <w:jc w:val="left"/>
      <w:rPr>
        <w:rFonts w:hint="eastAsia" w:eastAsia="宋体"/>
        <w:b/>
        <w:bCs/>
        <w:lang w:val="en-US" w:eastAsia="zh-CN"/>
      </w:rPr>
    </w:pPr>
    <w:r>
      <w:rPr>
        <w:rFonts w:hint="eastAsia"/>
        <w:b/>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764AF"/>
    <w:multiLevelType w:val="singleLevel"/>
    <w:tmpl w:val="D2B764AF"/>
    <w:lvl w:ilvl="0" w:tentative="0">
      <w:start w:val="2"/>
      <w:numFmt w:val="chineseCounting"/>
      <w:suff w:val="space"/>
      <w:lvlText w:val="第%1部分"/>
      <w:lvlJc w:val="left"/>
      <w:rPr>
        <w:rFonts w:hint="eastAsia"/>
      </w:rPr>
    </w:lvl>
  </w:abstractNum>
  <w:abstractNum w:abstractNumId="1">
    <w:nsid w:val="DA8563C1"/>
    <w:multiLevelType w:val="singleLevel"/>
    <w:tmpl w:val="DA8563C1"/>
    <w:lvl w:ilvl="0" w:tentative="0">
      <w:start w:val="4"/>
      <w:numFmt w:val="decimal"/>
      <w:suff w:val="nothing"/>
      <w:lvlText w:val="%1．"/>
      <w:lvlJc w:val="left"/>
    </w:lvl>
  </w:abstractNum>
  <w:abstractNum w:abstractNumId="2">
    <w:nsid w:val="EF366854"/>
    <w:multiLevelType w:val="singleLevel"/>
    <w:tmpl w:val="EF366854"/>
    <w:lvl w:ilvl="0" w:tentative="0">
      <w:start w:val="1"/>
      <w:numFmt w:val="decimal"/>
      <w:suff w:val="space"/>
      <w:lvlText w:val="%1."/>
      <w:lvlJc w:val="left"/>
    </w:lvl>
  </w:abstractNum>
  <w:abstractNum w:abstractNumId="3">
    <w:nsid w:val="0000000C"/>
    <w:multiLevelType w:val="multilevel"/>
    <w:tmpl w:val="0000000C"/>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04125DC2"/>
    <w:multiLevelType w:val="singleLevel"/>
    <w:tmpl w:val="04125DC2"/>
    <w:lvl w:ilvl="0" w:tentative="0">
      <w:start w:val="1"/>
      <w:numFmt w:val="decimal"/>
      <w:suff w:val="nothing"/>
      <w:lvlText w:val="（%1）"/>
      <w:lvlJc w:val="left"/>
    </w:lvl>
  </w:abstractNum>
  <w:abstractNum w:abstractNumId="5">
    <w:nsid w:val="579B0F6F"/>
    <w:multiLevelType w:val="singleLevel"/>
    <w:tmpl w:val="579B0F6F"/>
    <w:lvl w:ilvl="0" w:tentative="0">
      <w:start w:val="4"/>
      <w:numFmt w:val="chineseCounting"/>
      <w:suff w:val="nothing"/>
      <w:lvlText w:val="%1、"/>
      <w:lvlJc w:val="left"/>
    </w:lvl>
  </w:abstractNum>
  <w:abstractNum w:abstractNumId="6">
    <w:nsid w:val="58E5EC48"/>
    <w:multiLevelType w:val="singleLevel"/>
    <w:tmpl w:val="58E5EC48"/>
    <w:lvl w:ilvl="0" w:tentative="0">
      <w:start w:val="1"/>
      <w:numFmt w:val="decimal"/>
      <w:suff w:val="nothing"/>
      <w:lvlText w:val="（%1）"/>
      <w:lvlJc w:val="left"/>
      <w:rPr>
        <w:rFonts w:cs="Times New Roman"/>
      </w:r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mVkNGE5YjMxOGFlNTYyYWQzOTYyYmU0MGMwOWYifQ=="/>
  </w:docVars>
  <w:rsids>
    <w:rsidRoot w:val="00172A27"/>
    <w:rsid w:val="00000AB9"/>
    <w:rsid w:val="0000790B"/>
    <w:rsid w:val="00015F6D"/>
    <w:rsid w:val="00024CFC"/>
    <w:rsid w:val="0005022A"/>
    <w:rsid w:val="00052D48"/>
    <w:rsid w:val="0005361D"/>
    <w:rsid w:val="0005494B"/>
    <w:rsid w:val="000643DD"/>
    <w:rsid w:val="000669CC"/>
    <w:rsid w:val="00081DE7"/>
    <w:rsid w:val="00083151"/>
    <w:rsid w:val="00092CC7"/>
    <w:rsid w:val="00096A2E"/>
    <w:rsid w:val="000A21B2"/>
    <w:rsid w:val="000A3B30"/>
    <w:rsid w:val="000A5A77"/>
    <w:rsid w:val="000A7791"/>
    <w:rsid w:val="000B60B0"/>
    <w:rsid w:val="000B6C08"/>
    <w:rsid w:val="000D12F3"/>
    <w:rsid w:val="000D26EF"/>
    <w:rsid w:val="000E0CCE"/>
    <w:rsid w:val="000E16D0"/>
    <w:rsid w:val="000E41CD"/>
    <w:rsid w:val="000F43B4"/>
    <w:rsid w:val="0010228B"/>
    <w:rsid w:val="00105A4D"/>
    <w:rsid w:val="00113624"/>
    <w:rsid w:val="00115047"/>
    <w:rsid w:val="001172AA"/>
    <w:rsid w:val="00117B3E"/>
    <w:rsid w:val="00123FC2"/>
    <w:rsid w:val="00125614"/>
    <w:rsid w:val="00126697"/>
    <w:rsid w:val="00132499"/>
    <w:rsid w:val="00134B67"/>
    <w:rsid w:val="00145033"/>
    <w:rsid w:val="001459B5"/>
    <w:rsid w:val="001469DB"/>
    <w:rsid w:val="0015026D"/>
    <w:rsid w:val="00151FD0"/>
    <w:rsid w:val="0016410A"/>
    <w:rsid w:val="00167335"/>
    <w:rsid w:val="00172A27"/>
    <w:rsid w:val="001746D0"/>
    <w:rsid w:val="0017540D"/>
    <w:rsid w:val="001810E7"/>
    <w:rsid w:val="00190C1D"/>
    <w:rsid w:val="001A0474"/>
    <w:rsid w:val="001A1902"/>
    <w:rsid w:val="001B34FC"/>
    <w:rsid w:val="001B60A0"/>
    <w:rsid w:val="001C4722"/>
    <w:rsid w:val="001D0270"/>
    <w:rsid w:val="001E3092"/>
    <w:rsid w:val="001E3D4D"/>
    <w:rsid w:val="001F3600"/>
    <w:rsid w:val="001F4BA7"/>
    <w:rsid w:val="001F57D7"/>
    <w:rsid w:val="002001C5"/>
    <w:rsid w:val="00200B1D"/>
    <w:rsid w:val="002044CF"/>
    <w:rsid w:val="002107FD"/>
    <w:rsid w:val="002113F6"/>
    <w:rsid w:val="00213804"/>
    <w:rsid w:val="00213D39"/>
    <w:rsid w:val="00214C9C"/>
    <w:rsid w:val="00223AC9"/>
    <w:rsid w:val="00224111"/>
    <w:rsid w:val="0023068E"/>
    <w:rsid w:val="00236A72"/>
    <w:rsid w:val="00236CAC"/>
    <w:rsid w:val="00243258"/>
    <w:rsid w:val="00244998"/>
    <w:rsid w:val="002539D8"/>
    <w:rsid w:val="00256B64"/>
    <w:rsid w:val="00256F65"/>
    <w:rsid w:val="00264CA8"/>
    <w:rsid w:val="00266678"/>
    <w:rsid w:val="00274E8E"/>
    <w:rsid w:val="0029406F"/>
    <w:rsid w:val="00294959"/>
    <w:rsid w:val="002A1E7A"/>
    <w:rsid w:val="002B035C"/>
    <w:rsid w:val="002B46BE"/>
    <w:rsid w:val="002C2E53"/>
    <w:rsid w:val="002C37E3"/>
    <w:rsid w:val="002C4111"/>
    <w:rsid w:val="002C49B9"/>
    <w:rsid w:val="002C560F"/>
    <w:rsid w:val="002C6E11"/>
    <w:rsid w:val="002D17F4"/>
    <w:rsid w:val="002D2057"/>
    <w:rsid w:val="002D5094"/>
    <w:rsid w:val="002E080C"/>
    <w:rsid w:val="002E391F"/>
    <w:rsid w:val="002E619F"/>
    <w:rsid w:val="002E6E08"/>
    <w:rsid w:val="002F0634"/>
    <w:rsid w:val="002F16D3"/>
    <w:rsid w:val="002F2733"/>
    <w:rsid w:val="003020D0"/>
    <w:rsid w:val="003025D1"/>
    <w:rsid w:val="00310DED"/>
    <w:rsid w:val="00313B7B"/>
    <w:rsid w:val="00316DCB"/>
    <w:rsid w:val="00317C0F"/>
    <w:rsid w:val="003237C4"/>
    <w:rsid w:val="00323909"/>
    <w:rsid w:val="0033062F"/>
    <w:rsid w:val="00340A64"/>
    <w:rsid w:val="003411B9"/>
    <w:rsid w:val="00341545"/>
    <w:rsid w:val="00341C25"/>
    <w:rsid w:val="00342E8C"/>
    <w:rsid w:val="00343FF7"/>
    <w:rsid w:val="00350BA2"/>
    <w:rsid w:val="00371A55"/>
    <w:rsid w:val="00372E68"/>
    <w:rsid w:val="00373AAB"/>
    <w:rsid w:val="00381423"/>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4437"/>
    <w:rsid w:val="00424937"/>
    <w:rsid w:val="004250BE"/>
    <w:rsid w:val="004271B5"/>
    <w:rsid w:val="00454479"/>
    <w:rsid w:val="004725A4"/>
    <w:rsid w:val="00474547"/>
    <w:rsid w:val="00483ACE"/>
    <w:rsid w:val="00491DE8"/>
    <w:rsid w:val="004A08B5"/>
    <w:rsid w:val="004A2905"/>
    <w:rsid w:val="004A2BE7"/>
    <w:rsid w:val="004B1C11"/>
    <w:rsid w:val="004B5AC5"/>
    <w:rsid w:val="004C4BD6"/>
    <w:rsid w:val="004D0F8B"/>
    <w:rsid w:val="004D1BA3"/>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60151"/>
    <w:rsid w:val="005740AA"/>
    <w:rsid w:val="00577204"/>
    <w:rsid w:val="00581D1A"/>
    <w:rsid w:val="0058559E"/>
    <w:rsid w:val="00586714"/>
    <w:rsid w:val="00587E2D"/>
    <w:rsid w:val="0059619F"/>
    <w:rsid w:val="005B10D3"/>
    <w:rsid w:val="005B26EA"/>
    <w:rsid w:val="005B6B04"/>
    <w:rsid w:val="005C3F14"/>
    <w:rsid w:val="005C49A5"/>
    <w:rsid w:val="005D2CF9"/>
    <w:rsid w:val="005D6DE9"/>
    <w:rsid w:val="005E3FDB"/>
    <w:rsid w:val="005E7889"/>
    <w:rsid w:val="00601451"/>
    <w:rsid w:val="00603B18"/>
    <w:rsid w:val="00603C55"/>
    <w:rsid w:val="00604D9F"/>
    <w:rsid w:val="00605C4C"/>
    <w:rsid w:val="00613C81"/>
    <w:rsid w:val="006168DC"/>
    <w:rsid w:val="006241A5"/>
    <w:rsid w:val="00626C91"/>
    <w:rsid w:val="00627BC6"/>
    <w:rsid w:val="00641E40"/>
    <w:rsid w:val="00646D67"/>
    <w:rsid w:val="006611F2"/>
    <w:rsid w:val="0066220A"/>
    <w:rsid w:val="00662257"/>
    <w:rsid w:val="006632E6"/>
    <w:rsid w:val="006659FF"/>
    <w:rsid w:val="00681386"/>
    <w:rsid w:val="00683E43"/>
    <w:rsid w:val="00683E49"/>
    <w:rsid w:val="00696CA6"/>
    <w:rsid w:val="006977E1"/>
    <w:rsid w:val="006A6160"/>
    <w:rsid w:val="006B0062"/>
    <w:rsid w:val="006C49FD"/>
    <w:rsid w:val="006D0490"/>
    <w:rsid w:val="006D0EEF"/>
    <w:rsid w:val="006E1A28"/>
    <w:rsid w:val="006E3BB3"/>
    <w:rsid w:val="006E5C74"/>
    <w:rsid w:val="006F4CD6"/>
    <w:rsid w:val="007028D4"/>
    <w:rsid w:val="007066BF"/>
    <w:rsid w:val="007068CF"/>
    <w:rsid w:val="0072025B"/>
    <w:rsid w:val="007229CE"/>
    <w:rsid w:val="00731B31"/>
    <w:rsid w:val="00746AAD"/>
    <w:rsid w:val="0074753A"/>
    <w:rsid w:val="007549A8"/>
    <w:rsid w:val="007611CC"/>
    <w:rsid w:val="007758F3"/>
    <w:rsid w:val="0078074D"/>
    <w:rsid w:val="00792B1C"/>
    <w:rsid w:val="00793D22"/>
    <w:rsid w:val="007A3925"/>
    <w:rsid w:val="007B1123"/>
    <w:rsid w:val="007B5DBD"/>
    <w:rsid w:val="007C0AF5"/>
    <w:rsid w:val="007C1CE9"/>
    <w:rsid w:val="007D1911"/>
    <w:rsid w:val="007D35AE"/>
    <w:rsid w:val="007D480A"/>
    <w:rsid w:val="007D5AD9"/>
    <w:rsid w:val="007E486B"/>
    <w:rsid w:val="007E7D49"/>
    <w:rsid w:val="007F1F21"/>
    <w:rsid w:val="007F7A8C"/>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713E"/>
    <w:rsid w:val="00867984"/>
    <w:rsid w:val="00870C1F"/>
    <w:rsid w:val="00890FD2"/>
    <w:rsid w:val="00892843"/>
    <w:rsid w:val="00894F13"/>
    <w:rsid w:val="008A0B2E"/>
    <w:rsid w:val="008B1D8B"/>
    <w:rsid w:val="008B465C"/>
    <w:rsid w:val="008B6989"/>
    <w:rsid w:val="008C2C57"/>
    <w:rsid w:val="008D3254"/>
    <w:rsid w:val="008E747C"/>
    <w:rsid w:val="008F3B97"/>
    <w:rsid w:val="0090306A"/>
    <w:rsid w:val="00912851"/>
    <w:rsid w:val="009129E0"/>
    <w:rsid w:val="00916716"/>
    <w:rsid w:val="00920D90"/>
    <w:rsid w:val="009226E6"/>
    <w:rsid w:val="00924301"/>
    <w:rsid w:val="0092561B"/>
    <w:rsid w:val="00926A78"/>
    <w:rsid w:val="00931F76"/>
    <w:rsid w:val="0093316E"/>
    <w:rsid w:val="00942774"/>
    <w:rsid w:val="00946A60"/>
    <w:rsid w:val="00947D24"/>
    <w:rsid w:val="0095434D"/>
    <w:rsid w:val="00955A6F"/>
    <w:rsid w:val="009658AE"/>
    <w:rsid w:val="00967928"/>
    <w:rsid w:val="00975F25"/>
    <w:rsid w:val="0098290B"/>
    <w:rsid w:val="00983E78"/>
    <w:rsid w:val="00984BAD"/>
    <w:rsid w:val="00984FC5"/>
    <w:rsid w:val="009903F0"/>
    <w:rsid w:val="00990FA3"/>
    <w:rsid w:val="00991916"/>
    <w:rsid w:val="00996818"/>
    <w:rsid w:val="009A10A9"/>
    <w:rsid w:val="009A412B"/>
    <w:rsid w:val="009A5D90"/>
    <w:rsid w:val="009B37CF"/>
    <w:rsid w:val="009B4772"/>
    <w:rsid w:val="009B5605"/>
    <w:rsid w:val="009B7776"/>
    <w:rsid w:val="009B7AF9"/>
    <w:rsid w:val="009C0816"/>
    <w:rsid w:val="009C2FD0"/>
    <w:rsid w:val="009C595A"/>
    <w:rsid w:val="009F58F1"/>
    <w:rsid w:val="009F5CBF"/>
    <w:rsid w:val="00A044D6"/>
    <w:rsid w:val="00A051BB"/>
    <w:rsid w:val="00A16EAA"/>
    <w:rsid w:val="00A17E78"/>
    <w:rsid w:val="00A30264"/>
    <w:rsid w:val="00A33F8C"/>
    <w:rsid w:val="00A3713E"/>
    <w:rsid w:val="00A4544D"/>
    <w:rsid w:val="00A45E37"/>
    <w:rsid w:val="00A46065"/>
    <w:rsid w:val="00A466D9"/>
    <w:rsid w:val="00A56484"/>
    <w:rsid w:val="00A60889"/>
    <w:rsid w:val="00A633FF"/>
    <w:rsid w:val="00A6540C"/>
    <w:rsid w:val="00A71605"/>
    <w:rsid w:val="00A74926"/>
    <w:rsid w:val="00A85F15"/>
    <w:rsid w:val="00A86730"/>
    <w:rsid w:val="00AA37A5"/>
    <w:rsid w:val="00AA6EAC"/>
    <w:rsid w:val="00AB0377"/>
    <w:rsid w:val="00AB4CBB"/>
    <w:rsid w:val="00AC4AF0"/>
    <w:rsid w:val="00AD3A7D"/>
    <w:rsid w:val="00AD40CD"/>
    <w:rsid w:val="00AE12A6"/>
    <w:rsid w:val="00AE7FFD"/>
    <w:rsid w:val="00AF10D4"/>
    <w:rsid w:val="00B00335"/>
    <w:rsid w:val="00B17CCA"/>
    <w:rsid w:val="00B20708"/>
    <w:rsid w:val="00B20A3B"/>
    <w:rsid w:val="00B22737"/>
    <w:rsid w:val="00B41F96"/>
    <w:rsid w:val="00B42397"/>
    <w:rsid w:val="00B45034"/>
    <w:rsid w:val="00B6161B"/>
    <w:rsid w:val="00B6175C"/>
    <w:rsid w:val="00B650D2"/>
    <w:rsid w:val="00B71689"/>
    <w:rsid w:val="00B71823"/>
    <w:rsid w:val="00B76036"/>
    <w:rsid w:val="00B858FA"/>
    <w:rsid w:val="00B8670D"/>
    <w:rsid w:val="00B86AB3"/>
    <w:rsid w:val="00B9017D"/>
    <w:rsid w:val="00B9279A"/>
    <w:rsid w:val="00B97C1C"/>
    <w:rsid w:val="00BA3C32"/>
    <w:rsid w:val="00BA52D9"/>
    <w:rsid w:val="00BB3114"/>
    <w:rsid w:val="00BB3DC4"/>
    <w:rsid w:val="00BB419E"/>
    <w:rsid w:val="00BB4B46"/>
    <w:rsid w:val="00BB51F3"/>
    <w:rsid w:val="00BC05FC"/>
    <w:rsid w:val="00BC38DF"/>
    <w:rsid w:val="00BC622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61853"/>
    <w:rsid w:val="00C63EF7"/>
    <w:rsid w:val="00C671B7"/>
    <w:rsid w:val="00C70384"/>
    <w:rsid w:val="00C76F70"/>
    <w:rsid w:val="00C86FF4"/>
    <w:rsid w:val="00C90376"/>
    <w:rsid w:val="00C95F3C"/>
    <w:rsid w:val="00C97CD6"/>
    <w:rsid w:val="00CA5221"/>
    <w:rsid w:val="00CA6016"/>
    <w:rsid w:val="00CA66B1"/>
    <w:rsid w:val="00CB0413"/>
    <w:rsid w:val="00CB3A34"/>
    <w:rsid w:val="00CB4C4F"/>
    <w:rsid w:val="00CC4A04"/>
    <w:rsid w:val="00CD4B66"/>
    <w:rsid w:val="00CD6FFB"/>
    <w:rsid w:val="00CE0249"/>
    <w:rsid w:val="00CE1919"/>
    <w:rsid w:val="00CE2073"/>
    <w:rsid w:val="00CF6A9C"/>
    <w:rsid w:val="00D12C66"/>
    <w:rsid w:val="00D1325D"/>
    <w:rsid w:val="00D210F6"/>
    <w:rsid w:val="00D22EE7"/>
    <w:rsid w:val="00D2382B"/>
    <w:rsid w:val="00D25636"/>
    <w:rsid w:val="00D25C47"/>
    <w:rsid w:val="00D30512"/>
    <w:rsid w:val="00D33470"/>
    <w:rsid w:val="00D34A87"/>
    <w:rsid w:val="00D353D0"/>
    <w:rsid w:val="00D565D3"/>
    <w:rsid w:val="00D63A72"/>
    <w:rsid w:val="00D660EB"/>
    <w:rsid w:val="00D66553"/>
    <w:rsid w:val="00D67DD9"/>
    <w:rsid w:val="00D710F1"/>
    <w:rsid w:val="00D71E0A"/>
    <w:rsid w:val="00D74EB0"/>
    <w:rsid w:val="00D76974"/>
    <w:rsid w:val="00D8198F"/>
    <w:rsid w:val="00D84002"/>
    <w:rsid w:val="00D86C51"/>
    <w:rsid w:val="00D9764C"/>
    <w:rsid w:val="00DA4A3F"/>
    <w:rsid w:val="00DB0721"/>
    <w:rsid w:val="00DB1938"/>
    <w:rsid w:val="00DB3462"/>
    <w:rsid w:val="00DB7DF6"/>
    <w:rsid w:val="00DD0994"/>
    <w:rsid w:val="00DD1A8F"/>
    <w:rsid w:val="00DD1B12"/>
    <w:rsid w:val="00DD57FD"/>
    <w:rsid w:val="00DE7A17"/>
    <w:rsid w:val="00DF0855"/>
    <w:rsid w:val="00DF304A"/>
    <w:rsid w:val="00E12E33"/>
    <w:rsid w:val="00E179F0"/>
    <w:rsid w:val="00E20BF0"/>
    <w:rsid w:val="00E41802"/>
    <w:rsid w:val="00E43EB2"/>
    <w:rsid w:val="00E4685A"/>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C1B46"/>
    <w:rsid w:val="00ED3C52"/>
    <w:rsid w:val="00EE1D41"/>
    <w:rsid w:val="00EE6933"/>
    <w:rsid w:val="00EF0383"/>
    <w:rsid w:val="00EF380D"/>
    <w:rsid w:val="00F0205C"/>
    <w:rsid w:val="00F12F6A"/>
    <w:rsid w:val="00F27443"/>
    <w:rsid w:val="00F3116D"/>
    <w:rsid w:val="00F34E4E"/>
    <w:rsid w:val="00F368A7"/>
    <w:rsid w:val="00F441D7"/>
    <w:rsid w:val="00F6704D"/>
    <w:rsid w:val="00F6757F"/>
    <w:rsid w:val="00F77C45"/>
    <w:rsid w:val="00F80B58"/>
    <w:rsid w:val="00F80BAE"/>
    <w:rsid w:val="00F83F5C"/>
    <w:rsid w:val="00F87ACE"/>
    <w:rsid w:val="00F92437"/>
    <w:rsid w:val="00F937DB"/>
    <w:rsid w:val="00F9401B"/>
    <w:rsid w:val="00F94D69"/>
    <w:rsid w:val="00F979FE"/>
    <w:rsid w:val="00FA1193"/>
    <w:rsid w:val="00FA39E9"/>
    <w:rsid w:val="00FA7CB7"/>
    <w:rsid w:val="00FC165B"/>
    <w:rsid w:val="00FD11D9"/>
    <w:rsid w:val="00FD6D13"/>
    <w:rsid w:val="00FE30DA"/>
    <w:rsid w:val="00FF042C"/>
    <w:rsid w:val="00FF3377"/>
    <w:rsid w:val="00FF7022"/>
    <w:rsid w:val="010E299D"/>
    <w:rsid w:val="01592469"/>
    <w:rsid w:val="015C5DB1"/>
    <w:rsid w:val="0170404F"/>
    <w:rsid w:val="01735F5A"/>
    <w:rsid w:val="017E0007"/>
    <w:rsid w:val="01AF4A4D"/>
    <w:rsid w:val="01EE5456"/>
    <w:rsid w:val="02377BE6"/>
    <w:rsid w:val="0261662C"/>
    <w:rsid w:val="029060AA"/>
    <w:rsid w:val="02AE2C16"/>
    <w:rsid w:val="02B94956"/>
    <w:rsid w:val="02C441C6"/>
    <w:rsid w:val="02F53A76"/>
    <w:rsid w:val="032669E8"/>
    <w:rsid w:val="03521F01"/>
    <w:rsid w:val="036B48D4"/>
    <w:rsid w:val="03A57FE5"/>
    <w:rsid w:val="03C330D9"/>
    <w:rsid w:val="03DE131F"/>
    <w:rsid w:val="03E071B0"/>
    <w:rsid w:val="03F359AA"/>
    <w:rsid w:val="041E0A86"/>
    <w:rsid w:val="044358FC"/>
    <w:rsid w:val="044A7BA3"/>
    <w:rsid w:val="04623A76"/>
    <w:rsid w:val="0472010B"/>
    <w:rsid w:val="0493773A"/>
    <w:rsid w:val="04A64940"/>
    <w:rsid w:val="04A701D9"/>
    <w:rsid w:val="04E055EE"/>
    <w:rsid w:val="04E2054C"/>
    <w:rsid w:val="04E54B7A"/>
    <w:rsid w:val="04F52FD6"/>
    <w:rsid w:val="051666CB"/>
    <w:rsid w:val="051F7672"/>
    <w:rsid w:val="052F1D40"/>
    <w:rsid w:val="05424B35"/>
    <w:rsid w:val="056A7930"/>
    <w:rsid w:val="05AE37B9"/>
    <w:rsid w:val="05D01845"/>
    <w:rsid w:val="05DF2D15"/>
    <w:rsid w:val="05EF3851"/>
    <w:rsid w:val="060B5303"/>
    <w:rsid w:val="063174BB"/>
    <w:rsid w:val="06340D6A"/>
    <w:rsid w:val="064B0C94"/>
    <w:rsid w:val="064F459E"/>
    <w:rsid w:val="065128C5"/>
    <w:rsid w:val="068D60ED"/>
    <w:rsid w:val="068E4538"/>
    <w:rsid w:val="06BB724A"/>
    <w:rsid w:val="06BC1351"/>
    <w:rsid w:val="07034156"/>
    <w:rsid w:val="070E13CD"/>
    <w:rsid w:val="07245249"/>
    <w:rsid w:val="073B1E38"/>
    <w:rsid w:val="073B457B"/>
    <w:rsid w:val="074C2E4B"/>
    <w:rsid w:val="074C4ADA"/>
    <w:rsid w:val="0752169F"/>
    <w:rsid w:val="07767AEB"/>
    <w:rsid w:val="077E43A6"/>
    <w:rsid w:val="07EF6488"/>
    <w:rsid w:val="07F1449F"/>
    <w:rsid w:val="07F20E7E"/>
    <w:rsid w:val="07FF153D"/>
    <w:rsid w:val="0819667B"/>
    <w:rsid w:val="08343F74"/>
    <w:rsid w:val="08414535"/>
    <w:rsid w:val="084614A8"/>
    <w:rsid w:val="0847542C"/>
    <w:rsid w:val="08480F6C"/>
    <w:rsid w:val="0855370F"/>
    <w:rsid w:val="089F71BD"/>
    <w:rsid w:val="08CD4F42"/>
    <w:rsid w:val="08F6322F"/>
    <w:rsid w:val="092263E9"/>
    <w:rsid w:val="097E13E3"/>
    <w:rsid w:val="0993732F"/>
    <w:rsid w:val="09B4426E"/>
    <w:rsid w:val="09C269E6"/>
    <w:rsid w:val="09F4528B"/>
    <w:rsid w:val="0A1A2968"/>
    <w:rsid w:val="0A2709FD"/>
    <w:rsid w:val="0A2C60A6"/>
    <w:rsid w:val="0A5B4178"/>
    <w:rsid w:val="0A9713EC"/>
    <w:rsid w:val="0AA43F77"/>
    <w:rsid w:val="0AA71863"/>
    <w:rsid w:val="0AA8538E"/>
    <w:rsid w:val="0AE147AE"/>
    <w:rsid w:val="0AF52007"/>
    <w:rsid w:val="0B1306DF"/>
    <w:rsid w:val="0B3E574F"/>
    <w:rsid w:val="0B570F57"/>
    <w:rsid w:val="0B5D5DF3"/>
    <w:rsid w:val="0B7219F2"/>
    <w:rsid w:val="0B7A659F"/>
    <w:rsid w:val="0BAE02F9"/>
    <w:rsid w:val="0BE15B4C"/>
    <w:rsid w:val="0C2333AB"/>
    <w:rsid w:val="0C3118A4"/>
    <w:rsid w:val="0C3E338D"/>
    <w:rsid w:val="0C665E39"/>
    <w:rsid w:val="0C7B43D3"/>
    <w:rsid w:val="0C892282"/>
    <w:rsid w:val="0CBF6062"/>
    <w:rsid w:val="0D224920"/>
    <w:rsid w:val="0D5E00F6"/>
    <w:rsid w:val="0D72077A"/>
    <w:rsid w:val="0D7F229E"/>
    <w:rsid w:val="0DC91529"/>
    <w:rsid w:val="0E5666F6"/>
    <w:rsid w:val="0E572BD5"/>
    <w:rsid w:val="0E6333EC"/>
    <w:rsid w:val="0E751FD2"/>
    <w:rsid w:val="0E870C1F"/>
    <w:rsid w:val="0E8C3F30"/>
    <w:rsid w:val="0EC457FA"/>
    <w:rsid w:val="0EF32D02"/>
    <w:rsid w:val="0F065ABD"/>
    <w:rsid w:val="0F130755"/>
    <w:rsid w:val="0F3D604D"/>
    <w:rsid w:val="0F490772"/>
    <w:rsid w:val="0F75416F"/>
    <w:rsid w:val="0F8971C2"/>
    <w:rsid w:val="0FA626FD"/>
    <w:rsid w:val="0FC65D20"/>
    <w:rsid w:val="0FE679E6"/>
    <w:rsid w:val="101215D4"/>
    <w:rsid w:val="10294501"/>
    <w:rsid w:val="102B5C62"/>
    <w:rsid w:val="104C6051"/>
    <w:rsid w:val="104E6E5E"/>
    <w:rsid w:val="10D03CF0"/>
    <w:rsid w:val="10DB12FA"/>
    <w:rsid w:val="10E77423"/>
    <w:rsid w:val="10F24784"/>
    <w:rsid w:val="1102018A"/>
    <w:rsid w:val="111B6245"/>
    <w:rsid w:val="113207A3"/>
    <w:rsid w:val="1156321C"/>
    <w:rsid w:val="116F5F57"/>
    <w:rsid w:val="11AD1F5B"/>
    <w:rsid w:val="11E53EC2"/>
    <w:rsid w:val="120862FD"/>
    <w:rsid w:val="123A4FE9"/>
    <w:rsid w:val="124F0D00"/>
    <w:rsid w:val="126A72C0"/>
    <w:rsid w:val="1289096A"/>
    <w:rsid w:val="129676BF"/>
    <w:rsid w:val="129D41F8"/>
    <w:rsid w:val="12A56E0D"/>
    <w:rsid w:val="12B971DF"/>
    <w:rsid w:val="12D55006"/>
    <w:rsid w:val="12F42C58"/>
    <w:rsid w:val="12F750DE"/>
    <w:rsid w:val="132B6DAE"/>
    <w:rsid w:val="13490117"/>
    <w:rsid w:val="1395331A"/>
    <w:rsid w:val="13965417"/>
    <w:rsid w:val="13A445CA"/>
    <w:rsid w:val="13BF7656"/>
    <w:rsid w:val="13CD2D65"/>
    <w:rsid w:val="13D06B5F"/>
    <w:rsid w:val="13D0731A"/>
    <w:rsid w:val="13ED5D3B"/>
    <w:rsid w:val="13F41A26"/>
    <w:rsid w:val="13FD5EED"/>
    <w:rsid w:val="14107E69"/>
    <w:rsid w:val="143F40C0"/>
    <w:rsid w:val="14921339"/>
    <w:rsid w:val="14930299"/>
    <w:rsid w:val="14C26A3F"/>
    <w:rsid w:val="154530D7"/>
    <w:rsid w:val="1556200E"/>
    <w:rsid w:val="1556251E"/>
    <w:rsid w:val="157C6CB2"/>
    <w:rsid w:val="158C17BA"/>
    <w:rsid w:val="15A66E56"/>
    <w:rsid w:val="15BB652C"/>
    <w:rsid w:val="15D37588"/>
    <w:rsid w:val="15E52D11"/>
    <w:rsid w:val="16015486"/>
    <w:rsid w:val="161E5935"/>
    <w:rsid w:val="16206D76"/>
    <w:rsid w:val="167A2ED0"/>
    <w:rsid w:val="167B66AC"/>
    <w:rsid w:val="168E65B4"/>
    <w:rsid w:val="16931C70"/>
    <w:rsid w:val="16A012A2"/>
    <w:rsid w:val="16AA639C"/>
    <w:rsid w:val="16AE750E"/>
    <w:rsid w:val="16D4233C"/>
    <w:rsid w:val="16EF4002"/>
    <w:rsid w:val="16F851AF"/>
    <w:rsid w:val="17214184"/>
    <w:rsid w:val="172A2A51"/>
    <w:rsid w:val="172E0C33"/>
    <w:rsid w:val="174D4042"/>
    <w:rsid w:val="176C25AC"/>
    <w:rsid w:val="176D1177"/>
    <w:rsid w:val="17774AC3"/>
    <w:rsid w:val="177956AE"/>
    <w:rsid w:val="17C52D22"/>
    <w:rsid w:val="17D91255"/>
    <w:rsid w:val="17F57C87"/>
    <w:rsid w:val="1809450B"/>
    <w:rsid w:val="18C127F2"/>
    <w:rsid w:val="18C63393"/>
    <w:rsid w:val="18C90CFF"/>
    <w:rsid w:val="18CD0B35"/>
    <w:rsid w:val="18DC3CCF"/>
    <w:rsid w:val="18E92892"/>
    <w:rsid w:val="190136B7"/>
    <w:rsid w:val="19233FA3"/>
    <w:rsid w:val="192537CA"/>
    <w:rsid w:val="19431DA0"/>
    <w:rsid w:val="195919B3"/>
    <w:rsid w:val="19931AB5"/>
    <w:rsid w:val="199512F0"/>
    <w:rsid w:val="199B0385"/>
    <w:rsid w:val="199F3CCC"/>
    <w:rsid w:val="19AA1AF9"/>
    <w:rsid w:val="19C71184"/>
    <w:rsid w:val="19EF3ACE"/>
    <w:rsid w:val="1A057D8D"/>
    <w:rsid w:val="1A347D4B"/>
    <w:rsid w:val="1A4953AC"/>
    <w:rsid w:val="1A557ED5"/>
    <w:rsid w:val="1A6858B9"/>
    <w:rsid w:val="1A6B7078"/>
    <w:rsid w:val="1A703379"/>
    <w:rsid w:val="1A742EDA"/>
    <w:rsid w:val="1A9173E7"/>
    <w:rsid w:val="1A9F0C83"/>
    <w:rsid w:val="1AA80D89"/>
    <w:rsid w:val="1AB31334"/>
    <w:rsid w:val="1AB776DE"/>
    <w:rsid w:val="1AC06A33"/>
    <w:rsid w:val="1AEE1EBE"/>
    <w:rsid w:val="1AF44669"/>
    <w:rsid w:val="1B1E1452"/>
    <w:rsid w:val="1B425A03"/>
    <w:rsid w:val="1B4D701A"/>
    <w:rsid w:val="1B9964FB"/>
    <w:rsid w:val="1BA444CC"/>
    <w:rsid w:val="1BB67025"/>
    <w:rsid w:val="1BCE2ACB"/>
    <w:rsid w:val="1BDA4AC1"/>
    <w:rsid w:val="1C022E6C"/>
    <w:rsid w:val="1C500E4B"/>
    <w:rsid w:val="1C612596"/>
    <w:rsid w:val="1C7F3E27"/>
    <w:rsid w:val="1CC22675"/>
    <w:rsid w:val="1CE719CD"/>
    <w:rsid w:val="1CFC0F98"/>
    <w:rsid w:val="1DA578BD"/>
    <w:rsid w:val="1DCC6D19"/>
    <w:rsid w:val="1DEF27B9"/>
    <w:rsid w:val="1E5C4D35"/>
    <w:rsid w:val="1E753AA1"/>
    <w:rsid w:val="1E931FA3"/>
    <w:rsid w:val="1EAF5DEB"/>
    <w:rsid w:val="1EF15C9C"/>
    <w:rsid w:val="1EFB2FFA"/>
    <w:rsid w:val="1EFC7464"/>
    <w:rsid w:val="1F0F46C2"/>
    <w:rsid w:val="1F1668EB"/>
    <w:rsid w:val="1F316F2E"/>
    <w:rsid w:val="1F361C45"/>
    <w:rsid w:val="1F4446D0"/>
    <w:rsid w:val="1F486752"/>
    <w:rsid w:val="1F504C1F"/>
    <w:rsid w:val="1F5C540C"/>
    <w:rsid w:val="1F603D1B"/>
    <w:rsid w:val="1F7E7B2E"/>
    <w:rsid w:val="1FAE2C5F"/>
    <w:rsid w:val="1FE12BB5"/>
    <w:rsid w:val="1FEF691D"/>
    <w:rsid w:val="1FF22B62"/>
    <w:rsid w:val="1FF73CD4"/>
    <w:rsid w:val="20237A84"/>
    <w:rsid w:val="204A4D07"/>
    <w:rsid w:val="2096173F"/>
    <w:rsid w:val="209A5AF5"/>
    <w:rsid w:val="20AB7496"/>
    <w:rsid w:val="20AC3881"/>
    <w:rsid w:val="20AE0CF7"/>
    <w:rsid w:val="20BB51CB"/>
    <w:rsid w:val="20C32CF9"/>
    <w:rsid w:val="20CD4719"/>
    <w:rsid w:val="20D85B49"/>
    <w:rsid w:val="20DB43AD"/>
    <w:rsid w:val="21183FF9"/>
    <w:rsid w:val="213B55BE"/>
    <w:rsid w:val="214967B1"/>
    <w:rsid w:val="216009F8"/>
    <w:rsid w:val="217D40E8"/>
    <w:rsid w:val="21DB5CC6"/>
    <w:rsid w:val="21DD24A2"/>
    <w:rsid w:val="21DD49CB"/>
    <w:rsid w:val="220D3C83"/>
    <w:rsid w:val="221B64CB"/>
    <w:rsid w:val="2242260B"/>
    <w:rsid w:val="227E2B74"/>
    <w:rsid w:val="22837B3B"/>
    <w:rsid w:val="228B4025"/>
    <w:rsid w:val="228C104B"/>
    <w:rsid w:val="229E148E"/>
    <w:rsid w:val="22A243CB"/>
    <w:rsid w:val="22DC3680"/>
    <w:rsid w:val="22EF5318"/>
    <w:rsid w:val="2300653D"/>
    <w:rsid w:val="23162F0E"/>
    <w:rsid w:val="23394CB0"/>
    <w:rsid w:val="233F5BDA"/>
    <w:rsid w:val="236C1AA3"/>
    <w:rsid w:val="23EC5247"/>
    <w:rsid w:val="23FC53D4"/>
    <w:rsid w:val="24074A22"/>
    <w:rsid w:val="24191654"/>
    <w:rsid w:val="247C2609"/>
    <w:rsid w:val="249859C9"/>
    <w:rsid w:val="24B14D99"/>
    <w:rsid w:val="24C47A35"/>
    <w:rsid w:val="24DF431D"/>
    <w:rsid w:val="251B735D"/>
    <w:rsid w:val="25203C5B"/>
    <w:rsid w:val="25271897"/>
    <w:rsid w:val="25697422"/>
    <w:rsid w:val="25953326"/>
    <w:rsid w:val="25B11709"/>
    <w:rsid w:val="25BF642B"/>
    <w:rsid w:val="25C909A6"/>
    <w:rsid w:val="26374B86"/>
    <w:rsid w:val="26437C73"/>
    <w:rsid w:val="26452E30"/>
    <w:rsid w:val="265E2CFF"/>
    <w:rsid w:val="267057E9"/>
    <w:rsid w:val="26804A23"/>
    <w:rsid w:val="269B06C8"/>
    <w:rsid w:val="26A34BB6"/>
    <w:rsid w:val="26C62652"/>
    <w:rsid w:val="26C846B8"/>
    <w:rsid w:val="26D6483C"/>
    <w:rsid w:val="26DC4479"/>
    <w:rsid w:val="26E41CCB"/>
    <w:rsid w:val="26FB2ACC"/>
    <w:rsid w:val="27057F32"/>
    <w:rsid w:val="276E60CD"/>
    <w:rsid w:val="277A1B31"/>
    <w:rsid w:val="27C76682"/>
    <w:rsid w:val="27F76BCA"/>
    <w:rsid w:val="28100CC6"/>
    <w:rsid w:val="28126A85"/>
    <w:rsid w:val="282150E9"/>
    <w:rsid w:val="28AB678D"/>
    <w:rsid w:val="28B300BA"/>
    <w:rsid w:val="28C45520"/>
    <w:rsid w:val="28CF3D38"/>
    <w:rsid w:val="28FB2270"/>
    <w:rsid w:val="29193E52"/>
    <w:rsid w:val="292518B2"/>
    <w:rsid w:val="29256BCE"/>
    <w:rsid w:val="29946FA3"/>
    <w:rsid w:val="29976B6A"/>
    <w:rsid w:val="29BF23C0"/>
    <w:rsid w:val="29D1014C"/>
    <w:rsid w:val="29DD582A"/>
    <w:rsid w:val="29E9585C"/>
    <w:rsid w:val="29EB2AFB"/>
    <w:rsid w:val="2A1009C7"/>
    <w:rsid w:val="2A17361C"/>
    <w:rsid w:val="2A320916"/>
    <w:rsid w:val="2A375D41"/>
    <w:rsid w:val="2A773719"/>
    <w:rsid w:val="2A950493"/>
    <w:rsid w:val="2AA508CD"/>
    <w:rsid w:val="2AEA4B61"/>
    <w:rsid w:val="2B05199B"/>
    <w:rsid w:val="2B1269FD"/>
    <w:rsid w:val="2B9564D0"/>
    <w:rsid w:val="2B9B40AD"/>
    <w:rsid w:val="2BB01477"/>
    <w:rsid w:val="2BC226F8"/>
    <w:rsid w:val="2BDF2F66"/>
    <w:rsid w:val="2BE023C4"/>
    <w:rsid w:val="2BE05F64"/>
    <w:rsid w:val="2BE43DA1"/>
    <w:rsid w:val="2C290EE9"/>
    <w:rsid w:val="2CA9708A"/>
    <w:rsid w:val="2CAC5F7D"/>
    <w:rsid w:val="2CAF2ECB"/>
    <w:rsid w:val="2CCA6A7E"/>
    <w:rsid w:val="2CDD556A"/>
    <w:rsid w:val="2D0A1A7B"/>
    <w:rsid w:val="2D0D5881"/>
    <w:rsid w:val="2D283E6C"/>
    <w:rsid w:val="2D6E7E4B"/>
    <w:rsid w:val="2D99461C"/>
    <w:rsid w:val="2DAC361B"/>
    <w:rsid w:val="2DD3296E"/>
    <w:rsid w:val="2DD90081"/>
    <w:rsid w:val="2DE27D71"/>
    <w:rsid w:val="2DE52C57"/>
    <w:rsid w:val="2DE57862"/>
    <w:rsid w:val="2DEC1D3C"/>
    <w:rsid w:val="2E051F5E"/>
    <w:rsid w:val="2E1D6FFC"/>
    <w:rsid w:val="2E3040AE"/>
    <w:rsid w:val="2E506979"/>
    <w:rsid w:val="2E732DF7"/>
    <w:rsid w:val="2E7D2B29"/>
    <w:rsid w:val="2E9276A5"/>
    <w:rsid w:val="2E976DAE"/>
    <w:rsid w:val="2EA34F73"/>
    <w:rsid w:val="2EAF75D8"/>
    <w:rsid w:val="2EC3136F"/>
    <w:rsid w:val="2F081A5A"/>
    <w:rsid w:val="2F87097D"/>
    <w:rsid w:val="2F9C6C74"/>
    <w:rsid w:val="2FA77700"/>
    <w:rsid w:val="2FAD73A0"/>
    <w:rsid w:val="2FBC1909"/>
    <w:rsid w:val="2FC16EFF"/>
    <w:rsid w:val="2FD410B3"/>
    <w:rsid w:val="2FE42982"/>
    <w:rsid w:val="2FF65BD7"/>
    <w:rsid w:val="30195EF2"/>
    <w:rsid w:val="301D2986"/>
    <w:rsid w:val="30310509"/>
    <w:rsid w:val="30401F9D"/>
    <w:rsid w:val="304E64B6"/>
    <w:rsid w:val="3063470D"/>
    <w:rsid w:val="309F5314"/>
    <w:rsid w:val="30B55C11"/>
    <w:rsid w:val="31120C37"/>
    <w:rsid w:val="3115280F"/>
    <w:rsid w:val="31560261"/>
    <w:rsid w:val="31A73E2E"/>
    <w:rsid w:val="31BA43C9"/>
    <w:rsid w:val="31C16AB4"/>
    <w:rsid w:val="320563A7"/>
    <w:rsid w:val="320A57CD"/>
    <w:rsid w:val="32244DFC"/>
    <w:rsid w:val="324B7C77"/>
    <w:rsid w:val="32A8252D"/>
    <w:rsid w:val="32DE2260"/>
    <w:rsid w:val="32FB0F4C"/>
    <w:rsid w:val="32FD56ED"/>
    <w:rsid w:val="330F17E5"/>
    <w:rsid w:val="333A1E7A"/>
    <w:rsid w:val="335B2DBB"/>
    <w:rsid w:val="33736C53"/>
    <w:rsid w:val="33D0308C"/>
    <w:rsid w:val="33E744B7"/>
    <w:rsid w:val="33F3468D"/>
    <w:rsid w:val="33F64A1A"/>
    <w:rsid w:val="340C750B"/>
    <w:rsid w:val="340D2FDB"/>
    <w:rsid w:val="3421373E"/>
    <w:rsid w:val="342B09EB"/>
    <w:rsid w:val="34527057"/>
    <w:rsid w:val="345D3C26"/>
    <w:rsid w:val="345F54B7"/>
    <w:rsid w:val="34696BFF"/>
    <w:rsid w:val="347E351D"/>
    <w:rsid w:val="34A31AFB"/>
    <w:rsid w:val="34B86D13"/>
    <w:rsid w:val="34BC4687"/>
    <w:rsid w:val="34D4418C"/>
    <w:rsid w:val="34E9340B"/>
    <w:rsid w:val="34FD7B87"/>
    <w:rsid w:val="351823E5"/>
    <w:rsid w:val="35267B43"/>
    <w:rsid w:val="354978C3"/>
    <w:rsid w:val="356221AD"/>
    <w:rsid w:val="35683A54"/>
    <w:rsid w:val="357758E3"/>
    <w:rsid w:val="35A55437"/>
    <w:rsid w:val="35F431BB"/>
    <w:rsid w:val="36210DF9"/>
    <w:rsid w:val="36725C92"/>
    <w:rsid w:val="36CB02C0"/>
    <w:rsid w:val="37231F6C"/>
    <w:rsid w:val="373A0A40"/>
    <w:rsid w:val="37551F1A"/>
    <w:rsid w:val="37702FE8"/>
    <w:rsid w:val="37976071"/>
    <w:rsid w:val="37AA4049"/>
    <w:rsid w:val="37B3347F"/>
    <w:rsid w:val="37D25E78"/>
    <w:rsid w:val="3807777E"/>
    <w:rsid w:val="380F26A6"/>
    <w:rsid w:val="38242B94"/>
    <w:rsid w:val="383102F9"/>
    <w:rsid w:val="38332E0C"/>
    <w:rsid w:val="384A5771"/>
    <w:rsid w:val="385F29E9"/>
    <w:rsid w:val="38643C9F"/>
    <w:rsid w:val="38892B5C"/>
    <w:rsid w:val="38A8126A"/>
    <w:rsid w:val="38BD21BA"/>
    <w:rsid w:val="38D56637"/>
    <w:rsid w:val="38F42DD2"/>
    <w:rsid w:val="39043742"/>
    <w:rsid w:val="39060BC2"/>
    <w:rsid w:val="39157987"/>
    <w:rsid w:val="39266ADA"/>
    <w:rsid w:val="39313B99"/>
    <w:rsid w:val="393B1A49"/>
    <w:rsid w:val="39436326"/>
    <w:rsid w:val="39614CA2"/>
    <w:rsid w:val="39A20CFD"/>
    <w:rsid w:val="39A8727C"/>
    <w:rsid w:val="39CF204D"/>
    <w:rsid w:val="39DC0E8E"/>
    <w:rsid w:val="39E22AEA"/>
    <w:rsid w:val="3A034A0E"/>
    <w:rsid w:val="3A1A2409"/>
    <w:rsid w:val="3A1C0E86"/>
    <w:rsid w:val="3A2351B0"/>
    <w:rsid w:val="3A236771"/>
    <w:rsid w:val="3A236EF9"/>
    <w:rsid w:val="3A6C3A05"/>
    <w:rsid w:val="3A7931A8"/>
    <w:rsid w:val="3A9C6A8F"/>
    <w:rsid w:val="3AC94A3A"/>
    <w:rsid w:val="3ADE7B13"/>
    <w:rsid w:val="3AF1486E"/>
    <w:rsid w:val="3AF23F12"/>
    <w:rsid w:val="3AFC48EC"/>
    <w:rsid w:val="3AFD3A9D"/>
    <w:rsid w:val="3B1C3301"/>
    <w:rsid w:val="3B2F5E4E"/>
    <w:rsid w:val="3B513DEE"/>
    <w:rsid w:val="3B691D97"/>
    <w:rsid w:val="3B7053DE"/>
    <w:rsid w:val="3BA6676A"/>
    <w:rsid w:val="3BC83389"/>
    <w:rsid w:val="3BCE2734"/>
    <w:rsid w:val="3BD07273"/>
    <w:rsid w:val="3C2D2FF5"/>
    <w:rsid w:val="3C3218B9"/>
    <w:rsid w:val="3C3C29EE"/>
    <w:rsid w:val="3C4F5132"/>
    <w:rsid w:val="3C6525A5"/>
    <w:rsid w:val="3C81758C"/>
    <w:rsid w:val="3C945E4D"/>
    <w:rsid w:val="3CAF2872"/>
    <w:rsid w:val="3CB32057"/>
    <w:rsid w:val="3CCF7F38"/>
    <w:rsid w:val="3CD047A6"/>
    <w:rsid w:val="3CF41C14"/>
    <w:rsid w:val="3CF803AC"/>
    <w:rsid w:val="3D3118EB"/>
    <w:rsid w:val="3D34734F"/>
    <w:rsid w:val="3D4914B1"/>
    <w:rsid w:val="3D4B7758"/>
    <w:rsid w:val="3D5552B8"/>
    <w:rsid w:val="3D692C3F"/>
    <w:rsid w:val="3D8B3C33"/>
    <w:rsid w:val="3DCA5029"/>
    <w:rsid w:val="3DCB0515"/>
    <w:rsid w:val="3DDA1633"/>
    <w:rsid w:val="3DFD7168"/>
    <w:rsid w:val="3E5F540E"/>
    <w:rsid w:val="3E6C01D2"/>
    <w:rsid w:val="3EB900D3"/>
    <w:rsid w:val="3ECE7D2E"/>
    <w:rsid w:val="3ED73AE6"/>
    <w:rsid w:val="3ED8393F"/>
    <w:rsid w:val="3EDF3F16"/>
    <w:rsid w:val="3EE30F7D"/>
    <w:rsid w:val="3EE87945"/>
    <w:rsid w:val="3F055FB6"/>
    <w:rsid w:val="3F47037C"/>
    <w:rsid w:val="3F4E170B"/>
    <w:rsid w:val="3F62682D"/>
    <w:rsid w:val="3F6E3B5B"/>
    <w:rsid w:val="3F7A20AE"/>
    <w:rsid w:val="3FC26760"/>
    <w:rsid w:val="3FE14AE0"/>
    <w:rsid w:val="3FEC4101"/>
    <w:rsid w:val="403642AA"/>
    <w:rsid w:val="40632F94"/>
    <w:rsid w:val="40A37E18"/>
    <w:rsid w:val="40B41A41"/>
    <w:rsid w:val="40CD3D02"/>
    <w:rsid w:val="414C3A28"/>
    <w:rsid w:val="41862EE9"/>
    <w:rsid w:val="41A23C24"/>
    <w:rsid w:val="41D0464D"/>
    <w:rsid w:val="41DD38D3"/>
    <w:rsid w:val="42222148"/>
    <w:rsid w:val="42566AF0"/>
    <w:rsid w:val="42581CC7"/>
    <w:rsid w:val="42707BEA"/>
    <w:rsid w:val="42812299"/>
    <w:rsid w:val="42AA417F"/>
    <w:rsid w:val="42D81106"/>
    <w:rsid w:val="42DD4B4A"/>
    <w:rsid w:val="42F029F7"/>
    <w:rsid w:val="431219E3"/>
    <w:rsid w:val="431846E9"/>
    <w:rsid w:val="431B695C"/>
    <w:rsid w:val="434346DE"/>
    <w:rsid w:val="434E44A7"/>
    <w:rsid w:val="43512E49"/>
    <w:rsid w:val="436D5705"/>
    <w:rsid w:val="43721F6E"/>
    <w:rsid w:val="43775F23"/>
    <w:rsid w:val="43BB0FD0"/>
    <w:rsid w:val="43BE13CA"/>
    <w:rsid w:val="43E02B4D"/>
    <w:rsid w:val="43E43B1F"/>
    <w:rsid w:val="43E53A75"/>
    <w:rsid w:val="43FF0184"/>
    <w:rsid w:val="44004CA8"/>
    <w:rsid w:val="441C40D4"/>
    <w:rsid w:val="44495458"/>
    <w:rsid w:val="44C11685"/>
    <w:rsid w:val="44DC4D12"/>
    <w:rsid w:val="44E17249"/>
    <w:rsid w:val="44F504C9"/>
    <w:rsid w:val="44F64B3A"/>
    <w:rsid w:val="44FB4726"/>
    <w:rsid w:val="45077E73"/>
    <w:rsid w:val="450B59A8"/>
    <w:rsid w:val="45136354"/>
    <w:rsid w:val="451713AC"/>
    <w:rsid w:val="452469FE"/>
    <w:rsid w:val="455C26A8"/>
    <w:rsid w:val="45783434"/>
    <w:rsid w:val="458106E9"/>
    <w:rsid w:val="45A07DBC"/>
    <w:rsid w:val="45AD61FC"/>
    <w:rsid w:val="45B8325D"/>
    <w:rsid w:val="45BF39AD"/>
    <w:rsid w:val="45E06AD2"/>
    <w:rsid w:val="45FD0EBA"/>
    <w:rsid w:val="46072965"/>
    <w:rsid w:val="462A584F"/>
    <w:rsid w:val="46500AD4"/>
    <w:rsid w:val="46537CE0"/>
    <w:rsid w:val="46562DA7"/>
    <w:rsid w:val="466D3D88"/>
    <w:rsid w:val="46867910"/>
    <w:rsid w:val="46B475BD"/>
    <w:rsid w:val="46FD2D63"/>
    <w:rsid w:val="470A2DF2"/>
    <w:rsid w:val="473653BD"/>
    <w:rsid w:val="47374B95"/>
    <w:rsid w:val="47597746"/>
    <w:rsid w:val="47637A38"/>
    <w:rsid w:val="47A852CE"/>
    <w:rsid w:val="47B40D9A"/>
    <w:rsid w:val="47C05FC0"/>
    <w:rsid w:val="47EA57FC"/>
    <w:rsid w:val="47F23EAB"/>
    <w:rsid w:val="480568A7"/>
    <w:rsid w:val="480F0C6A"/>
    <w:rsid w:val="481629BE"/>
    <w:rsid w:val="48417499"/>
    <w:rsid w:val="48735D3E"/>
    <w:rsid w:val="48754629"/>
    <w:rsid w:val="48C212CE"/>
    <w:rsid w:val="48C216E7"/>
    <w:rsid w:val="48C83810"/>
    <w:rsid w:val="48CF6CE0"/>
    <w:rsid w:val="48EC5AF0"/>
    <w:rsid w:val="48F10632"/>
    <w:rsid w:val="49180624"/>
    <w:rsid w:val="496C17E6"/>
    <w:rsid w:val="497C5F5E"/>
    <w:rsid w:val="497F6965"/>
    <w:rsid w:val="49921B9C"/>
    <w:rsid w:val="49CE50DE"/>
    <w:rsid w:val="49D37AEA"/>
    <w:rsid w:val="4A0F7CE8"/>
    <w:rsid w:val="4A205018"/>
    <w:rsid w:val="4A3B6CB1"/>
    <w:rsid w:val="4A453398"/>
    <w:rsid w:val="4A952779"/>
    <w:rsid w:val="4AB74B32"/>
    <w:rsid w:val="4B2058BB"/>
    <w:rsid w:val="4B6B030A"/>
    <w:rsid w:val="4B876458"/>
    <w:rsid w:val="4B991F11"/>
    <w:rsid w:val="4BA25ADB"/>
    <w:rsid w:val="4BBD6990"/>
    <w:rsid w:val="4BC72D95"/>
    <w:rsid w:val="4BC8298A"/>
    <w:rsid w:val="4BD032DB"/>
    <w:rsid w:val="4BDF193C"/>
    <w:rsid w:val="4BE01608"/>
    <w:rsid w:val="4BE24E41"/>
    <w:rsid w:val="4BE65461"/>
    <w:rsid w:val="4C07495D"/>
    <w:rsid w:val="4C407841"/>
    <w:rsid w:val="4C731A4B"/>
    <w:rsid w:val="4CB35E8B"/>
    <w:rsid w:val="4CC7209A"/>
    <w:rsid w:val="4D110BD2"/>
    <w:rsid w:val="4D123B4A"/>
    <w:rsid w:val="4D3D3D41"/>
    <w:rsid w:val="4D8F5AD4"/>
    <w:rsid w:val="4DA23ED3"/>
    <w:rsid w:val="4E30637C"/>
    <w:rsid w:val="4E531211"/>
    <w:rsid w:val="4E6272FF"/>
    <w:rsid w:val="4E7409F6"/>
    <w:rsid w:val="4E836345"/>
    <w:rsid w:val="4E8A1BD3"/>
    <w:rsid w:val="4E991EB4"/>
    <w:rsid w:val="4EA331C8"/>
    <w:rsid w:val="4EA77F02"/>
    <w:rsid w:val="4F1D4680"/>
    <w:rsid w:val="4F584350"/>
    <w:rsid w:val="4F6201FC"/>
    <w:rsid w:val="4FA37BB1"/>
    <w:rsid w:val="4FC8067B"/>
    <w:rsid w:val="4FEA47B3"/>
    <w:rsid w:val="4FEB5A09"/>
    <w:rsid w:val="4FF93690"/>
    <w:rsid w:val="50591CBD"/>
    <w:rsid w:val="50665D02"/>
    <w:rsid w:val="50767501"/>
    <w:rsid w:val="507E419A"/>
    <w:rsid w:val="509E1522"/>
    <w:rsid w:val="50A47DB1"/>
    <w:rsid w:val="50BC6AD5"/>
    <w:rsid w:val="50D33F90"/>
    <w:rsid w:val="50D432C9"/>
    <w:rsid w:val="50DC50D8"/>
    <w:rsid w:val="50EC631F"/>
    <w:rsid w:val="50FB0887"/>
    <w:rsid w:val="50FD5126"/>
    <w:rsid w:val="510B46C0"/>
    <w:rsid w:val="513940B8"/>
    <w:rsid w:val="51F0037B"/>
    <w:rsid w:val="5217691C"/>
    <w:rsid w:val="521D0FC3"/>
    <w:rsid w:val="524C1EF6"/>
    <w:rsid w:val="529B7647"/>
    <w:rsid w:val="529C2335"/>
    <w:rsid w:val="52AD79B5"/>
    <w:rsid w:val="52C058D7"/>
    <w:rsid w:val="52F66364"/>
    <w:rsid w:val="530B4323"/>
    <w:rsid w:val="532D5321"/>
    <w:rsid w:val="53511372"/>
    <w:rsid w:val="53685562"/>
    <w:rsid w:val="53975F38"/>
    <w:rsid w:val="53B66105"/>
    <w:rsid w:val="53B74616"/>
    <w:rsid w:val="53C46FFC"/>
    <w:rsid w:val="53E933C6"/>
    <w:rsid w:val="53ED4C3D"/>
    <w:rsid w:val="53F4743C"/>
    <w:rsid w:val="53FD029B"/>
    <w:rsid w:val="53FF492A"/>
    <w:rsid w:val="540F391A"/>
    <w:rsid w:val="543A1E06"/>
    <w:rsid w:val="544133E2"/>
    <w:rsid w:val="544C45A3"/>
    <w:rsid w:val="54596730"/>
    <w:rsid w:val="546A01ED"/>
    <w:rsid w:val="546E4801"/>
    <w:rsid w:val="548779D4"/>
    <w:rsid w:val="54945563"/>
    <w:rsid w:val="54C03049"/>
    <w:rsid w:val="54C808C1"/>
    <w:rsid w:val="54F076AE"/>
    <w:rsid w:val="5507406B"/>
    <w:rsid w:val="55203EE0"/>
    <w:rsid w:val="552E3C55"/>
    <w:rsid w:val="55503FD9"/>
    <w:rsid w:val="55560A9D"/>
    <w:rsid w:val="556B33CA"/>
    <w:rsid w:val="55846554"/>
    <w:rsid w:val="55B215CB"/>
    <w:rsid w:val="55BC1804"/>
    <w:rsid w:val="56004372"/>
    <w:rsid w:val="561512E2"/>
    <w:rsid w:val="5667542A"/>
    <w:rsid w:val="56935FC5"/>
    <w:rsid w:val="56BD5DCA"/>
    <w:rsid w:val="56D31E62"/>
    <w:rsid w:val="56D8109D"/>
    <w:rsid w:val="56DD6522"/>
    <w:rsid w:val="56F00607"/>
    <w:rsid w:val="571142E7"/>
    <w:rsid w:val="5729447A"/>
    <w:rsid w:val="57506FC9"/>
    <w:rsid w:val="57850558"/>
    <w:rsid w:val="57934B62"/>
    <w:rsid w:val="57973429"/>
    <w:rsid w:val="57BF13A7"/>
    <w:rsid w:val="57D47486"/>
    <w:rsid w:val="57DF41EB"/>
    <w:rsid w:val="57ED70BD"/>
    <w:rsid w:val="580F0CB1"/>
    <w:rsid w:val="583753A8"/>
    <w:rsid w:val="58503DE7"/>
    <w:rsid w:val="586A3E5D"/>
    <w:rsid w:val="58846AA6"/>
    <w:rsid w:val="5886085C"/>
    <w:rsid w:val="588C502F"/>
    <w:rsid w:val="588E6FF5"/>
    <w:rsid w:val="58B73A25"/>
    <w:rsid w:val="58C31F74"/>
    <w:rsid w:val="58F5562B"/>
    <w:rsid w:val="59054519"/>
    <w:rsid w:val="59075F24"/>
    <w:rsid w:val="5914264C"/>
    <w:rsid w:val="59376914"/>
    <w:rsid w:val="593C5A58"/>
    <w:rsid w:val="59411BBE"/>
    <w:rsid w:val="595014EE"/>
    <w:rsid w:val="5961382A"/>
    <w:rsid w:val="598002BB"/>
    <w:rsid w:val="59815A4A"/>
    <w:rsid w:val="59F40CA9"/>
    <w:rsid w:val="5A067D5F"/>
    <w:rsid w:val="5A11105F"/>
    <w:rsid w:val="5A187725"/>
    <w:rsid w:val="5A1F26DD"/>
    <w:rsid w:val="5A2055FA"/>
    <w:rsid w:val="5A4209DB"/>
    <w:rsid w:val="5A490FF5"/>
    <w:rsid w:val="5A4A7550"/>
    <w:rsid w:val="5A8C332D"/>
    <w:rsid w:val="5AA53D1D"/>
    <w:rsid w:val="5ABD7D7E"/>
    <w:rsid w:val="5ACB2232"/>
    <w:rsid w:val="5B2630E4"/>
    <w:rsid w:val="5B8342DA"/>
    <w:rsid w:val="5B8F2A37"/>
    <w:rsid w:val="5B9C35FC"/>
    <w:rsid w:val="5BF306CD"/>
    <w:rsid w:val="5BF821E3"/>
    <w:rsid w:val="5C7502BA"/>
    <w:rsid w:val="5C7C5F20"/>
    <w:rsid w:val="5C835FBF"/>
    <w:rsid w:val="5C877BB2"/>
    <w:rsid w:val="5CDC7EFE"/>
    <w:rsid w:val="5CE46921"/>
    <w:rsid w:val="5D6027F4"/>
    <w:rsid w:val="5D615CFC"/>
    <w:rsid w:val="5D8B5480"/>
    <w:rsid w:val="5DB663A5"/>
    <w:rsid w:val="5DE81CCB"/>
    <w:rsid w:val="5E3B3AD3"/>
    <w:rsid w:val="5E4A076D"/>
    <w:rsid w:val="5E590DDF"/>
    <w:rsid w:val="5E675216"/>
    <w:rsid w:val="5EA52572"/>
    <w:rsid w:val="5EAF108E"/>
    <w:rsid w:val="5EC57CE7"/>
    <w:rsid w:val="5ECF4011"/>
    <w:rsid w:val="5ED9574B"/>
    <w:rsid w:val="5EE237C6"/>
    <w:rsid w:val="5EE83621"/>
    <w:rsid w:val="5EE96F88"/>
    <w:rsid w:val="5EEE344A"/>
    <w:rsid w:val="5F090B4D"/>
    <w:rsid w:val="5F2A4D32"/>
    <w:rsid w:val="5F453584"/>
    <w:rsid w:val="5F986776"/>
    <w:rsid w:val="5FA77A1A"/>
    <w:rsid w:val="5FC05E02"/>
    <w:rsid w:val="5FC70086"/>
    <w:rsid w:val="5FD537CF"/>
    <w:rsid w:val="5FDB3173"/>
    <w:rsid w:val="5FF07E98"/>
    <w:rsid w:val="60116800"/>
    <w:rsid w:val="602224A2"/>
    <w:rsid w:val="60471B32"/>
    <w:rsid w:val="60B75FDB"/>
    <w:rsid w:val="60D62077"/>
    <w:rsid w:val="60F257CD"/>
    <w:rsid w:val="60F77BE1"/>
    <w:rsid w:val="61002BE4"/>
    <w:rsid w:val="611514D2"/>
    <w:rsid w:val="61193F48"/>
    <w:rsid w:val="613227E3"/>
    <w:rsid w:val="61407821"/>
    <w:rsid w:val="61927C78"/>
    <w:rsid w:val="6194446E"/>
    <w:rsid w:val="61AC7260"/>
    <w:rsid w:val="61B97615"/>
    <w:rsid w:val="61E45980"/>
    <w:rsid w:val="61FA4033"/>
    <w:rsid w:val="6200468F"/>
    <w:rsid w:val="6238469E"/>
    <w:rsid w:val="627E3805"/>
    <w:rsid w:val="62906D3B"/>
    <w:rsid w:val="62990D5C"/>
    <w:rsid w:val="62AA50ED"/>
    <w:rsid w:val="62C430D7"/>
    <w:rsid w:val="62DC2626"/>
    <w:rsid w:val="62E57320"/>
    <w:rsid w:val="63182D7C"/>
    <w:rsid w:val="63414B82"/>
    <w:rsid w:val="636A6888"/>
    <w:rsid w:val="636B4E7E"/>
    <w:rsid w:val="639D2AF3"/>
    <w:rsid w:val="639E1A2D"/>
    <w:rsid w:val="63A6102E"/>
    <w:rsid w:val="63DC0116"/>
    <w:rsid w:val="64296F31"/>
    <w:rsid w:val="642B5CE3"/>
    <w:rsid w:val="64343B2F"/>
    <w:rsid w:val="64416969"/>
    <w:rsid w:val="64484206"/>
    <w:rsid w:val="64532635"/>
    <w:rsid w:val="645F26AE"/>
    <w:rsid w:val="64AB3952"/>
    <w:rsid w:val="64B833BB"/>
    <w:rsid w:val="64BD40BE"/>
    <w:rsid w:val="64C54ACB"/>
    <w:rsid w:val="64CC78D4"/>
    <w:rsid w:val="64CD3DE2"/>
    <w:rsid w:val="64D4595F"/>
    <w:rsid w:val="64E42419"/>
    <w:rsid w:val="64ED04B4"/>
    <w:rsid w:val="653537D6"/>
    <w:rsid w:val="65373941"/>
    <w:rsid w:val="657A2B2F"/>
    <w:rsid w:val="659226F4"/>
    <w:rsid w:val="65A52198"/>
    <w:rsid w:val="65BF65B2"/>
    <w:rsid w:val="65D8147F"/>
    <w:rsid w:val="65E50102"/>
    <w:rsid w:val="65E511C7"/>
    <w:rsid w:val="65F26C70"/>
    <w:rsid w:val="66040BB8"/>
    <w:rsid w:val="663002D4"/>
    <w:rsid w:val="66713C35"/>
    <w:rsid w:val="66770C98"/>
    <w:rsid w:val="6689508B"/>
    <w:rsid w:val="66964A23"/>
    <w:rsid w:val="669953F2"/>
    <w:rsid w:val="66DF38B6"/>
    <w:rsid w:val="672A1A1E"/>
    <w:rsid w:val="67465F35"/>
    <w:rsid w:val="676B56DD"/>
    <w:rsid w:val="677E239F"/>
    <w:rsid w:val="67CA4B20"/>
    <w:rsid w:val="67F000D7"/>
    <w:rsid w:val="67F71035"/>
    <w:rsid w:val="681E1E7A"/>
    <w:rsid w:val="686B2E45"/>
    <w:rsid w:val="68794F3C"/>
    <w:rsid w:val="688C1635"/>
    <w:rsid w:val="68C42E27"/>
    <w:rsid w:val="68D25B9F"/>
    <w:rsid w:val="68D53754"/>
    <w:rsid w:val="6902263E"/>
    <w:rsid w:val="691655E5"/>
    <w:rsid w:val="6953050C"/>
    <w:rsid w:val="696077C1"/>
    <w:rsid w:val="697F058F"/>
    <w:rsid w:val="69824CEF"/>
    <w:rsid w:val="699558A5"/>
    <w:rsid w:val="69CC5E2C"/>
    <w:rsid w:val="69DF43A6"/>
    <w:rsid w:val="69E86162"/>
    <w:rsid w:val="69EF6AFC"/>
    <w:rsid w:val="6A5D677E"/>
    <w:rsid w:val="6A86594D"/>
    <w:rsid w:val="6A88179D"/>
    <w:rsid w:val="6A8B10FD"/>
    <w:rsid w:val="6AAA7BB9"/>
    <w:rsid w:val="6AB81ABD"/>
    <w:rsid w:val="6AC0225E"/>
    <w:rsid w:val="6ACA6F45"/>
    <w:rsid w:val="6AD94ED8"/>
    <w:rsid w:val="6ADB198A"/>
    <w:rsid w:val="6AEA0E92"/>
    <w:rsid w:val="6AEB5F43"/>
    <w:rsid w:val="6AF421AC"/>
    <w:rsid w:val="6B131EF6"/>
    <w:rsid w:val="6B1F61CC"/>
    <w:rsid w:val="6B266785"/>
    <w:rsid w:val="6B266E76"/>
    <w:rsid w:val="6B374265"/>
    <w:rsid w:val="6B46061D"/>
    <w:rsid w:val="6B4A6BD9"/>
    <w:rsid w:val="6B5B4528"/>
    <w:rsid w:val="6B7127AE"/>
    <w:rsid w:val="6B905367"/>
    <w:rsid w:val="6B9320D0"/>
    <w:rsid w:val="6B9B3B23"/>
    <w:rsid w:val="6BDE0813"/>
    <w:rsid w:val="6BE53461"/>
    <w:rsid w:val="6BEC4AE7"/>
    <w:rsid w:val="6C095EA7"/>
    <w:rsid w:val="6C0C297A"/>
    <w:rsid w:val="6C11007B"/>
    <w:rsid w:val="6C1F4622"/>
    <w:rsid w:val="6C3F18BA"/>
    <w:rsid w:val="6C5F126B"/>
    <w:rsid w:val="6C7661F7"/>
    <w:rsid w:val="6C974856"/>
    <w:rsid w:val="6CDE116F"/>
    <w:rsid w:val="6CF272CA"/>
    <w:rsid w:val="6D0F6FD5"/>
    <w:rsid w:val="6D160362"/>
    <w:rsid w:val="6D21117E"/>
    <w:rsid w:val="6D2D0624"/>
    <w:rsid w:val="6D584566"/>
    <w:rsid w:val="6D6A6EB1"/>
    <w:rsid w:val="6D6F0005"/>
    <w:rsid w:val="6D71236F"/>
    <w:rsid w:val="6DA31ADE"/>
    <w:rsid w:val="6DA61A6C"/>
    <w:rsid w:val="6DB314F4"/>
    <w:rsid w:val="6DBD1C9B"/>
    <w:rsid w:val="6DD93FE6"/>
    <w:rsid w:val="6DF350A8"/>
    <w:rsid w:val="6DFF1732"/>
    <w:rsid w:val="6E437785"/>
    <w:rsid w:val="6E773D80"/>
    <w:rsid w:val="6E9053FD"/>
    <w:rsid w:val="6EA834A0"/>
    <w:rsid w:val="6EB1667F"/>
    <w:rsid w:val="6EDF2946"/>
    <w:rsid w:val="6EE53805"/>
    <w:rsid w:val="6EFD4493"/>
    <w:rsid w:val="6F0D2199"/>
    <w:rsid w:val="6F2A2D4B"/>
    <w:rsid w:val="6F357DDA"/>
    <w:rsid w:val="6F784650"/>
    <w:rsid w:val="6F7E4F4F"/>
    <w:rsid w:val="6F8464EB"/>
    <w:rsid w:val="6FB34B3E"/>
    <w:rsid w:val="6FFC584D"/>
    <w:rsid w:val="7004098B"/>
    <w:rsid w:val="7022300E"/>
    <w:rsid w:val="703419A7"/>
    <w:rsid w:val="70372271"/>
    <w:rsid w:val="70A5092B"/>
    <w:rsid w:val="70AC02DD"/>
    <w:rsid w:val="70B11315"/>
    <w:rsid w:val="70B531E3"/>
    <w:rsid w:val="70BC3C4E"/>
    <w:rsid w:val="70E04D4E"/>
    <w:rsid w:val="70E06EE4"/>
    <w:rsid w:val="70FA674D"/>
    <w:rsid w:val="71134338"/>
    <w:rsid w:val="711807F2"/>
    <w:rsid w:val="71282442"/>
    <w:rsid w:val="713742F4"/>
    <w:rsid w:val="713F3304"/>
    <w:rsid w:val="715F7085"/>
    <w:rsid w:val="71724B49"/>
    <w:rsid w:val="718A2445"/>
    <w:rsid w:val="71922EE9"/>
    <w:rsid w:val="719D2BCC"/>
    <w:rsid w:val="71C57C05"/>
    <w:rsid w:val="71E12B43"/>
    <w:rsid w:val="71E424F7"/>
    <w:rsid w:val="71E713A5"/>
    <w:rsid w:val="71FE226D"/>
    <w:rsid w:val="7212068C"/>
    <w:rsid w:val="72347284"/>
    <w:rsid w:val="726758D0"/>
    <w:rsid w:val="72704323"/>
    <w:rsid w:val="72847A2A"/>
    <w:rsid w:val="72987AB4"/>
    <w:rsid w:val="72A35D30"/>
    <w:rsid w:val="72CB161F"/>
    <w:rsid w:val="72D35F87"/>
    <w:rsid w:val="72DE7F25"/>
    <w:rsid w:val="72F34940"/>
    <w:rsid w:val="73064471"/>
    <w:rsid w:val="730B79D6"/>
    <w:rsid w:val="73165713"/>
    <w:rsid w:val="733028FA"/>
    <w:rsid w:val="735477E2"/>
    <w:rsid w:val="736D604E"/>
    <w:rsid w:val="737E3CB6"/>
    <w:rsid w:val="73A03009"/>
    <w:rsid w:val="73A03D9F"/>
    <w:rsid w:val="73A263E1"/>
    <w:rsid w:val="73B44CAE"/>
    <w:rsid w:val="73BA4E1E"/>
    <w:rsid w:val="73C12E92"/>
    <w:rsid w:val="73D2575F"/>
    <w:rsid w:val="73D51CFF"/>
    <w:rsid w:val="73E60253"/>
    <w:rsid w:val="73EA5AF7"/>
    <w:rsid w:val="740638BC"/>
    <w:rsid w:val="74334064"/>
    <w:rsid w:val="74477445"/>
    <w:rsid w:val="747263BA"/>
    <w:rsid w:val="748A3616"/>
    <w:rsid w:val="74A23383"/>
    <w:rsid w:val="74B80631"/>
    <w:rsid w:val="7508289D"/>
    <w:rsid w:val="750A53F5"/>
    <w:rsid w:val="751924A8"/>
    <w:rsid w:val="751D0B1E"/>
    <w:rsid w:val="752452F3"/>
    <w:rsid w:val="753F48C2"/>
    <w:rsid w:val="75483F70"/>
    <w:rsid w:val="75782E4C"/>
    <w:rsid w:val="7589486C"/>
    <w:rsid w:val="75F663E5"/>
    <w:rsid w:val="76011917"/>
    <w:rsid w:val="760D1365"/>
    <w:rsid w:val="761608DF"/>
    <w:rsid w:val="761E79A2"/>
    <w:rsid w:val="762D50CD"/>
    <w:rsid w:val="7641052A"/>
    <w:rsid w:val="764B26FE"/>
    <w:rsid w:val="764D619F"/>
    <w:rsid w:val="76BB169E"/>
    <w:rsid w:val="76BB286B"/>
    <w:rsid w:val="76DB4D37"/>
    <w:rsid w:val="76DB5B2B"/>
    <w:rsid w:val="76E41895"/>
    <w:rsid w:val="76F90BDF"/>
    <w:rsid w:val="77077CCC"/>
    <w:rsid w:val="770A6702"/>
    <w:rsid w:val="77106CCA"/>
    <w:rsid w:val="773520FB"/>
    <w:rsid w:val="773D6FCC"/>
    <w:rsid w:val="77443098"/>
    <w:rsid w:val="776313F3"/>
    <w:rsid w:val="7772528F"/>
    <w:rsid w:val="77A4212C"/>
    <w:rsid w:val="77A771D4"/>
    <w:rsid w:val="77B27C39"/>
    <w:rsid w:val="77C25C6A"/>
    <w:rsid w:val="77C846BB"/>
    <w:rsid w:val="77E42159"/>
    <w:rsid w:val="77FF064F"/>
    <w:rsid w:val="782011A6"/>
    <w:rsid w:val="7829326F"/>
    <w:rsid w:val="785E3012"/>
    <w:rsid w:val="78611F5E"/>
    <w:rsid w:val="78976D25"/>
    <w:rsid w:val="78A4141D"/>
    <w:rsid w:val="78C7160B"/>
    <w:rsid w:val="78F52018"/>
    <w:rsid w:val="790C7168"/>
    <w:rsid w:val="794B05EF"/>
    <w:rsid w:val="79830B41"/>
    <w:rsid w:val="799A2643"/>
    <w:rsid w:val="79D60607"/>
    <w:rsid w:val="79E71A62"/>
    <w:rsid w:val="7A195E96"/>
    <w:rsid w:val="7A1E7001"/>
    <w:rsid w:val="7A2C4FAF"/>
    <w:rsid w:val="7A3F6D80"/>
    <w:rsid w:val="7A491AA7"/>
    <w:rsid w:val="7A532593"/>
    <w:rsid w:val="7A5A2DC8"/>
    <w:rsid w:val="7A645D3A"/>
    <w:rsid w:val="7A884DCA"/>
    <w:rsid w:val="7A9814B1"/>
    <w:rsid w:val="7AE34018"/>
    <w:rsid w:val="7B093D2C"/>
    <w:rsid w:val="7B141984"/>
    <w:rsid w:val="7B2A5E81"/>
    <w:rsid w:val="7B3F679B"/>
    <w:rsid w:val="7B6F0753"/>
    <w:rsid w:val="7B7E6290"/>
    <w:rsid w:val="7B90453B"/>
    <w:rsid w:val="7B952009"/>
    <w:rsid w:val="7BBA717E"/>
    <w:rsid w:val="7BF23A4F"/>
    <w:rsid w:val="7BFA24A7"/>
    <w:rsid w:val="7C122F23"/>
    <w:rsid w:val="7C17561A"/>
    <w:rsid w:val="7C220CF8"/>
    <w:rsid w:val="7C2441B3"/>
    <w:rsid w:val="7C2A0F9C"/>
    <w:rsid w:val="7C3E6A61"/>
    <w:rsid w:val="7C6201EE"/>
    <w:rsid w:val="7C69797B"/>
    <w:rsid w:val="7C7E03C1"/>
    <w:rsid w:val="7C9A0D0C"/>
    <w:rsid w:val="7CCE7DC9"/>
    <w:rsid w:val="7CF73A06"/>
    <w:rsid w:val="7D025A67"/>
    <w:rsid w:val="7D314B7B"/>
    <w:rsid w:val="7D4A7579"/>
    <w:rsid w:val="7D5771B8"/>
    <w:rsid w:val="7D9C1611"/>
    <w:rsid w:val="7D9D3963"/>
    <w:rsid w:val="7DBF0B02"/>
    <w:rsid w:val="7E062BD5"/>
    <w:rsid w:val="7E117E12"/>
    <w:rsid w:val="7E191B65"/>
    <w:rsid w:val="7E450902"/>
    <w:rsid w:val="7E486D4A"/>
    <w:rsid w:val="7E886DEF"/>
    <w:rsid w:val="7E893C95"/>
    <w:rsid w:val="7EB118E6"/>
    <w:rsid w:val="7EC7247F"/>
    <w:rsid w:val="7EF401A0"/>
    <w:rsid w:val="7F1C6715"/>
    <w:rsid w:val="7F1D3E12"/>
    <w:rsid w:val="7F27546F"/>
    <w:rsid w:val="7F3723EF"/>
    <w:rsid w:val="7F56640E"/>
    <w:rsid w:val="7F623E3B"/>
    <w:rsid w:val="7F7B0DC0"/>
    <w:rsid w:val="7F8A3392"/>
    <w:rsid w:val="7F9549DB"/>
    <w:rsid w:val="7FE508C3"/>
    <w:rsid w:val="7FF24D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64"/>
    <w:qFormat/>
    <w:uiPriority w:val="99"/>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5"/>
    <w:qFormat/>
    <w:uiPriority w:val="99"/>
    <w:pPr>
      <w:keepNext/>
      <w:keepLines/>
      <w:spacing w:before="260" w:after="260" w:line="415" w:lineRule="auto"/>
      <w:outlineLvl w:val="2"/>
    </w:pPr>
    <w:rPr>
      <w:b/>
      <w:bCs/>
      <w:sz w:val="32"/>
      <w:szCs w:val="32"/>
    </w:rPr>
  </w:style>
  <w:style w:type="paragraph" w:styleId="7">
    <w:name w:val="heading 4"/>
    <w:basedOn w:val="1"/>
    <w:next w:val="1"/>
    <w:link w:val="66"/>
    <w:qFormat/>
    <w:uiPriority w:val="99"/>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7"/>
    <w:qFormat/>
    <w:uiPriority w:val="99"/>
    <w:pPr>
      <w:keepNext/>
      <w:keepLines/>
      <w:spacing w:before="280" w:after="290" w:line="374" w:lineRule="auto"/>
      <w:outlineLvl w:val="4"/>
    </w:pPr>
    <w:rPr>
      <w:b/>
      <w:bCs/>
      <w:sz w:val="28"/>
      <w:szCs w:val="28"/>
    </w:rPr>
  </w:style>
  <w:style w:type="paragraph" w:styleId="9">
    <w:name w:val="heading 6"/>
    <w:basedOn w:val="1"/>
    <w:next w:val="1"/>
    <w:link w:val="68"/>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69"/>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70"/>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71"/>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5"/>
    <w:qFormat/>
    <w:uiPriority w:val="99"/>
    <w:pPr>
      <w:spacing w:after="120"/>
    </w:pPr>
  </w:style>
  <w:style w:type="paragraph" w:customStyle="1" w:styleId="3">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13">
    <w:name w:val="toc 7"/>
    <w:basedOn w:val="1"/>
    <w:next w:val="1"/>
    <w:qFormat/>
    <w:uiPriority w:val="99"/>
    <w:pPr>
      <w:ind w:left="2520" w:leftChars="1200"/>
    </w:pPr>
  </w:style>
  <w:style w:type="paragraph" w:styleId="14">
    <w:name w:val="Normal Indent"/>
    <w:basedOn w:val="1"/>
    <w:next w:val="15"/>
    <w:qFormat/>
    <w:uiPriority w:val="99"/>
    <w:pPr>
      <w:ind w:firstLine="420" w:firstLineChars="200"/>
    </w:pPr>
  </w:style>
  <w:style w:type="paragraph" w:styleId="15">
    <w:name w:val="toc 4"/>
    <w:basedOn w:val="1"/>
    <w:next w:val="1"/>
    <w:qFormat/>
    <w:uiPriority w:val="99"/>
    <w:pPr>
      <w:ind w:left="1260" w:leftChars="600"/>
    </w:pPr>
  </w:style>
  <w:style w:type="paragraph" w:styleId="16">
    <w:name w:val="Document Map"/>
    <w:basedOn w:val="1"/>
    <w:link w:val="72"/>
    <w:qFormat/>
    <w:uiPriority w:val="99"/>
    <w:pPr>
      <w:shd w:val="clear" w:color="auto" w:fill="000080"/>
    </w:pPr>
  </w:style>
  <w:style w:type="paragraph" w:styleId="17">
    <w:name w:val="annotation text"/>
    <w:basedOn w:val="1"/>
    <w:link w:val="73"/>
    <w:qFormat/>
    <w:uiPriority w:val="99"/>
    <w:pPr>
      <w:adjustRightInd w:val="0"/>
      <w:spacing w:line="360" w:lineRule="atLeast"/>
      <w:jc w:val="left"/>
    </w:pPr>
    <w:rPr>
      <w:kern w:val="0"/>
      <w:sz w:val="24"/>
      <w:szCs w:val="20"/>
    </w:rPr>
  </w:style>
  <w:style w:type="paragraph" w:styleId="18">
    <w:name w:val="Body Text 3"/>
    <w:basedOn w:val="1"/>
    <w:link w:val="74"/>
    <w:qFormat/>
    <w:uiPriority w:val="99"/>
    <w:rPr>
      <w:rFonts w:ascii="宋体"/>
      <w:sz w:val="24"/>
      <w:szCs w:val="20"/>
    </w:rPr>
  </w:style>
  <w:style w:type="paragraph" w:styleId="19">
    <w:name w:val="Body Text Indent"/>
    <w:basedOn w:val="1"/>
    <w:link w:val="76"/>
    <w:qFormat/>
    <w:uiPriority w:val="99"/>
    <w:pPr>
      <w:spacing w:line="540" w:lineRule="exact"/>
      <w:ind w:right="210" w:rightChars="100" w:firstLine="719" w:firstLineChars="243"/>
      <w:jc w:val="left"/>
    </w:pPr>
    <w:rPr>
      <w:rFonts w:ascii="仿宋_GB2312" w:eastAsia="仿宋_GB2312"/>
      <w:spacing w:val="-12"/>
      <w:sz w:val="32"/>
    </w:rPr>
  </w:style>
  <w:style w:type="paragraph" w:styleId="20">
    <w:name w:val="Block Text"/>
    <w:basedOn w:val="1"/>
    <w:qFormat/>
    <w:uiPriority w:val="0"/>
    <w:pPr>
      <w:spacing w:after="120"/>
      <w:ind w:left="1440" w:leftChars="700" w:right="700" w:rightChars="700"/>
    </w:pPr>
  </w:style>
  <w:style w:type="paragraph" w:styleId="21">
    <w:name w:val="toc 5"/>
    <w:basedOn w:val="1"/>
    <w:next w:val="1"/>
    <w:qFormat/>
    <w:uiPriority w:val="99"/>
    <w:pPr>
      <w:ind w:left="1680" w:leftChars="800"/>
    </w:pPr>
  </w:style>
  <w:style w:type="paragraph" w:styleId="22">
    <w:name w:val="toc 3"/>
    <w:basedOn w:val="1"/>
    <w:next w:val="1"/>
    <w:qFormat/>
    <w:uiPriority w:val="99"/>
    <w:pPr>
      <w:ind w:left="840" w:leftChars="400"/>
    </w:pPr>
  </w:style>
  <w:style w:type="paragraph" w:styleId="23">
    <w:name w:val="Plain Text"/>
    <w:basedOn w:val="1"/>
    <w:next w:val="1"/>
    <w:link w:val="77"/>
    <w:qFormat/>
    <w:uiPriority w:val="99"/>
    <w:rPr>
      <w:rFonts w:ascii="宋体" w:hAnsi="Courier New"/>
      <w:szCs w:val="20"/>
    </w:rPr>
  </w:style>
  <w:style w:type="paragraph" w:styleId="24">
    <w:name w:val="toc 8"/>
    <w:basedOn w:val="1"/>
    <w:next w:val="1"/>
    <w:qFormat/>
    <w:uiPriority w:val="99"/>
    <w:pPr>
      <w:ind w:left="2940" w:leftChars="1400"/>
    </w:pPr>
  </w:style>
  <w:style w:type="paragraph" w:styleId="25">
    <w:name w:val="Date"/>
    <w:basedOn w:val="1"/>
    <w:next w:val="1"/>
    <w:link w:val="78"/>
    <w:qFormat/>
    <w:uiPriority w:val="99"/>
    <w:rPr>
      <w:rFonts w:ascii="宋体" w:hAnsi="宋体"/>
      <w:sz w:val="24"/>
      <w:szCs w:val="20"/>
    </w:rPr>
  </w:style>
  <w:style w:type="paragraph" w:styleId="26">
    <w:name w:val="Body Text Indent 2"/>
    <w:basedOn w:val="1"/>
    <w:link w:val="79"/>
    <w:qFormat/>
    <w:uiPriority w:val="99"/>
    <w:pPr>
      <w:spacing w:after="120" w:line="480" w:lineRule="auto"/>
      <w:ind w:left="420" w:leftChars="200"/>
    </w:pPr>
    <w:rPr>
      <w:szCs w:val="20"/>
    </w:rPr>
  </w:style>
  <w:style w:type="paragraph" w:styleId="27">
    <w:name w:val="endnote text"/>
    <w:basedOn w:val="1"/>
    <w:link w:val="80"/>
    <w:qFormat/>
    <w:uiPriority w:val="99"/>
    <w:pPr>
      <w:snapToGrid w:val="0"/>
    </w:pPr>
    <w:rPr>
      <w:szCs w:val="20"/>
    </w:rPr>
  </w:style>
  <w:style w:type="paragraph" w:styleId="28">
    <w:name w:val="Balloon Text"/>
    <w:basedOn w:val="1"/>
    <w:link w:val="81"/>
    <w:qFormat/>
    <w:uiPriority w:val="99"/>
    <w:rPr>
      <w:sz w:val="18"/>
      <w:szCs w:val="18"/>
    </w:rPr>
  </w:style>
  <w:style w:type="paragraph" w:styleId="29">
    <w:name w:val="footer"/>
    <w:basedOn w:val="1"/>
    <w:next w:val="2"/>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99"/>
    <w:pPr>
      <w:tabs>
        <w:tab w:val="right" w:leader="dot" w:pos="8820"/>
      </w:tabs>
      <w:spacing w:line="440" w:lineRule="exact"/>
    </w:pPr>
  </w:style>
  <w:style w:type="paragraph" w:styleId="32">
    <w:name w:val="toc 6"/>
    <w:basedOn w:val="1"/>
    <w:next w:val="1"/>
    <w:qFormat/>
    <w:uiPriority w:val="99"/>
    <w:pPr>
      <w:ind w:left="2100" w:leftChars="1000"/>
    </w:pPr>
  </w:style>
  <w:style w:type="paragraph" w:styleId="33">
    <w:name w:val="Body Text Indent 3"/>
    <w:basedOn w:val="1"/>
    <w:link w:val="84"/>
    <w:qFormat/>
    <w:uiPriority w:val="99"/>
    <w:pPr>
      <w:spacing w:after="120"/>
      <w:ind w:left="420" w:leftChars="200"/>
    </w:pPr>
    <w:rPr>
      <w:sz w:val="16"/>
      <w:szCs w:val="16"/>
    </w:rPr>
  </w:style>
  <w:style w:type="paragraph" w:styleId="34">
    <w:name w:val="toc 2"/>
    <w:basedOn w:val="1"/>
    <w:next w:val="1"/>
    <w:qFormat/>
    <w:uiPriority w:val="99"/>
    <w:pPr>
      <w:tabs>
        <w:tab w:val="right" w:leader="dot" w:pos="8834"/>
      </w:tabs>
      <w:spacing w:line="360" w:lineRule="auto"/>
      <w:ind w:left="420" w:leftChars="200"/>
    </w:pPr>
  </w:style>
  <w:style w:type="paragraph" w:styleId="35">
    <w:name w:val="toc 9"/>
    <w:basedOn w:val="1"/>
    <w:next w:val="1"/>
    <w:qFormat/>
    <w:uiPriority w:val="99"/>
    <w:pPr>
      <w:ind w:left="3360" w:leftChars="1600"/>
    </w:pPr>
  </w:style>
  <w:style w:type="paragraph" w:styleId="36">
    <w:name w:val="Body Text 2"/>
    <w:basedOn w:val="1"/>
    <w:link w:val="85"/>
    <w:qFormat/>
    <w:uiPriority w:val="99"/>
    <w:rPr>
      <w:rFonts w:ascii="楷体_GB2312" w:eastAsia="楷体_GB2312"/>
      <w:b/>
      <w:sz w:val="32"/>
      <w:szCs w:val="20"/>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index 1"/>
    <w:basedOn w:val="1"/>
    <w:next w:val="1"/>
    <w:qFormat/>
    <w:uiPriority w:val="99"/>
    <w:pPr>
      <w:spacing w:line="220" w:lineRule="exact"/>
      <w:jc w:val="center"/>
    </w:pPr>
    <w:rPr>
      <w:rFonts w:ascii="仿宋_GB2312" w:eastAsia="仿宋_GB2312"/>
      <w:szCs w:val="21"/>
    </w:rPr>
  </w:style>
  <w:style w:type="paragraph" w:styleId="39">
    <w:name w:val="Title"/>
    <w:basedOn w:val="1"/>
    <w:next w:val="1"/>
    <w:link w:val="86"/>
    <w:qFormat/>
    <w:uiPriority w:val="99"/>
    <w:pPr>
      <w:adjustRightInd w:val="0"/>
      <w:spacing w:before="240" w:after="60" w:line="420" w:lineRule="atLeast"/>
      <w:jc w:val="center"/>
      <w:outlineLvl w:val="0"/>
    </w:pPr>
    <w:rPr>
      <w:rFonts w:ascii="Arial" w:hAnsi="Arial" w:cs="Arial"/>
      <w:b/>
      <w:kern w:val="0"/>
      <w:sz w:val="32"/>
      <w:szCs w:val="20"/>
    </w:rPr>
  </w:style>
  <w:style w:type="paragraph" w:styleId="40">
    <w:name w:val="annotation subject"/>
    <w:basedOn w:val="17"/>
    <w:next w:val="17"/>
    <w:link w:val="122"/>
    <w:qFormat/>
    <w:uiPriority w:val="0"/>
    <w:pPr>
      <w:adjustRightInd/>
      <w:spacing w:line="240" w:lineRule="auto"/>
    </w:pPr>
    <w:rPr>
      <w:b/>
      <w:bCs/>
      <w:kern w:val="2"/>
      <w:sz w:val="21"/>
      <w:szCs w:val="24"/>
    </w:rPr>
  </w:style>
  <w:style w:type="paragraph" w:styleId="41">
    <w:name w:val="Body Text First Indent"/>
    <w:basedOn w:val="2"/>
    <w:next w:val="42"/>
    <w:qFormat/>
    <w:uiPriority w:val="0"/>
    <w:pPr>
      <w:widowControl/>
      <w:ind w:firstLine="420" w:firstLineChars="100"/>
    </w:pPr>
    <w:rPr>
      <w:sz w:val="28"/>
    </w:rPr>
  </w:style>
  <w:style w:type="paragraph" w:styleId="42">
    <w:name w:val="Body Text First Indent 2"/>
    <w:basedOn w:val="19"/>
    <w:next w:val="41"/>
    <w:unhideWhenUsed/>
    <w:qFormat/>
    <w:uiPriority w:val="99"/>
    <w:pPr>
      <w:spacing w:after="120" w:afterLines="0" w:line="324" w:lineRule="auto"/>
      <w:ind w:left="420" w:leftChars="200" w:firstLine="420"/>
    </w:pPr>
    <w:rPr>
      <w:rFonts w:ascii="Times New Roman" w:hAnsi="Times New Roman"/>
      <w:sz w:val="21"/>
    </w:rPr>
  </w:style>
  <w:style w:type="table" w:styleId="44">
    <w:name w:val="Table Grid"/>
    <w:basedOn w:val="43"/>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locked/>
    <w:uiPriority w:val="22"/>
    <w:rPr>
      <w:b/>
      <w:bCs/>
    </w:rPr>
  </w:style>
  <w:style w:type="character" w:styleId="47">
    <w:name w:val="page number"/>
    <w:basedOn w:val="45"/>
    <w:qFormat/>
    <w:uiPriority w:val="99"/>
    <w:rPr>
      <w:rFonts w:cs="Times New Roman"/>
    </w:rPr>
  </w:style>
  <w:style w:type="character" w:styleId="48">
    <w:name w:val="FollowedHyperlink"/>
    <w:basedOn w:val="45"/>
    <w:qFormat/>
    <w:uiPriority w:val="99"/>
    <w:rPr>
      <w:rFonts w:cs="Times New Roman"/>
      <w:color w:val="800080"/>
      <w:u w:val="single"/>
    </w:rPr>
  </w:style>
  <w:style w:type="character" w:styleId="49">
    <w:name w:val="Emphasis"/>
    <w:basedOn w:val="45"/>
    <w:qFormat/>
    <w:locked/>
    <w:uiPriority w:val="20"/>
  </w:style>
  <w:style w:type="character" w:styleId="50">
    <w:name w:val="HTML Definition"/>
    <w:basedOn w:val="45"/>
    <w:qFormat/>
    <w:uiPriority w:val="0"/>
    <w:rPr>
      <w:i/>
      <w:iCs/>
    </w:rPr>
  </w:style>
  <w:style w:type="character" w:styleId="51">
    <w:name w:val="HTML Typewriter"/>
    <w:basedOn w:val="45"/>
    <w:qFormat/>
    <w:uiPriority w:val="0"/>
    <w:rPr>
      <w:rFonts w:hint="default" w:ascii="monospace" w:hAnsi="monospace" w:eastAsia="monospace" w:cs="monospace"/>
      <w:sz w:val="20"/>
    </w:rPr>
  </w:style>
  <w:style w:type="character" w:styleId="52">
    <w:name w:val="HTML Acronym"/>
    <w:basedOn w:val="45"/>
    <w:qFormat/>
    <w:uiPriority w:val="0"/>
    <w:rPr>
      <w:sz w:val="0"/>
      <w:szCs w:val="0"/>
      <w:bdr w:val="single" w:color="auto" w:sz="2" w:space="0"/>
    </w:rPr>
  </w:style>
  <w:style w:type="character" w:styleId="53">
    <w:name w:val="HTML Variable"/>
    <w:basedOn w:val="45"/>
    <w:qFormat/>
    <w:uiPriority w:val="0"/>
  </w:style>
  <w:style w:type="character" w:styleId="54">
    <w:name w:val="Hyperlink"/>
    <w:basedOn w:val="45"/>
    <w:qFormat/>
    <w:uiPriority w:val="99"/>
    <w:rPr>
      <w:rFonts w:cs="Times New Roman"/>
      <w:color w:val="0000FF"/>
      <w:u w:val="single"/>
    </w:rPr>
  </w:style>
  <w:style w:type="character" w:styleId="55">
    <w:name w:val="HTML Code"/>
    <w:basedOn w:val="45"/>
    <w:qFormat/>
    <w:uiPriority w:val="0"/>
    <w:rPr>
      <w:rFonts w:hint="default" w:ascii="Consolas" w:hAnsi="Consolas" w:eastAsia="Consolas" w:cs="Consolas"/>
      <w:color w:val="C7254E"/>
      <w:sz w:val="21"/>
      <w:szCs w:val="21"/>
      <w:shd w:val="clear" w:color="auto" w:fill="F9F2F4"/>
    </w:rPr>
  </w:style>
  <w:style w:type="character" w:styleId="56">
    <w:name w:val="annotation reference"/>
    <w:basedOn w:val="45"/>
    <w:qFormat/>
    <w:uiPriority w:val="99"/>
    <w:rPr>
      <w:rFonts w:cs="Times New Roman"/>
      <w:sz w:val="21"/>
    </w:rPr>
  </w:style>
  <w:style w:type="character" w:styleId="57">
    <w:name w:val="HTML Cite"/>
    <w:basedOn w:val="45"/>
    <w:qFormat/>
    <w:uiPriority w:val="0"/>
  </w:style>
  <w:style w:type="character" w:styleId="58">
    <w:name w:val="HTML Keyboard"/>
    <w:basedOn w:val="45"/>
    <w:qFormat/>
    <w:uiPriority w:val="0"/>
    <w:rPr>
      <w:rFonts w:ascii="Consolas" w:hAnsi="Consolas" w:eastAsia="Consolas" w:cs="Consolas"/>
      <w:color w:val="FFFFFF"/>
      <w:sz w:val="21"/>
      <w:szCs w:val="21"/>
      <w:shd w:val="clear" w:color="auto" w:fill="333333"/>
    </w:rPr>
  </w:style>
  <w:style w:type="character" w:styleId="59">
    <w:name w:val="HTML Sample"/>
    <w:basedOn w:val="45"/>
    <w:qFormat/>
    <w:uiPriority w:val="0"/>
    <w:rPr>
      <w:rFonts w:hint="default" w:ascii="Consolas" w:hAnsi="Consolas" w:eastAsia="Consolas" w:cs="Consolas"/>
      <w:sz w:val="21"/>
      <w:szCs w:val="21"/>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列出段落1"/>
    <w:basedOn w:val="1"/>
    <w:qFormat/>
    <w:uiPriority w:val="99"/>
    <w:pPr>
      <w:ind w:firstLine="420" w:firstLineChars="200"/>
    </w:pPr>
    <w:rPr>
      <w:rFonts w:ascii="Calibri" w:hAnsi="Calibri"/>
      <w:szCs w:val="22"/>
    </w:rPr>
  </w:style>
  <w:style w:type="paragraph" w:customStyle="1" w:styleId="62">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标题 1 Char"/>
    <w:basedOn w:val="45"/>
    <w:link w:val="4"/>
    <w:qFormat/>
    <w:uiPriority w:val="9"/>
    <w:rPr>
      <w:b/>
      <w:bCs/>
      <w:kern w:val="44"/>
      <w:sz w:val="44"/>
      <w:szCs w:val="44"/>
    </w:rPr>
  </w:style>
  <w:style w:type="character" w:customStyle="1" w:styleId="64">
    <w:name w:val="标题 2 Char"/>
    <w:basedOn w:val="45"/>
    <w:link w:val="5"/>
    <w:qFormat/>
    <w:locked/>
    <w:uiPriority w:val="99"/>
    <w:rPr>
      <w:rFonts w:ascii="Arial" w:hAnsi="Arial" w:eastAsia="黑体"/>
      <w:b/>
      <w:kern w:val="2"/>
      <w:sz w:val="32"/>
      <w:lang w:val="en-US" w:eastAsia="zh-CN"/>
    </w:rPr>
  </w:style>
  <w:style w:type="character" w:customStyle="1" w:styleId="65">
    <w:name w:val="标题 3 Char"/>
    <w:basedOn w:val="45"/>
    <w:link w:val="6"/>
    <w:semiHidden/>
    <w:qFormat/>
    <w:uiPriority w:val="9"/>
    <w:rPr>
      <w:b/>
      <w:bCs/>
      <w:sz w:val="32"/>
      <w:szCs w:val="32"/>
    </w:rPr>
  </w:style>
  <w:style w:type="character" w:customStyle="1" w:styleId="66">
    <w:name w:val="标题 4 Char"/>
    <w:basedOn w:val="45"/>
    <w:link w:val="7"/>
    <w:semiHidden/>
    <w:qFormat/>
    <w:uiPriority w:val="9"/>
    <w:rPr>
      <w:rFonts w:asciiTheme="majorHAnsi" w:hAnsiTheme="majorHAnsi" w:eastAsiaTheme="majorEastAsia" w:cstheme="majorBidi"/>
      <w:b/>
      <w:bCs/>
      <w:sz w:val="28"/>
      <w:szCs w:val="28"/>
    </w:rPr>
  </w:style>
  <w:style w:type="character" w:customStyle="1" w:styleId="67">
    <w:name w:val="标题 5 Char"/>
    <w:basedOn w:val="45"/>
    <w:link w:val="8"/>
    <w:qFormat/>
    <w:locked/>
    <w:uiPriority w:val="99"/>
    <w:rPr>
      <w:rFonts w:eastAsia="宋体"/>
      <w:b/>
      <w:kern w:val="2"/>
      <w:sz w:val="28"/>
      <w:lang w:val="en-US" w:eastAsia="zh-CN"/>
    </w:rPr>
  </w:style>
  <w:style w:type="character" w:customStyle="1" w:styleId="68">
    <w:name w:val="标题 6 Char"/>
    <w:basedOn w:val="45"/>
    <w:link w:val="9"/>
    <w:semiHidden/>
    <w:qFormat/>
    <w:uiPriority w:val="9"/>
    <w:rPr>
      <w:rFonts w:asciiTheme="majorHAnsi" w:hAnsiTheme="majorHAnsi" w:eastAsiaTheme="majorEastAsia" w:cstheme="majorBidi"/>
      <w:b/>
      <w:bCs/>
      <w:sz w:val="24"/>
      <w:szCs w:val="24"/>
    </w:rPr>
  </w:style>
  <w:style w:type="character" w:customStyle="1" w:styleId="69">
    <w:name w:val="标题 7 Char"/>
    <w:basedOn w:val="45"/>
    <w:link w:val="10"/>
    <w:semiHidden/>
    <w:qFormat/>
    <w:uiPriority w:val="9"/>
    <w:rPr>
      <w:b/>
      <w:bCs/>
      <w:sz w:val="24"/>
      <w:szCs w:val="24"/>
    </w:rPr>
  </w:style>
  <w:style w:type="character" w:customStyle="1" w:styleId="70">
    <w:name w:val="标题 8 Char"/>
    <w:basedOn w:val="45"/>
    <w:link w:val="11"/>
    <w:semiHidden/>
    <w:qFormat/>
    <w:uiPriority w:val="9"/>
    <w:rPr>
      <w:rFonts w:asciiTheme="majorHAnsi" w:hAnsiTheme="majorHAnsi" w:eastAsiaTheme="majorEastAsia" w:cstheme="majorBidi"/>
      <w:sz w:val="24"/>
      <w:szCs w:val="24"/>
    </w:rPr>
  </w:style>
  <w:style w:type="character" w:customStyle="1" w:styleId="71">
    <w:name w:val="标题 9 Char"/>
    <w:basedOn w:val="45"/>
    <w:link w:val="12"/>
    <w:semiHidden/>
    <w:qFormat/>
    <w:uiPriority w:val="9"/>
    <w:rPr>
      <w:rFonts w:asciiTheme="majorHAnsi" w:hAnsiTheme="majorHAnsi" w:eastAsiaTheme="majorEastAsia" w:cstheme="majorBidi"/>
      <w:szCs w:val="21"/>
    </w:rPr>
  </w:style>
  <w:style w:type="character" w:customStyle="1" w:styleId="72">
    <w:name w:val="文档结构图 Char"/>
    <w:basedOn w:val="45"/>
    <w:link w:val="16"/>
    <w:semiHidden/>
    <w:qFormat/>
    <w:uiPriority w:val="99"/>
    <w:rPr>
      <w:sz w:val="0"/>
      <w:szCs w:val="0"/>
    </w:rPr>
  </w:style>
  <w:style w:type="character" w:customStyle="1" w:styleId="73">
    <w:name w:val="批注文字 Char"/>
    <w:basedOn w:val="45"/>
    <w:link w:val="17"/>
    <w:semiHidden/>
    <w:qFormat/>
    <w:uiPriority w:val="99"/>
    <w:rPr>
      <w:szCs w:val="24"/>
    </w:rPr>
  </w:style>
  <w:style w:type="character" w:customStyle="1" w:styleId="74">
    <w:name w:val="正文文本 3 Char"/>
    <w:basedOn w:val="45"/>
    <w:link w:val="18"/>
    <w:semiHidden/>
    <w:qFormat/>
    <w:uiPriority w:val="99"/>
    <w:rPr>
      <w:sz w:val="16"/>
      <w:szCs w:val="16"/>
    </w:rPr>
  </w:style>
  <w:style w:type="character" w:customStyle="1" w:styleId="75">
    <w:name w:val="正文文本 Char"/>
    <w:basedOn w:val="45"/>
    <w:link w:val="2"/>
    <w:semiHidden/>
    <w:qFormat/>
    <w:uiPriority w:val="99"/>
    <w:rPr>
      <w:szCs w:val="24"/>
    </w:rPr>
  </w:style>
  <w:style w:type="character" w:customStyle="1" w:styleId="76">
    <w:name w:val="正文文本缩进 Char"/>
    <w:basedOn w:val="45"/>
    <w:link w:val="19"/>
    <w:qFormat/>
    <w:locked/>
    <w:uiPriority w:val="99"/>
    <w:rPr>
      <w:rFonts w:ascii="仿宋_GB2312" w:eastAsia="仿宋_GB2312" w:cs="Times New Roman"/>
      <w:spacing w:val="-12"/>
      <w:kern w:val="2"/>
      <w:sz w:val="24"/>
      <w:szCs w:val="24"/>
    </w:rPr>
  </w:style>
  <w:style w:type="character" w:customStyle="1" w:styleId="77">
    <w:name w:val="纯文本 Char"/>
    <w:basedOn w:val="45"/>
    <w:link w:val="23"/>
    <w:qFormat/>
    <w:locked/>
    <w:uiPriority w:val="99"/>
    <w:rPr>
      <w:rFonts w:ascii="宋体" w:hAnsi="Courier New" w:eastAsia="宋体"/>
      <w:kern w:val="2"/>
      <w:sz w:val="21"/>
      <w:lang w:val="en-US" w:eastAsia="zh-CN"/>
    </w:rPr>
  </w:style>
  <w:style w:type="character" w:customStyle="1" w:styleId="78">
    <w:name w:val="日期 Char"/>
    <w:basedOn w:val="45"/>
    <w:link w:val="25"/>
    <w:qFormat/>
    <w:locked/>
    <w:uiPriority w:val="99"/>
    <w:rPr>
      <w:rFonts w:ascii="宋体" w:hAnsi="宋体" w:eastAsia="宋体"/>
      <w:kern w:val="2"/>
      <w:sz w:val="24"/>
      <w:lang w:val="en-US" w:eastAsia="zh-CN"/>
    </w:rPr>
  </w:style>
  <w:style w:type="character" w:customStyle="1" w:styleId="79">
    <w:name w:val="正文文本缩进 2 Char"/>
    <w:basedOn w:val="45"/>
    <w:link w:val="26"/>
    <w:semiHidden/>
    <w:qFormat/>
    <w:uiPriority w:val="99"/>
    <w:rPr>
      <w:szCs w:val="24"/>
    </w:rPr>
  </w:style>
  <w:style w:type="character" w:customStyle="1" w:styleId="80">
    <w:name w:val="尾注文本 Char"/>
    <w:basedOn w:val="45"/>
    <w:link w:val="27"/>
    <w:semiHidden/>
    <w:qFormat/>
    <w:uiPriority w:val="99"/>
    <w:rPr>
      <w:szCs w:val="24"/>
    </w:rPr>
  </w:style>
  <w:style w:type="character" w:customStyle="1" w:styleId="81">
    <w:name w:val="批注框文本 Char"/>
    <w:basedOn w:val="45"/>
    <w:link w:val="28"/>
    <w:semiHidden/>
    <w:qFormat/>
    <w:uiPriority w:val="99"/>
    <w:rPr>
      <w:sz w:val="0"/>
      <w:szCs w:val="0"/>
    </w:rPr>
  </w:style>
  <w:style w:type="character" w:customStyle="1" w:styleId="82">
    <w:name w:val="页脚 Char"/>
    <w:basedOn w:val="45"/>
    <w:link w:val="29"/>
    <w:qFormat/>
    <w:locked/>
    <w:uiPriority w:val="99"/>
    <w:rPr>
      <w:rFonts w:eastAsia="宋体"/>
      <w:kern w:val="2"/>
      <w:sz w:val="18"/>
      <w:lang w:val="en-US" w:eastAsia="zh-CN"/>
    </w:rPr>
  </w:style>
  <w:style w:type="character" w:customStyle="1" w:styleId="83">
    <w:name w:val="页眉 Char"/>
    <w:basedOn w:val="45"/>
    <w:link w:val="30"/>
    <w:semiHidden/>
    <w:qFormat/>
    <w:uiPriority w:val="99"/>
    <w:rPr>
      <w:sz w:val="18"/>
      <w:szCs w:val="18"/>
    </w:rPr>
  </w:style>
  <w:style w:type="character" w:customStyle="1" w:styleId="84">
    <w:name w:val="正文文本缩进 3 Char"/>
    <w:basedOn w:val="45"/>
    <w:link w:val="33"/>
    <w:semiHidden/>
    <w:qFormat/>
    <w:uiPriority w:val="99"/>
    <w:rPr>
      <w:sz w:val="16"/>
      <w:szCs w:val="16"/>
    </w:rPr>
  </w:style>
  <w:style w:type="character" w:customStyle="1" w:styleId="85">
    <w:name w:val="正文文本 2 Char"/>
    <w:basedOn w:val="45"/>
    <w:link w:val="36"/>
    <w:semiHidden/>
    <w:qFormat/>
    <w:uiPriority w:val="99"/>
    <w:rPr>
      <w:szCs w:val="24"/>
    </w:rPr>
  </w:style>
  <w:style w:type="character" w:customStyle="1" w:styleId="86">
    <w:name w:val="标题 Char"/>
    <w:basedOn w:val="45"/>
    <w:link w:val="39"/>
    <w:qFormat/>
    <w:locked/>
    <w:uiPriority w:val="99"/>
    <w:rPr>
      <w:rFonts w:ascii="Arial" w:hAnsi="Arial" w:eastAsia="宋体"/>
      <w:b/>
      <w:sz w:val="32"/>
      <w:lang w:val="en-US" w:eastAsia="zh-CN"/>
    </w:rPr>
  </w:style>
  <w:style w:type="character" w:customStyle="1" w:styleId="87">
    <w:name w:val="style11"/>
    <w:basedOn w:val="45"/>
    <w:qFormat/>
    <w:uiPriority w:val="99"/>
    <w:rPr>
      <w:rFonts w:cs="Times New Roman"/>
    </w:rPr>
  </w:style>
  <w:style w:type="character" w:customStyle="1" w:styleId="88">
    <w:name w:val="apple-style-span"/>
    <w:basedOn w:val="45"/>
    <w:qFormat/>
    <w:uiPriority w:val="99"/>
    <w:rPr>
      <w:rFonts w:cs="Times New Roman"/>
    </w:rPr>
  </w:style>
  <w:style w:type="character" w:customStyle="1" w:styleId="89">
    <w:name w:val="font161"/>
    <w:qFormat/>
    <w:uiPriority w:val="99"/>
    <w:rPr>
      <w:b/>
      <w:sz w:val="32"/>
    </w:rPr>
  </w:style>
  <w:style w:type="paragraph" w:customStyle="1" w:styleId="90">
    <w:name w:val="样式 标题 3 + (中文) 黑体 小四 非加粗 段前: 7.8 磅 段后: 0 磅 行距: 固定值 20 磅"/>
    <w:basedOn w:val="6"/>
    <w:qFormat/>
    <w:uiPriority w:val="99"/>
    <w:pPr>
      <w:spacing w:before="0" w:after="0" w:line="400" w:lineRule="exact"/>
    </w:pPr>
    <w:rPr>
      <w:rFonts w:eastAsia="黑体" w:cs="宋体"/>
      <w:b w:val="0"/>
      <w:bCs w:val="0"/>
      <w:sz w:val="24"/>
      <w:szCs w:val="20"/>
    </w:rPr>
  </w:style>
  <w:style w:type="paragraph" w:customStyle="1" w:styleId="91">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 w:val="0"/>
      <w:bCs w:val="0"/>
      <w:sz w:val="28"/>
      <w:szCs w:val="20"/>
    </w:rPr>
  </w:style>
  <w:style w:type="paragraph" w:customStyle="1" w:styleId="92">
    <w:name w:val="表格文字"/>
    <w:basedOn w:val="1"/>
    <w:qFormat/>
    <w:uiPriority w:val="99"/>
    <w:pPr>
      <w:adjustRightInd w:val="0"/>
      <w:spacing w:line="420" w:lineRule="atLeast"/>
      <w:jc w:val="left"/>
    </w:pPr>
    <w:rPr>
      <w:kern w:val="0"/>
      <w:szCs w:val="20"/>
    </w:rPr>
  </w:style>
  <w:style w:type="paragraph" w:customStyle="1" w:styleId="93">
    <w:name w:val="Char2"/>
    <w:basedOn w:val="1"/>
    <w:qFormat/>
    <w:uiPriority w:val="99"/>
  </w:style>
  <w:style w:type="paragraph" w:customStyle="1" w:styleId="94">
    <w:name w:val="Char"/>
    <w:basedOn w:val="1"/>
    <w:qFormat/>
    <w:uiPriority w:val="99"/>
    <w:pPr>
      <w:spacing w:line="360" w:lineRule="auto"/>
    </w:pPr>
    <w:rPr>
      <w:rFonts w:ascii="仿宋_GB2312" w:eastAsia="仿宋_GB2312"/>
      <w:b/>
      <w:sz w:val="32"/>
      <w:szCs w:val="20"/>
    </w:rPr>
  </w:style>
  <w:style w:type="paragraph" w:customStyle="1" w:styleId="95">
    <w:name w:val="样式1"/>
    <w:basedOn w:val="1"/>
    <w:qFormat/>
    <w:uiPriority w:val="99"/>
    <w:pPr>
      <w:spacing w:before="120" w:after="120" w:line="300" w:lineRule="auto"/>
    </w:pPr>
    <w:rPr>
      <w:rFonts w:ascii="宋体" w:hAnsi="宋体"/>
      <w:b/>
      <w:sz w:val="24"/>
      <w:szCs w:val="20"/>
    </w:rPr>
  </w:style>
  <w:style w:type="paragraph" w:customStyle="1" w:styleId="9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7">
    <w:name w:val="目录"/>
    <w:basedOn w:val="1"/>
    <w:qFormat/>
    <w:uiPriority w:val="99"/>
    <w:pPr>
      <w:widowControl/>
      <w:jc w:val="center"/>
    </w:pPr>
    <w:rPr>
      <w:rFonts w:ascii="宋体"/>
      <w:b/>
      <w:kern w:val="0"/>
      <w:sz w:val="36"/>
      <w:szCs w:val="20"/>
    </w:rPr>
  </w:style>
  <w:style w:type="paragraph" w:customStyle="1" w:styleId="98">
    <w:name w:val="目录文字"/>
    <w:basedOn w:val="1"/>
    <w:qFormat/>
    <w:uiPriority w:val="99"/>
    <w:pPr>
      <w:widowControl/>
      <w:spacing w:line="480" w:lineRule="auto"/>
      <w:jc w:val="left"/>
    </w:pPr>
    <w:rPr>
      <w:rFonts w:ascii="宋体" w:hAnsi="宋体"/>
      <w:kern w:val="0"/>
      <w:sz w:val="24"/>
      <w:szCs w:val="20"/>
    </w:rPr>
  </w:style>
  <w:style w:type="paragraph" w:customStyle="1" w:styleId="99">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100">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101">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2">
    <w:name w:val="表头"/>
    <w:basedOn w:val="1"/>
    <w:qFormat/>
    <w:uiPriority w:val="99"/>
    <w:pPr>
      <w:spacing w:line="360" w:lineRule="auto"/>
      <w:jc w:val="center"/>
    </w:pPr>
    <w:rPr>
      <w:rFonts w:ascii="黑体" w:eastAsia="黑体"/>
      <w:kern w:val="0"/>
      <w:sz w:val="24"/>
      <w:szCs w:val="20"/>
    </w:rPr>
  </w:style>
  <w:style w:type="paragraph" w:customStyle="1" w:styleId="103">
    <w:name w:val="1"/>
    <w:basedOn w:val="1"/>
    <w:next w:val="1"/>
    <w:qFormat/>
    <w:uiPriority w:val="99"/>
  </w:style>
  <w:style w:type="paragraph" w:customStyle="1" w:styleId="104">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105">
    <w:name w:val="_Style 14"/>
    <w:basedOn w:val="1"/>
    <w:qFormat/>
    <w:uiPriority w:val="99"/>
    <w:pPr>
      <w:spacing w:line="360" w:lineRule="auto"/>
    </w:pPr>
    <w:rPr>
      <w:szCs w:val="20"/>
    </w:rPr>
  </w:style>
  <w:style w:type="paragraph" w:customStyle="1" w:styleId="106">
    <w:name w:val="Char1"/>
    <w:basedOn w:val="1"/>
    <w:qFormat/>
    <w:uiPriority w:val="99"/>
    <w:pPr>
      <w:spacing w:line="360" w:lineRule="auto"/>
    </w:pPr>
    <w:rPr>
      <w:rFonts w:ascii="仿宋_GB2312" w:eastAsia="仿宋_GB2312"/>
      <w:b/>
      <w:sz w:val="32"/>
      <w:szCs w:val="20"/>
    </w:rPr>
  </w:style>
  <w:style w:type="paragraph" w:customStyle="1" w:styleId="107">
    <w:name w:val="p0"/>
    <w:basedOn w:val="1"/>
    <w:qFormat/>
    <w:uiPriority w:val="99"/>
    <w:pPr>
      <w:widowControl/>
    </w:pPr>
    <w:rPr>
      <w:kern w:val="0"/>
      <w:szCs w:val="21"/>
    </w:rPr>
  </w:style>
  <w:style w:type="paragraph" w:customStyle="1" w:styleId="108">
    <w:name w:val="样式 标题 1 + 黑体 三号 非加粗 居中 段前: 6 磅 段后: 6 磅 行距: 固定值 20 磅"/>
    <w:basedOn w:val="4"/>
    <w:qFormat/>
    <w:uiPriority w:val="99"/>
    <w:pPr>
      <w:spacing w:before="120" w:after="120" w:line="400" w:lineRule="exact"/>
      <w:jc w:val="center"/>
    </w:pPr>
    <w:rPr>
      <w:rFonts w:ascii="黑体" w:hAnsi="黑体" w:eastAsia="黑体" w:cs="宋体"/>
      <w:b w:val="0"/>
      <w:bCs w:val="0"/>
      <w:sz w:val="32"/>
      <w:szCs w:val="20"/>
    </w:rPr>
  </w:style>
  <w:style w:type="paragraph" w:customStyle="1" w:styleId="109">
    <w:name w:val="表格"/>
    <w:basedOn w:val="1"/>
    <w:qFormat/>
    <w:uiPriority w:val="99"/>
    <w:pPr>
      <w:jc w:val="center"/>
    </w:pPr>
    <w:rPr>
      <w:rFonts w:ascii="华文细黑" w:hAnsi="华文细黑"/>
      <w:kern w:val="0"/>
      <w:szCs w:val="20"/>
    </w:rPr>
  </w:style>
  <w:style w:type="paragraph" w:customStyle="1" w:styleId="110">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11">
    <w:name w:val="Char Char Char Char Char Char Char"/>
    <w:basedOn w:val="1"/>
    <w:qFormat/>
    <w:uiPriority w:val="99"/>
    <w:pPr>
      <w:widowControl/>
      <w:snapToGrid w:val="0"/>
      <w:spacing w:after="160" w:line="360" w:lineRule="auto"/>
      <w:jc w:val="left"/>
    </w:pPr>
    <w:rPr>
      <w:szCs w:val="20"/>
    </w:rPr>
  </w:style>
  <w:style w:type="paragraph" w:customStyle="1" w:styleId="112">
    <w:name w:val="Char Char Char Char Char Char Char1"/>
    <w:basedOn w:val="1"/>
    <w:qFormat/>
    <w:uiPriority w:val="99"/>
    <w:pPr>
      <w:widowControl/>
      <w:snapToGrid w:val="0"/>
      <w:spacing w:after="160" w:line="360" w:lineRule="auto"/>
      <w:jc w:val="left"/>
    </w:pPr>
    <w:rPr>
      <w:szCs w:val="20"/>
    </w:rPr>
  </w:style>
  <w:style w:type="paragraph" w:customStyle="1" w:styleId="113">
    <w:name w:val="Char Char Char"/>
    <w:basedOn w:val="7"/>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character" w:customStyle="1" w:styleId="114">
    <w:name w:val="ca-31"/>
    <w:basedOn w:val="45"/>
    <w:qFormat/>
    <w:uiPriority w:val="0"/>
    <w:rPr>
      <w:rFonts w:cs="Times New Roman"/>
    </w:rPr>
  </w:style>
  <w:style w:type="paragraph" w:customStyle="1" w:styleId="115">
    <w:name w:val="纯文本1"/>
    <w:basedOn w:val="1"/>
    <w:qFormat/>
    <w:uiPriority w:val="0"/>
    <w:pPr>
      <w:spacing w:line="324" w:lineRule="auto"/>
    </w:pPr>
    <w:rPr>
      <w:rFonts w:ascii="宋体" w:hAnsi="Courier New" w:cs="Courier New"/>
      <w:szCs w:val="21"/>
    </w:rPr>
  </w:style>
  <w:style w:type="paragraph" w:customStyle="1" w:styleId="11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7">
    <w:name w:val="表格文字中"/>
    <w:basedOn w:val="1"/>
    <w:qFormat/>
    <w:uiPriority w:val="0"/>
    <w:pPr>
      <w:adjustRightInd w:val="0"/>
      <w:snapToGrid w:val="0"/>
      <w:ind w:left="22" w:leftChars="8"/>
      <w:jc w:val="center"/>
    </w:pPr>
    <w:rPr>
      <w:kern w:val="0"/>
    </w:rPr>
  </w:style>
  <w:style w:type="paragraph" w:customStyle="1" w:styleId="118">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19">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20">
    <w:name w:val="正文 New"/>
    <w:qFormat/>
    <w:uiPriority w:val="99"/>
    <w:pPr>
      <w:widowControl w:val="0"/>
      <w:jc w:val="both"/>
    </w:pPr>
    <w:rPr>
      <w:rFonts w:ascii="Calibri" w:hAnsi="Calibri" w:eastAsia="宋体" w:cs="Times New Roman"/>
      <w:lang w:val="en-US" w:eastAsia="zh-CN" w:bidi="ar-SA"/>
    </w:rPr>
  </w:style>
  <w:style w:type="paragraph" w:customStyle="1" w:styleId="121">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character" w:customStyle="1" w:styleId="122">
    <w:name w:val="批注主题 Char"/>
    <w:basedOn w:val="73"/>
    <w:link w:val="40"/>
    <w:qFormat/>
    <w:uiPriority w:val="0"/>
    <w:rPr>
      <w:b/>
      <w:bCs/>
      <w:kern w:val="2"/>
      <w:sz w:val="21"/>
      <w:szCs w:val="24"/>
    </w:rPr>
  </w:style>
  <w:style w:type="character" w:customStyle="1" w:styleId="123">
    <w:name w:val="hour_pm"/>
    <w:basedOn w:val="45"/>
    <w:qFormat/>
    <w:uiPriority w:val="0"/>
  </w:style>
  <w:style w:type="character" w:customStyle="1" w:styleId="124">
    <w:name w:val="indent"/>
    <w:basedOn w:val="45"/>
    <w:qFormat/>
    <w:uiPriority w:val="0"/>
  </w:style>
  <w:style w:type="character" w:customStyle="1" w:styleId="125">
    <w:name w:val="hour_am"/>
    <w:basedOn w:val="45"/>
    <w:qFormat/>
    <w:uiPriority w:val="0"/>
  </w:style>
  <w:style w:type="character" w:customStyle="1" w:styleId="126">
    <w:name w:val="button"/>
    <w:basedOn w:val="45"/>
    <w:qFormat/>
    <w:uiPriority w:val="0"/>
  </w:style>
  <w:style w:type="character" w:customStyle="1" w:styleId="127">
    <w:name w:val="hover3"/>
    <w:basedOn w:val="45"/>
    <w:qFormat/>
    <w:uiPriority w:val="0"/>
    <w:rPr>
      <w:shd w:val="clear" w:color="auto" w:fill="EEEEEE"/>
    </w:rPr>
  </w:style>
  <w:style w:type="character" w:customStyle="1" w:styleId="128">
    <w:name w:val="old"/>
    <w:basedOn w:val="45"/>
    <w:qFormat/>
    <w:uiPriority w:val="0"/>
    <w:rPr>
      <w:color w:val="999999"/>
    </w:rPr>
  </w:style>
  <w:style w:type="character" w:customStyle="1" w:styleId="129">
    <w:name w:val="glyphicon4"/>
    <w:basedOn w:val="45"/>
    <w:qFormat/>
    <w:uiPriority w:val="0"/>
  </w:style>
  <w:style w:type="character" w:customStyle="1" w:styleId="130">
    <w:name w:val="tmpztreemove_arrow"/>
    <w:basedOn w:val="45"/>
    <w:qFormat/>
    <w:uiPriority w:val="0"/>
    <w:rPr>
      <w:shd w:val="clear" w:color="auto" w:fill="FFFFFF"/>
    </w:rPr>
  </w:style>
  <w:style w:type="paragraph" w:customStyle="1" w:styleId="131">
    <w:name w:val="WPSOffice手动目录 1"/>
    <w:qFormat/>
    <w:uiPriority w:val="0"/>
    <w:rPr>
      <w:rFonts w:ascii="Times New Roman" w:hAnsi="Times New Roman" w:eastAsia="宋体" w:cs="Times New Roman"/>
      <w:lang w:val="en-US" w:eastAsia="zh-CN" w:bidi="ar-SA"/>
    </w:rPr>
  </w:style>
  <w:style w:type="paragraph" w:customStyle="1" w:styleId="132">
    <w:name w:val="TOC 标题1"/>
    <w:basedOn w:val="4"/>
    <w:next w:val="1"/>
    <w:qFormat/>
    <w:uiPriority w:val="39"/>
    <w:pPr>
      <w:tabs>
        <w:tab w:val="left" w:pos="1440"/>
        <w:tab w:val="left" w:pos="5670"/>
      </w:tabs>
      <w:spacing w:before="480" w:after="0" w:line="276" w:lineRule="auto"/>
      <w:jc w:val="left"/>
      <w:outlineLvl w:val="9"/>
    </w:pPr>
    <w:rPr>
      <w:rFonts w:ascii="仿宋" w:hAnsi="仿宋" w:eastAsia="仿宋"/>
      <w:color w:val="000000"/>
      <w:kern w:val="0"/>
      <w:sz w:val="32"/>
      <w:szCs w:val="32"/>
    </w:rPr>
  </w:style>
  <w:style w:type="paragraph" w:styleId="133">
    <w:name w:val="List Paragraph"/>
    <w:basedOn w:val="1"/>
    <w:unhideWhenUsed/>
    <w:qFormat/>
    <w:uiPriority w:val="99"/>
    <w:pPr>
      <w:ind w:firstLine="420" w:firstLineChars="200"/>
    </w:pPr>
  </w:style>
  <w:style w:type="paragraph" w:customStyle="1" w:styleId="1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5">
    <w:name w:val="样式 首行缩进:  2 字符"/>
    <w:basedOn w:val="1"/>
    <w:qFormat/>
    <w:uiPriority w:val="0"/>
    <w:pPr>
      <w:spacing w:line="400" w:lineRule="exact"/>
      <w:ind w:firstLine="200" w:firstLineChars="200"/>
    </w:pPr>
    <w:rPr>
      <w:rFonts w:cs="宋体"/>
      <w:sz w:val="24"/>
    </w:rPr>
  </w:style>
  <w:style w:type="character" w:customStyle="1" w:styleId="136">
    <w:name w:val="NormalCharacter"/>
    <w:qFormat/>
    <w:uiPriority w:val="0"/>
    <w:rPr>
      <w:rFonts w:ascii="宋体"/>
      <w:sz w:val="24"/>
      <w:lang w:val="en-US" w:eastAsia="zh-CN" w:bidi="ar-SA"/>
    </w:rPr>
  </w:style>
  <w:style w:type="paragraph" w:customStyle="1" w:styleId="137">
    <w:name w:val="样式2"/>
    <w:basedOn w:val="138"/>
    <w:qFormat/>
    <w:uiPriority w:val="0"/>
    <w:pPr>
      <w:spacing w:line="560" w:lineRule="exact"/>
      <w:ind w:firstLine="643" w:firstLineChars="200"/>
      <w:jc w:val="both"/>
    </w:pPr>
    <w:rPr>
      <w:rFonts w:ascii="仿宋_GB2312" w:hAnsi="仿宋" w:eastAsia="仿宋_GB2312"/>
      <w:b/>
      <w:bCs/>
      <w:szCs w:val="32"/>
    </w:rPr>
  </w:style>
  <w:style w:type="paragraph" w:customStyle="1" w:styleId="138">
    <w:name w:val="@标题"/>
    <w:basedOn w:val="1"/>
    <w:next w:val="139"/>
    <w:qFormat/>
    <w:uiPriority w:val="0"/>
    <w:pPr>
      <w:keepNext/>
      <w:spacing w:beforeLines="50" w:afterLines="50"/>
      <w:jc w:val="center"/>
      <w:outlineLvl w:val="1"/>
    </w:pPr>
    <w:rPr>
      <w:rFonts w:ascii="Calibri" w:hAnsi="Calibri" w:eastAsia="黑体"/>
      <w:kern w:val="32"/>
      <w:sz w:val="32"/>
    </w:rPr>
  </w:style>
  <w:style w:type="paragraph" w:customStyle="1" w:styleId="139">
    <w:name w:val="@正文"/>
    <w:basedOn w:val="140"/>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1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41">
    <w:name w:val="4"/>
    <w:basedOn w:val="1"/>
    <w:next w:val="133"/>
    <w:qFormat/>
    <w:uiPriority w:val="34"/>
    <w:pPr>
      <w:ind w:firstLine="420" w:firstLineChars="200"/>
    </w:pPr>
  </w:style>
  <w:style w:type="paragraph" w:customStyle="1" w:styleId="142">
    <w:name w:val="正文缩进1"/>
    <w:basedOn w:val="1"/>
    <w:qFormat/>
    <w:uiPriority w:val="0"/>
    <w:pPr>
      <w:ind w:firstLine="420" w:firstLineChars="200"/>
    </w:pPr>
  </w:style>
  <w:style w:type="paragraph" w:customStyle="1" w:styleId="143">
    <w:name w:val="正文_3_0"/>
    <w:basedOn w:val="144"/>
    <w:qFormat/>
    <w:uiPriority w:val="0"/>
    <w:rPr>
      <w:rFonts w:ascii="Calibri" w:hAnsi="Calibri" w:eastAsia="宋体" w:cs="宋体"/>
      <w:szCs w:val="21"/>
    </w:rPr>
  </w:style>
  <w:style w:type="paragraph" w:customStyle="1" w:styleId="144">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5">
    <w:name w:val="font51"/>
    <w:basedOn w:val="45"/>
    <w:qFormat/>
    <w:uiPriority w:val="0"/>
    <w:rPr>
      <w:rFonts w:ascii="宋体" w:hAnsi="宋体" w:eastAsia="宋体" w:cs="宋体"/>
      <w:color w:val="000000"/>
      <w:sz w:val="38"/>
      <w:szCs w:val="38"/>
      <w:u w:val="none"/>
    </w:rPr>
  </w:style>
  <w:style w:type="character" w:customStyle="1" w:styleId="146">
    <w:name w:val="font21"/>
    <w:basedOn w:val="45"/>
    <w:qFormat/>
    <w:uiPriority w:val="0"/>
    <w:rPr>
      <w:rFonts w:ascii="宋体" w:hAnsi="宋体" w:eastAsia="宋体" w:cs="宋体"/>
      <w:color w:val="000000"/>
      <w:sz w:val="20"/>
      <w:szCs w:val="20"/>
      <w:u w:val="none"/>
    </w:rPr>
  </w:style>
  <w:style w:type="character" w:customStyle="1" w:styleId="147">
    <w:name w:val="font41"/>
    <w:basedOn w:val="45"/>
    <w:qFormat/>
    <w:uiPriority w:val="0"/>
    <w:rPr>
      <w:rFonts w:ascii="宋体" w:hAnsi="宋体" w:eastAsia="宋体" w:cs="宋体"/>
      <w:color w:val="000000"/>
      <w:sz w:val="18"/>
      <w:szCs w:val="18"/>
      <w:u w:val="none"/>
    </w:rPr>
  </w:style>
  <w:style w:type="character" w:customStyle="1" w:styleId="148">
    <w:name w:val="font61"/>
    <w:basedOn w:val="45"/>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87</Pages>
  <Words>41506</Words>
  <Characters>45321</Characters>
  <Lines>277</Lines>
  <Paragraphs>78</Paragraphs>
  <TotalTime>96</TotalTime>
  <ScaleCrop>false</ScaleCrop>
  <LinksUpToDate>false</LinksUpToDate>
  <CharactersWithSpaces>47325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2021-02-04T00:59:00Z</dcterms:created>
  <dc:creator>adminis</dc:creator>
  <cp:lastModifiedBy>余生太长。</cp:lastModifiedBy>
  <cp:lastPrinted>2023-08-11T07:13:00Z</cp:lastPrinted>
  <dcterms:modified xsi:type="dcterms:W3CDTF">2023-10-11T02:11:30Z</dcterms:modified>
  <dc:title>招标编号：SXLHZB2012-831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D85A76E913BB464490E38C0D6B33A8B5_13</vt:lpwstr>
  </property>
</Properties>
</file>