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Chars="0"/>
        <w:jc w:val="center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阎良区市政排水管网地理信息系统建设项目</w:t>
      </w:r>
    </w:p>
    <w:p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一、项目概况：</w:t>
      </w:r>
    </w:p>
    <w:p>
      <w:pPr>
        <w:pStyle w:val="5"/>
        <w:kinsoku w:val="0"/>
        <w:overflowPunct w:val="0"/>
        <w:adjustRightInd w:val="0"/>
        <w:snapToGrid w:val="0"/>
        <w:spacing w:line="360" w:lineRule="auto"/>
        <w:ind w:firstLine="448" w:firstLineChars="200"/>
        <w:jc w:val="both"/>
        <w:rPr>
          <w:rFonts w:hint="eastAsia"/>
          <w:spacing w:val="-8"/>
        </w:rPr>
      </w:pPr>
      <w:r>
        <w:rPr>
          <w:rFonts w:hint="eastAsia"/>
          <w:spacing w:val="-8"/>
        </w:rPr>
        <w:t>项目概况：加强阎良区市政排水管网地理信息系统建设，对地形、管网以及监测设备的数据进行整合处理并录入排水信息化管理系统。系统以电脑及移动端为载体，能进行在线实时监测、隐患点排查、工单指派流转、现场数据上传等，可对现场设备及其运行状态的日常巡检、养护工作进行管理，摸清排水管网从源头到末端的各个组成单元的相关信息。</w:t>
      </w:r>
    </w:p>
    <w:p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二、技术标准和服务要求</w:t>
      </w:r>
    </w:p>
    <w:p>
      <w:pPr>
        <w:pStyle w:val="3"/>
        <w:rPr>
          <w:rFonts w:ascii="宋体" w:hAnsi="宋体"/>
        </w:rPr>
      </w:pPr>
      <w:r>
        <w:rPr>
          <w:rFonts w:hint="eastAsia" w:ascii="宋体" w:hAnsi="宋体"/>
        </w:rPr>
        <w:t>功能清单及技术要求</w:t>
      </w:r>
    </w:p>
    <w:tbl>
      <w:tblPr>
        <w:tblStyle w:val="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4542"/>
        <w:gridCol w:w="794"/>
        <w:gridCol w:w="711"/>
        <w:gridCol w:w="17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Header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6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一</w:t>
            </w:r>
          </w:p>
        </w:tc>
        <w:tc>
          <w:tcPr>
            <w:tcW w:w="35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平台应用软件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1.1</w:t>
            </w:r>
          </w:p>
        </w:tc>
        <w:tc>
          <w:tcPr>
            <w:tcW w:w="35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数据整理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地形数据整合、管线数据整合（含管网探测）、水务数据整合等。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</w:t>
            </w:r>
          </w:p>
        </w:tc>
        <w:tc>
          <w:tcPr>
            <w:tcW w:w="1027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所有涉及整合的测绘数据由甲方进行提供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Calibri" w:cs="宋体"/>
                <w:color w:val="000000"/>
                <w:kern w:val="0"/>
                <w:sz w:val="24"/>
              </w:rPr>
              <w:t>管网数据处理、加工、存储，按智慧排水应用软件要求的格式提供。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</w:t>
            </w:r>
          </w:p>
        </w:tc>
        <w:tc>
          <w:tcPr>
            <w:tcW w:w="102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1.2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智慧排水应用软件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套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排水资产一张图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基于地理信息系统，在地图上叠加展示各类排水设施的位置、属性信息、运行状态，实现“厂-站-网-户”一张图、可视化、全过程的监测监管等业务管理，可在调度中心的大屏展示各类专题信息，协助管理者及时地掌握排水管网运行状态以及智慧决策。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在线监测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：基于地理信息系统，在地图上叠加展示管网液位、监测设备工况等实时监测信息，并且可以查询监测点的历史数据。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设施设备运维巡检管理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在排水设施基本信息、运行监测的基础上，实现排水设施的巡检养护，提高对排水设施设备的维护效率。对设施设备定期巡查、巡检、保养、维修等工作，做好巡检工作精细化管理，满足资产管理、设备运维、异常事件处理等多种运维管理需求。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排水防涝应急调度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：通过对管道水位监测、易涝点水位监测，对比以往历史数据及气象预报信息，提前有针对性布防及应急预案管理，及时做好区域内应急调度准备工作，减少暴雨及突发事件给城市带来的危害。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排水APP应用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：以智能手机为载体，配合Web端排水资产一张图、在线监测、运维巡检、应急调度等业务功能，进行隐患排查、工单指派、现场数据上传等工作，对现场的设备运行状态进行日常巡检、管护、维修。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大屏综合展示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：对管网资产、预警信息、气象云图与雷达图、天气预报、排水设施信息、窨井水位、监测设备状态进行展示，为智慧排水系统综合管理、应急调度、决策支持提供技术支撑。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二</w:t>
            </w:r>
          </w:p>
        </w:tc>
        <w:tc>
          <w:tcPr>
            <w:tcW w:w="35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基础软硬件及网络设备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2.1</w:t>
            </w:r>
          </w:p>
        </w:tc>
        <w:tc>
          <w:tcPr>
            <w:tcW w:w="35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GIS服务器及应用服务器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外形：标准塔式服务器Precision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处理器：16核及以上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内存：不小于128GB DDR4 ECC 内存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硬盘：不小于4T SATA硬盘+512G SSD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电源：950W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台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2.2</w:t>
            </w:r>
          </w:p>
        </w:tc>
        <w:tc>
          <w:tcPr>
            <w:tcW w:w="35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移动端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连接方式：Wifi功能，内置4G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4G类型：联通4G/移动4G/电信4G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前置摄像头：不小于800W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后置摄像头：不小于1300W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内存：不小于256G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屏幕：不小于10.8英寸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台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2.3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台式机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65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处理器：4核及以上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内存：不小于32G DDR4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主硬盘：不小于4T机械硬盘+512G SSD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显卡：专业图形显卡 不小于5GB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电源：500W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台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2.4</w:t>
            </w:r>
          </w:p>
        </w:tc>
        <w:tc>
          <w:tcPr>
            <w:tcW w:w="26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大屏电视</w:t>
            </w:r>
          </w:p>
        </w:tc>
        <w:tc>
          <w:tcPr>
            <w:tcW w:w="4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98吋电视，4K超高清画质，支持有线、无线投屏。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台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三</w:t>
            </w:r>
          </w:p>
        </w:tc>
        <w:tc>
          <w:tcPr>
            <w:tcW w:w="35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在线监测设备建设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2.1</w:t>
            </w:r>
          </w:p>
        </w:tc>
        <w:tc>
          <w:tcPr>
            <w:tcW w:w="35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窨井水位监测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调制频段：60GHz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测量范围：0-12m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测量精度：±2mm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测量分辨：1mm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雷达波束角：6X 6°喇叭口天线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校正方式：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工厂校正 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盲区：小于20cm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压力水位计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测量原理：静压原理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测量范围：0-3m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测量精度：0.2%FS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测量分辨率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1mm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电池：38AH 14.4V锂亚电池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工作时间：每小时上报一次，5分钟采集一次，持续工作时间不小于2年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算法：内置水面消波算法，保证数据稳定不受水面漂浮物影响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通讯方式4G/2G/NB-IoT 可选，默认4G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防护等级：IP68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套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安装支架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辅材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套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通讯费，1年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安装调试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处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2.2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易涝点水位监测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电子水位尺：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量程 不少于1.2米。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分辨率 1cm。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自动续传。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支持4G全网通（电信、联通、移动）制式。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套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监测立杆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太阳能供电系统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套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辅材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套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通讯费,1年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6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安装调试</w:t>
            </w:r>
          </w:p>
        </w:tc>
        <w:tc>
          <w:tcPr>
            <w:tcW w:w="4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处</w:t>
            </w:r>
          </w:p>
        </w:tc>
        <w:tc>
          <w:tcPr>
            <w:tcW w:w="10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三、成果交付要求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spacing w:val="1"/>
          <w:sz w:val="24"/>
        </w:rPr>
        <w:t>1、乙方应按照本合同或招投标文件规定的时间和方</w:t>
      </w:r>
      <w:r>
        <w:rPr>
          <w:rFonts w:hint="eastAsia" w:ascii="宋体" w:hAnsi="宋体"/>
          <w:sz w:val="24"/>
        </w:rPr>
        <w:t>式向甲</w:t>
      </w:r>
      <w:r>
        <w:rPr>
          <w:rFonts w:hint="eastAsia" w:ascii="宋体" w:hAnsi="宋体"/>
          <w:spacing w:val="3"/>
          <w:sz w:val="24"/>
        </w:rPr>
        <w:t>方交付货物和部署阎良区智慧排水信息平台部署上线，交货地点</w:t>
      </w:r>
      <w:r>
        <w:rPr>
          <w:rFonts w:hint="eastAsia" w:ascii="宋体" w:hAnsi="宋体"/>
          <w:spacing w:val="2"/>
          <w:sz w:val="24"/>
        </w:rPr>
        <w:t>由甲方指定。因交货产生的费用由乙方自行承担。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2、乙方交付的货物应当完全符合招投标文件所规定的货物、</w:t>
      </w:r>
      <w:r>
        <w:rPr>
          <w:rFonts w:hint="eastAsia" w:ascii="宋体" w:hAnsi="宋体"/>
          <w:spacing w:val="3"/>
          <w:sz w:val="24"/>
        </w:rPr>
        <w:t>数量、质量和技术规格要求。乙方提供的货物不符合招投标文件</w:t>
      </w:r>
      <w:r>
        <w:rPr>
          <w:rFonts w:hint="eastAsia" w:ascii="宋体" w:hAnsi="宋体"/>
          <w:spacing w:val="4"/>
          <w:sz w:val="24"/>
        </w:rPr>
        <w:t>和合同规定的，甲方有权拒收货物，由此引起的风险，由</w:t>
      </w:r>
      <w:r>
        <w:rPr>
          <w:rFonts w:hint="eastAsia" w:ascii="宋体" w:hAnsi="宋体"/>
          <w:spacing w:val="3"/>
          <w:sz w:val="24"/>
        </w:rPr>
        <w:t>乙方承</w:t>
      </w:r>
      <w:r>
        <w:rPr>
          <w:rFonts w:hint="eastAsia" w:ascii="宋体" w:hAnsi="宋体"/>
          <w:spacing w:val="-4"/>
          <w:sz w:val="24"/>
        </w:rPr>
        <w:t>担。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1"/>
          <w:sz w:val="24"/>
        </w:rPr>
        <w:t>3、乙方应将所提供货物的使用说明书、原厂保修卡、质量</w:t>
      </w:r>
      <w:r>
        <w:rPr>
          <w:rFonts w:hint="eastAsia" w:ascii="宋体" w:hAnsi="宋体"/>
          <w:spacing w:val="3"/>
          <w:sz w:val="24"/>
        </w:rPr>
        <w:t>合格证书等附随资料和附随配件、工具等交付给甲方；乙方不能完整交付货物及本款规定的单证和工具的，视为未按合同约定交货，乙方负责补齐，因此导致逾期交付的，由乙方承担相关的违</w:t>
      </w:r>
      <w:r>
        <w:rPr>
          <w:rFonts w:hint="eastAsia" w:ascii="宋体" w:hAnsi="宋体"/>
          <w:spacing w:val="-3"/>
          <w:sz w:val="24"/>
        </w:rPr>
        <w:t>约责任。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6"/>
          <w:sz w:val="24"/>
          <w:lang w:val="en-US" w:eastAsia="zh-CN"/>
        </w:rPr>
        <w:t>4</w:t>
      </w:r>
      <w:r>
        <w:rPr>
          <w:rFonts w:hint="eastAsia" w:ascii="宋体" w:hAnsi="宋体"/>
          <w:spacing w:val="6"/>
          <w:sz w:val="24"/>
        </w:rPr>
        <w:t>、乙方应向甲方提交包括但不限于下列文档：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13"/>
          <w:sz w:val="24"/>
        </w:rPr>
        <w:t>(</w:t>
      </w:r>
      <w:r>
        <w:rPr>
          <w:rFonts w:hint="eastAsia" w:ascii="宋体" w:hAnsi="宋体"/>
          <w:spacing w:val="-58"/>
          <w:sz w:val="24"/>
        </w:rPr>
        <w:t xml:space="preserve"> </w:t>
      </w:r>
      <w:r>
        <w:rPr>
          <w:rFonts w:hint="eastAsia" w:ascii="宋体" w:hAnsi="宋体"/>
          <w:spacing w:val="13"/>
          <w:sz w:val="24"/>
        </w:rPr>
        <w:t>一)需求说明书；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18"/>
          <w:sz w:val="24"/>
        </w:rPr>
        <w:t>(二)项目实施计划；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16"/>
          <w:sz w:val="24"/>
        </w:rPr>
        <w:t>(三)概要设计说明书；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16"/>
          <w:sz w:val="24"/>
        </w:rPr>
        <w:t>(四)详细设计说明书；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18"/>
          <w:sz w:val="24"/>
        </w:rPr>
        <w:t>(五)数据库设计说明书；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18"/>
          <w:sz w:val="24"/>
        </w:rPr>
        <w:t>(六)测试计划；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18"/>
          <w:sz w:val="24"/>
        </w:rPr>
        <w:t>(七)测试报告；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18"/>
          <w:sz w:val="24"/>
        </w:rPr>
        <w:t>(八)用户手册；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18"/>
          <w:sz w:val="24"/>
        </w:rPr>
        <w:t>(九)用户培训计划；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16"/>
          <w:sz w:val="24"/>
        </w:rPr>
        <w:t>(十)物联监测设备详细布点资料。</w:t>
      </w:r>
    </w:p>
    <w:p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四、售后服务要求</w:t>
      </w:r>
    </w:p>
    <w:p>
      <w:pPr>
        <w:pStyle w:val="17"/>
        <w:tabs>
          <w:tab w:val="left" w:pos="2182"/>
        </w:tabs>
        <w:adjustRightInd w:val="0"/>
        <w:snapToGrid w:val="0"/>
        <w:spacing w:line="360" w:lineRule="auto"/>
        <w:ind w:left="0" w:firstLine="0"/>
        <w:jc w:val="both"/>
        <w:rPr>
          <w:sz w:val="24"/>
        </w:rPr>
      </w:pPr>
      <w:r>
        <w:rPr>
          <w:rFonts w:hint="eastAsia"/>
          <w:sz w:val="24"/>
          <w:lang w:val="en-US"/>
        </w:rPr>
        <w:t>（1）</w:t>
      </w:r>
      <w:r>
        <w:rPr>
          <w:sz w:val="24"/>
        </w:rPr>
        <w:t>对采购人操作人员提供货物安全操作规程培训，讲解产品的基本结构</w:t>
      </w:r>
      <w:r>
        <w:rPr>
          <w:spacing w:val="-10"/>
          <w:sz w:val="24"/>
        </w:rPr>
        <w:t>及工作原理，直至操作人员掌握产品的日常使用、维护保养方法，保证操作人员</w:t>
      </w:r>
      <w:r>
        <w:rPr>
          <w:sz w:val="24"/>
        </w:rPr>
        <w:t>可正确操作使用，并能排除一般故障；</w:t>
      </w:r>
    </w:p>
    <w:p>
      <w:pPr>
        <w:pStyle w:val="17"/>
        <w:tabs>
          <w:tab w:val="left" w:pos="2182"/>
        </w:tabs>
        <w:adjustRightInd w:val="0"/>
        <w:snapToGrid w:val="0"/>
        <w:spacing w:line="360" w:lineRule="auto"/>
        <w:ind w:left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保修期内，提供以下服务：</w:t>
      </w:r>
    </w:p>
    <w:p>
      <w:pPr>
        <w:pStyle w:val="5"/>
        <w:adjustRightInd w:val="0"/>
        <w:snapToGrid w:val="0"/>
        <w:spacing w:line="360" w:lineRule="auto"/>
      </w:pPr>
      <w:r>
        <w:t>1）3小时内响应用户的技术支持需求；</w:t>
      </w:r>
    </w:p>
    <w:p>
      <w:pPr>
        <w:pStyle w:val="17"/>
        <w:tabs>
          <w:tab w:val="left" w:pos="1942"/>
        </w:tabs>
        <w:adjustRightInd w:val="0"/>
        <w:snapToGrid w:val="0"/>
        <w:spacing w:line="360" w:lineRule="auto"/>
        <w:ind w:left="0" w:firstLine="0"/>
        <w:rPr>
          <w:sz w:val="24"/>
        </w:rPr>
      </w:pPr>
      <w:r>
        <w:rPr>
          <w:rFonts w:hint="eastAsia"/>
          <w:sz w:val="24"/>
        </w:rPr>
        <w:t>2）</w:t>
      </w:r>
      <w:r>
        <w:rPr>
          <w:sz w:val="24"/>
        </w:rPr>
        <w:t>免费负责系统非人为损坏的维修、更换等工作；</w:t>
      </w:r>
    </w:p>
    <w:p>
      <w:pPr>
        <w:pStyle w:val="17"/>
        <w:tabs>
          <w:tab w:val="left" w:pos="1942"/>
        </w:tabs>
        <w:adjustRightInd w:val="0"/>
        <w:snapToGrid w:val="0"/>
        <w:spacing w:line="360" w:lineRule="auto"/>
        <w:ind w:left="0" w:firstLine="0"/>
        <w:rPr>
          <w:sz w:val="24"/>
        </w:rPr>
      </w:pPr>
      <w:r>
        <w:rPr>
          <w:rFonts w:hint="eastAsia"/>
          <w:sz w:val="24"/>
        </w:rPr>
        <w:t>3）</w:t>
      </w:r>
      <w:r>
        <w:rPr>
          <w:sz w:val="24"/>
        </w:rPr>
        <w:t>不定期组织回访，收集客户使用意见，提高服务质量；</w:t>
      </w:r>
    </w:p>
    <w:p>
      <w:pPr>
        <w:pStyle w:val="17"/>
        <w:tabs>
          <w:tab w:val="left" w:pos="1942"/>
        </w:tabs>
        <w:adjustRightInd w:val="0"/>
        <w:snapToGrid w:val="0"/>
        <w:spacing w:line="360" w:lineRule="auto"/>
        <w:ind w:left="0" w:firstLine="0"/>
        <w:rPr>
          <w:sz w:val="24"/>
        </w:rPr>
      </w:pPr>
      <w:r>
        <w:rPr>
          <w:rFonts w:hint="eastAsia"/>
          <w:sz w:val="24"/>
        </w:rPr>
        <w:t>4）</w:t>
      </w:r>
      <w:r>
        <w:rPr>
          <w:sz w:val="24"/>
        </w:rPr>
        <w:t>为本系统软件提供无偿维护和升级；</w:t>
      </w:r>
    </w:p>
    <w:p>
      <w:pPr>
        <w:pStyle w:val="17"/>
        <w:tabs>
          <w:tab w:val="left" w:pos="1942"/>
        </w:tabs>
        <w:adjustRightInd w:val="0"/>
        <w:snapToGrid w:val="0"/>
        <w:spacing w:line="360" w:lineRule="auto"/>
        <w:ind w:left="0" w:firstLine="0"/>
        <w:rPr>
          <w:sz w:val="24"/>
        </w:rPr>
      </w:pPr>
      <w:r>
        <w:rPr>
          <w:rFonts w:hint="eastAsia"/>
          <w:sz w:val="24"/>
        </w:rPr>
        <w:t>5）</w:t>
      </w:r>
      <w:r>
        <w:rPr>
          <w:sz w:val="24"/>
        </w:rPr>
        <w:t>根据用户需要，不定期组织业主相关人员进行培训；</w:t>
      </w:r>
    </w:p>
    <w:p>
      <w:pPr>
        <w:pStyle w:val="17"/>
        <w:tabs>
          <w:tab w:val="left" w:pos="1942"/>
        </w:tabs>
        <w:adjustRightInd w:val="0"/>
        <w:snapToGrid w:val="0"/>
        <w:spacing w:line="360" w:lineRule="auto"/>
        <w:ind w:left="0" w:firstLine="0"/>
        <w:rPr>
          <w:sz w:val="24"/>
        </w:rPr>
      </w:pPr>
      <w:r>
        <w:rPr>
          <w:rFonts w:hint="eastAsia"/>
          <w:sz w:val="24"/>
        </w:rPr>
        <w:t>6）</w:t>
      </w:r>
      <w:r>
        <w:rPr>
          <w:sz w:val="24"/>
        </w:rPr>
        <w:t>每半年提供一次技术报表；</w:t>
      </w:r>
    </w:p>
    <w:p>
      <w:pPr>
        <w:pStyle w:val="17"/>
        <w:tabs>
          <w:tab w:val="left" w:pos="1942"/>
        </w:tabs>
        <w:adjustRightInd w:val="0"/>
        <w:snapToGrid w:val="0"/>
        <w:spacing w:line="360" w:lineRule="auto"/>
        <w:ind w:left="0" w:firstLine="0"/>
        <w:rPr>
          <w:sz w:val="24"/>
        </w:rPr>
      </w:pPr>
      <w:r>
        <w:rPr>
          <w:rFonts w:hint="eastAsia"/>
          <w:sz w:val="24"/>
        </w:rPr>
        <w:t>7）</w:t>
      </w:r>
      <w:r>
        <w:rPr>
          <w:sz w:val="24"/>
        </w:rPr>
        <w:t>极端突发事件发生后提交极端事件专题分析报告；</w:t>
      </w:r>
    </w:p>
    <w:p>
      <w:pPr>
        <w:pStyle w:val="17"/>
        <w:tabs>
          <w:tab w:val="left" w:pos="1942"/>
        </w:tabs>
        <w:adjustRightInd w:val="0"/>
        <w:snapToGrid w:val="0"/>
        <w:spacing w:line="360" w:lineRule="auto"/>
        <w:ind w:left="0" w:firstLine="0"/>
        <w:rPr>
          <w:rFonts w:hint="eastAsia" w:eastAsia="宋体"/>
          <w:sz w:val="24"/>
          <w:lang w:eastAsia="zh-CN"/>
        </w:rPr>
      </w:pPr>
      <w:r>
        <w:rPr>
          <w:rFonts w:hint="eastAsia"/>
          <w:spacing w:val="-1"/>
          <w:sz w:val="24"/>
        </w:rPr>
        <w:t>8）</w:t>
      </w:r>
      <w:r>
        <w:rPr>
          <w:spacing w:val="-1"/>
          <w:sz w:val="24"/>
        </w:rPr>
        <w:t>质保期外，中标供应商应提供长期技术支持，负责设备维护、维修、更</w:t>
      </w:r>
      <w:r>
        <w:rPr>
          <w:sz w:val="24"/>
        </w:rPr>
        <w:t>换等工作</w:t>
      </w:r>
      <w:r>
        <w:rPr>
          <w:rFonts w:hint="eastAsia"/>
          <w:sz w:val="24"/>
          <w:lang w:eastAsia="zh-CN"/>
        </w:rPr>
        <w:t>；</w:t>
      </w:r>
    </w:p>
    <w:p>
      <w:pPr>
        <w:pStyle w:val="17"/>
        <w:tabs>
          <w:tab w:val="left" w:pos="2182"/>
        </w:tabs>
        <w:adjustRightInd w:val="0"/>
        <w:snapToGrid w:val="0"/>
        <w:spacing w:line="360" w:lineRule="auto"/>
        <w:ind w:left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项目交付时，提供软件数据库表结构及密码，终身提供对接服务。</w:t>
      </w:r>
    </w:p>
    <w:p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五、项目验收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2"/>
          <w:lang w:val="zh-CN" w:bidi="zh-CN"/>
        </w:rPr>
      </w:pPr>
      <w:r>
        <w:rPr>
          <w:rFonts w:ascii="宋体" w:hAnsi="宋体" w:cs="宋体"/>
          <w:kern w:val="0"/>
          <w:sz w:val="24"/>
          <w:szCs w:val="22"/>
          <w:lang w:val="zh-CN" w:bidi="zh-CN"/>
        </w:rPr>
        <w:t>1</w:t>
      </w:r>
      <w:r>
        <w:rPr>
          <w:rFonts w:hint="eastAsia" w:ascii="宋体" w:hAnsi="宋体" w:cs="宋体"/>
          <w:kern w:val="0"/>
          <w:sz w:val="24"/>
          <w:szCs w:val="22"/>
          <w:lang w:val="zh-CN" w:bidi="zh-CN"/>
        </w:rPr>
        <w:t>、甲方应当在到货后的</w:t>
      </w:r>
      <w:r>
        <w:rPr>
          <w:rFonts w:hint="eastAsia" w:ascii="宋体" w:hAnsi="宋体" w:cs="宋体"/>
          <w:kern w:val="0"/>
          <w:sz w:val="24"/>
          <w:szCs w:val="22"/>
          <w:u w:val="single"/>
          <w:lang w:val="zh-CN" w:bidi="zh-CN"/>
        </w:rPr>
        <w:t xml:space="preserve"> </w:t>
      </w:r>
      <w:r>
        <w:rPr>
          <w:rFonts w:ascii="宋体" w:hAnsi="宋体" w:cs="宋体"/>
          <w:kern w:val="0"/>
          <w:sz w:val="24"/>
          <w:szCs w:val="22"/>
          <w:u w:val="single"/>
          <w:lang w:val="zh-CN" w:bidi="zh-CN"/>
        </w:rPr>
        <w:t>3</w:t>
      </w:r>
      <w:r>
        <w:rPr>
          <w:rFonts w:hint="eastAsia" w:ascii="宋体" w:hAnsi="宋体" w:cs="宋体"/>
          <w:kern w:val="0"/>
          <w:sz w:val="24"/>
          <w:szCs w:val="22"/>
          <w:lang w:val="zh-CN" w:bidi="zh-CN"/>
        </w:rPr>
        <w:t>个工作日内组织技术人员对货物进行初步验货；需要乙方对货物或系统进行安装调试的，甲方应货物安装调试完毕后的</w:t>
      </w:r>
      <w:r>
        <w:rPr>
          <w:rFonts w:hint="eastAsia" w:ascii="宋体" w:hAnsi="宋体" w:cs="宋体"/>
          <w:kern w:val="0"/>
          <w:sz w:val="24"/>
          <w:szCs w:val="22"/>
          <w:u w:val="single"/>
          <w:lang w:val="zh-CN" w:bidi="zh-CN"/>
        </w:rPr>
        <w:t xml:space="preserve"> </w:t>
      </w:r>
      <w:r>
        <w:rPr>
          <w:rFonts w:ascii="宋体" w:hAnsi="宋体" w:cs="宋体"/>
          <w:kern w:val="0"/>
          <w:sz w:val="24"/>
          <w:szCs w:val="22"/>
          <w:u w:val="single"/>
          <w:lang w:val="zh-CN" w:bidi="zh-CN"/>
        </w:rPr>
        <w:t>5</w:t>
      </w:r>
      <w:r>
        <w:rPr>
          <w:rFonts w:hint="eastAsia" w:ascii="宋体" w:hAnsi="宋体" w:cs="宋体"/>
          <w:kern w:val="0"/>
          <w:sz w:val="24"/>
          <w:szCs w:val="22"/>
          <w:lang w:val="zh-CN" w:bidi="zh-CN"/>
        </w:rPr>
        <w:t>个工作日内进行质量验收。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2"/>
          <w:lang w:val="zh-CN" w:bidi="zh-CN"/>
        </w:rPr>
      </w:pPr>
      <w:r>
        <w:rPr>
          <w:rFonts w:ascii="宋体" w:hAnsi="宋体" w:cs="宋体"/>
          <w:kern w:val="0"/>
          <w:sz w:val="24"/>
          <w:szCs w:val="22"/>
          <w:lang w:val="zh-CN" w:bidi="zh-CN"/>
        </w:rPr>
        <w:t>2</w:t>
      </w:r>
      <w:r>
        <w:rPr>
          <w:rFonts w:hint="eastAsia" w:ascii="宋体" w:hAnsi="宋体" w:cs="宋体"/>
          <w:kern w:val="0"/>
          <w:sz w:val="24"/>
          <w:szCs w:val="22"/>
          <w:lang w:val="zh-CN" w:bidi="zh-CN"/>
        </w:rPr>
        <w:t>、项目最终验收，由甲方组织验收小组按照相关要求及本合同的相关约定，验收小组验收合格后为最终验收通过，乙方须全力配合验收小组的验收工作。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2"/>
          <w:lang w:val="zh-CN" w:bidi="zh-CN"/>
        </w:rPr>
      </w:pPr>
      <w:r>
        <w:rPr>
          <w:rFonts w:ascii="宋体" w:hAnsi="宋体" w:cs="宋体"/>
          <w:kern w:val="0"/>
          <w:sz w:val="24"/>
          <w:szCs w:val="22"/>
          <w:lang w:val="zh-CN" w:bidi="zh-CN"/>
        </w:rPr>
        <w:t>3</w:t>
      </w:r>
      <w:r>
        <w:rPr>
          <w:rFonts w:hint="eastAsia" w:ascii="宋体" w:hAnsi="宋体" w:cs="宋体"/>
          <w:kern w:val="0"/>
          <w:sz w:val="24"/>
          <w:szCs w:val="22"/>
          <w:lang w:val="zh-CN" w:bidi="zh-CN"/>
        </w:rPr>
        <w:t>、项目自验收通过之日起，进入质保期。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2"/>
          <w:lang w:val="zh-CN" w:bidi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cs="宋体"/>
          <w:sz w:val="24"/>
          <w:szCs w:val="24"/>
        </w:rPr>
        <w:t>验收依据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</w:rPr>
        <w:t xml:space="preserve"> 1</w:t>
      </w:r>
      <w:r>
        <w:rPr>
          <w:rFonts w:hint="eastAsia" w:ascii="宋体" w:hAnsi="宋体" w:cs="宋体"/>
          <w:sz w:val="24"/>
          <w:szCs w:val="24"/>
          <w:lang w:eastAsia="zh-CN"/>
        </w:rPr>
        <w:t>）磋商</w:t>
      </w:r>
      <w:r>
        <w:rPr>
          <w:rFonts w:hint="eastAsia" w:ascii="宋体" w:hAnsi="宋体" w:cs="宋体"/>
          <w:sz w:val="24"/>
          <w:szCs w:val="24"/>
        </w:rPr>
        <w:t>文件、</w:t>
      </w:r>
      <w:r>
        <w:rPr>
          <w:rFonts w:hint="eastAsia" w:ascii="宋体" w:hAnsi="宋体" w:cs="宋体"/>
          <w:sz w:val="24"/>
          <w:szCs w:val="24"/>
          <w:lang w:eastAsia="zh-CN"/>
        </w:rPr>
        <w:t>响应</w:t>
      </w:r>
      <w:r>
        <w:rPr>
          <w:rFonts w:hint="eastAsia" w:ascii="宋体" w:hAnsi="宋体" w:cs="宋体"/>
          <w:sz w:val="24"/>
          <w:szCs w:val="24"/>
        </w:rPr>
        <w:t>文件、澄清表（函）； 2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本合同及附件文本； 3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国家相应的标准、规范。</w:t>
      </w:r>
    </w:p>
    <w:p>
      <w:pPr>
        <w:bidi w:val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六、其他要求</w:t>
      </w:r>
      <w:bookmarkStart w:id="0" w:name="_GoBack"/>
      <w:bookmarkEnd w:id="0"/>
    </w:p>
    <w:p>
      <w:pPr>
        <w:adjustRightInd w:val="0"/>
        <w:snapToGrid w:val="0"/>
        <w:spacing w:line="360" w:lineRule="auto"/>
        <w:ind w:firstLine="488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2"/>
          <w:sz w:val="24"/>
        </w:rPr>
        <w:t>1)系统建成并投入正常运行、验收通过后进入质保期。定制</w:t>
      </w:r>
      <w:r>
        <w:rPr>
          <w:rFonts w:hint="eastAsia" w:ascii="宋体" w:hAnsi="宋体"/>
          <w:spacing w:val="-6"/>
          <w:sz w:val="24"/>
        </w:rPr>
        <w:t>软件质保期为</w:t>
      </w:r>
      <w:r>
        <w:rPr>
          <w:rFonts w:hint="eastAsia" w:ascii="宋体" w:hAnsi="宋体"/>
          <w:spacing w:val="-74"/>
          <w:sz w:val="24"/>
        </w:rPr>
        <w:t xml:space="preserve"> </w:t>
      </w:r>
      <w:r>
        <w:rPr>
          <w:rFonts w:hint="eastAsia" w:ascii="宋体" w:hAnsi="宋体"/>
          <w:spacing w:val="12"/>
          <w:sz w:val="24"/>
          <w:u w:val="single"/>
        </w:rPr>
        <w:t xml:space="preserve">  </w:t>
      </w:r>
      <w:r>
        <w:rPr>
          <w:rFonts w:hint="eastAsia" w:ascii="宋体" w:hAnsi="宋体"/>
          <w:spacing w:val="-6"/>
          <w:sz w:val="24"/>
          <w:u w:val="single"/>
        </w:rPr>
        <w:t>1</w:t>
      </w:r>
      <w:r>
        <w:rPr>
          <w:rFonts w:hint="eastAsia" w:ascii="宋体" w:hAnsi="宋体"/>
          <w:spacing w:val="-6"/>
          <w:sz w:val="24"/>
        </w:rPr>
        <w:t>年、设备类质保期</w:t>
      </w:r>
      <w:r>
        <w:rPr>
          <w:rFonts w:hint="eastAsia" w:ascii="宋体" w:hAnsi="宋体"/>
          <w:spacing w:val="-1"/>
          <w:sz w:val="24"/>
        </w:rPr>
        <w:t xml:space="preserve"> </w:t>
      </w:r>
      <w:r>
        <w:rPr>
          <w:rFonts w:hint="eastAsia" w:ascii="宋体" w:hAnsi="宋体"/>
          <w:spacing w:val="18"/>
          <w:sz w:val="24"/>
          <w:u w:val="single"/>
        </w:rPr>
        <w:t xml:space="preserve"> </w:t>
      </w:r>
      <w:r>
        <w:rPr>
          <w:rFonts w:hint="eastAsia" w:ascii="宋体" w:hAnsi="宋体"/>
          <w:spacing w:val="-6"/>
          <w:sz w:val="24"/>
          <w:u w:val="single"/>
        </w:rPr>
        <w:t>1</w:t>
      </w:r>
      <w:r>
        <w:rPr>
          <w:rFonts w:hint="eastAsia" w:ascii="宋体" w:hAnsi="宋体"/>
          <w:spacing w:val="6"/>
          <w:sz w:val="24"/>
          <w:u w:val="single"/>
        </w:rPr>
        <w:t xml:space="preserve"> </w:t>
      </w:r>
      <w:r>
        <w:rPr>
          <w:rFonts w:hint="eastAsia" w:ascii="宋体" w:hAnsi="宋体"/>
          <w:spacing w:val="-6"/>
          <w:sz w:val="24"/>
        </w:rPr>
        <w:t>年，质保期内应按照</w:t>
      </w:r>
      <w:r>
        <w:rPr>
          <w:rFonts w:hint="eastAsia" w:ascii="宋体" w:hAnsi="宋体"/>
          <w:spacing w:val="2"/>
          <w:sz w:val="24"/>
        </w:rPr>
        <w:t>招标文件的售后服务要求和规定实施。</w:t>
      </w:r>
    </w:p>
    <w:p>
      <w:pPr>
        <w:adjustRightInd w:val="0"/>
        <w:snapToGrid w:val="0"/>
        <w:spacing w:line="360" w:lineRule="auto"/>
        <w:ind w:firstLine="488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2"/>
          <w:sz w:val="24"/>
        </w:rPr>
        <w:t>2)在质保期内，乙方需对系统和设备的正常使用给予保障</w:t>
      </w:r>
      <w:r>
        <w:rPr>
          <w:rFonts w:hint="eastAsia" w:ascii="宋体" w:hAnsi="宋体"/>
          <w:spacing w:val="1"/>
          <w:sz w:val="24"/>
        </w:rPr>
        <w:t>。</w:t>
      </w:r>
      <w:r>
        <w:rPr>
          <w:rFonts w:hint="eastAsia" w:ascii="宋体" w:hAnsi="宋体"/>
          <w:spacing w:val="7"/>
          <w:sz w:val="24"/>
        </w:rPr>
        <w:t>在系统故障无法运行时，乙方须在接到甲方通知后，如在2小时</w:t>
      </w:r>
      <w:r>
        <w:rPr>
          <w:rFonts w:hint="eastAsia" w:ascii="宋体" w:hAnsi="宋体"/>
          <w:spacing w:val="10"/>
          <w:sz w:val="24"/>
        </w:rPr>
        <w:t xml:space="preserve"> </w:t>
      </w:r>
      <w:r>
        <w:rPr>
          <w:rFonts w:hint="eastAsia" w:ascii="宋体" w:hAnsi="宋体"/>
          <w:spacing w:val="11"/>
          <w:sz w:val="24"/>
        </w:rPr>
        <w:t>内无法电话解决甲方维修要求的，应在报修后24小时内派工</w:t>
      </w:r>
      <w:r>
        <w:rPr>
          <w:rFonts w:hint="eastAsia" w:ascii="宋体" w:hAnsi="宋体"/>
          <w:spacing w:val="10"/>
          <w:sz w:val="24"/>
        </w:rPr>
        <w:t>程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pacing w:val="11"/>
          <w:sz w:val="24"/>
        </w:rPr>
        <w:t>师到达现场，并在到达现场后24小时内恢复系统和设备的正常</w:t>
      </w:r>
      <w:r>
        <w:rPr>
          <w:rFonts w:hint="eastAsia" w:ascii="宋体" w:hAnsi="宋体"/>
          <w:spacing w:val="1"/>
          <w:sz w:val="24"/>
        </w:rPr>
        <w:t>使用，相关费用由乙方承担。</w:t>
      </w:r>
    </w:p>
    <w:p>
      <w:pPr>
        <w:adjustRightInd w:val="0"/>
        <w:snapToGrid w:val="0"/>
        <w:spacing w:line="360" w:lineRule="auto"/>
        <w:ind w:firstLine="49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pacing w:val="3"/>
          <w:sz w:val="24"/>
        </w:rPr>
        <w:t>3)在质保期内，甲方将对系统功能进行逐项验证。乙方对甲</w:t>
      </w:r>
      <w:r>
        <w:rPr>
          <w:rFonts w:hint="eastAsia" w:ascii="宋体" w:hAnsi="宋体"/>
          <w:spacing w:val="4"/>
          <w:sz w:val="24"/>
        </w:rPr>
        <w:t>方发现的合同要求功能内的问题进行修改和完善</w:t>
      </w:r>
      <w:r>
        <w:rPr>
          <w:rFonts w:hint="eastAsia" w:ascii="宋体" w:hAnsi="宋体"/>
          <w:spacing w:val="3"/>
          <w:sz w:val="24"/>
        </w:rPr>
        <w:t>，相关费用由乙</w:t>
      </w:r>
      <w:r>
        <w:rPr>
          <w:rFonts w:hint="eastAsia" w:ascii="宋体" w:hAnsi="宋体"/>
          <w:spacing w:val="-8"/>
          <w:sz w:val="24"/>
        </w:rPr>
        <w:t>方承担。</w:t>
      </w:r>
    </w:p>
    <w:p>
      <w:pPr>
        <w:adjustRightInd w:val="0"/>
        <w:snapToGrid w:val="0"/>
        <w:spacing w:line="360" w:lineRule="auto"/>
        <w:ind w:firstLine="488" w:firstLineChars="200"/>
        <w:rPr>
          <w:rFonts w:ascii="宋体" w:hAnsi="宋体"/>
          <w:spacing w:val="2"/>
          <w:position w:val="15"/>
          <w:sz w:val="24"/>
        </w:rPr>
      </w:pPr>
      <w:r>
        <w:rPr>
          <w:rFonts w:hint="eastAsia" w:ascii="宋体" w:hAnsi="宋体"/>
          <w:spacing w:val="2"/>
          <w:position w:val="15"/>
          <w:sz w:val="24"/>
        </w:rPr>
        <w:t>4)质保期后，乙方应保证在接到甲方电话通知后，提供7*24小时的服务响应，如在2小时内无法电话解决甲方维修要求的，</w:t>
      </w:r>
      <w:r>
        <w:rPr>
          <w:rFonts w:ascii="宋体" w:hAnsi="宋体"/>
          <w:spacing w:val="2"/>
          <w:position w:val="15"/>
          <w:sz w:val="24"/>
        </w:rPr>
        <w:t>应在报修后24小时内派工程师到达现场，并在到达现场后24小时内恢复系统和设备的正常运行，相关费用由甲方承担。</w:t>
      </w:r>
    </w:p>
    <w:p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ascii="宋体" w:hAnsi="宋体" w:cs="宋体"/>
          <w:kern w:val="0"/>
          <w:sz w:val="24"/>
          <w:szCs w:val="22"/>
          <w:lang w:val="zh-CN" w:bidi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E2048"/>
    <w:multiLevelType w:val="multilevel"/>
    <w:tmpl w:val="59FE2048"/>
    <w:lvl w:ilvl="0" w:tentative="0">
      <w:start w:val="1"/>
      <w:numFmt w:val="chineseCountingThousand"/>
      <w:pStyle w:val="2"/>
      <w:lvlText w:val="%1、"/>
      <w:lvlJc w:val="left"/>
      <w:pPr>
        <w:ind w:left="85" w:hanging="85"/>
      </w:pPr>
      <w:rPr>
        <w:rFonts w:hint="eastAsia" w:ascii="宋体" w:hAnsi="宋体" w:eastAsia="宋体"/>
        <w:b/>
        <w:i w:val="0"/>
        <w:sz w:val="48"/>
      </w:rPr>
    </w:lvl>
    <w:lvl w:ilvl="1" w:tentative="0">
      <w:start w:val="1"/>
      <w:numFmt w:val="decimal"/>
      <w:isLgl/>
      <w:lvlText w:val="%1.%2"/>
      <w:lvlJc w:val="left"/>
      <w:pPr>
        <w:ind w:left="85" w:hanging="85"/>
      </w:pPr>
      <w:rPr>
        <w:rFonts w:hint="eastAsia" w:ascii="宋体" w:hAnsi="宋体" w:eastAsia="宋体"/>
        <w:b/>
        <w:i w:val="0"/>
        <w:sz w:val="36"/>
      </w:rPr>
    </w:lvl>
    <w:lvl w:ilvl="2" w:tentative="0">
      <w:start w:val="1"/>
      <w:numFmt w:val="decimal"/>
      <w:isLgl/>
      <w:lvlText w:val="%1.%2.%3"/>
      <w:lvlJc w:val="left"/>
      <w:pPr>
        <w:ind w:left="85" w:hanging="85"/>
      </w:pPr>
      <w:rPr>
        <w:rFonts w:hint="eastAsia" w:ascii="宋体" w:eastAsia="宋体"/>
        <w:b/>
        <w:i w:val="0"/>
        <w:sz w:val="32"/>
      </w:rPr>
    </w:lvl>
    <w:lvl w:ilvl="3" w:tentative="0">
      <w:start w:val="1"/>
      <w:numFmt w:val="decimal"/>
      <w:isLgl/>
      <w:lvlText w:val="%1.%2.%3.%4"/>
      <w:lvlJc w:val="left"/>
      <w:pPr>
        <w:ind w:left="85" w:hanging="85"/>
      </w:pPr>
      <w:rPr>
        <w:rFonts w:hint="eastAsia" w:ascii="宋体" w:eastAsia="宋体"/>
        <w:sz w:val="30"/>
      </w:rPr>
    </w:lvl>
    <w:lvl w:ilvl="4" w:tentative="0">
      <w:start w:val="1"/>
      <w:numFmt w:val="decimal"/>
      <w:pStyle w:val="4"/>
      <w:isLgl/>
      <w:lvlText w:val="%1.%2.%3.%4.%5"/>
      <w:lvlJc w:val="left"/>
      <w:pPr>
        <w:ind w:left="85" w:hanging="85"/>
      </w:pPr>
      <w:rPr>
        <w:rFonts w:hint="eastAsia" w:ascii="宋体" w:eastAsia="宋体"/>
        <w:b w:val="0"/>
        <w:i w:val="0"/>
        <w:sz w:val="28"/>
      </w:rPr>
    </w:lvl>
    <w:lvl w:ilvl="5" w:tentative="0">
      <w:start w:val="1"/>
      <w:numFmt w:val="decimal"/>
      <w:isLgl/>
      <w:lvlText w:val="%1.%2.%3.%4.%5.%6"/>
      <w:lvlJc w:val="left"/>
      <w:pPr>
        <w:ind w:left="85" w:hanging="85"/>
      </w:pPr>
      <w:rPr>
        <w:rFonts w:hint="eastAsia" w:ascii="宋体" w:eastAsia="宋体"/>
        <w:b w:val="0"/>
        <w:i w:val="0"/>
        <w:sz w:val="24"/>
      </w:rPr>
    </w:lvl>
    <w:lvl w:ilvl="6" w:tentative="0">
      <w:start w:val="1"/>
      <w:numFmt w:val="decimal"/>
      <w:isLgl/>
      <w:lvlText w:val="%1.%2.%3.%4.%5.%6.%7"/>
      <w:lvlJc w:val="left"/>
      <w:pPr>
        <w:ind w:left="85" w:hanging="85"/>
      </w:pPr>
      <w:rPr>
        <w:rFonts w:hint="eastAsia" w:ascii="宋体" w:eastAsia="宋体"/>
        <w:sz w:val="24"/>
      </w:rPr>
    </w:lvl>
    <w:lvl w:ilvl="7" w:tentative="0">
      <w:start w:val="1"/>
      <w:numFmt w:val="decimal"/>
      <w:isLgl/>
      <w:lvlText w:val="%1.%2.%3.%4.%5.%6.%7.%8"/>
      <w:lvlJc w:val="left"/>
      <w:pPr>
        <w:ind w:left="85" w:hanging="85"/>
      </w:pPr>
      <w:rPr>
        <w:rFonts w:hint="eastAsia" w:ascii="宋体" w:eastAsia="宋体"/>
        <w:b w:val="0"/>
        <w:i w:val="0"/>
        <w:sz w:val="24"/>
      </w:rPr>
    </w:lvl>
    <w:lvl w:ilvl="8" w:tentative="0">
      <w:start w:val="1"/>
      <w:numFmt w:val="decimal"/>
      <w:isLgl/>
      <w:lvlText w:val="%1.%2.%3.%4.%5.%6.%7.%8.%9"/>
      <w:lvlJc w:val="left"/>
      <w:pPr>
        <w:ind w:left="85" w:hanging="85"/>
      </w:pPr>
      <w:rPr>
        <w:rFonts w:hint="eastAsia" w:ascii="宋体" w:eastAsia="宋体"/>
        <w:b w:val="0"/>
        <w:i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gxYmJmMmI1NDA1ZGYxMzdlOTBjNGIyMDAwYTU2OGIifQ=="/>
  </w:docVars>
  <w:rsids>
    <w:rsidRoot w:val="00E553C6"/>
    <w:rsid w:val="00014853"/>
    <w:rsid w:val="00065DD7"/>
    <w:rsid w:val="000E4BF0"/>
    <w:rsid w:val="00191AE2"/>
    <w:rsid w:val="00220110"/>
    <w:rsid w:val="00280290"/>
    <w:rsid w:val="00341D5B"/>
    <w:rsid w:val="003E4275"/>
    <w:rsid w:val="00475195"/>
    <w:rsid w:val="004A752A"/>
    <w:rsid w:val="00577B06"/>
    <w:rsid w:val="00667C81"/>
    <w:rsid w:val="00790E65"/>
    <w:rsid w:val="007A0113"/>
    <w:rsid w:val="007B4BD3"/>
    <w:rsid w:val="008807E2"/>
    <w:rsid w:val="00903C78"/>
    <w:rsid w:val="009B2291"/>
    <w:rsid w:val="009E4BF6"/>
    <w:rsid w:val="00A049B3"/>
    <w:rsid w:val="00BE3612"/>
    <w:rsid w:val="00C05A78"/>
    <w:rsid w:val="00CB7E7F"/>
    <w:rsid w:val="00E553C6"/>
    <w:rsid w:val="00E64E91"/>
    <w:rsid w:val="00E73A3D"/>
    <w:rsid w:val="00F34175"/>
    <w:rsid w:val="00F82A71"/>
    <w:rsid w:val="06E415DA"/>
    <w:rsid w:val="0B114967"/>
    <w:rsid w:val="0CC412BA"/>
    <w:rsid w:val="0E122ED0"/>
    <w:rsid w:val="11DA3D05"/>
    <w:rsid w:val="15916DD0"/>
    <w:rsid w:val="1ED43B26"/>
    <w:rsid w:val="27CC5A46"/>
    <w:rsid w:val="28612632"/>
    <w:rsid w:val="2AB94FB3"/>
    <w:rsid w:val="2B4E44EE"/>
    <w:rsid w:val="2F656EAC"/>
    <w:rsid w:val="36E56B24"/>
    <w:rsid w:val="39B50A30"/>
    <w:rsid w:val="3DEE4786"/>
    <w:rsid w:val="3EF64A27"/>
    <w:rsid w:val="427A2817"/>
    <w:rsid w:val="44D07B86"/>
    <w:rsid w:val="48B545A9"/>
    <w:rsid w:val="490A5B77"/>
    <w:rsid w:val="4DD059E1"/>
    <w:rsid w:val="50A76ECD"/>
    <w:rsid w:val="51BC69A8"/>
    <w:rsid w:val="5F922AF6"/>
    <w:rsid w:val="697D3B0D"/>
    <w:rsid w:val="6D9739CD"/>
    <w:rsid w:val="6F4C3755"/>
    <w:rsid w:val="7447229C"/>
    <w:rsid w:val="7F480FCB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等线 Light" w:hAnsi="等线 Light"/>
      <w:b/>
      <w:bCs/>
      <w:sz w:val="24"/>
      <w:szCs w:val="32"/>
    </w:rPr>
  </w:style>
  <w:style w:type="paragraph" w:styleId="4">
    <w:name w:val="heading 5"/>
    <w:basedOn w:val="1"/>
    <w:next w:val="1"/>
    <w:link w:val="11"/>
    <w:unhideWhenUsed/>
    <w:qFormat/>
    <w:uiPriority w:val="0"/>
    <w:pPr>
      <w:keepNext/>
      <w:keepLines/>
      <w:numPr>
        <w:ilvl w:val="4"/>
        <w:numId w:val="1"/>
      </w:numPr>
      <w:tabs>
        <w:tab w:val="left" w:pos="1418"/>
      </w:tabs>
      <w:spacing w:before="50" w:beforeLines="50" w:after="50" w:afterLines="50"/>
      <w:outlineLvl w:val="4"/>
    </w:pPr>
    <w:rPr>
      <w:rFonts w:ascii="宋体" w:eastAsia="仿宋" w:hAnsiTheme="minorHAnsi" w:cstheme="minorBidi"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6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4"/>
      <w:lang w:val="zh-CN" w:bidi="zh-CN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customStyle="1" w:styleId="10">
    <w:name w:val="Body Text Indent 21"/>
    <w:basedOn w:val="1"/>
    <w:qFormat/>
    <w:uiPriority w:val="99"/>
    <w:pPr>
      <w:spacing w:line="480" w:lineRule="auto"/>
      <w:ind w:left="420" w:leftChars="200"/>
    </w:pPr>
    <w:rPr>
      <w:rFonts w:asciiTheme="minorHAnsi" w:hAnsiTheme="minorHAnsi" w:eastAsiaTheme="minorEastAsia" w:cstheme="minorBidi"/>
      <w:sz w:val="24"/>
      <w:szCs w:val="22"/>
    </w:rPr>
  </w:style>
  <w:style w:type="character" w:customStyle="1" w:styleId="11">
    <w:name w:val="标题 5 字符"/>
    <w:basedOn w:val="9"/>
    <w:link w:val="4"/>
    <w:qFormat/>
    <w:uiPriority w:val="0"/>
    <w:rPr>
      <w:rFonts w:ascii="宋体" w:eastAsia="仿宋"/>
      <w:bCs/>
      <w:sz w:val="28"/>
      <w:szCs w:val="28"/>
    </w:rPr>
  </w:style>
  <w:style w:type="character" w:customStyle="1" w:styleId="12">
    <w:name w:val="标题 1 字符"/>
    <w:basedOn w:val="9"/>
    <w:link w:val="2"/>
    <w:qFormat/>
    <w:uiPriority w:val="0"/>
    <w:rPr>
      <w:rFonts w:eastAsia="宋体"/>
      <w:b/>
      <w:bCs/>
      <w:kern w:val="44"/>
      <w:sz w:val="44"/>
      <w:szCs w:val="44"/>
    </w:rPr>
  </w:style>
  <w:style w:type="character" w:customStyle="1" w:styleId="13">
    <w:name w:val="页眉 字符"/>
    <w:basedOn w:val="9"/>
    <w:link w:val="7"/>
    <w:uiPriority w:val="99"/>
    <w:rPr>
      <w:sz w:val="18"/>
      <w:szCs w:val="18"/>
    </w:rPr>
  </w:style>
  <w:style w:type="character" w:customStyle="1" w:styleId="14">
    <w:name w:val="页脚 字符"/>
    <w:basedOn w:val="9"/>
    <w:link w:val="6"/>
    <w:qFormat/>
    <w:uiPriority w:val="99"/>
    <w:rPr>
      <w:sz w:val="18"/>
      <w:szCs w:val="18"/>
    </w:rPr>
  </w:style>
  <w:style w:type="character" w:customStyle="1" w:styleId="15">
    <w:name w:val="标题 2 字符"/>
    <w:basedOn w:val="9"/>
    <w:link w:val="3"/>
    <w:qFormat/>
    <w:uiPriority w:val="0"/>
    <w:rPr>
      <w:rFonts w:ascii="等线 Light" w:hAnsi="等线 Light" w:eastAsia="宋体" w:cs="Times New Roman"/>
      <w:b/>
      <w:bCs/>
      <w:sz w:val="24"/>
      <w:szCs w:val="32"/>
    </w:rPr>
  </w:style>
  <w:style w:type="character" w:customStyle="1" w:styleId="16">
    <w:name w:val="正文文本 字符"/>
    <w:basedOn w:val="9"/>
    <w:link w:val="5"/>
    <w:qFormat/>
    <w:uiPriority w:val="1"/>
    <w:rPr>
      <w:rFonts w:ascii="宋体" w:hAnsi="宋体" w:eastAsia="宋体" w:cs="宋体"/>
      <w:kern w:val="0"/>
      <w:sz w:val="24"/>
      <w:szCs w:val="24"/>
      <w:lang w:val="zh-CN" w:bidi="zh-CN"/>
    </w:rPr>
  </w:style>
  <w:style w:type="paragraph" w:styleId="17">
    <w:name w:val="List Paragraph"/>
    <w:basedOn w:val="1"/>
    <w:qFormat/>
    <w:uiPriority w:val="1"/>
    <w:pPr>
      <w:autoSpaceDE w:val="0"/>
      <w:autoSpaceDN w:val="0"/>
      <w:ind w:left="1100" w:firstLine="479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467</Words>
  <Characters>2664</Characters>
  <Lines>22</Lines>
  <Paragraphs>6</Paragraphs>
  <TotalTime>0</TotalTime>
  <ScaleCrop>false</ScaleCrop>
  <LinksUpToDate>false</LinksUpToDate>
  <CharactersWithSpaces>3125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2023-07-27T07:41:00Z</dcterms:created>
  <dc:creator>郑 颖鑫</dc:creator>
  <cp:lastModifiedBy>红谷滩</cp:lastModifiedBy>
  <dcterms:modified xsi:type="dcterms:W3CDTF">2023-08-02T00:16:21Z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A2EE1ED664324C9CB3DD720ACCB13743_12</vt:lpwstr>
  </property>
</Properties>
</file>