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hint="eastAsia"/>
        </w:rPr>
      </w:pPr>
      <w:r>
        <w:rPr>
          <w:rFonts w:hint="eastAsia"/>
        </w:rPr>
        <w:t>采购包1：供应商应在磋商报价表中标明完成本次磋商所要求内容且验收合格的所有费用。包括但不限于人工费、机械费、圈建费、管理费、风险费用、利润、税金、成交代理服务费等其他一切相关费用。磋商报价表中标明本次服务的所有单项价格和总价，任何有选择的报价将不予接受，否则按无效磋商处理。</w:t>
      </w:r>
      <w:r>
        <w:rPr>
          <w:rFonts w:hint="eastAsia"/>
          <w:b/>
          <w:bCs/>
        </w:rPr>
        <w:t>围墙圈建工程量2380m，固定单价最高限价：680元/m。超过本项目采购预算或固定单价最高限价的，按无效磋商处理；最终根据实际工程量与成交单价据实结算。若结算金额的总计高于最高限价时以本项目最高限价作为结算金额。</w:t>
      </w:r>
      <w:r>
        <w:rPr>
          <w:rFonts w:hint="eastAsia"/>
        </w:rPr>
        <w:br w:type="textWrapping"/>
      </w:r>
    </w:p>
    <w:p>
      <w:pPr>
        <w:ind w:firstLine="420" w:firstLineChars="200"/>
      </w:pPr>
      <w:r>
        <w:rPr>
          <w:rFonts w:hint="eastAsia"/>
        </w:rPr>
        <w:t>采购包2：磋商报价：供应商应在磋商报价表中标明完成本次磋商所要求内容且验收合格的所有费用。包括但不限于人工费、机械费、内倒费、管理费、风险费用、利润、税金、成交代理服务费等其他一切相关费用。磋商报价表中标明本次服务的所有单项价格和总价，任何有选择的报价将不予接受，否则按无效磋商处理。</w:t>
      </w:r>
      <w:r>
        <w:rPr>
          <w:rFonts w:hint="eastAsia"/>
          <w:b/>
          <w:bCs/>
        </w:rPr>
        <w:t>内倒土方工程量77039.5m³，固定单价最高限价：20元/m³。超过本项目采购预算或固定单价最高限价的，按无效磋商处理；最终根据实际工程量与成交单价据实结算。若结算金额的总计高于最高限价时以本项目最高限价作为结算金额。</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04B14250"/>
    <w:rsid w:val="04B14250"/>
    <w:rsid w:val="419D4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2023-12-01T09:09:00Z</dcterms:created>
  <dc:creator>归 路 </dc:creator>
  <cp:lastModifiedBy>归 路 </cp:lastModifiedBy>
  <dcterms:modified xsi:type="dcterms:W3CDTF">2023-12-01T09:10:39Z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BB657E69AF5C4A9D8DD726786201E060_11</vt:lpwstr>
  </property>
</Properties>
</file>