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 xml:space="preserve">入场登记号：XA-2023-001295-B01  </w:t>
      </w:r>
    </w:p>
    <w:p>
      <w:pPr>
        <w:spacing w:line="360" w:lineRule="auto"/>
        <w:jc w:val="both"/>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 xml:space="preserve">项目编号：SXXYCZB-GK-20230928 </w:t>
      </w:r>
    </w:p>
    <w:p>
      <w:pPr>
        <w:pStyle w:val="41"/>
        <w:spacing w:line="360" w:lineRule="auto"/>
        <w:rPr>
          <w:rFonts w:hint="eastAsia" w:ascii="宋体" w:hAnsi="宋体" w:eastAsia="宋体" w:cs="宋体"/>
          <w:sz w:val="24"/>
          <w:szCs w:val="24"/>
          <w:highlight w:val="none"/>
          <w:lang w:val="en-US" w:eastAsia="zh-CN"/>
        </w:rPr>
      </w:pPr>
    </w:p>
    <w:p>
      <w:pPr>
        <w:pStyle w:val="41"/>
        <w:spacing w:line="360" w:lineRule="auto"/>
        <w:rPr>
          <w:rFonts w:hint="eastAsia" w:ascii="宋体" w:hAnsi="宋体" w:eastAsia="宋体" w:cs="宋体"/>
          <w:sz w:val="24"/>
          <w:szCs w:val="24"/>
          <w:highlight w:val="none"/>
          <w:lang w:val="en-US" w:eastAsia="zh-CN"/>
        </w:rPr>
      </w:pPr>
    </w:p>
    <w:p>
      <w:pPr>
        <w:spacing w:line="360" w:lineRule="auto"/>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中医医院后勤和安保服务项目</w:t>
      </w:r>
    </w:p>
    <w:p>
      <w:pPr>
        <w:pStyle w:val="17"/>
        <w:spacing w:line="360" w:lineRule="auto"/>
        <w:rPr>
          <w:rFonts w:hint="eastAsia" w:ascii="宋体" w:hAnsi="宋体" w:eastAsia="宋体" w:cs="宋体"/>
          <w:sz w:val="44"/>
          <w:szCs w:val="44"/>
          <w:lang w:val="en-US" w:eastAsia="zh-CN"/>
        </w:rPr>
      </w:pPr>
    </w:p>
    <w:p>
      <w:pPr>
        <w:spacing w:line="360" w:lineRule="auto"/>
        <w:jc w:val="center"/>
        <w:rPr>
          <w:rFonts w:hint="eastAsia" w:ascii="宋体" w:hAnsi="宋体" w:eastAsia="宋体" w:cs="宋体"/>
          <w:b/>
          <w:sz w:val="44"/>
          <w:szCs w:val="44"/>
          <w:highlight w:val="none"/>
          <w:lang w:val="en-US" w:eastAsia="zh-CN"/>
        </w:rPr>
      </w:pPr>
    </w:p>
    <w:p>
      <w:pPr>
        <w:spacing w:line="360" w:lineRule="auto"/>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lang w:val="en-US" w:eastAsia="zh-CN"/>
        </w:rPr>
        <w:t>招标</w:t>
      </w:r>
      <w:r>
        <w:rPr>
          <w:rFonts w:hint="eastAsia" w:ascii="宋体" w:hAnsi="宋体" w:eastAsia="宋体" w:cs="宋体"/>
          <w:b/>
          <w:sz w:val="52"/>
          <w:szCs w:val="52"/>
          <w:highlight w:val="none"/>
        </w:rPr>
        <w:t>文件</w:t>
      </w:r>
      <w:bookmarkStart w:id="307" w:name="_GoBack"/>
      <w:bookmarkEnd w:id="307"/>
    </w:p>
    <w:p>
      <w:pPr>
        <w:pStyle w:val="41"/>
        <w:spacing w:line="360" w:lineRule="auto"/>
        <w:rPr>
          <w:rFonts w:hint="eastAsia" w:ascii="宋体" w:hAnsi="宋体" w:eastAsia="宋体" w:cs="宋体"/>
          <w:sz w:val="44"/>
          <w:szCs w:val="44"/>
          <w:highlight w:val="none"/>
        </w:rPr>
      </w:pPr>
    </w:p>
    <w:p>
      <w:pPr>
        <w:pStyle w:val="41"/>
        <w:spacing w:line="360" w:lineRule="auto"/>
        <w:rPr>
          <w:rFonts w:hint="eastAsia" w:ascii="宋体" w:hAnsi="宋体" w:eastAsia="宋体" w:cs="宋体"/>
          <w:sz w:val="24"/>
          <w:szCs w:val="24"/>
          <w:highlight w:val="none"/>
          <w:lang w:val="en-US" w:eastAsia="zh-CN"/>
        </w:rPr>
      </w:pPr>
    </w:p>
    <w:p>
      <w:pPr>
        <w:snapToGrid w:val="0"/>
        <w:spacing w:line="360" w:lineRule="auto"/>
        <w:jc w:val="left"/>
        <w:rPr>
          <w:rFonts w:hint="eastAsia" w:ascii="宋体" w:hAnsi="宋体" w:eastAsia="宋体" w:cs="宋体"/>
          <w:b/>
          <w:spacing w:val="4"/>
          <w:sz w:val="24"/>
          <w:szCs w:val="24"/>
          <w:highlight w:val="none"/>
        </w:rPr>
      </w:pPr>
    </w:p>
    <w:p>
      <w:pPr>
        <w:pStyle w:val="17"/>
        <w:spacing w:line="360" w:lineRule="auto"/>
        <w:rPr>
          <w:rFonts w:hint="eastAsia" w:ascii="宋体" w:hAnsi="宋体" w:eastAsia="宋体" w:cs="宋体"/>
          <w:b/>
          <w:spacing w:val="4"/>
          <w:sz w:val="24"/>
          <w:szCs w:val="24"/>
          <w:highlight w:val="none"/>
        </w:rPr>
      </w:pPr>
    </w:p>
    <w:p>
      <w:pPr>
        <w:spacing w:line="360" w:lineRule="auto"/>
        <w:rPr>
          <w:rFonts w:hint="eastAsia" w:ascii="宋体" w:hAnsi="宋体" w:eastAsia="宋体" w:cs="宋体"/>
          <w:b/>
          <w:spacing w:val="4"/>
          <w:sz w:val="24"/>
          <w:szCs w:val="24"/>
          <w:highlight w:val="none"/>
        </w:rPr>
      </w:pPr>
    </w:p>
    <w:p>
      <w:pPr>
        <w:snapToGrid w:val="0"/>
        <w:spacing w:line="360" w:lineRule="auto"/>
        <w:ind w:firstLine="1240" w:firstLineChars="500"/>
        <w:jc w:val="both"/>
        <w:rPr>
          <w:rFonts w:hint="eastAsia" w:ascii="宋体" w:hAnsi="宋体" w:eastAsia="宋体" w:cs="宋体"/>
          <w:b/>
          <w:spacing w:val="4"/>
          <w:sz w:val="24"/>
          <w:szCs w:val="24"/>
          <w:highlight w:val="none"/>
        </w:rPr>
      </w:pPr>
    </w:p>
    <w:p>
      <w:pPr>
        <w:snapToGrid w:val="0"/>
        <w:spacing w:line="360" w:lineRule="auto"/>
        <w:ind w:firstLine="1240" w:firstLineChars="500"/>
        <w:jc w:val="both"/>
        <w:rPr>
          <w:rFonts w:hint="eastAsia" w:ascii="宋体" w:hAnsi="宋体" w:eastAsia="宋体" w:cs="宋体"/>
          <w:b/>
          <w:spacing w:val="4"/>
          <w:sz w:val="24"/>
          <w:szCs w:val="24"/>
          <w:highlight w:val="none"/>
        </w:rPr>
      </w:pPr>
    </w:p>
    <w:p>
      <w:pPr>
        <w:snapToGrid w:val="0"/>
        <w:spacing w:line="360" w:lineRule="auto"/>
        <w:ind w:firstLine="1240" w:firstLineChars="500"/>
        <w:jc w:val="both"/>
        <w:rPr>
          <w:rFonts w:hint="eastAsia" w:ascii="宋体" w:hAnsi="宋体" w:eastAsia="宋体" w:cs="宋体"/>
          <w:b/>
          <w:spacing w:val="4"/>
          <w:sz w:val="24"/>
          <w:szCs w:val="24"/>
          <w:highlight w:val="none"/>
        </w:rPr>
      </w:pPr>
    </w:p>
    <w:p>
      <w:pPr>
        <w:spacing w:line="360" w:lineRule="auto"/>
        <w:jc w:val="center"/>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采   购   人：西安市高陵区中医医院</w:t>
      </w:r>
    </w:p>
    <w:p>
      <w:pPr>
        <w:spacing w:line="360" w:lineRule="auto"/>
        <w:jc w:val="center"/>
        <w:rPr>
          <w:rFonts w:hint="eastAsia" w:ascii="宋体" w:hAnsi="宋体" w:eastAsia="宋体" w:cs="宋体"/>
          <w:b/>
          <w:sz w:val="32"/>
          <w:szCs w:val="32"/>
          <w:highlight w:val="none"/>
          <w:lang w:val="en-US" w:eastAsia="zh-CN"/>
        </w:rPr>
      </w:pPr>
      <w:r>
        <w:rPr>
          <w:rFonts w:hint="eastAsia" w:ascii="宋体" w:hAnsi="宋体" w:cs="宋体"/>
          <w:b/>
          <w:sz w:val="32"/>
          <w:szCs w:val="32"/>
          <w:highlight w:val="none"/>
          <w:lang w:val="en-US" w:eastAsia="zh-CN"/>
        </w:rPr>
        <w:t xml:space="preserve"> </w:t>
      </w:r>
      <w:r>
        <w:rPr>
          <w:rFonts w:hint="eastAsia" w:ascii="宋体" w:hAnsi="宋体" w:eastAsia="宋体" w:cs="宋体"/>
          <w:b/>
          <w:sz w:val="32"/>
          <w:szCs w:val="32"/>
          <w:highlight w:val="none"/>
          <w:lang w:val="en-US" w:eastAsia="zh-CN"/>
        </w:rPr>
        <w:t>采购代理机构：陕西信悦诚招标有限公司</w:t>
      </w:r>
    </w:p>
    <w:p>
      <w:pPr>
        <w:spacing w:line="360" w:lineRule="auto"/>
        <w:ind w:firstLine="1280" w:firstLineChars="400"/>
        <w:jc w:val="both"/>
        <w:rPr>
          <w:rFonts w:hint="eastAsia" w:ascii="宋体" w:hAnsi="宋体" w:eastAsia="宋体" w:cs="宋体"/>
          <w:b/>
          <w:sz w:val="32"/>
          <w:szCs w:val="32"/>
          <w:highlight w:val="none"/>
          <w:lang w:val="en-US" w:eastAsia="zh-CN"/>
        </w:rPr>
        <w:sectPr>
          <w:headerReference r:id="rId4" w:type="first"/>
          <w:headerReference r:id="rId3" w:type="default"/>
          <w:pgSz w:w="11906" w:h="16838"/>
          <w:pgMar w:top="1418" w:right="1814" w:bottom="1418" w:left="1860" w:header="851" w:footer="992" w:gutter="0"/>
          <w:pgBorders>
            <w:top w:val="none" w:sz="0" w:space="0"/>
            <w:left w:val="none" w:sz="0" w:space="0"/>
            <w:bottom w:val="none" w:sz="0" w:space="0"/>
            <w:right w:val="none" w:sz="0" w:space="0"/>
          </w:pgBorders>
          <w:pgNumType w:fmt="decimal" w:start="0"/>
          <w:cols w:space="720" w:num="1"/>
          <w:titlePg/>
          <w:docGrid w:type="linesAndChars" w:linePitch="312" w:charSpace="0"/>
        </w:sectPr>
      </w:pPr>
      <w:r>
        <w:rPr>
          <w:rFonts w:hint="eastAsia" w:ascii="宋体" w:hAnsi="宋体" w:eastAsia="宋体" w:cs="宋体"/>
          <w:b/>
          <w:sz w:val="32"/>
          <w:szCs w:val="32"/>
          <w:highlight w:val="none"/>
          <w:lang w:val="en-US" w:eastAsia="zh-CN"/>
        </w:rPr>
        <w:t xml:space="preserve">时      </w:t>
      </w:r>
      <w:r>
        <w:rPr>
          <w:rFonts w:hint="eastAsia" w:ascii="宋体" w:hAnsi="宋体" w:cs="宋体"/>
          <w:b/>
          <w:sz w:val="32"/>
          <w:szCs w:val="32"/>
          <w:highlight w:val="none"/>
          <w:lang w:val="en-US" w:eastAsia="zh-CN"/>
        </w:rPr>
        <w:t xml:space="preserve"> </w:t>
      </w:r>
      <w:r>
        <w:rPr>
          <w:rFonts w:hint="eastAsia" w:ascii="宋体" w:hAnsi="宋体" w:eastAsia="宋体" w:cs="宋体"/>
          <w:b/>
          <w:sz w:val="32"/>
          <w:szCs w:val="32"/>
          <w:highlight w:val="none"/>
          <w:lang w:val="en-US" w:eastAsia="zh-CN"/>
        </w:rPr>
        <w:t xml:space="preserve"> 间：二〇二三年十一月</w:t>
      </w:r>
      <w:bookmarkStart w:id="0" w:name="_Toc144974478"/>
      <w:bookmarkStart w:id="1" w:name="_Toc152042286"/>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ab/>
      </w:r>
    </w:p>
    <w:p>
      <w:p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p>
    <w:p>
      <w:pPr>
        <w:tabs>
          <w:tab w:val="left" w:pos="1434"/>
          <w:tab w:val="center" w:pos="4707"/>
        </w:tabs>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tabs>
          <w:tab w:val="left" w:pos="1434"/>
          <w:tab w:val="center" w:pos="4707"/>
        </w:tabs>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pPr>
        <w:tabs>
          <w:tab w:val="left" w:pos="1434"/>
          <w:tab w:val="center" w:pos="4707"/>
        </w:tabs>
        <w:spacing w:line="360" w:lineRule="auto"/>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目</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6"/>
          <w:szCs w:val="36"/>
          <w:highlight w:val="none"/>
          <w14:textFill>
            <w14:solidFill>
              <w14:schemeClr w14:val="tx1"/>
            </w14:solidFill>
          </w14:textFill>
        </w:rPr>
        <w:t>录</w:t>
      </w:r>
      <w:bookmarkEnd w:id="0"/>
      <w:bookmarkEnd w:id="1"/>
    </w:p>
    <w:p>
      <w:pPr>
        <w:pStyle w:val="21"/>
        <w:keepNext w:val="0"/>
        <w:keepLines w:val="0"/>
        <w:pageBreakBefore w:val="0"/>
        <w:widowControl w:val="0"/>
        <w:tabs>
          <w:tab w:val="right" w:leader="dot" w:pos="8958"/>
        </w:tabs>
        <w:kinsoku/>
        <w:wordWrap/>
        <w:overflowPunct/>
        <w:topLinePunct w:val="0"/>
        <w:autoSpaceDE/>
        <w:autoSpaceDN/>
        <w:bidi w:val="0"/>
        <w:adjustRightInd/>
        <w:snapToGrid/>
        <w:spacing w:line="360" w:lineRule="auto"/>
        <w:ind w:left="-105" w:leftChars="-50" w:right="2100" w:rightChars="1000" w:firstLine="0" w:firstLineChars="0"/>
        <w:jc w:val="center"/>
        <w:textAlignment w:val="auto"/>
        <w:rPr>
          <w:rFonts w:hint="eastAsia" w:ascii="宋体" w:hAnsi="宋体" w:eastAsia="宋体" w:cs="宋体"/>
          <w:sz w:val="36"/>
          <w:szCs w:val="36"/>
          <w:highlight w:val="none"/>
        </w:rPr>
      </w:pPr>
      <w:bookmarkStart w:id="2" w:name="_Toc23626"/>
      <w:bookmarkStart w:id="3" w:name="_Toc31055"/>
      <w:bookmarkStart w:id="4" w:name="_Toc152045527"/>
      <w:bookmarkStart w:id="5" w:name="_Toc144974495"/>
      <w:bookmarkStart w:id="6" w:name="_Toc152042303"/>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"1-3" \h \u </w:instrText>
      </w:r>
      <w:r>
        <w:rPr>
          <w:rFonts w:hint="eastAsia" w:ascii="宋体" w:hAnsi="宋体" w:eastAsia="宋体" w:cs="宋体"/>
          <w:sz w:val="24"/>
          <w:szCs w:val="24"/>
          <w:highlight w:val="none"/>
        </w:rPr>
        <w:fldChar w:fldCharType="separate"/>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HYPERLINK \l _Toc1777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第一部分 招标公告</w:t>
      </w:r>
      <w:r>
        <w:rPr>
          <w:rFonts w:hint="eastAsia" w:ascii="宋体" w:hAnsi="宋体" w:eastAsia="宋体" w:cs="宋体"/>
          <w:sz w:val="36"/>
          <w:szCs w:val="36"/>
          <w:highlight w:val="none"/>
        </w:rPr>
        <w:tab/>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PAGEREF _Toc1777 \h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2</w:t>
      </w:r>
      <w:r>
        <w:rPr>
          <w:rFonts w:hint="eastAsia" w:ascii="宋体" w:hAnsi="宋体" w:eastAsia="宋体" w:cs="宋体"/>
          <w:sz w:val="36"/>
          <w:szCs w:val="36"/>
          <w:highlight w:val="none"/>
        </w:rPr>
        <w:fldChar w:fldCharType="end"/>
      </w:r>
      <w:r>
        <w:rPr>
          <w:rFonts w:hint="eastAsia" w:ascii="宋体" w:hAnsi="宋体" w:eastAsia="宋体" w:cs="宋体"/>
          <w:sz w:val="36"/>
          <w:szCs w:val="36"/>
          <w:highlight w:val="none"/>
        </w:rPr>
        <w:fldChar w:fldCharType="end"/>
      </w:r>
    </w:p>
    <w:p>
      <w:pPr>
        <w:pStyle w:val="30"/>
        <w:keepNext w:val="0"/>
        <w:keepLines w:val="0"/>
        <w:pageBreakBefore w:val="0"/>
        <w:widowControl w:val="0"/>
        <w:tabs>
          <w:tab w:val="right" w:leader="dot" w:pos="8958"/>
          <w:tab w:val="clear" w:pos="8820"/>
        </w:tabs>
        <w:kinsoku/>
        <w:wordWrap/>
        <w:overflowPunct/>
        <w:topLinePunct w:val="0"/>
        <w:autoSpaceDE/>
        <w:autoSpaceDN/>
        <w:bidi w:val="0"/>
        <w:adjustRightInd/>
        <w:snapToGrid/>
        <w:spacing w:line="360" w:lineRule="auto"/>
        <w:ind w:left="-105" w:leftChars="-50" w:right="2100" w:rightChars="1000"/>
        <w:jc w:val="center"/>
        <w:textAlignment w:val="auto"/>
        <w:rPr>
          <w:rFonts w:hint="eastAsia" w:ascii="宋体" w:hAnsi="宋体" w:eastAsia="宋体" w:cs="宋体"/>
          <w:sz w:val="36"/>
          <w:szCs w:val="36"/>
          <w:highlight w:val="none"/>
        </w:rPr>
      </w:pP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HYPERLINK \l _Toc27434 </w:instrText>
      </w:r>
      <w:r>
        <w:rPr>
          <w:rFonts w:hint="eastAsia" w:ascii="宋体" w:hAnsi="宋体" w:eastAsia="宋体" w:cs="宋体"/>
          <w:sz w:val="36"/>
          <w:szCs w:val="36"/>
          <w:highlight w:val="none"/>
        </w:rPr>
        <w:fldChar w:fldCharType="separate"/>
      </w:r>
      <w:r>
        <w:rPr>
          <w:rFonts w:hint="eastAsia" w:ascii="宋体" w:hAnsi="宋体" w:eastAsia="宋体" w:cs="宋体"/>
          <w:kern w:val="2"/>
          <w:sz w:val="36"/>
          <w:szCs w:val="36"/>
          <w:highlight w:val="none"/>
          <w:lang w:val="en-US" w:eastAsia="zh-CN" w:bidi="ar-SA"/>
        </w:rPr>
        <w:t>第二部分 供应商须知</w:t>
      </w:r>
      <w:r>
        <w:rPr>
          <w:rFonts w:hint="eastAsia" w:ascii="宋体" w:hAnsi="宋体" w:eastAsia="宋体" w:cs="宋体"/>
          <w:sz w:val="36"/>
          <w:szCs w:val="36"/>
          <w:highlight w:val="none"/>
        </w:rPr>
        <w:tab/>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PAGEREF _Toc27434 \h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7</w:t>
      </w:r>
      <w:r>
        <w:rPr>
          <w:rFonts w:hint="eastAsia" w:ascii="宋体" w:hAnsi="宋体" w:eastAsia="宋体" w:cs="宋体"/>
          <w:sz w:val="36"/>
          <w:szCs w:val="36"/>
          <w:highlight w:val="none"/>
        </w:rPr>
        <w:fldChar w:fldCharType="end"/>
      </w:r>
      <w:r>
        <w:rPr>
          <w:rFonts w:hint="eastAsia" w:ascii="宋体" w:hAnsi="宋体" w:eastAsia="宋体" w:cs="宋体"/>
          <w:sz w:val="36"/>
          <w:szCs w:val="36"/>
          <w:highlight w:val="none"/>
        </w:rPr>
        <w:fldChar w:fldCharType="end"/>
      </w:r>
    </w:p>
    <w:p>
      <w:pPr>
        <w:pStyle w:val="30"/>
        <w:keepNext w:val="0"/>
        <w:keepLines w:val="0"/>
        <w:pageBreakBefore w:val="0"/>
        <w:widowControl w:val="0"/>
        <w:tabs>
          <w:tab w:val="right" w:leader="dot" w:pos="8958"/>
          <w:tab w:val="clear" w:pos="8820"/>
        </w:tabs>
        <w:kinsoku/>
        <w:wordWrap/>
        <w:overflowPunct/>
        <w:topLinePunct w:val="0"/>
        <w:autoSpaceDE/>
        <w:autoSpaceDN/>
        <w:bidi w:val="0"/>
        <w:adjustRightInd/>
        <w:snapToGrid/>
        <w:spacing w:line="360" w:lineRule="auto"/>
        <w:ind w:left="-105" w:leftChars="-50" w:right="2100" w:rightChars="1000"/>
        <w:jc w:val="center"/>
        <w:textAlignment w:val="auto"/>
        <w:rPr>
          <w:rFonts w:hint="eastAsia" w:ascii="宋体" w:hAnsi="宋体" w:eastAsia="宋体" w:cs="宋体"/>
          <w:sz w:val="36"/>
          <w:szCs w:val="36"/>
          <w:highlight w:val="none"/>
        </w:rPr>
      </w:pP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HYPERLINK \l _Toc19397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第三部分 评标办法</w:t>
      </w:r>
      <w:r>
        <w:rPr>
          <w:rFonts w:hint="eastAsia" w:ascii="宋体" w:hAnsi="宋体" w:eastAsia="宋体" w:cs="宋体"/>
          <w:sz w:val="36"/>
          <w:szCs w:val="36"/>
          <w:highlight w:val="none"/>
        </w:rPr>
        <w:tab/>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PAGEREF _Toc19397 \h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29</w:t>
      </w:r>
      <w:r>
        <w:rPr>
          <w:rFonts w:hint="eastAsia" w:ascii="宋体" w:hAnsi="宋体" w:eastAsia="宋体" w:cs="宋体"/>
          <w:sz w:val="36"/>
          <w:szCs w:val="36"/>
          <w:highlight w:val="none"/>
        </w:rPr>
        <w:fldChar w:fldCharType="end"/>
      </w:r>
      <w:r>
        <w:rPr>
          <w:rFonts w:hint="eastAsia" w:ascii="宋体" w:hAnsi="宋体" w:eastAsia="宋体" w:cs="宋体"/>
          <w:sz w:val="36"/>
          <w:szCs w:val="36"/>
          <w:highlight w:val="none"/>
        </w:rPr>
        <w:fldChar w:fldCharType="end"/>
      </w:r>
    </w:p>
    <w:p>
      <w:pPr>
        <w:pStyle w:val="30"/>
        <w:keepNext w:val="0"/>
        <w:keepLines w:val="0"/>
        <w:pageBreakBefore w:val="0"/>
        <w:widowControl w:val="0"/>
        <w:tabs>
          <w:tab w:val="right" w:leader="dot" w:pos="8958"/>
          <w:tab w:val="clear" w:pos="8820"/>
        </w:tabs>
        <w:kinsoku/>
        <w:wordWrap/>
        <w:overflowPunct/>
        <w:topLinePunct w:val="0"/>
        <w:autoSpaceDE/>
        <w:autoSpaceDN/>
        <w:bidi w:val="0"/>
        <w:adjustRightInd/>
        <w:snapToGrid/>
        <w:spacing w:line="360" w:lineRule="auto"/>
        <w:ind w:left="-105" w:leftChars="-50" w:right="2100" w:rightChars="1000"/>
        <w:jc w:val="center"/>
        <w:textAlignment w:val="auto"/>
        <w:rPr>
          <w:rFonts w:hint="eastAsia" w:ascii="宋体" w:hAnsi="宋体" w:eastAsia="宋体" w:cs="宋体"/>
          <w:sz w:val="36"/>
          <w:szCs w:val="36"/>
          <w:highlight w:val="none"/>
        </w:rPr>
      </w:pP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HYPERLINK \l _Toc31219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第四部分 合同条款及格式</w:t>
      </w:r>
      <w:r>
        <w:rPr>
          <w:rFonts w:hint="eastAsia" w:ascii="宋体" w:hAnsi="宋体" w:eastAsia="宋体" w:cs="宋体"/>
          <w:sz w:val="36"/>
          <w:szCs w:val="36"/>
          <w:highlight w:val="none"/>
        </w:rPr>
        <w:tab/>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PAGEREF _Toc31219 \h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40</w:t>
      </w:r>
      <w:r>
        <w:rPr>
          <w:rFonts w:hint="eastAsia" w:ascii="宋体" w:hAnsi="宋体" w:eastAsia="宋体" w:cs="宋体"/>
          <w:sz w:val="36"/>
          <w:szCs w:val="36"/>
          <w:highlight w:val="none"/>
        </w:rPr>
        <w:fldChar w:fldCharType="end"/>
      </w:r>
      <w:r>
        <w:rPr>
          <w:rFonts w:hint="eastAsia" w:ascii="宋体" w:hAnsi="宋体" w:eastAsia="宋体" w:cs="宋体"/>
          <w:sz w:val="36"/>
          <w:szCs w:val="36"/>
          <w:highlight w:val="none"/>
        </w:rPr>
        <w:fldChar w:fldCharType="end"/>
      </w:r>
    </w:p>
    <w:p>
      <w:pPr>
        <w:pStyle w:val="30"/>
        <w:keepNext w:val="0"/>
        <w:keepLines w:val="0"/>
        <w:pageBreakBefore w:val="0"/>
        <w:widowControl w:val="0"/>
        <w:tabs>
          <w:tab w:val="right" w:leader="dot" w:pos="8958"/>
          <w:tab w:val="clear" w:pos="8820"/>
        </w:tabs>
        <w:kinsoku/>
        <w:wordWrap/>
        <w:overflowPunct/>
        <w:topLinePunct w:val="0"/>
        <w:autoSpaceDE/>
        <w:autoSpaceDN/>
        <w:bidi w:val="0"/>
        <w:adjustRightInd/>
        <w:snapToGrid/>
        <w:spacing w:line="360" w:lineRule="auto"/>
        <w:ind w:left="-105" w:leftChars="-50" w:right="2100" w:rightChars="1000"/>
        <w:jc w:val="center"/>
        <w:textAlignment w:val="auto"/>
        <w:rPr>
          <w:rFonts w:hint="eastAsia" w:ascii="宋体" w:hAnsi="宋体" w:eastAsia="宋体" w:cs="宋体"/>
          <w:sz w:val="36"/>
          <w:szCs w:val="36"/>
          <w:highlight w:val="none"/>
        </w:rPr>
      </w:pP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HYPERLINK \l _Toc27150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 xml:space="preserve">第五部分 </w:t>
      </w:r>
      <w:r>
        <w:rPr>
          <w:rFonts w:hint="eastAsia" w:ascii="宋体" w:hAnsi="宋体" w:eastAsia="宋体" w:cs="宋体"/>
          <w:sz w:val="36"/>
          <w:szCs w:val="36"/>
          <w:highlight w:val="none"/>
          <w:lang w:val="en-US" w:eastAsia="zh-CN"/>
        </w:rPr>
        <w:t>采购</w:t>
      </w:r>
      <w:r>
        <w:rPr>
          <w:rFonts w:hint="eastAsia" w:ascii="宋体" w:hAnsi="宋体" w:eastAsia="宋体" w:cs="宋体"/>
          <w:sz w:val="36"/>
          <w:szCs w:val="36"/>
          <w:highlight w:val="none"/>
        </w:rPr>
        <w:t>内容及要求</w:t>
      </w:r>
      <w:r>
        <w:rPr>
          <w:rFonts w:hint="eastAsia" w:ascii="宋体" w:hAnsi="宋体" w:eastAsia="宋体" w:cs="宋体"/>
          <w:sz w:val="36"/>
          <w:szCs w:val="36"/>
          <w:highlight w:val="none"/>
        </w:rPr>
        <w:tab/>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PAGEREF _Toc27150 \h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44</w:t>
      </w:r>
      <w:r>
        <w:rPr>
          <w:rFonts w:hint="eastAsia" w:ascii="宋体" w:hAnsi="宋体" w:eastAsia="宋体" w:cs="宋体"/>
          <w:sz w:val="36"/>
          <w:szCs w:val="36"/>
          <w:highlight w:val="none"/>
        </w:rPr>
        <w:fldChar w:fldCharType="end"/>
      </w:r>
      <w:r>
        <w:rPr>
          <w:rFonts w:hint="eastAsia" w:ascii="宋体" w:hAnsi="宋体" w:eastAsia="宋体" w:cs="宋体"/>
          <w:sz w:val="36"/>
          <w:szCs w:val="36"/>
          <w:highlight w:val="none"/>
        </w:rPr>
        <w:fldChar w:fldCharType="end"/>
      </w:r>
    </w:p>
    <w:p>
      <w:pPr>
        <w:pStyle w:val="30"/>
        <w:keepNext w:val="0"/>
        <w:keepLines w:val="0"/>
        <w:pageBreakBefore w:val="0"/>
        <w:widowControl w:val="0"/>
        <w:tabs>
          <w:tab w:val="right" w:leader="dot" w:pos="8958"/>
          <w:tab w:val="clear" w:pos="8820"/>
        </w:tabs>
        <w:kinsoku/>
        <w:wordWrap/>
        <w:overflowPunct/>
        <w:topLinePunct w:val="0"/>
        <w:autoSpaceDE/>
        <w:autoSpaceDN/>
        <w:bidi w:val="0"/>
        <w:adjustRightInd/>
        <w:snapToGrid/>
        <w:spacing w:line="360" w:lineRule="auto"/>
        <w:ind w:left="-105" w:leftChars="-50" w:right="2100" w:rightChars="1000"/>
        <w:jc w:val="center"/>
        <w:textAlignment w:val="auto"/>
        <w:rPr>
          <w:rFonts w:hint="eastAsia" w:ascii="宋体" w:hAnsi="宋体" w:eastAsia="宋体" w:cs="宋体"/>
          <w:sz w:val="24"/>
          <w:szCs w:val="24"/>
          <w:highlight w:val="none"/>
        </w:rPr>
      </w:pP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HYPERLINK \l _Toc20857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第六部分 投标文件格式</w:t>
      </w:r>
      <w:r>
        <w:rPr>
          <w:rFonts w:hint="eastAsia" w:ascii="宋体" w:hAnsi="宋体" w:eastAsia="宋体" w:cs="宋体"/>
          <w:sz w:val="36"/>
          <w:szCs w:val="36"/>
          <w:highlight w:val="none"/>
        </w:rPr>
        <w:tab/>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PAGEREF _Toc20857 \h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51</w:t>
      </w:r>
      <w:r>
        <w:rPr>
          <w:rFonts w:hint="eastAsia" w:ascii="宋体" w:hAnsi="宋体" w:eastAsia="宋体" w:cs="宋体"/>
          <w:sz w:val="36"/>
          <w:szCs w:val="36"/>
          <w:highlight w:val="none"/>
        </w:rPr>
        <w:fldChar w:fldCharType="end"/>
      </w:r>
      <w:r>
        <w:rPr>
          <w:rFonts w:hint="eastAsia" w:ascii="宋体" w:hAnsi="宋体" w:eastAsia="宋体" w:cs="宋体"/>
          <w:sz w:val="36"/>
          <w:szCs w:val="36"/>
          <w:highlight w:val="none"/>
        </w:rPr>
        <w:fldChar w:fldCharType="end"/>
      </w:r>
    </w:p>
    <w:p>
      <w:pPr>
        <w:pStyle w:val="21"/>
        <w:tabs>
          <w:tab w:val="right" w:leader="dot" w:pos="8958"/>
        </w:tabs>
        <w:spacing w:line="360" w:lineRule="auto"/>
        <w:rPr>
          <w:rFonts w:hint="eastAsia" w:ascii="宋体" w:hAnsi="宋体" w:eastAsia="宋体" w:cs="宋体"/>
          <w:sz w:val="24"/>
          <w:szCs w:val="24"/>
          <w:highlight w:val="none"/>
        </w:rPr>
      </w:pPr>
    </w:p>
    <w:p>
      <w:pPr>
        <w:pStyle w:val="4"/>
        <w:bidi w:val="0"/>
        <w:spacing w:line="360" w:lineRule="auto"/>
        <w:rPr>
          <w:rFonts w:hint="eastAsia" w:ascii="宋体" w:hAnsi="宋体" w:eastAsia="宋体" w:cs="宋体"/>
          <w:sz w:val="24"/>
          <w:szCs w:val="24"/>
        </w:rPr>
      </w:pPr>
      <w:r>
        <w:rPr>
          <w:rFonts w:hint="eastAsia" w:ascii="宋体" w:hAnsi="宋体" w:eastAsia="宋体" w:cs="宋体"/>
          <w:sz w:val="24"/>
          <w:szCs w:val="24"/>
        </w:rPr>
        <w:fldChar w:fldCharType="end"/>
      </w:r>
    </w:p>
    <w:p>
      <w:pPr>
        <w:spacing w:line="360" w:lineRule="auto"/>
        <w:rPr>
          <w:rFonts w:hint="eastAsia" w:ascii="宋体" w:hAnsi="宋体" w:eastAsia="宋体" w:cs="宋体"/>
          <w:sz w:val="24"/>
          <w:szCs w:val="24"/>
          <w:highlight w:val="none"/>
        </w:rPr>
      </w:pPr>
      <w:bookmarkStart w:id="7" w:name="_Toc1777"/>
      <w:r>
        <w:rPr>
          <w:rFonts w:hint="eastAsia" w:ascii="宋体" w:hAnsi="宋体" w:eastAsia="宋体" w:cs="宋体"/>
          <w:sz w:val="24"/>
          <w:szCs w:val="24"/>
          <w:highlight w:val="none"/>
        </w:rPr>
        <w:br w:type="page"/>
      </w:r>
    </w:p>
    <w:p>
      <w:pPr>
        <w:pStyle w:val="6"/>
        <w:bidi w:val="0"/>
        <w:spacing w:line="360" w:lineRule="auto"/>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第一部分  招标公告</w:t>
      </w:r>
      <w:bookmarkEnd w:id="2"/>
      <w:bookmarkEnd w:id="3"/>
      <w:bookmarkEnd w:id="7"/>
    </w:p>
    <w:tbl>
      <w:tblPr>
        <w:tblStyle w:val="43"/>
        <w:tblpPr w:leftFromText="180" w:rightFromText="180" w:vertAnchor="text" w:tblpX="176" w:tblpY="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9229" w:type="dxa"/>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1289" w:leftChars="100" w:right="0" w:hanging="1079" w:hangingChars="448"/>
              <w:jc w:val="both"/>
              <w:rPr>
                <w:rFonts w:hint="eastAsia" w:ascii="宋体" w:hAnsi="宋体" w:eastAsia="宋体" w:cs="宋体"/>
                <w:b w:val="0"/>
                <w:bCs w:val="0"/>
                <w:sz w:val="24"/>
                <w:szCs w:val="24"/>
                <w:highlight w:val="none"/>
              </w:rPr>
            </w:pPr>
            <w:r>
              <w:rPr>
                <w:rStyle w:val="45"/>
                <w:rFonts w:hint="eastAsia" w:ascii="宋体" w:hAnsi="宋体" w:eastAsia="宋体" w:cs="宋体"/>
                <w:b/>
                <w:bCs/>
                <w:i w:val="0"/>
                <w:iCs w:val="0"/>
                <w:caps w:val="0"/>
                <w:color w:val="222222"/>
                <w:spacing w:val="0"/>
                <w:sz w:val="24"/>
                <w:szCs w:val="24"/>
                <w:highlight w:val="none"/>
                <w:shd w:val="clear" w:fill="FFFFFF"/>
              </w:rPr>
              <w:t>项目概况</w:t>
            </w:r>
          </w:p>
          <w:p>
            <w:pPr>
              <w:spacing w:line="360" w:lineRule="auto"/>
              <w:ind w:firstLine="480" w:firstLineChars="200"/>
              <w:rPr>
                <w:rStyle w:val="45"/>
                <w:rFonts w:hint="eastAsia" w:ascii="宋体" w:hAnsi="宋体" w:eastAsia="宋体" w:cs="宋体"/>
                <w:b/>
                <w:bCs/>
                <w:i w:val="0"/>
                <w:iCs w:val="0"/>
                <w:caps w:val="0"/>
                <w:color w:val="222222"/>
                <w:spacing w:val="0"/>
                <w:sz w:val="24"/>
                <w:szCs w:val="24"/>
                <w:highlight w:val="none"/>
                <w:shd w:val="clear" w:fill="FFFFFF"/>
                <w:vertAlign w:val="baseline"/>
              </w:rPr>
            </w:pP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SA"/>
              </w:rPr>
              <w:t>中医医院后勤和安保服务项目招标项目的潜在投标人应在全国公共资源交易平台（陕西省·西安市）网站〖首页〉电子交易平台〉陕西政府采购交易系统〉企业端〗获取招标文件，并于2023年</w:t>
            </w:r>
            <w:r>
              <w:rPr>
                <w:rFonts w:hint="eastAsia" w:ascii="宋体" w:hAnsi="宋体" w:cs="宋体"/>
                <w:b w:val="0"/>
                <w:bCs w:val="0"/>
                <w:i w:val="0"/>
                <w:iCs w:val="0"/>
                <w:caps w:val="0"/>
                <w:color w:val="222222"/>
                <w:spacing w:val="0"/>
                <w:kern w:val="0"/>
                <w:sz w:val="24"/>
                <w:szCs w:val="24"/>
                <w:highlight w:val="none"/>
                <w:shd w:val="clear" w:fill="FFFFFF"/>
                <w:lang w:val="en-US" w:eastAsia="zh-CN" w:bidi="ar-SA"/>
              </w:rPr>
              <w:t>12</w:t>
            </w: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SA"/>
              </w:rPr>
              <w:t>月</w:t>
            </w:r>
            <w:r>
              <w:rPr>
                <w:rFonts w:hint="eastAsia" w:ascii="宋体" w:hAnsi="宋体" w:cs="宋体"/>
                <w:b w:val="0"/>
                <w:bCs w:val="0"/>
                <w:i w:val="0"/>
                <w:iCs w:val="0"/>
                <w:caps w:val="0"/>
                <w:color w:val="222222"/>
                <w:spacing w:val="0"/>
                <w:kern w:val="0"/>
                <w:sz w:val="24"/>
                <w:szCs w:val="24"/>
                <w:highlight w:val="none"/>
                <w:shd w:val="clear" w:fill="FFFFFF"/>
                <w:lang w:val="en-US" w:eastAsia="zh-CN" w:bidi="ar-SA"/>
              </w:rPr>
              <w:t>07</w:t>
            </w: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SA"/>
              </w:rPr>
              <w:t>日09时</w:t>
            </w:r>
            <w:r>
              <w:rPr>
                <w:rFonts w:hint="eastAsia" w:ascii="宋体" w:hAnsi="宋体" w:cs="宋体"/>
                <w:b w:val="0"/>
                <w:bCs w:val="0"/>
                <w:i w:val="0"/>
                <w:iCs w:val="0"/>
                <w:caps w:val="0"/>
                <w:color w:val="222222"/>
                <w:spacing w:val="0"/>
                <w:kern w:val="0"/>
                <w:sz w:val="24"/>
                <w:szCs w:val="24"/>
                <w:highlight w:val="none"/>
                <w:shd w:val="clear" w:fill="FFFFFF"/>
                <w:lang w:val="en-US" w:eastAsia="zh-CN" w:bidi="ar-SA"/>
              </w:rPr>
              <w:t>3</w:t>
            </w: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SA"/>
              </w:rPr>
              <w:t>0分前递交投标文件。</w:t>
            </w:r>
          </w:p>
        </w:tc>
      </w:tr>
    </w:tbl>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both"/>
        <w:rPr>
          <w:rFonts w:hint="eastAsia" w:ascii="宋体" w:hAnsi="宋体" w:eastAsia="宋体" w:cs="宋体"/>
          <w:b/>
          <w:bCs/>
          <w:i w:val="0"/>
          <w:iCs w:val="0"/>
          <w:caps w:val="0"/>
          <w:color w:val="222222"/>
          <w:spacing w:val="0"/>
          <w:sz w:val="24"/>
          <w:szCs w:val="24"/>
          <w:highlight w:val="none"/>
          <w:shd w:val="clear" w:fill="FFFFFF"/>
        </w:rPr>
      </w:pPr>
      <w:r>
        <w:rPr>
          <w:rFonts w:hint="eastAsia" w:ascii="宋体" w:hAnsi="宋体" w:eastAsia="宋体" w:cs="宋体"/>
          <w:b/>
          <w:bCs/>
          <w:i w:val="0"/>
          <w:iCs w:val="0"/>
          <w:caps w:val="0"/>
          <w:color w:val="222222"/>
          <w:spacing w:val="0"/>
          <w:sz w:val="24"/>
          <w:szCs w:val="24"/>
          <w:highlight w:val="none"/>
          <w:shd w:val="clear" w:fill="FFFFFF"/>
        </w:rPr>
        <w:t>一、项目基本情况</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lang w:eastAsia="zh-CN"/>
        </w:rPr>
      </w:pPr>
      <w:r>
        <w:rPr>
          <w:rFonts w:hint="eastAsia" w:ascii="宋体" w:hAnsi="宋体" w:eastAsia="宋体" w:cs="宋体"/>
          <w:i w:val="0"/>
          <w:iCs w:val="0"/>
          <w:caps w:val="0"/>
          <w:color w:val="222222"/>
          <w:spacing w:val="0"/>
          <w:sz w:val="24"/>
          <w:szCs w:val="24"/>
          <w:highlight w:val="none"/>
          <w:shd w:val="clear" w:fill="FFFFFF"/>
        </w:rPr>
        <w:t>项目编号：</w:t>
      </w:r>
      <w:r>
        <w:rPr>
          <w:rFonts w:hint="eastAsia" w:ascii="宋体" w:hAnsi="宋体" w:eastAsia="宋体" w:cs="宋体"/>
          <w:i w:val="0"/>
          <w:iCs w:val="0"/>
          <w:caps w:val="0"/>
          <w:color w:val="222222"/>
          <w:spacing w:val="0"/>
          <w:sz w:val="24"/>
          <w:szCs w:val="24"/>
          <w:highlight w:val="none"/>
          <w:shd w:val="clear" w:fill="FFFFFF"/>
          <w:lang w:eastAsia="zh-CN"/>
        </w:rPr>
        <w:t xml:space="preserve">SXXYCZB-GK-20230928 </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lang w:eastAsia="zh-CN"/>
        </w:rPr>
      </w:pPr>
      <w:r>
        <w:rPr>
          <w:rFonts w:hint="eastAsia" w:ascii="宋体" w:hAnsi="宋体" w:eastAsia="宋体" w:cs="宋体"/>
          <w:i w:val="0"/>
          <w:iCs w:val="0"/>
          <w:caps w:val="0"/>
          <w:color w:val="222222"/>
          <w:spacing w:val="0"/>
          <w:sz w:val="24"/>
          <w:szCs w:val="24"/>
          <w:highlight w:val="none"/>
          <w:shd w:val="clear" w:fill="FFFFFF"/>
        </w:rPr>
        <w:t>项目名称：</w:t>
      </w:r>
      <w:r>
        <w:rPr>
          <w:rFonts w:hint="eastAsia" w:ascii="宋体" w:hAnsi="宋体" w:eastAsia="宋体" w:cs="宋体"/>
          <w:i w:val="0"/>
          <w:iCs w:val="0"/>
          <w:caps w:val="0"/>
          <w:color w:val="222222"/>
          <w:spacing w:val="0"/>
          <w:sz w:val="24"/>
          <w:szCs w:val="24"/>
          <w:highlight w:val="none"/>
          <w:shd w:val="clear" w:fill="FFFFFF"/>
          <w:lang w:eastAsia="zh-CN"/>
        </w:rPr>
        <w:t>中医医院后勤和安保服务项目</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rPr>
      </w:pPr>
      <w:r>
        <w:rPr>
          <w:rFonts w:hint="eastAsia" w:ascii="宋体" w:hAnsi="宋体" w:eastAsia="宋体" w:cs="宋体"/>
          <w:i w:val="0"/>
          <w:iCs w:val="0"/>
          <w:caps w:val="0"/>
          <w:color w:val="222222"/>
          <w:spacing w:val="0"/>
          <w:sz w:val="24"/>
          <w:szCs w:val="24"/>
          <w:highlight w:val="none"/>
          <w:shd w:val="clear" w:fill="FFFFFF"/>
        </w:rPr>
        <w:t>采购方式：公开招标</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rPr>
      </w:pPr>
      <w:r>
        <w:rPr>
          <w:rFonts w:hint="eastAsia" w:ascii="宋体" w:hAnsi="宋体" w:eastAsia="宋体" w:cs="宋体"/>
          <w:i w:val="0"/>
          <w:iCs w:val="0"/>
          <w:caps w:val="0"/>
          <w:color w:val="222222"/>
          <w:spacing w:val="0"/>
          <w:sz w:val="24"/>
          <w:szCs w:val="24"/>
          <w:highlight w:val="none"/>
          <w:shd w:val="clear" w:fill="FFFFFF"/>
        </w:rPr>
        <w:t>预算金额：</w:t>
      </w:r>
      <w:r>
        <w:rPr>
          <w:rFonts w:hint="eastAsia" w:ascii="宋体" w:hAnsi="宋体" w:eastAsia="宋体" w:cs="宋体"/>
          <w:i w:val="0"/>
          <w:iCs w:val="0"/>
          <w:caps w:val="0"/>
          <w:color w:val="222222"/>
          <w:spacing w:val="0"/>
          <w:sz w:val="24"/>
          <w:szCs w:val="24"/>
          <w:highlight w:val="none"/>
          <w:shd w:val="clear" w:fill="FFFFFF"/>
          <w:lang w:val="en-US" w:eastAsia="zh-CN"/>
        </w:rPr>
        <w:t>2700000.00元</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rPr>
      </w:pPr>
      <w:r>
        <w:rPr>
          <w:rFonts w:hint="eastAsia" w:ascii="宋体" w:hAnsi="宋体" w:eastAsia="宋体" w:cs="宋体"/>
          <w:i w:val="0"/>
          <w:iCs w:val="0"/>
          <w:caps w:val="0"/>
          <w:color w:val="222222"/>
          <w:spacing w:val="0"/>
          <w:sz w:val="24"/>
          <w:szCs w:val="24"/>
          <w:highlight w:val="none"/>
          <w:shd w:val="clear" w:fill="FFFFFF"/>
        </w:rPr>
        <w:t>采购需求：</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rPr>
      </w:pPr>
      <w:r>
        <w:rPr>
          <w:rFonts w:hint="eastAsia" w:ascii="宋体" w:hAnsi="宋体" w:eastAsia="宋体" w:cs="宋体"/>
          <w:i w:val="0"/>
          <w:iCs w:val="0"/>
          <w:caps w:val="0"/>
          <w:color w:val="222222"/>
          <w:spacing w:val="0"/>
          <w:sz w:val="24"/>
          <w:szCs w:val="24"/>
          <w:highlight w:val="none"/>
          <w:shd w:val="clear" w:fill="FFFFFF"/>
        </w:rPr>
        <w:t>合同包1</w:t>
      </w:r>
      <w:r>
        <w:rPr>
          <w:rFonts w:hint="eastAsia" w:ascii="宋体" w:hAnsi="宋体" w:eastAsia="宋体" w:cs="宋体"/>
          <w:i w:val="0"/>
          <w:iCs w:val="0"/>
          <w:caps w:val="0"/>
          <w:color w:val="222222"/>
          <w:spacing w:val="0"/>
          <w:sz w:val="24"/>
          <w:szCs w:val="24"/>
          <w:highlight w:val="none"/>
          <w:shd w:val="clear" w:fill="FFFFFF"/>
          <w:lang w:eastAsia="zh-CN"/>
        </w:rPr>
        <w:t>（后勤服务）：</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lang w:val="en-US" w:eastAsia="zh-CN"/>
        </w:rPr>
      </w:pPr>
      <w:r>
        <w:rPr>
          <w:rFonts w:hint="eastAsia" w:ascii="宋体" w:hAnsi="宋体" w:eastAsia="宋体" w:cs="宋体"/>
          <w:i w:val="0"/>
          <w:iCs w:val="0"/>
          <w:caps w:val="0"/>
          <w:color w:val="222222"/>
          <w:spacing w:val="0"/>
          <w:sz w:val="24"/>
          <w:szCs w:val="24"/>
          <w:highlight w:val="none"/>
          <w:shd w:val="clear" w:fill="FFFFFF"/>
        </w:rPr>
        <w:t>合同包预算金额：</w:t>
      </w:r>
      <w:r>
        <w:rPr>
          <w:rFonts w:hint="eastAsia" w:ascii="宋体" w:hAnsi="宋体" w:eastAsia="宋体" w:cs="宋体"/>
          <w:i w:val="0"/>
          <w:iCs w:val="0"/>
          <w:caps w:val="0"/>
          <w:color w:val="222222"/>
          <w:spacing w:val="0"/>
          <w:sz w:val="24"/>
          <w:szCs w:val="24"/>
          <w:highlight w:val="none"/>
          <w:shd w:val="clear" w:fill="FFFFFF"/>
          <w:lang w:val="en-US" w:eastAsia="zh-CN"/>
        </w:rPr>
        <w:t>1800000.00元</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lang w:val="en-US" w:eastAsia="zh-CN"/>
        </w:rPr>
      </w:pPr>
      <w:r>
        <w:rPr>
          <w:rFonts w:hint="eastAsia" w:ascii="宋体" w:hAnsi="宋体" w:eastAsia="宋体" w:cs="宋体"/>
          <w:i w:val="0"/>
          <w:iCs w:val="0"/>
          <w:caps w:val="0"/>
          <w:color w:val="222222"/>
          <w:spacing w:val="0"/>
          <w:sz w:val="24"/>
          <w:szCs w:val="24"/>
          <w:highlight w:val="none"/>
          <w:shd w:val="clear" w:fill="FFFFFF"/>
          <w:lang w:val="en-US" w:eastAsia="zh-CN"/>
        </w:rPr>
        <w:t>合同包最高限价：1800000.00元</w:t>
      </w:r>
    </w:p>
    <w:tbl>
      <w:tblPr>
        <w:tblStyle w:val="42"/>
        <w:tblW w:w="93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19"/>
        <w:gridCol w:w="1142"/>
        <w:gridCol w:w="1124"/>
        <w:gridCol w:w="1406"/>
        <w:gridCol w:w="1986"/>
        <w:gridCol w:w="1550"/>
        <w:gridCol w:w="15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76" w:hRule="atLeast"/>
          <w:tblHeader/>
        </w:trPr>
        <w:tc>
          <w:tcPr>
            <w:tcW w:w="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1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1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14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（单位）</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1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c>
          <w:tcPr>
            <w:tcW w:w="15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68" w:hRule="atLeast"/>
        </w:trPr>
        <w:tc>
          <w:tcPr>
            <w:tcW w:w="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11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其他服务</w:t>
            </w:r>
          </w:p>
        </w:tc>
        <w:tc>
          <w:tcPr>
            <w:tcW w:w="11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后勤服务</w:t>
            </w:r>
          </w:p>
        </w:tc>
        <w:tc>
          <w:tcPr>
            <w:tcW w:w="14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1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15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right="0"/>
              <w:jc w:val="center"/>
              <w:rPr>
                <w:rFonts w:hint="eastAsia" w:ascii="宋体" w:hAnsi="宋体" w:eastAsia="宋体" w:cs="宋体"/>
                <w:sz w:val="24"/>
                <w:szCs w:val="24"/>
                <w:highlight w:val="none"/>
              </w:rPr>
            </w:pPr>
            <w:r>
              <w:rPr>
                <w:rFonts w:hint="eastAsia" w:ascii="宋体" w:hAnsi="宋体" w:eastAsia="宋体" w:cs="宋体"/>
                <w:i w:val="0"/>
                <w:iCs w:val="0"/>
                <w:caps w:val="0"/>
                <w:color w:val="222222"/>
                <w:spacing w:val="0"/>
                <w:sz w:val="24"/>
                <w:szCs w:val="24"/>
                <w:highlight w:val="none"/>
                <w:shd w:val="clear" w:fill="FFFFFF"/>
                <w:lang w:val="en-US" w:eastAsia="zh-CN"/>
              </w:rPr>
              <w:t>1800000.00</w:t>
            </w:r>
          </w:p>
        </w:tc>
        <w:tc>
          <w:tcPr>
            <w:tcW w:w="15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i w:val="0"/>
                <w:iCs w:val="0"/>
                <w:caps w:val="0"/>
                <w:color w:val="222222"/>
                <w:spacing w:val="0"/>
                <w:sz w:val="24"/>
                <w:szCs w:val="24"/>
                <w:highlight w:val="none"/>
                <w:shd w:val="clear" w:fill="FFFFFF"/>
                <w:lang w:val="en-US" w:eastAsia="zh-CN"/>
              </w:rPr>
              <w:t>1800000.00</w:t>
            </w:r>
          </w:p>
        </w:tc>
      </w:tr>
    </w:tbl>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rPr>
      </w:pPr>
      <w:r>
        <w:rPr>
          <w:rFonts w:hint="eastAsia" w:ascii="宋体" w:hAnsi="宋体" w:eastAsia="宋体" w:cs="宋体"/>
          <w:i w:val="0"/>
          <w:iCs w:val="0"/>
          <w:caps w:val="0"/>
          <w:color w:val="222222"/>
          <w:spacing w:val="0"/>
          <w:sz w:val="24"/>
          <w:szCs w:val="24"/>
          <w:highlight w:val="none"/>
          <w:shd w:val="clear" w:fill="FFFFFF"/>
        </w:rPr>
        <w:t>本合同包不接受联合体投标</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rPr>
      </w:pPr>
      <w:r>
        <w:rPr>
          <w:rFonts w:hint="eastAsia" w:ascii="宋体" w:hAnsi="宋体" w:eastAsia="宋体" w:cs="宋体"/>
          <w:i w:val="0"/>
          <w:iCs w:val="0"/>
          <w:caps w:val="0"/>
          <w:color w:val="222222"/>
          <w:spacing w:val="0"/>
          <w:sz w:val="24"/>
          <w:szCs w:val="24"/>
          <w:highlight w:val="none"/>
          <w:shd w:val="clear" w:fill="FFFFFF"/>
        </w:rPr>
        <w:t>合同履行期限：</w:t>
      </w:r>
      <w:r>
        <w:rPr>
          <w:rFonts w:hint="eastAsia" w:ascii="宋体" w:hAnsi="宋体" w:eastAsia="宋体" w:cs="宋体"/>
          <w:i w:val="0"/>
          <w:iCs w:val="0"/>
          <w:caps w:val="0"/>
          <w:color w:val="222222"/>
          <w:spacing w:val="0"/>
          <w:sz w:val="24"/>
          <w:szCs w:val="24"/>
          <w:highlight w:val="none"/>
          <w:shd w:val="clear" w:fill="FFFFFF"/>
          <w:lang w:eastAsia="zh-CN"/>
        </w:rPr>
        <w:t>自合同签订之日起一年。（合同签订后，服务期为一年；第一年度服务期满，乙方满足甲方考核标准的，经双方协商可续签第二年度合同；第二年度服务期满，乙方满足甲方考核标准的，经双方协商可续签第三年度合同，每年合同款项按照约定的方式支付）</w:t>
      </w:r>
      <w:r>
        <w:rPr>
          <w:rFonts w:hint="eastAsia" w:ascii="宋体" w:hAnsi="宋体" w:eastAsia="宋体" w:cs="宋体"/>
          <w:i w:val="0"/>
          <w:iCs w:val="0"/>
          <w:caps w:val="0"/>
          <w:color w:val="222222"/>
          <w:spacing w:val="0"/>
          <w:sz w:val="24"/>
          <w:szCs w:val="24"/>
          <w:highlight w:val="none"/>
          <w:shd w:val="clear" w:fill="FFFFFF"/>
        </w:rPr>
        <w:t>。</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rPr>
      </w:pPr>
      <w:r>
        <w:rPr>
          <w:rFonts w:hint="eastAsia" w:ascii="宋体" w:hAnsi="宋体" w:eastAsia="宋体" w:cs="宋体"/>
          <w:i w:val="0"/>
          <w:iCs w:val="0"/>
          <w:caps w:val="0"/>
          <w:color w:val="222222"/>
          <w:spacing w:val="0"/>
          <w:sz w:val="24"/>
          <w:szCs w:val="24"/>
          <w:highlight w:val="none"/>
          <w:shd w:val="clear" w:fill="FFFFFF"/>
        </w:rPr>
        <w:t>合同包</w:t>
      </w:r>
      <w:r>
        <w:rPr>
          <w:rFonts w:hint="eastAsia" w:ascii="宋体" w:hAnsi="宋体" w:eastAsia="宋体" w:cs="宋体"/>
          <w:i w:val="0"/>
          <w:iCs w:val="0"/>
          <w:caps w:val="0"/>
          <w:color w:val="222222"/>
          <w:spacing w:val="0"/>
          <w:sz w:val="24"/>
          <w:szCs w:val="24"/>
          <w:highlight w:val="none"/>
          <w:shd w:val="clear" w:fill="FFFFFF"/>
          <w:lang w:val="en-US" w:eastAsia="zh-CN"/>
        </w:rPr>
        <w:t>2（</w:t>
      </w:r>
      <w:r>
        <w:rPr>
          <w:rFonts w:hint="eastAsia" w:ascii="宋体" w:hAnsi="宋体" w:eastAsia="宋体" w:cs="宋体"/>
          <w:i w:val="0"/>
          <w:iCs w:val="0"/>
          <w:caps w:val="0"/>
          <w:color w:val="222222"/>
          <w:spacing w:val="0"/>
          <w:sz w:val="24"/>
          <w:szCs w:val="24"/>
          <w:highlight w:val="none"/>
          <w:shd w:val="clear" w:fill="FFFFFF"/>
          <w:lang w:eastAsia="zh-CN"/>
        </w:rPr>
        <w:t>安保服务）：</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lang w:val="en-US" w:eastAsia="zh-CN"/>
        </w:rPr>
      </w:pPr>
      <w:r>
        <w:rPr>
          <w:rFonts w:hint="eastAsia" w:ascii="宋体" w:hAnsi="宋体" w:eastAsia="宋体" w:cs="宋体"/>
          <w:i w:val="0"/>
          <w:iCs w:val="0"/>
          <w:caps w:val="0"/>
          <w:color w:val="222222"/>
          <w:spacing w:val="0"/>
          <w:sz w:val="24"/>
          <w:szCs w:val="24"/>
          <w:highlight w:val="none"/>
          <w:shd w:val="clear" w:fill="FFFFFF"/>
        </w:rPr>
        <w:t>合同包预算金额：</w:t>
      </w:r>
      <w:r>
        <w:rPr>
          <w:rFonts w:hint="eastAsia" w:ascii="宋体" w:hAnsi="宋体" w:eastAsia="宋体" w:cs="宋体"/>
          <w:i w:val="0"/>
          <w:iCs w:val="0"/>
          <w:caps w:val="0"/>
          <w:color w:val="222222"/>
          <w:spacing w:val="0"/>
          <w:sz w:val="24"/>
          <w:szCs w:val="24"/>
          <w:highlight w:val="none"/>
          <w:shd w:val="clear" w:fill="FFFFFF"/>
          <w:lang w:val="en-US" w:eastAsia="zh-CN"/>
        </w:rPr>
        <w:t>900000.00元</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lang w:val="en-US" w:eastAsia="zh-CN"/>
        </w:rPr>
      </w:pPr>
      <w:r>
        <w:rPr>
          <w:rFonts w:hint="eastAsia" w:ascii="宋体" w:hAnsi="宋体" w:eastAsia="宋体" w:cs="宋体"/>
          <w:i w:val="0"/>
          <w:iCs w:val="0"/>
          <w:caps w:val="0"/>
          <w:color w:val="222222"/>
          <w:spacing w:val="0"/>
          <w:sz w:val="24"/>
          <w:szCs w:val="24"/>
          <w:highlight w:val="none"/>
          <w:shd w:val="clear" w:fill="FFFFFF"/>
          <w:lang w:val="en-US" w:eastAsia="zh-CN"/>
        </w:rPr>
        <w:t>合同包最高限价：900000.00元</w:t>
      </w:r>
    </w:p>
    <w:tbl>
      <w:tblPr>
        <w:tblStyle w:val="42"/>
        <w:tblW w:w="94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27"/>
        <w:gridCol w:w="1156"/>
        <w:gridCol w:w="1139"/>
        <w:gridCol w:w="1430"/>
        <w:gridCol w:w="2005"/>
        <w:gridCol w:w="1570"/>
        <w:gridCol w:w="15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45" w:hRule="atLeast"/>
          <w:tblHeader/>
        </w:trPr>
        <w:tc>
          <w:tcPr>
            <w:tcW w:w="6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14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（单位）</w:t>
            </w:r>
          </w:p>
        </w:tc>
        <w:tc>
          <w:tcPr>
            <w:tcW w:w="2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1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c>
          <w:tcPr>
            <w:tcW w:w="1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80" w:hRule="atLeast"/>
        </w:trPr>
        <w:tc>
          <w:tcPr>
            <w:tcW w:w="6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2-1</w:t>
            </w:r>
          </w:p>
        </w:tc>
        <w:tc>
          <w:tcPr>
            <w:tcW w:w="1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其他服务</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安保服务</w:t>
            </w:r>
          </w:p>
        </w:tc>
        <w:tc>
          <w:tcPr>
            <w:tcW w:w="14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2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1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right="0"/>
              <w:jc w:val="center"/>
              <w:rPr>
                <w:rFonts w:hint="eastAsia" w:ascii="宋体" w:hAnsi="宋体" w:eastAsia="宋体" w:cs="宋体"/>
                <w:sz w:val="24"/>
                <w:szCs w:val="24"/>
                <w:highlight w:val="none"/>
              </w:rPr>
            </w:pPr>
            <w:r>
              <w:rPr>
                <w:rFonts w:hint="eastAsia" w:ascii="宋体" w:hAnsi="宋体" w:eastAsia="宋体" w:cs="宋体"/>
                <w:i w:val="0"/>
                <w:iCs w:val="0"/>
                <w:caps w:val="0"/>
                <w:color w:val="222222"/>
                <w:spacing w:val="0"/>
                <w:sz w:val="24"/>
                <w:szCs w:val="24"/>
                <w:highlight w:val="none"/>
                <w:shd w:val="clear" w:fill="FFFFFF"/>
                <w:lang w:val="en-US" w:eastAsia="zh-CN"/>
              </w:rPr>
              <w:t>900000.00</w:t>
            </w:r>
          </w:p>
        </w:tc>
        <w:tc>
          <w:tcPr>
            <w:tcW w:w="1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i w:val="0"/>
                <w:iCs w:val="0"/>
                <w:caps w:val="0"/>
                <w:color w:val="222222"/>
                <w:spacing w:val="0"/>
                <w:sz w:val="24"/>
                <w:szCs w:val="24"/>
                <w:highlight w:val="none"/>
                <w:shd w:val="clear" w:fill="FFFFFF"/>
                <w:lang w:val="en-US" w:eastAsia="zh-CN"/>
              </w:rPr>
              <w:t>900000.00</w:t>
            </w:r>
          </w:p>
        </w:tc>
      </w:tr>
    </w:tbl>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rPr>
      </w:pPr>
      <w:r>
        <w:rPr>
          <w:rFonts w:hint="eastAsia" w:ascii="宋体" w:hAnsi="宋体" w:eastAsia="宋体" w:cs="宋体"/>
          <w:i w:val="0"/>
          <w:iCs w:val="0"/>
          <w:caps w:val="0"/>
          <w:color w:val="222222"/>
          <w:spacing w:val="0"/>
          <w:sz w:val="24"/>
          <w:szCs w:val="24"/>
          <w:highlight w:val="none"/>
          <w:shd w:val="clear" w:fill="FFFFFF"/>
        </w:rPr>
        <w:t>本合同包不接受联合体投标</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rPr>
      </w:pPr>
      <w:r>
        <w:rPr>
          <w:rFonts w:hint="eastAsia" w:ascii="宋体" w:hAnsi="宋体" w:eastAsia="宋体" w:cs="宋体"/>
          <w:i w:val="0"/>
          <w:iCs w:val="0"/>
          <w:caps w:val="0"/>
          <w:color w:val="222222"/>
          <w:spacing w:val="0"/>
          <w:sz w:val="24"/>
          <w:szCs w:val="24"/>
          <w:highlight w:val="none"/>
          <w:shd w:val="clear" w:fill="FFFFFF"/>
        </w:rPr>
        <w:t>合同履行期限：</w:t>
      </w:r>
      <w:r>
        <w:rPr>
          <w:rFonts w:hint="eastAsia" w:ascii="宋体" w:hAnsi="宋体" w:eastAsia="宋体" w:cs="宋体"/>
          <w:i w:val="0"/>
          <w:iCs w:val="0"/>
          <w:caps w:val="0"/>
          <w:color w:val="222222"/>
          <w:spacing w:val="0"/>
          <w:sz w:val="24"/>
          <w:szCs w:val="24"/>
          <w:highlight w:val="none"/>
          <w:shd w:val="clear" w:fill="FFFFFF"/>
          <w:lang w:eastAsia="zh-CN"/>
        </w:rPr>
        <w:t>自合同签订之日起一年。（合同签订后，服务期为一年；第一年度服务期满，乙方满足甲方考核标准的，经双方协商可续签第二年度合同；第二年度服务期满，乙方满足甲方考核标准的，经双方协商可续签第三年度合同，每年合同款项按照约定的方式支付）</w:t>
      </w:r>
      <w:r>
        <w:rPr>
          <w:rFonts w:hint="eastAsia" w:ascii="宋体" w:hAnsi="宋体" w:eastAsia="宋体" w:cs="宋体"/>
          <w:i w:val="0"/>
          <w:iCs w:val="0"/>
          <w:caps w:val="0"/>
          <w:color w:val="222222"/>
          <w:spacing w:val="0"/>
          <w:sz w:val="24"/>
          <w:szCs w:val="24"/>
          <w:highlight w:val="none"/>
          <w:shd w:val="clear" w:fill="FFFFFF"/>
        </w:rPr>
        <w:t>。</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both"/>
        <w:rPr>
          <w:rFonts w:hint="eastAsia" w:ascii="宋体" w:hAnsi="宋体" w:eastAsia="宋体" w:cs="宋体"/>
          <w:b/>
          <w:bCs/>
          <w:i w:val="0"/>
          <w:iCs w:val="0"/>
          <w:caps w:val="0"/>
          <w:color w:val="222222"/>
          <w:spacing w:val="0"/>
          <w:sz w:val="24"/>
          <w:szCs w:val="24"/>
          <w:highlight w:val="none"/>
          <w:shd w:val="clear" w:fill="FFFFFF"/>
        </w:rPr>
      </w:pPr>
      <w:r>
        <w:rPr>
          <w:rFonts w:hint="eastAsia" w:ascii="宋体" w:hAnsi="宋体" w:eastAsia="宋体" w:cs="宋体"/>
          <w:b/>
          <w:bCs/>
          <w:i w:val="0"/>
          <w:iCs w:val="0"/>
          <w:caps w:val="0"/>
          <w:color w:val="222222"/>
          <w:spacing w:val="0"/>
          <w:sz w:val="24"/>
          <w:szCs w:val="24"/>
          <w:highlight w:val="none"/>
          <w:shd w:val="clear" w:fill="FFFFFF"/>
        </w:rPr>
        <w:t>二、申请人的资格要求：</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rPr>
      </w:pPr>
      <w:r>
        <w:rPr>
          <w:rFonts w:hint="eastAsia" w:ascii="宋体" w:hAnsi="宋体" w:eastAsia="宋体" w:cs="宋体"/>
          <w:i w:val="0"/>
          <w:iCs w:val="0"/>
          <w:caps w:val="0"/>
          <w:color w:val="222222"/>
          <w:spacing w:val="0"/>
          <w:sz w:val="24"/>
          <w:szCs w:val="24"/>
          <w:highlight w:val="none"/>
          <w:shd w:val="clear" w:fill="FFFFFF"/>
        </w:rPr>
        <w:t>1.满足《中华人民共和国政府采购法》第二十二条规定</w:t>
      </w:r>
      <w:r>
        <w:rPr>
          <w:rFonts w:hint="eastAsia" w:ascii="宋体" w:hAnsi="宋体" w:eastAsia="宋体" w:cs="宋体"/>
          <w:i w:val="0"/>
          <w:iCs w:val="0"/>
          <w:caps w:val="0"/>
          <w:color w:val="222222"/>
          <w:spacing w:val="0"/>
          <w:sz w:val="24"/>
          <w:szCs w:val="24"/>
          <w:highlight w:val="none"/>
          <w:shd w:val="clear" w:fill="FFFFFF"/>
          <w:lang w:eastAsia="zh-CN"/>
        </w:rPr>
        <w:t>；</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rPr>
      </w:pPr>
      <w:r>
        <w:rPr>
          <w:rFonts w:hint="eastAsia" w:ascii="宋体" w:hAnsi="宋体" w:eastAsia="宋体" w:cs="宋体"/>
          <w:i w:val="0"/>
          <w:iCs w:val="0"/>
          <w:caps w:val="0"/>
          <w:color w:val="222222"/>
          <w:spacing w:val="0"/>
          <w:sz w:val="24"/>
          <w:szCs w:val="24"/>
          <w:highlight w:val="none"/>
          <w:shd w:val="clear" w:fill="FFFFFF"/>
        </w:rPr>
        <w:t>2.落实政府采购政策需满足的资格要求：</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lang w:eastAsia="zh-CN"/>
        </w:rPr>
      </w:pPr>
      <w:r>
        <w:rPr>
          <w:rFonts w:hint="eastAsia" w:ascii="宋体" w:hAnsi="宋体" w:eastAsia="宋体" w:cs="宋体"/>
          <w:i w:val="0"/>
          <w:iCs w:val="0"/>
          <w:caps w:val="0"/>
          <w:color w:val="222222"/>
          <w:spacing w:val="0"/>
          <w:sz w:val="24"/>
          <w:szCs w:val="24"/>
          <w:highlight w:val="none"/>
          <w:shd w:val="clear" w:fill="FFFFFF"/>
        </w:rPr>
        <w:t>合同包1</w:t>
      </w:r>
      <w:r>
        <w:rPr>
          <w:rFonts w:hint="eastAsia" w:ascii="宋体" w:hAnsi="宋体" w:eastAsia="宋体" w:cs="宋体"/>
          <w:i w:val="0"/>
          <w:iCs w:val="0"/>
          <w:caps w:val="0"/>
          <w:color w:val="222222"/>
          <w:spacing w:val="0"/>
          <w:sz w:val="24"/>
          <w:szCs w:val="24"/>
          <w:highlight w:val="none"/>
          <w:shd w:val="clear" w:fill="FFFFFF"/>
          <w:lang w:eastAsia="zh-CN"/>
        </w:rPr>
        <w:t>（后勤服务）</w:t>
      </w:r>
      <w:r>
        <w:rPr>
          <w:rFonts w:hint="eastAsia" w:ascii="宋体" w:hAnsi="宋体" w:eastAsia="宋体" w:cs="宋体"/>
          <w:i w:val="0"/>
          <w:iCs w:val="0"/>
          <w:caps w:val="0"/>
          <w:color w:val="222222"/>
          <w:spacing w:val="0"/>
          <w:sz w:val="24"/>
          <w:szCs w:val="24"/>
          <w:highlight w:val="none"/>
          <w:shd w:val="clear" w:fill="FFFFFF"/>
        </w:rPr>
        <w:t>落实政府采购政策需满足的资格要求如下</w:t>
      </w:r>
      <w:r>
        <w:rPr>
          <w:rFonts w:hint="eastAsia" w:ascii="宋体" w:hAnsi="宋体" w:eastAsia="宋体" w:cs="宋体"/>
          <w:i w:val="0"/>
          <w:iCs w:val="0"/>
          <w:caps w:val="0"/>
          <w:color w:val="222222"/>
          <w:spacing w:val="0"/>
          <w:sz w:val="24"/>
          <w:szCs w:val="24"/>
          <w:highlight w:val="none"/>
          <w:shd w:val="clear" w:fill="FFFFFF"/>
          <w:lang w:eastAsia="zh-CN"/>
        </w:rPr>
        <w:t>：</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Style w:val="136"/>
          <w:rFonts w:hint="eastAsia" w:ascii="宋体" w:hAnsi="宋体" w:eastAsia="宋体" w:cs="宋体"/>
          <w:color w:val="000000"/>
          <w:kern w:val="0"/>
          <w:sz w:val="24"/>
          <w:szCs w:val="24"/>
          <w:highlight w:val="none"/>
        </w:rPr>
      </w:pPr>
      <w:r>
        <w:rPr>
          <w:rStyle w:val="136"/>
          <w:rFonts w:hint="eastAsia" w:ascii="宋体" w:hAnsi="宋体" w:eastAsia="宋体" w:cs="宋体"/>
          <w:color w:val="000000"/>
          <w:kern w:val="0"/>
          <w:sz w:val="24"/>
          <w:szCs w:val="24"/>
          <w:highlight w:val="none"/>
        </w:rPr>
        <w:t>本项目专门面向中小企业采购（残疾人福利性单位及监狱企业视同小型、微型企业）（提供声明函）。</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lang w:eastAsia="zh-CN"/>
        </w:rPr>
      </w:pPr>
      <w:r>
        <w:rPr>
          <w:rFonts w:hint="eastAsia" w:ascii="宋体" w:hAnsi="宋体" w:eastAsia="宋体" w:cs="宋体"/>
          <w:i w:val="0"/>
          <w:iCs w:val="0"/>
          <w:caps w:val="0"/>
          <w:color w:val="222222"/>
          <w:spacing w:val="0"/>
          <w:sz w:val="24"/>
          <w:szCs w:val="24"/>
          <w:highlight w:val="none"/>
          <w:shd w:val="clear" w:fill="FFFFFF"/>
        </w:rPr>
        <w:t>合同包</w:t>
      </w:r>
      <w:r>
        <w:rPr>
          <w:rFonts w:hint="eastAsia" w:ascii="宋体" w:hAnsi="宋体" w:eastAsia="宋体" w:cs="宋体"/>
          <w:i w:val="0"/>
          <w:iCs w:val="0"/>
          <w:caps w:val="0"/>
          <w:color w:val="222222"/>
          <w:spacing w:val="0"/>
          <w:sz w:val="24"/>
          <w:szCs w:val="24"/>
          <w:highlight w:val="none"/>
          <w:shd w:val="clear" w:fill="FFFFFF"/>
          <w:lang w:val="en-US" w:eastAsia="zh-CN"/>
        </w:rPr>
        <w:t>2（</w:t>
      </w:r>
      <w:r>
        <w:rPr>
          <w:rFonts w:hint="eastAsia" w:ascii="宋体" w:hAnsi="宋体" w:eastAsia="宋体" w:cs="宋体"/>
          <w:i w:val="0"/>
          <w:iCs w:val="0"/>
          <w:caps w:val="0"/>
          <w:color w:val="222222"/>
          <w:spacing w:val="0"/>
          <w:sz w:val="24"/>
          <w:szCs w:val="24"/>
          <w:highlight w:val="none"/>
          <w:shd w:val="clear" w:fill="FFFFFF"/>
          <w:lang w:eastAsia="zh-CN"/>
        </w:rPr>
        <w:t>安保服务）</w:t>
      </w:r>
      <w:r>
        <w:rPr>
          <w:rFonts w:hint="eastAsia" w:ascii="宋体" w:hAnsi="宋体" w:eastAsia="宋体" w:cs="宋体"/>
          <w:i w:val="0"/>
          <w:iCs w:val="0"/>
          <w:caps w:val="0"/>
          <w:color w:val="222222"/>
          <w:spacing w:val="0"/>
          <w:sz w:val="24"/>
          <w:szCs w:val="24"/>
          <w:highlight w:val="none"/>
          <w:shd w:val="clear" w:fill="FFFFFF"/>
        </w:rPr>
        <w:t>落实政府采购政策需满足的资格要求如下</w:t>
      </w:r>
      <w:r>
        <w:rPr>
          <w:rFonts w:hint="eastAsia" w:ascii="宋体" w:hAnsi="宋体" w:eastAsia="宋体" w:cs="宋体"/>
          <w:i w:val="0"/>
          <w:iCs w:val="0"/>
          <w:caps w:val="0"/>
          <w:color w:val="222222"/>
          <w:spacing w:val="0"/>
          <w:sz w:val="24"/>
          <w:szCs w:val="24"/>
          <w:highlight w:val="none"/>
          <w:shd w:val="clear" w:fill="FFFFFF"/>
          <w:lang w:eastAsia="zh-CN"/>
        </w:rPr>
        <w:t>：</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Style w:val="136"/>
          <w:rFonts w:hint="eastAsia" w:ascii="宋体" w:hAnsi="宋体" w:eastAsia="宋体" w:cs="宋体"/>
          <w:color w:val="000000"/>
          <w:kern w:val="0"/>
          <w:sz w:val="24"/>
          <w:szCs w:val="24"/>
          <w:highlight w:val="none"/>
        </w:rPr>
      </w:pPr>
      <w:r>
        <w:rPr>
          <w:rStyle w:val="136"/>
          <w:rFonts w:hint="eastAsia" w:ascii="宋体" w:hAnsi="宋体" w:eastAsia="宋体" w:cs="宋体"/>
          <w:color w:val="000000"/>
          <w:kern w:val="0"/>
          <w:sz w:val="24"/>
          <w:szCs w:val="24"/>
          <w:highlight w:val="none"/>
        </w:rPr>
        <w:t>本项目专门面向中小企业采购（残疾人福利性单位及监狱企业视同小型、微型企业）（提供声明函）。</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rPr>
      </w:pPr>
      <w:r>
        <w:rPr>
          <w:rFonts w:hint="eastAsia" w:ascii="宋体" w:hAnsi="宋体" w:eastAsia="宋体" w:cs="宋体"/>
          <w:i w:val="0"/>
          <w:iCs w:val="0"/>
          <w:caps w:val="0"/>
          <w:color w:val="222222"/>
          <w:spacing w:val="0"/>
          <w:sz w:val="24"/>
          <w:szCs w:val="24"/>
          <w:highlight w:val="none"/>
          <w:shd w:val="clear" w:fill="FFFFFF"/>
        </w:rPr>
        <w:t>3.本项目的特定资格要求：</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rPr>
      </w:pPr>
      <w:r>
        <w:rPr>
          <w:rFonts w:hint="eastAsia" w:ascii="宋体" w:hAnsi="宋体" w:eastAsia="宋体" w:cs="宋体"/>
          <w:i w:val="0"/>
          <w:iCs w:val="0"/>
          <w:caps w:val="0"/>
          <w:color w:val="222222"/>
          <w:spacing w:val="0"/>
          <w:sz w:val="24"/>
          <w:szCs w:val="24"/>
          <w:highlight w:val="none"/>
          <w:shd w:val="clear" w:fill="FFFFFF"/>
        </w:rPr>
        <w:t>合同包1</w:t>
      </w:r>
      <w:r>
        <w:rPr>
          <w:rFonts w:hint="eastAsia" w:ascii="宋体" w:hAnsi="宋体" w:eastAsia="宋体" w:cs="宋体"/>
          <w:i w:val="0"/>
          <w:iCs w:val="0"/>
          <w:caps w:val="0"/>
          <w:color w:val="222222"/>
          <w:spacing w:val="0"/>
          <w:sz w:val="24"/>
          <w:szCs w:val="24"/>
          <w:highlight w:val="none"/>
          <w:shd w:val="clear" w:fill="FFFFFF"/>
          <w:lang w:eastAsia="zh-CN"/>
        </w:rPr>
        <w:t>（后勤服务）</w:t>
      </w:r>
      <w:r>
        <w:rPr>
          <w:rFonts w:hint="eastAsia" w:ascii="宋体" w:hAnsi="宋体" w:eastAsia="宋体" w:cs="宋体"/>
          <w:i w:val="0"/>
          <w:iCs w:val="0"/>
          <w:caps w:val="0"/>
          <w:color w:val="222222"/>
          <w:spacing w:val="0"/>
          <w:sz w:val="24"/>
          <w:szCs w:val="24"/>
          <w:highlight w:val="none"/>
          <w:shd w:val="clear" w:fill="FFFFFF"/>
        </w:rPr>
        <w:t>特定资格要求如下</w:t>
      </w:r>
      <w:r>
        <w:rPr>
          <w:rFonts w:hint="eastAsia" w:ascii="宋体" w:hAnsi="宋体" w:eastAsia="宋体" w:cs="宋体"/>
          <w:i w:val="0"/>
          <w:iCs w:val="0"/>
          <w:caps w:val="0"/>
          <w:color w:val="222222"/>
          <w:spacing w:val="0"/>
          <w:sz w:val="24"/>
          <w:szCs w:val="24"/>
          <w:highlight w:val="none"/>
          <w:shd w:val="clear" w:fill="FFFFFF"/>
          <w:lang w:eastAsia="zh-CN"/>
        </w:rPr>
        <w:t>：</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lang w:eastAsia="zh-CN"/>
        </w:rPr>
      </w:pPr>
      <w:r>
        <w:rPr>
          <w:rFonts w:hint="eastAsia" w:ascii="宋体" w:hAnsi="宋体" w:eastAsia="宋体" w:cs="宋体"/>
          <w:i w:val="0"/>
          <w:iCs w:val="0"/>
          <w:caps w:val="0"/>
          <w:color w:val="222222"/>
          <w:spacing w:val="0"/>
          <w:sz w:val="24"/>
          <w:szCs w:val="24"/>
          <w:highlight w:val="none"/>
          <w:shd w:val="clear" w:fill="FFFFFF"/>
          <w:lang w:eastAsia="zh-CN"/>
        </w:rPr>
        <w:t>①法定代表人参加投标的提供法定代表人身份证明及身份证，委托代理人参加投标的提供授权委托书及委托代理人身份证，</w:t>
      </w:r>
      <w:r>
        <w:rPr>
          <w:rFonts w:hint="eastAsia" w:ascii="宋体" w:hAnsi="宋体" w:eastAsia="宋体" w:cs="宋体"/>
          <w:kern w:val="0"/>
          <w:sz w:val="24"/>
          <w:szCs w:val="24"/>
          <w:highlight w:val="none"/>
        </w:rPr>
        <w:t>备注：分支机构由分支机构负责人授权即可</w:t>
      </w:r>
      <w:r>
        <w:rPr>
          <w:rFonts w:hint="eastAsia" w:ascii="宋体" w:hAnsi="宋体" w:eastAsia="宋体" w:cs="宋体"/>
          <w:i w:val="0"/>
          <w:iCs w:val="0"/>
          <w:caps w:val="0"/>
          <w:color w:val="222222"/>
          <w:spacing w:val="0"/>
          <w:sz w:val="24"/>
          <w:szCs w:val="24"/>
          <w:highlight w:val="none"/>
          <w:shd w:val="clear" w:fill="FFFFFF"/>
          <w:lang w:eastAsia="zh-CN"/>
        </w:rPr>
        <w:t>；②本项目不接受联合体投标（提供书面声明材料）。</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rPr>
      </w:pPr>
      <w:r>
        <w:rPr>
          <w:rFonts w:hint="eastAsia" w:ascii="宋体" w:hAnsi="宋体" w:eastAsia="宋体" w:cs="宋体"/>
          <w:i w:val="0"/>
          <w:iCs w:val="0"/>
          <w:caps w:val="0"/>
          <w:color w:val="222222"/>
          <w:spacing w:val="0"/>
          <w:sz w:val="24"/>
          <w:szCs w:val="24"/>
          <w:highlight w:val="none"/>
          <w:shd w:val="clear" w:fill="FFFFFF"/>
        </w:rPr>
        <w:t>合同包</w:t>
      </w:r>
      <w:r>
        <w:rPr>
          <w:rFonts w:hint="eastAsia" w:ascii="宋体" w:hAnsi="宋体" w:eastAsia="宋体" w:cs="宋体"/>
          <w:i w:val="0"/>
          <w:iCs w:val="0"/>
          <w:caps w:val="0"/>
          <w:color w:val="222222"/>
          <w:spacing w:val="0"/>
          <w:sz w:val="24"/>
          <w:szCs w:val="24"/>
          <w:highlight w:val="none"/>
          <w:shd w:val="clear" w:fill="FFFFFF"/>
          <w:lang w:val="en-US" w:eastAsia="zh-CN"/>
        </w:rPr>
        <w:t>2（</w:t>
      </w:r>
      <w:r>
        <w:rPr>
          <w:rFonts w:hint="eastAsia" w:ascii="宋体" w:hAnsi="宋体" w:eastAsia="宋体" w:cs="宋体"/>
          <w:i w:val="0"/>
          <w:iCs w:val="0"/>
          <w:caps w:val="0"/>
          <w:color w:val="222222"/>
          <w:spacing w:val="0"/>
          <w:sz w:val="24"/>
          <w:szCs w:val="24"/>
          <w:highlight w:val="none"/>
          <w:shd w:val="clear" w:fill="FFFFFF"/>
          <w:lang w:eastAsia="zh-CN"/>
        </w:rPr>
        <w:t>安保服务）</w:t>
      </w:r>
      <w:r>
        <w:rPr>
          <w:rFonts w:hint="eastAsia" w:ascii="宋体" w:hAnsi="宋体" w:eastAsia="宋体" w:cs="宋体"/>
          <w:i w:val="0"/>
          <w:iCs w:val="0"/>
          <w:caps w:val="0"/>
          <w:color w:val="222222"/>
          <w:spacing w:val="0"/>
          <w:sz w:val="24"/>
          <w:szCs w:val="24"/>
          <w:highlight w:val="none"/>
          <w:shd w:val="clear" w:fill="FFFFFF"/>
        </w:rPr>
        <w:t>特定资格要求如下</w:t>
      </w:r>
      <w:r>
        <w:rPr>
          <w:rFonts w:hint="eastAsia" w:ascii="宋体" w:hAnsi="宋体" w:eastAsia="宋体" w:cs="宋体"/>
          <w:i w:val="0"/>
          <w:iCs w:val="0"/>
          <w:caps w:val="0"/>
          <w:color w:val="222222"/>
          <w:spacing w:val="0"/>
          <w:sz w:val="24"/>
          <w:szCs w:val="24"/>
          <w:highlight w:val="none"/>
          <w:shd w:val="clear" w:fill="FFFFFF"/>
          <w:lang w:eastAsia="zh-CN"/>
        </w:rPr>
        <w:t>：</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lang w:val="en-US" w:eastAsia="zh-CN"/>
        </w:rPr>
      </w:pPr>
      <w:r>
        <w:rPr>
          <w:rFonts w:hint="eastAsia" w:ascii="宋体" w:hAnsi="宋体" w:eastAsia="宋体" w:cs="宋体"/>
          <w:i w:val="0"/>
          <w:iCs w:val="0"/>
          <w:caps w:val="0"/>
          <w:color w:val="222222"/>
          <w:spacing w:val="0"/>
          <w:sz w:val="24"/>
          <w:szCs w:val="24"/>
          <w:highlight w:val="none"/>
          <w:shd w:val="clear" w:fill="FFFFFF"/>
          <w:lang w:eastAsia="zh-CN"/>
        </w:rPr>
        <w:t>①投标人需具有公安机关核发的保安服务许可证（陕西省外企业还须出具承诺书，承诺自承接本项目之日起30日内向采购人所在地设区的市级人民政府公安机关备案）；②法定代表人参加投标的提供法定代表人身份证明及身份证，委托代理人参加投标的提供授权委托书及委托代理人身份证，</w:t>
      </w:r>
      <w:r>
        <w:rPr>
          <w:rFonts w:hint="eastAsia" w:ascii="宋体" w:hAnsi="宋体" w:eastAsia="宋体" w:cs="宋体"/>
          <w:kern w:val="0"/>
          <w:sz w:val="24"/>
          <w:szCs w:val="24"/>
          <w:highlight w:val="none"/>
        </w:rPr>
        <w:t>备注：分支机构由分支机构负责人授权即可</w:t>
      </w:r>
      <w:r>
        <w:rPr>
          <w:rFonts w:hint="eastAsia" w:ascii="宋体" w:hAnsi="宋体" w:eastAsia="宋体" w:cs="宋体"/>
          <w:i w:val="0"/>
          <w:iCs w:val="0"/>
          <w:caps w:val="0"/>
          <w:color w:val="222222"/>
          <w:spacing w:val="0"/>
          <w:sz w:val="24"/>
          <w:szCs w:val="24"/>
          <w:highlight w:val="none"/>
          <w:shd w:val="clear" w:fill="FFFFFF"/>
          <w:lang w:eastAsia="zh-CN"/>
        </w:rPr>
        <w:t>；</w:t>
      </w:r>
      <w:r>
        <w:rPr>
          <w:rFonts w:hint="eastAsia" w:ascii="宋体" w:hAnsi="宋体" w:eastAsia="宋体" w:cs="宋体"/>
          <w:i w:val="0"/>
          <w:iCs w:val="0"/>
          <w:caps w:val="0"/>
          <w:color w:val="222222"/>
          <w:spacing w:val="0"/>
          <w:sz w:val="24"/>
          <w:szCs w:val="24"/>
          <w:highlight w:val="none"/>
          <w:shd w:val="clear" w:fill="FFFFFF"/>
          <w:lang w:val="en-US" w:eastAsia="zh-CN"/>
        </w:rPr>
        <w:t>③</w:t>
      </w:r>
      <w:r>
        <w:rPr>
          <w:rFonts w:hint="eastAsia" w:ascii="宋体" w:hAnsi="宋体" w:eastAsia="宋体" w:cs="宋体"/>
          <w:i w:val="0"/>
          <w:iCs w:val="0"/>
          <w:caps w:val="0"/>
          <w:color w:val="222222"/>
          <w:spacing w:val="0"/>
          <w:sz w:val="24"/>
          <w:szCs w:val="24"/>
          <w:highlight w:val="none"/>
          <w:shd w:val="clear" w:fill="FFFFFF"/>
          <w:lang w:eastAsia="zh-CN"/>
        </w:rPr>
        <w:t>本项目不接受联合体投标（提供书面声明材料）。</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both"/>
        <w:rPr>
          <w:rFonts w:hint="eastAsia" w:ascii="宋体" w:hAnsi="宋体" w:eastAsia="宋体" w:cs="宋体"/>
          <w:i w:val="0"/>
          <w:iCs w:val="0"/>
          <w:caps w:val="0"/>
          <w:color w:val="222222"/>
          <w:spacing w:val="0"/>
          <w:sz w:val="24"/>
          <w:szCs w:val="24"/>
          <w:highlight w:val="none"/>
          <w:shd w:val="clear" w:fill="FFFFFF"/>
        </w:rPr>
      </w:pPr>
      <w:r>
        <w:rPr>
          <w:rFonts w:hint="eastAsia" w:ascii="宋体" w:hAnsi="宋体" w:eastAsia="宋体" w:cs="宋体"/>
          <w:b/>
          <w:bCs/>
          <w:i w:val="0"/>
          <w:iCs w:val="0"/>
          <w:caps w:val="0"/>
          <w:color w:val="222222"/>
          <w:spacing w:val="0"/>
          <w:sz w:val="24"/>
          <w:szCs w:val="24"/>
          <w:highlight w:val="none"/>
          <w:shd w:val="clear" w:fill="FFFFFF"/>
        </w:rPr>
        <w:t>三、获取招标文件</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rPr>
      </w:pPr>
      <w:r>
        <w:rPr>
          <w:rFonts w:hint="eastAsia" w:ascii="宋体" w:hAnsi="宋体" w:eastAsia="宋体" w:cs="宋体"/>
          <w:i w:val="0"/>
          <w:iCs w:val="0"/>
          <w:caps w:val="0"/>
          <w:color w:val="222222"/>
          <w:spacing w:val="0"/>
          <w:sz w:val="24"/>
          <w:szCs w:val="24"/>
          <w:highlight w:val="none"/>
          <w:shd w:val="clear" w:fill="FFFFFF"/>
        </w:rPr>
        <w:t>时间：202</w:t>
      </w:r>
      <w:r>
        <w:rPr>
          <w:rFonts w:hint="eastAsia" w:ascii="宋体" w:hAnsi="宋体" w:eastAsia="宋体" w:cs="宋体"/>
          <w:i w:val="0"/>
          <w:iCs w:val="0"/>
          <w:caps w:val="0"/>
          <w:color w:val="222222"/>
          <w:spacing w:val="0"/>
          <w:sz w:val="24"/>
          <w:szCs w:val="24"/>
          <w:highlight w:val="none"/>
          <w:shd w:val="clear" w:fill="FFFFFF"/>
          <w:lang w:val="en-US" w:eastAsia="zh-CN"/>
        </w:rPr>
        <w:t>3</w:t>
      </w:r>
      <w:r>
        <w:rPr>
          <w:rFonts w:hint="eastAsia" w:ascii="宋体" w:hAnsi="宋体" w:eastAsia="宋体" w:cs="宋体"/>
          <w:i w:val="0"/>
          <w:iCs w:val="0"/>
          <w:caps w:val="0"/>
          <w:color w:val="222222"/>
          <w:spacing w:val="0"/>
          <w:sz w:val="24"/>
          <w:szCs w:val="24"/>
          <w:highlight w:val="none"/>
          <w:shd w:val="clear" w:fill="FFFFFF"/>
        </w:rPr>
        <w:t>年</w:t>
      </w:r>
      <w:r>
        <w:rPr>
          <w:rFonts w:hint="eastAsia" w:cs="宋体"/>
          <w:i w:val="0"/>
          <w:iCs w:val="0"/>
          <w:caps w:val="0"/>
          <w:color w:val="222222"/>
          <w:spacing w:val="0"/>
          <w:sz w:val="24"/>
          <w:szCs w:val="24"/>
          <w:highlight w:val="none"/>
          <w:shd w:val="clear" w:fill="FFFFFF"/>
          <w:lang w:val="en-US" w:eastAsia="zh-CN"/>
        </w:rPr>
        <w:t>11</w:t>
      </w:r>
      <w:r>
        <w:rPr>
          <w:rFonts w:hint="eastAsia" w:ascii="宋体" w:hAnsi="宋体" w:eastAsia="宋体" w:cs="宋体"/>
          <w:i w:val="0"/>
          <w:iCs w:val="0"/>
          <w:caps w:val="0"/>
          <w:color w:val="222222"/>
          <w:spacing w:val="0"/>
          <w:sz w:val="24"/>
          <w:szCs w:val="24"/>
          <w:highlight w:val="none"/>
          <w:shd w:val="clear" w:fill="FFFFFF"/>
        </w:rPr>
        <w:t>月</w:t>
      </w:r>
      <w:r>
        <w:rPr>
          <w:rFonts w:hint="eastAsia" w:cs="宋体"/>
          <w:i w:val="0"/>
          <w:iCs w:val="0"/>
          <w:caps w:val="0"/>
          <w:color w:val="222222"/>
          <w:spacing w:val="0"/>
          <w:sz w:val="24"/>
          <w:szCs w:val="24"/>
          <w:highlight w:val="none"/>
          <w:shd w:val="clear" w:fill="FFFFFF"/>
          <w:lang w:val="en-US" w:eastAsia="zh-CN"/>
        </w:rPr>
        <w:t>17</w:t>
      </w:r>
      <w:r>
        <w:rPr>
          <w:rFonts w:hint="eastAsia" w:ascii="宋体" w:hAnsi="宋体" w:eastAsia="宋体" w:cs="宋体"/>
          <w:i w:val="0"/>
          <w:iCs w:val="0"/>
          <w:caps w:val="0"/>
          <w:color w:val="222222"/>
          <w:spacing w:val="0"/>
          <w:sz w:val="24"/>
          <w:szCs w:val="24"/>
          <w:highlight w:val="none"/>
          <w:shd w:val="clear" w:fill="FFFFFF"/>
        </w:rPr>
        <w:t>日至202</w:t>
      </w:r>
      <w:r>
        <w:rPr>
          <w:rFonts w:hint="eastAsia" w:ascii="宋体" w:hAnsi="宋体" w:eastAsia="宋体" w:cs="宋体"/>
          <w:i w:val="0"/>
          <w:iCs w:val="0"/>
          <w:caps w:val="0"/>
          <w:color w:val="222222"/>
          <w:spacing w:val="0"/>
          <w:sz w:val="24"/>
          <w:szCs w:val="24"/>
          <w:highlight w:val="none"/>
          <w:shd w:val="clear" w:fill="FFFFFF"/>
          <w:lang w:val="en-US" w:eastAsia="zh-CN"/>
        </w:rPr>
        <w:t>3</w:t>
      </w:r>
      <w:r>
        <w:rPr>
          <w:rFonts w:hint="eastAsia" w:ascii="宋体" w:hAnsi="宋体" w:eastAsia="宋体" w:cs="宋体"/>
          <w:i w:val="0"/>
          <w:iCs w:val="0"/>
          <w:caps w:val="0"/>
          <w:color w:val="222222"/>
          <w:spacing w:val="0"/>
          <w:sz w:val="24"/>
          <w:szCs w:val="24"/>
          <w:highlight w:val="none"/>
          <w:shd w:val="clear" w:fill="FFFFFF"/>
        </w:rPr>
        <w:t>年</w:t>
      </w:r>
      <w:r>
        <w:rPr>
          <w:rFonts w:hint="eastAsia" w:cs="宋体"/>
          <w:i w:val="0"/>
          <w:iCs w:val="0"/>
          <w:caps w:val="0"/>
          <w:color w:val="222222"/>
          <w:spacing w:val="0"/>
          <w:sz w:val="24"/>
          <w:szCs w:val="24"/>
          <w:highlight w:val="none"/>
          <w:shd w:val="clear" w:fill="FFFFFF"/>
          <w:lang w:val="en-US" w:eastAsia="zh-CN"/>
        </w:rPr>
        <w:t>11</w:t>
      </w:r>
      <w:r>
        <w:rPr>
          <w:rFonts w:hint="eastAsia" w:ascii="宋体" w:hAnsi="宋体" w:eastAsia="宋体" w:cs="宋体"/>
          <w:i w:val="0"/>
          <w:iCs w:val="0"/>
          <w:caps w:val="0"/>
          <w:color w:val="222222"/>
          <w:spacing w:val="0"/>
          <w:sz w:val="24"/>
          <w:szCs w:val="24"/>
          <w:highlight w:val="none"/>
          <w:shd w:val="clear" w:fill="FFFFFF"/>
        </w:rPr>
        <w:t>月</w:t>
      </w:r>
      <w:r>
        <w:rPr>
          <w:rFonts w:hint="eastAsia" w:cs="宋体"/>
          <w:i w:val="0"/>
          <w:iCs w:val="0"/>
          <w:caps w:val="0"/>
          <w:color w:val="222222"/>
          <w:spacing w:val="0"/>
          <w:sz w:val="24"/>
          <w:szCs w:val="24"/>
          <w:highlight w:val="none"/>
          <w:shd w:val="clear" w:fill="FFFFFF"/>
          <w:lang w:val="en-US" w:eastAsia="zh-CN"/>
        </w:rPr>
        <w:t>23</w:t>
      </w:r>
      <w:r>
        <w:rPr>
          <w:rFonts w:hint="eastAsia" w:ascii="宋体" w:hAnsi="宋体" w:eastAsia="宋体" w:cs="宋体"/>
          <w:i w:val="0"/>
          <w:iCs w:val="0"/>
          <w:caps w:val="0"/>
          <w:color w:val="222222"/>
          <w:spacing w:val="0"/>
          <w:sz w:val="24"/>
          <w:szCs w:val="24"/>
          <w:highlight w:val="none"/>
          <w:shd w:val="clear" w:fill="FFFFFF"/>
        </w:rPr>
        <w:t>日，每天上午0</w:t>
      </w:r>
      <w:r>
        <w:rPr>
          <w:rFonts w:hint="eastAsia" w:ascii="宋体" w:hAnsi="宋体" w:eastAsia="宋体" w:cs="宋体"/>
          <w:i w:val="0"/>
          <w:iCs w:val="0"/>
          <w:caps w:val="0"/>
          <w:color w:val="222222"/>
          <w:spacing w:val="0"/>
          <w:sz w:val="24"/>
          <w:szCs w:val="24"/>
          <w:highlight w:val="none"/>
          <w:shd w:val="clear" w:fill="FFFFFF"/>
          <w:lang w:val="en-US" w:eastAsia="zh-CN"/>
        </w:rPr>
        <w:t>0</w:t>
      </w:r>
      <w:r>
        <w:rPr>
          <w:rFonts w:hint="eastAsia" w:ascii="宋体" w:hAnsi="宋体" w:eastAsia="宋体" w:cs="宋体"/>
          <w:i w:val="0"/>
          <w:iCs w:val="0"/>
          <w:caps w:val="0"/>
          <w:color w:val="222222"/>
          <w:spacing w:val="0"/>
          <w:sz w:val="24"/>
          <w:szCs w:val="24"/>
          <w:highlight w:val="none"/>
          <w:shd w:val="clear" w:fill="FFFFFF"/>
        </w:rPr>
        <w:t>:00:00至12:00:00，下午</w:t>
      </w:r>
      <w:r>
        <w:rPr>
          <w:rFonts w:hint="eastAsia" w:ascii="宋体" w:hAnsi="宋体" w:eastAsia="宋体" w:cs="宋体"/>
          <w:i w:val="0"/>
          <w:iCs w:val="0"/>
          <w:caps w:val="0"/>
          <w:color w:val="222222"/>
          <w:spacing w:val="0"/>
          <w:sz w:val="24"/>
          <w:szCs w:val="24"/>
          <w:highlight w:val="none"/>
          <w:shd w:val="clear" w:fill="FFFFFF"/>
          <w:lang w:val="en-US" w:eastAsia="zh-CN"/>
        </w:rPr>
        <w:t>12</w:t>
      </w:r>
      <w:r>
        <w:rPr>
          <w:rFonts w:hint="eastAsia" w:ascii="宋体" w:hAnsi="宋体" w:eastAsia="宋体" w:cs="宋体"/>
          <w:i w:val="0"/>
          <w:iCs w:val="0"/>
          <w:caps w:val="0"/>
          <w:color w:val="222222"/>
          <w:spacing w:val="0"/>
          <w:sz w:val="24"/>
          <w:szCs w:val="24"/>
          <w:highlight w:val="none"/>
          <w:shd w:val="clear" w:fill="FFFFFF"/>
        </w:rPr>
        <w:t>:00:00至</w:t>
      </w:r>
      <w:r>
        <w:rPr>
          <w:rFonts w:hint="eastAsia" w:ascii="宋体" w:hAnsi="宋体" w:eastAsia="宋体" w:cs="宋体"/>
          <w:i w:val="0"/>
          <w:iCs w:val="0"/>
          <w:caps w:val="0"/>
          <w:color w:val="222222"/>
          <w:spacing w:val="0"/>
          <w:sz w:val="24"/>
          <w:szCs w:val="24"/>
          <w:highlight w:val="none"/>
          <w:shd w:val="clear" w:fill="FFFFFF"/>
          <w:lang w:val="en-US" w:eastAsia="zh-CN"/>
        </w:rPr>
        <w:t>23</w:t>
      </w:r>
      <w:r>
        <w:rPr>
          <w:rFonts w:hint="eastAsia" w:ascii="宋体" w:hAnsi="宋体" w:eastAsia="宋体" w:cs="宋体"/>
          <w:i w:val="0"/>
          <w:iCs w:val="0"/>
          <w:caps w:val="0"/>
          <w:color w:val="222222"/>
          <w:spacing w:val="0"/>
          <w:sz w:val="24"/>
          <w:szCs w:val="24"/>
          <w:highlight w:val="none"/>
          <w:shd w:val="clear" w:fill="FFFFFF"/>
        </w:rPr>
        <w:t>:</w:t>
      </w:r>
      <w:r>
        <w:rPr>
          <w:rFonts w:hint="eastAsia" w:ascii="宋体" w:hAnsi="宋体" w:eastAsia="宋体" w:cs="宋体"/>
          <w:i w:val="0"/>
          <w:iCs w:val="0"/>
          <w:caps w:val="0"/>
          <w:color w:val="222222"/>
          <w:spacing w:val="0"/>
          <w:sz w:val="24"/>
          <w:szCs w:val="24"/>
          <w:highlight w:val="none"/>
          <w:shd w:val="clear" w:fill="FFFFFF"/>
          <w:lang w:val="en-US" w:eastAsia="zh-CN"/>
        </w:rPr>
        <w:t>59</w:t>
      </w:r>
      <w:r>
        <w:rPr>
          <w:rFonts w:hint="eastAsia" w:ascii="宋体" w:hAnsi="宋体" w:eastAsia="宋体" w:cs="宋体"/>
          <w:i w:val="0"/>
          <w:iCs w:val="0"/>
          <w:caps w:val="0"/>
          <w:color w:val="222222"/>
          <w:spacing w:val="0"/>
          <w:sz w:val="24"/>
          <w:szCs w:val="24"/>
          <w:highlight w:val="none"/>
          <w:shd w:val="clear" w:fill="FFFFFF"/>
        </w:rPr>
        <w:t>:</w:t>
      </w:r>
      <w:r>
        <w:rPr>
          <w:rFonts w:hint="eastAsia" w:ascii="宋体" w:hAnsi="宋体" w:eastAsia="宋体" w:cs="宋体"/>
          <w:i w:val="0"/>
          <w:iCs w:val="0"/>
          <w:caps w:val="0"/>
          <w:color w:val="222222"/>
          <w:spacing w:val="0"/>
          <w:sz w:val="24"/>
          <w:szCs w:val="24"/>
          <w:highlight w:val="none"/>
          <w:shd w:val="clear" w:fill="FFFFFF"/>
          <w:lang w:val="en-US" w:eastAsia="zh-CN"/>
        </w:rPr>
        <w:t>59</w:t>
      </w:r>
      <w:r>
        <w:rPr>
          <w:rFonts w:hint="eastAsia" w:ascii="宋体" w:hAnsi="宋体" w:eastAsia="宋体" w:cs="宋体"/>
          <w:i w:val="0"/>
          <w:iCs w:val="0"/>
          <w:caps w:val="0"/>
          <w:color w:val="222222"/>
          <w:spacing w:val="0"/>
          <w:sz w:val="24"/>
          <w:szCs w:val="24"/>
          <w:highlight w:val="none"/>
          <w:shd w:val="clear" w:fill="FFFFFF"/>
        </w:rPr>
        <w:t>（北京时间）</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lang w:eastAsia="zh-CN"/>
        </w:rPr>
      </w:pPr>
      <w:r>
        <w:rPr>
          <w:rFonts w:hint="eastAsia" w:ascii="宋体" w:hAnsi="宋体" w:eastAsia="宋体" w:cs="宋体"/>
          <w:i w:val="0"/>
          <w:iCs w:val="0"/>
          <w:caps w:val="0"/>
          <w:color w:val="222222"/>
          <w:spacing w:val="0"/>
          <w:sz w:val="24"/>
          <w:szCs w:val="24"/>
          <w:highlight w:val="none"/>
          <w:shd w:val="clear" w:fill="FFFFFF"/>
        </w:rPr>
        <w:t>途径：全国公共资源交易平台</w:t>
      </w:r>
      <w:r>
        <w:rPr>
          <w:rFonts w:hint="eastAsia" w:ascii="宋体" w:hAnsi="宋体" w:eastAsia="宋体" w:cs="宋体"/>
          <w:i w:val="0"/>
          <w:iCs w:val="0"/>
          <w:caps w:val="0"/>
          <w:color w:val="222222"/>
          <w:spacing w:val="0"/>
          <w:sz w:val="24"/>
          <w:szCs w:val="24"/>
          <w:highlight w:val="none"/>
          <w:shd w:val="clear" w:fill="FFFFFF"/>
          <w:lang w:eastAsia="zh-CN"/>
        </w:rPr>
        <w:t>（</w:t>
      </w:r>
      <w:r>
        <w:rPr>
          <w:rFonts w:hint="eastAsia" w:ascii="宋体" w:hAnsi="宋体" w:eastAsia="宋体" w:cs="宋体"/>
          <w:i w:val="0"/>
          <w:iCs w:val="0"/>
          <w:caps w:val="0"/>
          <w:color w:val="222222"/>
          <w:spacing w:val="0"/>
          <w:sz w:val="24"/>
          <w:szCs w:val="24"/>
          <w:highlight w:val="none"/>
          <w:shd w:val="clear" w:fill="FFFFFF"/>
        </w:rPr>
        <w:t>陕西省·西安市</w:t>
      </w:r>
      <w:r>
        <w:rPr>
          <w:rFonts w:hint="eastAsia" w:ascii="宋体" w:hAnsi="宋体" w:eastAsia="宋体" w:cs="宋体"/>
          <w:i w:val="0"/>
          <w:iCs w:val="0"/>
          <w:caps w:val="0"/>
          <w:color w:val="222222"/>
          <w:spacing w:val="0"/>
          <w:sz w:val="24"/>
          <w:szCs w:val="24"/>
          <w:highlight w:val="none"/>
          <w:shd w:val="clear" w:fill="FFFFFF"/>
          <w:lang w:eastAsia="zh-CN"/>
        </w:rPr>
        <w:t>）</w:t>
      </w:r>
      <w:r>
        <w:rPr>
          <w:rFonts w:hint="eastAsia" w:ascii="宋体" w:hAnsi="宋体" w:eastAsia="宋体" w:cs="宋体"/>
          <w:i w:val="0"/>
          <w:iCs w:val="0"/>
          <w:caps w:val="0"/>
          <w:color w:val="222222"/>
          <w:spacing w:val="0"/>
          <w:sz w:val="24"/>
          <w:szCs w:val="24"/>
          <w:highlight w:val="none"/>
          <w:shd w:val="clear" w:fill="FFFFFF"/>
        </w:rPr>
        <w:t>网站〖首页</w:t>
      </w:r>
      <w:r>
        <w:rPr>
          <w:rFonts w:hint="eastAsia" w:ascii="宋体" w:hAnsi="宋体" w:eastAsia="宋体" w:cs="宋体"/>
          <w:i w:val="0"/>
          <w:iCs w:val="0"/>
          <w:caps w:val="0"/>
          <w:color w:val="222222"/>
          <w:spacing w:val="0"/>
          <w:sz w:val="24"/>
          <w:szCs w:val="24"/>
          <w:highlight w:val="none"/>
          <w:shd w:val="clear" w:fill="FFFFFF"/>
          <w:lang w:eastAsia="zh-CN"/>
        </w:rPr>
        <w:t>〉</w:t>
      </w:r>
      <w:r>
        <w:rPr>
          <w:rFonts w:hint="eastAsia" w:ascii="宋体" w:hAnsi="宋体" w:eastAsia="宋体" w:cs="宋体"/>
          <w:i w:val="0"/>
          <w:iCs w:val="0"/>
          <w:caps w:val="0"/>
          <w:color w:val="222222"/>
          <w:spacing w:val="0"/>
          <w:sz w:val="24"/>
          <w:szCs w:val="24"/>
          <w:highlight w:val="none"/>
          <w:shd w:val="clear" w:fill="FFFFFF"/>
        </w:rPr>
        <w:t>电子交易平台</w:t>
      </w:r>
      <w:r>
        <w:rPr>
          <w:rFonts w:hint="eastAsia" w:ascii="宋体" w:hAnsi="宋体" w:eastAsia="宋体" w:cs="宋体"/>
          <w:i w:val="0"/>
          <w:iCs w:val="0"/>
          <w:caps w:val="0"/>
          <w:color w:val="222222"/>
          <w:spacing w:val="0"/>
          <w:sz w:val="24"/>
          <w:szCs w:val="24"/>
          <w:highlight w:val="none"/>
          <w:shd w:val="clear" w:fill="FFFFFF"/>
          <w:lang w:eastAsia="zh-CN"/>
        </w:rPr>
        <w:t>〉</w:t>
      </w:r>
      <w:r>
        <w:rPr>
          <w:rFonts w:hint="eastAsia" w:ascii="宋体" w:hAnsi="宋体" w:eastAsia="宋体" w:cs="宋体"/>
          <w:i w:val="0"/>
          <w:iCs w:val="0"/>
          <w:caps w:val="0"/>
          <w:color w:val="222222"/>
          <w:spacing w:val="0"/>
          <w:sz w:val="24"/>
          <w:szCs w:val="24"/>
          <w:highlight w:val="none"/>
          <w:shd w:val="clear" w:fill="FFFFFF"/>
        </w:rPr>
        <w:t>陕西政府采购交易系统</w:t>
      </w:r>
      <w:r>
        <w:rPr>
          <w:rFonts w:hint="eastAsia" w:ascii="宋体" w:hAnsi="宋体" w:eastAsia="宋体" w:cs="宋体"/>
          <w:i w:val="0"/>
          <w:iCs w:val="0"/>
          <w:caps w:val="0"/>
          <w:color w:val="222222"/>
          <w:spacing w:val="0"/>
          <w:sz w:val="24"/>
          <w:szCs w:val="24"/>
          <w:highlight w:val="none"/>
          <w:shd w:val="clear" w:fill="FFFFFF"/>
          <w:lang w:eastAsia="zh-CN"/>
        </w:rPr>
        <w:t>〉</w:t>
      </w:r>
      <w:r>
        <w:rPr>
          <w:rFonts w:hint="eastAsia" w:ascii="宋体" w:hAnsi="宋体" w:eastAsia="宋体" w:cs="宋体"/>
          <w:i w:val="0"/>
          <w:iCs w:val="0"/>
          <w:caps w:val="0"/>
          <w:color w:val="222222"/>
          <w:spacing w:val="0"/>
          <w:sz w:val="24"/>
          <w:szCs w:val="24"/>
          <w:highlight w:val="none"/>
          <w:shd w:val="clear" w:fill="FFFFFF"/>
        </w:rPr>
        <w:t>企业端〗</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lang w:eastAsia="zh-CN"/>
        </w:rPr>
      </w:pPr>
      <w:r>
        <w:rPr>
          <w:rFonts w:hint="eastAsia" w:ascii="宋体" w:hAnsi="宋体" w:eastAsia="宋体" w:cs="宋体"/>
          <w:i w:val="0"/>
          <w:iCs w:val="0"/>
          <w:caps w:val="0"/>
          <w:color w:val="222222"/>
          <w:spacing w:val="0"/>
          <w:sz w:val="24"/>
          <w:szCs w:val="24"/>
          <w:highlight w:val="none"/>
          <w:shd w:val="clear" w:fill="FFFFFF"/>
        </w:rPr>
        <w:t>方式：</w:t>
      </w:r>
      <w:r>
        <w:rPr>
          <w:rFonts w:hint="eastAsia" w:ascii="宋体" w:hAnsi="宋体" w:eastAsia="宋体" w:cs="宋体"/>
          <w:i w:val="0"/>
          <w:iCs w:val="0"/>
          <w:caps w:val="0"/>
          <w:color w:val="222222"/>
          <w:spacing w:val="0"/>
          <w:sz w:val="24"/>
          <w:szCs w:val="24"/>
          <w:highlight w:val="none"/>
          <w:shd w:val="clear" w:fill="FFFFFF"/>
          <w:lang w:val="en-US" w:eastAsia="zh-CN"/>
        </w:rPr>
        <w:t>在线获取</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rPr>
      </w:pPr>
      <w:r>
        <w:rPr>
          <w:rFonts w:hint="eastAsia" w:ascii="宋体" w:hAnsi="宋体" w:eastAsia="宋体" w:cs="宋体"/>
          <w:i w:val="0"/>
          <w:iCs w:val="0"/>
          <w:caps w:val="0"/>
          <w:color w:val="222222"/>
          <w:spacing w:val="0"/>
          <w:sz w:val="24"/>
          <w:szCs w:val="24"/>
          <w:highlight w:val="none"/>
          <w:shd w:val="clear" w:fill="FFFFFF"/>
        </w:rPr>
        <w:t>售价：0元</w:t>
      </w:r>
    </w:p>
    <w:p>
      <w:pPr>
        <w:pStyle w:val="37"/>
        <w:shd w:val="clear" w:color="auto" w:fill="FFFFFF"/>
        <w:spacing w:before="120" w:beforeAutospacing="0" w:after="0" w:afterAutospacing="0" w:line="360" w:lineRule="auto"/>
        <w:rPr>
          <w:rFonts w:hint="eastAsia" w:ascii="宋体" w:hAnsi="宋体" w:eastAsia="宋体" w:cs="宋体"/>
          <w:b/>
          <w:color w:val="333333"/>
          <w:sz w:val="24"/>
          <w:szCs w:val="24"/>
          <w:highlight w:val="none"/>
        </w:rPr>
      </w:pPr>
      <w:r>
        <w:rPr>
          <w:rFonts w:hint="eastAsia" w:ascii="宋体" w:hAnsi="宋体" w:eastAsia="宋体" w:cs="宋体"/>
          <w:b/>
          <w:color w:val="333333"/>
          <w:sz w:val="24"/>
          <w:szCs w:val="24"/>
          <w:highlight w:val="none"/>
          <w:shd w:val="clear" w:color="auto" w:fill="FFFFFF"/>
        </w:rPr>
        <w:t>四、提交投标文件截止时间、开标时间和地点</w:t>
      </w:r>
    </w:p>
    <w:p>
      <w:pPr>
        <w:pStyle w:val="37"/>
        <w:shd w:val="clear" w:color="auto" w:fill="FFFFFF"/>
        <w:spacing w:before="0" w:beforeAutospacing="0" w:after="0" w:afterAutospacing="0"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时间：202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年</w:t>
      </w:r>
      <w:r>
        <w:rPr>
          <w:rFonts w:hint="eastAsia" w:cs="宋体"/>
          <w:b w:val="0"/>
          <w:bCs w:val="0"/>
          <w:i w:val="0"/>
          <w:iCs w:val="0"/>
          <w:caps w:val="0"/>
          <w:color w:val="222222"/>
          <w:spacing w:val="0"/>
          <w:kern w:val="0"/>
          <w:sz w:val="24"/>
          <w:szCs w:val="24"/>
          <w:highlight w:val="none"/>
          <w:shd w:val="clear" w:fill="FFFFFF"/>
          <w:lang w:val="en-US" w:eastAsia="zh-CN" w:bidi="ar-SA"/>
        </w:rPr>
        <w:t>12</w:t>
      </w: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SA"/>
        </w:rPr>
        <w:t>月</w:t>
      </w:r>
      <w:r>
        <w:rPr>
          <w:rFonts w:hint="eastAsia" w:cs="宋体"/>
          <w:b w:val="0"/>
          <w:bCs w:val="0"/>
          <w:i w:val="0"/>
          <w:iCs w:val="0"/>
          <w:caps w:val="0"/>
          <w:color w:val="222222"/>
          <w:spacing w:val="0"/>
          <w:kern w:val="0"/>
          <w:sz w:val="24"/>
          <w:szCs w:val="24"/>
          <w:highlight w:val="none"/>
          <w:shd w:val="clear" w:fill="FFFFFF"/>
          <w:lang w:val="en-US" w:eastAsia="zh-CN" w:bidi="ar-SA"/>
        </w:rPr>
        <w:t>07</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09</w:t>
      </w:r>
      <w:r>
        <w:rPr>
          <w:rFonts w:hint="eastAsia" w:ascii="宋体" w:hAnsi="宋体" w:eastAsia="宋体" w:cs="宋体"/>
          <w:color w:val="000000"/>
          <w:sz w:val="24"/>
          <w:szCs w:val="24"/>
          <w:highlight w:val="none"/>
        </w:rPr>
        <w:t>时</w:t>
      </w:r>
      <w:r>
        <w:rPr>
          <w:rFonts w:hint="eastAsia"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分00秒（北京时间）</w:t>
      </w:r>
    </w:p>
    <w:p>
      <w:pPr>
        <w:pStyle w:val="37"/>
        <w:shd w:val="clear" w:color="auto" w:fill="FFFFFF"/>
        <w:spacing w:before="0" w:beforeAutospacing="0" w:after="0" w:afterAutospacing="0"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提交投标文件地点：全国公共资源交易平台（陕西省·西安市）</w:t>
      </w:r>
    </w:p>
    <w:p>
      <w:pPr>
        <w:pStyle w:val="37"/>
        <w:shd w:val="clear" w:color="auto" w:fill="FFFFFF"/>
        <w:spacing w:before="0" w:beforeAutospacing="0" w:after="0" w:afterAutospacing="0" w:line="360" w:lineRule="auto"/>
        <w:ind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开标地点：全国公共资源交易平台（陕西省·西安市）西安市公共资源交易不见面开标大厅（西安市公共资源交易中心</w:t>
      </w:r>
      <w:r>
        <w:rPr>
          <w:rFonts w:hint="eastAsia" w:cs="宋体"/>
          <w:sz w:val="24"/>
          <w:szCs w:val="24"/>
          <w:highlight w:val="none"/>
          <w:lang w:val="en-US" w:eastAsia="zh-CN"/>
        </w:rPr>
        <w:t>5</w:t>
      </w:r>
      <w:r>
        <w:rPr>
          <w:rFonts w:hint="eastAsia" w:ascii="宋体" w:hAnsi="宋体" w:eastAsia="宋体" w:cs="宋体"/>
          <w:sz w:val="24"/>
          <w:szCs w:val="24"/>
          <w:highlight w:val="none"/>
          <w:lang w:val="en-US" w:eastAsia="zh-CN"/>
        </w:rPr>
        <w:t>楼开标室</w:t>
      </w:r>
      <w:r>
        <w:rPr>
          <w:rFonts w:hint="eastAsia" w:cs="宋体"/>
          <w:sz w:val="24"/>
          <w:szCs w:val="24"/>
          <w:highlight w:val="none"/>
          <w:lang w:val="en-US" w:eastAsia="zh-CN"/>
        </w:rPr>
        <w:t>511</w:t>
      </w:r>
      <w:r>
        <w:rPr>
          <w:rFonts w:hint="eastAsia" w:ascii="宋体" w:hAnsi="宋体" w:eastAsia="宋体" w:cs="宋体"/>
          <w:sz w:val="24"/>
          <w:szCs w:val="24"/>
          <w:highlight w:val="none"/>
          <w:lang w:val="en-US" w:eastAsia="zh-CN"/>
        </w:rPr>
        <w:t>）</w:t>
      </w:r>
    </w:p>
    <w:p>
      <w:pPr>
        <w:pStyle w:val="37"/>
        <w:shd w:val="clear" w:color="auto" w:fill="FFFFFF"/>
        <w:spacing w:before="0" w:beforeAutospacing="0" w:after="0" w:afterAutospacing="0" w:line="360" w:lineRule="auto"/>
        <w:rPr>
          <w:rFonts w:hint="eastAsia" w:ascii="宋体" w:hAnsi="宋体" w:eastAsia="宋体" w:cs="宋体"/>
          <w:b w:val="0"/>
          <w:bCs w:val="0"/>
          <w:i w:val="0"/>
          <w:iCs w:val="0"/>
          <w:caps w:val="0"/>
          <w:color w:val="222222"/>
          <w:spacing w:val="0"/>
          <w:sz w:val="24"/>
          <w:szCs w:val="24"/>
          <w:highlight w:val="none"/>
        </w:rPr>
      </w:pPr>
      <w:r>
        <w:rPr>
          <w:rStyle w:val="45"/>
          <w:rFonts w:hint="eastAsia" w:ascii="宋体" w:hAnsi="宋体" w:eastAsia="宋体" w:cs="宋体"/>
          <w:b/>
          <w:bCs/>
          <w:i w:val="0"/>
          <w:iCs w:val="0"/>
          <w:caps w:val="0"/>
          <w:color w:val="222222"/>
          <w:spacing w:val="0"/>
          <w:sz w:val="24"/>
          <w:szCs w:val="24"/>
          <w:highlight w:val="none"/>
          <w:shd w:val="clear" w:fill="FFFFFF"/>
        </w:rPr>
        <w:t>五、公告期限</w:t>
      </w:r>
    </w:p>
    <w:p>
      <w:pPr>
        <w:pStyle w:val="37"/>
        <w:shd w:val="clear" w:color="auto" w:fill="FFFFFF"/>
        <w:spacing w:before="0" w:beforeAutospacing="0" w:after="0" w:afterAutospacing="0" w:line="360" w:lineRule="auto"/>
        <w:ind w:firstLine="420"/>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自本公告发布之日起5个工作日。</w:t>
      </w:r>
    </w:p>
    <w:p>
      <w:pPr>
        <w:pStyle w:val="37"/>
        <w:shd w:val="clear" w:color="auto" w:fill="FFFFFF"/>
        <w:spacing w:before="0" w:beforeAutospacing="0" w:after="0" w:afterAutospacing="0" w:line="360" w:lineRule="auto"/>
        <w:rPr>
          <w:rFonts w:hint="eastAsia" w:ascii="宋体" w:hAnsi="宋体" w:eastAsia="宋体" w:cs="宋体"/>
          <w:b w:val="0"/>
          <w:bCs/>
          <w:color w:val="000000"/>
          <w:sz w:val="24"/>
          <w:szCs w:val="24"/>
          <w:highlight w:val="none"/>
        </w:rPr>
      </w:pPr>
      <w:r>
        <w:rPr>
          <w:rStyle w:val="45"/>
          <w:rFonts w:hint="eastAsia" w:ascii="宋体" w:hAnsi="宋体" w:eastAsia="宋体" w:cs="宋体"/>
          <w:b/>
          <w:bCs/>
          <w:i w:val="0"/>
          <w:iCs w:val="0"/>
          <w:caps w:val="0"/>
          <w:color w:val="222222"/>
          <w:spacing w:val="0"/>
          <w:sz w:val="24"/>
          <w:szCs w:val="24"/>
          <w:highlight w:val="none"/>
          <w:shd w:val="clear" w:fill="FFFFFF"/>
        </w:rPr>
        <w:t>六、其他补充事宜</w:t>
      </w:r>
    </w:p>
    <w:p>
      <w:pPr>
        <w:pStyle w:val="37"/>
        <w:shd w:val="clear" w:color="auto" w:fill="FFFFFF"/>
        <w:spacing w:before="0" w:beforeAutospacing="0" w:after="0" w:afterAutospacing="0" w:line="360" w:lineRule="auto"/>
        <w:ind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操作流程：①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pStyle w:val="37"/>
        <w:shd w:val="clear" w:color="auto" w:fill="FFFFFF"/>
        <w:spacing w:before="0" w:beforeAutospacing="0" w:after="0" w:afterAutospacing="0" w:line="360" w:lineRule="auto"/>
        <w:ind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pStyle w:val="37"/>
        <w:shd w:val="clear" w:color="auto" w:fill="FFFFFF"/>
        <w:spacing w:before="0" w:beforeAutospacing="0" w:after="0" w:afterAutospacing="0" w:line="360" w:lineRule="auto"/>
        <w:ind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③请供应商务必及时下载项目招标文件并做好备份，否则会影响投标文件编制及后续投标活动。</w:t>
      </w:r>
    </w:p>
    <w:p>
      <w:pPr>
        <w:pStyle w:val="37"/>
        <w:shd w:val="clear" w:color="auto" w:fill="FFFFFF"/>
        <w:spacing w:before="0" w:beforeAutospacing="0" w:after="0" w:afterAutospacing="0" w:line="360" w:lineRule="auto"/>
        <w:ind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pStyle w:val="37"/>
        <w:shd w:val="clear" w:color="auto" w:fill="FFFFFF"/>
        <w:spacing w:before="0" w:beforeAutospacing="0" w:after="0" w:afterAutospacing="0" w:line="360" w:lineRule="auto"/>
        <w:ind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⑤因投标人自身设施故障或自身原因导致无法完成解密或投标的，由投标人自行承担后果。</w:t>
      </w:r>
    </w:p>
    <w:p>
      <w:pPr>
        <w:pStyle w:val="37"/>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2</w:t>
      </w:r>
      <w:r>
        <w:rPr>
          <w:rFonts w:hint="eastAsia" w:ascii="宋体" w:hAnsi="宋体" w:eastAsia="宋体" w:cs="宋体"/>
          <w:sz w:val="24"/>
          <w:szCs w:val="24"/>
          <w:highlight w:val="none"/>
          <w:lang w:val="en-US" w:eastAsia="zh-CN"/>
        </w:rPr>
        <w:t>.需要落实的政府采购政策：</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《政府采购促进中小企业发展管理办法》（财库〔2020〕46号）；</w:t>
      </w:r>
      <w:r>
        <w:rPr>
          <w:rFonts w:hint="eastAsia" w:cs="宋体"/>
          <w:sz w:val="24"/>
          <w:szCs w:val="24"/>
          <w:highlight w:val="none"/>
          <w:lang w:val="en-US" w:eastAsia="zh-CN"/>
        </w:rPr>
        <w:t>（2）</w:t>
      </w:r>
      <w:r>
        <w:rPr>
          <w:rFonts w:hint="eastAsia" w:ascii="宋体" w:hAnsi="宋体" w:eastAsia="宋体" w:cs="宋体"/>
          <w:sz w:val="24"/>
          <w:szCs w:val="24"/>
          <w:highlight w:val="none"/>
          <w:lang w:val="en-US" w:eastAsia="zh-CN"/>
        </w:rPr>
        <w:t>《关于进一步加大政府采购支持中小企业力度的通知》（财库〔2022〕19号）；</w:t>
      </w:r>
      <w:r>
        <w:rPr>
          <w:rFonts w:hint="eastAsia" w:cs="宋体"/>
          <w:sz w:val="24"/>
          <w:szCs w:val="24"/>
          <w:highlight w:val="none"/>
          <w:lang w:val="en-US" w:eastAsia="zh-CN"/>
        </w:rPr>
        <w:t>（3）</w:t>
      </w:r>
      <w:r>
        <w:rPr>
          <w:rFonts w:hint="eastAsia" w:ascii="宋体" w:hAnsi="宋体" w:eastAsia="宋体" w:cs="宋体"/>
          <w:sz w:val="24"/>
          <w:szCs w:val="24"/>
          <w:highlight w:val="none"/>
          <w:lang w:val="en-US" w:eastAsia="zh-CN"/>
        </w:rPr>
        <w:t>《财政部司法部关于政府采购支持监狱企业发展有关问题的通知》（财库〔2014〕68号）；</w:t>
      </w:r>
      <w:r>
        <w:rPr>
          <w:rFonts w:hint="eastAsia" w:cs="宋体"/>
          <w:sz w:val="24"/>
          <w:szCs w:val="24"/>
          <w:highlight w:val="none"/>
          <w:lang w:val="en-US" w:eastAsia="zh-CN"/>
        </w:rPr>
        <w:t>（4）</w:t>
      </w:r>
      <w:r>
        <w:rPr>
          <w:rFonts w:hint="eastAsia" w:ascii="宋体" w:hAnsi="宋体" w:eastAsia="宋体" w:cs="宋体"/>
          <w:sz w:val="24"/>
          <w:szCs w:val="24"/>
          <w:highlight w:val="none"/>
          <w:lang w:val="en-US" w:eastAsia="zh-CN"/>
        </w:rPr>
        <w:t>《财政部民政部中国残疾人联合会关于促进残疾人就业政府采购政策的通知》（财库〔2017〕141号）；</w:t>
      </w:r>
      <w:r>
        <w:rPr>
          <w:rFonts w:hint="eastAsia" w:cs="宋体"/>
          <w:sz w:val="24"/>
          <w:szCs w:val="24"/>
          <w:highlight w:val="none"/>
          <w:lang w:val="en-US" w:eastAsia="zh-CN"/>
        </w:rPr>
        <w:t>（5）</w:t>
      </w:r>
      <w:r>
        <w:rPr>
          <w:rFonts w:hint="eastAsia" w:ascii="宋体" w:hAnsi="宋体" w:eastAsia="宋体" w:cs="宋体"/>
          <w:sz w:val="24"/>
          <w:szCs w:val="24"/>
          <w:highlight w:val="none"/>
          <w:lang w:val="en-US" w:eastAsia="zh-CN"/>
        </w:rPr>
        <w:t>《财政部国家发展改革委关于印发（节能产品政府采购实施意见）的通知》（财库〔2004〕185号）；</w:t>
      </w:r>
      <w:r>
        <w:rPr>
          <w:rFonts w:hint="eastAsia" w:cs="宋体"/>
          <w:sz w:val="24"/>
          <w:szCs w:val="24"/>
          <w:highlight w:val="none"/>
          <w:lang w:val="en-US" w:eastAsia="zh-CN"/>
        </w:rPr>
        <w:t>（6）</w:t>
      </w:r>
      <w:r>
        <w:rPr>
          <w:rFonts w:hint="eastAsia" w:ascii="宋体" w:hAnsi="宋体" w:eastAsia="宋体" w:cs="宋体"/>
          <w:sz w:val="24"/>
          <w:szCs w:val="24"/>
          <w:highlight w:val="none"/>
          <w:lang w:val="en-US" w:eastAsia="zh-CN"/>
        </w:rPr>
        <w:t>《国务院办公厅关于建立政府强制采购节能产品制度的通知》（国办发〔2007〕51号）；</w:t>
      </w:r>
      <w:r>
        <w:rPr>
          <w:rFonts w:hint="eastAsia" w:cs="宋体"/>
          <w:sz w:val="24"/>
          <w:szCs w:val="24"/>
          <w:highlight w:val="none"/>
          <w:lang w:val="en-US" w:eastAsia="zh-CN"/>
        </w:rPr>
        <w:t>（7）</w:t>
      </w:r>
      <w:r>
        <w:rPr>
          <w:rFonts w:hint="eastAsia" w:ascii="宋体" w:hAnsi="宋体" w:eastAsia="宋体" w:cs="宋体"/>
          <w:sz w:val="24"/>
          <w:szCs w:val="24"/>
          <w:highlight w:val="none"/>
          <w:lang w:val="en-US" w:eastAsia="zh-CN"/>
        </w:rPr>
        <w:t>《财政部环保总局关于环境标志产品政府采购实施的意见》（财库〔2006〕90号）；</w:t>
      </w:r>
      <w:r>
        <w:rPr>
          <w:rFonts w:hint="eastAsia" w:cs="宋体"/>
          <w:sz w:val="24"/>
          <w:szCs w:val="24"/>
          <w:highlight w:val="none"/>
          <w:lang w:val="en-US" w:eastAsia="zh-CN"/>
        </w:rPr>
        <w:t>（8）</w:t>
      </w:r>
      <w:r>
        <w:rPr>
          <w:rFonts w:hint="eastAsia" w:ascii="宋体" w:hAnsi="宋体" w:eastAsia="宋体" w:cs="宋体"/>
          <w:sz w:val="24"/>
          <w:szCs w:val="24"/>
          <w:highlight w:val="none"/>
          <w:lang w:val="en-US" w:eastAsia="zh-CN"/>
        </w:rPr>
        <w:t>《财政部发展改革委生态环境部市场监管总局关于调整优化节能产品、环境标志产品政府采购执行机制的通知》（财库〔2019〕9号）；</w:t>
      </w:r>
      <w:r>
        <w:rPr>
          <w:rFonts w:hint="eastAsia" w:cs="宋体"/>
          <w:sz w:val="24"/>
          <w:szCs w:val="24"/>
          <w:highlight w:val="none"/>
          <w:lang w:val="en-US" w:eastAsia="zh-CN"/>
        </w:rPr>
        <w:t>（9）</w:t>
      </w:r>
      <w:r>
        <w:rPr>
          <w:rFonts w:hint="eastAsia" w:ascii="宋体" w:hAnsi="宋体" w:eastAsia="宋体" w:cs="宋体"/>
          <w:sz w:val="24"/>
          <w:szCs w:val="24"/>
          <w:highlight w:val="none"/>
          <w:lang w:val="en-US" w:eastAsia="zh-CN"/>
        </w:rPr>
        <w:t>《关于印发环境标志产品政府采购品目清单的通知》（财库〔2019〕18号）；</w:t>
      </w:r>
      <w:r>
        <w:rPr>
          <w:rFonts w:hint="eastAsia" w:cs="宋体"/>
          <w:sz w:val="24"/>
          <w:szCs w:val="24"/>
          <w:highlight w:val="none"/>
          <w:lang w:val="en-US" w:eastAsia="zh-CN"/>
        </w:rPr>
        <w:t>（10）</w:t>
      </w:r>
      <w:r>
        <w:rPr>
          <w:rFonts w:hint="eastAsia" w:ascii="宋体" w:hAnsi="宋体" w:eastAsia="宋体" w:cs="宋体"/>
          <w:sz w:val="24"/>
          <w:szCs w:val="24"/>
          <w:highlight w:val="none"/>
          <w:lang w:val="en-US" w:eastAsia="zh-CN"/>
        </w:rPr>
        <w:t>《关于印发节能产品政府采购品目清单的通知》（财库〔2019〕19号）；</w:t>
      </w:r>
      <w:r>
        <w:rPr>
          <w:rFonts w:hint="eastAsia" w:cs="宋体"/>
          <w:sz w:val="24"/>
          <w:szCs w:val="24"/>
          <w:highlight w:val="none"/>
          <w:lang w:val="en-US" w:eastAsia="zh-CN"/>
        </w:rPr>
        <w:t>（11）</w:t>
      </w:r>
      <w:r>
        <w:rPr>
          <w:rFonts w:hint="eastAsia" w:ascii="宋体" w:hAnsi="宋体" w:eastAsia="宋体" w:cs="宋体"/>
          <w:sz w:val="24"/>
          <w:szCs w:val="24"/>
          <w:highlight w:val="none"/>
          <w:lang w:val="en-US" w:eastAsia="zh-CN"/>
        </w:rPr>
        <w:t>《财政部农业农村部国家乡村振兴局关于运用政府采购政策支持乡村产业振兴的通知》（财库〔2021〕19号）；</w:t>
      </w:r>
      <w:r>
        <w:rPr>
          <w:rFonts w:hint="eastAsia" w:cs="宋体"/>
          <w:sz w:val="24"/>
          <w:szCs w:val="24"/>
          <w:highlight w:val="none"/>
          <w:lang w:val="en-US" w:eastAsia="zh-CN"/>
        </w:rPr>
        <w:t>（12）</w:t>
      </w:r>
      <w:r>
        <w:rPr>
          <w:rFonts w:hint="eastAsia" w:ascii="宋体" w:hAnsi="宋体" w:eastAsia="宋体" w:cs="宋体"/>
          <w:sz w:val="24"/>
          <w:szCs w:val="24"/>
          <w:highlight w:val="none"/>
          <w:lang w:val="en-US" w:eastAsia="zh-CN"/>
        </w:rPr>
        <w:t>《陕西省财政厅关于印发陕西省中小企业政府采购信用融资办法》（陕财办采〔2018〕23号）；</w:t>
      </w:r>
      <w:r>
        <w:rPr>
          <w:rFonts w:hint="eastAsia" w:cs="宋体"/>
          <w:sz w:val="24"/>
          <w:szCs w:val="24"/>
          <w:highlight w:val="none"/>
          <w:lang w:val="en-US" w:eastAsia="zh-CN"/>
        </w:rPr>
        <w:t>（13）</w:t>
      </w:r>
      <w:r>
        <w:rPr>
          <w:rFonts w:hint="eastAsia" w:ascii="宋体" w:hAnsi="宋体" w:eastAsia="宋体" w:cs="宋体"/>
          <w:sz w:val="24"/>
          <w:szCs w:val="24"/>
          <w:highlight w:val="none"/>
          <w:lang w:val="en-US" w:eastAsia="zh-CN"/>
        </w:rPr>
        <w:t>《陕西省财政厅关于加快推进我省中小企业政府采购信用融资工作的通知》（陕财办采〔2020〕15号）。若享受以上政策优惠的企业，提供相应声明函或产品目录。如有最新颁发的政府采购政策，按最新的文件执行。</w:t>
      </w:r>
    </w:p>
    <w:p>
      <w:pPr>
        <w:pStyle w:val="37"/>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3.供应商须按照陕西省财政厅《关于政府采购供应商注册登记有关事项的通知》中的要求，通过陕西省政府采购网（http://www.ccgp-shaanxi.gov.cn/）注册登记加入陕西省政府采购供应商库。</w:t>
      </w:r>
    </w:p>
    <w:p>
      <w:pPr>
        <w:pStyle w:val="37"/>
        <w:shd w:val="clear" w:color="auto" w:fill="FFFFFF"/>
        <w:spacing w:before="0" w:beforeAutospacing="0" w:after="0" w:afterAutospacing="0" w:line="360" w:lineRule="auto"/>
        <w:rPr>
          <w:rFonts w:hint="eastAsia" w:ascii="宋体" w:hAnsi="宋体" w:eastAsia="宋体" w:cs="宋体"/>
          <w:b w:val="0"/>
          <w:bCs w:val="0"/>
          <w:i w:val="0"/>
          <w:iCs w:val="0"/>
          <w:caps w:val="0"/>
          <w:color w:val="222222"/>
          <w:spacing w:val="0"/>
          <w:sz w:val="24"/>
          <w:szCs w:val="24"/>
          <w:highlight w:val="none"/>
        </w:rPr>
      </w:pPr>
      <w:r>
        <w:rPr>
          <w:rStyle w:val="45"/>
          <w:rFonts w:hint="eastAsia" w:ascii="宋体" w:hAnsi="宋体" w:eastAsia="宋体" w:cs="宋体"/>
          <w:b/>
          <w:bCs/>
          <w:i w:val="0"/>
          <w:iCs w:val="0"/>
          <w:caps w:val="0"/>
          <w:color w:val="222222"/>
          <w:spacing w:val="0"/>
          <w:sz w:val="24"/>
          <w:szCs w:val="24"/>
          <w:highlight w:val="none"/>
          <w:shd w:val="clear" w:fill="FFFFFF"/>
        </w:rPr>
        <w:t>七、对本次招标提出询问，请按以下方式联系。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285" w:leftChars="100" w:right="0" w:hanging="1075" w:hangingChars="448"/>
        <w:jc w:val="left"/>
        <w:rPr>
          <w:rFonts w:hint="eastAsia" w:ascii="宋体" w:hAnsi="宋体" w:eastAsia="宋体" w:cs="宋体"/>
          <w:b w:val="0"/>
          <w:bCs w:val="0"/>
          <w:i w:val="0"/>
          <w:iCs w:val="0"/>
          <w:caps w:val="0"/>
          <w:color w:val="000000"/>
          <w:spacing w:val="0"/>
          <w:kern w:val="0"/>
          <w:sz w:val="24"/>
          <w:szCs w:val="24"/>
          <w:highlight w:val="none"/>
          <w:shd w:val="clear" w:fill="FFFFFF"/>
          <w:lang w:val="en-US" w:eastAsia="zh-CN" w:bidi="ar-SA"/>
        </w:rPr>
      </w:pPr>
      <w:r>
        <w:rPr>
          <w:rFonts w:hint="eastAsia" w:ascii="宋体" w:hAnsi="宋体" w:eastAsia="宋体" w:cs="宋体"/>
          <w:b w:val="0"/>
          <w:bCs w:val="0"/>
          <w:i w:val="0"/>
          <w:iCs w:val="0"/>
          <w:caps w:val="0"/>
          <w:color w:val="000000"/>
          <w:spacing w:val="0"/>
          <w:kern w:val="0"/>
          <w:sz w:val="24"/>
          <w:szCs w:val="24"/>
          <w:highlight w:val="none"/>
          <w:shd w:val="clear" w:fill="FFFFFF"/>
          <w:lang w:val="en-US" w:eastAsia="zh-CN" w:bidi="ar-SA"/>
        </w:rPr>
        <w:t>1.采购人信息</w:t>
      </w:r>
    </w:p>
    <w:p>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b w:val="0"/>
          <w:bCs w:val="0"/>
          <w:i w:val="0"/>
          <w:iCs w:val="0"/>
          <w:caps w:val="0"/>
          <w:color w:val="000000"/>
          <w:spacing w:val="0"/>
          <w:kern w:val="0"/>
          <w:sz w:val="24"/>
          <w:szCs w:val="24"/>
          <w:highlight w:val="none"/>
          <w:shd w:val="clear" w:fill="FFFFFF"/>
          <w:lang w:val="en-US" w:eastAsia="zh-CN" w:bidi="ar-SA"/>
        </w:rPr>
      </w:pPr>
      <w:r>
        <w:rPr>
          <w:rFonts w:hint="eastAsia" w:ascii="宋体" w:hAnsi="宋体" w:eastAsia="宋体" w:cs="宋体"/>
          <w:b w:val="0"/>
          <w:bCs w:val="0"/>
          <w:i w:val="0"/>
          <w:iCs w:val="0"/>
          <w:caps w:val="0"/>
          <w:color w:val="000000"/>
          <w:spacing w:val="0"/>
          <w:kern w:val="0"/>
          <w:sz w:val="24"/>
          <w:szCs w:val="24"/>
          <w:highlight w:val="none"/>
          <w:shd w:val="clear" w:fill="FFFFFF"/>
          <w:lang w:val="en-US" w:eastAsia="zh-CN" w:bidi="ar-SA"/>
        </w:rPr>
        <w:t>名称：西安市高陵区中医医院</w:t>
      </w:r>
    </w:p>
    <w:p>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b w:val="0"/>
          <w:bCs w:val="0"/>
          <w:i w:val="0"/>
          <w:iCs w:val="0"/>
          <w:caps w:val="0"/>
          <w:color w:val="000000"/>
          <w:spacing w:val="0"/>
          <w:kern w:val="0"/>
          <w:sz w:val="24"/>
          <w:szCs w:val="24"/>
          <w:highlight w:val="none"/>
          <w:shd w:val="clear" w:fill="FFFFFF"/>
          <w:lang w:val="en-US" w:eastAsia="zh-CN" w:bidi="ar-SA"/>
        </w:rPr>
      </w:pPr>
      <w:r>
        <w:rPr>
          <w:rFonts w:hint="eastAsia" w:ascii="宋体" w:hAnsi="宋体" w:eastAsia="宋体" w:cs="宋体"/>
          <w:b w:val="0"/>
          <w:bCs w:val="0"/>
          <w:i w:val="0"/>
          <w:iCs w:val="0"/>
          <w:caps w:val="0"/>
          <w:color w:val="000000"/>
          <w:spacing w:val="0"/>
          <w:kern w:val="0"/>
          <w:sz w:val="24"/>
          <w:szCs w:val="24"/>
          <w:highlight w:val="none"/>
          <w:shd w:val="clear" w:fill="FFFFFF"/>
          <w:lang w:val="en-US" w:eastAsia="zh-CN" w:bidi="ar-SA"/>
        </w:rPr>
        <w:t>地址：西安市高陵区北街367号</w:t>
      </w:r>
    </w:p>
    <w:p>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b w:val="0"/>
          <w:bCs w:val="0"/>
          <w:i w:val="0"/>
          <w:iCs w:val="0"/>
          <w:caps w:val="0"/>
          <w:color w:val="000000"/>
          <w:spacing w:val="0"/>
          <w:kern w:val="0"/>
          <w:sz w:val="24"/>
          <w:szCs w:val="24"/>
          <w:highlight w:val="none"/>
          <w:shd w:val="clear" w:fill="FFFFFF"/>
          <w:lang w:val="en-US" w:eastAsia="zh-CN" w:bidi="ar-SA"/>
        </w:rPr>
      </w:pPr>
      <w:r>
        <w:rPr>
          <w:rFonts w:hint="eastAsia" w:ascii="宋体" w:hAnsi="宋体" w:eastAsia="宋体" w:cs="宋体"/>
          <w:b w:val="0"/>
          <w:bCs w:val="0"/>
          <w:i w:val="0"/>
          <w:iCs w:val="0"/>
          <w:caps w:val="0"/>
          <w:color w:val="000000"/>
          <w:spacing w:val="0"/>
          <w:kern w:val="0"/>
          <w:sz w:val="24"/>
          <w:szCs w:val="24"/>
          <w:highlight w:val="none"/>
          <w:shd w:val="clear" w:fill="FFFFFF"/>
          <w:lang w:val="en-US" w:eastAsia="zh-CN" w:bidi="ar-SA"/>
        </w:rPr>
        <w:t>联系方式：</w:t>
      </w:r>
      <w:r>
        <w:rPr>
          <w:rFonts w:hint="eastAsia" w:ascii="宋体" w:hAnsi="宋体" w:eastAsia="宋体" w:cs="宋体"/>
          <w:color w:val="000000"/>
          <w:sz w:val="24"/>
          <w:szCs w:val="24"/>
          <w:highlight w:val="none"/>
          <w:lang w:eastAsia="zh-CN"/>
        </w:rPr>
        <w:t>13572573030</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2.采购代理机构信息</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r>
        <w:rPr>
          <w:rFonts w:hint="eastAsia" w:ascii="宋体" w:hAnsi="宋体" w:eastAsia="宋体" w:cs="宋体"/>
          <w:color w:val="000000" w:themeColor="text1"/>
          <w:sz w:val="24"/>
          <w:szCs w:val="24"/>
          <w:highlight w:val="none"/>
          <w:lang w:eastAsia="zh-CN"/>
          <w14:textFill>
            <w14:solidFill>
              <w14:schemeClr w14:val="tx1"/>
            </w14:solidFill>
          </w14:textFill>
        </w:rPr>
        <w:t>陕西信悦诚招标有限公司</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lang w:eastAsia="zh-CN"/>
          <w14:textFill>
            <w14:solidFill>
              <w14:schemeClr w14:val="tx1"/>
            </w14:solidFill>
          </w14:textFill>
        </w:rPr>
        <w:t>西安金桥酒店（西北二路店）一楼</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r>
        <w:rPr>
          <w:rFonts w:hint="eastAsia" w:ascii="宋体" w:hAnsi="宋体" w:eastAsia="宋体" w:cs="宋体"/>
          <w:color w:val="000000" w:themeColor="text1"/>
          <w:sz w:val="24"/>
          <w:szCs w:val="24"/>
          <w:highlight w:val="none"/>
          <w:lang w:eastAsia="zh-CN"/>
          <w14:textFill>
            <w14:solidFill>
              <w14:schemeClr w14:val="tx1"/>
            </w14:solidFill>
          </w14:textFill>
        </w:rPr>
        <w:t>18791368872</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3.项目联系方式</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徐新颖</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color w:val="000000" w:themeColor="text1"/>
          <w:sz w:val="24"/>
          <w:szCs w:val="24"/>
          <w:highlight w:val="none"/>
          <w:lang w:eastAsia="zh-CN"/>
          <w14:textFill>
            <w14:solidFill>
              <w14:schemeClr w14:val="tx1"/>
            </w14:solidFill>
          </w14:textFill>
        </w:rPr>
        <w:t>18791368872</w:t>
      </w:r>
    </w:p>
    <w:bookmarkEnd w:id="4"/>
    <w:bookmarkEnd w:id="5"/>
    <w:bookmarkEnd w:id="6"/>
    <w:p>
      <w:pP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bookmarkStart w:id="8" w:name="_Toc9554"/>
      <w:bookmarkStart w:id="9" w:name="_Toc27434"/>
      <w:bookmarkStart w:id="10" w:name="_Toc339114108"/>
      <w:bookmarkStart w:id="11" w:name="_Toc152045528"/>
      <w:bookmarkStart w:id="12" w:name="_Toc30637"/>
      <w:bookmarkStart w:id="13" w:name="_Toc152042304"/>
      <w:bookmarkStart w:id="14" w:name="_Toc144974496"/>
      <w:bookmarkStart w:id="15" w:name="_Toc144974498"/>
      <w:bookmarkStart w:id="16" w:name="_Toc152042306"/>
      <w:bookmarkStart w:id="17" w:name="_Toc152045530"/>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br w:type="page"/>
      </w: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color w:val="000000" w:themeColor="text1"/>
          <w:kern w:val="2"/>
          <w:sz w:val="36"/>
          <w:szCs w:val="36"/>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36"/>
          <w:szCs w:val="36"/>
          <w:highlight w:val="none"/>
          <w:lang w:val="en-US" w:eastAsia="zh-CN" w:bidi="ar-SA"/>
          <w14:textFill>
            <w14:solidFill>
              <w14:schemeClr w14:val="tx1"/>
            </w14:solidFill>
          </w14:textFill>
        </w:rPr>
        <w:t>供应商须知</w:t>
      </w:r>
      <w:bookmarkEnd w:id="8"/>
      <w:bookmarkEnd w:id="9"/>
    </w:p>
    <w:p>
      <w:pPr>
        <w:numPr>
          <w:ilvl w:val="0"/>
          <w:numId w:val="0"/>
        </w:numPr>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供应商须知前附表</w:t>
      </w:r>
      <w:bookmarkEnd w:id="10"/>
      <w:bookmarkEnd w:id="11"/>
      <w:bookmarkEnd w:id="12"/>
      <w:bookmarkEnd w:id="13"/>
      <w:bookmarkEnd w:id="14"/>
    </w:p>
    <w:p>
      <w:pPr>
        <w:pStyle w:val="5"/>
        <w:spacing w:line="360" w:lineRule="auto"/>
        <w:rPr>
          <w:rFonts w:hint="eastAsia" w:ascii="宋体" w:hAnsi="宋体" w:eastAsia="宋体" w:cs="宋体"/>
          <w:sz w:val="24"/>
          <w:szCs w:val="24"/>
          <w:highlight w:val="none"/>
        </w:rPr>
      </w:pPr>
    </w:p>
    <w:tbl>
      <w:tblPr>
        <w:tblStyle w:val="42"/>
        <w:tblW w:w="5329" w:type="pct"/>
        <w:jc w:val="center"/>
        <w:tblLayout w:type="fixed"/>
        <w:tblCellMar>
          <w:top w:w="0" w:type="dxa"/>
          <w:left w:w="108" w:type="dxa"/>
          <w:bottom w:w="0" w:type="dxa"/>
          <w:right w:w="108" w:type="dxa"/>
        </w:tblCellMar>
      </w:tblPr>
      <w:tblGrid>
        <w:gridCol w:w="501"/>
        <w:gridCol w:w="2382"/>
        <w:gridCol w:w="7317"/>
      </w:tblGrid>
      <w:tr>
        <w:tblPrEx>
          <w:tblCellMar>
            <w:top w:w="0" w:type="dxa"/>
            <w:left w:w="108" w:type="dxa"/>
            <w:bottom w:w="0" w:type="dxa"/>
            <w:right w:w="108" w:type="dxa"/>
          </w:tblCellMar>
        </w:tblPrEx>
        <w:trPr>
          <w:trHeight w:val="782"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编号</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条款名称</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编  列  内  容</w:t>
            </w:r>
          </w:p>
        </w:tc>
      </w:tr>
      <w:tr>
        <w:tblPrEx>
          <w:tblCellMar>
            <w:top w:w="0" w:type="dxa"/>
            <w:left w:w="108" w:type="dxa"/>
            <w:bottom w:w="0" w:type="dxa"/>
            <w:right w:w="108" w:type="dxa"/>
          </w:tblCellMar>
        </w:tblPrEx>
        <w:trPr>
          <w:trHeight w:val="432"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采购人信息：</w:t>
            </w:r>
            <w:r>
              <w:rPr>
                <w:rFonts w:hint="eastAsia" w:ascii="宋体" w:hAnsi="宋体" w:eastAsia="宋体" w:cs="宋体"/>
                <w:color w:val="000000"/>
                <w:sz w:val="24"/>
                <w:szCs w:val="24"/>
                <w:highlight w:val="none"/>
                <w:lang w:eastAsia="zh-CN"/>
              </w:rPr>
              <w:t>西安市高陵区中医医院</w:t>
            </w:r>
          </w:p>
          <w:p>
            <w:pPr>
              <w:snapToGrid w:val="0"/>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lang w:eastAsia="zh-CN"/>
              </w:rPr>
              <w:t>西安市高陵区北街367号</w:t>
            </w:r>
          </w:p>
          <w:p>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lang w:val="en-US" w:eastAsia="zh-CN"/>
              </w:rPr>
              <w:t>杨老师</w:t>
            </w:r>
          </w:p>
          <w:p>
            <w:pPr>
              <w:snapToGrid w:val="0"/>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电话：</w:t>
            </w:r>
            <w:r>
              <w:rPr>
                <w:rFonts w:hint="eastAsia" w:ascii="宋体" w:hAnsi="宋体" w:eastAsia="宋体" w:cs="宋体"/>
                <w:color w:val="000000"/>
                <w:sz w:val="24"/>
                <w:szCs w:val="24"/>
                <w:highlight w:val="none"/>
                <w:lang w:eastAsia="zh-CN"/>
              </w:rPr>
              <w:t>13572573030</w:t>
            </w:r>
          </w:p>
        </w:tc>
      </w:tr>
      <w:tr>
        <w:tblPrEx>
          <w:tblCellMar>
            <w:top w:w="0" w:type="dxa"/>
            <w:left w:w="108" w:type="dxa"/>
            <w:bottom w:w="0" w:type="dxa"/>
            <w:right w:w="108" w:type="dxa"/>
          </w:tblCellMar>
        </w:tblPrEx>
        <w:trPr>
          <w:trHeight w:val="992"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采购代理机构</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名  称</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陕西信悦诚招标有限公司</w:t>
            </w:r>
          </w:p>
          <w:p>
            <w:pPr>
              <w:snapToGrid w:val="0"/>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址：</w:t>
            </w:r>
            <w:r>
              <w:rPr>
                <w:rFonts w:hint="eastAsia" w:ascii="宋体" w:hAnsi="宋体" w:eastAsia="宋体" w:cs="宋体"/>
                <w:color w:val="000000"/>
                <w:sz w:val="24"/>
                <w:szCs w:val="24"/>
                <w:highlight w:val="none"/>
                <w:lang w:eastAsia="zh-CN"/>
              </w:rPr>
              <w:t>西安金桥酒店（西北二路店）一楼</w:t>
            </w:r>
          </w:p>
          <w:p>
            <w:pPr>
              <w:snapToGrid w:val="0"/>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联系人：徐新颖</w:t>
            </w:r>
          </w:p>
          <w:p>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话：</w:t>
            </w:r>
            <w:r>
              <w:rPr>
                <w:rFonts w:hint="eastAsia" w:ascii="宋体" w:hAnsi="宋体" w:eastAsia="宋体" w:cs="宋体"/>
                <w:color w:val="000000"/>
                <w:sz w:val="24"/>
                <w:szCs w:val="24"/>
                <w:highlight w:val="none"/>
                <w:lang w:val="en-US" w:eastAsia="zh-CN"/>
              </w:rPr>
              <w:t>18791368872</w:t>
            </w:r>
          </w:p>
        </w:tc>
      </w:tr>
      <w:tr>
        <w:tblPrEx>
          <w:tblCellMar>
            <w:top w:w="0" w:type="dxa"/>
            <w:left w:w="108" w:type="dxa"/>
            <w:bottom w:w="0" w:type="dxa"/>
            <w:right w:w="108" w:type="dxa"/>
          </w:tblCellMar>
        </w:tblPrEx>
        <w:trPr>
          <w:trHeight w:val="864"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项目名称</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中医医院后勤和安保服务项目</w:t>
            </w:r>
          </w:p>
        </w:tc>
      </w:tr>
      <w:tr>
        <w:tblPrEx>
          <w:tblCellMar>
            <w:top w:w="0" w:type="dxa"/>
            <w:left w:w="108" w:type="dxa"/>
            <w:bottom w:w="0" w:type="dxa"/>
            <w:right w:w="108" w:type="dxa"/>
          </w:tblCellMar>
        </w:tblPrEx>
        <w:trPr>
          <w:trHeight w:val="741"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合同期限</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自合同签订之日起一年。（合同签订后，服务期为一年；第一年度服务期满，乙方满足甲方考核标准的，经双方协商可续签第二年度合同；第二年度服务期满，乙方满足甲方考核标准的，经双方协商可续签第三年度合同，每年合同款项按照约定的方式支付）。</w:t>
            </w:r>
          </w:p>
        </w:tc>
      </w:tr>
      <w:tr>
        <w:tblPrEx>
          <w:tblCellMar>
            <w:top w:w="0" w:type="dxa"/>
            <w:left w:w="108" w:type="dxa"/>
            <w:bottom w:w="0" w:type="dxa"/>
            <w:right w:w="108" w:type="dxa"/>
          </w:tblCellMar>
        </w:tblPrEx>
        <w:trPr>
          <w:trHeight w:val="684"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5</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服务</w:t>
            </w:r>
            <w:r>
              <w:rPr>
                <w:rFonts w:hint="eastAsia" w:ascii="宋体" w:hAnsi="宋体" w:eastAsia="宋体" w:cs="宋体"/>
                <w:color w:val="000000"/>
                <w:kern w:val="0"/>
                <w:sz w:val="24"/>
                <w:szCs w:val="24"/>
                <w:highlight w:val="none"/>
                <w:lang w:eastAsia="zh-CN"/>
              </w:rPr>
              <w:t>地点</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采购人指定地点</w:t>
            </w:r>
          </w:p>
        </w:tc>
      </w:tr>
      <w:tr>
        <w:tblPrEx>
          <w:tblCellMar>
            <w:top w:w="0" w:type="dxa"/>
            <w:left w:w="108" w:type="dxa"/>
            <w:bottom w:w="0" w:type="dxa"/>
            <w:right w:w="108" w:type="dxa"/>
          </w:tblCellMar>
        </w:tblPrEx>
        <w:trPr>
          <w:trHeight w:val="741"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sz w:val="24"/>
                <w:szCs w:val="24"/>
                <w:highlight w:val="none"/>
              </w:rPr>
              <w:t>开标形式</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color w:val="000000"/>
                <w:kern w:val="0"/>
                <w:sz w:val="24"/>
                <w:szCs w:val="24"/>
                <w:highlight w:val="none"/>
                <w:lang w:eastAsia="zh-CN"/>
              </w:rPr>
            </w:pPr>
            <w:sdt>
              <w:sdtPr>
                <w:rPr>
                  <w:rFonts w:hint="eastAsia" w:ascii="宋体" w:hAnsi="宋体" w:eastAsia="宋体" w:cs="宋体"/>
                  <w:sz w:val="24"/>
                  <w:szCs w:val="24"/>
                  <w:highlight w:val="none"/>
                </w:rPr>
                <w:id w:val="1077786224"/>
                <w14:checkbox>
                  <w14:checked w14:val="1"/>
                  <w14:checkedState w14:val="2611" w14:font="MS Gothic"/>
                  <w14:uncheckedState w14:val="2610" w14:font="MS Gothic"/>
                </w14:checkbox>
              </w:sdtPr>
              <w:sdtEndPr>
                <w:rPr>
                  <w:rFonts w:hint="eastAsia" w:ascii="宋体" w:hAnsi="宋体" w:eastAsia="宋体" w:cs="宋体"/>
                  <w:sz w:val="24"/>
                  <w:szCs w:val="24"/>
                  <w:highlight w:val="none"/>
                </w:rPr>
              </w:sdtEndPr>
              <w:sdtContent>
                <w:r>
                  <w:rPr>
                    <w:rFonts w:hint="eastAsia" w:ascii="宋体" w:hAnsi="宋体" w:eastAsia="宋体" w:cs="宋体"/>
                    <w:kern w:val="2"/>
                    <w:sz w:val="24"/>
                    <w:szCs w:val="24"/>
                    <w:highlight w:val="none"/>
                    <w:lang w:val="en-US" w:eastAsia="zh-CN" w:bidi="ar-SA"/>
                  </w:rPr>
                  <w:t>☑</w:t>
                </w:r>
              </w:sdtContent>
            </w:sdt>
            <w:r>
              <w:rPr>
                <w:rFonts w:hint="eastAsia" w:ascii="宋体" w:hAnsi="宋体" w:eastAsia="宋体" w:cs="宋体"/>
                <w:sz w:val="24"/>
                <w:szCs w:val="24"/>
                <w:highlight w:val="none"/>
              </w:rPr>
              <w:t xml:space="preserve">不见面开标  </w:t>
            </w:r>
            <w:sdt>
              <w:sdtPr>
                <w:rPr>
                  <w:rFonts w:hint="eastAsia" w:ascii="宋体" w:hAnsi="宋体" w:eastAsia="宋体" w:cs="宋体"/>
                  <w:sz w:val="24"/>
                  <w:szCs w:val="24"/>
                  <w:highlight w:val="none"/>
                </w:rPr>
                <w:id w:val="1553575034"/>
                <w14:checkbox>
                  <w14:checked w14:val="0"/>
                  <w14:checkedState w14:val="2611" w14:font="MS Gothic"/>
                  <w14:uncheckedState w14:val="2610" w14:font="MS Gothic"/>
                </w14:checkbox>
              </w:sdtPr>
              <w:sdtEndPr>
                <w:rPr>
                  <w:rFonts w:hint="eastAsia" w:ascii="宋体" w:hAnsi="宋体" w:eastAsia="宋体" w:cs="宋体"/>
                  <w:sz w:val="24"/>
                  <w:szCs w:val="24"/>
                  <w:highlight w:val="none"/>
                </w:rPr>
              </w:sdtEndPr>
              <w:sdtContent>
                <w:r>
                  <w:rPr>
                    <w:rFonts w:hint="eastAsia" w:ascii="宋体" w:hAnsi="宋体" w:eastAsia="宋体" w:cs="宋体"/>
                    <w:sz w:val="24"/>
                    <w:szCs w:val="24"/>
                    <w:highlight w:val="none"/>
                  </w:rPr>
                  <w:t>☐</w:t>
                </w:r>
              </w:sdtContent>
            </w:sdt>
            <w:r>
              <w:rPr>
                <w:rFonts w:hint="eastAsia" w:ascii="宋体" w:hAnsi="宋体" w:eastAsia="宋体" w:cs="宋体"/>
                <w:sz w:val="24"/>
                <w:szCs w:val="24"/>
                <w:highlight w:val="none"/>
              </w:rPr>
              <w:t>见面开标</w:t>
            </w:r>
          </w:p>
        </w:tc>
      </w:tr>
      <w:tr>
        <w:tblPrEx>
          <w:tblCellMar>
            <w:top w:w="0" w:type="dxa"/>
            <w:left w:w="108" w:type="dxa"/>
            <w:bottom w:w="0" w:type="dxa"/>
            <w:right w:w="108" w:type="dxa"/>
          </w:tblCellMar>
        </w:tblPrEx>
        <w:trPr>
          <w:trHeight w:val="581"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7</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是否接受联合体投标</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不接受。</w:t>
            </w:r>
          </w:p>
        </w:tc>
      </w:tr>
      <w:tr>
        <w:tblPrEx>
          <w:tblCellMar>
            <w:top w:w="0" w:type="dxa"/>
            <w:left w:w="108" w:type="dxa"/>
            <w:bottom w:w="0" w:type="dxa"/>
            <w:right w:w="108" w:type="dxa"/>
          </w:tblCellMar>
        </w:tblPrEx>
        <w:trPr>
          <w:trHeight w:val="503"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8</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投标保证金</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本项目不收取投标保证金。</w:t>
            </w:r>
          </w:p>
        </w:tc>
      </w:tr>
      <w:tr>
        <w:tblPrEx>
          <w:tblCellMar>
            <w:top w:w="0" w:type="dxa"/>
            <w:left w:w="108" w:type="dxa"/>
            <w:bottom w:w="0" w:type="dxa"/>
            <w:right w:w="108" w:type="dxa"/>
          </w:tblCellMar>
        </w:tblPrEx>
        <w:trPr>
          <w:trHeight w:val="703"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9</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偏离</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本项目不允许。</w:t>
            </w:r>
          </w:p>
        </w:tc>
      </w:tr>
      <w:tr>
        <w:tblPrEx>
          <w:tblCellMar>
            <w:top w:w="0" w:type="dxa"/>
            <w:left w:w="108" w:type="dxa"/>
            <w:bottom w:w="0" w:type="dxa"/>
            <w:right w:w="108" w:type="dxa"/>
          </w:tblCellMar>
        </w:tblPrEx>
        <w:trPr>
          <w:trHeight w:val="560"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踏勘现场</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w:t>
            </w:r>
          </w:p>
        </w:tc>
      </w:tr>
      <w:tr>
        <w:tblPrEx>
          <w:tblCellMar>
            <w:top w:w="0" w:type="dxa"/>
            <w:left w:w="108" w:type="dxa"/>
            <w:bottom w:w="0" w:type="dxa"/>
            <w:right w:w="108" w:type="dxa"/>
          </w:tblCellMar>
        </w:tblPrEx>
        <w:trPr>
          <w:trHeight w:val="47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构成招标文件的</w:t>
            </w:r>
          </w:p>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其他材料</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对招标文件</w:t>
            </w:r>
            <w:r>
              <w:rPr>
                <w:rFonts w:hint="eastAsia" w:ascii="宋体" w:hAnsi="宋体" w:eastAsia="宋体" w:cs="宋体"/>
                <w:color w:val="000000"/>
                <w:sz w:val="24"/>
                <w:szCs w:val="24"/>
                <w:highlight w:val="none"/>
                <w:lang w:eastAsia="zh-CN"/>
              </w:rPr>
              <w:t>所做的</w:t>
            </w:r>
            <w:r>
              <w:rPr>
                <w:rFonts w:hint="eastAsia" w:ascii="宋体" w:hAnsi="宋体" w:eastAsia="宋体" w:cs="宋体"/>
                <w:color w:val="000000"/>
                <w:sz w:val="24"/>
                <w:szCs w:val="24"/>
                <w:highlight w:val="none"/>
              </w:rPr>
              <w:t>澄清、修改等。</w:t>
            </w:r>
          </w:p>
        </w:tc>
      </w:tr>
      <w:tr>
        <w:tblPrEx>
          <w:tblCellMar>
            <w:top w:w="0" w:type="dxa"/>
            <w:left w:w="108" w:type="dxa"/>
            <w:bottom w:w="0" w:type="dxa"/>
            <w:right w:w="108" w:type="dxa"/>
          </w:tblCellMar>
        </w:tblPrEx>
        <w:trPr>
          <w:trHeight w:val="425"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供应商要求澄清</w:t>
            </w:r>
          </w:p>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招标文件的截止时间</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投标截止时间 10日前。</w:t>
            </w:r>
          </w:p>
        </w:tc>
      </w:tr>
      <w:tr>
        <w:tblPrEx>
          <w:tblCellMar>
            <w:top w:w="0" w:type="dxa"/>
            <w:left w:w="108" w:type="dxa"/>
            <w:bottom w:w="0" w:type="dxa"/>
            <w:right w:w="108" w:type="dxa"/>
          </w:tblCellMar>
        </w:tblPrEx>
        <w:trPr>
          <w:trHeight w:val="722"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投标截止时间</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2023年</w:t>
            </w:r>
            <w:r>
              <w:rPr>
                <w:rFonts w:hint="eastAsia" w:ascii="宋体" w:hAnsi="宋体" w:cs="宋体"/>
                <w:b w:val="0"/>
                <w:bCs w:val="0"/>
                <w:i w:val="0"/>
                <w:iCs w:val="0"/>
                <w:caps w:val="0"/>
                <w:color w:val="222222"/>
                <w:spacing w:val="0"/>
                <w:kern w:val="0"/>
                <w:sz w:val="24"/>
                <w:szCs w:val="24"/>
                <w:highlight w:val="none"/>
                <w:shd w:val="clear" w:fill="FFFFFF"/>
                <w:lang w:val="en-US" w:eastAsia="zh-CN" w:bidi="ar-SA"/>
              </w:rPr>
              <w:t>12</w:t>
            </w: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SA"/>
              </w:rPr>
              <w:t>月</w:t>
            </w:r>
            <w:r>
              <w:rPr>
                <w:rFonts w:hint="eastAsia" w:ascii="宋体" w:hAnsi="宋体" w:cs="宋体"/>
                <w:b w:val="0"/>
                <w:bCs w:val="0"/>
                <w:i w:val="0"/>
                <w:iCs w:val="0"/>
                <w:caps w:val="0"/>
                <w:color w:val="222222"/>
                <w:spacing w:val="0"/>
                <w:kern w:val="0"/>
                <w:sz w:val="24"/>
                <w:szCs w:val="24"/>
                <w:highlight w:val="none"/>
                <w:shd w:val="clear" w:fill="FFFFFF"/>
                <w:lang w:val="en-US" w:eastAsia="zh-CN" w:bidi="ar-SA"/>
              </w:rPr>
              <w:t>07</w:t>
            </w:r>
            <w:r>
              <w:rPr>
                <w:rFonts w:hint="eastAsia" w:ascii="宋体" w:hAnsi="宋体" w:eastAsia="宋体" w:cs="宋体"/>
                <w:color w:val="000000"/>
                <w:sz w:val="24"/>
                <w:szCs w:val="24"/>
                <w:highlight w:val="none"/>
                <w:lang w:val="en-US" w:eastAsia="zh-CN"/>
              </w:rPr>
              <w:t>日09</w:t>
            </w:r>
            <w:r>
              <w:rPr>
                <w:rFonts w:hint="eastAsia" w:ascii="宋体" w:hAnsi="宋体" w:eastAsia="宋体" w:cs="宋体"/>
                <w:color w:val="000000"/>
                <w:sz w:val="24"/>
                <w:szCs w:val="24"/>
                <w:highlight w:val="none"/>
              </w:rPr>
              <w:t>时</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分00秒（北京时间）</w:t>
            </w:r>
          </w:p>
        </w:tc>
      </w:tr>
      <w:tr>
        <w:tblPrEx>
          <w:tblCellMar>
            <w:top w:w="0" w:type="dxa"/>
            <w:left w:w="108" w:type="dxa"/>
            <w:bottom w:w="0" w:type="dxa"/>
            <w:right w:w="108" w:type="dxa"/>
          </w:tblCellMar>
        </w:tblPrEx>
        <w:trPr>
          <w:trHeight w:val="1554"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供应商确认收到</w:t>
            </w:r>
          </w:p>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招标文件澄清的时间</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收到澄清后 24 小时内。</w:t>
            </w:r>
          </w:p>
        </w:tc>
      </w:tr>
      <w:tr>
        <w:tblPrEx>
          <w:tblCellMar>
            <w:top w:w="0" w:type="dxa"/>
            <w:left w:w="108" w:type="dxa"/>
            <w:bottom w:w="0" w:type="dxa"/>
            <w:right w:w="108" w:type="dxa"/>
          </w:tblCellMar>
        </w:tblPrEx>
        <w:trPr>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15</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供应商确认收到</w:t>
            </w:r>
          </w:p>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招标文件修改的时间</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收到修改后 24 小时内。</w:t>
            </w:r>
          </w:p>
        </w:tc>
      </w:tr>
      <w:tr>
        <w:tblPrEx>
          <w:tblCellMar>
            <w:top w:w="0" w:type="dxa"/>
            <w:left w:w="108" w:type="dxa"/>
            <w:bottom w:w="0" w:type="dxa"/>
            <w:right w:w="108" w:type="dxa"/>
          </w:tblCellMar>
        </w:tblPrEx>
        <w:trPr>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16</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构成投标文件的</w:t>
            </w:r>
          </w:p>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其他材料</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供应商按照招标文件的要求认为有利于自身投标的材料。</w:t>
            </w:r>
          </w:p>
        </w:tc>
      </w:tr>
      <w:tr>
        <w:tblPrEx>
          <w:tblCellMar>
            <w:top w:w="0" w:type="dxa"/>
            <w:left w:w="108" w:type="dxa"/>
            <w:bottom w:w="0" w:type="dxa"/>
            <w:right w:w="108" w:type="dxa"/>
          </w:tblCellMar>
        </w:tblPrEx>
        <w:trPr>
          <w:trHeight w:val="741"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17</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投标有效期</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90日历日（自投标截止时间之日算起）。</w:t>
            </w:r>
          </w:p>
        </w:tc>
      </w:tr>
      <w:tr>
        <w:tblPrEx>
          <w:tblCellMar>
            <w:top w:w="0" w:type="dxa"/>
            <w:left w:w="108" w:type="dxa"/>
            <w:bottom w:w="0" w:type="dxa"/>
            <w:right w:w="108" w:type="dxa"/>
          </w:tblCellMar>
        </w:tblPrEx>
        <w:trPr>
          <w:trHeight w:val="83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18</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是否允许递交</w:t>
            </w:r>
          </w:p>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备选投标方案</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不允许。</w:t>
            </w:r>
          </w:p>
        </w:tc>
      </w:tr>
      <w:tr>
        <w:tblPrEx>
          <w:tblCellMar>
            <w:top w:w="0" w:type="dxa"/>
            <w:left w:w="108" w:type="dxa"/>
            <w:bottom w:w="0" w:type="dxa"/>
            <w:right w:w="108" w:type="dxa"/>
          </w:tblCellMar>
        </w:tblPrEx>
        <w:trPr>
          <w:trHeight w:val="83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19</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签字或盖章要求</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投标文件加盖供应商公章并经法定代表人或其委托代理人签字或盖章。由委托代理人签字或盖章的在投标文件中须同时提交有效投标文件签署授权委托书。</w:t>
            </w:r>
          </w:p>
        </w:tc>
      </w:tr>
      <w:tr>
        <w:tblPrEx>
          <w:tblCellMar>
            <w:top w:w="0" w:type="dxa"/>
            <w:left w:w="108" w:type="dxa"/>
            <w:bottom w:w="0" w:type="dxa"/>
            <w:right w:w="108" w:type="dxa"/>
          </w:tblCellMar>
        </w:tblPrEx>
        <w:trPr>
          <w:trHeight w:val="1209"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20</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投标文件要求</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投标时供应商无需提供纸质版投标文件。</w:t>
            </w:r>
          </w:p>
          <w:p>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中标人在领取中标通知书前将纸质版投标文件正本1份、副本2份打印盖章、电子版U盘2份后提交至招标代理公司处，以便采购人进行留存备案等工作，中标人应保持投标文件纸质版内容与电子版内容完全一致，否则将承担一切法律责任。</w:t>
            </w:r>
          </w:p>
          <w:p>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纸质投标文件一律采用书籍（胶装）方式装订且单面或双面打印</w:t>
            </w:r>
          </w:p>
        </w:tc>
      </w:tr>
      <w:tr>
        <w:tblPrEx>
          <w:tblCellMar>
            <w:top w:w="0" w:type="dxa"/>
            <w:left w:w="108" w:type="dxa"/>
            <w:bottom w:w="0" w:type="dxa"/>
            <w:right w:w="108" w:type="dxa"/>
          </w:tblCellMar>
        </w:tblPrEx>
        <w:trPr>
          <w:trHeight w:val="1774"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21</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西安市公共资源交易中心电子化政府采购系统技术支持（软件开发商）</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国泰新点软件股份有限公司</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1．技术支持热线：400-998-0000/400-928-0095</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2．驻场技术人员：029-86510166/86510167转80310</w:t>
            </w:r>
          </w:p>
        </w:tc>
      </w:tr>
      <w:tr>
        <w:tblPrEx>
          <w:tblCellMar>
            <w:top w:w="0" w:type="dxa"/>
            <w:left w:w="108" w:type="dxa"/>
            <w:bottom w:w="0" w:type="dxa"/>
            <w:right w:w="108" w:type="dxa"/>
          </w:tblCellMar>
        </w:tblPrEx>
        <w:trPr>
          <w:trHeight w:val="573"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2</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CA业务网点</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陕西省数字证书认证中心股份有限公司</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网点1：西安市高新三路信息港大厦1楼客服中心</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客服电话：4006-369-888</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网点2：西安市长安北路14号省体育公寓B座一楼</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咨询电话：029-88661241</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网点3：西安市文景北路16号白桦林国际B座2楼11#窗口</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咨询电话：029-86510073转80211</w:t>
            </w:r>
          </w:p>
        </w:tc>
      </w:tr>
      <w:tr>
        <w:tblPrEx>
          <w:tblCellMar>
            <w:top w:w="0" w:type="dxa"/>
            <w:left w:w="108" w:type="dxa"/>
            <w:bottom w:w="0" w:type="dxa"/>
            <w:right w:w="108" w:type="dxa"/>
          </w:tblCellMar>
        </w:tblPrEx>
        <w:trPr>
          <w:trHeight w:val="1056"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23</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递交投标</w:t>
            </w:r>
          </w:p>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文件地点</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全国公共资源交易平台（陕西省·西安市）递交电子投标文件</w:t>
            </w:r>
          </w:p>
        </w:tc>
      </w:tr>
      <w:tr>
        <w:tblPrEx>
          <w:tblCellMar>
            <w:top w:w="0" w:type="dxa"/>
            <w:left w:w="108" w:type="dxa"/>
            <w:bottom w:w="0" w:type="dxa"/>
            <w:right w:w="108" w:type="dxa"/>
          </w:tblCellMar>
        </w:tblPrEx>
        <w:trPr>
          <w:trHeight w:val="143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24</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开标时间</w:t>
            </w:r>
          </w:p>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和地点</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开标时间：2023年</w:t>
            </w:r>
            <w:r>
              <w:rPr>
                <w:rFonts w:hint="eastAsia" w:ascii="宋体" w:hAnsi="宋体" w:cs="宋体"/>
                <w:b w:val="0"/>
                <w:bCs w:val="0"/>
                <w:i w:val="0"/>
                <w:iCs w:val="0"/>
                <w:caps w:val="0"/>
                <w:color w:val="222222"/>
                <w:spacing w:val="0"/>
                <w:kern w:val="0"/>
                <w:sz w:val="24"/>
                <w:szCs w:val="24"/>
                <w:highlight w:val="none"/>
                <w:shd w:val="clear" w:fill="FFFFFF"/>
                <w:lang w:val="en-US" w:eastAsia="zh-CN" w:bidi="ar-SA"/>
              </w:rPr>
              <w:t>12</w:t>
            </w: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SA"/>
              </w:rPr>
              <w:t>月</w:t>
            </w:r>
            <w:r>
              <w:rPr>
                <w:rFonts w:hint="eastAsia" w:ascii="宋体" w:hAnsi="宋体" w:cs="宋体"/>
                <w:b w:val="0"/>
                <w:bCs w:val="0"/>
                <w:i w:val="0"/>
                <w:iCs w:val="0"/>
                <w:caps w:val="0"/>
                <w:color w:val="222222"/>
                <w:spacing w:val="0"/>
                <w:kern w:val="0"/>
                <w:sz w:val="24"/>
                <w:szCs w:val="24"/>
                <w:highlight w:val="none"/>
                <w:shd w:val="clear" w:fill="FFFFFF"/>
                <w:lang w:val="en-US" w:eastAsia="zh-CN" w:bidi="ar-SA"/>
              </w:rPr>
              <w:t>07</w:t>
            </w:r>
            <w:r>
              <w:rPr>
                <w:rFonts w:hint="eastAsia" w:ascii="宋体" w:hAnsi="宋体" w:eastAsia="宋体" w:cs="宋体"/>
                <w:color w:val="000000"/>
                <w:sz w:val="24"/>
                <w:szCs w:val="24"/>
                <w:highlight w:val="none"/>
              </w:rPr>
              <w:t>日0</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时</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分00秒（北京时间）</w:t>
            </w:r>
          </w:p>
          <w:p>
            <w:pPr>
              <w:snapToGrid w:val="0"/>
              <w:spacing w:line="360" w:lineRule="auto"/>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开标地点：全国公共资源交易平台（陕西省·西安市）西安市公共资源交易不见面开标大厅（西安市公共资源交易中心</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楼开标室</w:t>
            </w:r>
            <w:r>
              <w:rPr>
                <w:rFonts w:hint="eastAsia" w:ascii="宋体" w:hAnsi="宋体" w:cs="宋体"/>
                <w:color w:val="000000"/>
                <w:sz w:val="24"/>
                <w:szCs w:val="24"/>
                <w:highlight w:val="none"/>
                <w:lang w:val="en-US" w:eastAsia="zh-CN"/>
              </w:rPr>
              <w:t>511</w:t>
            </w:r>
            <w:r>
              <w:rPr>
                <w:rFonts w:hint="eastAsia" w:ascii="宋体" w:hAnsi="宋体" w:eastAsia="宋体" w:cs="宋体"/>
                <w:color w:val="000000"/>
                <w:sz w:val="24"/>
                <w:szCs w:val="24"/>
                <w:highlight w:val="none"/>
              </w:rPr>
              <w:t>）</w:t>
            </w:r>
          </w:p>
        </w:tc>
      </w:tr>
      <w:tr>
        <w:tblPrEx>
          <w:tblCellMar>
            <w:top w:w="0" w:type="dxa"/>
            <w:left w:w="108" w:type="dxa"/>
            <w:bottom w:w="0" w:type="dxa"/>
            <w:right w:w="108" w:type="dxa"/>
          </w:tblCellMar>
        </w:tblPrEx>
        <w:trPr>
          <w:trHeight w:val="997"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25</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sz w:val="24"/>
                <w:szCs w:val="24"/>
                <w:highlight w:val="none"/>
              </w:rPr>
              <w:t>履约保证金</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不要求提供履约保证金</w:t>
            </w:r>
          </w:p>
        </w:tc>
      </w:tr>
      <w:tr>
        <w:tblPrEx>
          <w:tblCellMar>
            <w:top w:w="0" w:type="dxa"/>
            <w:left w:w="108" w:type="dxa"/>
            <w:bottom w:w="0" w:type="dxa"/>
            <w:right w:w="108" w:type="dxa"/>
          </w:tblCellMar>
        </w:tblPrEx>
        <w:trPr>
          <w:trHeight w:val="1292"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26</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政府采购信息发布媒体</w:t>
            </w:r>
          </w:p>
          <w:p>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sz w:val="24"/>
                <w:szCs w:val="24"/>
                <w:highlight w:val="none"/>
              </w:rPr>
              <w:t>（采购公告、采购结果公告、变更公告）</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1．陕西省政府采购网：仅提供项目公告，官网地址：http://ccgp-shaanxi.gov.cn</w:t>
            </w:r>
            <w:r>
              <w:rPr>
                <w:rFonts w:hint="eastAsia" w:ascii="宋体" w:hAnsi="宋体" w:eastAsia="宋体" w:cs="宋体"/>
                <w:sz w:val="24"/>
                <w:szCs w:val="24"/>
                <w:highlight w:val="none"/>
                <w:lang w:eastAsia="zh-CN"/>
              </w:rPr>
              <w:t>/</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2．全国公共资源交易平台（陕西省·西安市）：即西安市公共资源交易平台，提供项目公告和采购文件下载。官网地址：http://sxggzyjy.xa.gov.cn/</w:t>
            </w:r>
          </w:p>
        </w:tc>
      </w:tr>
      <w:tr>
        <w:tblPrEx>
          <w:tblCellMar>
            <w:top w:w="0" w:type="dxa"/>
            <w:left w:w="108" w:type="dxa"/>
            <w:bottom w:w="0" w:type="dxa"/>
            <w:right w:w="108" w:type="dxa"/>
          </w:tblCellMar>
        </w:tblPrEx>
        <w:trPr>
          <w:trHeight w:val="812"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27</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sz w:val="24"/>
                <w:szCs w:val="24"/>
                <w:highlight w:val="none"/>
              </w:rPr>
              <w:t>投诉受理</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受理单位：</w:t>
            </w:r>
            <w:r>
              <w:rPr>
                <w:rFonts w:hint="eastAsia" w:ascii="宋体" w:hAnsi="宋体" w:eastAsia="宋体" w:cs="宋体"/>
                <w:sz w:val="24"/>
                <w:szCs w:val="24"/>
                <w:highlight w:val="none"/>
                <w:lang w:eastAsia="zh-CN"/>
              </w:rPr>
              <w:t>西安市</w:t>
            </w:r>
            <w:r>
              <w:rPr>
                <w:rFonts w:hint="eastAsia" w:ascii="宋体" w:hAnsi="宋体" w:eastAsia="宋体" w:cs="宋体"/>
                <w:sz w:val="24"/>
                <w:szCs w:val="24"/>
                <w:highlight w:val="none"/>
                <w:lang w:val="en-US" w:eastAsia="zh-CN"/>
              </w:rPr>
              <w:t>高陵区</w:t>
            </w:r>
            <w:r>
              <w:rPr>
                <w:rFonts w:hint="eastAsia" w:ascii="宋体" w:hAnsi="宋体" w:eastAsia="宋体" w:cs="宋体"/>
                <w:sz w:val="24"/>
                <w:szCs w:val="24"/>
                <w:highlight w:val="none"/>
                <w:lang w:eastAsia="zh-CN"/>
              </w:rPr>
              <w:t>财政局</w:t>
            </w:r>
          </w:p>
        </w:tc>
      </w:tr>
      <w:tr>
        <w:tblPrEx>
          <w:tblCellMar>
            <w:top w:w="0" w:type="dxa"/>
            <w:left w:w="108" w:type="dxa"/>
            <w:bottom w:w="0" w:type="dxa"/>
            <w:right w:w="108" w:type="dxa"/>
          </w:tblCellMar>
        </w:tblPrEx>
        <w:trPr>
          <w:trHeight w:val="351"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28</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t>采购代理服务费</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textAlignment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参照国家计委印发的《招标代理服务收费管理暂行办法》（计价格[2002]1980号）和国家发展和改革委员会办公厅印发的《关于招标代理服务收费有关问题的通知》（发改办价格[2003]857号）的有关规定</w:t>
            </w:r>
            <w:r>
              <w:rPr>
                <w:rFonts w:hint="eastAsia" w:ascii="宋体" w:hAnsi="宋体" w:eastAsia="宋体" w:cs="宋体"/>
                <w:color w:val="auto"/>
                <w:sz w:val="24"/>
                <w:szCs w:val="24"/>
                <w:highlight w:val="none"/>
              </w:rPr>
              <w:t>。招标代理服务费的计算基数为3×中标金额（3年服务期）</w:t>
            </w:r>
            <w:r>
              <w:rPr>
                <w:rFonts w:hint="eastAsia" w:ascii="宋体" w:hAnsi="宋体" w:cs="宋体"/>
                <w:color w:val="auto"/>
                <w:sz w:val="24"/>
                <w:szCs w:val="24"/>
                <w:highlight w:val="none"/>
                <w:lang w:eastAsia="zh-CN"/>
              </w:rPr>
              <w:t>。</w:t>
            </w:r>
          </w:p>
          <w:p>
            <w:pPr>
              <w:snapToGrid w:val="0"/>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中标单位在领取中标通知书前，须向采购代理机构一次性支付招标代理服务费。</w:t>
            </w:r>
          </w:p>
          <w:p>
            <w:pPr>
              <w:snapToGrid w:val="0"/>
              <w:spacing w:line="360" w:lineRule="auto"/>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银行账户：</w:t>
            </w:r>
          </w:p>
          <w:p>
            <w:pPr>
              <w:snapToGrid w:val="0"/>
              <w:spacing w:line="360" w:lineRule="auto"/>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公司名称：</w:t>
            </w:r>
            <w:r>
              <w:rPr>
                <w:rFonts w:hint="eastAsia" w:ascii="宋体" w:hAnsi="宋体" w:eastAsia="宋体" w:cs="宋体"/>
                <w:b/>
                <w:bCs/>
                <w:color w:val="auto"/>
                <w:sz w:val="24"/>
                <w:szCs w:val="24"/>
                <w:highlight w:val="none"/>
                <w:lang w:eastAsia="zh-CN"/>
              </w:rPr>
              <w:t>陕西信悦诚招标有限公司</w:t>
            </w:r>
          </w:p>
          <w:p>
            <w:pPr>
              <w:snapToGrid w:val="0"/>
              <w:spacing w:line="360" w:lineRule="auto"/>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账    号：</w:t>
            </w:r>
            <w:r>
              <w:rPr>
                <w:rFonts w:hint="eastAsia" w:ascii="宋体" w:hAnsi="宋体" w:eastAsia="宋体" w:cs="宋体"/>
                <w:b/>
                <w:bCs/>
                <w:color w:val="auto"/>
                <w:sz w:val="24"/>
                <w:szCs w:val="24"/>
                <w:highlight w:val="none"/>
                <w:lang w:eastAsia="zh-CN"/>
              </w:rPr>
              <w:t>72050078801800001493</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b/>
                <w:bCs/>
                <w:color w:val="auto"/>
                <w:sz w:val="24"/>
                <w:szCs w:val="24"/>
                <w:highlight w:val="none"/>
              </w:rPr>
              <w:t>开 户 行：</w:t>
            </w:r>
            <w:r>
              <w:rPr>
                <w:rFonts w:hint="eastAsia" w:ascii="宋体" w:hAnsi="宋体" w:eastAsia="宋体" w:cs="宋体"/>
                <w:b/>
                <w:bCs/>
                <w:color w:val="auto"/>
                <w:sz w:val="24"/>
                <w:szCs w:val="24"/>
                <w:highlight w:val="none"/>
                <w:lang w:eastAsia="zh-CN"/>
              </w:rPr>
              <w:t>上海浦东发展银行股份有限公司西安未央路支行</w:t>
            </w:r>
          </w:p>
        </w:tc>
      </w:tr>
      <w:tr>
        <w:tblPrEx>
          <w:tblCellMar>
            <w:top w:w="0" w:type="dxa"/>
            <w:left w:w="108" w:type="dxa"/>
            <w:bottom w:w="0" w:type="dxa"/>
            <w:right w:w="108" w:type="dxa"/>
          </w:tblCellMar>
        </w:tblPrEx>
        <w:trPr>
          <w:trHeight w:val="3934"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29</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sz w:val="24"/>
                <w:szCs w:val="24"/>
                <w:highlight w:val="none"/>
                <w:lang w:val="zh-CN"/>
              </w:rPr>
              <w:t>融资平台</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根据</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zh-CN"/>
              </w:rPr>
              <w:t>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zh-CN"/>
              </w:rPr>
              <w:t>网址：http://www.ccgp-shaanxi.gov.cn/zcdservice/zcd/shanxi/s</w:t>
            </w:r>
          </w:p>
        </w:tc>
      </w:tr>
      <w:tr>
        <w:tblPrEx>
          <w:tblCellMar>
            <w:top w:w="0" w:type="dxa"/>
            <w:left w:w="108" w:type="dxa"/>
            <w:bottom w:w="0" w:type="dxa"/>
            <w:right w:w="108" w:type="dxa"/>
          </w:tblCellMar>
        </w:tblPrEx>
        <w:trPr>
          <w:trHeight w:val="216"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30</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left="42" w:leftChars="2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履约验收</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是否委托采购代理机构组织履约验收：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□是，验收费用由采购人/成交供应商支付，费用标准按成交金额的5‰计算，不足5000元的，按5000元收取。</w:t>
            </w:r>
          </w:p>
          <w:p>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☑否。</w:t>
            </w:r>
          </w:p>
        </w:tc>
      </w:tr>
      <w:tr>
        <w:tblPrEx>
          <w:tblCellMar>
            <w:top w:w="0" w:type="dxa"/>
            <w:left w:w="108" w:type="dxa"/>
            <w:bottom w:w="0" w:type="dxa"/>
            <w:right w:w="108" w:type="dxa"/>
          </w:tblCellMar>
        </w:tblPrEx>
        <w:trPr>
          <w:trHeight w:val="216" w:hRule="atLeast"/>
          <w:jc w:val="center"/>
        </w:trPr>
        <w:tc>
          <w:tcPr>
            <w:tcW w:w="24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textAlignment w:val="center"/>
              <w:rPr>
                <w:rFonts w:hint="eastAsia" w:ascii="宋体" w:hAnsi="宋体" w:eastAsia="宋体" w:cs="宋体"/>
                <w:color w:val="000000"/>
                <w:kern w:val="2"/>
                <w:sz w:val="24"/>
                <w:szCs w:val="24"/>
                <w:highlight w:val="none"/>
                <w:lang w:val="en-US" w:eastAsia="zh-CN" w:bidi="ar-SA"/>
              </w:rPr>
            </w:pPr>
            <w:bookmarkStart w:id="18" w:name="_Toc28339"/>
            <w:r>
              <w:rPr>
                <w:rFonts w:hint="eastAsia" w:ascii="宋体" w:hAnsi="宋体" w:eastAsia="宋体" w:cs="宋体"/>
                <w:color w:val="000000"/>
                <w:sz w:val="24"/>
                <w:szCs w:val="24"/>
                <w:highlight w:val="none"/>
                <w:lang w:val="en-US" w:eastAsia="zh-CN"/>
              </w:rPr>
              <w:t>31</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left="42" w:leftChars="2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其他</w:t>
            </w:r>
          </w:p>
        </w:tc>
        <w:tc>
          <w:tcPr>
            <w:tcW w:w="3586"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1.本项目属性为</w:t>
            </w:r>
            <w:r>
              <w:rPr>
                <w:rFonts w:hint="eastAsia" w:ascii="宋体" w:hAnsi="宋体" w:eastAsia="宋体" w:cs="宋体"/>
                <w:b/>
                <w:bCs/>
                <w:color w:val="auto"/>
                <w:sz w:val="24"/>
                <w:szCs w:val="24"/>
                <w:highlight w:val="none"/>
                <w:lang w:eastAsia="zh-CN"/>
              </w:rPr>
              <w:t>服务</w:t>
            </w:r>
            <w:r>
              <w:rPr>
                <w:rFonts w:hint="eastAsia" w:ascii="宋体" w:hAnsi="宋体" w:eastAsia="宋体" w:cs="宋体"/>
                <w:color w:val="auto"/>
                <w:sz w:val="24"/>
                <w:szCs w:val="24"/>
                <w:highlight w:val="none"/>
              </w:rPr>
              <w:t>。</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2.本项目采购标的所属行业为</w:t>
            </w:r>
            <w:r>
              <w:rPr>
                <w:rFonts w:hint="eastAsia" w:ascii="宋体" w:hAnsi="宋体" w:eastAsia="宋体" w:cs="宋体"/>
                <w:b/>
                <w:bCs/>
                <w:color w:val="auto"/>
                <w:sz w:val="24"/>
                <w:szCs w:val="24"/>
                <w:highlight w:val="none"/>
              </w:rPr>
              <w:t>租赁和商务服务业</w:t>
            </w:r>
            <w:r>
              <w:rPr>
                <w:rFonts w:hint="eastAsia" w:ascii="宋体" w:hAnsi="宋体" w:eastAsia="宋体" w:cs="宋体"/>
                <w:color w:val="auto"/>
                <w:sz w:val="24"/>
                <w:szCs w:val="24"/>
                <w:highlight w:val="none"/>
              </w:rPr>
              <w:t>。</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3.按照《西安市财政局关于促进政府采购公平竞争优化营商环境的通知》（市财函2021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431号）规定：供应商登记免费领取招标文件的，如不参与项目投标，应在递交投标文件截止时间前一日以书面形式（格式如下，签字盖章后发回代理机构邮箱shanxi</w:t>
            </w:r>
            <w:r>
              <w:rPr>
                <w:rFonts w:hint="eastAsia" w:ascii="宋体" w:hAnsi="宋体" w:eastAsia="宋体" w:cs="宋体"/>
                <w:color w:val="auto"/>
                <w:sz w:val="24"/>
                <w:szCs w:val="24"/>
                <w:highlight w:val="none"/>
                <w:lang w:val="en-US" w:eastAsia="zh-CN"/>
              </w:rPr>
              <w:t>xinyuecheng</w:t>
            </w:r>
            <w:r>
              <w:rPr>
                <w:rFonts w:hint="eastAsia" w:ascii="宋体" w:hAnsi="宋体" w:eastAsia="宋体" w:cs="宋体"/>
                <w:color w:val="auto"/>
                <w:sz w:val="24"/>
                <w:szCs w:val="24"/>
                <w:highlight w:val="none"/>
              </w:rPr>
              <w:t>@163.com即可）告知</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代理机构。否则，采购代理机构可以向财政部门反映情况并提供相应的佐证。供应商一年内累计出现三次该情形，将被监管部门记录为失信行为。</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不参与投标告知函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（招标代理机构名称）：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经研究决定，由于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（不参与原因），我单位                  （单位名称）确认不参与关于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（项目名称）的投标活动。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特此说明！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单位名称（盖章）：</w:t>
            </w:r>
          </w:p>
          <w:p>
            <w:pPr>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法定代表人或授权代表（签字或盖章）：</w:t>
            </w:r>
          </w:p>
        </w:tc>
      </w:tr>
    </w:tbl>
    <w:p>
      <w:pPr>
        <w:pStyle w:val="141"/>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tbl>
      <w:tblPr>
        <w:tblStyle w:val="42"/>
        <w:tblW w:w="5329" w:type="pct"/>
        <w:jc w:val="center"/>
        <w:tblLayout w:type="fixed"/>
        <w:tblCellMar>
          <w:top w:w="0" w:type="dxa"/>
          <w:left w:w="108" w:type="dxa"/>
          <w:bottom w:w="0" w:type="dxa"/>
          <w:right w:w="108" w:type="dxa"/>
        </w:tblCellMar>
      </w:tblPr>
      <w:tblGrid>
        <w:gridCol w:w="10200"/>
      </w:tblGrid>
      <w:tr>
        <w:tblPrEx>
          <w:tblCellMar>
            <w:top w:w="0" w:type="dxa"/>
            <w:left w:w="108" w:type="dxa"/>
            <w:bottom w:w="0" w:type="dxa"/>
            <w:right w:w="108" w:type="dxa"/>
          </w:tblCellMar>
        </w:tblPrEx>
        <w:trPr>
          <w:trHeight w:val="216"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pStyle w:val="141"/>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友情提示：</w:t>
            </w:r>
          </w:p>
          <w:p>
            <w:pPr>
              <w:pStyle w:val="141"/>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pStyle w:val="141"/>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（2）制作电子投标文件（*.SXSTF）需要使用专用制作工具。软件下载及操作说明详见西安市公共资源交易平台〖首页·〉服务指南·〉下载专区〗中的《政府采购项目投标文件制作软件及操作手册》。</w:t>
            </w:r>
          </w:p>
          <w:p>
            <w:pPr>
              <w:pStyle w:val="141"/>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141"/>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提交投标文件的方式：从西安市公共资源交易平台〖首页·〉电子交易平台·〉陕西政府采购交易系统·〉企业端〗登录，登录后切换到〖我的项目〗模块，依次点选〖项目流程·〉项目管理·〉上传响应文件〗上传加密后的电子投标文件（*.SXSTF），逾期提交的，系统将拒绝接收。</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（5）开标形式：本项目将采用“不见面开标”形式。操作说明详见平台〖首页·〉服务指南·〉下载专区〗中的《西安公共资源交易不见面开标大厅供应商操作手册》。</w:t>
            </w:r>
          </w:p>
        </w:tc>
      </w:tr>
      <w:bookmarkEnd w:id="18"/>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bookmarkEnd w:id="15"/>
    <w:bookmarkEnd w:id="16"/>
    <w:bookmarkEnd w:id="17"/>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bookmarkStart w:id="19" w:name="_Toc339114109"/>
      <w:bookmarkStart w:id="20" w:name="_Toc339114164"/>
      <w:bookmarkStart w:id="21" w:name="_Toc17643"/>
      <w:r>
        <w:rPr>
          <w:rFonts w:hint="eastAsia" w:ascii="宋体" w:hAnsi="宋体" w:eastAsia="宋体" w:cs="宋体"/>
          <w:b/>
          <w:color w:val="000000" w:themeColor="text1"/>
          <w:sz w:val="24"/>
          <w:szCs w:val="24"/>
          <w:highlight w:val="none"/>
          <w14:textFill>
            <w14:solidFill>
              <w14:schemeClr w14:val="tx1"/>
            </w14:solidFill>
          </w14:textFill>
        </w:rPr>
        <w:br w:type="page"/>
      </w: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1. </w:t>
      </w:r>
      <w:bookmarkStart w:id="22" w:name="_Toc144974497"/>
      <w:bookmarkStart w:id="23" w:name="_Toc152045529"/>
      <w:bookmarkStart w:id="24" w:name="_Toc152042305"/>
      <w:r>
        <w:rPr>
          <w:rFonts w:hint="eastAsia" w:ascii="宋体" w:hAnsi="宋体" w:eastAsia="宋体" w:cs="宋体"/>
          <w:b/>
          <w:color w:val="000000" w:themeColor="text1"/>
          <w:sz w:val="24"/>
          <w:szCs w:val="24"/>
          <w:highlight w:val="none"/>
          <w14:textFill>
            <w14:solidFill>
              <w14:schemeClr w14:val="tx1"/>
            </w14:solidFill>
          </w14:textFill>
        </w:rPr>
        <w:t>总则</w:t>
      </w:r>
      <w:bookmarkEnd w:id="19"/>
    </w:p>
    <w:p>
      <w:pPr>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bookmarkStart w:id="25" w:name="_Toc339012127"/>
      <w:bookmarkStart w:id="26" w:name="_Toc339114110"/>
      <w:bookmarkStart w:id="27" w:name="_Toc331665289"/>
      <w:r>
        <w:rPr>
          <w:rFonts w:hint="eastAsia" w:ascii="宋体" w:hAnsi="宋体" w:eastAsia="宋体" w:cs="宋体"/>
          <w:color w:val="000000" w:themeColor="text1"/>
          <w:sz w:val="24"/>
          <w:szCs w:val="24"/>
          <w:highlight w:val="none"/>
          <w14:textFill>
            <w14:solidFill>
              <w14:schemeClr w14:val="tx1"/>
            </w14:solidFill>
          </w14:textFill>
        </w:rPr>
        <w:t>1.1</w:t>
      </w:r>
      <w:bookmarkEnd w:id="22"/>
      <w:bookmarkEnd w:id="23"/>
      <w:bookmarkEnd w:id="24"/>
      <w:r>
        <w:rPr>
          <w:rFonts w:hint="eastAsia" w:ascii="宋体" w:hAnsi="宋体" w:eastAsia="宋体" w:cs="宋体"/>
          <w:color w:val="000000" w:themeColor="text1"/>
          <w:sz w:val="24"/>
          <w:szCs w:val="24"/>
          <w:highlight w:val="none"/>
          <w14:textFill>
            <w14:solidFill>
              <w14:schemeClr w14:val="tx1"/>
            </w14:solidFill>
          </w14:textFill>
        </w:rPr>
        <w:t xml:space="preserve"> 项目概况</w:t>
      </w:r>
      <w:bookmarkEnd w:id="25"/>
      <w:bookmarkEnd w:id="26"/>
      <w:bookmarkEnd w:id="27"/>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1.1.1根据《中华人民共和国政府采购法》等有关</w:t>
      </w:r>
      <w:r>
        <w:rPr>
          <w:rFonts w:hint="eastAsia" w:ascii="宋体" w:hAnsi="宋体" w:eastAsia="宋体" w:cs="宋体"/>
          <w:color w:val="000000" w:themeColor="text1"/>
          <w:sz w:val="24"/>
          <w:szCs w:val="24"/>
          <w:highlight w:val="none"/>
          <w:lang w:eastAsia="zh-CN"/>
          <w14:textFill>
            <w14:solidFill>
              <w14:schemeClr w14:val="tx1"/>
            </w14:solidFill>
          </w14:textFill>
        </w:rPr>
        <w:t>法律法规</w:t>
      </w:r>
      <w:r>
        <w:rPr>
          <w:rFonts w:hint="eastAsia" w:ascii="宋体" w:hAnsi="宋体" w:eastAsia="宋体" w:cs="宋体"/>
          <w:color w:val="000000" w:themeColor="text1"/>
          <w:sz w:val="24"/>
          <w:szCs w:val="24"/>
          <w:highlight w:val="none"/>
          <w14:textFill>
            <w14:solidFill>
              <w14:schemeClr w14:val="tx1"/>
            </w14:solidFill>
          </w14:textFill>
        </w:rPr>
        <w:t>和规章的规定，本招标项目已具备招标条件，现对本项目进行招标。</w:t>
      </w:r>
    </w:p>
    <w:p>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1.1.2采购人：</w:t>
      </w:r>
      <w:r>
        <w:rPr>
          <w:rFonts w:hint="eastAsia" w:ascii="宋体" w:hAnsi="宋体" w:eastAsia="宋体" w:cs="宋体"/>
          <w:color w:val="000000" w:themeColor="text1"/>
          <w:sz w:val="24"/>
          <w:szCs w:val="24"/>
          <w:highlight w:val="none"/>
          <w:lang w:eastAsia="zh-CN"/>
          <w14:textFill>
            <w14:solidFill>
              <w14:schemeClr w14:val="tx1"/>
            </w14:solidFill>
          </w14:textFill>
        </w:rPr>
        <w:t>西安市高陵区中医医院</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1.1.3监督机构：西安市</w:t>
      </w:r>
      <w:r>
        <w:rPr>
          <w:rFonts w:hint="eastAsia" w:ascii="宋体" w:hAnsi="宋体" w:eastAsia="宋体" w:cs="宋体"/>
          <w:color w:val="000000" w:themeColor="text1"/>
          <w:sz w:val="24"/>
          <w:szCs w:val="24"/>
          <w:highlight w:val="none"/>
          <w:lang w:eastAsia="zh-CN"/>
          <w14:textFill>
            <w14:solidFill>
              <w14:schemeClr w14:val="tx1"/>
            </w14:solidFill>
          </w14:textFill>
        </w:rPr>
        <w:t>高陵区</w:t>
      </w:r>
      <w:r>
        <w:rPr>
          <w:rFonts w:hint="eastAsia" w:ascii="宋体" w:hAnsi="宋体" w:eastAsia="宋体" w:cs="宋体"/>
          <w:color w:val="000000" w:themeColor="text1"/>
          <w:sz w:val="24"/>
          <w:szCs w:val="24"/>
          <w:highlight w:val="none"/>
          <w14:textFill>
            <w14:solidFill>
              <w14:schemeClr w14:val="tx1"/>
            </w14:solidFill>
          </w14:textFill>
        </w:rPr>
        <w:t>财政局</w:t>
      </w:r>
    </w:p>
    <w:p>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1.1.4采购代理机构：</w:t>
      </w:r>
      <w:r>
        <w:rPr>
          <w:rFonts w:hint="eastAsia" w:ascii="宋体" w:hAnsi="宋体" w:eastAsia="宋体" w:cs="宋体"/>
          <w:color w:val="000000" w:themeColor="text1"/>
          <w:sz w:val="24"/>
          <w:szCs w:val="24"/>
          <w:highlight w:val="none"/>
          <w:lang w:eastAsia="zh-CN"/>
          <w14:textFill>
            <w14:solidFill>
              <w14:schemeClr w14:val="tx1"/>
            </w14:solidFill>
          </w14:textFill>
        </w:rPr>
        <w:t>陕西信悦诚招标有限公司</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1.1.5供应商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：指无条件接受招标文件的各项要求，具备相应履约能力、具有《中华人民共和国政府采购法》第22</w:t>
      </w:r>
      <w:r>
        <w:rPr>
          <w:rFonts w:hint="eastAsia" w:ascii="宋体" w:hAnsi="宋体" w:eastAsia="宋体" w:cs="宋体"/>
          <w:color w:val="000000" w:themeColor="text1"/>
          <w:sz w:val="24"/>
          <w:szCs w:val="24"/>
          <w:highlight w:val="none"/>
          <w:lang w:eastAsia="zh-CN"/>
          <w14:textFill>
            <w14:solidFill>
              <w14:schemeClr w14:val="tx1"/>
            </w14:solidFill>
          </w14:textFill>
        </w:rPr>
        <w:t>条</w:t>
      </w:r>
      <w:r>
        <w:rPr>
          <w:rFonts w:hint="eastAsia" w:ascii="宋体" w:hAnsi="宋体" w:eastAsia="宋体" w:cs="宋体"/>
          <w:color w:val="000000" w:themeColor="text1"/>
          <w:sz w:val="24"/>
          <w:szCs w:val="24"/>
          <w:highlight w:val="none"/>
          <w14:textFill>
            <w14:solidFill>
              <w14:schemeClr w14:val="tx1"/>
            </w14:solidFill>
          </w14:textFill>
        </w:rPr>
        <w:t>规定的相关条件并向评标委员会提交投标文件的供应商。</w:t>
      </w:r>
    </w:p>
    <w:p>
      <w:pPr>
        <w:tabs>
          <w:tab w:val="left" w:pos="240"/>
        </w:tabs>
        <w:spacing w:line="360" w:lineRule="auto"/>
        <w:ind w:left="-120" w:leftChars="-57"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评标委员会：依据《</w:t>
      </w:r>
      <w:r>
        <w:rPr>
          <w:rFonts w:hint="eastAsia" w:ascii="宋体" w:hAnsi="宋体" w:eastAsia="宋体" w:cs="宋体"/>
          <w:color w:val="000000" w:themeColor="text1"/>
          <w:sz w:val="24"/>
          <w:szCs w:val="24"/>
          <w:highlight w:val="none"/>
          <w14:textFill>
            <w14:solidFill>
              <w14:schemeClr w14:val="tx1"/>
            </w14:solidFill>
          </w14:textFill>
        </w:rPr>
        <w:t>中华人民共和国</w:t>
      </w:r>
      <w:r>
        <w:rPr>
          <w:rFonts w:hint="eastAsia" w:ascii="宋体" w:hAnsi="宋体" w:eastAsia="宋体" w:cs="宋体"/>
          <w:color w:val="auto"/>
          <w:sz w:val="24"/>
          <w:szCs w:val="24"/>
          <w:highlight w:val="none"/>
        </w:rPr>
        <w:t>政府采购法》等有关规定组建，依法履行评审采购活动职责的评审成员</w:t>
      </w:r>
      <w:r>
        <w:rPr>
          <w:rFonts w:hint="eastAsia" w:ascii="宋体" w:hAnsi="宋体" w:eastAsia="宋体" w:cs="宋体"/>
          <w:color w:val="auto"/>
          <w:sz w:val="24"/>
          <w:szCs w:val="24"/>
          <w:highlight w:val="none"/>
          <w:lang w:eastAsia="zh-CN"/>
        </w:rPr>
        <w:t>。</w:t>
      </w:r>
    </w:p>
    <w:p>
      <w:pPr>
        <w:tabs>
          <w:tab w:val="left" w:pos="240"/>
        </w:tabs>
        <w:spacing w:line="360" w:lineRule="auto"/>
        <w:ind w:left="-120" w:leftChars="-57"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中标人：由评标委员会推荐经采购人确认的</w:t>
      </w:r>
      <w:r>
        <w:rPr>
          <w:rFonts w:hint="eastAsia" w:ascii="宋体" w:hAnsi="宋体" w:eastAsia="宋体" w:cs="宋体"/>
          <w:color w:val="auto"/>
          <w:sz w:val="24"/>
          <w:szCs w:val="24"/>
          <w:highlight w:val="none"/>
          <w:lang w:eastAsia="zh-CN"/>
        </w:rPr>
        <w:t>成交供应商。</w:t>
      </w:r>
    </w:p>
    <w:p>
      <w:pPr>
        <w:tabs>
          <w:tab w:val="left" w:pos="240"/>
        </w:tabs>
        <w:spacing w:line="360" w:lineRule="auto"/>
        <w:ind w:left="-120" w:lef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1.1.8</w:t>
      </w:r>
      <w:r>
        <w:rPr>
          <w:rFonts w:hint="eastAsia" w:ascii="宋体" w:hAnsi="宋体" w:eastAsia="宋体" w:cs="宋体"/>
          <w:color w:val="auto"/>
          <w:sz w:val="24"/>
          <w:szCs w:val="24"/>
          <w:highlight w:val="none"/>
        </w:rPr>
        <w:t>西安市公共资源交易平台：即【全国公共资源交易平台（陕西省·西安市）】的简称，官网地址。</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企业端：指西安市公共资源交易平台〖首页·〉电子交易平台·〉陕西政府</w:t>
      </w:r>
    </w:p>
    <w:p>
      <w:pPr>
        <w:pStyle w:val="17"/>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采购交易系统·〉企业端〗，快捷登录网址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"http://www.sxggzyjy.cn:9002/TPBidder/memberLogin"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http://www.sxggzyjy.cn:9002/TPBidder/memberLogin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合格供应商的基本要求：</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Cs/>
          <w:color w:val="000000" w:themeColor="text1"/>
          <w:sz w:val="24"/>
          <w:szCs w:val="24"/>
          <w:highlight w:val="none"/>
          <w14:textFill>
            <w14:solidFill>
              <w14:schemeClr w14:val="tx1"/>
            </w14:solidFill>
          </w14:textFill>
        </w:rPr>
        <w:t>.1具有独立承担民事责任的能力；</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Cs/>
          <w:color w:val="000000" w:themeColor="text1"/>
          <w:sz w:val="24"/>
          <w:szCs w:val="24"/>
          <w:highlight w:val="none"/>
          <w14:textFill>
            <w14:solidFill>
              <w14:schemeClr w14:val="tx1"/>
            </w14:solidFill>
          </w14:textFill>
        </w:rPr>
        <w:t>.2具有良好的商业信誉和健全的财务会计制度；</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Cs/>
          <w:color w:val="000000" w:themeColor="text1"/>
          <w:sz w:val="24"/>
          <w:szCs w:val="24"/>
          <w:highlight w:val="none"/>
          <w14:textFill>
            <w14:solidFill>
              <w14:schemeClr w14:val="tx1"/>
            </w14:solidFill>
          </w14:textFill>
        </w:rPr>
        <w:t>.3具有履行合同所必需的设备和专业技术能力；</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Cs/>
          <w:color w:val="000000" w:themeColor="text1"/>
          <w:sz w:val="24"/>
          <w:szCs w:val="24"/>
          <w:highlight w:val="none"/>
          <w14:textFill>
            <w14:solidFill>
              <w14:schemeClr w14:val="tx1"/>
            </w14:solidFill>
          </w14:textFill>
        </w:rPr>
        <w:t>.4有依法缴纳税收和社会保障资金的良好记录；</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Cs/>
          <w:color w:val="000000" w:themeColor="text1"/>
          <w:sz w:val="24"/>
          <w:szCs w:val="24"/>
          <w:highlight w:val="none"/>
          <w14:textFill>
            <w14:solidFill>
              <w14:schemeClr w14:val="tx1"/>
            </w14:solidFill>
          </w14:textFill>
        </w:rPr>
        <w:t>.5参加政府采购活动前三年内，在经营活动中没有重大违法记录；</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Cs/>
          <w:color w:val="000000" w:themeColor="text1"/>
          <w:sz w:val="24"/>
          <w:szCs w:val="24"/>
          <w:highlight w:val="none"/>
          <w14:textFill>
            <w14:solidFill>
              <w14:schemeClr w14:val="tx1"/>
            </w14:solidFill>
          </w14:textFill>
        </w:rPr>
        <w:t>.6具备法律行政法规规定的其他条件。</w:t>
      </w:r>
    </w:p>
    <w:p>
      <w:pPr>
        <w:pStyle w:val="17"/>
        <w:spacing w:line="360" w:lineRule="auto"/>
        <w:ind w:firstLine="480" w:firstLineChars="20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.7完全同意并愿意自觉遵守本招标文件中的所有规定和要求。</w:t>
      </w:r>
    </w:p>
    <w:p>
      <w:pPr>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bookmarkStart w:id="28" w:name="_Toc339012128"/>
      <w:bookmarkStart w:id="29" w:name="_Toc339114111"/>
      <w:bookmarkStart w:id="30" w:name="_Toc331665290"/>
      <w:r>
        <w:rPr>
          <w:rFonts w:hint="eastAsia" w:ascii="宋体" w:hAnsi="宋体" w:eastAsia="宋体" w:cs="宋体"/>
          <w:color w:val="000000" w:themeColor="text1"/>
          <w:sz w:val="24"/>
          <w:szCs w:val="24"/>
          <w:highlight w:val="none"/>
          <w14:textFill>
            <w14:solidFill>
              <w14:schemeClr w14:val="tx1"/>
            </w14:solidFill>
          </w14:textFill>
        </w:rPr>
        <w:t xml:space="preserve">1.2 </w:t>
      </w:r>
      <w:bookmarkStart w:id="31" w:name="_Toc144974499"/>
      <w:bookmarkStart w:id="32" w:name="_Toc152042307"/>
      <w:bookmarkStart w:id="33" w:name="_Toc152045531"/>
      <w:r>
        <w:rPr>
          <w:rFonts w:hint="eastAsia" w:ascii="宋体" w:hAnsi="宋体" w:eastAsia="宋体" w:cs="宋体"/>
          <w:color w:val="000000" w:themeColor="text1"/>
          <w:sz w:val="24"/>
          <w:szCs w:val="24"/>
          <w:highlight w:val="none"/>
          <w14:textFill>
            <w14:solidFill>
              <w14:schemeClr w14:val="tx1"/>
            </w14:solidFill>
          </w14:textFill>
        </w:rPr>
        <w:t>资金来源和落实情况</w:t>
      </w:r>
      <w:bookmarkEnd w:id="28"/>
      <w:bookmarkEnd w:id="29"/>
      <w:bookmarkEnd w:id="30"/>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bookmarkEnd w:id="31"/>
      <w:bookmarkEnd w:id="32"/>
      <w:bookmarkEnd w:id="33"/>
      <w:r>
        <w:rPr>
          <w:rFonts w:hint="eastAsia" w:ascii="宋体" w:hAnsi="宋体" w:eastAsia="宋体" w:cs="宋体"/>
          <w:color w:val="000000" w:themeColor="text1"/>
          <w:sz w:val="24"/>
          <w:szCs w:val="24"/>
          <w:highlight w:val="none"/>
          <w14:textFill>
            <w14:solidFill>
              <w14:schemeClr w14:val="tx1"/>
            </w14:solidFill>
          </w14:textFill>
        </w:rPr>
        <w:t>.1 本招标项目的资金来源：</w:t>
      </w:r>
      <w:r>
        <w:rPr>
          <w:rFonts w:hint="eastAsia" w:ascii="宋体" w:hAnsi="宋体" w:eastAsia="宋体" w:cs="宋体"/>
          <w:color w:val="000000" w:themeColor="text1"/>
          <w:sz w:val="24"/>
          <w:szCs w:val="24"/>
          <w:highlight w:val="none"/>
          <w:lang w:val="en-US" w:eastAsia="zh-CN"/>
          <w14:textFill>
            <w14:solidFill>
              <w14:schemeClr w14:val="tx1"/>
            </w14:solidFill>
          </w14:textFill>
        </w:rPr>
        <w:t>财政资金</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 本招标项目的资金落实情况：</w:t>
      </w:r>
      <w:r>
        <w:rPr>
          <w:rFonts w:hint="eastAsia" w:ascii="宋体" w:hAnsi="宋体" w:eastAsia="宋体" w:cs="宋体"/>
          <w:color w:val="000000" w:themeColor="text1"/>
          <w:sz w:val="24"/>
          <w:szCs w:val="24"/>
          <w:highlight w:val="none"/>
          <w:lang w:val="en-US" w:eastAsia="zh-CN"/>
          <w14:textFill>
            <w14:solidFill>
              <w14:schemeClr w14:val="tx1"/>
            </w14:solidFill>
          </w14:textFill>
        </w:rPr>
        <w:t>已落实</w:t>
      </w:r>
    </w:p>
    <w:p>
      <w:pPr>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bookmarkStart w:id="34" w:name="_Toc339012129"/>
      <w:bookmarkStart w:id="35" w:name="_Toc339114112"/>
      <w:bookmarkStart w:id="36" w:name="_Toc331665291"/>
      <w:r>
        <w:rPr>
          <w:rFonts w:hint="eastAsia" w:ascii="宋体" w:hAnsi="宋体" w:eastAsia="宋体" w:cs="宋体"/>
          <w:color w:val="000000" w:themeColor="text1"/>
          <w:sz w:val="24"/>
          <w:szCs w:val="24"/>
          <w:highlight w:val="none"/>
          <w14:textFill>
            <w14:solidFill>
              <w14:schemeClr w14:val="tx1"/>
            </w14:solidFill>
          </w14:textFill>
        </w:rPr>
        <w:t xml:space="preserve">1.3 </w:t>
      </w:r>
      <w:bookmarkStart w:id="37" w:name="_Toc152045532"/>
      <w:bookmarkStart w:id="38" w:name="_Toc152042308"/>
      <w:bookmarkStart w:id="39" w:name="_Toc144974500"/>
      <w:r>
        <w:rPr>
          <w:rFonts w:hint="eastAsia" w:ascii="宋体" w:hAnsi="宋体" w:eastAsia="宋体" w:cs="宋体"/>
          <w:color w:val="000000" w:themeColor="text1"/>
          <w:sz w:val="24"/>
          <w:szCs w:val="24"/>
          <w:highlight w:val="none"/>
          <w14:textFill>
            <w14:solidFill>
              <w14:schemeClr w14:val="tx1"/>
            </w14:solidFill>
          </w14:textFill>
        </w:rPr>
        <w:t>工作内容、合同期限</w:t>
      </w:r>
      <w:bookmarkEnd w:id="34"/>
      <w:bookmarkEnd w:id="35"/>
      <w:bookmarkEnd w:id="36"/>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w:t>
      </w:r>
      <w:bookmarkEnd w:id="37"/>
      <w:bookmarkEnd w:id="38"/>
      <w:bookmarkEnd w:id="39"/>
      <w:r>
        <w:rPr>
          <w:rFonts w:hint="eastAsia" w:ascii="宋体" w:hAnsi="宋体" w:eastAsia="宋体" w:cs="宋体"/>
          <w:color w:val="000000" w:themeColor="text1"/>
          <w:sz w:val="24"/>
          <w:szCs w:val="24"/>
          <w:highlight w:val="none"/>
          <w14:textFill>
            <w14:solidFill>
              <w14:schemeClr w14:val="tx1"/>
            </w14:solidFill>
          </w14:textFill>
        </w:rPr>
        <w:t>.1 本次招标工作内容：</w:t>
      </w:r>
      <w:r>
        <w:rPr>
          <w:rFonts w:hint="eastAsia" w:ascii="宋体" w:hAnsi="宋体" w:eastAsia="宋体" w:cs="宋体"/>
          <w:sz w:val="24"/>
          <w:szCs w:val="24"/>
          <w:highlight w:val="none"/>
        </w:rPr>
        <w:t>本次招标内容为</w:t>
      </w:r>
      <w:r>
        <w:rPr>
          <w:rFonts w:hint="eastAsia" w:ascii="宋体" w:hAnsi="宋体" w:eastAsia="宋体" w:cs="宋体"/>
          <w:sz w:val="24"/>
          <w:szCs w:val="24"/>
          <w:highlight w:val="none"/>
          <w:lang w:eastAsia="zh-CN"/>
        </w:rPr>
        <w:t>中医医院后勤和安保服务项目</w:t>
      </w:r>
      <w:r>
        <w:rPr>
          <w:rFonts w:hint="eastAsia" w:ascii="宋体" w:hAnsi="宋体" w:eastAsia="宋体" w:cs="宋体"/>
          <w:spacing w:val="-6"/>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color w:val="000000"/>
          <w:sz w:val="24"/>
          <w:szCs w:val="24"/>
          <w:highlight w:val="none"/>
        </w:rPr>
        <w:t>可根据自身的情况和经营范围</w:t>
      </w:r>
      <w:r>
        <w:rPr>
          <w:rFonts w:hint="eastAsia" w:ascii="宋体" w:hAnsi="宋体" w:eastAsia="宋体" w:cs="宋体"/>
          <w:sz w:val="24"/>
          <w:szCs w:val="24"/>
          <w:highlight w:val="none"/>
        </w:rPr>
        <w:t>对项目进行投标</w:t>
      </w:r>
      <w:r>
        <w:rPr>
          <w:rFonts w:hint="eastAsia" w:ascii="宋体" w:hAnsi="宋体" w:eastAsia="宋体" w:cs="宋体"/>
          <w:color w:val="000000"/>
          <w:sz w:val="24"/>
          <w:szCs w:val="24"/>
          <w:highlight w:val="none"/>
        </w:rPr>
        <w:t>，不得将其子目再行分解或只投其中的一部</w:t>
      </w:r>
      <w:r>
        <w:rPr>
          <w:rFonts w:hint="eastAsia" w:ascii="宋体" w:hAnsi="宋体" w:eastAsia="宋体" w:cs="宋体"/>
          <w:sz w:val="24"/>
          <w:szCs w:val="24"/>
          <w:highlight w:val="none"/>
        </w:rPr>
        <w:t>分内容，否则投标无效；开标、阅标、评标、定标、签订合同均以项目</w:t>
      </w:r>
      <w:r>
        <w:rPr>
          <w:rFonts w:hint="eastAsia" w:ascii="宋体" w:hAnsi="宋体" w:eastAsia="宋体" w:cs="宋体"/>
          <w:color w:val="000000"/>
          <w:sz w:val="24"/>
          <w:szCs w:val="24"/>
          <w:highlight w:val="none"/>
        </w:rPr>
        <w:t>为单位进行</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 本项目的合同期限：</w:t>
      </w:r>
      <w:r>
        <w:rPr>
          <w:rFonts w:hint="eastAsia" w:ascii="宋体" w:hAnsi="宋体" w:eastAsia="宋体" w:cs="宋体"/>
          <w:sz w:val="24"/>
          <w:szCs w:val="24"/>
          <w:highlight w:val="none"/>
        </w:rPr>
        <w:t>见供应商须知前附表</w:t>
      </w:r>
    </w:p>
    <w:p>
      <w:pPr>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bookmarkStart w:id="40" w:name="_Toc331665292"/>
      <w:bookmarkStart w:id="41" w:name="_Toc339012130"/>
      <w:bookmarkStart w:id="42" w:name="_Toc339114113"/>
      <w:r>
        <w:rPr>
          <w:rFonts w:hint="eastAsia" w:ascii="宋体" w:hAnsi="宋体" w:eastAsia="宋体" w:cs="宋体"/>
          <w:color w:val="000000" w:themeColor="text1"/>
          <w:sz w:val="24"/>
          <w:szCs w:val="24"/>
          <w:highlight w:val="none"/>
          <w14:textFill>
            <w14:solidFill>
              <w14:schemeClr w14:val="tx1"/>
            </w14:solidFill>
          </w14:textFill>
        </w:rPr>
        <w:t xml:space="preserve">1.4 </w:t>
      </w:r>
      <w:bookmarkStart w:id="43" w:name="_Toc144974501"/>
      <w:bookmarkStart w:id="44" w:name="_Toc152045533"/>
      <w:bookmarkStart w:id="45" w:name="_Toc152042309"/>
      <w:r>
        <w:rPr>
          <w:rFonts w:hint="eastAsia" w:ascii="宋体" w:hAnsi="宋体" w:eastAsia="宋体" w:cs="宋体"/>
          <w:color w:val="000000" w:themeColor="text1"/>
          <w:sz w:val="24"/>
          <w:szCs w:val="24"/>
          <w:highlight w:val="none"/>
          <w14:textFill>
            <w14:solidFill>
              <w14:schemeClr w14:val="tx1"/>
            </w14:solidFill>
          </w14:textFill>
        </w:rPr>
        <w:t>供应商资格要求</w:t>
      </w:r>
      <w:bookmarkEnd w:id="40"/>
      <w:bookmarkEnd w:id="41"/>
      <w:bookmarkEnd w:id="42"/>
    </w:p>
    <w:bookmarkEnd w:id="43"/>
    <w:bookmarkEnd w:id="44"/>
    <w:bookmarkEnd w:id="45"/>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000000" w:themeColor="text1"/>
          <w:kern w:val="0"/>
          <w:sz w:val="24"/>
          <w:szCs w:val="24"/>
          <w:highlight w:val="none"/>
          <w:lang w:eastAsia="zh-CN"/>
          <w14:textFill>
            <w14:solidFill>
              <w14:schemeClr w14:val="tx1"/>
            </w14:solidFill>
          </w14:textFill>
        </w:rPr>
      </w:pPr>
      <w:bookmarkStart w:id="46" w:name="_Toc339012131"/>
      <w:bookmarkStart w:id="47" w:name="_Toc331665293"/>
      <w:bookmarkStart w:id="48" w:name="_Toc339114114"/>
      <w:r>
        <w:rPr>
          <w:rFonts w:hint="eastAsia" w:ascii="宋体" w:hAnsi="宋体" w:eastAsia="宋体" w:cs="宋体"/>
          <w:color w:val="000000" w:themeColor="text1"/>
          <w:kern w:val="0"/>
          <w:sz w:val="24"/>
          <w:szCs w:val="24"/>
          <w:highlight w:val="none"/>
          <w14:textFill>
            <w14:solidFill>
              <w14:schemeClr w14:val="tx1"/>
            </w14:solidFill>
          </w14:textFill>
        </w:rPr>
        <w:t>1.4.1基本资格条件：符合《中华人民共和国政府采购法》第二十二条的规定；</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并提供以下资料：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①具有独立承担民事责任能力的法人或其他组织，提供有效存续的营业执照或事业单位法人证书或非企业专业服务机构执业许可证或民办非企业单位登记证书或自然人的身份证明；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②财务状况报告：提供经审计的2022年财务报告，包括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③税收缴纳证明：提供已缴纳的2022年11月至今任意一个月的纳税证明或完税证明，纳税证明或完税证明上应有代收机构或税务机关的公章或业务专用章。依法免税的供应商应提供相关文件证明；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④供应商须提供具有履行合同所必需的设备和专业技术能力的承诺；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⑤社会保障资金缴纳证明：提供已缴存的2022年11月至今任意一个月的社会保障资金缴存单据或社保机构开具的社会保险参保缴费情况证明，单据或证明上应有社保机构或代收机构的公章或业务专用章。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sz w:val="24"/>
          <w:szCs w:val="24"/>
          <w:highlight w:val="none"/>
          <w:lang w:val="en-US" w:eastAsia="zh-CN"/>
        </w:rPr>
        <w:t>⑥出具参加本次政府采购活动前三年内在经营活动中没有重大违法记录的书面声明；</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lang w:eastAsia="zh-CN"/>
        </w:rPr>
      </w:pPr>
      <w:r>
        <w:rPr>
          <w:rFonts w:hint="eastAsia" w:ascii="宋体" w:hAnsi="宋体" w:eastAsia="宋体" w:cs="宋体"/>
          <w:i w:val="0"/>
          <w:iCs w:val="0"/>
          <w:caps w:val="0"/>
          <w:color w:val="222222"/>
          <w:spacing w:val="0"/>
          <w:sz w:val="24"/>
          <w:szCs w:val="24"/>
          <w:highlight w:val="none"/>
          <w:shd w:val="clear" w:fill="FFFFFF"/>
          <w:lang w:val="en-US" w:eastAsia="zh-CN"/>
        </w:rPr>
        <w:t>1.4.2</w:t>
      </w:r>
      <w:r>
        <w:rPr>
          <w:rFonts w:hint="eastAsia" w:ascii="宋体" w:hAnsi="宋体" w:eastAsia="宋体" w:cs="宋体"/>
          <w:i w:val="0"/>
          <w:iCs w:val="0"/>
          <w:caps w:val="0"/>
          <w:color w:val="222222"/>
          <w:spacing w:val="0"/>
          <w:sz w:val="24"/>
          <w:szCs w:val="24"/>
          <w:highlight w:val="none"/>
          <w:shd w:val="clear" w:fill="FFFFFF"/>
        </w:rPr>
        <w:t>落实政府采购政策需满足的资格要求如下</w:t>
      </w:r>
      <w:r>
        <w:rPr>
          <w:rFonts w:hint="eastAsia" w:ascii="宋体" w:hAnsi="宋体" w:eastAsia="宋体" w:cs="宋体"/>
          <w:i w:val="0"/>
          <w:iCs w:val="0"/>
          <w:caps w:val="0"/>
          <w:color w:val="222222"/>
          <w:spacing w:val="0"/>
          <w:sz w:val="24"/>
          <w:szCs w:val="24"/>
          <w:highlight w:val="none"/>
          <w:shd w:val="clear" w:fill="FFFFFF"/>
          <w:lang w:eastAsia="zh-CN"/>
        </w:rPr>
        <w:t>：</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Style w:val="136"/>
          <w:rFonts w:hint="eastAsia" w:ascii="宋体" w:hAnsi="宋体" w:eastAsia="宋体" w:cs="宋体"/>
          <w:color w:val="000000"/>
          <w:kern w:val="0"/>
          <w:sz w:val="24"/>
          <w:szCs w:val="24"/>
          <w:highlight w:val="none"/>
        </w:rPr>
      </w:pPr>
      <w:r>
        <w:rPr>
          <w:rStyle w:val="136"/>
          <w:rFonts w:hint="eastAsia" w:ascii="宋体" w:hAnsi="宋体" w:eastAsia="宋体" w:cs="宋体"/>
          <w:color w:val="000000"/>
          <w:kern w:val="0"/>
          <w:sz w:val="24"/>
          <w:szCs w:val="24"/>
          <w:highlight w:val="none"/>
        </w:rPr>
        <w:t>本项目专门面向中小企业采购（残疾人福利性单位及监狱企业视同小型、微型企业）（提供声明函）。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1.4.3</w:t>
      </w:r>
      <w:r>
        <w:rPr>
          <w:rFonts w:hint="eastAsia" w:ascii="宋体" w:hAnsi="宋体" w:eastAsia="宋体" w:cs="宋体"/>
          <w:color w:val="000000" w:themeColor="text1"/>
          <w:kern w:val="0"/>
          <w:sz w:val="24"/>
          <w:szCs w:val="24"/>
          <w:highlight w:val="none"/>
          <w14:textFill>
            <w14:solidFill>
              <w14:schemeClr w14:val="tx1"/>
            </w14:solidFill>
          </w14:textFill>
        </w:rPr>
        <w:t>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222222"/>
          <w:spacing w:val="0"/>
          <w:sz w:val="24"/>
          <w:szCs w:val="24"/>
          <w:highlight w:val="none"/>
          <w:shd w:val="clear" w:fill="FFFFFF"/>
          <w:lang w:eastAsia="zh-CN"/>
        </w:rPr>
      </w:pPr>
      <w:r>
        <w:rPr>
          <w:rFonts w:hint="eastAsia" w:ascii="宋体" w:hAnsi="宋体" w:eastAsia="宋体" w:cs="宋体"/>
          <w:i w:val="0"/>
          <w:iCs w:val="0"/>
          <w:caps w:val="0"/>
          <w:color w:val="222222"/>
          <w:spacing w:val="0"/>
          <w:sz w:val="24"/>
          <w:szCs w:val="24"/>
          <w:highlight w:val="none"/>
          <w:shd w:val="clear" w:fill="FFFFFF"/>
          <w:lang w:eastAsia="zh-CN"/>
        </w:rPr>
        <w:t>①投标人需具有公安机关核发的保安服务许可证（陕西省外企业还须出具承诺书，承诺自承接本项目之日起30日内向采购人所在地设区的市级人民政府公安机关备案）（合同包</w:t>
      </w:r>
      <w:r>
        <w:rPr>
          <w:rFonts w:hint="eastAsia" w:ascii="宋体" w:hAnsi="宋体" w:eastAsia="宋体" w:cs="宋体"/>
          <w:i w:val="0"/>
          <w:iCs w:val="0"/>
          <w:caps w:val="0"/>
          <w:color w:val="222222"/>
          <w:spacing w:val="0"/>
          <w:sz w:val="24"/>
          <w:szCs w:val="24"/>
          <w:highlight w:val="none"/>
          <w:shd w:val="clear" w:fill="FFFFFF"/>
          <w:lang w:val="en-US" w:eastAsia="zh-CN"/>
        </w:rPr>
        <w:t>2提供</w:t>
      </w:r>
      <w:r>
        <w:rPr>
          <w:rFonts w:hint="eastAsia" w:ascii="宋体" w:hAnsi="宋体" w:eastAsia="宋体" w:cs="宋体"/>
          <w:i w:val="0"/>
          <w:iCs w:val="0"/>
          <w:caps w:val="0"/>
          <w:color w:val="222222"/>
          <w:spacing w:val="0"/>
          <w:sz w:val="24"/>
          <w:szCs w:val="24"/>
          <w:highlight w:val="none"/>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i w:val="0"/>
          <w:iCs w:val="0"/>
          <w:caps w:val="0"/>
          <w:color w:val="222222"/>
          <w:spacing w:val="0"/>
          <w:sz w:val="24"/>
          <w:szCs w:val="24"/>
          <w:highlight w:val="none"/>
          <w:shd w:val="clear" w:fill="FFFFFF"/>
          <w:lang w:eastAsia="zh-CN"/>
        </w:rPr>
      </w:pPr>
      <w:r>
        <w:rPr>
          <w:rFonts w:hint="eastAsia" w:ascii="宋体" w:hAnsi="宋体" w:eastAsia="宋体" w:cs="宋体"/>
          <w:i w:val="0"/>
          <w:iCs w:val="0"/>
          <w:caps w:val="0"/>
          <w:color w:val="222222"/>
          <w:spacing w:val="0"/>
          <w:sz w:val="24"/>
          <w:szCs w:val="24"/>
          <w:highlight w:val="none"/>
          <w:shd w:val="clear" w:fill="FFFFFF"/>
          <w:lang w:eastAsia="zh-CN"/>
        </w:rPr>
        <w:t>②法定代表人参加投标的提供法定代表人身份证明及身份证，委托代理人参加投标的提供授权委托书及委托代理人身份证，</w:t>
      </w:r>
      <w:r>
        <w:rPr>
          <w:rFonts w:hint="eastAsia" w:ascii="宋体" w:hAnsi="宋体" w:eastAsia="宋体" w:cs="宋体"/>
          <w:kern w:val="0"/>
          <w:sz w:val="24"/>
          <w:szCs w:val="24"/>
          <w:highlight w:val="none"/>
        </w:rPr>
        <w:t>备注：分支机构由分支机构负责人授权即可</w:t>
      </w:r>
      <w:r>
        <w:rPr>
          <w:rFonts w:hint="eastAsia" w:ascii="宋体" w:hAnsi="宋体" w:eastAsia="宋体" w:cs="宋体"/>
          <w:i w:val="0"/>
          <w:iCs w:val="0"/>
          <w:caps w:val="0"/>
          <w:color w:val="222222"/>
          <w:spacing w:val="0"/>
          <w:sz w:val="24"/>
          <w:szCs w:val="24"/>
          <w:highlight w:val="none"/>
          <w:shd w:val="clear" w:fill="FFFFFF"/>
          <w:lang w:eastAsia="zh-CN"/>
        </w:rPr>
        <w:t>；</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lang w:eastAsia="zh-CN"/>
        </w:rPr>
      </w:pPr>
      <w:r>
        <w:rPr>
          <w:rFonts w:hint="eastAsia" w:ascii="宋体" w:hAnsi="宋体" w:eastAsia="宋体" w:cs="宋体"/>
          <w:i w:val="0"/>
          <w:iCs w:val="0"/>
          <w:caps w:val="0"/>
          <w:color w:val="222222"/>
          <w:spacing w:val="0"/>
          <w:sz w:val="24"/>
          <w:szCs w:val="24"/>
          <w:highlight w:val="none"/>
          <w:shd w:val="clear" w:fill="FFFFFF"/>
          <w:lang w:eastAsia="zh-CN"/>
        </w:rPr>
        <w:t>③本项目不接受联合体投标（提供书面声明材料）。</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 投标单位信用记录查询及使用：</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①查询渠道：投标单位通过“信用中国”网站（www.creditchina.gov.cn）、中国政府采购网（www.ccgp.gov.cn）等渠道查询相关主体信用记录；</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②查询截止时点：投标文件递交截止时间后 2 小时内；</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③查询记录和证据留存方式：（代理机构网站截图留存）；</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④使用规则：对列入失信被执行人、重大税收违法案件当事人名单（重大税收违法失信主体）、政府采购严重违法失信行为记录名单的投标单位，其投标无效；</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1.5.1特别说明：</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①投标单位如在中标通知书发出前出现违法失信行为，采购人仍有权利提请评标委员会取消其中标资格；</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②投标单位在投标文件中已出具的信用查询结果并不能取代采购人或采购代理机构在开标后进行复查。</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bookmarkStart w:id="49" w:name="_Toc144974503"/>
      <w:bookmarkStart w:id="50" w:name="_Toc152045535"/>
      <w:bookmarkStart w:id="51" w:name="_Toc152042311"/>
      <w:r>
        <w:rPr>
          <w:rFonts w:hint="eastAsia" w:ascii="宋体" w:hAnsi="宋体" w:eastAsia="宋体" w:cs="宋体"/>
          <w:color w:val="000000" w:themeColor="text1"/>
          <w:sz w:val="24"/>
          <w:szCs w:val="24"/>
          <w:highlight w:val="none"/>
          <w:lang w:val="en-US" w:eastAsia="zh-CN"/>
          <w14:textFill>
            <w14:solidFill>
              <w14:schemeClr w14:val="tx1"/>
            </w14:solidFill>
          </w14:textFill>
        </w:rPr>
        <w:t>6费用承担</w:t>
      </w:r>
      <w:bookmarkEnd w:id="46"/>
      <w:bookmarkEnd w:id="47"/>
      <w:bookmarkEnd w:id="48"/>
    </w:p>
    <w:bookmarkEnd w:id="49"/>
    <w:bookmarkEnd w:id="50"/>
    <w:bookmarkEnd w:id="51"/>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52" w:name="_Toc339012132"/>
      <w:bookmarkStart w:id="53" w:name="_Toc339114115"/>
      <w:bookmarkStart w:id="54" w:name="_Toc331665294"/>
      <w:r>
        <w:rPr>
          <w:rFonts w:hint="eastAsia" w:ascii="宋体" w:hAnsi="宋体" w:eastAsia="宋体" w:cs="宋体"/>
          <w:color w:val="000000" w:themeColor="text1"/>
          <w:sz w:val="24"/>
          <w:szCs w:val="24"/>
          <w:highlight w:val="none"/>
          <w:lang w:val="en-US" w:eastAsia="zh-CN"/>
          <w14:textFill>
            <w14:solidFill>
              <w14:schemeClr w14:val="tx1"/>
            </w14:solidFill>
          </w14:textFill>
        </w:rPr>
        <w:t>无论投标的结果如何，供应商自行承担参加投标相关的全部费用。</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1.7 </w:t>
      </w:r>
      <w:bookmarkStart w:id="55" w:name="_Toc152045536"/>
      <w:bookmarkStart w:id="56" w:name="_Toc152042312"/>
      <w:bookmarkStart w:id="57" w:name="_Toc144974504"/>
      <w:r>
        <w:rPr>
          <w:rFonts w:hint="eastAsia" w:ascii="宋体" w:hAnsi="宋体" w:eastAsia="宋体" w:cs="宋体"/>
          <w:color w:val="000000" w:themeColor="text1"/>
          <w:sz w:val="24"/>
          <w:szCs w:val="24"/>
          <w:highlight w:val="none"/>
          <w:lang w:val="en-US" w:eastAsia="zh-CN"/>
          <w14:textFill>
            <w14:solidFill>
              <w14:schemeClr w14:val="tx1"/>
            </w14:solidFill>
          </w14:textFill>
        </w:rPr>
        <w:t>保密</w:t>
      </w:r>
      <w:bookmarkEnd w:id="52"/>
      <w:bookmarkEnd w:id="53"/>
      <w:bookmarkEnd w:id="54"/>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参与招</w:t>
      </w:r>
      <w:bookmarkEnd w:id="55"/>
      <w:bookmarkEnd w:id="56"/>
      <w:bookmarkEnd w:id="57"/>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标投标活动的各方应对招标文件和投标文件中的商业和技术等秘密保密，违者应对由此造成的后果承担法律责任。 </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58" w:name="_Toc339012133"/>
      <w:bookmarkStart w:id="59" w:name="_Toc339114116"/>
      <w:bookmarkStart w:id="60" w:name="_Toc331665295"/>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1.8 </w:t>
      </w:r>
      <w:bookmarkStart w:id="61" w:name="_Toc144974505"/>
      <w:bookmarkStart w:id="62" w:name="_Toc152042313"/>
      <w:bookmarkStart w:id="63" w:name="_Toc152045537"/>
      <w:r>
        <w:rPr>
          <w:rFonts w:hint="eastAsia" w:ascii="宋体" w:hAnsi="宋体" w:eastAsia="宋体" w:cs="宋体"/>
          <w:color w:val="000000" w:themeColor="text1"/>
          <w:sz w:val="24"/>
          <w:szCs w:val="24"/>
          <w:highlight w:val="none"/>
          <w:lang w:val="en-US" w:eastAsia="zh-CN"/>
          <w14:textFill>
            <w14:solidFill>
              <w14:schemeClr w14:val="tx1"/>
            </w14:solidFill>
          </w14:textFill>
        </w:rPr>
        <w:t>语言文字</w:t>
      </w:r>
      <w:bookmarkEnd w:id="58"/>
      <w:bookmarkEnd w:id="59"/>
      <w:bookmarkEnd w:id="60"/>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除</w:t>
      </w:r>
      <w:bookmarkEnd w:id="61"/>
      <w:r>
        <w:rPr>
          <w:rFonts w:hint="eastAsia" w:ascii="宋体" w:hAnsi="宋体" w:eastAsia="宋体" w:cs="宋体"/>
          <w:color w:val="000000" w:themeColor="text1"/>
          <w:sz w:val="24"/>
          <w:szCs w:val="24"/>
          <w:highlight w:val="none"/>
          <w:lang w:val="en-US" w:eastAsia="zh-CN"/>
          <w14:textFill>
            <w14:solidFill>
              <w14:schemeClr w14:val="tx1"/>
            </w14:solidFill>
          </w14:textFill>
        </w:rPr>
        <w:t>专用</w:t>
      </w:r>
      <w:bookmarkEnd w:id="62"/>
      <w:bookmarkEnd w:id="63"/>
      <w:r>
        <w:rPr>
          <w:rFonts w:hint="eastAsia" w:ascii="宋体" w:hAnsi="宋体" w:eastAsia="宋体" w:cs="宋体"/>
          <w:color w:val="000000" w:themeColor="text1"/>
          <w:sz w:val="24"/>
          <w:szCs w:val="24"/>
          <w:highlight w:val="none"/>
          <w:lang w:val="en-US" w:eastAsia="zh-CN"/>
          <w14:textFill>
            <w14:solidFill>
              <w14:schemeClr w14:val="tx1"/>
            </w14:solidFill>
          </w14:textFill>
        </w:rPr>
        <w:t>术语外，与招标投标有关的语言均使用中文。必要时专用术语应附有中文注释。</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64" w:name="_Toc331665296"/>
      <w:bookmarkStart w:id="65" w:name="_Toc339012134"/>
      <w:bookmarkStart w:id="66" w:name="_Toc339114117"/>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1.9 </w:t>
      </w:r>
      <w:bookmarkStart w:id="67" w:name="_Toc152042314"/>
      <w:bookmarkStart w:id="68" w:name="_Toc152045538"/>
      <w:bookmarkStart w:id="69" w:name="_Toc144974506"/>
      <w:r>
        <w:rPr>
          <w:rFonts w:hint="eastAsia" w:ascii="宋体" w:hAnsi="宋体" w:eastAsia="宋体" w:cs="宋体"/>
          <w:color w:val="000000" w:themeColor="text1"/>
          <w:sz w:val="24"/>
          <w:szCs w:val="24"/>
          <w:highlight w:val="none"/>
          <w:lang w:val="en-US" w:eastAsia="zh-CN"/>
          <w14:textFill>
            <w14:solidFill>
              <w14:schemeClr w14:val="tx1"/>
            </w14:solidFill>
          </w14:textFill>
        </w:rPr>
        <w:t>计量单位</w:t>
      </w:r>
      <w:bookmarkEnd w:id="64"/>
      <w:bookmarkEnd w:id="65"/>
      <w:bookmarkEnd w:id="66"/>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所有计</w:t>
      </w:r>
      <w:bookmarkEnd w:id="67"/>
      <w:bookmarkEnd w:id="68"/>
      <w:bookmarkEnd w:id="69"/>
      <w:r>
        <w:rPr>
          <w:rFonts w:hint="eastAsia" w:ascii="宋体" w:hAnsi="宋体" w:eastAsia="宋体" w:cs="宋体"/>
          <w:color w:val="000000" w:themeColor="text1"/>
          <w:sz w:val="24"/>
          <w:szCs w:val="24"/>
          <w:highlight w:val="none"/>
          <w:lang w:val="en-US" w:eastAsia="zh-CN"/>
          <w14:textFill>
            <w14:solidFill>
              <w14:schemeClr w14:val="tx1"/>
            </w14:solidFill>
          </w14:textFill>
        </w:rPr>
        <w:t>量均采用中华人民共和国法定计量单位。</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70" w:name="_Toc339012135"/>
      <w:bookmarkStart w:id="71" w:name="_Toc339114118"/>
      <w:bookmarkStart w:id="72" w:name="_Toc331665297"/>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1.10. </w:t>
      </w:r>
      <w:bookmarkStart w:id="73" w:name="_Toc152045539"/>
      <w:bookmarkStart w:id="74" w:name="_Toc152042315"/>
      <w:bookmarkStart w:id="75" w:name="_Toc144974507"/>
      <w:r>
        <w:rPr>
          <w:rFonts w:hint="eastAsia" w:ascii="宋体" w:hAnsi="宋体" w:eastAsia="宋体" w:cs="宋体"/>
          <w:color w:val="000000" w:themeColor="text1"/>
          <w:sz w:val="24"/>
          <w:szCs w:val="24"/>
          <w:highlight w:val="none"/>
          <w:lang w:val="en-US" w:eastAsia="zh-CN"/>
          <w14:textFill>
            <w14:solidFill>
              <w14:schemeClr w14:val="tx1"/>
            </w14:solidFill>
          </w14:textFill>
        </w:rPr>
        <w:t>踏勘现场</w:t>
      </w:r>
      <w:bookmarkEnd w:id="70"/>
      <w:bookmarkEnd w:id="71"/>
      <w:bookmarkEnd w:id="72"/>
    </w:p>
    <w:bookmarkEnd w:id="73"/>
    <w:bookmarkEnd w:id="74"/>
    <w:bookmarkEnd w:id="75"/>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76" w:name="_Toc339114119"/>
      <w:bookmarkStart w:id="77" w:name="_Toc339012136"/>
      <w:bookmarkStart w:id="78" w:name="_Toc331665298"/>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bookmarkStart w:id="79" w:name="_Toc152042316"/>
      <w:bookmarkStart w:id="80" w:name="_Toc152045540"/>
      <w:bookmarkStart w:id="81" w:name="_Toc144974508"/>
      <w:r>
        <w:rPr>
          <w:rFonts w:hint="eastAsia" w:ascii="宋体" w:hAnsi="宋体" w:eastAsia="宋体" w:cs="宋体"/>
          <w:color w:val="000000" w:themeColor="text1"/>
          <w:sz w:val="24"/>
          <w:szCs w:val="24"/>
          <w:highlight w:val="none"/>
          <w:lang w:val="en-US" w:eastAsia="zh-CN"/>
          <w14:textFill>
            <w14:solidFill>
              <w14:schemeClr w14:val="tx1"/>
            </w14:solidFill>
          </w14:textFill>
        </w:rPr>
        <w:t>1 投标预备会</w:t>
      </w:r>
      <w:bookmarkEnd w:id="76"/>
      <w:bookmarkEnd w:id="77"/>
      <w:bookmarkEnd w:id="78"/>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本项目不召开</w:t>
      </w:r>
      <w:bookmarkEnd w:id="79"/>
      <w:bookmarkEnd w:id="80"/>
      <w:bookmarkEnd w:id="81"/>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投标预备会。供应商如有疑问，请以书面形式在投标须知前附表规定的时间内提交给采购代理机构。 </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1.12 联合体投标</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本项目不允许分包联合体投标。</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82" w:name="_Toc339012137"/>
      <w:bookmarkStart w:id="83" w:name="_Toc339114120"/>
      <w:bookmarkStart w:id="84" w:name="_Toc331665299"/>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bookmarkStart w:id="85" w:name="_Toc152045541"/>
      <w:bookmarkStart w:id="86" w:name="_Toc152042317"/>
      <w:bookmarkStart w:id="87" w:name="_Toc144974509"/>
      <w:r>
        <w:rPr>
          <w:rFonts w:hint="eastAsia" w:ascii="宋体" w:hAnsi="宋体" w:eastAsia="宋体" w:cs="宋体"/>
          <w:color w:val="000000" w:themeColor="text1"/>
          <w:sz w:val="24"/>
          <w:szCs w:val="24"/>
          <w:highlight w:val="none"/>
          <w:lang w:val="en-US" w:eastAsia="zh-CN"/>
          <w14:textFill>
            <w14:solidFill>
              <w14:schemeClr w14:val="tx1"/>
            </w14:solidFill>
          </w14:textFill>
        </w:rPr>
        <w:t>3 分包</w:t>
      </w:r>
      <w:bookmarkEnd w:id="82"/>
      <w:bookmarkEnd w:id="83"/>
      <w:bookmarkEnd w:id="84"/>
    </w:p>
    <w:bookmarkEnd w:id="85"/>
    <w:bookmarkEnd w:id="86"/>
    <w:bookmarkEnd w:id="87"/>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本项目不允许分包。</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88" w:name="_Toc339012138"/>
      <w:bookmarkStart w:id="89" w:name="_Toc331665300"/>
      <w:bookmarkStart w:id="90" w:name="_Toc339114121"/>
      <w:r>
        <w:rPr>
          <w:rFonts w:hint="eastAsia" w:ascii="宋体" w:hAnsi="宋体" w:eastAsia="宋体" w:cs="宋体"/>
          <w:color w:val="000000" w:themeColor="text1"/>
          <w:sz w:val="24"/>
          <w:szCs w:val="24"/>
          <w:highlight w:val="none"/>
          <w:lang w:val="en-US" w:eastAsia="zh-CN"/>
          <w14:textFill>
            <w14:solidFill>
              <w14:schemeClr w14:val="tx1"/>
            </w14:solidFill>
          </w14:textFill>
        </w:rPr>
        <w:t>1.14 偏离</w:t>
      </w:r>
      <w:bookmarkEnd w:id="88"/>
      <w:bookmarkEnd w:id="89"/>
      <w:bookmarkEnd w:id="90"/>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本项目不允许负偏离。</w:t>
      </w:r>
      <w:bookmarkStart w:id="91" w:name="_Toc339114122"/>
    </w:p>
    <w:p>
      <w:pPr>
        <w:pStyle w:val="37"/>
        <w:spacing w:before="0" w:beforeAutospacing="0" w:after="0" w:afterAutospacing="0" w:line="360" w:lineRule="auto"/>
        <w:ind w:firstLine="42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 招</w:t>
      </w:r>
      <w:bookmarkStart w:id="92" w:name="_Toc152042318"/>
      <w:bookmarkStart w:id="93" w:name="_Toc144974510"/>
      <w:bookmarkStart w:id="94" w:name="_Toc152045542"/>
      <w:r>
        <w:rPr>
          <w:rFonts w:hint="eastAsia" w:ascii="宋体" w:hAnsi="宋体" w:eastAsia="宋体" w:cs="宋体"/>
          <w:b/>
          <w:color w:val="000000" w:themeColor="text1"/>
          <w:sz w:val="24"/>
          <w:szCs w:val="24"/>
          <w:highlight w:val="none"/>
          <w14:textFill>
            <w14:solidFill>
              <w14:schemeClr w14:val="tx1"/>
            </w14:solidFill>
          </w14:textFill>
        </w:rPr>
        <w:t>标文</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件</w:t>
      </w:r>
      <w:bookmarkEnd w:id="91"/>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95" w:name="_Toc331665302"/>
      <w:bookmarkStart w:id="96" w:name="_Toc339114123"/>
      <w:bookmarkStart w:id="97" w:name="_Toc339012140"/>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bookmarkEnd w:id="92"/>
      <w:bookmarkEnd w:id="93"/>
      <w:bookmarkEnd w:id="94"/>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bookmarkStart w:id="98" w:name="_Toc144974511"/>
      <w:bookmarkStart w:id="99" w:name="_Toc152045543"/>
      <w:bookmarkStart w:id="100" w:name="_Toc152042319"/>
      <w:r>
        <w:rPr>
          <w:rFonts w:hint="eastAsia" w:ascii="宋体" w:hAnsi="宋体" w:eastAsia="宋体" w:cs="宋体"/>
          <w:color w:val="000000" w:themeColor="text1"/>
          <w:sz w:val="24"/>
          <w:szCs w:val="24"/>
          <w:highlight w:val="none"/>
          <w:lang w:val="en-US" w:eastAsia="zh-CN"/>
          <w14:textFill>
            <w14:solidFill>
              <w14:schemeClr w14:val="tx1"/>
            </w14:solidFill>
          </w14:textFill>
        </w:rPr>
        <w:t>招标文件的组成</w:t>
      </w:r>
      <w:bookmarkEnd w:id="95"/>
      <w:bookmarkEnd w:id="96"/>
      <w:bookmarkEnd w:id="97"/>
      <w:bookmarkEnd w:id="98"/>
      <w:bookmarkEnd w:id="99"/>
      <w:bookmarkEnd w:id="100"/>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2.1.1招标公告；</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2.1.2供应商须知；</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2.1.3评标办法；</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2.1.4合同条款及格式；</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2.1.5采购内容及要求；</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2.1.6投标文件格式。</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01" w:name="_Toc339114124"/>
      <w:bookmarkStart w:id="102" w:name="_Toc331665303"/>
      <w:bookmarkStart w:id="103" w:name="_Toc339012141"/>
      <w:r>
        <w:rPr>
          <w:rFonts w:hint="eastAsia" w:ascii="宋体" w:hAnsi="宋体" w:eastAsia="宋体" w:cs="宋体"/>
          <w:color w:val="000000" w:themeColor="text1"/>
          <w:sz w:val="24"/>
          <w:szCs w:val="24"/>
          <w:highlight w:val="none"/>
          <w:lang w:val="en-US" w:eastAsia="zh-CN"/>
          <w14:textFill>
            <w14:solidFill>
              <w14:schemeClr w14:val="tx1"/>
            </w14:solidFill>
          </w14:textFill>
        </w:rPr>
        <w:t>招标文件由招标文件总目录所列内容组成；投标人应详细阅读招标文件中所有的事项、格式、条款和规范要求，在投标文件中对招标文件的各方面都应做出实质性的响应，按照招标文件的要求提交全部资料。</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2.2 </w:t>
      </w:r>
      <w:bookmarkStart w:id="104" w:name="_Toc144974512"/>
      <w:bookmarkStart w:id="105" w:name="_Toc152042320"/>
      <w:bookmarkStart w:id="106" w:name="_Toc152045544"/>
      <w:r>
        <w:rPr>
          <w:rFonts w:hint="eastAsia" w:ascii="宋体" w:hAnsi="宋体" w:eastAsia="宋体" w:cs="宋体"/>
          <w:color w:val="000000" w:themeColor="text1"/>
          <w:sz w:val="24"/>
          <w:szCs w:val="24"/>
          <w:highlight w:val="none"/>
          <w:lang w:val="en-US" w:eastAsia="zh-CN"/>
          <w14:textFill>
            <w14:solidFill>
              <w14:schemeClr w14:val="tx1"/>
            </w14:solidFill>
          </w14:textFill>
        </w:rPr>
        <w:t>招标文件的澄清</w:t>
      </w:r>
      <w:bookmarkEnd w:id="101"/>
      <w:bookmarkEnd w:id="102"/>
      <w:bookmarkEnd w:id="103"/>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bookmarkEnd w:id="104"/>
      <w:bookmarkEnd w:id="105"/>
      <w:bookmarkEnd w:id="106"/>
      <w:r>
        <w:rPr>
          <w:rFonts w:hint="eastAsia" w:ascii="宋体" w:hAnsi="宋体" w:eastAsia="宋体" w:cs="宋体"/>
          <w:color w:val="000000" w:themeColor="text1"/>
          <w:sz w:val="24"/>
          <w:szCs w:val="24"/>
          <w:highlight w:val="none"/>
          <w:lang w:val="en-US" w:eastAsia="zh-CN"/>
          <w14:textFill>
            <w14:solidFill>
              <w14:schemeClr w14:val="tx1"/>
            </w14:solidFill>
          </w14:textFill>
        </w:rPr>
        <w:t>.1供应商应仔细阅读和检查招标文件的全部内容。如发现缺页或附件不全，应及时向采购人提出，以便补齐。如有疑问，应在供应商须知前附表规定的时间前以书面形式要求采购人对招标文件予以澄清。</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2.2.2 对供应商提出问题的澄清将在供应商须知前附表规定的投标截止时间7天前以书面形式发给所有获取招标文件的供应商，但不指明澄清问题的来源。</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2.2.3 供应商在收到澄清后，应在供应商须知前附表规定的时间内以书面形式通知采购人，确认已收到该澄清。</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07" w:name="_Toc339114125"/>
      <w:bookmarkStart w:id="108" w:name="_Toc339012142"/>
      <w:bookmarkStart w:id="109" w:name="_Toc331665304"/>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2.3 </w:t>
      </w:r>
      <w:bookmarkStart w:id="110" w:name="_Toc152045545"/>
      <w:bookmarkStart w:id="111" w:name="_Toc152042321"/>
      <w:bookmarkStart w:id="112" w:name="_Toc144974513"/>
      <w:r>
        <w:rPr>
          <w:rFonts w:hint="eastAsia" w:ascii="宋体" w:hAnsi="宋体" w:eastAsia="宋体" w:cs="宋体"/>
          <w:color w:val="000000" w:themeColor="text1"/>
          <w:sz w:val="24"/>
          <w:szCs w:val="24"/>
          <w:highlight w:val="none"/>
          <w:lang w:val="en-US" w:eastAsia="zh-CN"/>
          <w14:textFill>
            <w14:solidFill>
              <w14:schemeClr w14:val="tx1"/>
            </w14:solidFill>
          </w14:textFill>
        </w:rPr>
        <w:t>招标文件的修改</w:t>
      </w:r>
      <w:bookmarkEnd w:id="107"/>
      <w:bookmarkEnd w:id="108"/>
      <w:bookmarkEnd w:id="109"/>
    </w:p>
    <w:bookmarkEnd w:id="110"/>
    <w:bookmarkEnd w:id="111"/>
    <w:bookmarkEnd w:id="112"/>
    <w:p>
      <w:pPr>
        <w:pStyle w:val="3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在投标截止时间15天前，采购人可以书面形式修改招标文件，并通知所有已获取招标文件的供应商。如果修改招标文件的时间距投标截止时间不足15天，相应延长投标截止时间。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bookmarkStart w:id="113" w:name="_Toc339114126"/>
      <w:r>
        <w:rPr>
          <w:rFonts w:hint="eastAsia" w:ascii="宋体" w:hAnsi="宋体" w:eastAsia="宋体" w:cs="宋体"/>
          <w:b/>
          <w:color w:val="000000" w:themeColor="text1"/>
          <w:sz w:val="24"/>
          <w:szCs w:val="24"/>
          <w:highlight w:val="none"/>
          <w14:textFill>
            <w14:solidFill>
              <w14:schemeClr w14:val="tx1"/>
            </w14:solidFill>
          </w14:textFill>
        </w:rPr>
        <w:t>3. 投</w:t>
      </w:r>
      <w:bookmarkStart w:id="114" w:name="_Toc152042322"/>
      <w:bookmarkStart w:id="115" w:name="_Toc144974514"/>
      <w:bookmarkStart w:id="116" w:name="_Toc152045546"/>
      <w:r>
        <w:rPr>
          <w:rFonts w:hint="eastAsia" w:ascii="宋体" w:hAnsi="宋体" w:eastAsia="宋体" w:cs="宋体"/>
          <w:b/>
          <w:color w:val="000000" w:themeColor="text1"/>
          <w:sz w:val="24"/>
          <w:szCs w:val="24"/>
          <w:highlight w:val="none"/>
          <w14:textFill>
            <w14:solidFill>
              <w14:schemeClr w14:val="tx1"/>
            </w14:solidFill>
          </w14:textFill>
        </w:rPr>
        <w:t>标文件</w:t>
      </w:r>
      <w:bookmarkEnd w:id="113"/>
    </w:p>
    <w:p>
      <w:pPr>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bookmarkStart w:id="117" w:name="_Toc339114127"/>
      <w:bookmarkStart w:id="118" w:name="_Toc339012144"/>
      <w:bookmarkStart w:id="119" w:name="_Toc331665306"/>
      <w:r>
        <w:rPr>
          <w:rFonts w:hint="eastAsia" w:ascii="宋体" w:hAnsi="宋体" w:eastAsia="宋体" w:cs="宋体"/>
          <w:color w:val="000000" w:themeColor="text1"/>
          <w:sz w:val="24"/>
          <w:szCs w:val="24"/>
          <w:highlight w:val="none"/>
          <w14:textFill>
            <w14:solidFill>
              <w14:schemeClr w14:val="tx1"/>
            </w14:solidFill>
          </w14:textFill>
        </w:rPr>
        <w:t>3.1</w:t>
      </w:r>
      <w:bookmarkEnd w:id="114"/>
      <w:bookmarkEnd w:id="115"/>
      <w:bookmarkEnd w:id="116"/>
      <w:r>
        <w:rPr>
          <w:rFonts w:hint="eastAsia" w:ascii="宋体" w:hAnsi="宋体" w:eastAsia="宋体" w:cs="宋体"/>
          <w:color w:val="000000" w:themeColor="text1"/>
          <w:sz w:val="24"/>
          <w:szCs w:val="24"/>
          <w:highlight w:val="none"/>
          <w14:textFill>
            <w14:solidFill>
              <w14:schemeClr w14:val="tx1"/>
            </w14:solidFill>
          </w14:textFill>
        </w:rPr>
        <w:t xml:space="preserve"> </w:t>
      </w:r>
      <w:bookmarkStart w:id="120" w:name="_Toc152045547"/>
      <w:bookmarkStart w:id="121" w:name="_Toc144974515"/>
      <w:bookmarkStart w:id="122" w:name="_Toc152042323"/>
      <w:r>
        <w:rPr>
          <w:rFonts w:hint="eastAsia" w:ascii="宋体" w:hAnsi="宋体" w:eastAsia="宋体" w:cs="宋体"/>
          <w:color w:val="000000" w:themeColor="text1"/>
          <w:sz w:val="24"/>
          <w:szCs w:val="24"/>
          <w:highlight w:val="none"/>
          <w14:textFill>
            <w14:solidFill>
              <w14:schemeClr w14:val="tx1"/>
            </w14:solidFill>
          </w14:textFill>
        </w:rPr>
        <w:t>投标文件的组成</w:t>
      </w:r>
      <w:bookmarkEnd w:id="117"/>
      <w:bookmarkEnd w:id="118"/>
      <w:bookmarkEnd w:id="119"/>
    </w:p>
    <w:p>
      <w:pPr>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bookmarkEnd w:id="120"/>
      <w:bookmarkEnd w:id="121"/>
      <w:bookmarkEnd w:id="122"/>
      <w:r>
        <w:rPr>
          <w:rFonts w:hint="eastAsia" w:ascii="宋体" w:hAnsi="宋体" w:eastAsia="宋体" w:cs="宋体"/>
          <w:color w:val="000000" w:themeColor="text1"/>
          <w:sz w:val="24"/>
          <w:szCs w:val="24"/>
          <w:highlight w:val="none"/>
          <w14:textFill>
            <w14:solidFill>
              <w14:schemeClr w14:val="tx1"/>
            </w14:solidFill>
          </w14:textFill>
        </w:rPr>
        <w:t>.1.1投标文件应包括但不限于下列内容：</w:t>
      </w:r>
    </w:p>
    <w:p>
      <w:pPr>
        <w:spacing w:line="360" w:lineRule="auto"/>
        <w:ind w:firstLine="470" w:firstLineChars="196"/>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3.1.1.1投标函；   </w:t>
      </w:r>
    </w:p>
    <w:p>
      <w:pPr>
        <w:spacing w:line="360" w:lineRule="auto"/>
        <w:ind w:firstLine="470" w:firstLineChars="196"/>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3.1.1.2开标一览表（唱标报告）；          </w:t>
      </w:r>
    </w:p>
    <w:p>
      <w:pPr>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3.1.1.3法定代表人授权书；</w:t>
      </w:r>
    </w:p>
    <w:p>
      <w:pPr>
        <w:spacing w:line="360" w:lineRule="auto"/>
        <w:ind w:firstLine="470" w:firstLineChars="196"/>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3.1.1.</w:t>
      </w:r>
      <w:r>
        <w:rPr>
          <w:rFonts w:hint="eastAsia" w:ascii="宋体" w:hAnsi="宋体" w:eastAsia="宋体" w:cs="宋体"/>
          <w:color w:val="000000" w:themeColor="text1"/>
          <w:sz w:val="24"/>
          <w:szCs w:val="24"/>
          <w:highlight w:val="none"/>
          <w:lang w:val="en-US" w:eastAsia="zh-CN"/>
          <w14:textFill>
            <w14:solidFill>
              <w14:schemeClr w14:val="tx1"/>
            </w14:solidFill>
          </w14:textFill>
        </w:rPr>
        <w:t>4投标方案说明书</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firstLine="470" w:firstLineChars="196"/>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商务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条款偏离表</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70" w:firstLineChars="196"/>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3.1.1.</w:t>
      </w:r>
      <w:r>
        <w:rPr>
          <w:rFonts w:hint="eastAsia" w:ascii="宋体" w:hAnsi="宋体" w:eastAsia="宋体" w:cs="宋体"/>
          <w:color w:val="000000" w:themeColor="text1"/>
          <w:sz w:val="24"/>
          <w:szCs w:val="24"/>
          <w:highlight w:val="none"/>
          <w:lang w:val="en-US" w:eastAsia="zh-CN"/>
          <w14:textFill>
            <w14:solidFill>
              <w14:schemeClr w14:val="tx1"/>
            </w14:solidFill>
          </w14:textFill>
        </w:rPr>
        <w:t>6供应商承诺书</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firstLine="470" w:firstLineChars="196"/>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3.1.1.</w:t>
      </w:r>
      <w:r>
        <w:rPr>
          <w:rFonts w:hint="eastAsia" w:ascii="宋体" w:hAnsi="宋体" w:eastAsia="宋体" w:cs="宋体"/>
          <w:color w:val="000000" w:themeColor="text1"/>
          <w:sz w:val="24"/>
          <w:szCs w:val="24"/>
          <w:highlight w:val="none"/>
          <w:lang w:val="en-US" w:eastAsia="zh-CN"/>
          <w14:textFill>
            <w14:solidFill>
              <w14:schemeClr w14:val="tx1"/>
            </w14:solidFill>
          </w14:textFill>
        </w:rPr>
        <w:t>7资格证明文件；</w:t>
      </w:r>
    </w:p>
    <w:p>
      <w:pPr>
        <w:spacing w:line="360" w:lineRule="auto"/>
        <w:ind w:firstLine="470" w:firstLineChars="196"/>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3.1.1.8业绩；</w:t>
      </w:r>
    </w:p>
    <w:p>
      <w:pPr>
        <w:spacing w:line="360" w:lineRule="auto"/>
        <w:ind w:firstLine="470" w:firstLineChars="196"/>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3.1.1.9其他资料</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bookmarkStart w:id="123" w:name="_Toc339012145"/>
      <w:bookmarkStart w:id="124" w:name="_Toc339114128"/>
      <w:bookmarkStart w:id="125" w:name="_Toc331665307"/>
      <w:r>
        <w:rPr>
          <w:rFonts w:hint="eastAsia" w:ascii="宋体" w:hAnsi="宋体" w:eastAsia="宋体" w:cs="宋体"/>
          <w:color w:val="000000" w:themeColor="text1"/>
          <w:sz w:val="24"/>
          <w:szCs w:val="24"/>
          <w:highlight w:val="none"/>
          <w14:textFill>
            <w14:solidFill>
              <w14:schemeClr w14:val="tx1"/>
            </w14:solidFill>
          </w14:textFill>
        </w:rPr>
        <w:t xml:space="preserve">3.2 </w:t>
      </w:r>
      <w:bookmarkStart w:id="126" w:name="_Toc152045548"/>
      <w:bookmarkStart w:id="127" w:name="_Toc152042324"/>
      <w:bookmarkStart w:id="128" w:name="_Toc144974516"/>
      <w:r>
        <w:rPr>
          <w:rFonts w:hint="eastAsia" w:ascii="宋体" w:hAnsi="宋体" w:eastAsia="宋体" w:cs="宋体"/>
          <w:color w:val="000000" w:themeColor="text1"/>
          <w:sz w:val="24"/>
          <w:szCs w:val="24"/>
          <w:highlight w:val="none"/>
          <w14:textFill>
            <w14:solidFill>
              <w14:schemeClr w14:val="tx1"/>
            </w14:solidFill>
          </w14:textFill>
        </w:rPr>
        <w:t>投标报价</w:t>
      </w:r>
      <w:bookmarkEnd w:id="123"/>
      <w:bookmarkEnd w:id="124"/>
      <w:bookmarkEnd w:id="125"/>
    </w:p>
    <w:bookmarkEnd w:id="126"/>
    <w:bookmarkEnd w:id="127"/>
    <w:bookmarkEnd w:id="128"/>
    <w:p>
      <w:pPr>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3.2.1投标报价表中标明的价格应为履行合同的固定价格，不得以任何理由予以变更。以可调整的价格提交的投标文件将按无效投标处理。</w:t>
      </w:r>
    </w:p>
    <w:p>
      <w:pPr>
        <w:pStyle w:val="41"/>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3.2.1.1最低报价不是中标的唯一依据</w:t>
      </w:r>
    </w:p>
    <w:p>
      <w:pPr>
        <w:spacing w:line="360" w:lineRule="auto"/>
        <w:ind w:firstLine="470" w:firstLineChars="196"/>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3.2.1.2</w:t>
      </w:r>
      <w:r>
        <w:rPr>
          <w:rFonts w:hint="eastAsia" w:ascii="宋体" w:hAnsi="宋体" w:eastAsia="宋体" w:cs="宋体"/>
          <w:color w:val="000000"/>
          <w:sz w:val="24"/>
          <w:szCs w:val="24"/>
          <w:highlight w:val="none"/>
        </w:rPr>
        <w:t>投标人不得以低于成本的报价进行投标，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当评标委员会认为某个供应商的报价低于成本或明显低于其他通过符合性审查供应商的报价，有可能影响服务质量或者不能诚信履约的，应当要求其在评标现场合理的时间内提供书面说明，必要时提交相关证明材料；供应商不能证明其报价合理性的，评标委员会应当将其作为无效投标处理。</w:t>
      </w:r>
    </w:p>
    <w:p>
      <w:pPr>
        <w:pStyle w:val="17"/>
        <w:spacing w:line="360" w:lineRule="auto"/>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highlight w:val="none"/>
        </w:rPr>
        <w:t>注：</w:t>
      </w:r>
      <w:r>
        <w:rPr>
          <w:rFonts w:hint="eastAsia" w:ascii="宋体" w:hAnsi="宋体" w:eastAsia="宋体" w:cs="宋体"/>
          <w:color w:val="000000"/>
          <w:kern w:val="2"/>
          <w:sz w:val="24"/>
          <w:szCs w:val="24"/>
          <w:highlight w:val="none"/>
          <w:lang w:val="en-US" w:eastAsia="zh-CN" w:bidi="ar-SA"/>
        </w:rPr>
        <w:t>如发生额外费用与甲方自行协定</w:t>
      </w:r>
    </w:p>
    <w:p>
      <w:pPr>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3.2.2计算错误将按以下方法更正：</w:t>
      </w:r>
    </w:p>
    <w:p>
      <w:pPr>
        <w:spacing w:line="360" w:lineRule="auto"/>
        <w:ind w:firstLine="470" w:firstLineChars="19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（1）投标文件中开标一览表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报价表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内容与投标文件中相应内容不一致的，以开标一览表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报价表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为准。</w:t>
      </w:r>
    </w:p>
    <w:p>
      <w:pPr>
        <w:spacing w:line="360" w:lineRule="auto"/>
        <w:ind w:firstLine="470" w:firstLineChars="19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（2）投标文件的大写金额和小写金额不一致的，以大写金额为准；</w:t>
      </w:r>
    </w:p>
    <w:p>
      <w:pPr>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（3）单价金额小数点或者百分比有明显错位的，以开标一览表为准，并修改单价；</w:t>
      </w:r>
    </w:p>
    <w:p>
      <w:pPr>
        <w:spacing w:line="360" w:lineRule="auto"/>
        <w:ind w:firstLine="482"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3.2.3凡因供应商对招标文件阅读不深、理解不透、误解、疏漏、或因市场行情了解不清造成的后果和风险均由供应商自负。</w:t>
      </w:r>
      <w:r>
        <w:rPr>
          <w:rFonts w:hint="eastAsia" w:ascii="宋体" w:hAnsi="宋体" w:eastAsia="宋体" w:cs="宋体"/>
          <w:color w:val="000000" w:themeColor="text1"/>
          <w:sz w:val="24"/>
          <w:szCs w:val="24"/>
          <w:highlight w:val="none"/>
          <w14:textFill>
            <w14:solidFill>
              <w14:schemeClr w14:val="tx1"/>
            </w14:solidFill>
          </w14:textFill>
        </w:rPr>
        <w:t>　　　　</w:t>
      </w:r>
    </w:p>
    <w:p>
      <w:pPr>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bookmarkStart w:id="129" w:name="_Toc331665308"/>
      <w:bookmarkStart w:id="130" w:name="_Toc339114129"/>
      <w:bookmarkStart w:id="131" w:name="_Toc339012146"/>
      <w:r>
        <w:rPr>
          <w:rFonts w:hint="eastAsia" w:ascii="宋体" w:hAnsi="宋体" w:eastAsia="宋体" w:cs="宋体"/>
          <w:color w:val="000000" w:themeColor="text1"/>
          <w:sz w:val="24"/>
          <w:szCs w:val="24"/>
          <w:highlight w:val="none"/>
          <w14:textFill>
            <w14:solidFill>
              <w14:schemeClr w14:val="tx1"/>
            </w14:solidFill>
          </w14:textFill>
        </w:rPr>
        <w:t xml:space="preserve">3.3 </w:t>
      </w:r>
      <w:bookmarkStart w:id="132" w:name="_Toc152045549"/>
      <w:bookmarkStart w:id="133" w:name="_Toc152042325"/>
      <w:bookmarkStart w:id="134" w:name="_Toc144974517"/>
      <w:r>
        <w:rPr>
          <w:rFonts w:hint="eastAsia" w:ascii="宋体" w:hAnsi="宋体" w:eastAsia="宋体" w:cs="宋体"/>
          <w:color w:val="000000" w:themeColor="text1"/>
          <w:sz w:val="24"/>
          <w:szCs w:val="24"/>
          <w:highlight w:val="none"/>
          <w14:textFill>
            <w14:solidFill>
              <w14:schemeClr w14:val="tx1"/>
            </w14:solidFill>
          </w14:textFill>
        </w:rPr>
        <w:t>投标有效期</w:t>
      </w:r>
      <w:bookmarkEnd w:id="129"/>
      <w:bookmarkEnd w:id="130"/>
      <w:bookmarkEnd w:id="131"/>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w:t>
      </w:r>
      <w:bookmarkEnd w:id="132"/>
      <w:bookmarkEnd w:id="133"/>
      <w:bookmarkEnd w:id="134"/>
      <w:r>
        <w:rPr>
          <w:rFonts w:hint="eastAsia" w:ascii="宋体" w:hAnsi="宋体" w:eastAsia="宋体" w:cs="宋体"/>
          <w:color w:val="000000" w:themeColor="text1"/>
          <w:sz w:val="24"/>
          <w:szCs w:val="24"/>
          <w:highlight w:val="none"/>
          <w14:textFill>
            <w14:solidFill>
              <w14:schemeClr w14:val="tx1"/>
            </w14:solidFill>
          </w14:textFill>
        </w:rPr>
        <w:t>.1 投标有效期及授权书有效期为从提交投标文件的截止时间起</w:t>
      </w:r>
      <w:r>
        <w:rPr>
          <w:rFonts w:hint="eastAsia" w:ascii="宋体" w:hAnsi="宋体" w:eastAsia="宋体" w:cs="宋体"/>
          <w:color w:val="000000" w:themeColor="text1"/>
          <w:sz w:val="24"/>
          <w:szCs w:val="24"/>
          <w:highlight w:val="none"/>
          <w:lang w:val="en-US" w:eastAsia="zh-CN"/>
          <w14:textFill>
            <w14:solidFill>
              <w14:schemeClr w14:val="tx1"/>
            </w14:solidFill>
          </w14:textFill>
        </w:rPr>
        <w:t>90日历天</w:t>
      </w:r>
      <w:r>
        <w:rPr>
          <w:rFonts w:hint="eastAsia" w:ascii="宋体" w:hAnsi="宋体" w:eastAsia="宋体" w:cs="宋体"/>
          <w:color w:val="000000" w:themeColor="text1"/>
          <w:sz w:val="24"/>
          <w:szCs w:val="24"/>
          <w:highlight w:val="none"/>
          <w14:textFill>
            <w14:solidFill>
              <w14:schemeClr w14:val="tx1"/>
            </w14:solidFill>
          </w14:textFill>
        </w:rPr>
        <w:t>，在供应商须知前附表规定的投标有效期内，供应商不得要求撤销或修改其投标文件。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3.3.2出现特殊情况需要延长投标有效期的，采购人以书面形式通知所有供应商延长投标有效期。供应商同意延长的，应相应延长其投标有效期，但不得要求或被允许修改或撤销其投标文件；供应商拒绝延长的，其投标失效。 </w:t>
      </w:r>
    </w:p>
    <w:p>
      <w:pPr>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bookmarkStart w:id="135" w:name="_Toc331665310"/>
      <w:bookmarkStart w:id="136" w:name="_Toc339114131"/>
      <w:bookmarkStart w:id="137" w:name="_Toc339012148"/>
      <w:r>
        <w:rPr>
          <w:rFonts w:hint="eastAsia" w:ascii="宋体" w:hAnsi="宋体" w:eastAsia="宋体" w:cs="宋体"/>
          <w:color w:val="000000" w:themeColor="text1"/>
          <w:sz w:val="24"/>
          <w:szCs w:val="24"/>
          <w:highlight w:val="none"/>
          <w14:textFill>
            <w14:solidFill>
              <w14:schemeClr w14:val="tx1"/>
            </w14:solidFill>
          </w14:textFill>
        </w:rPr>
        <w:t>3.</w:t>
      </w:r>
      <w:bookmarkStart w:id="138" w:name="_Toc144974519"/>
      <w:bookmarkStart w:id="139" w:name="_Toc152045551"/>
      <w:bookmarkStart w:id="140" w:name="_Toc152042327"/>
      <w:r>
        <w:rPr>
          <w:rFonts w:hint="eastAsia" w:ascii="宋体" w:hAnsi="宋体" w:eastAsia="宋体" w:cs="宋体"/>
          <w:color w:val="000000" w:themeColor="text1"/>
          <w:sz w:val="24"/>
          <w:szCs w:val="24"/>
          <w:highlight w:val="none"/>
          <w14:textFill>
            <w14:solidFill>
              <w14:schemeClr w14:val="tx1"/>
            </w14:solidFill>
          </w14:textFill>
        </w:rPr>
        <w:t>4资格审查资料</w:t>
      </w:r>
      <w:bookmarkEnd w:id="135"/>
      <w:bookmarkEnd w:id="136"/>
      <w:bookmarkEnd w:id="137"/>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bookmarkEnd w:id="138"/>
      <w:bookmarkEnd w:id="139"/>
      <w:bookmarkEnd w:id="140"/>
      <w:r>
        <w:rPr>
          <w:rFonts w:hint="eastAsia" w:ascii="宋体" w:hAnsi="宋体" w:eastAsia="宋体" w:cs="宋体"/>
          <w:color w:val="000000" w:themeColor="text1"/>
          <w:sz w:val="24"/>
          <w:szCs w:val="24"/>
          <w:highlight w:val="none"/>
          <w14:textFill>
            <w14:solidFill>
              <w14:schemeClr w14:val="tx1"/>
            </w14:solidFill>
          </w14:textFill>
        </w:rPr>
        <w:t>在编制投标文件时，应按新情况更新企业的资料，以证实其各项资格条件能满足招标文件的要求，具备承担本项目管理的资质条件和能力。</w:t>
      </w:r>
    </w:p>
    <w:p>
      <w:pPr>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bookmarkStart w:id="141" w:name="_Toc331665311"/>
      <w:bookmarkStart w:id="142" w:name="_Toc339012149"/>
      <w:bookmarkStart w:id="143" w:name="_Toc339114132"/>
      <w:r>
        <w:rPr>
          <w:rFonts w:hint="eastAsia" w:ascii="宋体" w:hAnsi="宋体" w:eastAsia="宋体" w:cs="宋体"/>
          <w:color w:val="000000" w:themeColor="text1"/>
          <w:sz w:val="24"/>
          <w:szCs w:val="24"/>
          <w:highlight w:val="none"/>
          <w14:textFill>
            <w14:solidFill>
              <w14:schemeClr w14:val="tx1"/>
            </w14:solidFill>
          </w14:textFill>
        </w:rPr>
        <w:t xml:space="preserve">3.5 </w:t>
      </w:r>
      <w:bookmarkStart w:id="144" w:name="_Toc144974521"/>
      <w:bookmarkStart w:id="145" w:name="_Toc152042329"/>
      <w:bookmarkStart w:id="146" w:name="_Toc152045553"/>
      <w:r>
        <w:rPr>
          <w:rFonts w:hint="eastAsia" w:ascii="宋体" w:hAnsi="宋体" w:eastAsia="宋体" w:cs="宋体"/>
          <w:color w:val="000000" w:themeColor="text1"/>
          <w:sz w:val="24"/>
          <w:szCs w:val="24"/>
          <w:highlight w:val="none"/>
          <w14:textFill>
            <w14:solidFill>
              <w14:schemeClr w14:val="tx1"/>
            </w14:solidFill>
          </w14:textFill>
        </w:rPr>
        <w:t>备选投标方案</w:t>
      </w:r>
      <w:bookmarkEnd w:id="141"/>
      <w:bookmarkEnd w:id="142"/>
      <w:bookmarkEnd w:id="143"/>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w:t>
      </w:r>
      <w:bookmarkEnd w:id="144"/>
      <w:bookmarkEnd w:id="145"/>
      <w:bookmarkEnd w:id="146"/>
      <w:r>
        <w:rPr>
          <w:rFonts w:hint="eastAsia" w:ascii="宋体" w:hAnsi="宋体" w:eastAsia="宋体" w:cs="宋体"/>
          <w:color w:val="000000" w:themeColor="text1"/>
          <w:sz w:val="24"/>
          <w:szCs w:val="24"/>
          <w:highlight w:val="none"/>
          <w:lang w:val="en-US"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另有规定外，供应商不得递交备选投标方案。</w:t>
      </w:r>
    </w:p>
    <w:p>
      <w:pPr>
        <w:spacing w:line="360" w:lineRule="auto"/>
        <w:ind w:firstLine="470" w:firstLineChars="196"/>
        <w:rPr>
          <w:rFonts w:hint="eastAsia" w:ascii="宋体" w:hAnsi="宋体" w:eastAsia="宋体" w:cs="宋体"/>
          <w:color w:val="000000" w:themeColor="text1"/>
          <w:sz w:val="24"/>
          <w:szCs w:val="24"/>
          <w:highlight w:val="none"/>
          <w14:textFill>
            <w14:solidFill>
              <w14:schemeClr w14:val="tx1"/>
            </w14:solidFill>
          </w14:textFill>
        </w:rPr>
      </w:pPr>
      <w:bookmarkStart w:id="147" w:name="_Toc339114133"/>
      <w:bookmarkStart w:id="148" w:name="_Toc331665312"/>
      <w:bookmarkStart w:id="149" w:name="_Toc339012150"/>
      <w:r>
        <w:rPr>
          <w:rFonts w:hint="eastAsia" w:ascii="宋体" w:hAnsi="宋体" w:eastAsia="宋体" w:cs="宋体"/>
          <w:color w:val="000000" w:themeColor="text1"/>
          <w:sz w:val="24"/>
          <w:szCs w:val="24"/>
          <w:highlight w:val="none"/>
          <w14:textFill>
            <w14:solidFill>
              <w14:schemeClr w14:val="tx1"/>
            </w14:solidFill>
          </w14:textFill>
        </w:rPr>
        <w:t xml:space="preserve">3.6 </w:t>
      </w:r>
      <w:bookmarkStart w:id="150" w:name="_Toc152045554"/>
      <w:bookmarkStart w:id="151" w:name="_Toc152042330"/>
      <w:bookmarkStart w:id="152" w:name="_Toc144974522"/>
      <w:r>
        <w:rPr>
          <w:rFonts w:hint="eastAsia" w:ascii="宋体" w:hAnsi="宋体" w:eastAsia="宋体" w:cs="宋体"/>
          <w:color w:val="000000" w:themeColor="text1"/>
          <w:sz w:val="24"/>
          <w:szCs w:val="24"/>
          <w:highlight w:val="none"/>
          <w14:textFill>
            <w14:solidFill>
              <w14:schemeClr w14:val="tx1"/>
            </w14:solidFill>
          </w14:textFill>
        </w:rPr>
        <w:t>投标文件的编制</w:t>
      </w:r>
      <w:bookmarkEnd w:id="147"/>
      <w:bookmarkEnd w:id="148"/>
      <w:bookmarkEnd w:id="149"/>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bookmarkEnd w:id="150"/>
      <w:bookmarkEnd w:id="151"/>
      <w:bookmarkEnd w:id="152"/>
      <w:r>
        <w:rPr>
          <w:rFonts w:hint="eastAsia" w:ascii="宋体" w:hAnsi="宋体" w:eastAsia="宋体" w:cs="宋体"/>
          <w:color w:val="000000" w:themeColor="text1"/>
          <w:sz w:val="24"/>
          <w:szCs w:val="24"/>
          <w:highlight w:val="none"/>
          <w14:textFill>
            <w14:solidFill>
              <w14:schemeClr w14:val="tx1"/>
            </w14:solidFill>
          </w14:textFill>
        </w:rPr>
        <w:t>6.1投标文件应按第六部分“投标文件格式”进行编写，如有必要，可以增加附页，作为投标文件的组成部分。其中，投标函附录在满足招标文件实质性要求的基础上，可以提出比招标文件要求更有利于采购人的承诺。</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3.6.2 投标文件应当对招标文件有关合同期限、投标有效期、工作内容和要求等实质性内容作出响应。</w:t>
      </w:r>
    </w:p>
    <w:p>
      <w:pPr>
        <w:spacing w:line="360" w:lineRule="auto"/>
        <w:ind w:firstLine="482" w:firstLineChars="200"/>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rPr>
        <w:t>3.</w:t>
      </w:r>
      <w:r>
        <w:rPr>
          <w:rFonts w:hint="eastAsia" w:ascii="宋体" w:hAnsi="宋体" w:eastAsia="宋体" w:cs="宋体"/>
          <w:b/>
          <w:bCs/>
          <w:color w:val="000000"/>
          <w:sz w:val="24"/>
          <w:szCs w:val="24"/>
          <w:highlight w:val="none"/>
          <w:lang w:val="en-US" w:eastAsia="zh-CN"/>
        </w:rPr>
        <w:t>7</w:t>
      </w:r>
      <w:r>
        <w:rPr>
          <w:rFonts w:hint="eastAsia" w:ascii="宋体" w:hAnsi="宋体" w:eastAsia="宋体" w:cs="宋体"/>
          <w:b/>
          <w:bCs/>
          <w:color w:val="000000"/>
          <w:sz w:val="24"/>
          <w:szCs w:val="24"/>
          <w:highlight w:val="none"/>
          <w:lang w:val="zh-CN"/>
        </w:rPr>
        <w:t>限制投标要求</w:t>
      </w:r>
    </w:p>
    <w:p>
      <w:pPr>
        <w:spacing w:line="360" w:lineRule="auto"/>
        <w:ind w:firstLine="480" w:firstLineChars="200"/>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3.7.1</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投标人单位负责人为同一人或者存在直接控股、参股、管理关系的不同投标人，不得参加同一项目或同一标段的政府采购活动。</w:t>
      </w:r>
    </w:p>
    <w:p>
      <w:pPr>
        <w:spacing w:line="360" w:lineRule="auto"/>
        <w:ind w:firstLine="480" w:firstLineChars="200"/>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3.7.2</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除单一来源采购项目外，为采购项目提供过整体设计、规范编制或者项目管理、监理、检测等服务的投标人，不得再参加同一项目的其他采购活动</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w:t>
      </w:r>
    </w:p>
    <w:p>
      <w:pPr>
        <w:spacing w:line="360" w:lineRule="auto"/>
        <w:ind w:firstLine="482" w:firstLineChars="200"/>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rPr>
        <w:t>8投标文件的签署及规定</w:t>
      </w:r>
    </w:p>
    <w:p>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8.1</w:t>
      </w:r>
      <w:r>
        <w:rPr>
          <w:rFonts w:hint="eastAsia" w:ascii="宋体" w:hAnsi="宋体" w:eastAsia="宋体" w:cs="宋体"/>
          <w:sz w:val="24"/>
          <w:szCs w:val="24"/>
          <w:highlight w:val="none"/>
        </w:rPr>
        <w:t>投标人须依据招标文件内容和投标文件格式的要求编制投标文件；</w:t>
      </w:r>
    </w:p>
    <w:p>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3.8</w:t>
      </w:r>
      <w:r>
        <w:rPr>
          <w:rFonts w:hint="eastAsia" w:ascii="宋体" w:hAnsi="宋体" w:eastAsia="宋体" w:cs="宋体"/>
          <w:sz w:val="24"/>
          <w:szCs w:val="24"/>
          <w:highlight w:val="none"/>
        </w:rPr>
        <w:t>.2投标文件</w:t>
      </w:r>
      <w:r>
        <w:rPr>
          <w:rFonts w:hint="eastAsia" w:ascii="宋体" w:hAnsi="宋体" w:eastAsia="宋体" w:cs="宋体"/>
          <w:sz w:val="24"/>
          <w:szCs w:val="24"/>
          <w:highlight w:val="none"/>
          <w:lang w:val="en-US" w:eastAsia="zh-CN"/>
        </w:rPr>
        <w:t>需</w:t>
      </w:r>
      <w:r>
        <w:rPr>
          <w:rFonts w:hint="eastAsia" w:ascii="宋体" w:hAnsi="宋体" w:eastAsia="宋体" w:cs="宋体"/>
          <w:sz w:val="24"/>
          <w:szCs w:val="24"/>
          <w:highlight w:val="none"/>
        </w:rPr>
        <w:t>统一编码；</w:t>
      </w:r>
    </w:p>
    <w:p>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 投标人在投标文件中指定的页面的落款处，按招标文件要求加盖公章或签字；</w:t>
      </w:r>
    </w:p>
    <w:p>
      <w:pPr>
        <w:spacing w:line="360" w:lineRule="auto"/>
        <w:ind w:left="476" w:leftChars="172" w:hanging="115" w:hangingChars="48"/>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投标人名称应填写全称，同时加盖公章；</w:t>
      </w:r>
    </w:p>
    <w:p>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投标文件的任何行间插字、涂改和增删，必须由法定代表人或被授权人在改动处旁签字方为有效；</w:t>
      </w:r>
    </w:p>
    <w:p>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投标文件因字迹潦草或表达不清所引起的后果由投标人负责。</w:t>
      </w:r>
    </w:p>
    <w:p>
      <w:pPr>
        <w:spacing w:line="360" w:lineRule="auto"/>
        <w:ind w:firstLine="360" w:firstLineChars="15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3.8.7</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投标文件的制作和签章</w:t>
      </w:r>
    </w:p>
    <w:p>
      <w:pPr>
        <w:spacing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3.8.7.</w:t>
      </w:r>
      <w:r>
        <w:rPr>
          <w:rFonts w:hint="eastAsia" w:ascii="宋体" w:hAnsi="宋体" w:eastAsia="宋体" w:cs="宋体"/>
          <w:color w:val="000000"/>
          <w:sz w:val="24"/>
          <w:szCs w:val="24"/>
          <w:highlight w:val="none"/>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360" w:lineRule="auto"/>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链接地址：</w:t>
      </w:r>
    </w:p>
    <w:p>
      <w:pPr>
        <w:spacing w:line="360" w:lineRule="auto"/>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http://sxggzyjy.xa.gov.cn/fwzn/004003/20181115/4d59c184-e8f6-4d5a-a416-c2f6b0601e66.html</w:t>
      </w:r>
    </w:p>
    <w:p>
      <w:pPr>
        <w:spacing w:line="360" w:lineRule="auto"/>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3.8.7.</w:t>
      </w:r>
      <w:r>
        <w:rPr>
          <w:rFonts w:hint="eastAsia" w:ascii="宋体" w:hAnsi="宋体" w:eastAsia="宋体" w:cs="宋体"/>
          <w:color w:val="000000"/>
          <w:sz w:val="24"/>
          <w:szCs w:val="24"/>
          <w:highlight w:val="none"/>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360" w:lineRule="auto"/>
        <w:ind w:firstLine="472" w:firstLineChars="196"/>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再次提醒：</w:t>
      </w:r>
      <w:r>
        <w:rPr>
          <w:rFonts w:hint="eastAsia" w:ascii="宋体" w:hAnsi="宋体" w:eastAsia="宋体" w:cs="宋体"/>
          <w:color w:val="000000"/>
          <w:sz w:val="24"/>
          <w:szCs w:val="24"/>
          <w:highlight w:val="none"/>
        </w:rPr>
        <w:t>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360" w:lineRule="auto"/>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3.8.7.</w:t>
      </w:r>
      <w:r>
        <w:rPr>
          <w:rFonts w:hint="eastAsia" w:ascii="宋体" w:hAnsi="宋体" w:eastAsia="宋体" w:cs="宋体"/>
          <w:color w:val="000000"/>
          <w:sz w:val="24"/>
          <w:szCs w:val="24"/>
          <w:highlight w:val="none"/>
        </w:rPr>
        <w:t>3．电子投标文件制作过程中，需要法定代表人签字或盖章的地方，请使用“法人CA锁”进行签章；需要加盖供应商公章的地方，请使用“企业CA锁”进行签章。若导出的PDF文件里看不到签章，请尝试使用专用制作软件中的“查看投标文件工具”打开未加密的电子投标文件重新导出。在制作过程中，如有其他技术性问题，请先翻阅操作手册，或致电软件开发商。</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3.8.7.4 </w:t>
      </w:r>
      <w:r>
        <w:rPr>
          <w:rFonts w:hint="eastAsia" w:ascii="宋体" w:hAnsi="宋体" w:eastAsia="宋体" w:cs="宋体"/>
          <w:color w:val="000000"/>
          <w:sz w:val="24"/>
          <w:szCs w:val="24"/>
          <w:highlight w:val="none"/>
        </w:rPr>
        <w:t>投标文件应按</w:t>
      </w:r>
      <w:r>
        <w:rPr>
          <w:rFonts w:hint="eastAsia" w:ascii="宋体" w:hAnsi="宋体" w:eastAsia="宋体" w:cs="宋体"/>
          <w:color w:val="000000"/>
          <w:sz w:val="24"/>
          <w:szCs w:val="24"/>
          <w:highlight w:val="none"/>
          <w:lang w:val="en-US" w:eastAsia="zh-CN"/>
        </w:rPr>
        <w:t>第六章</w:t>
      </w:r>
      <w:r>
        <w:rPr>
          <w:rFonts w:hint="eastAsia" w:ascii="宋体" w:hAnsi="宋体" w:eastAsia="宋体" w:cs="宋体"/>
          <w:color w:val="000000"/>
          <w:sz w:val="24"/>
          <w:szCs w:val="24"/>
          <w:highlight w:val="none"/>
        </w:rPr>
        <w:t>“投标文件格式”进行编写，如有必要，可以增加附页，作为投标文件的组成部分。其中，投标函附录在满足招标文件实质性要求的基础上，可以提出比招标文件要求更有利于采购人的承诺。</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3.8.7.5</w:t>
      </w:r>
      <w:r>
        <w:rPr>
          <w:rFonts w:hint="eastAsia" w:ascii="宋体" w:hAnsi="宋体" w:eastAsia="宋体" w:cs="宋体"/>
          <w:color w:val="000000"/>
          <w:sz w:val="24"/>
          <w:szCs w:val="24"/>
          <w:highlight w:val="none"/>
        </w:rPr>
        <w:t xml:space="preserve"> 投标文件应当对招标文件有关合同期限、投标有效期、工作内容和要求等实质性内容作出响应。</w:t>
      </w:r>
    </w:p>
    <w:p>
      <w:pPr>
        <w:spacing w:line="360" w:lineRule="auto"/>
        <w:ind w:firstLine="361" w:firstLineChars="150"/>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kern w:val="2"/>
          <w:sz w:val="24"/>
          <w:szCs w:val="24"/>
          <w:highlight w:val="none"/>
          <w:lang w:val="en-US" w:eastAsia="zh-CN" w:bidi="ar-SA"/>
        </w:rPr>
        <w:t>3.9、文字要求</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本次招标只接受简体中文文字的投标文件。</w:t>
      </w: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bookmarkStart w:id="153" w:name="_Toc339114134"/>
      <w:r>
        <w:rPr>
          <w:rFonts w:hint="eastAsia" w:ascii="宋体" w:hAnsi="宋体" w:eastAsia="宋体" w:cs="宋体"/>
          <w:b/>
          <w:color w:val="000000" w:themeColor="text1"/>
          <w:sz w:val="24"/>
          <w:szCs w:val="24"/>
          <w:highlight w:val="none"/>
          <w14:textFill>
            <w14:solidFill>
              <w14:schemeClr w14:val="tx1"/>
            </w14:solidFill>
          </w14:textFill>
        </w:rPr>
        <w:t>4. 投</w:t>
      </w:r>
      <w:bookmarkStart w:id="154" w:name="_Toc152045555"/>
      <w:bookmarkStart w:id="155" w:name="_Toc152042331"/>
      <w:bookmarkStart w:id="156" w:name="_Toc144974523"/>
      <w:r>
        <w:rPr>
          <w:rFonts w:hint="eastAsia" w:ascii="宋体" w:hAnsi="宋体" w:eastAsia="宋体" w:cs="宋体"/>
          <w:b/>
          <w:color w:val="000000" w:themeColor="text1"/>
          <w:sz w:val="24"/>
          <w:szCs w:val="24"/>
          <w:highlight w:val="none"/>
          <w14:textFill>
            <w14:solidFill>
              <w14:schemeClr w14:val="tx1"/>
            </w14:solidFill>
          </w14:textFill>
        </w:rPr>
        <w:t>标</w:t>
      </w:r>
      <w:bookmarkEnd w:id="153"/>
    </w:p>
    <w:bookmarkEnd w:id="154"/>
    <w:bookmarkEnd w:id="155"/>
    <w:bookmarkEnd w:id="156"/>
    <w:p>
      <w:pPr>
        <w:spacing w:line="360" w:lineRule="auto"/>
        <w:ind w:firstLine="241" w:firstLineChars="100"/>
        <w:rPr>
          <w:rFonts w:hint="eastAsia" w:ascii="宋体" w:hAnsi="宋体" w:eastAsia="宋体" w:cs="宋体"/>
          <w:b/>
          <w:sz w:val="24"/>
          <w:szCs w:val="24"/>
          <w:highlight w:val="none"/>
        </w:rPr>
      </w:pPr>
      <w:bookmarkStart w:id="157" w:name="_Toc339114141"/>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4.1</w:t>
      </w:r>
      <w:r>
        <w:rPr>
          <w:rFonts w:hint="eastAsia" w:ascii="宋体" w:hAnsi="宋体" w:eastAsia="宋体" w:cs="宋体"/>
          <w:b/>
          <w:sz w:val="24"/>
          <w:szCs w:val="24"/>
          <w:highlight w:val="none"/>
        </w:rPr>
        <w:t>提交投标文件的方式</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交投标文件的方式：从西安市公共资源交易平台〖首页〉电子交易平台〉陕西政府采购交易系统〉企业端〗登录，登录后切换到〖我的项目〗模块，依次点选〖项目流程〉项目管理〉上传响应文件〗上传加密后的电子投标文件（*.SXSTF）。上传成功后，电子化平台将予以记录。</w:t>
      </w:r>
    </w:p>
    <w:p>
      <w:pPr>
        <w:spacing w:line="360" w:lineRule="auto"/>
        <w:ind w:firstLine="241" w:firstLineChars="1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4.2</w:t>
      </w:r>
      <w:r>
        <w:rPr>
          <w:rFonts w:hint="eastAsia" w:ascii="宋体" w:hAnsi="宋体" w:eastAsia="宋体" w:cs="宋体"/>
          <w:b/>
          <w:sz w:val="24"/>
          <w:szCs w:val="24"/>
          <w:highlight w:val="none"/>
        </w:rPr>
        <w:t>投标文件递交</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投标文件以西安市公共资源交易平台系统公示的</w:t>
      </w:r>
      <w:r>
        <w:rPr>
          <w:rFonts w:hint="eastAsia" w:ascii="宋体" w:hAnsi="宋体" w:eastAsia="宋体" w:cs="宋体"/>
          <w:sz w:val="24"/>
          <w:szCs w:val="24"/>
          <w:highlight w:val="none"/>
          <w:lang w:eastAsia="zh-CN"/>
        </w:rPr>
        <w:t>开标</w:t>
      </w:r>
      <w:r>
        <w:rPr>
          <w:rFonts w:hint="eastAsia" w:ascii="宋体" w:hAnsi="宋体" w:eastAsia="宋体" w:cs="宋体"/>
          <w:sz w:val="24"/>
          <w:szCs w:val="24"/>
          <w:highlight w:val="none"/>
        </w:rPr>
        <w:t>时间为准，在</w:t>
      </w:r>
      <w:r>
        <w:rPr>
          <w:rFonts w:hint="eastAsia" w:ascii="宋体" w:hAnsi="宋体" w:eastAsia="宋体" w:cs="宋体"/>
          <w:sz w:val="24"/>
          <w:szCs w:val="24"/>
          <w:highlight w:val="none"/>
          <w:lang w:eastAsia="zh-CN"/>
        </w:rPr>
        <w:t>开标</w:t>
      </w:r>
      <w:r>
        <w:rPr>
          <w:rFonts w:hint="eastAsia" w:ascii="宋体" w:hAnsi="宋体" w:eastAsia="宋体" w:cs="宋体"/>
          <w:sz w:val="24"/>
          <w:szCs w:val="24"/>
          <w:highlight w:val="none"/>
        </w:rPr>
        <w:t>前上传至西安市公共资源交易平台。因供应商自身原因造成无法解密投标文件，按无效投标对待。</w:t>
      </w:r>
    </w:p>
    <w:p>
      <w:pPr>
        <w:spacing w:line="360" w:lineRule="auto"/>
        <w:ind w:firstLine="241" w:firstLineChars="1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4.3</w:t>
      </w:r>
      <w:r>
        <w:rPr>
          <w:rFonts w:hint="eastAsia" w:ascii="宋体" w:hAnsi="宋体" w:eastAsia="宋体" w:cs="宋体"/>
          <w:b/>
          <w:sz w:val="24"/>
          <w:szCs w:val="24"/>
          <w:highlight w:val="none"/>
        </w:rPr>
        <w:t>投标截止时间</w:t>
      </w:r>
    </w:p>
    <w:p>
      <w:pPr>
        <w:pStyle w:val="37"/>
        <w:shd w:val="clear" w:color="auto" w:fill="FFFFFF"/>
        <w:spacing w:before="0" w:beforeAutospacing="0" w:after="0" w:afterAutospacing="0"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年</w:t>
      </w:r>
      <w:r>
        <w:rPr>
          <w:rFonts w:hint="eastAsia" w:cs="宋体"/>
          <w:b w:val="0"/>
          <w:bCs w:val="0"/>
          <w:i w:val="0"/>
          <w:iCs w:val="0"/>
          <w:caps w:val="0"/>
          <w:color w:val="222222"/>
          <w:spacing w:val="0"/>
          <w:kern w:val="0"/>
          <w:sz w:val="24"/>
          <w:szCs w:val="24"/>
          <w:highlight w:val="none"/>
          <w:shd w:val="clear" w:fill="FFFFFF"/>
          <w:lang w:val="en-US" w:eastAsia="zh-CN" w:bidi="ar-SA"/>
        </w:rPr>
        <w:t>12</w:t>
      </w:r>
      <w:r>
        <w:rPr>
          <w:rFonts w:hint="eastAsia" w:ascii="宋体" w:hAnsi="宋体" w:eastAsia="宋体" w:cs="宋体"/>
          <w:b w:val="0"/>
          <w:bCs w:val="0"/>
          <w:i w:val="0"/>
          <w:iCs w:val="0"/>
          <w:caps w:val="0"/>
          <w:color w:val="222222"/>
          <w:spacing w:val="0"/>
          <w:kern w:val="0"/>
          <w:sz w:val="24"/>
          <w:szCs w:val="24"/>
          <w:highlight w:val="none"/>
          <w:shd w:val="clear" w:fill="FFFFFF"/>
          <w:lang w:val="en-US" w:eastAsia="zh-CN" w:bidi="ar-SA"/>
        </w:rPr>
        <w:t>月</w:t>
      </w:r>
      <w:r>
        <w:rPr>
          <w:rFonts w:hint="eastAsia" w:cs="宋体"/>
          <w:b w:val="0"/>
          <w:bCs w:val="0"/>
          <w:i w:val="0"/>
          <w:iCs w:val="0"/>
          <w:caps w:val="0"/>
          <w:color w:val="222222"/>
          <w:spacing w:val="0"/>
          <w:kern w:val="0"/>
          <w:sz w:val="24"/>
          <w:szCs w:val="24"/>
          <w:highlight w:val="none"/>
          <w:shd w:val="clear" w:fill="FFFFFF"/>
          <w:lang w:val="en-US" w:eastAsia="zh-CN" w:bidi="ar-SA"/>
        </w:rPr>
        <w:t>07</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09</w:t>
      </w:r>
      <w:r>
        <w:rPr>
          <w:rFonts w:hint="eastAsia" w:ascii="宋体" w:hAnsi="宋体" w:eastAsia="宋体" w:cs="宋体"/>
          <w:color w:val="000000"/>
          <w:sz w:val="24"/>
          <w:szCs w:val="24"/>
          <w:highlight w:val="none"/>
        </w:rPr>
        <w:t>时</w:t>
      </w:r>
      <w:r>
        <w:rPr>
          <w:rFonts w:hint="eastAsia"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分00秒（北京时间）</w:t>
      </w:r>
    </w:p>
    <w:p>
      <w:pPr>
        <w:pStyle w:val="37"/>
        <w:shd w:val="clear" w:color="auto" w:fill="FFFFFF"/>
        <w:spacing w:before="0" w:beforeAutospacing="0" w:after="0" w:afterAutospacing="0"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地点：全国公共资源交易平台（陕西省·西安市）</w:t>
      </w:r>
      <w:r>
        <w:rPr>
          <w:rFonts w:hint="eastAsia" w:ascii="宋体" w:hAnsi="宋体" w:eastAsia="宋体" w:cs="宋体"/>
          <w:sz w:val="24"/>
          <w:szCs w:val="24"/>
          <w:highlight w:val="none"/>
          <w:lang w:val="en-US" w:eastAsia="zh-CN"/>
        </w:rPr>
        <w:t>递交电子投标文件</w:t>
      </w:r>
    </w:p>
    <w:p>
      <w:pPr>
        <w:spacing w:line="360" w:lineRule="auto"/>
        <w:ind w:firstLine="241" w:firstLineChars="10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4.4</w:t>
      </w:r>
      <w:r>
        <w:rPr>
          <w:rFonts w:hint="eastAsia" w:ascii="宋体" w:hAnsi="宋体" w:eastAsia="宋体" w:cs="宋体"/>
          <w:b/>
          <w:sz w:val="24"/>
          <w:szCs w:val="24"/>
          <w:highlight w:val="none"/>
        </w:rPr>
        <w:t>投标文件的修改</w:t>
      </w:r>
      <w:r>
        <w:rPr>
          <w:rFonts w:hint="eastAsia" w:ascii="宋体" w:hAnsi="宋体" w:eastAsia="宋体" w:cs="宋体"/>
          <w:b/>
          <w:sz w:val="24"/>
          <w:szCs w:val="24"/>
          <w:highlight w:val="none"/>
          <w:lang w:val="en-US" w:eastAsia="zh-CN"/>
        </w:rPr>
        <w:t>和澄清</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4.4.</w:t>
      </w:r>
      <w:r>
        <w:rPr>
          <w:rFonts w:hint="eastAsia" w:ascii="宋体" w:hAnsi="宋体" w:eastAsia="宋体" w:cs="宋体"/>
          <w:sz w:val="24"/>
          <w:szCs w:val="24"/>
          <w:highlight w:val="none"/>
        </w:rPr>
        <w:t>1提交投标文件截止之日前，采购人或采购代理机构可能对已发出的招标文件进行澄清或者修改，澄清或者修改的内容为招标文件的组成部分。当需要澄清或修改时，采购代理机构将在提交投标文件截止之日15日前，在财政部门指定的“政府采购信息发布媒体”上发布变更公告；不足15日的，将顺延提交投标文件截止时间。</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4.4.2</w:t>
      </w:r>
      <w:r>
        <w:rPr>
          <w:rFonts w:hint="eastAsia" w:ascii="宋体" w:hAnsi="宋体" w:eastAsia="宋体" w:cs="宋体"/>
          <w:sz w:val="24"/>
          <w:szCs w:val="24"/>
          <w:highlight w:val="none"/>
        </w:rPr>
        <w:t>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.4.3</w:t>
      </w:r>
      <w:r>
        <w:rPr>
          <w:rFonts w:hint="eastAsia" w:ascii="宋体" w:hAnsi="宋体" w:eastAsia="宋体" w:cs="宋体"/>
          <w:sz w:val="24"/>
          <w:szCs w:val="24"/>
          <w:highlight w:val="none"/>
        </w:rPr>
        <w:t>请各供应商在提交投标文件截止时间之前，务必随时关注“政府采购信息发布媒体”上发布的变更公告，采购代理机构不再另行通知，因供应商未及时关注所造成的一切后果由供应商自行承担：</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"http://www.ccgp-shaanxi.gov.cn"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陕西省政府采购网</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"http://www.ccgp-shaanxi.gov.cn/"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http://www.ccgp-shaanxi.gov.cn/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）中的〖首页〉信息公告〉市级〉西安市〗；</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"http://xa.sxggzyjy.cn/"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全国公共资源交易网（陕西省·西安市）</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"http://sxggzyjy.xa.gov.cn/"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http://sxggzyjy.xa.gov.cn/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）中的〖首页〉交易大厅〉政府采购〗。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14:textFill>
            <w14:solidFill>
              <w14:schemeClr w14:val="tx1"/>
            </w14:solidFill>
          </w14:textFill>
        </w:rPr>
        <w:t>开标程序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5.1开标工作由采购代理机构组织实施，整个过程受同级政府采购监管机构的监督、管理。开标大会由采购代理机构主持、采购人参会人员及有关工作人员参加。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5.2本项目采取“不见面开标”流程</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w:t>
      </w:r>
      <w:r>
        <w:rPr>
          <w:rFonts w:hint="eastAsia" w:ascii="宋体" w:hAnsi="宋体" w:eastAsia="宋体" w:cs="宋体"/>
          <w:sz w:val="24"/>
          <w:szCs w:val="24"/>
          <w:highlight w:val="none"/>
        </w:rPr>
        <w:t>1供应商登录：开标前，请各供应商至少提前半小时登录西安市公共资源交易平台〖首页〉不见面开标〗系统。</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w:t>
      </w:r>
      <w:r>
        <w:rPr>
          <w:rFonts w:hint="eastAsia" w:ascii="宋体" w:hAnsi="宋体" w:eastAsia="宋体" w:cs="宋体"/>
          <w:sz w:val="24"/>
          <w:szCs w:val="24"/>
          <w:highlight w:val="none"/>
        </w:rPr>
        <w:t>2主持人宣布开标：提交投标文件截止时间过后，系统将不再接收任何投标文件。</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w:t>
      </w:r>
      <w:r>
        <w:rPr>
          <w:rFonts w:hint="eastAsia" w:ascii="宋体" w:hAnsi="宋体" w:eastAsia="宋体" w:cs="宋体"/>
          <w:sz w:val="24"/>
          <w:szCs w:val="24"/>
          <w:highlight w:val="none"/>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w:t>
      </w:r>
      <w:r>
        <w:rPr>
          <w:rFonts w:hint="eastAsia" w:ascii="宋体" w:hAnsi="宋体" w:eastAsia="宋体" w:cs="宋体"/>
          <w:sz w:val="24"/>
          <w:szCs w:val="24"/>
          <w:highlight w:val="none"/>
        </w:rPr>
        <w:t>4唱标：公开招标项目，“不见面开标”系统将自动展示供应商名单及其投标报价。</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w:t>
      </w:r>
      <w:r>
        <w:rPr>
          <w:rFonts w:hint="eastAsia" w:ascii="宋体" w:hAnsi="宋体" w:eastAsia="宋体" w:cs="宋体"/>
          <w:sz w:val="24"/>
          <w:szCs w:val="24"/>
          <w:highlight w:val="none"/>
        </w:rPr>
        <w:t>5开标结束：进入评审环节。供应商请保持在线，评审期间评标委员会可能会要求供应商</w:t>
      </w:r>
      <w:r>
        <w:rPr>
          <w:rFonts w:hint="eastAsia" w:ascii="宋体" w:hAnsi="宋体" w:eastAsia="宋体" w:cs="宋体"/>
          <w:sz w:val="24"/>
          <w:szCs w:val="24"/>
          <w:highlight w:val="none"/>
          <w:lang w:eastAsia="zh-CN"/>
        </w:rPr>
        <w:t>作</w:t>
      </w:r>
      <w:r>
        <w:rPr>
          <w:rFonts w:hint="eastAsia" w:ascii="宋体" w:hAnsi="宋体" w:eastAsia="宋体" w:cs="宋体"/>
          <w:sz w:val="24"/>
          <w:szCs w:val="24"/>
          <w:highlight w:val="none"/>
        </w:rPr>
        <w:t>相应的澄清。因供应商擅自离席造成的不利后果，由供应商自行承担。</w:t>
      </w:r>
    </w:p>
    <w:p>
      <w:pPr>
        <w:pStyle w:val="137"/>
        <w:spacing w:before="210" w:after="210" w:line="360" w:lineRule="auto"/>
        <w:ind w:firstLine="640"/>
        <w:rPr>
          <w:rFonts w:hint="eastAsia" w:ascii="宋体" w:hAnsi="宋体" w:eastAsia="宋体" w:cs="宋体"/>
          <w:sz w:val="24"/>
          <w:szCs w:val="24"/>
          <w:highlight w:val="none"/>
        </w:rPr>
      </w:pPr>
      <w:bookmarkStart w:id="158" w:name="_Toc27809"/>
      <w:bookmarkStart w:id="159" w:name="_Toc24529"/>
      <w:bookmarkStart w:id="160" w:name="_Toc27805"/>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开标环节投标文件视为无效的情形</w:t>
      </w:r>
      <w:bookmarkEnd w:id="158"/>
      <w:bookmarkEnd w:id="159"/>
      <w:bookmarkEnd w:id="160"/>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1供应商放弃或拒绝对电子投标文件进行解密的；</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2因供应商自身原因，导致未在规定的解密时限内完整解密的，如忘带CA锁、或携带的CA锁与加密文件的CA锁不同、或使用旧版招标文件编制投标文件等情形；</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3上传的电子投标文件无法正常打开的；</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4政府采购法律法规规定的其他无效情形。</w:t>
      </w:r>
    </w:p>
    <w:p>
      <w:pPr>
        <w:spacing w:line="360" w:lineRule="auto"/>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投标文件的补充、修改和撤回</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2供应商在提交投标文件截止时间后，撤回投标文件的，投标保证金不予退还。</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spacing w:line="360" w:lineRule="auto"/>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 评</w:t>
      </w:r>
      <w:bookmarkStart w:id="161" w:name="_Toc144974530"/>
      <w:bookmarkStart w:id="162" w:name="_Toc152042338"/>
      <w:bookmarkStart w:id="163" w:name="_Toc152045562"/>
      <w:r>
        <w:rPr>
          <w:rFonts w:hint="eastAsia" w:ascii="宋体" w:hAnsi="宋体" w:eastAsia="宋体" w:cs="宋体"/>
          <w:b/>
          <w:bCs/>
          <w:sz w:val="24"/>
          <w:szCs w:val="24"/>
          <w:highlight w:val="none"/>
        </w:rPr>
        <w:t>标</w:t>
      </w:r>
      <w:bookmarkEnd w:id="157"/>
    </w:p>
    <w:p>
      <w:pPr>
        <w:spacing w:line="360" w:lineRule="auto"/>
        <w:ind w:firstLine="480" w:firstLineChars="200"/>
        <w:jc w:val="both"/>
        <w:rPr>
          <w:rFonts w:hint="eastAsia" w:ascii="宋体" w:hAnsi="宋体" w:eastAsia="宋体" w:cs="宋体"/>
          <w:sz w:val="24"/>
          <w:szCs w:val="24"/>
          <w:highlight w:val="none"/>
          <w:lang w:val="zh-CN"/>
        </w:rPr>
      </w:pPr>
      <w:bookmarkStart w:id="164" w:name="_Toc339012159"/>
      <w:bookmarkStart w:id="165" w:name="_Toc339114142"/>
      <w:bookmarkStart w:id="166" w:name="_Toc331665321"/>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bookmarkEnd w:id="161"/>
      <w:bookmarkEnd w:id="162"/>
      <w:bookmarkEnd w:id="163"/>
      <w:r>
        <w:rPr>
          <w:rFonts w:hint="eastAsia" w:ascii="宋体" w:hAnsi="宋体" w:eastAsia="宋体" w:cs="宋体"/>
          <w:sz w:val="24"/>
          <w:szCs w:val="24"/>
          <w:highlight w:val="none"/>
        </w:rPr>
        <w:t xml:space="preserve"> </w:t>
      </w:r>
      <w:bookmarkEnd w:id="164"/>
      <w:bookmarkEnd w:id="165"/>
      <w:bookmarkEnd w:id="166"/>
      <w:r>
        <w:rPr>
          <w:rFonts w:hint="eastAsia" w:ascii="宋体" w:hAnsi="宋体" w:eastAsia="宋体" w:cs="宋体"/>
          <w:sz w:val="24"/>
          <w:szCs w:val="24"/>
          <w:highlight w:val="none"/>
          <w:lang w:val="zh-CN"/>
        </w:rPr>
        <w:t>评标委员会的组建</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7.1.1</w:t>
      </w:r>
      <w:r>
        <w:rPr>
          <w:rFonts w:hint="eastAsia" w:ascii="宋体" w:hAnsi="宋体" w:eastAsia="宋体" w:cs="宋体"/>
          <w:sz w:val="24"/>
          <w:szCs w:val="24"/>
          <w:highlight w:val="none"/>
        </w:rPr>
        <w:t>采购人或采购代理机构依法组建评标委员会，评标委员会由采购人代表、评审专家组成，成员人数为5人以上单数，采购人代表须持有评审授权书。评审专家在省级以上财政部门设立的政府采购评审专家库中随机抽取，其中评审专家不得少于成员总数的三分之二，评标委员会成员与投标人有利害关系的应当回避。</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评标委员会成员到位后，推荐一名评审专家担任评审组长，并由评审组长牵头组织该项目评审工作，采购人授权的评审专家，不得担任评审组长。</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评标委员会有权对整个招标过程中出现的一切问题，根据《中华人民共和国政府采购法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中华人民共和国政府采购法实施条例》和《政府采购货物和服务招标投标管理办法》的精神，本着公开、公平、公正的原则，进行处理。</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开标后到向中标的投标人授予合同为止，凡与审查、澄清、评价和比较投标的有关资料及授标意见等内容，评标委员会成员均不得向投标人及与评标无关的其他人透露。</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评标委员会负责具体评标事务，并独立履行下列职责：</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A</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审查、评价投标文件是否符合招标文件的商务、技术、服务等实质性要求；</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B</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要求投标人对投标文件有关事项作出澄清或者说明；</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C</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对投标文件进行比较和评价；</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D</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确定中标候选人名单，以及根据采购人委托直接确定中标人；</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E</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向采购人、采购代理机构或者有关部门报告评标中发现的违法行为。</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评标委员会成员有下列情形之一的，应当回避：</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.1采购人或供应商的主要负责人的近亲属；</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.2项目主管部门或者行政监督部门的人员；</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.3与供应商有经济利益关系，可能影响对投标公正评审的；</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.4曾因在招标、评标以及其他与招标投标有关活动中从事违法行为而受过行政处罚或刑事处罚的。</w:t>
      </w:r>
    </w:p>
    <w:p>
      <w:pPr>
        <w:spacing w:line="360" w:lineRule="auto"/>
        <w:ind w:firstLine="480" w:firstLineChars="200"/>
        <w:jc w:val="both"/>
        <w:rPr>
          <w:rFonts w:hint="eastAsia" w:ascii="宋体" w:hAnsi="宋体" w:eastAsia="宋体" w:cs="宋体"/>
          <w:sz w:val="24"/>
          <w:szCs w:val="24"/>
          <w:highlight w:val="none"/>
        </w:rPr>
      </w:pPr>
      <w:bookmarkStart w:id="167" w:name="_Toc331665322"/>
      <w:bookmarkStart w:id="168" w:name="_Toc339114143"/>
      <w:bookmarkStart w:id="169" w:name="_Toc339012160"/>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xml:space="preserve">.2 </w:t>
      </w:r>
      <w:bookmarkStart w:id="170" w:name="_Toc144974532"/>
      <w:bookmarkStart w:id="171" w:name="_Toc152045564"/>
      <w:bookmarkStart w:id="172" w:name="_Toc152042340"/>
      <w:r>
        <w:rPr>
          <w:rFonts w:hint="eastAsia" w:ascii="宋体" w:hAnsi="宋体" w:eastAsia="宋体" w:cs="宋体"/>
          <w:sz w:val="24"/>
          <w:szCs w:val="24"/>
          <w:highlight w:val="none"/>
        </w:rPr>
        <w:t>评标原则</w:t>
      </w:r>
      <w:bookmarkEnd w:id="167"/>
      <w:bookmarkEnd w:id="168"/>
      <w:bookmarkEnd w:id="169"/>
      <w:r>
        <w:rPr>
          <w:rFonts w:hint="eastAsia" w:ascii="宋体" w:hAnsi="宋体" w:eastAsia="宋体" w:cs="宋体"/>
          <w:sz w:val="24"/>
          <w:szCs w:val="24"/>
          <w:highlight w:val="none"/>
        </w:rPr>
        <w:tab/>
      </w:r>
    </w:p>
    <w:bookmarkEnd w:id="170"/>
    <w:bookmarkEnd w:id="171"/>
    <w:bookmarkEnd w:id="172"/>
    <w:p>
      <w:pPr>
        <w:spacing w:line="360" w:lineRule="auto"/>
        <w:ind w:firstLine="480" w:firstLineChars="200"/>
        <w:jc w:val="both"/>
        <w:rPr>
          <w:rFonts w:hint="eastAsia" w:ascii="宋体" w:hAnsi="宋体" w:eastAsia="宋体" w:cs="宋体"/>
          <w:sz w:val="24"/>
          <w:szCs w:val="24"/>
          <w:highlight w:val="none"/>
        </w:rPr>
      </w:pPr>
      <w:bookmarkStart w:id="173" w:name="_Toc339012161"/>
      <w:bookmarkStart w:id="174" w:name="_Toc339114144"/>
      <w:bookmarkStart w:id="175" w:name="_Toc331665323"/>
      <w:r>
        <w:rPr>
          <w:rFonts w:hint="eastAsia" w:ascii="宋体" w:hAnsi="宋体" w:eastAsia="宋体" w:cs="宋体"/>
          <w:sz w:val="24"/>
          <w:szCs w:val="24"/>
          <w:highlight w:val="none"/>
        </w:rPr>
        <w:t>评标活动遵循公平、公正、科学和择优的原则。严格按照招标文件的要求和内容进行评标，同时考虑以下因素：</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.2.1价格；</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.2.2工作计划、实施方案及服务承诺等；</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.2.3企业的资信及资质情况；</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.2.4拟投入本项目主要人员；</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.2.5合同期限；</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.2.6</w:t>
      </w:r>
      <w:r>
        <w:rPr>
          <w:rFonts w:hint="eastAsia" w:ascii="宋体" w:hAnsi="宋体" w:eastAsia="宋体" w:cs="宋体"/>
          <w:sz w:val="24"/>
          <w:szCs w:val="24"/>
          <w:highlight w:val="none"/>
          <w:lang w:eastAsia="zh-CN"/>
        </w:rPr>
        <w:t>类似</w:t>
      </w:r>
      <w:r>
        <w:rPr>
          <w:rFonts w:hint="eastAsia" w:ascii="宋体" w:hAnsi="宋体" w:eastAsia="宋体" w:cs="宋体"/>
          <w:sz w:val="24"/>
          <w:szCs w:val="24"/>
          <w:highlight w:val="none"/>
        </w:rPr>
        <w:t>业绩；</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xml:space="preserve">.3 </w:t>
      </w:r>
      <w:bookmarkStart w:id="176" w:name="_Toc152045565"/>
      <w:bookmarkStart w:id="177" w:name="_Toc144974533"/>
      <w:bookmarkStart w:id="178" w:name="_Toc152042341"/>
      <w:r>
        <w:rPr>
          <w:rFonts w:hint="eastAsia" w:ascii="宋体" w:hAnsi="宋体" w:eastAsia="宋体" w:cs="宋体"/>
          <w:sz w:val="24"/>
          <w:szCs w:val="24"/>
          <w:highlight w:val="none"/>
        </w:rPr>
        <w:t>评标</w:t>
      </w:r>
      <w:bookmarkEnd w:id="173"/>
      <w:bookmarkEnd w:id="174"/>
      <w:bookmarkEnd w:id="175"/>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评标委</w:t>
      </w:r>
      <w:bookmarkEnd w:id="176"/>
      <w:bookmarkEnd w:id="177"/>
      <w:bookmarkEnd w:id="178"/>
      <w:r>
        <w:rPr>
          <w:rFonts w:hint="eastAsia" w:ascii="宋体" w:hAnsi="宋体" w:eastAsia="宋体" w:cs="宋体"/>
          <w:sz w:val="24"/>
          <w:szCs w:val="24"/>
          <w:highlight w:val="none"/>
        </w:rPr>
        <w:t>员会按照第三部分“评标办法”规定的方法、评审因素、标准和程序对投标文件进行评审。第三部分“评标办法”没有规定的方法、评审因素和标准，不作为评标依据。</w:t>
      </w:r>
    </w:p>
    <w:p>
      <w:pPr>
        <w:spacing w:line="360" w:lineRule="auto"/>
        <w:jc w:val="both"/>
        <w:rPr>
          <w:rFonts w:hint="eastAsia" w:ascii="宋体" w:hAnsi="宋体" w:eastAsia="宋体" w:cs="宋体"/>
          <w:b/>
          <w:bCs/>
          <w:sz w:val="24"/>
          <w:szCs w:val="24"/>
          <w:highlight w:val="none"/>
        </w:rPr>
      </w:pPr>
      <w:bookmarkStart w:id="179" w:name="_Toc339114145"/>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 合</w:t>
      </w:r>
      <w:bookmarkStart w:id="180" w:name="_Toc152045566"/>
      <w:bookmarkStart w:id="181" w:name="_Toc152042342"/>
      <w:bookmarkStart w:id="182" w:name="_Toc144974534"/>
      <w:r>
        <w:rPr>
          <w:rFonts w:hint="eastAsia" w:ascii="宋体" w:hAnsi="宋体" w:eastAsia="宋体" w:cs="宋体"/>
          <w:b/>
          <w:bCs/>
          <w:sz w:val="24"/>
          <w:szCs w:val="24"/>
          <w:highlight w:val="none"/>
        </w:rPr>
        <w:t>同授予</w:t>
      </w:r>
      <w:bookmarkEnd w:id="179"/>
    </w:p>
    <w:p>
      <w:pPr>
        <w:spacing w:line="360" w:lineRule="auto"/>
        <w:ind w:firstLine="480" w:firstLineChars="200"/>
        <w:jc w:val="both"/>
        <w:rPr>
          <w:rFonts w:hint="eastAsia" w:ascii="宋体" w:hAnsi="宋体" w:eastAsia="宋体" w:cs="宋体"/>
          <w:sz w:val="24"/>
          <w:szCs w:val="24"/>
          <w:highlight w:val="none"/>
        </w:rPr>
      </w:pPr>
      <w:bookmarkStart w:id="183" w:name="_Toc339012163"/>
      <w:bookmarkStart w:id="184" w:name="_Toc339114146"/>
      <w:bookmarkStart w:id="185" w:name="_Toc331665325"/>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w:t>
      </w:r>
      <w:bookmarkEnd w:id="180"/>
      <w:bookmarkEnd w:id="181"/>
      <w:bookmarkEnd w:id="182"/>
      <w:r>
        <w:rPr>
          <w:rFonts w:hint="eastAsia" w:ascii="宋体" w:hAnsi="宋体" w:eastAsia="宋体" w:cs="宋体"/>
          <w:sz w:val="24"/>
          <w:szCs w:val="24"/>
          <w:highlight w:val="none"/>
        </w:rPr>
        <w:t xml:space="preserve"> </w:t>
      </w:r>
      <w:bookmarkStart w:id="186" w:name="_Toc144974535"/>
      <w:bookmarkStart w:id="187" w:name="_Toc152045567"/>
      <w:bookmarkStart w:id="188" w:name="_Toc152042343"/>
      <w:r>
        <w:rPr>
          <w:rFonts w:hint="eastAsia" w:ascii="宋体" w:hAnsi="宋体" w:eastAsia="宋体" w:cs="宋体"/>
          <w:sz w:val="24"/>
          <w:szCs w:val="24"/>
          <w:highlight w:val="none"/>
        </w:rPr>
        <w:t>定标方式</w:t>
      </w:r>
      <w:bookmarkEnd w:id="183"/>
      <w:bookmarkEnd w:id="184"/>
      <w:bookmarkEnd w:id="185"/>
    </w:p>
    <w:bookmarkEnd w:id="186"/>
    <w:bookmarkEnd w:id="187"/>
    <w:bookmarkEnd w:id="188"/>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.1.1在采购代理机构将评标报告提交采购人5个工作日内，采购人在评标报告确定的中标候选人名单中按顺序确定中标人，复函采购代理机构。</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采购代理机构在接到采购人的“中标”复函后，在财政部门指定的政府采购信息发布媒体上公告，公示期满无异议并同时向中标供应商发放“中标通知书”。</w:t>
      </w:r>
    </w:p>
    <w:p>
      <w:pPr>
        <w:spacing w:line="360" w:lineRule="auto"/>
        <w:ind w:firstLine="480" w:firstLineChars="200"/>
        <w:jc w:val="both"/>
        <w:rPr>
          <w:rFonts w:hint="eastAsia" w:ascii="宋体" w:hAnsi="宋体" w:eastAsia="宋体" w:cs="宋体"/>
          <w:sz w:val="24"/>
          <w:szCs w:val="24"/>
          <w:highlight w:val="none"/>
        </w:rPr>
      </w:pPr>
      <w:bookmarkStart w:id="189" w:name="_Toc331665328"/>
      <w:bookmarkStart w:id="190" w:name="_Toc339114149"/>
      <w:bookmarkStart w:id="191" w:name="_Toc339012166"/>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.3 </w:t>
      </w:r>
      <w:bookmarkStart w:id="192" w:name="_Toc152045570"/>
      <w:bookmarkStart w:id="193" w:name="_Toc144974538"/>
      <w:bookmarkStart w:id="194" w:name="_Toc152042346"/>
      <w:r>
        <w:rPr>
          <w:rFonts w:hint="eastAsia" w:ascii="宋体" w:hAnsi="宋体" w:eastAsia="宋体" w:cs="宋体"/>
          <w:sz w:val="24"/>
          <w:szCs w:val="24"/>
          <w:highlight w:val="none"/>
        </w:rPr>
        <w:t>签订合同</w:t>
      </w:r>
      <w:bookmarkEnd w:id="189"/>
      <w:bookmarkEnd w:id="190"/>
      <w:bookmarkEnd w:id="191"/>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bookmarkEnd w:id="192"/>
      <w:bookmarkEnd w:id="193"/>
      <w:bookmarkEnd w:id="194"/>
      <w:r>
        <w:rPr>
          <w:rFonts w:hint="eastAsia" w:ascii="宋体" w:hAnsi="宋体" w:eastAsia="宋体" w:cs="宋体"/>
          <w:sz w:val="24"/>
          <w:szCs w:val="24"/>
          <w:highlight w:val="none"/>
        </w:rPr>
        <w:t>3.1采购人和中标供应商应当自中标通知书发出之日起</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 xml:space="preserve">天内，根据招标文件和中标供应商的投标文件订立书面合同。中标供应商无正当理由拒签合同的，采购人取消其中标资格；给采购人造成的损失的，中标供应商还应当对超过部分予以赔偿。 </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.3.2发出中标通知书后，采购人无正当理由拒签合同的；给中标供应商造成损失的，还应当赔偿损失。</w:t>
      </w:r>
    </w:p>
    <w:p>
      <w:pPr>
        <w:spacing w:line="360" w:lineRule="auto"/>
        <w:jc w:val="both"/>
        <w:rPr>
          <w:rFonts w:hint="eastAsia" w:ascii="宋体" w:hAnsi="宋体" w:eastAsia="宋体" w:cs="宋体"/>
          <w:b/>
          <w:bCs/>
          <w:sz w:val="24"/>
          <w:szCs w:val="24"/>
          <w:highlight w:val="none"/>
        </w:rPr>
      </w:pPr>
      <w:bookmarkStart w:id="195" w:name="_Toc339114150"/>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 重</w:t>
      </w:r>
      <w:bookmarkStart w:id="196" w:name="_Toc144974539"/>
      <w:bookmarkStart w:id="197" w:name="_Toc152042347"/>
      <w:bookmarkStart w:id="198" w:name="_Toc152045571"/>
      <w:r>
        <w:rPr>
          <w:rFonts w:hint="eastAsia" w:ascii="宋体" w:hAnsi="宋体" w:eastAsia="宋体" w:cs="宋体"/>
          <w:b/>
          <w:bCs/>
          <w:sz w:val="24"/>
          <w:szCs w:val="24"/>
          <w:highlight w:val="none"/>
        </w:rPr>
        <w:t>新招标、变更采购方式和不再招标</w:t>
      </w:r>
      <w:bookmarkEnd w:id="195"/>
      <w:r>
        <w:rPr>
          <w:rFonts w:hint="eastAsia" w:ascii="宋体" w:hAnsi="宋体" w:eastAsia="宋体" w:cs="宋体"/>
          <w:b/>
          <w:bCs/>
          <w:sz w:val="24"/>
          <w:szCs w:val="24"/>
          <w:highlight w:val="none"/>
        </w:rPr>
        <w:t>重新招标</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sz w:val="24"/>
          <w:szCs w:val="24"/>
          <w:highlight w:val="none"/>
          <w:lang w:val="en-US" w:eastAsia="zh-CN"/>
        </w:rPr>
        <w:t>.1 在采购中，出现下列情形之一的，应予废标：</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9.1.1 投标截止时间后有效投标人不足3个；</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9.1.2 资格审查或初步审查后有效投标人不足3个；</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9.1.3 出现影响采购公正的违法、违规行为的；</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9.1.4 因重大变故，采购任务取消的。</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 废标后，除采购任务取消情形外，报政府采购监督管理部门批准，重新组织招标或采用其他方式进行采购：</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9.2.1 在招标过程中，提交投标文件或者通过资格审查或初步审查的投标人只有2家时，根据中华人民共和国财政部2017年第87号部长令--《政府采购货物和服务招标投标管理办法》第四十三条、2013年第74号部长令--《政府采购非招标采购方式管理办法》第二十七条规定，经采购人书面请示政府采购管理机构同意后，可以现场转为竞争性谈判或者竞争性磋商的方式继续采购。</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如果转为竞争性谈判方式，则原招标文件转为竞争性谈判文件，原投标人即为供应商，原投标文件报价作为竞争性谈判的第一次报价，评审方法按照竞争性谈判的评审原则，在质量和服务均能满足采购文件实质性要求的基础上，按照最后报价由低到高的顺序，确定成交候选供应商。</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②如果转为竞争性磋商方式，则原招标文件转为竞争性磋商文件，原投标文件报价作为竞争性磋商的第一次报价，评审方法采用原评标方法。</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8.2.2 在招标过程中，提交投标文件或者通过资格审查或符合性审查的投标人只有1家时，按废标处理，重新开展采购活动。</w:t>
      </w:r>
    </w:p>
    <w:bookmarkEnd w:id="196"/>
    <w:bookmarkEnd w:id="197"/>
    <w:bookmarkEnd w:id="198"/>
    <w:p>
      <w:pPr>
        <w:spacing w:line="360" w:lineRule="auto"/>
        <w:jc w:val="both"/>
        <w:rPr>
          <w:rFonts w:hint="eastAsia" w:ascii="宋体" w:hAnsi="宋体" w:eastAsia="宋体" w:cs="宋体"/>
          <w:b/>
          <w:bCs/>
          <w:sz w:val="24"/>
          <w:szCs w:val="24"/>
          <w:highlight w:val="none"/>
        </w:rPr>
      </w:pPr>
      <w:bookmarkStart w:id="199" w:name="_Toc339114153"/>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 纪</w:t>
      </w:r>
      <w:bookmarkStart w:id="200" w:name="_Toc152045574"/>
      <w:bookmarkStart w:id="201" w:name="_Toc144974542"/>
      <w:bookmarkStart w:id="202" w:name="_Toc152042350"/>
      <w:r>
        <w:rPr>
          <w:rFonts w:hint="eastAsia" w:ascii="宋体" w:hAnsi="宋体" w:eastAsia="宋体" w:cs="宋体"/>
          <w:b/>
          <w:bCs/>
          <w:sz w:val="24"/>
          <w:szCs w:val="24"/>
          <w:highlight w:val="none"/>
        </w:rPr>
        <w:t>律和监督</w:t>
      </w:r>
      <w:bookmarkEnd w:id="199"/>
    </w:p>
    <w:p>
      <w:pPr>
        <w:spacing w:line="360" w:lineRule="auto"/>
        <w:ind w:firstLine="480" w:firstLineChars="200"/>
        <w:jc w:val="both"/>
        <w:rPr>
          <w:rFonts w:hint="eastAsia" w:ascii="宋体" w:hAnsi="宋体" w:eastAsia="宋体" w:cs="宋体"/>
          <w:sz w:val="24"/>
          <w:szCs w:val="24"/>
          <w:highlight w:val="none"/>
          <w:lang w:val="en-US" w:eastAsia="zh-CN"/>
        </w:rPr>
      </w:pPr>
      <w:bookmarkStart w:id="203" w:name="_Toc331665333"/>
      <w:bookmarkStart w:id="204" w:name="_Toc339114154"/>
      <w:bookmarkStart w:id="205" w:name="_Toc339012171"/>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sz w:val="24"/>
          <w:szCs w:val="24"/>
          <w:highlight w:val="none"/>
          <w:lang w:val="en-US" w:eastAsia="zh-CN"/>
        </w:rPr>
        <w:t>0.1</w:t>
      </w:r>
      <w:bookmarkEnd w:id="200"/>
      <w:bookmarkEnd w:id="201"/>
      <w:bookmarkEnd w:id="202"/>
      <w:r>
        <w:rPr>
          <w:rFonts w:hint="eastAsia" w:ascii="宋体" w:hAnsi="宋体" w:eastAsia="宋体" w:cs="宋体"/>
          <w:sz w:val="24"/>
          <w:szCs w:val="24"/>
          <w:highlight w:val="none"/>
          <w:lang w:val="en-US" w:eastAsia="zh-CN"/>
        </w:rPr>
        <w:t xml:space="preserve"> </w:t>
      </w:r>
      <w:bookmarkStart w:id="206" w:name="_Toc152045575"/>
      <w:bookmarkStart w:id="207" w:name="_Toc144974543"/>
      <w:bookmarkStart w:id="208" w:name="_Toc152042351"/>
      <w:r>
        <w:rPr>
          <w:rFonts w:hint="eastAsia" w:ascii="宋体" w:hAnsi="宋体" w:eastAsia="宋体" w:cs="宋体"/>
          <w:sz w:val="24"/>
          <w:szCs w:val="24"/>
          <w:highlight w:val="none"/>
          <w:lang w:val="en-US" w:eastAsia="zh-CN"/>
        </w:rPr>
        <w:t>对采购人的纪律要求</w:t>
      </w:r>
      <w:bookmarkEnd w:id="203"/>
      <w:bookmarkEnd w:id="204"/>
      <w:bookmarkEnd w:id="205"/>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w:t>
      </w:r>
      <w:bookmarkEnd w:id="206"/>
      <w:bookmarkEnd w:id="207"/>
      <w:bookmarkEnd w:id="208"/>
      <w:r>
        <w:rPr>
          <w:rFonts w:hint="eastAsia" w:ascii="宋体" w:hAnsi="宋体" w:eastAsia="宋体" w:cs="宋体"/>
          <w:sz w:val="24"/>
          <w:szCs w:val="24"/>
          <w:highlight w:val="none"/>
          <w:lang w:val="en-US" w:eastAsia="zh-CN"/>
        </w:rPr>
        <w:t>不得泄漏招标投标活动中应当保密的情况和资料，不得与供应商串通损害国家利益、社会公共利益或者他人合法权益。</w:t>
      </w:r>
    </w:p>
    <w:p>
      <w:pPr>
        <w:spacing w:line="360" w:lineRule="auto"/>
        <w:ind w:firstLine="480" w:firstLineChars="200"/>
        <w:jc w:val="both"/>
        <w:rPr>
          <w:rFonts w:hint="eastAsia" w:ascii="宋体" w:hAnsi="宋体" w:eastAsia="宋体" w:cs="宋体"/>
          <w:sz w:val="24"/>
          <w:szCs w:val="24"/>
          <w:highlight w:val="none"/>
          <w:lang w:val="en-US" w:eastAsia="zh-CN"/>
        </w:rPr>
      </w:pPr>
      <w:bookmarkStart w:id="209" w:name="_Toc339114155"/>
      <w:bookmarkStart w:id="210" w:name="_Toc339012172"/>
      <w:bookmarkStart w:id="211" w:name="_Toc331665334"/>
      <w:r>
        <w:rPr>
          <w:rFonts w:hint="eastAsia" w:ascii="宋体" w:hAnsi="宋体" w:eastAsia="宋体" w:cs="宋体"/>
          <w:sz w:val="24"/>
          <w:szCs w:val="24"/>
          <w:highlight w:val="none"/>
          <w:lang w:val="en-US" w:eastAsia="zh-CN"/>
        </w:rPr>
        <w:t xml:space="preserve">10.2 </w:t>
      </w:r>
      <w:bookmarkStart w:id="212" w:name="_Toc144974544"/>
      <w:bookmarkStart w:id="213" w:name="_Toc152045576"/>
      <w:bookmarkStart w:id="214" w:name="_Toc152042352"/>
      <w:r>
        <w:rPr>
          <w:rFonts w:hint="eastAsia" w:ascii="宋体" w:hAnsi="宋体" w:eastAsia="宋体" w:cs="宋体"/>
          <w:sz w:val="24"/>
          <w:szCs w:val="24"/>
          <w:highlight w:val="none"/>
          <w:lang w:val="en-US" w:eastAsia="zh-CN"/>
        </w:rPr>
        <w:t>对供应商的纪律要求</w:t>
      </w:r>
      <w:bookmarkEnd w:id="209"/>
      <w:bookmarkEnd w:id="210"/>
      <w:bookmarkEnd w:id="211"/>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w:t>
      </w:r>
      <w:bookmarkEnd w:id="212"/>
      <w:bookmarkEnd w:id="213"/>
      <w:bookmarkEnd w:id="214"/>
      <w:r>
        <w:rPr>
          <w:rFonts w:hint="eastAsia" w:ascii="宋体" w:hAnsi="宋体" w:eastAsia="宋体" w:cs="宋体"/>
          <w:sz w:val="24"/>
          <w:szCs w:val="24"/>
          <w:highlight w:val="none"/>
          <w:lang w:val="en-US" w:eastAsia="zh-CN"/>
        </w:rPr>
        <w:t>不得相互串通投标或者与采购人串通投标，不得向采购人或者评标委员会成员行贿谋取中标，不得以他人名义投标或者以其他方式弄虚作假骗取中标；供应商不得以任何方式干扰、影响评标工作。</w:t>
      </w:r>
    </w:p>
    <w:p>
      <w:pPr>
        <w:spacing w:line="360" w:lineRule="auto"/>
        <w:ind w:firstLine="480" w:firstLineChars="200"/>
        <w:jc w:val="both"/>
        <w:rPr>
          <w:rFonts w:hint="eastAsia" w:ascii="宋体" w:hAnsi="宋体" w:eastAsia="宋体" w:cs="宋体"/>
          <w:sz w:val="24"/>
          <w:szCs w:val="24"/>
          <w:highlight w:val="none"/>
          <w:lang w:val="en-US" w:eastAsia="zh-CN"/>
        </w:rPr>
      </w:pPr>
      <w:bookmarkStart w:id="215" w:name="_Toc339012173"/>
      <w:bookmarkStart w:id="216" w:name="_Toc331665335"/>
      <w:bookmarkStart w:id="217" w:name="_Toc339114156"/>
      <w:r>
        <w:rPr>
          <w:rFonts w:hint="eastAsia" w:ascii="宋体" w:hAnsi="宋体" w:eastAsia="宋体" w:cs="宋体"/>
          <w:sz w:val="24"/>
          <w:szCs w:val="24"/>
          <w:highlight w:val="none"/>
          <w:lang w:val="en-US" w:eastAsia="zh-CN"/>
        </w:rPr>
        <w:t xml:space="preserve">10.3 </w:t>
      </w:r>
      <w:bookmarkStart w:id="218" w:name="_Toc144974545"/>
      <w:bookmarkStart w:id="219" w:name="_Toc152042353"/>
      <w:bookmarkStart w:id="220" w:name="_Toc152045577"/>
      <w:r>
        <w:rPr>
          <w:rFonts w:hint="eastAsia" w:ascii="宋体" w:hAnsi="宋体" w:eastAsia="宋体" w:cs="宋体"/>
          <w:sz w:val="24"/>
          <w:szCs w:val="24"/>
          <w:highlight w:val="none"/>
          <w:lang w:val="en-US" w:eastAsia="zh-CN"/>
        </w:rPr>
        <w:t>对评标委员会成员的纪律要求</w:t>
      </w:r>
      <w:bookmarkEnd w:id="215"/>
      <w:bookmarkEnd w:id="216"/>
      <w:bookmarkEnd w:id="217"/>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评标委</w:t>
      </w:r>
      <w:bookmarkEnd w:id="218"/>
      <w:bookmarkEnd w:id="219"/>
      <w:bookmarkEnd w:id="220"/>
      <w:r>
        <w:rPr>
          <w:rFonts w:hint="eastAsia" w:ascii="宋体" w:hAnsi="宋体" w:eastAsia="宋体" w:cs="宋体"/>
          <w:sz w:val="24"/>
          <w:szCs w:val="24"/>
          <w:highlight w:val="none"/>
          <w:lang w:val="en-US" w:eastAsia="zh-CN"/>
        </w:rPr>
        <w:t>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ind w:firstLine="480" w:firstLineChars="200"/>
        <w:jc w:val="both"/>
        <w:rPr>
          <w:rFonts w:hint="eastAsia" w:ascii="宋体" w:hAnsi="宋体" w:eastAsia="宋体" w:cs="宋体"/>
          <w:sz w:val="24"/>
          <w:szCs w:val="24"/>
          <w:highlight w:val="none"/>
          <w:lang w:val="en-US" w:eastAsia="zh-CN"/>
        </w:rPr>
      </w:pPr>
      <w:bookmarkStart w:id="221" w:name="_Toc339012174"/>
      <w:bookmarkStart w:id="222" w:name="_Toc331665336"/>
      <w:bookmarkStart w:id="223" w:name="_Toc339114157"/>
      <w:r>
        <w:rPr>
          <w:rFonts w:hint="eastAsia" w:ascii="宋体" w:hAnsi="宋体" w:eastAsia="宋体" w:cs="宋体"/>
          <w:sz w:val="24"/>
          <w:szCs w:val="24"/>
          <w:highlight w:val="none"/>
          <w:lang w:val="en-US" w:eastAsia="zh-CN"/>
        </w:rPr>
        <w:t xml:space="preserve">10.4 </w:t>
      </w:r>
      <w:bookmarkStart w:id="224" w:name="_Toc152045578"/>
      <w:bookmarkStart w:id="225" w:name="_Toc152042354"/>
      <w:bookmarkStart w:id="226" w:name="_Toc144974546"/>
      <w:r>
        <w:rPr>
          <w:rFonts w:hint="eastAsia" w:ascii="宋体" w:hAnsi="宋体" w:eastAsia="宋体" w:cs="宋体"/>
          <w:sz w:val="24"/>
          <w:szCs w:val="24"/>
          <w:highlight w:val="none"/>
          <w:lang w:val="en-US" w:eastAsia="zh-CN"/>
        </w:rPr>
        <w:t>对与评标活动有关的工作人员的纪律要求</w:t>
      </w:r>
      <w:bookmarkEnd w:id="221"/>
      <w:bookmarkEnd w:id="222"/>
      <w:bookmarkEnd w:id="223"/>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与评标</w:t>
      </w:r>
      <w:bookmarkEnd w:id="224"/>
      <w:bookmarkEnd w:id="225"/>
      <w:r>
        <w:rPr>
          <w:rFonts w:hint="eastAsia" w:ascii="宋体" w:hAnsi="宋体" w:eastAsia="宋体" w:cs="宋体"/>
          <w:sz w:val="24"/>
          <w:szCs w:val="24"/>
          <w:highlight w:val="none"/>
          <w:lang w:val="en-US" w:eastAsia="zh-CN"/>
        </w:rPr>
        <w:t>活</w:t>
      </w:r>
      <w:bookmarkStart w:id="227" w:name="_Toc152042355"/>
      <w:r>
        <w:rPr>
          <w:rFonts w:hint="eastAsia" w:ascii="宋体" w:hAnsi="宋体" w:eastAsia="宋体" w:cs="宋体"/>
          <w:sz w:val="24"/>
          <w:szCs w:val="24"/>
          <w:highlight w:val="none"/>
          <w:lang w:val="en-US" w:eastAsia="zh-CN"/>
        </w:rPr>
        <w:t>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bookmarkEnd w:id="226"/>
    <w:bookmarkEnd w:id="227"/>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10.5特别说明：</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10.5.1供应商投标所使用的资格、信誉、荣誉、业绩与企业认证必须为本法人所拥有。供应商投标所使用的采购项目实施人员必须为本法人员工（或必须为本法人或控股公司正式员工）。</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10.5.2供应商应仔细阅读招标文件的所有内容，按照招标文件的要求提交投标文件，并对所提供的全部资料的真实性承担法律责任。</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10.5.3供应商在投标活动中提供任何虚假材料，其投标无效，并报监管部门查处；中标后发现的，中标人须依照《中华人民共和国消费者权益保护法》第49条之规定双倍赔偿采购人，且民事赔偿并不免除违法供应商的行政与刑事责任。</w:t>
      </w:r>
    </w:p>
    <w:p>
      <w:pPr>
        <w:spacing w:line="36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 采购项目需要落实的政府采购政策：</w:t>
      </w:r>
    </w:p>
    <w:p>
      <w:pPr>
        <w:spacing w:line="360" w:lineRule="auto"/>
        <w:ind w:firstLine="482" w:firstLineChars="200"/>
        <w:jc w:val="both"/>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11.1《政府采购促进中小企业发展管理办法》的通知－－财库〔2020〕46号</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政府采购促进中小企业发展管理办法》（财库（2020）46号）规定，参加政府采购活动的中小企业应当提供《中小企业声明函》。供应商提供的《中小企业声明函》资料必须真实，否则，按照有关规定予以处理。</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对于未预留份额专门面向中小企业采购的采购项目，以及预留份额项目的非预留部分采购包中符合条件的小微企业报价给予 10%的扣除，用扣除后的价格参加评审。</w:t>
      </w:r>
    </w:p>
    <w:p>
      <w:pPr>
        <w:spacing w:line="360" w:lineRule="auto"/>
        <w:ind w:firstLine="482" w:firstLineChars="20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11.2财政部司法部关于政府采购支持监狱企业发展有关问题的通知－－财库〔2014〕68号 </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根据《关于政府采购支持监狱企业发展有关问题的通知》（财库（2014）68号）规定，在政府采购活动中，监狱企业视同小型、微型企业，享受政府采购促进中小企业发展的政府采购政策。</w:t>
      </w:r>
    </w:p>
    <w:p>
      <w:pPr>
        <w:spacing w:line="360" w:lineRule="auto"/>
        <w:ind w:firstLine="482" w:firstLineChars="20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11.3《关于政府采购优先购买福利性企业产品和服务的意见》（陕民发〔2015〕1号）</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根据《关于政府采购优先购买福利性企业产品和服务的意见》（陕民发〔2015〕1号）规定，在政府采购活动中，本省福利性企业享受我省规定的采购扶持政策。</w:t>
      </w:r>
    </w:p>
    <w:p>
      <w:pPr>
        <w:spacing w:line="360" w:lineRule="auto"/>
        <w:ind w:firstLine="482" w:firstLineChars="20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11.4《国务院办公厅关于建立政府强制采购节能产品制度的通知》--国办发〔2007〕51号</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各级政府机构使用财政性资金进行政府采购活动时，在技术、服务等指标满足采购需求的前提下，要优先采购节能产品，对部分节能效果、性能等达到要求的产品，实行强制采购。</w:t>
      </w:r>
    </w:p>
    <w:p>
      <w:pPr>
        <w:spacing w:line="360" w:lineRule="auto"/>
        <w:ind w:firstLine="482" w:firstLineChars="20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11.5《环境标志产品政府采购实施的意见》--财库〔2006〕90号</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政府采购属于环境标志品目清单中产品时，在技术、服务等指标同等条件下，应当优先采购环境标志清单品目所列的节能产品。</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在投标时供应商应提供有效证明材料。（注：属于环境标志品目清单范围中实施政府优先采购的，依据提供的品目清单和国家确认的认证机构出具的认证证书实施政府优先采购）。</w:t>
      </w:r>
    </w:p>
    <w:p>
      <w:pPr>
        <w:spacing w:line="360" w:lineRule="auto"/>
        <w:ind w:firstLine="482" w:firstLineChars="20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11.6《关于促进残疾人就业政府采购政策的通知》--财库〔2017〕141号</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符合条件的残疾人福利性单位在参加政府采购活动时，应当提供本通知规定的《残疾人福利性单位声明函》，并对声明的真实性负责。 供应商提供的《残疾人福利性单位声明函》与事实不符的，依照《</w:t>
      </w:r>
      <w:r>
        <w:rPr>
          <w:rFonts w:hint="eastAsia" w:ascii="宋体" w:hAnsi="宋体" w:eastAsia="宋体" w:cs="宋体"/>
          <w:color w:val="000000" w:themeColor="text1"/>
          <w:sz w:val="24"/>
          <w:szCs w:val="24"/>
          <w:highlight w:val="none"/>
          <w14:textFill>
            <w14:solidFill>
              <w14:schemeClr w14:val="tx1"/>
            </w14:solidFill>
          </w14:textFill>
        </w:rPr>
        <w:t>中华人民共和国</w:t>
      </w:r>
      <w:r>
        <w:rPr>
          <w:rFonts w:hint="eastAsia" w:ascii="宋体" w:hAnsi="宋体" w:eastAsia="宋体" w:cs="宋体"/>
          <w:sz w:val="24"/>
          <w:szCs w:val="24"/>
          <w:highlight w:val="none"/>
          <w:lang w:val="en-US" w:eastAsia="zh-CN"/>
        </w:rPr>
        <w:t>政府采购法》第七十七条第一款的规定追究法律责任。</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82" w:firstLineChars="20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11.7财政部国家发展改革委关于印发《节能产品政府采购实施意见》的通知--（财库〔2004〕185号）</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政府采购属于节能品目清单中产品时，在技术、服务等指标同等条件下，应当优先采购节能清单品目所列的节能产品。</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在投标时供应商应提供有效证明材料。（注：属于节能品目清单范围中实施政府优先采购的，依据提供的品目清单和国家确认的认证机构出具的认证证书实施政府优先采购）。</w:t>
      </w:r>
    </w:p>
    <w:p>
      <w:pPr>
        <w:spacing w:line="360" w:lineRule="auto"/>
        <w:ind w:firstLine="482" w:firstLineChars="20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11.8 陕西省财政厅关于印发《陕西省中小企业政府采购信用融资办法》--陕财办采〔2018〕23号</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pacing w:line="360" w:lineRule="auto"/>
        <w:ind w:firstLine="482" w:firstLineChars="200"/>
        <w:jc w:val="both"/>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11.9《关于运用政府采购政策支持乡村产业振兴的通知》--财库〔2021〕19 号</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财政部、农业农村部、国家乡村振兴局发布《关于运用政府采购政策支持乡村产业振兴的通知》，《通知》指出，自2021年起各级预算单位应当按照不低于10%的比例预留年度食堂食材采购份额，通过脱贫地区农副产品网络销售平台（原贫困地区农副产品网络销售平台）采购脱贫地区农副产品。</w:t>
      </w:r>
    </w:p>
    <w:p>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知》明确，财政部会同农业农村部、国家乡村振兴局等部门制定政府采购脱贫地区农副产品工作的实施意见，加强脱贫地区农副产品货源组织、供应链管理和网络销售平台运营管理，积极组织预算单位采购脱贫地区农副产品。</w:t>
      </w:r>
    </w:p>
    <w:p>
      <w:pPr>
        <w:spacing w:line="360" w:lineRule="auto"/>
        <w:ind w:firstLine="482" w:firstLineChars="200"/>
        <w:jc w:val="both"/>
        <w:rPr>
          <w:rFonts w:hint="eastAsia" w:ascii="宋体" w:hAnsi="宋体" w:eastAsia="宋体" w:cs="宋体"/>
          <w:sz w:val="24"/>
          <w:szCs w:val="24"/>
          <w:highlight w:val="none"/>
          <w:lang w:val="zh-CN" w:eastAsia="zh-CN"/>
        </w:rPr>
      </w:pPr>
      <w:r>
        <w:rPr>
          <w:rFonts w:hint="eastAsia" w:ascii="宋体" w:hAnsi="宋体" w:eastAsia="宋体" w:cs="宋体"/>
          <w:b/>
          <w:bCs/>
          <w:sz w:val="24"/>
          <w:szCs w:val="24"/>
          <w:highlight w:val="none"/>
          <w:lang w:val="en-US" w:eastAsia="zh-CN"/>
        </w:rPr>
        <w:t>11.10</w:t>
      </w:r>
      <w:r>
        <w:rPr>
          <w:rFonts w:hint="eastAsia" w:ascii="宋体" w:hAnsi="宋体" w:eastAsia="宋体" w:cs="宋体"/>
          <w:b/>
          <w:bCs/>
          <w:sz w:val="24"/>
          <w:szCs w:val="24"/>
          <w:highlight w:val="none"/>
          <w:lang w:val="zh-CN" w:eastAsia="zh-CN"/>
        </w:rPr>
        <w:t>《关于进一步加大政府采购支持中小企业力度的通知》（财库﹝2022﹞19号）</w:t>
      </w:r>
    </w:p>
    <w:p>
      <w:pPr>
        <w:spacing w:line="360" w:lineRule="auto"/>
        <w:ind w:firstLine="480" w:firstLineChars="200"/>
        <w:jc w:val="both"/>
        <w:rPr>
          <w:rFonts w:hint="eastAsia" w:ascii="宋体" w:hAnsi="宋体" w:eastAsia="宋体" w:cs="宋体"/>
          <w:b w:val="0"/>
          <w:bCs w:val="0"/>
          <w:sz w:val="24"/>
          <w:szCs w:val="24"/>
          <w:highlight w:val="none"/>
          <w:lang w:val="zh-CN"/>
        </w:rPr>
      </w:pPr>
      <w:r>
        <w:rPr>
          <w:rFonts w:hint="eastAsia" w:ascii="宋体" w:hAnsi="宋体" w:eastAsia="宋体" w:cs="宋体"/>
          <w:b w:val="0"/>
          <w:bCs w:val="0"/>
          <w:sz w:val="24"/>
          <w:szCs w:val="24"/>
          <w:highlight w:val="none"/>
          <w:lang w:val="zh-CN"/>
        </w:rPr>
        <w:t>对于未预留份额专门面向中小企业采购的采购项目，以及预留份额项目的非预留部分采购包中符合条件的小微企业报价给予10%的扣除。用扣除后的价格参加评审。</w:t>
      </w:r>
    </w:p>
    <w:p>
      <w:pPr>
        <w:numPr>
          <w:ilvl w:val="0"/>
          <w:numId w:val="2"/>
        </w:numPr>
        <w:spacing w:line="360" w:lineRule="auto"/>
        <w:jc w:val="both"/>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评标过程的监控</w:t>
      </w:r>
    </w:p>
    <w:p>
      <w:pPr>
        <w:numPr>
          <w:ilvl w:val="0"/>
          <w:numId w:val="0"/>
        </w:numPr>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本项目评标过程实行全程录音、录像监控，供应商在评标过程中所进行的试图影响评标结果的不公正活动，可能导致其投标被拒绝。</w:t>
      </w:r>
    </w:p>
    <w:p>
      <w:pPr>
        <w:snapToGrid w:val="0"/>
        <w:spacing w:line="360" w:lineRule="auto"/>
        <w:outlineLvl w:val="1"/>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en-US" w:eastAsia="zh-CN"/>
        </w:rPr>
        <w:t>13.</w:t>
      </w:r>
      <w:r>
        <w:rPr>
          <w:rFonts w:hint="eastAsia" w:ascii="宋体" w:hAnsi="宋体" w:eastAsia="宋体" w:cs="宋体"/>
          <w:b/>
          <w:color w:val="auto"/>
          <w:sz w:val="24"/>
          <w:szCs w:val="24"/>
          <w:highlight w:val="none"/>
          <w:lang w:val="zh-CN"/>
        </w:rPr>
        <w:t>关于询问、质疑和投诉</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1．询问</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供应商对政府采购活动事项有疑问的，可以向采购人或采购代理机构提出询问。采购人或采购代理机构将在3个工作日内对供应商依法提出的询问作出答复。</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2．质疑</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（1）供应商认为采购文件、采购过程、成交结果使自己的权益受到损害的，可以在知道或应知其权益受到损害之日起7个工作日内以书面形式向采购人、采购代理机构提出。</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（2）质疑方式：</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 在线质疑：</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登录西安市公共资源交易平台〖首页·〉电子交易平台·〉企业端〗，在〖我的项目〗中点击“项目流程·〉质疑”，填写表单并提交质疑。</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② 书面质疑：</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书面质疑函应按照财政部国库司制定的《政府采购供应商质疑函范本》（见下方链接）进行填写，签字、盖章后提交至采购人、采购代理机构。</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质疑函范本地址：http://download.ccgp.gov.cn/2018/zhiyihanfanben.zip</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（4）在法定质疑期内，针对同一采购程序环节的质疑应当一次性提出。采购人、采购代理机构将在收到书面质疑后7个工作日内做出答复，并以书面形式通知质疑人和其他有关供应商。</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（5）有下列情形之一的，属于无效质疑：</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 对采购文件提出质疑的质疑人不是依法获取采购文件的潜在供应商；对采购过程、中标结果提出质疑的质疑人不是参与本次政府采购项目的供应商；</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② 超过法定期限或未以书面形式提出的；</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③ 缺乏必要的证明材料，或捏造事实、提供虚假材料，或以非法手段取得证明材料的；</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④ 质疑函没有合法有效的签字、盖章或委托授权书的（代理人提出质疑和投诉，应当提交供应商签署的授权委托书）；</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⑤ 针对同一采购程序环节又提出其他质疑事项的，或质疑答复后就同一事项再次提出质疑的；</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⑥ 不符合法律、法规、规章和政府采购监管机构规定的其他条件的。</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3．投诉</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疑供应商对采购人、采购代理机构的答复不满意，或者采购人、采购代理机构未在规定的时间内作出答复的，可以在答复期满后15个工作日内按照《政府采购质疑和投诉办法》（财政部94号令）相关规定向西安市高陵区财政局提出投诉。</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（2）供应商投诉的事项不得超出已质疑事项的范围。供应商提出投诉时，应当提交投诉书和必要的证明材料，并按财政部《投诉书范本》给定的格式进行填写。</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投诉书范本地址：</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http://download.ccgp.gov.cn/2018/tousushufanben.zip</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4．恶意质疑、投诉的法律后果</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（1）对捏造事实、提供虚假材料进行质疑、投诉的行为予以严肃处理：</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（2）对捏造事实诬告陷害他人、诽谤他人的法律适用：</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《中华人民共和国刑法》第243条【诬告陷害罪】捏造事实诬告陷害他人，意图使他人受刑事追究，情节严重的，处三年以下有期徒刑、拘役或者管制；造成严重后果的，处三年以上十年以下有期徒刑。</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《中华人民共和国刑法》第246条【侮辱罪、诽谤罪】以暴力或者其他方法公然侮辱他人或者捏造事实诽谤他人，情节严重的，处三年以下有期徒刑、拘役、管制或者剥夺政治权利。</w:t>
      </w:r>
    </w:p>
    <w:p>
      <w:pPr>
        <w:pStyle w:val="41"/>
        <w:spacing w:line="360" w:lineRule="auto"/>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14.履约保证金：本项目不要求提供</w:t>
      </w:r>
    </w:p>
    <w:p>
      <w:pPr>
        <w:pStyle w:val="41"/>
        <w:spacing w:line="360" w:lineRule="auto"/>
        <w:ind w:firstLine="482" w:firstLineChars="20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kern w:val="2"/>
          <w:sz w:val="24"/>
          <w:szCs w:val="24"/>
          <w:highlight w:val="none"/>
          <w:lang w:val="en-US" w:eastAsia="zh-CN" w:bidi="ar-SA"/>
        </w:rPr>
        <w:t>15.投标保证金：本项目不要求提</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供</w:t>
      </w:r>
    </w:p>
    <w:p>
      <w:pPr>
        <w:pStyle w:val="41"/>
        <w:spacing w:line="360" w:lineRule="auto"/>
        <w:ind w:firstLine="482" w:firstLineChars="200"/>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en-US" w:eastAsia="zh-CN"/>
        </w:rPr>
        <w:t>16.</w:t>
      </w:r>
      <w:r>
        <w:rPr>
          <w:rFonts w:hint="eastAsia" w:ascii="宋体" w:hAnsi="宋体" w:eastAsia="宋体" w:cs="宋体"/>
          <w:b/>
          <w:sz w:val="24"/>
          <w:szCs w:val="24"/>
          <w:highlight w:val="none"/>
          <w:lang w:val="zh-CN"/>
        </w:rPr>
        <w:t>融资平台</w:t>
      </w:r>
    </w:p>
    <w:p>
      <w:pPr>
        <w:spacing w:line="360" w:lineRule="auto"/>
        <w:ind w:firstLine="480" w:firstLineChars="200"/>
        <w:jc w:val="both"/>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pacing w:line="360" w:lineRule="auto"/>
        <w:ind w:firstLine="482" w:firstLineChars="200"/>
        <w:jc w:val="both"/>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网址:http://www.ccgp-</w:t>
      </w:r>
      <w:r>
        <w:rPr>
          <w:rFonts w:hint="eastAsia" w:ascii="宋体" w:hAnsi="宋体" w:eastAsia="宋体" w:cs="宋体"/>
          <w:sz w:val="24"/>
          <w:szCs w:val="24"/>
          <w:highlight w:val="none"/>
          <w:lang w:val="zh-CN"/>
        </w:rPr>
        <w:t>shaanxi.gov.cn/zcdservice/zcd/shanxi/s</w:t>
      </w:r>
    </w:p>
    <w:p>
      <w:pPr>
        <w:spacing w:line="360" w:lineRule="auto"/>
        <w:ind w:firstLine="482" w:firstLineChars="200"/>
        <w:jc w:val="both"/>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17.采购代理服务费</w:t>
      </w:r>
      <w:r>
        <w:rPr>
          <w:rFonts w:hint="eastAsia" w:ascii="宋体" w:hAnsi="宋体" w:eastAsia="宋体" w:cs="宋体"/>
          <w:sz w:val="24"/>
          <w:szCs w:val="24"/>
          <w:highlight w:val="none"/>
          <w:lang w:val="en-US" w:eastAsia="zh-CN"/>
        </w:rPr>
        <w:t>：</w:t>
      </w:r>
    </w:p>
    <w:p>
      <w:pPr>
        <w:spacing w:line="360" w:lineRule="auto"/>
        <w:ind w:firstLine="480" w:firstLineChars="200"/>
        <w:jc w:val="both"/>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招标代理服务费的计算方法：参照国家计委印发的《招标代理服务收费管理暂行办法》（计价格[2002]1980号）和国家发展和改革委员会办公厅印发的《关于招标代理服务收费有关问题的通知》（发改办价格[2003]857号）的有关规定。招标代理服务费的计算基数为3×中标金额（3年服务期）</w:t>
      </w:r>
      <w:r>
        <w:rPr>
          <w:rFonts w:hint="eastAsia" w:ascii="宋体" w:hAnsi="宋体" w:eastAsia="宋体" w:cs="宋体"/>
          <w:sz w:val="24"/>
          <w:szCs w:val="24"/>
          <w:highlight w:val="none"/>
          <w:lang w:val="zh-CN" w:eastAsia="zh-CN"/>
        </w:rPr>
        <w:t>。</w:t>
      </w:r>
    </w:p>
    <w:p>
      <w:pPr>
        <w:spacing w:line="360" w:lineRule="auto"/>
        <w:ind w:firstLine="480" w:firstLineChars="200"/>
        <w:jc w:val="both"/>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中标单位在领取中标通知书前，须向采购代理机构一次性支付招标代理服务费。</w:t>
      </w:r>
    </w:p>
    <w:p>
      <w:p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p>
    <w:p>
      <w:pPr>
        <w:pStyle w:val="3"/>
        <w:bidi w:val="0"/>
        <w:spacing w:line="360" w:lineRule="auto"/>
        <w:jc w:val="center"/>
        <w:rPr>
          <w:rFonts w:hint="eastAsia" w:ascii="宋体" w:hAnsi="宋体" w:eastAsia="宋体" w:cs="宋体"/>
          <w:sz w:val="24"/>
          <w:szCs w:val="24"/>
          <w:highlight w:val="none"/>
        </w:rPr>
      </w:pPr>
      <w:bookmarkStart w:id="228" w:name="_Toc26949"/>
      <w:bookmarkStart w:id="229" w:name="_Toc19397"/>
      <w:r>
        <w:rPr>
          <w:rFonts w:hint="eastAsia" w:ascii="宋体" w:hAnsi="宋体" w:eastAsia="宋体" w:cs="宋体"/>
          <w:sz w:val="24"/>
          <w:szCs w:val="24"/>
          <w:highlight w:val="none"/>
        </w:rPr>
        <w:t xml:space="preserve">第三部分 </w:t>
      </w:r>
      <w:bookmarkStart w:id="230" w:name="_Toc152042375"/>
      <w:bookmarkStart w:id="231" w:name="_Toc144974565"/>
      <w:bookmarkStart w:id="232" w:name="_Toc152045598"/>
      <w:r>
        <w:rPr>
          <w:rFonts w:hint="eastAsia" w:ascii="宋体" w:hAnsi="宋体" w:eastAsia="宋体" w:cs="宋体"/>
          <w:sz w:val="24"/>
          <w:szCs w:val="24"/>
          <w:highlight w:val="none"/>
        </w:rPr>
        <w:t>评标办法</w:t>
      </w:r>
      <w:bookmarkEnd w:id="20"/>
      <w:bookmarkEnd w:id="21"/>
      <w:bookmarkEnd w:id="228"/>
      <w:bookmarkEnd w:id="229"/>
    </w:p>
    <w:p>
      <w:pPr>
        <w:pStyle w:val="7"/>
        <w:keepNext w:val="0"/>
        <w:keepLines w:val="0"/>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1．评标委员会与评标</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1.1评标委员会依法组建，负责本项目的评标活动。</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1.2开标结束后，开始评标，评标采用保密方式进行。</w:t>
      </w:r>
    </w:p>
    <w:p>
      <w:pPr>
        <w:pStyle w:val="7"/>
        <w:keepNext w:val="0"/>
        <w:keepLines w:val="0"/>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2．评标过程的保密</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2.1开标后，直至授予中标人合同为止，凡属于对投标文件的审查、澄清、评价和比较有关的资料以及中标候选人的推荐情况，与评标有关的其他任何情况均属严格保密范围。</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2.2在投标文件的评审和比较、中标候选人推荐以及授予合同的过程中，供应商向采购人和评标委员会施加影响的任何行为，都将会导致其投标被拒绝。</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2.3中标人确定后，采购人不对未中标人就评标过程以及未能中标原因做出任何解释，亦不退回投标文件。未中标人不得向评标委员会组成人员或其他有关人员索问评标过程的情况和材料。</w:t>
      </w:r>
    </w:p>
    <w:p>
      <w:pPr>
        <w:pStyle w:val="7"/>
        <w:keepNext w:val="0"/>
        <w:keepLines w:val="0"/>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3．投标文件的澄清</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有助于投标文件的审查、评价和比较，评标委员会可以书面形式要求供应商对投标文件含义不明确的内容作必要的澄清或说明，供应商应采用书面形式进行澄清或说明，并经法定代表人或委托代理人签字盖章，但不得超出投标文件的范围或改变投标文件的实质性内容。根据本章第5条规定，凡属于评标委员会在评标中发现的计算错误并进行核实的修改不在此列。</w:t>
      </w:r>
    </w:p>
    <w:p>
      <w:pPr>
        <w:pStyle w:val="7"/>
        <w:keepNext w:val="0"/>
        <w:keepLines w:val="0"/>
        <w:numPr>
          <w:ilvl w:val="0"/>
          <w:numId w:val="3"/>
        </w:numPr>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投标文件的资格评审、初步评审</w:t>
      </w:r>
    </w:p>
    <w:p>
      <w:pPr>
        <w:spacing w:line="360" w:lineRule="auto"/>
        <w:ind w:firstLine="5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评审过程中对投标文件的判定，只依据投标文件的内容本身，不依据任何外来证明。</w:t>
      </w:r>
    </w:p>
    <w:p>
      <w:pPr>
        <w:spacing w:line="360" w:lineRule="auto"/>
        <w:ind w:firstLine="5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资格性评审：</w:t>
      </w:r>
      <w:r>
        <w:rPr>
          <w:rFonts w:hint="eastAsia" w:ascii="宋体" w:hAnsi="宋体" w:eastAsia="宋体" w:cs="宋体"/>
          <w:color w:val="000000" w:themeColor="text1"/>
          <w:sz w:val="24"/>
          <w:szCs w:val="24"/>
          <w:highlight w:val="none"/>
          <w14:textFill>
            <w14:solidFill>
              <w14:schemeClr w14:val="tx1"/>
            </w14:solidFill>
          </w14:textFill>
        </w:rPr>
        <w:t>开标后，采购人或采购代理机构对投标文件的资格</w:t>
      </w:r>
      <w:r>
        <w:rPr>
          <w:rFonts w:hint="eastAsia" w:ascii="宋体" w:hAnsi="宋体" w:eastAsia="宋体" w:cs="宋体"/>
          <w:color w:val="000000" w:themeColor="text1"/>
          <w:sz w:val="24"/>
          <w:szCs w:val="24"/>
          <w:highlight w:val="none"/>
          <w:lang w:eastAsia="zh-CN"/>
          <w14:textFill>
            <w14:solidFill>
              <w14:schemeClr w14:val="tx1"/>
            </w14:solidFill>
          </w14:textFill>
        </w:rPr>
        <w:t>进行审查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基本资格条件：符合《中华人民共和国政府采购法》第二十二条的规定；</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并提供以下资料：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（1）具有独立承担民事责任能力的法人或其他组织，提供有效存续的营业执照或事业单位法人证书或非企业专业服务机构执业许可证或民办非企业单位登记证书或自然人的身份证明；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（2）财务状况报告：提供经审计的2022年财务报告，包括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（3）税收缴纳证明：提供已缴纳的2022年11月至今任意一个月的纳税证明或完税证明，纳税证明或完税证明上应有代收机构或税务机关的公章或业务专用章。依法免税的供应商应提供相关文件证明；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（4）供应商须提供具有履行合同所必需的设备和专业技术能力的承诺；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社会保障资金缴纳证明：提供已缴存的2022年11月至今任意一个月的社会保障资金缴存单据或社保机构开具的社会保险参保缴费情况证明，单据或证明上应有社保机构或代收机构的公章或业务专用章。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（6）出具参加本次政府采购活动前三年内在经营活动中没有重大违法记录的书面声明；</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lang w:eastAsia="zh-CN"/>
        </w:rPr>
      </w:pPr>
      <w:r>
        <w:rPr>
          <w:rFonts w:hint="eastAsia" w:ascii="宋体" w:hAnsi="宋体" w:eastAsia="宋体" w:cs="宋体"/>
          <w:i w:val="0"/>
          <w:iCs w:val="0"/>
          <w:caps w:val="0"/>
          <w:color w:val="222222"/>
          <w:spacing w:val="0"/>
          <w:sz w:val="24"/>
          <w:szCs w:val="24"/>
          <w:highlight w:val="none"/>
          <w:shd w:val="clear" w:fill="FFFFFF"/>
        </w:rPr>
        <w:t>落实政府采购政策需满足的资格要求如下</w:t>
      </w:r>
      <w:r>
        <w:rPr>
          <w:rFonts w:hint="eastAsia" w:ascii="宋体" w:hAnsi="宋体" w:eastAsia="宋体" w:cs="宋体"/>
          <w:i w:val="0"/>
          <w:iCs w:val="0"/>
          <w:caps w:val="0"/>
          <w:color w:val="222222"/>
          <w:spacing w:val="0"/>
          <w:sz w:val="24"/>
          <w:szCs w:val="24"/>
          <w:highlight w:val="none"/>
          <w:shd w:val="clear" w:fill="FFFFFF"/>
          <w:lang w:eastAsia="zh-CN"/>
        </w:rPr>
        <w:t>：</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Style w:val="136"/>
          <w:rFonts w:hint="eastAsia" w:ascii="宋体" w:hAnsi="宋体" w:eastAsia="宋体" w:cs="宋体"/>
          <w:color w:val="000000"/>
          <w:kern w:val="0"/>
          <w:sz w:val="24"/>
          <w:szCs w:val="24"/>
          <w:highlight w:val="none"/>
        </w:rPr>
      </w:pPr>
      <w:r>
        <w:rPr>
          <w:rStyle w:val="136"/>
          <w:rFonts w:hint="eastAsia" w:ascii="宋体" w:hAnsi="宋体" w:eastAsia="宋体" w:cs="宋体"/>
          <w:color w:val="000000"/>
          <w:kern w:val="0"/>
          <w:sz w:val="24"/>
          <w:szCs w:val="24"/>
          <w:highlight w:val="none"/>
        </w:rPr>
        <w:t>本项目专门面向中小企业采购（残疾人福利性单位及监狱企业视同小型、微型企业）（提供声明函）。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特定资格条件：</w:t>
      </w:r>
    </w:p>
    <w:p>
      <w:pPr>
        <w:numPr>
          <w:ilvl w:val="0"/>
          <w:numId w:val="4"/>
        </w:numPr>
        <w:spacing w:line="360" w:lineRule="auto"/>
        <w:ind w:firstLine="50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投标人需具有公安机关核发的保安服务许可证（陕西省外企业还须出具承诺书，承诺自承接本项目之日起30日内向采购人所在地设区的市级人民政府公安机关备案）；</w:t>
      </w:r>
      <w:r>
        <w:rPr>
          <w:rFonts w:hint="eastAsia" w:ascii="宋体" w:hAnsi="宋体" w:eastAsia="宋体" w:cs="宋体"/>
          <w:i w:val="0"/>
          <w:iCs w:val="0"/>
          <w:caps w:val="0"/>
          <w:color w:val="222222"/>
          <w:spacing w:val="0"/>
          <w:sz w:val="24"/>
          <w:szCs w:val="24"/>
          <w:highlight w:val="none"/>
          <w:shd w:val="clear" w:fill="FFFFFF"/>
          <w:lang w:eastAsia="zh-CN"/>
        </w:rPr>
        <w:t>（合同包</w:t>
      </w:r>
      <w:r>
        <w:rPr>
          <w:rFonts w:hint="eastAsia" w:ascii="宋体" w:hAnsi="宋体" w:eastAsia="宋体" w:cs="宋体"/>
          <w:i w:val="0"/>
          <w:iCs w:val="0"/>
          <w:caps w:val="0"/>
          <w:color w:val="222222"/>
          <w:spacing w:val="0"/>
          <w:sz w:val="24"/>
          <w:szCs w:val="24"/>
          <w:highlight w:val="none"/>
          <w:shd w:val="clear" w:fill="FFFFFF"/>
          <w:lang w:val="en-US" w:eastAsia="zh-CN"/>
        </w:rPr>
        <w:t>2提供</w:t>
      </w:r>
      <w:r>
        <w:rPr>
          <w:rFonts w:hint="eastAsia" w:ascii="宋体" w:hAnsi="宋体" w:eastAsia="宋体" w:cs="宋体"/>
          <w:i w:val="0"/>
          <w:iCs w:val="0"/>
          <w:caps w:val="0"/>
          <w:color w:val="222222"/>
          <w:spacing w:val="0"/>
          <w:sz w:val="24"/>
          <w:szCs w:val="24"/>
          <w:highlight w:val="none"/>
          <w:shd w:val="clear" w:fill="FFFFFF"/>
          <w:lang w:eastAsia="zh-CN"/>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pPr>
        <w:numPr>
          <w:ilvl w:val="0"/>
          <w:numId w:val="4"/>
        </w:numPr>
        <w:spacing w:line="360" w:lineRule="auto"/>
        <w:ind w:firstLine="5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法定代表人参加投标的提供法定代表人身份证明及身份证，委托代理人参加投标的提供授权委托书及委托代理人身份证</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kern w:val="0"/>
          <w:sz w:val="24"/>
          <w:szCs w:val="24"/>
          <w:highlight w:val="none"/>
        </w:rPr>
        <w:t>备注：分支机构由分支机构负责人授权即可</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pPr>
        <w:spacing w:line="360" w:lineRule="auto"/>
        <w:ind w:firstLine="50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本项目不接受联合体投标（提供书面声明材料）</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符合性评审：</w:t>
      </w:r>
      <w:r>
        <w:rPr>
          <w:rFonts w:hint="eastAsia" w:ascii="宋体" w:hAnsi="宋体" w:eastAsia="宋体" w:cs="宋体"/>
          <w:color w:val="000000" w:themeColor="text1"/>
          <w:sz w:val="24"/>
          <w:szCs w:val="24"/>
          <w:highlight w:val="none"/>
          <w14:textFill>
            <w14:solidFill>
              <w14:schemeClr w14:val="tx1"/>
            </w14:solidFill>
          </w14:textFill>
        </w:rPr>
        <w:t>评标委员会从投标文件的对招标文件的响应程度进行审查，以确定其是否对招标文件实质性内容作出响应：</w:t>
      </w:r>
    </w:p>
    <w:tbl>
      <w:tblPr>
        <w:tblStyle w:val="4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613"/>
        <w:gridCol w:w="3454"/>
        <w:gridCol w:w="4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406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实质性条款</w:t>
            </w:r>
          </w:p>
        </w:tc>
        <w:tc>
          <w:tcPr>
            <w:tcW w:w="45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482"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61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有效性审查</w:t>
            </w:r>
          </w:p>
        </w:tc>
        <w:tc>
          <w:tcPr>
            <w:tcW w:w="3454"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投标文件封面、投标函两处的项目名称</w:t>
            </w:r>
          </w:p>
        </w:tc>
        <w:tc>
          <w:tcPr>
            <w:tcW w:w="4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两处均无遗漏，且与项目名称完全一致。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82"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0"/>
                <w:sz w:val="24"/>
                <w:szCs w:val="24"/>
                <w:highlight w:val="none"/>
              </w:rPr>
            </w:pPr>
          </w:p>
        </w:tc>
        <w:tc>
          <w:tcPr>
            <w:tcW w:w="613" w:type="dxa"/>
            <w:vMerge w:val="continue"/>
            <w:tcBorders>
              <w:left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34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投标文件签署、盖章</w:t>
            </w:r>
          </w:p>
        </w:tc>
        <w:tc>
          <w:tcPr>
            <w:tcW w:w="4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均按招标文件要求签字、盖章。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82"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0"/>
                <w:sz w:val="24"/>
                <w:szCs w:val="24"/>
                <w:highlight w:val="none"/>
              </w:rPr>
            </w:pPr>
          </w:p>
        </w:tc>
        <w:tc>
          <w:tcPr>
            <w:tcW w:w="613" w:type="dxa"/>
            <w:vMerge w:val="continue"/>
            <w:tcBorders>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34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投标文件的计量单位、语言、报价货币、投标有效期</w:t>
            </w:r>
          </w:p>
        </w:tc>
        <w:tc>
          <w:tcPr>
            <w:tcW w:w="4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计量单位、语言、报价货币、投标有效期均符合招标文件的要求。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82"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613" w:type="dxa"/>
            <w:vMerge w:val="restart"/>
            <w:tcBorders>
              <w:top w:val="single" w:color="auto" w:sz="4" w:space="0"/>
              <w:left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完整性审查</w:t>
            </w:r>
          </w:p>
        </w:tc>
        <w:tc>
          <w:tcPr>
            <w:tcW w:w="34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投标文件组成</w:t>
            </w:r>
          </w:p>
        </w:tc>
        <w:tc>
          <w:tcPr>
            <w:tcW w:w="4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按照招标文件</w:t>
            </w:r>
            <w:r>
              <w:rPr>
                <w:rFonts w:hint="eastAsia" w:ascii="宋体" w:hAnsi="宋体" w:eastAsia="宋体" w:cs="宋体"/>
                <w:color w:val="auto"/>
                <w:sz w:val="24"/>
                <w:szCs w:val="24"/>
                <w:highlight w:val="none"/>
              </w:rPr>
              <w:t>第六</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lang w:val="zh-CN"/>
              </w:rPr>
              <w:t>格式编写</w:t>
            </w:r>
            <w:r>
              <w:rPr>
                <w:rFonts w:hint="eastAsia" w:ascii="宋体" w:hAnsi="宋体" w:cs="宋体"/>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82"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0"/>
                <w:sz w:val="24"/>
                <w:szCs w:val="24"/>
                <w:highlight w:val="none"/>
              </w:rPr>
            </w:pPr>
          </w:p>
        </w:tc>
        <w:tc>
          <w:tcPr>
            <w:tcW w:w="613" w:type="dxa"/>
            <w:vMerge w:val="continue"/>
            <w:tcBorders>
              <w:left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34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投标内容的完整性</w:t>
            </w:r>
          </w:p>
        </w:tc>
        <w:tc>
          <w:tcPr>
            <w:tcW w:w="4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投标文件内容未出现漏项或与要求不符。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482"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61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zh-CN"/>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响应程度审查</w:t>
            </w:r>
          </w:p>
        </w:tc>
        <w:tc>
          <w:tcPr>
            <w:tcW w:w="3454"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4590" w:type="dxa"/>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符合招标文件要求</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1.投标报价符合唯一性要求；</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2.未超出招标文件规定的最高限价；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82"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613" w:type="dxa"/>
            <w:vMerge w:val="continue"/>
            <w:tcBorders>
              <w:left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3454"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合同条款响应</w:t>
            </w:r>
          </w:p>
        </w:tc>
        <w:tc>
          <w:tcPr>
            <w:tcW w:w="4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完整响应招标文件合同条款。</w:t>
            </w: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说明：以上各项有1项不合格，评审不予通过，作为未实质性响应招标文件。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4.1经审查符合以下条款有关规定的投标文件，才能提交评标委员会进行评审。</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4.1.1开标时，投标文件出现下列情形之一的，应当作为</w:t>
      </w:r>
      <w:r>
        <w:rPr>
          <w:rFonts w:hint="eastAsia" w:ascii="宋体" w:hAnsi="宋体" w:eastAsia="宋体" w:cs="宋体"/>
          <w:b/>
          <w:color w:val="000000" w:themeColor="text1"/>
          <w:sz w:val="24"/>
          <w:szCs w:val="24"/>
          <w:highlight w:val="none"/>
          <w14:textFill>
            <w14:solidFill>
              <w14:schemeClr w14:val="tx1"/>
            </w14:solidFill>
          </w14:textFill>
        </w:rPr>
        <w:t>无效投标</w:t>
      </w:r>
      <w:r>
        <w:rPr>
          <w:rFonts w:hint="eastAsia" w:ascii="宋体" w:hAnsi="宋体" w:eastAsia="宋体" w:cs="宋体"/>
          <w:color w:val="000000" w:themeColor="text1"/>
          <w:sz w:val="24"/>
          <w:szCs w:val="24"/>
          <w:highlight w:val="none"/>
          <w14:textFill>
            <w14:solidFill>
              <w14:schemeClr w14:val="tx1"/>
            </w14:solidFill>
          </w14:textFill>
        </w:rPr>
        <w:t>文件：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（1）投标截止时间以后</w:t>
      </w:r>
      <w:r>
        <w:rPr>
          <w:rFonts w:hint="eastAsia" w:ascii="宋体" w:hAnsi="宋体" w:eastAsia="宋体" w:cs="宋体"/>
          <w:color w:val="000000" w:themeColor="text1"/>
          <w:sz w:val="24"/>
          <w:szCs w:val="24"/>
          <w:highlight w:val="none"/>
          <w:lang w:val="en-US" w:eastAsia="zh-CN"/>
          <w14:textFill>
            <w14:solidFill>
              <w14:schemeClr w14:val="tx1"/>
            </w14:solidFill>
          </w14:textFill>
        </w:rPr>
        <w:t>上传</w:t>
      </w:r>
      <w:r>
        <w:rPr>
          <w:rFonts w:hint="eastAsia" w:ascii="宋体" w:hAnsi="宋体" w:eastAsia="宋体" w:cs="宋体"/>
          <w:color w:val="000000" w:themeColor="text1"/>
          <w:sz w:val="24"/>
          <w:szCs w:val="24"/>
          <w:highlight w:val="none"/>
          <w14:textFill>
            <w14:solidFill>
              <w14:schemeClr w14:val="tx1"/>
            </w14:solidFill>
          </w14:textFill>
        </w:rPr>
        <w:t>的投标文件；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（2）供应商没有经过正常渠道</w:t>
      </w:r>
      <w:r>
        <w:rPr>
          <w:rFonts w:hint="eastAsia" w:ascii="宋体" w:hAnsi="宋体" w:eastAsia="宋体" w:cs="宋体"/>
          <w:color w:val="000000" w:themeColor="text1"/>
          <w:sz w:val="24"/>
          <w:szCs w:val="24"/>
          <w:highlight w:val="none"/>
          <w:lang w:val="en-US" w:eastAsia="zh-CN"/>
          <w14:textFill>
            <w14:solidFill>
              <w14:schemeClr w14:val="tx1"/>
            </w14:solidFill>
          </w14:textFill>
        </w:rPr>
        <w:t>下载</w:t>
      </w:r>
      <w:r>
        <w:rPr>
          <w:rFonts w:hint="eastAsia" w:ascii="宋体" w:hAnsi="宋体" w:eastAsia="宋体" w:cs="宋体"/>
          <w:color w:val="000000" w:themeColor="text1"/>
          <w:sz w:val="24"/>
          <w:szCs w:val="24"/>
          <w:highlight w:val="none"/>
          <w14:textFill>
            <w14:solidFill>
              <w14:schemeClr w14:val="tx1"/>
            </w14:solidFill>
          </w14:textFill>
        </w:rPr>
        <w:t>招标文件或供应商的名称与登记领取招标文件单位的名称不符的（有工商行政管理部门提供相关变更手续的除外）；</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（3）投标文件未按照本招标文件的要求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加密</w:t>
      </w:r>
      <w:r>
        <w:rPr>
          <w:rFonts w:hint="eastAsia" w:ascii="宋体" w:hAnsi="宋体" w:eastAsia="宋体" w:cs="宋体"/>
          <w:color w:val="000000" w:themeColor="text1"/>
          <w:sz w:val="24"/>
          <w:szCs w:val="24"/>
          <w:highlight w:val="none"/>
          <w14:textFill>
            <w14:solidFill>
              <w14:schemeClr w14:val="tx1"/>
            </w14:solidFill>
          </w14:textFill>
        </w:rPr>
        <w:t>的；</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4.1.2采购人将有效投标文件，送评标委员会进行评审。</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评标时，评标委员会将首先评定每份投标文件是否在实质上响应了招标文件的要求。所谓实质上响应，是指投标文件应与招标文件的所有实质性条款、条件和要求相符，无显著差异或保留，或者对合同中约定的采购人的权利和供应商的义务方面造成重大的限制，纠正这些显著差异或保留其重大的限制将会对其他实质上响应招标文件要求的投标文件的供应商的竞争地位产生不公正的影响。</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如果投标文件实质上不响应招标文件的各项要求，或投标文件的编制、内容及责任与招标文件的要求有重大偏差，经评标委员会2/3以上成员确认后，评标委员会将予以拒绝投标，并且不允许供应商通过修改或撤销其不符合要求的差异或保留，使之成为具有响应性的投标。</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4.3.1投标文件有下列情形之一的，评标委员会应当认定投标文件初步评审（符合性评审）不合格，否决其投标：</w:t>
      </w:r>
    </w:p>
    <w:p>
      <w:pPr>
        <w:spacing w:line="360" w:lineRule="auto"/>
        <w:ind w:firstLine="5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4.3.1.1投标文件未按招标文件要求签署、盖章的；</w:t>
      </w:r>
    </w:p>
    <w:p>
      <w:pPr>
        <w:spacing w:line="360" w:lineRule="auto"/>
        <w:ind w:firstLine="5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4.3.1.2不具备招标文件中规定的资格要求的；</w:t>
      </w:r>
    </w:p>
    <w:p>
      <w:pPr>
        <w:spacing w:line="360" w:lineRule="auto"/>
        <w:ind w:firstLine="5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4.3.1.3报价超过招标文件中规定的最高限价的；</w:t>
      </w:r>
    </w:p>
    <w:p>
      <w:pPr>
        <w:spacing w:line="360" w:lineRule="auto"/>
        <w:ind w:firstLine="5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4.3.1.4投标文件的技术、商务要求</w:t>
      </w:r>
      <w:r>
        <w:rPr>
          <w:rFonts w:hint="eastAsia" w:ascii="宋体" w:hAnsi="宋体" w:eastAsia="宋体" w:cs="宋体"/>
          <w:color w:val="000000" w:themeColor="text1"/>
          <w:sz w:val="24"/>
          <w:szCs w:val="24"/>
          <w:highlight w:val="none"/>
          <w14:textFill>
            <w14:solidFill>
              <w14:schemeClr w14:val="tx1"/>
            </w14:solidFill>
          </w14:textFill>
        </w:rPr>
        <w:t>明显不满足招标文件要求的，或在投标文件中提出与招标文件相抵触要求或对招标文件有重大保留，包括重新划定风险范围，改变各方的权利和义务，不能满足采购人合同期限要求，提出不同的质量标准、验收方法、计量方法和纠纷处理办法，含有采购人不能接受的附加条件的。</w:t>
      </w:r>
    </w:p>
    <w:p>
      <w:pPr>
        <w:spacing w:line="360" w:lineRule="auto"/>
        <w:ind w:firstLine="5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4.3.1.5</w:t>
      </w:r>
      <w:r>
        <w:rPr>
          <w:rFonts w:hint="eastAsia" w:ascii="宋体" w:hAnsi="宋体" w:eastAsia="宋体" w:cs="宋体"/>
          <w:color w:val="000000" w:themeColor="text1"/>
          <w:sz w:val="24"/>
          <w:szCs w:val="24"/>
          <w:highlight w:val="none"/>
          <w14:textFill>
            <w14:solidFill>
              <w14:schemeClr w14:val="tx1"/>
            </w14:solidFill>
          </w14:textFill>
        </w:rPr>
        <w:t>无投标有效期或有效期达不到招标文件的要求；</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4.3.1.6</w:t>
      </w:r>
      <w:r>
        <w:rPr>
          <w:rFonts w:hint="eastAsia" w:ascii="宋体" w:hAnsi="宋体" w:eastAsia="宋体" w:cs="宋体"/>
          <w:color w:val="000000" w:themeColor="text1"/>
          <w:kern w:val="0"/>
          <w:sz w:val="24"/>
          <w:szCs w:val="24"/>
          <w:highlight w:val="none"/>
          <w14:textFill>
            <w14:solidFill>
              <w14:schemeClr w14:val="tx1"/>
            </w14:solidFill>
          </w14:textFill>
        </w:rPr>
        <w:t>法律、法规及行业有关规定的其他情形。</w:t>
      </w:r>
    </w:p>
    <w:p>
      <w:pPr>
        <w:spacing w:line="360" w:lineRule="auto"/>
        <w:ind w:firstLine="5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4.3.2投标文件有下列情形之一的，评标委员会应当认定投标文件按废标处理：</w:t>
      </w:r>
    </w:p>
    <w:p>
      <w:pPr>
        <w:spacing w:line="360" w:lineRule="auto"/>
        <w:ind w:firstLine="5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4.3.2.1同一投标人提交两个以上不同的投标文件或者投标报价，但招标文件要求提交备选投标的除外；</w:t>
      </w:r>
    </w:p>
    <w:p>
      <w:pPr>
        <w:spacing w:line="360" w:lineRule="auto"/>
        <w:ind w:firstLine="5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4.3.2.2投标人有串通投标、弄虚作假、行贿等违法行为。</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4.3.2.3供应商</w:t>
      </w:r>
      <w:r>
        <w:rPr>
          <w:rFonts w:hint="eastAsia" w:ascii="宋体" w:hAnsi="宋体" w:eastAsia="宋体" w:cs="宋体"/>
          <w:color w:val="000000" w:themeColor="text1"/>
          <w:kern w:val="0"/>
          <w:sz w:val="24"/>
          <w:szCs w:val="24"/>
          <w:highlight w:val="none"/>
          <w14:textFill>
            <w14:solidFill>
              <w14:schemeClr w14:val="tx1"/>
            </w14:solidFill>
          </w14:textFill>
        </w:rPr>
        <w:t>恶意竞标，供应商代表恶意扰乱开标会场秩序且不听劝阻的；</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4.3.2.4拒绝或不按评标委员会要求澄清、说明或补正的</w:t>
      </w:r>
      <w:r>
        <w:rPr>
          <w:rFonts w:hint="eastAsia" w:ascii="宋体" w:hAnsi="宋体" w:eastAsia="宋体" w:cs="宋体"/>
          <w:color w:val="000000" w:themeColor="text1"/>
          <w:kern w:val="0"/>
          <w:sz w:val="24"/>
          <w:szCs w:val="24"/>
          <w:highlight w:val="none"/>
          <w14:textFill>
            <w14:solidFill>
              <w14:schemeClr w14:val="tx1"/>
            </w14:solidFill>
          </w14:textFill>
        </w:rPr>
        <w:t>；</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4.3.2.5未按招标文件指定格式填写“开标一览表”或“分项报价表”，或出现漏项或投标产品品目、数量、服务内容与招标文件要求不符(数量不足)；</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提供虚假证明，开具虚假资质，除按无效投标文件处理外，还应由国家管理机关依据相关法律法规进行相应的处罚；</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4.4供应商有下列情形之一的，应认定为串通投标行为：</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4.4.1不同投标人的投标文件由同一单位或者个人编制；</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4.4.2不同投标人委托同一单位或者个人办理投标事宜；</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4.4.3不同投标人的投标文件载明的项目管理成员为同一人；</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4.4.4不同投标人的投标文件异常一致或者投标报价呈规律性差异；</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4.5使用通过受让或者租借等方式获取的资格、资质证书投标的，属于以他人名义投标。投标人有下列情形之一的，属于以其他方式弄虚作假的行为：</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4.5.1使用伪造、变造的许可证件；</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4.5.2提供虚假的财务状况或者业绩；</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4.5.3提供虚假的项目负责人或者主要技术人员简历、劳动关系证明；</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4.5.4提供虚假的信用状况；</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4.5.5其他弄虚作假的行为。</w:t>
      </w:r>
    </w:p>
    <w:p>
      <w:pPr>
        <w:pStyle w:val="7"/>
        <w:keepNext w:val="0"/>
        <w:keepLines w:val="0"/>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5．投标文件计算错误的修正</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5.1评标委员会将对确定为实质上响应招标文件要求的投标文件进行校核，看其是否有计算或表达上的错误，修正错误的原则如下：</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5.1.1投标文件中开标一览表（报价表）内容与投标文件中相应内容不一致的，以开标一览表（报价表）为准；</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5.1.2大写金额和小写金额不一致的，以大写金额为准；</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5.1.3单价金额小数点或者百分比有明显错位的，以开标一览表为准，并修改单价；</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5.2同时出现两种以上不一致的，按照前款规定的顺序修正。修正后的报价经投标人确认后产生约束力，投标人不确认的，其投标无效。</w:t>
      </w:r>
    </w:p>
    <w:p>
      <w:pPr>
        <w:pStyle w:val="7"/>
        <w:keepNext w:val="0"/>
        <w:keepLines w:val="0"/>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6．投标文件的评审、比较和否决</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6.1评标委员会将按照本章“评标办法”第4条规定，仅对在实质上响应招标文件要求的投标文件进行评估和比较。</w:t>
      </w:r>
    </w:p>
    <w:p>
      <w:pPr>
        <w:spacing w:line="360" w:lineRule="auto"/>
        <w:ind w:firstLine="480"/>
        <w:rPr>
          <w:rFonts w:hint="eastAsia" w:ascii="宋体" w:hAnsi="宋体" w:eastAsia="宋体" w:cs="宋体"/>
          <w:i/>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6.2在评审过程中,评标委员会可以以书面形式要求供应商就投标文件中含义不明确的内容进行书面说明并提供相关材料。</w:t>
      </w:r>
    </w:p>
    <w:p>
      <w:pPr>
        <w:spacing w:line="360" w:lineRule="auto"/>
        <w:ind w:firstLine="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6.3评标委员会依据规定的评标标准和方法，对投标文件进行评审和比较，向采购人提出书面评标报告，并推荐合格的中标候选人。采购人根据评标委员会提出的书面评标报告和推荐的中标候选人确定中标人。</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6.4评标方法和标准</w:t>
      </w:r>
    </w:p>
    <w:p>
      <w:pPr>
        <w:spacing w:line="360" w:lineRule="auto"/>
        <w:ind w:firstLine="500"/>
        <w:rPr>
          <w:rFonts w:hint="eastAsia" w:ascii="宋体" w:hAnsi="宋体" w:eastAsia="宋体" w:cs="宋体"/>
          <w:color w:val="000000" w:themeColor="text1"/>
          <w:sz w:val="24"/>
          <w:szCs w:val="24"/>
          <w:highlight w:val="none"/>
          <w:shd w:val="pct10" w:color="auto" w:fill="FFFFFF"/>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6.4.1本次招标采用百分制评标方法。在满足招标文件的实质性要求（合同期限、投标有效期、工作内容和要求、安全和合理低价）条件下，评标委员会选择综合得分由最高到低排序前三名的供应商作为中标候选人并向采购人推荐。</w:t>
      </w:r>
    </w:p>
    <w:p>
      <w:pPr>
        <w:spacing w:line="360" w:lineRule="auto"/>
        <w:ind w:firstLine="49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6.4.2评分内容及步骤</w:t>
      </w:r>
    </w:p>
    <w:p>
      <w:pPr>
        <w:spacing w:line="360" w:lineRule="auto"/>
        <w:ind w:firstLine="49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6.4.2.1评审内容：</w:t>
      </w:r>
    </w:p>
    <w:p>
      <w:pPr>
        <w:numPr>
          <w:ilvl w:val="0"/>
          <w:numId w:val="5"/>
        </w:numPr>
        <w:autoSpaceDE w:val="0"/>
        <w:autoSpaceDN w:val="0"/>
        <w:adjustRightInd w:val="0"/>
        <w:spacing w:after="6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投标文件评审内容和分值：评审总分100分，各分值分配如下：</w:t>
      </w:r>
    </w:p>
    <w:p>
      <w:pPr>
        <w:pStyle w:val="28"/>
        <w:spacing w:line="360" w:lineRule="auto"/>
        <w:rPr>
          <w:rFonts w:hint="eastAsia" w:ascii="宋体" w:hAnsi="宋体" w:eastAsia="宋体" w:cs="宋体"/>
          <w:b/>
          <w:color w:val="000000" w:themeColor="text1"/>
          <w:spacing w:val="4"/>
          <w:sz w:val="24"/>
          <w:szCs w:val="24"/>
          <w:highlight w:val="none"/>
          <w14:textFill>
            <w14:solidFill>
              <w14:schemeClr w14:val="tx1"/>
            </w14:solidFill>
          </w14:textFill>
        </w:rPr>
      </w:pPr>
      <w:r>
        <w:rPr>
          <w:rFonts w:hint="eastAsia" w:ascii="宋体" w:hAnsi="宋体" w:eastAsia="宋体" w:cs="宋体"/>
          <w:b/>
          <w:color w:val="000000" w:themeColor="text1"/>
          <w:spacing w:val="4"/>
          <w:sz w:val="24"/>
          <w:szCs w:val="24"/>
          <w:highlight w:val="none"/>
          <w14:textFill>
            <w14:solidFill>
              <w14:schemeClr w14:val="tx1"/>
            </w14:solidFill>
          </w14:textFill>
        </w:rPr>
        <w:t>评标因素及权重分值表</w:t>
      </w:r>
    </w:p>
    <w:p>
      <w:pPr>
        <w:pStyle w:val="28"/>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pacing w:val="4"/>
          <w:sz w:val="24"/>
          <w:szCs w:val="24"/>
          <w:highlight w:val="none"/>
          <w:lang w:eastAsia="zh-CN"/>
          <w14:textFill>
            <w14:solidFill>
              <w14:schemeClr w14:val="tx1"/>
            </w14:solidFill>
          </w14:textFill>
        </w:rPr>
        <w:t>一包</w:t>
      </w:r>
    </w:p>
    <w:tbl>
      <w:tblPr>
        <w:tblStyle w:val="42"/>
        <w:tblW w:w="52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821"/>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21" w:type="pct"/>
            <w:tcBorders>
              <w:top w:val="single" w:color="auto" w:sz="4" w:space="0"/>
              <w:left w:val="single" w:color="auto" w:sz="4" w:space="0"/>
              <w:bottom w:val="single" w:color="auto" w:sz="4" w:space="0"/>
              <w:right w:val="single" w:color="auto" w:sz="4" w:space="0"/>
            </w:tcBorders>
            <w:vAlign w:val="center"/>
          </w:tcPr>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w:t>
            </w:r>
          </w:p>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408" w:type="pct"/>
            <w:tcBorders>
              <w:top w:val="single" w:color="auto" w:sz="4" w:space="0"/>
              <w:left w:val="single" w:color="auto" w:sz="4" w:space="0"/>
              <w:bottom w:val="single" w:color="auto" w:sz="4" w:space="0"/>
              <w:right w:val="single" w:color="auto" w:sz="4" w:space="0"/>
            </w:tcBorders>
            <w:vAlign w:val="center"/>
          </w:tcPr>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4170"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1.经初审合格的投标文件，其投标总报价为有效投标报价。</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2.满足</w:t>
            </w:r>
            <w:r>
              <w:rPr>
                <w:rFonts w:hint="eastAsia" w:ascii="宋体" w:hAnsi="宋体" w:cs="宋体"/>
                <w:sz w:val="24"/>
                <w:szCs w:val="24"/>
                <w:highlight w:val="none"/>
                <w:lang w:eastAsia="zh-CN"/>
              </w:rPr>
              <w:t>招</w:t>
            </w:r>
            <w:r>
              <w:rPr>
                <w:rFonts w:hint="eastAsia" w:ascii="宋体" w:hAnsi="宋体" w:eastAsia="宋体" w:cs="宋体"/>
                <w:sz w:val="24"/>
                <w:szCs w:val="24"/>
                <w:highlight w:val="none"/>
              </w:rPr>
              <w:t>标文件实质性要求且最终报价总报价最低的供应商的价格为投标基准价，其价格分为满分10分。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3.投标报价得分=（投标基准价/投标报价）×10。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21" w:type="pct"/>
            <w:tcBorders>
              <w:top w:val="single" w:color="auto" w:sz="4" w:space="0"/>
              <w:left w:val="single" w:color="auto" w:sz="4" w:space="0"/>
              <w:bottom w:val="single" w:color="auto" w:sz="4" w:space="0"/>
              <w:right w:val="single" w:color="auto" w:sz="4" w:space="0"/>
            </w:tcBorders>
            <w:vAlign w:val="center"/>
          </w:tcPr>
          <w:p>
            <w:pPr>
              <w:spacing w:line="360" w:lineRule="auto"/>
              <w:ind w:left="-118" w:leftChars="-56" w:right="-94" w:rightChars="-45"/>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w:t>
            </w:r>
          </w:p>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方案</w:t>
            </w:r>
          </w:p>
        </w:tc>
        <w:tc>
          <w:tcPr>
            <w:tcW w:w="408" w:type="pct"/>
            <w:tcBorders>
              <w:top w:val="single" w:color="auto" w:sz="4" w:space="0"/>
              <w:left w:val="single" w:color="auto" w:sz="4" w:space="0"/>
              <w:bottom w:val="single" w:color="auto" w:sz="4" w:space="0"/>
              <w:right w:val="single" w:color="auto" w:sz="4" w:space="0"/>
            </w:tcBorders>
            <w:vAlign w:val="center"/>
          </w:tcPr>
          <w:p>
            <w:pPr>
              <w:pStyle w:val="12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c>
          <w:tcPr>
            <w:tcW w:w="4170" w:type="pct"/>
            <w:tcBorders>
              <w:top w:val="single" w:color="auto" w:sz="4" w:space="0"/>
              <w:left w:val="single" w:color="auto" w:sz="4" w:space="0"/>
              <w:bottom w:val="single" w:color="auto" w:sz="4" w:space="0"/>
              <w:right w:val="single" w:color="auto" w:sz="4" w:space="0"/>
            </w:tcBorders>
            <w:vAlign w:val="center"/>
          </w:tcPr>
          <w:p>
            <w:pPr>
              <w:pStyle w:val="2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供应商拟定针对本项目的总体服务方案，根据其科学性、可行性综合打分</w:t>
            </w:r>
            <w:r>
              <w:rPr>
                <w:rFonts w:hint="eastAsia" w:ascii="宋体" w:hAnsi="宋体" w:eastAsia="宋体" w:cs="宋体"/>
                <w:sz w:val="24"/>
                <w:szCs w:val="24"/>
                <w:highlight w:val="none"/>
                <w:lang w:eastAsia="zh-CN"/>
              </w:rPr>
              <w:t>。</w:t>
            </w:r>
          </w:p>
          <w:p>
            <w:pPr>
              <w:pStyle w:val="2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（1）服务目标明确，</w:t>
            </w:r>
            <w:r>
              <w:rPr>
                <w:rFonts w:hint="eastAsia" w:ascii="宋体" w:hAnsi="宋体" w:eastAsia="宋体" w:cs="宋体"/>
                <w:sz w:val="24"/>
                <w:szCs w:val="24"/>
                <w:highlight w:val="none"/>
                <w:lang w:eastAsia="zh-CN"/>
              </w:rPr>
              <w:t>服务内容完整、考量全面</w:t>
            </w:r>
            <w:r>
              <w:rPr>
                <w:rFonts w:hint="eastAsia" w:ascii="宋体" w:hAnsi="宋体" w:eastAsia="宋体" w:cs="宋体"/>
                <w:sz w:val="24"/>
                <w:szCs w:val="24"/>
                <w:highlight w:val="none"/>
              </w:rPr>
              <w:t>的计</w:t>
            </w:r>
            <w:r>
              <w:rPr>
                <w:rFonts w:hint="eastAsia" w:ascii="宋体" w:hAnsi="宋体" w:eastAsia="宋体" w:cs="宋体"/>
                <w:sz w:val="24"/>
                <w:szCs w:val="24"/>
                <w:highlight w:val="none"/>
                <w:lang w:val="en-US" w:eastAsia="zh-CN"/>
              </w:rPr>
              <w:t>8-13分</w:t>
            </w:r>
            <w:r>
              <w:rPr>
                <w:rFonts w:hint="eastAsia" w:ascii="宋体" w:hAnsi="宋体" w:eastAsia="宋体" w:cs="宋体"/>
                <w:sz w:val="24"/>
                <w:szCs w:val="24"/>
                <w:highlight w:val="none"/>
              </w:rPr>
              <w:t xml:space="preserve">； </w:t>
            </w:r>
          </w:p>
          <w:p>
            <w:pPr>
              <w:pStyle w:val="2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服务方案简单</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但</w:t>
            </w:r>
            <w:r>
              <w:rPr>
                <w:rFonts w:hint="eastAsia" w:ascii="宋体" w:hAnsi="宋体" w:eastAsia="宋体" w:cs="宋体"/>
                <w:sz w:val="24"/>
                <w:szCs w:val="24"/>
                <w:highlight w:val="none"/>
              </w:rPr>
              <w:t>符合项目实施整体安排的计</w:t>
            </w:r>
            <w:r>
              <w:rPr>
                <w:rFonts w:hint="eastAsia" w:ascii="宋体" w:hAnsi="宋体" w:eastAsia="宋体" w:cs="宋体"/>
                <w:sz w:val="24"/>
                <w:szCs w:val="24"/>
                <w:highlight w:val="none"/>
                <w:lang w:val="en-US" w:eastAsia="zh-CN"/>
              </w:rPr>
              <w:t>4-8分</w:t>
            </w:r>
            <w:r>
              <w:rPr>
                <w:rFonts w:hint="eastAsia" w:ascii="宋体" w:hAnsi="宋体" w:eastAsia="宋体" w:cs="宋体"/>
                <w:sz w:val="24"/>
                <w:szCs w:val="24"/>
                <w:highlight w:val="none"/>
              </w:rPr>
              <w:t>；</w:t>
            </w:r>
          </w:p>
          <w:p>
            <w:pPr>
              <w:pStyle w:val="2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服务内容</w:t>
            </w:r>
            <w:r>
              <w:rPr>
                <w:rFonts w:hint="eastAsia" w:ascii="宋体" w:hAnsi="宋体" w:eastAsia="宋体" w:cs="宋体"/>
                <w:sz w:val="24"/>
                <w:szCs w:val="24"/>
                <w:highlight w:val="none"/>
                <w:lang w:val="en-US" w:eastAsia="zh-CN"/>
              </w:rPr>
              <w:t>笼统有缺失的</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0-4分</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421" w:type="pct"/>
            <w:tcBorders>
              <w:top w:val="single" w:color="auto" w:sz="4" w:space="0"/>
              <w:left w:val="single" w:color="auto" w:sz="4" w:space="0"/>
              <w:right w:val="single" w:color="auto" w:sz="4" w:space="0"/>
            </w:tcBorders>
            <w:vAlign w:val="center"/>
          </w:tcPr>
          <w:p>
            <w:pPr>
              <w:spacing w:line="360" w:lineRule="auto"/>
              <w:ind w:left="-118" w:leftChars="-56" w:right="-94" w:rightChars="-45"/>
              <w:jc w:val="center"/>
              <w:rPr>
                <w:rFonts w:hint="eastAsia" w:ascii="宋体" w:hAnsi="宋体" w:eastAsia="宋体" w:cs="宋体"/>
                <w:sz w:val="24"/>
                <w:szCs w:val="24"/>
                <w:highlight w:val="none"/>
              </w:rPr>
            </w:pPr>
            <w:bookmarkStart w:id="233" w:name="_Hlk8637734"/>
            <w:r>
              <w:rPr>
                <w:rFonts w:hint="eastAsia" w:ascii="宋体" w:hAnsi="宋体" w:eastAsia="宋体" w:cs="宋体"/>
                <w:sz w:val="24"/>
                <w:szCs w:val="24"/>
                <w:highlight w:val="none"/>
              </w:rPr>
              <w:t>拟投入的设备工具</w:t>
            </w:r>
          </w:p>
        </w:tc>
        <w:tc>
          <w:tcPr>
            <w:tcW w:w="408" w:type="pct"/>
            <w:tcBorders>
              <w:top w:val="single" w:color="auto" w:sz="4" w:space="0"/>
              <w:left w:val="single" w:color="auto" w:sz="4" w:space="0"/>
              <w:right w:val="single" w:color="auto" w:sz="4" w:space="0"/>
            </w:tcBorders>
            <w:vAlign w:val="center"/>
          </w:tcPr>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c>
          <w:tcPr>
            <w:tcW w:w="4170"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评标委员会根据拟投入的设备工具、劳保用品、人员工作服装、清洁工具、通讯工具等的配备情况等方面进行打分，</w:t>
            </w:r>
          </w:p>
          <w:p>
            <w:pPr>
              <w:pStyle w:val="2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（1）所投入的设备工具种类齐全、数量充足，能及时补充、更换的计</w:t>
            </w:r>
            <w:r>
              <w:rPr>
                <w:rFonts w:hint="eastAsia" w:ascii="宋体" w:hAnsi="宋体" w:eastAsia="宋体" w:cs="宋体"/>
                <w:sz w:val="24"/>
                <w:szCs w:val="24"/>
                <w:highlight w:val="none"/>
                <w:lang w:val="en-US" w:eastAsia="zh-CN"/>
              </w:rPr>
              <w:t>8-13分</w:t>
            </w:r>
            <w:r>
              <w:rPr>
                <w:rFonts w:hint="eastAsia" w:ascii="宋体" w:hAnsi="宋体" w:eastAsia="宋体" w:cs="宋体"/>
                <w:sz w:val="24"/>
                <w:szCs w:val="24"/>
                <w:highlight w:val="none"/>
              </w:rPr>
              <w:t xml:space="preserve">； </w:t>
            </w:r>
          </w:p>
          <w:p>
            <w:pPr>
              <w:pStyle w:val="2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（2）所投入的设备工具满足需要，符合项目实施整体安排的计</w:t>
            </w:r>
            <w:r>
              <w:rPr>
                <w:rFonts w:hint="eastAsia" w:ascii="宋体" w:hAnsi="宋体" w:eastAsia="宋体" w:cs="宋体"/>
                <w:sz w:val="24"/>
                <w:szCs w:val="24"/>
                <w:highlight w:val="none"/>
                <w:lang w:val="en-US" w:eastAsia="zh-CN"/>
              </w:rPr>
              <w:t>4-8分</w:t>
            </w:r>
            <w:r>
              <w:rPr>
                <w:rFonts w:hint="eastAsia" w:ascii="宋体" w:hAnsi="宋体" w:eastAsia="宋体" w:cs="宋体"/>
                <w:sz w:val="24"/>
                <w:szCs w:val="24"/>
                <w:highlight w:val="none"/>
              </w:rPr>
              <w:t>；</w:t>
            </w:r>
          </w:p>
          <w:p>
            <w:pPr>
              <w:pStyle w:val="2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（3）所投入的设备工具种类</w:t>
            </w:r>
            <w:r>
              <w:rPr>
                <w:rFonts w:hint="eastAsia" w:ascii="宋体" w:hAnsi="宋体" w:eastAsia="宋体" w:cs="宋体"/>
                <w:sz w:val="24"/>
                <w:szCs w:val="24"/>
                <w:highlight w:val="none"/>
                <w:lang w:val="en-US" w:eastAsia="zh-CN"/>
              </w:rPr>
              <w:t>笼统简单</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不能</w:t>
            </w:r>
            <w:r>
              <w:rPr>
                <w:rFonts w:hint="eastAsia" w:ascii="宋体" w:hAnsi="宋体" w:eastAsia="宋体" w:cs="宋体"/>
                <w:sz w:val="24"/>
                <w:szCs w:val="24"/>
                <w:highlight w:val="none"/>
                <w:lang w:val="en-US" w:eastAsia="zh-CN"/>
              </w:rPr>
              <w:t>满足</w:t>
            </w:r>
            <w:r>
              <w:rPr>
                <w:rFonts w:hint="eastAsia" w:ascii="宋体" w:hAnsi="宋体" w:eastAsia="宋体" w:cs="宋体"/>
                <w:sz w:val="24"/>
                <w:szCs w:val="24"/>
                <w:highlight w:val="none"/>
              </w:rPr>
              <w:t>项目实施整体安排的计</w:t>
            </w:r>
            <w:r>
              <w:rPr>
                <w:rFonts w:hint="eastAsia" w:ascii="宋体" w:hAnsi="宋体" w:eastAsia="宋体" w:cs="宋体"/>
                <w:sz w:val="24"/>
                <w:szCs w:val="24"/>
                <w:highlight w:val="none"/>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421" w:type="pct"/>
            <w:tcBorders>
              <w:top w:val="single" w:color="auto" w:sz="4" w:space="0"/>
              <w:left w:val="single" w:color="auto" w:sz="4" w:space="0"/>
              <w:right w:val="single" w:color="auto" w:sz="4" w:space="0"/>
            </w:tcBorders>
            <w:vAlign w:val="center"/>
          </w:tcPr>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组织</w:t>
            </w:r>
          </w:p>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机构</w:t>
            </w:r>
          </w:p>
        </w:tc>
        <w:tc>
          <w:tcPr>
            <w:tcW w:w="408" w:type="pct"/>
            <w:tcBorders>
              <w:top w:val="single" w:color="auto" w:sz="4" w:space="0"/>
              <w:left w:val="single" w:color="auto" w:sz="4" w:space="0"/>
              <w:right w:val="single" w:color="auto" w:sz="4" w:space="0"/>
            </w:tcBorders>
            <w:vAlign w:val="center"/>
          </w:tcPr>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c>
          <w:tcPr>
            <w:tcW w:w="4170" w:type="pct"/>
            <w:tcBorders>
              <w:top w:val="single" w:color="auto" w:sz="4" w:space="0"/>
              <w:left w:val="single" w:color="auto" w:sz="4" w:space="0"/>
              <w:bottom w:val="single" w:color="auto" w:sz="4" w:space="0"/>
              <w:right w:val="single" w:color="auto" w:sz="4" w:space="0"/>
            </w:tcBorders>
            <w:vAlign w:val="center"/>
          </w:tcPr>
          <w:p>
            <w:pPr>
              <w:pStyle w:val="2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评标委员会根据管理机构、工作职能组织运行图，阐述管理负责人的管理职责、内部管理的职责分工，日常管理制度、程序规范等方面进行打分，</w:t>
            </w:r>
          </w:p>
          <w:p>
            <w:pPr>
              <w:pStyle w:val="12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（1）组织机构</w:t>
            </w:r>
            <w:r>
              <w:rPr>
                <w:rFonts w:hint="eastAsia" w:ascii="宋体" w:hAnsi="宋体" w:eastAsia="宋体" w:cs="宋体"/>
                <w:sz w:val="24"/>
                <w:szCs w:val="24"/>
                <w:highlight w:val="none"/>
                <w:lang w:val="en-US" w:eastAsia="zh-CN"/>
              </w:rPr>
              <w:t>科学</w:t>
            </w:r>
            <w:r>
              <w:rPr>
                <w:rFonts w:hint="eastAsia" w:ascii="宋体" w:hAnsi="宋体" w:eastAsia="宋体" w:cs="宋体"/>
                <w:sz w:val="24"/>
                <w:szCs w:val="24"/>
                <w:highlight w:val="none"/>
                <w:lang w:val="zh-CN"/>
              </w:rPr>
              <w:t>合理，</w:t>
            </w:r>
            <w:r>
              <w:rPr>
                <w:rFonts w:hint="eastAsia" w:ascii="宋体" w:hAnsi="宋体" w:eastAsia="宋体" w:cs="宋体"/>
                <w:sz w:val="24"/>
                <w:szCs w:val="24"/>
                <w:highlight w:val="none"/>
              </w:rPr>
              <w:t>管理负责人的管理职责、内部管理的职责分工</w:t>
            </w:r>
            <w:r>
              <w:rPr>
                <w:rFonts w:hint="eastAsia" w:ascii="宋体" w:hAnsi="宋体" w:eastAsia="宋体" w:cs="宋体"/>
                <w:sz w:val="24"/>
                <w:szCs w:val="24"/>
                <w:highlight w:val="none"/>
                <w:lang w:val="zh-CN"/>
              </w:rPr>
              <w:t>明确，</w:t>
            </w:r>
            <w:r>
              <w:rPr>
                <w:rFonts w:hint="eastAsia" w:ascii="宋体" w:hAnsi="宋体" w:eastAsia="宋体" w:cs="宋体"/>
                <w:sz w:val="24"/>
                <w:szCs w:val="24"/>
                <w:highlight w:val="none"/>
              </w:rPr>
              <w:t>日常管理制度完善的</w:t>
            </w:r>
            <w:r>
              <w:rPr>
                <w:rFonts w:hint="eastAsia" w:ascii="宋体" w:hAnsi="宋体" w:eastAsia="宋体" w:cs="宋体"/>
                <w:sz w:val="24"/>
                <w:szCs w:val="24"/>
                <w:highlight w:val="none"/>
                <w:lang w:val="zh-CN"/>
              </w:rPr>
              <w:t>计</w:t>
            </w:r>
            <w:r>
              <w:rPr>
                <w:rFonts w:hint="eastAsia" w:ascii="宋体" w:hAnsi="宋体" w:eastAsia="宋体" w:cs="宋体"/>
                <w:sz w:val="24"/>
                <w:szCs w:val="24"/>
                <w:highlight w:val="none"/>
                <w:lang w:val="en-US" w:eastAsia="zh-CN"/>
              </w:rPr>
              <w:t>8-13分</w:t>
            </w:r>
            <w:r>
              <w:rPr>
                <w:rFonts w:hint="eastAsia" w:ascii="宋体" w:hAnsi="宋体" w:eastAsia="宋体" w:cs="宋体"/>
                <w:sz w:val="24"/>
                <w:szCs w:val="24"/>
                <w:highlight w:val="none"/>
              </w:rPr>
              <w:t>；</w:t>
            </w:r>
          </w:p>
          <w:p>
            <w:pPr>
              <w:pStyle w:val="12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（2）组织机构较合理、明确，符合项目实施的整体安排的计</w:t>
            </w:r>
            <w:r>
              <w:rPr>
                <w:rFonts w:hint="eastAsia" w:ascii="宋体" w:hAnsi="宋体" w:eastAsia="宋体" w:cs="宋体"/>
                <w:sz w:val="24"/>
                <w:szCs w:val="24"/>
                <w:highlight w:val="none"/>
                <w:lang w:val="en-US" w:eastAsia="zh-CN"/>
              </w:rPr>
              <w:t>4-8分</w:t>
            </w:r>
            <w:r>
              <w:rPr>
                <w:rFonts w:hint="eastAsia" w:ascii="宋体" w:hAnsi="宋体" w:eastAsia="宋体" w:cs="宋体"/>
                <w:sz w:val="24"/>
                <w:szCs w:val="24"/>
                <w:highlight w:val="none"/>
                <w:lang w:val="zh-CN"/>
              </w:rPr>
              <w:t>；</w:t>
            </w:r>
          </w:p>
          <w:p>
            <w:pPr>
              <w:pStyle w:val="12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组织机构</w:t>
            </w:r>
            <w:r>
              <w:rPr>
                <w:rFonts w:hint="eastAsia" w:ascii="宋体" w:hAnsi="宋体" w:eastAsia="宋体" w:cs="宋体"/>
                <w:sz w:val="24"/>
                <w:szCs w:val="24"/>
                <w:highlight w:val="none"/>
                <w:lang w:val="en-US" w:eastAsia="zh-CN"/>
              </w:rPr>
              <w:t>笼统简单，较为满足</w:t>
            </w:r>
            <w:r>
              <w:rPr>
                <w:rFonts w:hint="eastAsia" w:ascii="宋体" w:hAnsi="宋体" w:eastAsia="宋体" w:cs="宋体"/>
                <w:sz w:val="24"/>
                <w:szCs w:val="24"/>
                <w:highlight w:val="none"/>
                <w:lang w:val="zh-CN"/>
              </w:rPr>
              <w:t>项目实施的整体安排</w:t>
            </w:r>
            <w:r>
              <w:rPr>
                <w:rFonts w:hint="eastAsia" w:ascii="宋体" w:hAnsi="宋体" w:eastAsia="宋体" w:cs="宋体"/>
                <w:sz w:val="24"/>
                <w:szCs w:val="24"/>
                <w:highlight w:val="none"/>
              </w:rPr>
              <w:t>的计</w:t>
            </w:r>
            <w:r>
              <w:rPr>
                <w:rFonts w:hint="eastAsia" w:ascii="宋体" w:hAnsi="宋体" w:eastAsia="宋体" w:cs="宋体"/>
                <w:sz w:val="24"/>
                <w:szCs w:val="24"/>
                <w:highlight w:val="none"/>
                <w:lang w:val="en-US" w:eastAsia="zh-CN"/>
              </w:rPr>
              <w:t>0-4分</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21" w:type="pct"/>
            <w:vMerge w:val="restart"/>
            <w:tcBorders>
              <w:top w:val="single" w:color="auto" w:sz="4" w:space="0"/>
              <w:left w:val="single" w:color="auto" w:sz="4" w:space="0"/>
              <w:right w:val="single" w:color="auto" w:sz="4" w:space="0"/>
            </w:tcBorders>
            <w:vAlign w:val="center"/>
          </w:tcPr>
          <w:p>
            <w:pPr>
              <w:widowControl w:val="0"/>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人员</w:t>
            </w:r>
          </w:p>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配置</w:t>
            </w:r>
          </w:p>
        </w:tc>
        <w:tc>
          <w:tcPr>
            <w:tcW w:w="408" w:type="pct"/>
            <w:vMerge w:val="restart"/>
            <w:tcBorders>
              <w:top w:val="single" w:color="auto" w:sz="4" w:space="0"/>
              <w:left w:val="single" w:color="auto" w:sz="4" w:space="0"/>
              <w:right w:val="single" w:color="auto" w:sz="4" w:space="0"/>
            </w:tcBorders>
            <w:vAlign w:val="center"/>
          </w:tcPr>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15分</w:t>
            </w:r>
          </w:p>
        </w:tc>
        <w:tc>
          <w:tcPr>
            <w:tcW w:w="4170" w:type="pct"/>
            <w:tcBorders>
              <w:top w:val="single" w:color="auto" w:sz="4" w:space="0"/>
              <w:left w:val="single" w:color="auto" w:sz="4" w:space="0"/>
              <w:bottom w:val="single" w:color="auto" w:sz="4" w:space="0"/>
              <w:right w:val="single" w:color="auto" w:sz="4" w:space="0"/>
            </w:tcBorders>
          </w:tcPr>
          <w:p>
            <w:pPr>
              <w:pStyle w:val="12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 评标委员会根据投标人针对本项目拟派</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经理提供：</w:t>
            </w:r>
          </w:p>
          <w:p>
            <w:pPr>
              <w:pStyle w:val="12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（1）具有</w:t>
            </w:r>
            <w:r>
              <w:rPr>
                <w:rFonts w:hint="eastAsia" w:ascii="宋体" w:hAnsi="宋体" w:cs="宋体"/>
                <w:sz w:val="24"/>
                <w:szCs w:val="24"/>
                <w:highlight w:val="none"/>
                <w:lang w:eastAsia="zh-CN"/>
              </w:rPr>
              <w:t>大专</w:t>
            </w:r>
            <w:r>
              <w:rPr>
                <w:rFonts w:hint="eastAsia" w:ascii="宋体" w:hAnsi="宋体" w:eastAsia="宋体" w:cs="宋体"/>
                <w:sz w:val="24"/>
                <w:szCs w:val="24"/>
                <w:highlight w:val="none"/>
              </w:rPr>
              <w:t>及以上学历计2分（提供毕业证或学历证明，未提供不计分）；</w:t>
            </w:r>
          </w:p>
          <w:p>
            <w:pPr>
              <w:pStyle w:val="12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（2）为本项目配备的</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经理，连续在本单位执业3年以上（提供劳动合同），且该期限内无重大工作失误、违纪、违法和违反职业道德的记录的得3分。配备的</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经理无重大工作失误、违纪、违法和违反职业道德的记录承诺（承诺须本人签名、出具时间应为本项目采购公告发布后）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21" w:type="pct"/>
            <w:vMerge w:val="continue"/>
            <w:tcBorders>
              <w:left w:val="single" w:color="auto" w:sz="4" w:space="0"/>
              <w:right w:val="single" w:color="auto" w:sz="4" w:space="0"/>
            </w:tcBorders>
            <w:vAlign w:val="center"/>
          </w:tcPr>
          <w:p>
            <w:pPr>
              <w:widowControl w:val="0"/>
              <w:spacing w:line="360" w:lineRule="auto"/>
              <w:ind w:left="-118" w:leftChars="-56" w:right="-94" w:rightChars="-45"/>
              <w:jc w:val="center"/>
              <w:rPr>
                <w:rFonts w:hint="eastAsia" w:ascii="宋体" w:hAnsi="宋体" w:eastAsia="宋体" w:cs="宋体"/>
                <w:sz w:val="24"/>
                <w:szCs w:val="24"/>
                <w:highlight w:val="none"/>
              </w:rPr>
            </w:pPr>
          </w:p>
        </w:tc>
        <w:tc>
          <w:tcPr>
            <w:tcW w:w="408" w:type="pct"/>
            <w:vMerge w:val="continue"/>
            <w:tcBorders>
              <w:left w:val="single" w:color="auto" w:sz="4" w:space="0"/>
              <w:right w:val="single" w:color="auto" w:sz="4" w:space="0"/>
            </w:tcBorders>
            <w:vAlign w:val="center"/>
          </w:tcPr>
          <w:p>
            <w:pPr>
              <w:spacing w:line="360" w:lineRule="auto"/>
              <w:ind w:left="-118" w:leftChars="-56" w:right="-94" w:rightChars="-45"/>
              <w:jc w:val="center"/>
              <w:rPr>
                <w:rFonts w:hint="eastAsia" w:ascii="宋体" w:hAnsi="宋体" w:eastAsia="宋体" w:cs="宋体"/>
                <w:sz w:val="24"/>
                <w:szCs w:val="24"/>
                <w:highlight w:val="none"/>
              </w:rPr>
            </w:pPr>
          </w:p>
        </w:tc>
        <w:tc>
          <w:tcPr>
            <w:tcW w:w="4170" w:type="pct"/>
            <w:tcBorders>
              <w:top w:val="single" w:color="auto" w:sz="4" w:space="0"/>
              <w:left w:val="single" w:color="auto" w:sz="4" w:space="0"/>
              <w:bottom w:val="single" w:color="auto" w:sz="4" w:space="0"/>
              <w:right w:val="single" w:color="auto" w:sz="4" w:space="0"/>
            </w:tcBorders>
          </w:tcPr>
          <w:p>
            <w:pPr>
              <w:pStyle w:val="12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评标委员会根据投标人针对本项目拟派团队的工作能力、工作经验提供证明材料(从人员简历、身份证、学历证、劳动合同等材料)， </w:t>
            </w:r>
          </w:p>
          <w:p>
            <w:pPr>
              <w:pStyle w:val="12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（1）人员配备合理、明确，</w:t>
            </w:r>
            <w:r>
              <w:rPr>
                <w:rFonts w:hint="eastAsia" w:ascii="宋体" w:hAnsi="宋体" w:eastAsia="宋体" w:cs="宋体"/>
                <w:sz w:val="24"/>
                <w:szCs w:val="24"/>
                <w:highlight w:val="none"/>
                <w:lang w:eastAsia="zh-CN"/>
              </w:rPr>
              <w:t>经验及能力丰富，能充分满足</w:t>
            </w:r>
            <w:r>
              <w:rPr>
                <w:rFonts w:hint="eastAsia" w:ascii="宋体" w:hAnsi="宋体" w:eastAsia="宋体" w:cs="宋体"/>
                <w:sz w:val="24"/>
                <w:szCs w:val="24"/>
                <w:highlight w:val="none"/>
              </w:rPr>
              <w:t>项目实施整体安排</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7-10分；</w:t>
            </w:r>
          </w:p>
          <w:p>
            <w:pPr>
              <w:pStyle w:val="12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（2）人员配备符合项目实施整体安排</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3-7分</w:t>
            </w:r>
            <w:r>
              <w:rPr>
                <w:rFonts w:hint="eastAsia" w:ascii="宋体" w:hAnsi="宋体" w:eastAsia="宋体" w:cs="宋体"/>
                <w:sz w:val="24"/>
                <w:szCs w:val="24"/>
                <w:highlight w:val="none"/>
              </w:rPr>
              <w:t>；</w:t>
            </w:r>
          </w:p>
          <w:p>
            <w:pPr>
              <w:pStyle w:val="12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人员配备缺乏合理性，人数配备不充足</w:t>
            </w:r>
            <w:r>
              <w:rPr>
                <w:rFonts w:hint="eastAsia" w:ascii="宋体" w:hAnsi="宋体" w:eastAsia="宋体" w:cs="宋体"/>
                <w:sz w:val="24"/>
                <w:szCs w:val="24"/>
                <w:highlight w:val="none"/>
              </w:rPr>
              <w:t>的计</w:t>
            </w:r>
            <w:r>
              <w:rPr>
                <w:rFonts w:hint="eastAsia" w:ascii="宋体" w:hAnsi="宋体" w:eastAsia="宋体" w:cs="宋体"/>
                <w:sz w:val="24"/>
                <w:szCs w:val="24"/>
                <w:highlight w:val="none"/>
                <w:lang w:val="en-US" w:eastAsia="zh-CN"/>
              </w:rPr>
              <w:t>0-3分</w:t>
            </w:r>
            <w:r>
              <w:rPr>
                <w:rFonts w:hint="eastAsia" w:ascii="宋体" w:hAnsi="宋体" w:eastAsia="宋体" w:cs="宋体"/>
                <w:sz w:val="24"/>
                <w:szCs w:val="24"/>
                <w:highlight w:val="none"/>
              </w:rPr>
              <w:t>。</w:t>
            </w:r>
          </w:p>
        </w:tc>
      </w:tr>
      <w:bookmarkEnd w:id="2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21" w:type="pct"/>
            <w:tcBorders>
              <w:top w:val="single" w:color="auto" w:sz="4" w:space="0"/>
              <w:left w:val="single" w:color="auto" w:sz="4" w:space="0"/>
              <w:right w:val="single" w:color="auto" w:sz="4" w:space="0"/>
            </w:tcBorders>
            <w:vAlign w:val="center"/>
          </w:tcPr>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突发性事件处理方案</w:t>
            </w:r>
          </w:p>
        </w:tc>
        <w:tc>
          <w:tcPr>
            <w:tcW w:w="408" w:type="pct"/>
            <w:tcBorders>
              <w:top w:val="single" w:color="auto" w:sz="4" w:space="0"/>
              <w:left w:val="single" w:color="auto" w:sz="4" w:space="0"/>
              <w:right w:val="single" w:color="auto" w:sz="4" w:space="0"/>
            </w:tcBorders>
            <w:vAlign w:val="center"/>
          </w:tcPr>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4170"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评标委员会根据各投标人针对本项目的突发性事件处理方案，从应急资源储备、应急调配能力、火灾、水浸、电梯困人、特殊雨雪天气</w:t>
            </w:r>
            <w:r>
              <w:rPr>
                <w:rFonts w:hint="eastAsia" w:ascii="宋体" w:hAnsi="宋体" w:eastAsia="宋体" w:cs="宋体"/>
                <w:sz w:val="24"/>
                <w:szCs w:val="24"/>
                <w:highlight w:val="none"/>
                <w:lang w:eastAsia="zh-CN"/>
              </w:rPr>
              <w:t>及其他</w:t>
            </w:r>
            <w:r>
              <w:rPr>
                <w:rFonts w:hint="eastAsia" w:ascii="宋体" w:hAnsi="宋体" w:eastAsia="宋体" w:cs="宋体"/>
                <w:sz w:val="24"/>
                <w:szCs w:val="24"/>
                <w:highlight w:val="none"/>
              </w:rPr>
              <w:t>等方面进行打分，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（1）方案内容完整，应急资源储备充足、调配能力</w:t>
            </w:r>
            <w:r>
              <w:rPr>
                <w:rFonts w:hint="eastAsia" w:ascii="宋体" w:hAnsi="宋体" w:eastAsia="宋体" w:cs="宋体"/>
                <w:sz w:val="24"/>
                <w:szCs w:val="24"/>
                <w:highlight w:val="none"/>
                <w:lang w:eastAsia="zh-CN"/>
              </w:rPr>
              <w:t>强的</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7-10分</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（2）方案内容，应急资源储备</w:t>
            </w:r>
            <w:r>
              <w:rPr>
                <w:rFonts w:hint="eastAsia" w:ascii="宋体" w:hAnsi="宋体" w:eastAsia="宋体" w:cs="宋体"/>
                <w:sz w:val="24"/>
                <w:szCs w:val="24"/>
                <w:highlight w:val="none"/>
                <w:lang w:eastAsia="zh-CN"/>
              </w:rPr>
              <w:t>可以满足项目需求</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3-7分</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）方案内容</w:t>
            </w:r>
            <w:r>
              <w:rPr>
                <w:rFonts w:hint="eastAsia" w:ascii="宋体" w:hAnsi="宋体" w:eastAsia="宋体" w:cs="宋体"/>
                <w:sz w:val="24"/>
                <w:szCs w:val="24"/>
                <w:highlight w:val="none"/>
                <w:lang w:val="en-US" w:eastAsia="zh-CN"/>
              </w:rPr>
              <w:t>笼统简单</w:t>
            </w:r>
            <w:r>
              <w:rPr>
                <w:rFonts w:hint="eastAsia" w:ascii="宋体" w:hAnsi="宋体" w:eastAsia="宋体" w:cs="宋体"/>
                <w:sz w:val="24"/>
                <w:szCs w:val="24"/>
                <w:highlight w:val="none"/>
              </w:rPr>
              <w:t>，应急资源储备</w:t>
            </w:r>
            <w:r>
              <w:rPr>
                <w:rFonts w:hint="eastAsia" w:ascii="宋体" w:hAnsi="宋体" w:eastAsia="宋体" w:cs="宋体"/>
                <w:sz w:val="24"/>
                <w:szCs w:val="24"/>
                <w:highlight w:val="none"/>
                <w:lang w:val="en-US" w:eastAsia="zh-CN"/>
              </w:rPr>
              <w:t>较少</w:t>
            </w:r>
            <w:r>
              <w:rPr>
                <w:rFonts w:hint="eastAsia" w:ascii="宋体" w:hAnsi="宋体" w:eastAsia="宋体" w:cs="宋体"/>
                <w:sz w:val="24"/>
                <w:szCs w:val="24"/>
                <w:highlight w:val="none"/>
              </w:rPr>
              <w:t>、调配能力</w:t>
            </w:r>
            <w:r>
              <w:rPr>
                <w:rFonts w:hint="eastAsia" w:ascii="宋体" w:hAnsi="宋体" w:eastAsia="宋体" w:cs="宋体"/>
                <w:sz w:val="24"/>
                <w:szCs w:val="24"/>
                <w:highlight w:val="none"/>
                <w:lang w:val="en-US" w:eastAsia="zh-CN"/>
              </w:rPr>
              <w:t>不太满足本项目的</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0-3分</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21" w:type="pct"/>
            <w:tcBorders>
              <w:top w:val="single" w:color="auto" w:sz="4" w:space="0"/>
              <w:left w:val="single" w:color="auto" w:sz="4" w:space="0"/>
              <w:right w:val="single" w:color="auto" w:sz="4" w:space="0"/>
            </w:tcBorders>
            <w:vAlign w:val="center"/>
          </w:tcPr>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合理化建议</w:t>
            </w:r>
          </w:p>
        </w:tc>
        <w:tc>
          <w:tcPr>
            <w:tcW w:w="408" w:type="pct"/>
            <w:tcBorders>
              <w:top w:val="single" w:color="auto" w:sz="4" w:space="0"/>
              <w:left w:val="single" w:color="auto" w:sz="4" w:space="0"/>
              <w:right w:val="single" w:color="auto" w:sz="4" w:space="0"/>
            </w:tcBorders>
            <w:vAlign w:val="center"/>
          </w:tcPr>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4170"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评标委员会根据各投标人针对本项目实施中的</w:t>
            </w:r>
            <w:r>
              <w:rPr>
                <w:rFonts w:hint="eastAsia" w:ascii="宋体" w:hAnsi="宋体" w:eastAsia="宋体" w:cs="宋体"/>
                <w:sz w:val="24"/>
                <w:szCs w:val="24"/>
                <w:highlight w:val="none"/>
                <w:lang w:eastAsia="zh-CN"/>
              </w:rPr>
              <w:t>合理化</w:t>
            </w:r>
            <w:r>
              <w:rPr>
                <w:rFonts w:hint="eastAsia" w:ascii="宋体" w:hAnsi="宋体" w:eastAsia="宋体" w:cs="宋体"/>
                <w:sz w:val="24"/>
                <w:szCs w:val="24"/>
                <w:highlight w:val="none"/>
              </w:rPr>
              <w:t>意见反馈渠道及改进方案进行打分，</w:t>
            </w:r>
          </w:p>
          <w:p>
            <w:pPr>
              <w:pStyle w:val="12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rPr>
              <w:t>内容</w:t>
            </w:r>
            <w:r>
              <w:rPr>
                <w:rFonts w:hint="eastAsia" w:ascii="宋体" w:hAnsi="宋体" w:eastAsia="宋体" w:cs="宋体"/>
                <w:sz w:val="24"/>
                <w:szCs w:val="24"/>
                <w:highlight w:val="none"/>
                <w:lang w:val="en-US" w:eastAsia="zh-CN"/>
              </w:rPr>
              <w:t>科学合理</w:t>
            </w:r>
            <w:r>
              <w:rPr>
                <w:rFonts w:hint="eastAsia" w:ascii="宋体" w:hAnsi="宋体" w:eastAsia="宋体" w:cs="宋体"/>
                <w:sz w:val="24"/>
                <w:szCs w:val="24"/>
                <w:highlight w:val="none"/>
              </w:rPr>
              <w:t>，认识全面深刻的计</w:t>
            </w:r>
            <w:r>
              <w:rPr>
                <w:rFonts w:hint="eastAsia" w:ascii="宋体" w:hAnsi="宋体" w:eastAsia="宋体" w:cs="宋体"/>
                <w:sz w:val="24"/>
                <w:szCs w:val="24"/>
                <w:highlight w:val="none"/>
                <w:lang w:val="en-US" w:eastAsia="zh-CN"/>
              </w:rPr>
              <w:t>3-6分</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方案内容笼统简单的</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val="en-US" w:eastAsia="zh-CN"/>
              </w:rPr>
              <w:t>0-3分</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421" w:type="pct"/>
            <w:tcBorders>
              <w:top w:val="single" w:color="auto" w:sz="4" w:space="0"/>
              <w:left w:val="single" w:color="auto" w:sz="4" w:space="0"/>
              <w:right w:val="single" w:color="auto" w:sz="4" w:space="0"/>
            </w:tcBorders>
            <w:vAlign w:val="center"/>
          </w:tcPr>
          <w:p>
            <w:pPr>
              <w:spacing w:line="360" w:lineRule="auto"/>
              <w:ind w:left="-118" w:leftChars="-56" w:right="-94" w:rightChars="-45"/>
              <w:jc w:val="center"/>
              <w:rPr>
                <w:rFonts w:hint="eastAsia" w:ascii="宋体" w:hAnsi="宋体" w:eastAsia="宋体" w:cs="宋体"/>
                <w:sz w:val="24"/>
                <w:szCs w:val="24"/>
                <w:highlight w:val="none"/>
              </w:rPr>
            </w:pPr>
            <w:bookmarkStart w:id="234" w:name="_Hlk8637676"/>
            <w:r>
              <w:rPr>
                <w:rFonts w:hint="eastAsia" w:ascii="宋体" w:hAnsi="宋体" w:eastAsia="宋体" w:cs="宋体"/>
                <w:sz w:val="24"/>
                <w:szCs w:val="24"/>
                <w:highlight w:val="none"/>
              </w:rPr>
              <w:t>服务</w:t>
            </w:r>
          </w:p>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w:t>
            </w:r>
          </w:p>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承诺</w:t>
            </w:r>
            <w:bookmarkEnd w:id="234"/>
          </w:p>
        </w:tc>
        <w:tc>
          <w:tcPr>
            <w:tcW w:w="408" w:type="pct"/>
            <w:tcBorders>
              <w:top w:val="single" w:color="auto" w:sz="4" w:space="0"/>
              <w:left w:val="single" w:color="auto" w:sz="4" w:space="0"/>
              <w:right w:val="single" w:color="auto" w:sz="4" w:space="0"/>
            </w:tcBorders>
            <w:vAlign w:val="center"/>
          </w:tcPr>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4170" w:type="pct"/>
            <w:tcBorders>
              <w:top w:val="single" w:color="auto" w:sz="4" w:space="0"/>
              <w:left w:val="single" w:color="auto" w:sz="4" w:space="0"/>
              <w:bottom w:val="single" w:color="auto" w:sz="4" w:space="0"/>
              <w:right w:val="single" w:color="auto" w:sz="4" w:space="0"/>
            </w:tcBorders>
            <w:vAlign w:val="center"/>
          </w:tcPr>
          <w:p>
            <w:pPr>
              <w:pStyle w:val="12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评标委员会根据各投标人针对本项目的承诺（从管理质量、服务质量</w:t>
            </w:r>
            <w:r>
              <w:rPr>
                <w:rFonts w:hint="eastAsia" w:ascii="宋体" w:hAnsi="宋体" w:eastAsia="宋体" w:cs="宋体"/>
                <w:sz w:val="24"/>
                <w:szCs w:val="24"/>
                <w:highlight w:val="none"/>
                <w:lang w:eastAsia="zh-CN"/>
              </w:rPr>
              <w:t>及其他等</w:t>
            </w:r>
            <w:r>
              <w:rPr>
                <w:rFonts w:hint="eastAsia" w:ascii="宋体" w:hAnsi="宋体" w:eastAsia="宋体" w:cs="宋体"/>
                <w:sz w:val="24"/>
                <w:szCs w:val="24"/>
                <w:highlight w:val="none"/>
              </w:rPr>
              <w:t>方面）。</w:t>
            </w:r>
          </w:p>
          <w:p>
            <w:pPr>
              <w:pStyle w:val="12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（1）承诺内容完整详尽，</w:t>
            </w:r>
            <w:r>
              <w:rPr>
                <w:rFonts w:hint="eastAsia" w:ascii="宋体" w:hAnsi="宋体" w:eastAsia="宋体" w:cs="宋体"/>
                <w:sz w:val="24"/>
                <w:szCs w:val="24"/>
                <w:highlight w:val="none"/>
                <w:lang w:val="en-US" w:eastAsia="zh-CN"/>
              </w:rPr>
              <w:t>科学合理，</w:t>
            </w:r>
            <w:r>
              <w:rPr>
                <w:rFonts w:hint="eastAsia" w:ascii="宋体" w:hAnsi="宋体" w:eastAsia="宋体" w:cs="宋体"/>
                <w:sz w:val="24"/>
                <w:szCs w:val="24"/>
                <w:highlight w:val="none"/>
              </w:rPr>
              <w:t>且不限于上述所要求内容</w:t>
            </w:r>
            <w:r>
              <w:rPr>
                <w:rFonts w:hint="eastAsia" w:ascii="宋体" w:hAnsi="宋体" w:eastAsia="宋体" w:cs="宋体"/>
                <w:sz w:val="24"/>
                <w:szCs w:val="24"/>
                <w:highlight w:val="none"/>
                <w:lang w:val="en-US" w:eastAsia="zh-CN"/>
              </w:rPr>
              <w:t>7-10分</w:t>
            </w:r>
            <w:r>
              <w:rPr>
                <w:rFonts w:hint="eastAsia" w:ascii="宋体" w:hAnsi="宋体" w:eastAsia="宋体" w:cs="宋体"/>
                <w:sz w:val="24"/>
                <w:szCs w:val="24"/>
                <w:highlight w:val="none"/>
              </w:rPr>
              <w:t>；</w:t>
            </w:r>
          </w:p>
          <w:p>
            <w:pPr>
              <w:pStyle w:val="12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（2）承诺内容</w:t>
            </w:r>
            <w:r>
              <w:rPr>
                <w:rFonts w:hint="eastAsia" w:ascii="宋体" w:hAnsi="宋体" w:eastAsia="宋体" w:cs="宋体"/>
                <w:sz w:val="24"/>
                <w:szCs w:val="24"/>
                <w:highlight w:val="none"/>
                <w:lang w:val="en-US" w:eastAsia="zh-CN"/>
              </w:rPr>
              <w:t>完整</w:t>
            </w:r>
            <w:r>
              <w:rPr>
                <w:rFonts w:hint="eastAsia" w:ascii="宋体" w:hAnsi="宋体" w:eastAsia="宋体" w:cs="宋体"/>
                <w:sz w:val="24"/>
                <w:szCs w:val="24"/>
                <w:highlight w:val="none"/>
              </w:rPr>
              <w:t>，对上述所要求内容描述</w:t>
            </w:r>
            <w:r>
              <w:rPr>
                <w:rFonts w:hint="eastAsia" w:ascii="宋体" w:hAnsi="宋体" w:eastAsia="宋体" w:cs="宋体"/>
                <w:sz w:val="24"/>
                <w:szCs w:val="24"/>
                <w:highlight w:val="none"/>
                <w:lang w:val="en-US" w:eastAsia="zh-CN"/>
              </w:rPr>
              <w:t>能满足</w:t>
            </w:r>
            <w:r>
              <w:rPr>
                <w:rFonts w:hint="eastAsia" w:ascii="宋体" w:hAnsi="宋体" w:eastAsia="宋体" w:cs="宋体"/>
                <w:sz w:val="24"/>
                <w:szCs w:val="24"/>
                <w:highlight w:val="none"/>
              </w:rPr>
              <w:t>招标文件的计</w:t>
            </w:r>
            <w:r>
              <w:rPr>
                <w:rFonts w:hint="eastAsia" w:ascii="宋体" w:hAnsi="宋体" w:eastAsia="宋体" w:cs="宋体"/>
                <w:sz w:val="24"/>
                <w:szCs w:val="24"/>
                <w:highlight w:val="none"/>
                <w:lang w:val="en-US" w:eastAsia="zh-CN"/>
              </w:rPr>
              <w:t>3-7分</w:t>
            </w:r>
            <w:r>
              <w:rPr>
                <w:rFonts w:hint="eastAsia" w:ascii="宋体" w:hAnsi="宋体" w:eastAsia="宋体" w:cs="宋体"/>
                <w:sz w:val="24"/>
                <w:szCs w:val="24"/>
                <w:highlight w:val="none"/>
              </w:rPr>
              <w:t>；</w:t>
            </w:r>
          </w:p>
          <w:p>
            <w:pPr>
              <w:pStyle w:val="12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（3）承诺内容</w:t>
            </w:r>
            <w:r>
              <w:rPr>
                <w:rFonts w:hint="eastAsia" w:ascii="宋体" w:hAnsi="宋体" w:eastAsia="宋体" w:cs="宋体"/>
                <w:sz w:val="24"/>
                <w:szCs w:val="24"/>
                <w:highlight w:val="none"/>
                <w:lang w:val="en-US" w:eastAsia="zh-CN"/>
              </w:rPr>
              <w:t>笼统简单，</w:t>
            </w:r>
            <w:r>
              <w:rPr>
                <w:rFonts w:hint="eastAsia" w:ascii="宋体" w:hAnsi="宋体" w:eastAsia="宋体" w:cs="宋体"/>
                <w:sz w:val="24"/>
                <w:szCs w:val="24"/>
                <w:highlight w:val="none"/>
              </w:rPr>
              <w:t>对上述所要求内容描述</w:t>
            </w:r>
            <w:r>
              <w:rPr>
                <w:rFonts w:hint="eastAsia" w:ascii="宋体" w:hAnsi="宋体" w:eastAsia="宋体" w:cs="宋体"/>
                <w:sz w:val="24"/>
                <w:szCs w:val="24"/>
                <w:highlight w:val="none"/>
                <w:lang w:eastAsia="zh-CN"/>
              </w:rPr>
              <w:t>不足以</w:t>
            </w:r>
            <w:r>
              <w:rPr>
                <w:rFonts w:hint="eastAsia" w:ascii="宋体" w:hAnsi="宋体" w:eastAsia="宋体" w:cs="宋体"/>
                <w:sz w:val="24"/>
                <w:szCs w:val="24"/>
                <w:highlight w:val="none"/>
                <w:lang w:val="en-US" w:eastAsia="zh-CN"/>
              </w:rPr>
              <w:t>满足</w:t>
            </w:r>
            <w:r>
              <w:rPr>
                <w:rFonts w:hint="eastAsia" w:ascii="宋体" w:hAnsi="宋体" w:eastAsia="宋体" w:cs="宋体"/>
                <w:sz w:val="24"/>
                <w:szCs w:val="24"/>
                <w:highlight w:val="none"/>
              </w:rPr>
              <w:t>招标文件</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lang w:val="en-US" w:eastAsia="zh-CN"/>
              </w:rPr>
              <w:t>计0-3分</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21" w:type="pct"/>
            <w:tcBorders>
              <w:top w:val="single" w:color="auto" w:sz="4" w:space="0"/>
              <w:left w:val="single" w:color="auto" w:sz="4" w:space="0"/>
              <w:bottom w:val="single" w:color="auto" w:sz="4" w:space="0"/>
              <w:right w:val="single" w:color="auto" w:sz="4" w:space="0"/>
            </w:tcBorders>
            <w:vAlign w:val="center"/>
          </w:tcPr>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业绩</w:t>
            </w:r>
          </w:p>
        </w:tc>
        <w:tc>
          <w:tcPr>
            <w:tcW w:w="408" w:type="pct"/>
            <w:tcBorders>
              <w:top w:val="single" w:color="auto" w:sz="4" w:space="0"/>
              <w:left w:val="single" w:color="auto" w:sz="4" w:space="0"/>
              <w:bottom w:val="single" w:color="auto" w:sz="4" w:space="0"/>
              <w:right w:val="single" w:color="auto" w:sz="4" w:space="0"/>
            </w:tcBorders>
            <w:vAlign w:val="center"/>
          </w:tcPr>
          <w:p>
            <w:pPr>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4170" w:type="pct"/>
            <w:tcBorders>
              <w:top w:val="single" w:color="auto" w:sz="4" w:space="0"/>
              <w:left w:val="single" w:color="auto" w:sz="4" w:space="0"/>
              <w:bottom w:val="single" w:color="auto" w:sz="4" w:space="0"/>
              <w:right w:val="single" w:color="auto" w:sz="4" w:space="0"/>
            </w:tcBorders>
            <w:vAlign w:val="center"/>
          </w:tcPr>
          <w:p>
            <w:pPr>
              <w:pStyle w:val="12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投标人提供类似</w:t>
            </w:r>
            <w:r>
              <w:rPr>
                <w:rFonts w:hint="eastAsia" w:ascii="宋体" w:hAnsi="宋体" w:eastAsia="宋体" w:cs="宋体"/>
                <w:sz w:val="24"/>
                <w:szCs w:val="24"/>
                <w:highlight w:val="none"/>
              </w:rPr>
              <w:t>业绩（以签订日期自</w:t>
            </w:r>
            <w:r>
              <w:rPr>
                <w:rFonts w:hint="eastAsia" w:ascii="宋体" w:hAnsi="宋体" w:eastAsia="宋体" w:cs="宋体"/>
                <w:sz w:val="24"/>
                <w:szCs w:val="24"/>
                <w:highlight w:val="none"/>
                <w:lang w:val="en-US" w:eastAsia="zh-CN"/>
              </w:rPr>
              <w:t>2020</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月至今的合同为准，复印件加盖公章），每提供一份计</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分，计满</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分为止。备注：须附合同关键页（含签订合同双方单位名称、项目名称、签订合同双方的落款盖章、签订日期的关键页）复印件作为类似业绩评审资料,资料不全不得分。</w:t>
            </w:r>
          </w:p>
        </w:tc>
      </w:tr>
    </w:tbl>
    <w:p>
      <w:pPr>
        <w:rPr>
          <w:rFonts w:hint="eastAsia" w:ascii="宋体" w:hAnsi="宋体" w:eastAsia="宋体" w:cs="宋体"/>
          <w:b/>
          <w:color w:val="000000" w:themeColor="text1"/>
          <w:spacing w:val="4"/>
          <w:sz w:val="24"/>
          <w:szCs w:val="24"/>
          <w:highlight w:val="none"/>
          <w:lang w:eastAsia="zh-CN"/>
          <w14:textFill>
            <w14:solidFill>
              <w14:schemeClr w14:val="tx1"/>
            </w14:solidFill>
          </w14:textFill>
        </w:rPr>
      </w:pPr>
      <w:r>
        <w:rPr>
          <w:rFonts w:hint="eastAsia" w:ascii="宋体" w:hAnsi="宋体" w:eastAsia="宋体" w:cs="宋体"/>
          <w:b/>
          <w:color w:val="000000" w:themeColor="text1"/>
          <w:spacing w:val="4"/>
          <w:sz w:val="24"/>
          <w:szCs w:val="24"/>
          <w:highlight w:val="none"/>
          <w:lang w:eastAsia="zh-CN"/>
          <w14:textFill>
            <w14:solidFill>
              <w14:schemeClr w14:val="tx1"/>
            </w14:solidFill>
          </w14:textFill>
        </w:rPr>
        <w:br w:type="page"/>
      </w:r>
    </w:p>
    <w:p>
      <w:pPr>
        <w:pStyle w:val="28"/>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pacing w:val="4"/>
          <w:sz w:val="24"/>
          <w:szCs w:val="24"/>
          <w:highlight w:val="none"/>
          <w:lang w:eastAsia="zh-CN"/>
          <w14:textFill>
            <w14:solidFill>
              <w14:schemeClr w14:val="tx1"/>
            </w14:solidFill>
          </w14:textFill>
        </w:rPr>
        <w:t>二包</w:t>
      </w:r>
    </w:p>
    <w:tbl>
      <w:tblPr>
        <w:tblStyle w:val="42"/>
        <w:tblW w:w="53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92"/>
        <w:gridCol w:w="993"/>
        <w:gridCol w:w="7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94" w:type="pct"/>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w:t>
            </w:r>
          </w:p>
          <w:p>
            <w:pPr>
              <w:widowControl w:val="0"/>
              <w:spacing w:line="360" w:lineRule="auto"/>
              <w:ind w:left="-118" w:leftChars="-56" w:right="-94" w:rightChars="-4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822" w:type="pct"/>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3882"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1.经初审合格的投标文件，其投标总报价为有效投标报价。</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2.满足</w:t>
            </w:r>
            <w:r>
              <w:rPr>
                <w:rFonts w:hint="eastAsia" w:ascii="宋体" w:hAnsi="宋体" w:cs="宋体"/>
                <w:sz w:val="24"/>
                <w:szCs w:val="24"/>
                <w:highlight w:val="none"/>
                <w:lang w:eastAsia="zh-CN"/>
              </w:rPr>
              <w:t>招</w:t>
            </w:r>
            <w:r>
              <w:rPr>
                <w:rFonts w:hint="eastAsia" w:ascii="宋体" w:hAnsi="宋体" w:eastAsia="宋体" w:cs="宋体"/>
                <w:sz w:val="24"/>
                <w:szCs w:val="24"/>
                <w:highlight w:val="none"/>
              </w:rPr>
              <w:t>标文件实质性要求且最终报价总报价最低的供应商的价格为投标基准价，其价格分为满分10分。</w:t>
            </w:r>
          </w:p>
          <w:p>
            <w:pPr>
              <w:pStyle w:val="12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highlight w:val="none"/>
              </w:rPr>
              <w:t>3.投标报价得分=（投标基准价/投标报价）×10。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94" w:type="pct"/>
            <w:vMerge w:val="restart"/>
            <w:tcBorders>
              <w:top w:val="single" w:color="auto" w:sz="4" w:space="0"/>
              <w:left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服务</w:t>
            </w:r>
          </w:p>
          <w:p>
            <w:pPr>
              <w:widowControl w:val="0"/>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方案</w:t>
            </w:r>
          </w:p>
        </w:tc>
        <w:tc>
          <w:tcPr>
            <w:tcW w:w="337" w:type="pct"/>
            <w:vMerge w:val="restart"/>
            <w:tcBorders>
              <w:top w:val="single" w:color="auto" w:sz="4" w:space="0"/>
              <w:left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w:t>
            </w:r>
            <w:r>
              <w:rPr>
                <w:rFonts w:hint="eastAsia" w:ascii="宋体" w:hAnsi="宋体" w:eastAsia="宋体" w:cs="宋体"/>
                <w:sz w:val="24"/>
                <w:szCs w:val="24"/>
              </w:rPr>
              <w:t>分</w:t>
            </w:r>
          </w:p>
          <w:p>
            <w:pPr>
              <w:widowControl w:val="0"/>
              <w:spacing w:line="360" w:lineRule="auto"/>
              <w:ind w:left="-118" w:leftChars="-56" w:right="-94" w:rightChars="-45"/>
              <w:jc w:val="center"/>
              <w:rPr>
                <w:rFonts w:hint="eastAsia" w:ascii="宋体" w:hAnsi="宋体" w:eastAsia="宋体" w:cs="宋体"/>
                <w:sz w:val="24"/>
                <w:szCs w:val="24"/>
                <w:lang w:val="en-US" w:eastAsia="zh-CN"/>
              </w:rPr>
            </w:pPr>
          </w:p>
        </w:tc>
        <w:tc>
          <w:tcPr>
            <w:tcW w:w="484" w:type="pct"/>
            <w:tcBorders>
              <w:top w:val="single" w:color="auto" w:sz="4" w:space="0"/>
              <w:left w:val="single" w:color="auto" w:sz="4" w:space="0"/>
              <w:bottom w:val="single" w:color="auto" w:sz="4" w:space="0"/>
              <w:right w:val="single" w:color="auto" w:sz="4" w:space="0"/>
            </w:tcBorders>
            <w:noWrap w:val="0"/>
            <w:vAlign w:val="center"/>
          </w:tcPr>
          <w:p>
            <w:pPr>
              <w:pStyle w:val="120"/>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13分</w:t>
            </w:r>
          </w:p>
        </w:tc>
        <w:tc>
          <w:tcPr>
            <w:tcW w:w="3882" w:type="pct"/>
            <w:tcBorders>
              <w:top w:val="single" w:color="auto" w:sz="4" w:space="0"/>
              <w:left w:val="single" w:color="auto" w:sz="4" w:space="0"/>
              <w:bottom w:val="single" w:color="auto" w:sz="4" w:space="0"/>
              <w:right w:val="single" w:color="auto" w:sz="4" w:space="0"/>
            </w:tcBorders>
            <w:noWrap w:val="0"/>
            <w:vAlign w:val="center"/>
          </w:tcPr>
          <w:p>
            <w:pPr>
              <w:pStyle w:val="12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实施方案、各项保证措施</w:t>
            </w:r>
          </w:p>
          <w:p>
            <w:pPr>
              <w:pStyle w:val="120"/>
              <w:spacing w:line="360" w:lineRule="auto"/>
              <w:rPr>
                <w:rFonts w:hint="eastAsia" w:ascii="宋体" w:hAnsi="宋体" w:eastAsia="宋体" w:cs="宋体"/>
                <w:sz w:val="24"/>
                <w:szCs w:val="24"/>
              </w:rPr>
            </w:pPr>
            <w:r>
              <w:rPr>
                <w:rFonts w:hint="eastAsia" w:ascii="宋体" w:hAnsi="宋体" w:eastAsia="宋体" w:cs="宋体"/>
                <w:sz w:val="24"/>
                <w:szCs w:val="24"/>
              </w:rPr>
              <w:t>针对本项目提出详细的实施方案（安保方案、安保服务计划等），包括工作计划、实施时间、巡逻计划、安全保卫计划等。</w:t>
            </w:r>
          </w:p>
          <w:p>
            <w:pPr>
              <w:pStyle w:val="120"/>
              <w:spacing w:line="360" w:lineRule="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服务计划合理</w:t>
            </w:r>
            <w:r>
              <w:rPr>
                <w:rFonts w:hint="eastAsia" w:ascii="宋体" w:hAnsi="宋体" w:eastAsia="宋体" w:cs="宋体"/>
                <w:sz w:val="24"/>
                <w:szCs w:val="24"/>
                <w:lang w:eastAsia="zh-CN"/>
              </w:rPr>
              <w:t>、充分、</w:t>
            </w:r>
            <w:r>
              <w:rPr>
                <w:rFonts w:hint="eastAsia" w:ascii="宋体" w:hAnsi="宋体" w:eastAsia="宋体" w:cs="宋体"/>
                <w:sz w:val="24"/>
                <w:szCs w:val="24"/>
                <w:lang w:val="en-US" w:eastAsia="zh-CN"/>
              </w:rPr>
              <w:t>完善</w:t>
            </w:r>
            <w:r>
              <w:rPr>
                <w:rFonts w:hint="eastAsia" w:ascii="宋体" w:hAnsi="宋体" w:eastAsia="宋体" w:cs="宋体"/>
                <w:sz w:val="24"/>
                <w:szCs w:val="24"/>
              </w:rPr>
              <w:t>、细致</w:t>
            </w:r>
            <w:r>
              <w:rPr>
                <w:rFonts w:hint="eastAsia" w:ascii="宋体" w:hAnsi="宋体" w:eastAsia="宋体" w:cs="宋体"/>
                <w:sz w:val="24"/>
                <w:szCs w:val="24"/>
                <w:lang w:eastAsia="zh-CN"/>
              </w:rPr>
              <w:t>、</w:t>
            </w:r>
            <w:r>
              <w:rPr>
                <w:rFonts w:hint="eastAsia" w:ascii="宋体" w:hAnsi="宋体" w:eastAsia="宋体" w:cs="宋体"/>
                <w:sz w:val="24"/>
                <w:szCs w:val="24"/>
              </w:rPr>
              <w:t>可操作性强</w:t>
            </w:r>
            <w:r>
              <w:rPr>
                <w:rFonts w:hint="eastAsia" w:ascii="宋体" w:hAnsi="宋体" w:eastAsia="宋体" w:cs="宋体"/>
                <w:sz w:val="24"/>
                <w:szCs w:val="24"/>
                <w:lang w:eastAsia="zh-CN"/>
              </w:rPr>
              <w:t>计</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13</w:t>
            </w:r>
            <w:r>
              <w:rPr>
                <w:rFonts w:hint="eastAsia" w:ascii="宋体" w:hAnsi="宋体" w:eastAsia="宋体" w:cs="宋体"/>
                <w:sz w:val="24"/>
                <w:szCs w:val="24"/>
              </w:rPr>
              <w:t>分；</w:t>
            </w:r>
          </w:p>
          <w:p>
            <w:pPr>
              <w:pStyle w:val="120"/>
              <w:spacing w:line="360" w:lineRule="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服务计划合理</w:t>
            </w:r>
            <w:r>
              <w:rPr>
                <w:rFonts w:hint="eastAsia" w:ascii="宋体" w:hAnsi="宋体" w:eastAsia="宋体" w:cs="宋体"/>
                <w:sz w:val="24"/>
                <w:szCs w:val="24"/>
                <w:lang w:eastAsia="zh-CN"/>
              </w:rPr>
              <w:t>性</w:t>
            </w:r>
            <w:r>
              <w:rPr>
                <w:rFonts w:hint="eastAsia" w:ascii="宋体" w:hAnsi="宋体" w:eastAsia="宋体" w:cs="宋体"/>
                <w:sz w:val="24"/>
                <w:szCs w:val="24"/>
              </w:rPr>
              <w:t>、可操作性</w:t>
            </w:r>
            <w:r>
              <w:rPr>
                <w:rFonts w:hint="eastAsia" w:ascii="宋体" w:hAnsi="宋体" w:eastAsia="宋体" w:cs="宋体"/>
                <w:sz w:val="24"/>
                <w:szCs w:val="24"/>
                <w:lang w:eastAsia="zh-CN"/>
              </w:rPr>
              <w:t>可以满足项目需求计</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pPr>
              <w:pStyle w:val="120"/>
              <w:spacing w:line="360" w:lineRule="auto"/>
              <w:rPr>
                <w:rFonts w:hint="eastAsia" w:ascii="宋体" w:hAnsi="宋体" w:eastAsia="宋体" w:cs="宋体"/>
                <w:sz w:val="24"/>
                <w:szCs w:val="24"/>
                <w:highlight w:val="red"/>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服务计划</w:t>
            </w:r>
            <w:r>
              <w:rPr>
                <w:rFonts w:hint="eastAsia" w:ascii="宋体" w:hAnsi="宋体" w:eastAsia="宋体" w:cs="宋体"/>
                <w:sz w:val="24"/>
                <w:szCs w:val="24"/>
                <w:lang w:val="en-US" w:eastAsia="zh-CN"/>
              </w:rPr>
              <w:t>笼统简单计0</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294" w:type="pct"/>
            <w:vMerge w:val="continue"/>
            <w:tcBorders>
              <w:left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rPr>
            </w:pPr>
          </w:p>
        </w:tc>
        <w:tc>
          <w:tcPr>
            <w:tcW w:w="337" w:type="pct"/>
            <w:vMerge w:val="continue"/>
            <w:tcBorders>
              <w:left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rPr>
            </w:pPr>
          </w:p>
        </w:tc>
        <w:tc>
          <w:tcPr>
            <w:tcW w:w="484" w:type="pct"/>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8分</w:t>
            </w:r>
          </w:p>
        </w:tc>
        <w:tc>
          <w:tcPr>
            <w:tcW w:w="3882" w:type="pct"/>
            <w:tcBorders>
              <w:top w:val="single" w:color="auto" w:sz="4" w:space="0"/>
              <w:left w:val="single" w:color="auto" w:sz="4" w:space="0"/>
              <w:bottom w:val="single" w:color="auto" w:sz="4" w:space="0"/>
              <w:right w:val="single" w:color="auto" w:sz="4" w:space="0"/>
            </w:tcBorders>
            <w:noWrap w:val="0"/>
            <w:vAlign w:val="center"/>
          </w:tcPr>
          <w:p>
            <w:pPr>
              <w:pStyle w:val="12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管理制度</w:t>
            </w:r>
          </w:p>
          <w:p>
            <w:pPr>
              <w:pStyle w:val="12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针对本项目提出完整的管理制度，并承诺所有上岗人员在上岗前经过专业培训，管理制度包括岗位工作流程及标准、安保职责、交接班制度、消防安全、事故处理反馈等方面。</w:t>
            </w:r>
          </w:p>
          <w:p>
            <w:pPr>
              <w:pStyle w:val="12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管理制度健全、规范、可行</w:t>
            </w:r>
            <w:r>
              <w:rPr>
                <w:rFonts w:hint="eastAsia" w:ascii="宋体" w:hAnsi="宋体" w:eastAsia="宋体" w:cs="宋体"/>
                <w:sz w:val="24"/>
                <w:szCs w:val="24"/>
              </w:rPr>
              <w:t>性强</w:t>
            </w:r>
            <w:r>
              <w:rPr>
                <w:rFonts w:hint="eastAsia" w:ascii="宋体" w:hAnsi="宋体" w:eastAsia="宋体" w:cs="宋体"/>
                <w:sz w:val="24"/>
                <w:szCs w:val="24"/>
                <w:lang w:eastAsia="zh-CN"/>
              </w:rPr>
              <w:t>计</w:t>
            </w:r>
            <w:r>
              <w:rPr>
                <w:rFonts w:hint="eastAsia" w:ascii="宋体" w:hAnsi="宋体" w:eastAsia="宋体" w:cs="宋体"/>
                <w:sz w:val="24"/>
                <w:szCs w:val="24"/>
                <w:highlight w:val="none"/>
                <w:lang w:val="en-US" w:eastAsia="zh-CN"/>
              </w:rPr>
              <w:t>4-8分；</w:t>
            </w:r>
          </w:p>
          <w:p>
            <w:pPr>
              <w:pStyle w:val="120"/>
              <w:spacing w:line="360" w:lineRule="auto"/>
              <w:rPr>
                <w:rFonts w:hint="eastAsia" w:ascii="宋体" w:hAnsi="宋体" w:eastAsia="宋体" w:cs="宋体"/>
                <w:sz w:val="24"/>
                <w:szCs w:val="24"/>
                <w:highlight w:val="red"/>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管理制度笼统简单</w:t>
            </w:r>
            <w:r>
              <w:rPr>
                <w:rFonts w:hint="eastAsia" w:ascii="宋体" w:hAnsi="宋体" w:eastAsia="宋体" w:cs="宋体"/>
                <w:sz w:val="24"/>
                <w:szCs w:val="24"/>
                <w:lang w:eastAsia="zh-CN"/>
              </w:rPr>
              <w:t>计</w:t>
            </w:r>
            <w:r>
              <w:rPr>
                <w:rFonts w:hint="eastAsia" w:ascii="宋体" w:hAnsi="宋体" w:eastAsia="宋体" w:cs="宋体"/>
                <w:sz w:val="24"/>
                <w:szCs w:val="24"/>
                <w:highlight w:val="none"/>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294" w:type="pct"/>
            <w:vMerge w:val="continue"/>
            <w:tcBorders>
              <w:left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rPr>
            </w:pPr>
          </w:p>
        </w:tc>
        <w:tc>
          <w:tcPr>
            <w:tcW w:w="337" w:type="pct"/>
            <w:vMerge w:val="continue"/>
            <w:tcBorders>
              <w:left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rPr>
            </w:pPr>
          </w:p>
        </w:tc>
        <w:tc>
          <w:tcPr>
            <w:tcW w:w="484" w:type="pct"/>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lang w:val="en-US" w:eastAsia="zh-CN"/>
              </w:rPr>
              <w:t>8分</w:t>
            </w:r>
          </w:p>
        </w:tc>
        <w:tc>
          <w:tcPr>
            <w:tcW w:w="3882" w:type="pct"/>
            <w:tcBorders>
              <w:top w:val="single" w:color="auto" w:sz="4" w:space="0"/>
              <w:left w:val="single" w:color="auto" w:sz="4" w:space="0"/>
              <w:bottom w:val="single" w:color="auto" w:sz="4" w:space="0"/>
              <w:right w:val="single" w:color="auto" w:sz="4" w:space="0"/>
            </w:tcBorders>
            <w:noWrap w:val="0"/>
            <w:vAlign w:val="center"/>
          </w:tcPr>
          <w:p>
            <w:pPr>
              <w:pStyle w:val="12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岗前培训</w:t>
            </w:r>
          </w:p>
          <w:p>
            <w:pPr>
              <w:pStyle w:val="12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安保人员的岗前培训计划、了解基本法律知识及相关的政策、规定，掌握安保所需的相关技能。</w:t>
            </w:r>
          </w:p>
          <w:p>
            <w:pPr>
              <w:pStyle w:val="12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岗前培训方案内容合理完善全面，人员技能掌握熟练</w:t>
            </w:r>
            <w:r>
              <w:rPr>
                <w:rFonts w:hint="eastAsia" w:ascii="宋体" w:hAnsi="宋体" w:eastAsia="宋体" w:cs="宋体"/>
                <w:sz w:val="24"/>
                <w:szCs w:val="24"/>
                <w:lang w:eastAsia="zh-CN"/>
              </w:rPr>
              <w:t>计</w:t>
            </w:r>
            <w:r>
              <w:rPr>
                <w:rFonts w:hint="eastAsia" w:ascii="宋体" w:hAnsi="宋体" w:eastAsia="宋体" w:cs="宋体"/>
                <w:sz w:val="24"/>
                <w:szCs w:val="24"/>
                <w:highlight w:val="none"/>
                <w:lang w:val="en-US" w:eastAsia="zh-CN"/>
              </w:rPr>
              <w:t>4-8分；</w:t>
            </w:r>
          </w:p>
          <w:p>
            <w:pPr>
              <w:pStyle w:val="12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岗前培训方案简单，人员技能掌握生疏</w:t>
            </w:r>
            <w:r>
              <w:rPr>
                <w:rFonts w:hint="eastAsia" w:ascii="宋体" w:hAnsi="宋体" w:eastAsia="宋体" w:cs="宋体"/>
                <w:sz w:val="24"/>
                <w:szCs w:val="24"/>
                <w:lang w:eastAsia="zh-CN"/>
              </w:rPr>
              <w:t>计</w:t>
            </w:r>
            <w:r>
              <w:rPr>
                <w:rFonts w:hint="eastAsia" w:ascii="宋体" w:hAnsi="宋体" w:eastAsia="宋体" w:cs="宋体"/>
                <w:sz w:val="24"/>
                <w:szCs w:val="24"/>
                <w:highlight w:val="none"/>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94" w:type="pct"/>
            <w:vMerge w:val="continue"/>
            <w:tcBorders>
              <w:left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rPr>
            </w:pPr>
          </w:p>
        </w:tc>
        <w:tc>
          <w:tcPr>
            <w:tcW w:w="337" w:type="pct"/>
            <w:vMerge w:val="continue"/>
            <w:tcBorders>
              <w:left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rPr>
            </w:pPr>
          </w:p>
        </w:tc>
        <w:tc>
          <w:tcPr>
            <w:tcW w:w="484" w:type="pct"/>
            <w:tcBorders>
              <w:top w:val="single" w:color="auto" w:sz="4" w:space="0"/>
              <w:left w:val="single" w:color="auto" w:sz="4" w:space="0"/>
              <w:bottom w:val="single" w:color="auto" w:sz="4" w:space="0"/>
              <w:right w:val="single" w:color="auto" w:sz="4" w:space="0"/>
            </w:tcBorders>
            <w:noWrap w:val="0"/>
            <w:vAlign w:val="center"/>
          </w:tcPr>
          <w:p>
            <w:pPr>
              <w:pStyle w:val="120"/>
              <w:spacing w:line="360"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13分</w:t>
            </w:r>
          </w:p>
        </w:tc>
        <w:tc>
          <w:tcPr>
            <w:tcW w:w="3882" w:type="pct"/>
            <w:tcBorders>
              <w:top w:val="single" w:color="auto" w:sz="4" w:space="0"/>
              <w:left w:val="single" w:color="auto" w:sz="4" w:space="0"/>
              <w:bottom w:val="single" w:color="auto" w:sz="4" w:space="0"/>
              <w:right w:val="single" w:color="auto" w:sz="4" w:space="0"/>
            </w:tcBorders>
            <w:noWrap w:val="0"/>
            <w:vAlign w:val="center"/>
          </w:tcPr>
          <w:p>
            <w:pPr>
              <w:pStyle w:val="12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应急</w:t>
            </w:r>
            <w:r>
              <w:rPr>
                <w:rFonts w:hint="eastAsia" w:ascii="宋体" w:hAnsi="宋体" w:eastAsia="宋体" w:cs="宋体"/>
                <w:sz w:val="24"/>
                <w:szCs w:val="24"/>
                <w:highlight w:val="none"/>
                <w:lang w:eastAsia="zh-CN"/>
              </w:rPr>
              <w:t>方</w:t>
            </w:r>
            <w:r>
              <w:rPr>
                <w:rFonts w:hint="eastAsia" w:ascii="宋体" w:hAnsi="宋体" w:eastAsia="宋体" w:cs="宋体"/>
                <w:sz w:val="24"/>
                <w:szCs w:val="24"/>
                <w:highlight w:val="none"/>
              </w:rPr>
              <w:t>案</w:t>
            </w:r>
          </w:p>
          <w:p>
            <w:pPr>
              <w:pStyle w:val="12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针对本项目制定完整详细的</w:t>
            </w:r>
            <w:r>
              <w:rPr>
                <w:rFonts w:hint="eastAsia" w:ascii="宋体" w:hAnsi="宋体" w:eastAsia="宋体" w:cs="宋体"/>
                <w:sz w:val="24"/>
                <w:szCs w:val="24"/>
                <w:highlight w:val="none"/>
                <w:lang w:eastAsia="zh-CN"/>
              </w:rPr>
              <w:t>突发事件</w:t>
            </w:r>
            <w:r>
              <w:rPr>
                <w:rFonts w:hint="eastAsia" w:ascii="宋体" w:hAnsi="宋体" w:eastAsia="宋体" w:cs="宋体"/>
                <w:sz w:val="24"/>
                <w:szCs w:val="24"/>
                <w:highlight w:val="none"/>
              </w:rPr>
              <w:t>应急</w:t>
            </w:r>
            <w:r>
              <w:rPr>
                <w:rFonts w:hint="eastAsia" w:ascii="宋体" w:hAnsi="宋体" w:eastAsia="宋体" w:cs="宋体"/>
                <w:sz w:val="24"/>
                <w:szCs w:val="24"/>
                <w:highlight w:val="none"/>
                <w:lang w:eastAsia="zh-CN"/>
              </w:rPr>
              <w:t>方</w:t>
            </w:r>
            <w:r>
              <w:rPr>
                <w:rFonts w:hint="eastAsia" w:ascii="宋体" w:hAnsi="宋体" w:eastAsia="宋体" w:cs="宋体"/>
                <w:sz w:val="24"/>
                <w:szCs w:val="24"/>
                <w:highlight w:val="none"/>
              </w:rPr>
              <w:t>案体系（停水停电、消防安全应急</w:t>
            </w:r>
            <w:r>
              <w:rPr>
                <w:rFonts w:hint="eastAsia" w:ascii="宋体" w:hAnsi="宋体" w:eastAsia="宋体" w:cs="宋体"/>
                <w:sz w:val="24"/>
                <w:szCs w:val="24"/>
                <w:highlight w:val="none"/>
                <w:lang w:eastAsia="zh-CN"/>
              </w:rPr>
              <w:t>方</w:t>
            </w:r>
            <w:r>
              <w:rPr>
                <w:rFonts w:hint="eastAsia" w:ascii="宋体" w:hAnsi="宋体" w:eastAsia="宋体" w:cs="宋体"/>
                <w:sz w:val="24"/>
                <w:szCs w:val="24"/>
                <w:highlight w:val="none"/>
              </w:rPr>
              <w:t>案、特殊情况</w:t>
            </w:r>
            <w:r>
              <w:rPr>
                <w:rFonts w:hint="eastAsia" w:ascii="宋体" w:hAnsi="宋体" w:eastAsia="宋体" w:cs="宋体"/>
                <w:sz w:val="24"/>
                <w:szCs w:val="24"/>
                <w:highlight w:val="none"/>
                <w:lang w:eastAsia="zh-CN"/>
              </w:rPr>
              <w:t>及其他</w:t>
            </w:r>
            <w:r>
              <w:rPr>
                <w:rFonts w:hint="eastAsia" w:ascii="宋体" w:hAnsi="宋体" w:eastAsia="宋体" w:cs="宋体"/>
                <w:sz w:val="24"/>
                <w:szCs w:val="24"/>
                <w:highlight w:val="none"/>
              </w:rPr>
              <w:t>等应急</w:t>
            </w:r>
            <w:r>
              <w:rPr>
                <w:rFonts w:hint="eastAsia" w:ascii="宋体" w:hAnsi="宋体" w:eastAsia="宋体" w:cs="宋体"/>
                <w:sz w:val="24"/>
                <w:szCs w:val="24"/>
                <w:highlight w:val="none"/>
                <w:lang w:eastAsia="zh-CN"/>
              </w:rPr>
              <w:t>方</w:t>
            </w:r>
            <w:r>
              <w:rPr>
                <w:rFonts w:hint="eastAsia" w:ascii="宋体" w:hAnsi="宋体" w:eastAsia="宋体" w:cs="宋体"/>
                <w:sz w:val="24"/>
                <w:szCs w:val="24"/>
                <w:highlight w:val="none"/>
              </w:rPr>
              <w:t>案）。</w:t>
            </w:r>
          </w:p>
          <w:p>
            <w:pPr>
              <w:pStyle w:val="12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方案合理，考虑全面、措施明确、切实可行，得8-13分；</w:t>
            </w:r>
          </w:p>
          <w:p>
            <w:pPr>
              <w:pStyle w:val="12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方案考虑简单笼统，得4-8分；</w:t>
            </w:r>
          </w:p>
          <w:p>
            <w:pPr>
              <w:pStyle w:val="120"/>
              <w:spacing w:line="360" w:lineRule="auto"/>
              <w:rPr>
                <w:rFonts w:hint="eastAsia" w:ascii="宋体" w:hAnsi="宋体" w:eastAsia="宋体" w:cs="宋体"/>
                <w:sz w:val="24"/>
                <w:szCs w:val="24"/>
                <w:lang w:val="en-US" w:eastAsia="zh-CN" w:bidi="ar-SA"/>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方案模糊，措施不清晰，得0-4分</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94" w:type="pct"/>
            <w:vMerge w:val="restart"/>
            <w:tcBorders>
              <w:left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人员</w:t>
            </w:r>
          </w:p>
          <w:p>
            <w:pPr>
              <w:widowControl w:val="0"/>
              <w:spacing w:line="360" w:lineRule="auto"/>
              <w:ind w:left="-118" w:leftChars="-56" w:right="-94" w:rightChars="-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及</w:t>
            </w:r>
            <w:r>
              <w:rPr>
                <w:rFonts w:hint="eastAsia" w:ascii="宋体" w:hAnsi="宋体" w:eastAsia="宋体" w:cs="宋体"/>
                <w:sz w:val="24"/>
                <w:szCs w:val="24"/>
                <w:highlight w:val="none"/>
                <w:lang w:val="en-US" w:eastAsia="zh-CN"/>
              </w:rPr>
              <w:t>安保用具</w:t>
            </w:r>
          </w:p>
          <w:p>
            <w:pPr>
              <w:widowControl w:val="0"/>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lang w:eastAsia="zh-CN"/>
              </w:rPr>
              <w:t>配备</w:t>
            </w:r>
          </w:p>
        </w:tc>
        <w:tc>
          <w:tcPr>
            <w:tcW w:w="337" w:type="pct"/>
            <w:vMerge w:val="restart"/>
            <w:tcBorders>
              <w:left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26分</w:t>
            </w:r>
          </w:p>
        </w:tc>
        <w:tc>
          <w:tcPr>
            <w:tcW w:w="484" w:type="pct"/>
            <w:tcBorders>
              <w:top w:val="single" w:color="auto" w:sz="4" w:space="0"/>
              <w:left w:val="single" w:color="auto" w:sz="4" w:space="0"/>
              <w:bottom w:val="single" w:color="auto" w:sz="4" w:space="0"/>
              <w:right w:val="single" w:color="auto" w:sz="4" w:space="0"/>
            </w:tcBorders>
            <w:noWrap w:val="0"/>
            <w:vAlign w:val="center"/>
          </w:tcPr>
          <w:p>
            <w:pPr>
              <w:pStyle w:val="120"/>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13分</w:t>
            </w:r>
          </w:p>
        </w:tc>
        <w:tc>
          <w:tcPr>
            <w:tcW w:w="3882" w:type="pct"/>
            <w:tcBorders>
              <w:top w:val="single" w:color="auto" w:sz="4" w:space="0"/>
              <w:left w:val="single" w:color="auto" w:sz="4" w:space="0"/>
              <w:bottom w:val="single" w:color="auto" w:sz="4" w:space="0"/>
              <w:right w:val="single" w:color="auto" w:sz="4" w:space="0"/>
            </w:tcBorders>
            <w:noWrap w:val="0"/>
            <w:vAlign w:val="center"/>
          </w:tcPr>
          <w:p>
            <w:pPr>
              <w:pStyle w:val="12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人员配备</w:t>
            </w:r>
          </w:p>
          <w:p>
            <w:pPr>
              <w:pStyle w:val="12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根据拟投入的其他服务人员的配置情况，包括骨干的配置；人员数量、年龄、专业经验、资格/职称等情况进行综合评审。</w:t>
            </w:r>
          </w:p>
          <w:p>
            <w:pPr>
              <w:pStyle w:val="12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人员配置充足合理、员工经验丰富，专业性强得8-13分；</w:t>
            </w:r>
          </w:p>
          <w:p>
            <w:pPr>
              <w:pStyle w:val="12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人员配置可以满足项目需求得4-8分；</w:t>
            </w:r>
          </w:p>
          <w:p>
            <w:pPr>
              <w:pStyle w:val="12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人员配置简单，员工经验缺乏得0-4分。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94" w:type="pct"/>
            <w:vMerge w:val="continue"/>
            <w:tcBorders>
              <w:left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rPr>
            </w:pPr>
          </w:p>
        </w:tc>
        <w:tc>
          <w:tcPr>
            <w:tcW w:w="337" w:type="pct"/>
            <w:vMerge w:val="continue"/>
            <w:tcBorders>
              <w:left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rPr>
            </w:pPr>
          </w:p>
        </w:tc>
        <w:tc>
          <w:tcPr>
            <w:tcW w:w="484" w:type="pct"/>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13分</w:t>
            </w:r>
          </w:p>
        </w:tc>
        <w:tc>
          <w:tcPr>
            <w:tcW w:w="3882" w:type="pct"/>
            <w:tcBorders>
              <w:top w:val="single" w:color="auto" w:sz="4" w:space="0"/>
              <w:left w:val="single" w:color="auto" w:sz="4" w:space="0"/>
              <w:bottom w:val="single" w:color="auto" w:sz="4" w:space="0"/>
              <w:right w:val="single" w:color="auto" w:sz="4" w:space="0"/>
            </w:tcBorders>
            <w:noWrap w:val="0"/>
            <w:vAlign w:val="center"/>
          </w:tcPr>
          <w:p>
            <w:pPr>
              <w:pStyle w:val="12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安保用具配备</w:t>
            </w:r>
          </w:p>
          <w:p>
            <w:pPr>
              <w:pStyle w:val="12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提供专业安保用具表，至少包含名称、型号、用途、生产厂家，配备合理，规格满足使用要求； </w:t>
            </w:r>
          </w:p>
          <w:p>
            <w:pPr>
              <w:pStyle w:val="12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安保用具保有量足，种类齐全，能够较好完整日常安保工作8-13分；</w:t>
            </w:r>
          </w:p>
          <w:p>
            <w:pPr>
              <w:pStyle w:val="12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 xml:space="preserve">有一定数量的安保用具，基本能够保障日常安保工作计4-8分； </w:t>
            </w:r>
          </w:p>
          <w:p>
            <w:pPr>
              <w:pStyle w:val="120"/>
              <w:spacing w:line="360" w:lineRule="auto"/>
              <w:rPr>
                <w:rFonts w:hint="eastAsia" w:ascii="宋体" w:hAnsi="宋体" w:eastAsia="宋体" w:cs="宋体"/>
                <w:sz w:val="24"/>
                <w:szCs w:val="24"/>
                <w:highlight w:val="red"/>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无或仅有少量安保用具计0-4分。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294" w:type="pct"/>
            <w:vMerge w:val="restart"/>
            <w:tcBorders>
              <w:left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w:t>
            </w:r>
          </w:p>
          <w:p>
            <w:pPr>
              <w:widowControl w:val="0"/>
              <w:spacing w:line="360" w:lineRule="auto"/>
              <w:ind w:left="-118" w:leftChars="-56" w:right="-94" w:rightChars="-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质量</w:t>
            </w:r>
          </w:p>
          <w:p>
            <w:pPr>
              <w:widowControl w:val="0"/>
              <w:spacing w:line="360" w:lineRule="auto"/>
              <w:ind w:left="-118" w:leftChars="-56" w:right="-94" w:rightChars="-4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保障</w:t>
            </w:r>
          </w:p>
        </w:tc>
        <w:tc>
          <w:tcPr>
            <w:tcW w:w="337" w:type="pct"/>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4"/>
                <w:szCs w:val="24"/>
                <w:lang w:val="en-US" w:eastAsia="zh-CN"/>
              </w:rPr>
            </w:pPr>
          </w:p>
        </w:tc>
        <w:tc>
          <w:tcPr>
            <w:tcW w:w="484" w:type="pct"/>
            <w:tcBorders>
              <w:top w:val="single" w:color="auto" w:sz="4" w:space="0"/>
              <w:left w:val="single" w:color="auto" w:sz="4" w:space="0"/>
              <w:bottom w:val="single" w:color="auto" w:sz="4" w:space="0"/>
              <w:right w:val="single" w:color="auto" w:sz="4" w:space="0"/>
            </w:tcBorders>
            <w:noWrap w:val="0"/>
            <w:vAlign w:val="center"/>
          </w:tcPr>
          <w:p>
            <w:pPr>
              <w:pStyle w:val="120"/>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6分</w:t>
            </w:r>
          </w:p>
        </w:tc>
        <w:tc>
          <w:tcPr>
            <w:tcW w:w="3882" w:type="pct"/>
            <w:tcBorders>
              <w:top w:val="single" w:color="auto" w:sz="4" w:space="0"/>
              <w:left w:val="single" w:color="auto" w:sz="4" w:space="0"/>
              <w:bottom w:val="single" w:color="auto" w:sz="4" w:space="0"/>
              <w:right w:val="single" w:color="auto" w:sz="4" w:space="0"/>
            </w:tcBorders>
            <w:noWrap w:val="0"/>
            <w:vAlign w:val="center"/>
          </w:tcPr>
          <w:p>
            <w:pPr>
              <w:pStyle w:val="12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服务承诺</w:t>
            </w:r>
          </w:p>
          <w:p>
            <w:pPr>
              <w:pStyle w:val="12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对本次项目的服务承诺（包含但不限于针对本项目的各项服务质量目标、保障措施及服务人员入场计划等）。</w:t>
            </w:r>
          </w:p>
          <w:p>
            <w:pPr>
              <w:pStyle w:val="120"/>
              <w:spacing w:line="360" w:lineRule="auto"/>
              <w:rPr>
                <w:rFonts w:hint="eastAsia" w:ascii="宋体" w:hAnsi="宋体" w:eastAsia="宋体" w:cs="宋体"/>
                <w:sz w:val="24"/>
                <w:szCs w:val="24"/>
                <w:highlight w:val="none"/>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服务承诺</w:t>
            </w:r>
            <w:r>
              <w:rPr>
                <w:rFonts w:hint="eastAsia" w:ascii="宋体" w:hAnsi="宋体" w:eastAsia="宋体" w:cs="宋体"/>
                <w:sz w:val="24"/>
                <w:szCs w:val="24"/>
                <w:highlight w:val="none"/>
              </w:rPr>
              <w:t>全面</w:t>
            </w:r>
            <w:r>
              <w:rPr>
                <w:rFonts w:hint="eastAsia" w:ascii="宋体" w:hAnsi="宋体" w:eastAsia="宋体" w:cs="宋体"/>
                <w:sz w:val="24"/>
                <w:szCs w:val="24"/>
                <w:highlight w:val="none"/>
                <w:lang w:val="en-US" w:eastAsia="zh-CN"/>
              </w:rPr>
              <w:t>完善、详细</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pPr>
              <w:pStyle w:val="120"/>
              <w:spacing w:line="360" w:lineRule="auto"/>
              <w:rPr>
                <w:rFonts w:hint="eastAsia" w:ascii="宋体" w:hAnsi="宋体" w:eastAsia="宋体" w:cs="宋体"/>
                <w:sz w:val="24"/>
                <w:szCs w:val="24"/>
                <w:highlight w:val="red"/>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服务承诺笼统简单</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294" w:type="pct"/>
            <w:vMerge w:val="continue"/>
            <w:tcBorders>
              <w:left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lang w:eastAsia="zh-CN"/>
              </w:rPr>
            </w:pPr>
          </w:p>
        </w:tc>
        <w:tc>
          <w:tcPr>
            <w:tcW w:w="33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4"/>
                <w:szCs w:val="24"/>
                <w:lang w:val="en-US" w:eastAsia="zh-CN"/>
              </w:rPr>
            </w:pPr>
          </w:p>
        </w:tc>
        <w:tc>
          <w:tcPr>
            <w:tcW w:w="484" w:type="pct"/>
            <w:tcBorders>
              <w:top w:val="single" w:color="auto" w:sz="4" w:space="0"/>
              <w:left w:val="single" w:color="auto" w:sz="4" w:space="0"/>
              <w:bottom w:val="single" w:color="auto" w:sz="4" w:space="0"/>
              <w:right w:val="single" w:color="auto" w:sz="4" w:space="0"/>
            </w:tcBorders>
            <w:noWrap w:val="0"/>
            <w:vAlign w:val="center"/>
          </w:tcPr>
          <w:p>
            <w:pPr>
              <w:pStyle w:val="120"/>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6分</w:t>
            </w:r>
          </w:p>
        </w:tc>
        <w:tc>
          <w:tcPr>
            <w:tcW w:w="3882" w:type="pct"/>
            <w:tcBorders>
              <w:top w:val="single" w:color="auto" w:sz="4" w:space="0"/>
              <w:left w:val="single" w:color="auto" w:sz="4" w:space="0"/>
              <w:bottom w:val="single" w:color="auto" w:sz="4" w:space="0"/>
              <w:right w:val="single" w:color="auto" w:sz="4" w:space="0"/>
            </w:tcBorders>
            <w:noWrap w:val="0"/>
            <w:vAlign w:val="center"/>
          </w:tcPr>
          <w:p>
            <w:pPr>
              <w:pStyle w:val="120"/>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sz w:val="24"/>
                <w:szCs w:val="24"/>
              </w:rPr>
              <w:t>合理化建议</w:t>
            </w:r>
          </w:p>
          <w:p>
            <w:pPr>
              <w:pStyle w:val="12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服务承诺和合理化建议科学、合理、可行计3-6分；</w:t>
            </w:r>
          </w:p>
          <w:p>
            <w:pPr>
              <w:pStyle w:val="12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未提供承诺或合理化建议，或者言之无物计0-3分。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294" w:type="pct"/>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业绩</w:t>
            </w:r>
          </w:p>
        </w:tc>
        <w:tc>
          <w:tcPr>
            <w:tcW w:w="822" w:type="pct"/>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left="-118" w:leftChars="-56" w:right="-94" w:rightChars="-45"/>
              <w:jc w:val="center"/>
              <w:rPr>
                <w:rFonts w:hint="eastAsia" w:ascii="宋体" w:hAnsi="宋体" w:eastAsia="宋体" w:cs="宋体"/>
                <w:sz w:val="24"/>
                <w:szCs w:val="24"/>
                <w:lang w:val="en-US" w:eastAsia="zh-CN" w:bidi="ar-SA"/>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3882" w:type="pct"/>
            <w:tcBorders>
              <w:top w:val="single" w:color="auto" w:sz="4" w:space="0"/>
              <w:left w:val="single" w:color="auto" w:sz="4" w:space="0"/>
              <w:bottom w:val="single" w:color="auto" w:sz="4" w:space="0"/>
              <w:right w:val="single" w:color="auto" w:sz="4" w:space="0"/>
            </w:tcBorders>
            <w:noWrap w:val="0"/>
            <w:vAlign w:val="center"/>
          </w:tcPr>
          <w:p>
            <w:pPr>
              <w:pStyle w:val="120"/>
              <w:tabs>
                <w:tab w:val="left" w:pos="2033"/>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投标人提供类似</w:t>
            </w:r>
            <w:r>
              <w:rPr>
                <w:rFonts w:hint="eastAsia" w:ascii="宋体" w:hAnsi="宋体" w:eastAsia="宋体" w:cs="宋体"/>
                <w:sz w:val="24"/>
                <w:szCs w:val="24"/>
                <w:highlight w:val="none"/>
              </w:rPr>
              <w:t>业绩（以签订日期自</w:t>
            </w:r>
            <w:r>
              <w:rPr>
                <w:rFonts w:hint="eastAsia" w:ascii="宋体" w:hAnsi="宋体" w:eastAsia="宋体" w:cs="宋体"/>
                <w:sz w:val="24"/>
                <w:szCs w:val="24"/>
                <w:highlight w:val="none"/>
                <w:lang w:val="en-US" w:eastAsia="zh-CN"/>
              </w:rPr>
              <w:t>2020</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月至今的合同为准，复印件加盖公章），每提供一份计</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分，计满</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分为止。备注：须附合同关键页（含签订合同双方单位名称、项目名称、签订合同双方的落款盖章、签订日期的关键页）复印件作为类似业绩评审资料,资料不全不得分。</w:t>
            </w:r>
          </w:p>
        </w:tc>
      </w:tr>
    </w:tbl>
    <w:p>
      <w:pPr>
        <w:autoSpaceDE w:val="0"/>
        <w:autoSpaceDN w:val="0"/>
        <w:adjustRightInd w:val="0"/>
        <w:spacing w:after="6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注：1.评委打分超过得分界限或未按本方法赋分时，该评委的打分无效。</w:t>
      </w:r>
    </w:p>
    <w:p>
      <w:pPr>
        <w:autoSpaceDE w:val="0"/>
        <w:autoSpaceDN w:val="0"/>
        <w:adjustRightInd w:val="0"/>
        <w:spacing w:after="6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2.各种计算数字均保留两位小数，第三位“四舍五入”。 </w:t>
      </w:r>
    </w:p>
    <w:p>
      <w:pPr>
        <w:autoSpaceDE w:val="0"/>
        <w:autoSpaceDN w:val="0"/>
        <w:adjustRightInd w:val="0"/>
        <w:spacing w:after="6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3.漏项缺项、或只有标题而无内容的，该项按0分计算。</w:t>
      </w:r>
    </w:p>
    <w:p>
      <w:pPr>
        <w:autoSpaceDE w:val="0"/>
        <w:autoSpaceDN w:val="0"/>
        <w:adjustRightInd w:val="0"/>
        <w:spacing w:after="60"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政策性扣减</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360" w:lineRule="auto"/>
        <w:ind w:firstLine="500"/>
        <w:rPr>
          <w:rFonts w:hint="eastAsia" w:ascii="宋体" w:hAnsi="宋体" w:eastAsia="宋体" w:cs="宋体"/>
          <w:sz w:val="24"/>
          <w:szCs w:val="24"/>
          <w:highlight w:val="none"/>
        </w:rPr>
      </w:pPr>
      <w:r>
        <w:rPr>
          <w:rFonts w:hint="eastAsia" w:ascii="宋体" w:hAnsi="宋体" w:eastAsia="宋体" w:cs="宋体"/>
          <w:sz w:val="24"/>
          <w:szCs w:val="24"/>
          <w:highlight w:val="none"/>
        </w:rPr>
        <w:t>a政策性扣减范围</w:t>
      </w:r>
    </w:p>
    <w:p>
      <w:pPr>
        <w:autoSpaceDE w:val="0"/>
        <w:autoSpaceDN w:val="0"/>
        <w:adjustRightInd w:val="0"/>
        <w:spacing w:after="6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供应商符合小型、微型企业或监狱企业、残疾人福利性单位条件的，其投标报价价格评审时将按相应比例进行扣减。</w:t>
      </w:r>
    </w:p>
    <w:p>
      <w:pPr>
        <w:autoSpaceDE w:val="0"/>
        <w:autoSpaceDN w:val="0"/>
        <w:adjustRightInd w:val="0"/>
        <w:spacing w:after="6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b依据关于印发《政府采购促进中小企业发展管理办法》的通知（财库〔2020〕46号）的规定，在政府采购活动中，供应商提供的货物、工程或者服务符合下列情形的，享受中小企业扶持政策：</w:t>
      </w:r>
    </w:p>
    <w:p>
      <w:pPr>
        <w:autoSpaceDE w:val="0"/>
        <w:autoSpaceDN w:val="0"/>
        <w:adjustRightInd w:val="0"/>
        <w:spacing w:after="6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以联合体形式参加政府采购活动，联合体各方均为中小企业的，联合体视同中小企业。其中，联合体各方均为小微企业的，联合体视同小微企业。中小企业参加政府采购活动，应当出具符合财库〔2020〕46号规定的《中小企业声明函》,否则不得享受相关中小企业扶持政策。</w:t>
      </w:r>
    </w:p>
    <w:p>
      <w:pPr>
        <w:autoSpaceDE w:val="0"/>
        <w:autoSpaceDN w:val="0"/>
        <w:adjustRightInd w:val="0"/>
        <w:spacing w:after="6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采购人拟采购产品属于优先采购节能、环境标志产品范围的，应当优先采购节能、环境标志产品；拟采购产品符合政府采购强制采购政策的，实行强制采购。采购人依据节能产品、环境标志产品品目清单和节能、环境标志产品认证证书实施政府优先采购和强制采购。采购人拟采购的产品属于品目清单范围的，采购人及其委托的采购代理机构将依据国家确定的认证机构出具的、处于有效期之内的节能、环境标志产品认证书的产品实施政府优先采购或强制采购。</w:t>
      </w:r>
    </w:p>
    <w:p>
      <w:pPr>
        <w:autoSpaceDE w:val="0"/>
        <w:autoSpaceDN w:val="0"/>
        <w:adjustRightInd w:val="0"/>
        <w:spacing w:after="6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d监狱企业参加政府采购活动时，应当提供由省级以上监狱管理局、戒毒管理局(含新疆生产建设兵团)出具的属于监狱企业的证明文件。监狱企业参加政府采购活动时，视同小型、微型企业。</w:t>
      </w:r>
    </w:p>
    <w:p>
      <w:pPr>
        <w:autoSpaceDE w:val="0"/>
        <w:autoSpaceDN w:val="0"/>
        <w:adjustRightInd w:val="0"/>
        <w:spacing w:after="6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e符合条件的残疾人福利性单位在参加政府采购活动时，应当提供《残疾人福利性单位声明函》，并对声明的真实性负责。残疾人福利性单位参加政府采购活动时，视同小型、微型企业；残疾人福利性单位属于小型、微型企业的，不重复享受政策。</w:t>
      </w:r>
    </w:p>
    <w:p>
      <w:pPr>
        <w:pStyle w:val="7"/>
        <w:keepNext w:val="0"/>
        <w:keepLines w:val="0"/>
        <w:spacing w:before="0" w:after="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政策性扣减方式</w:t>
      </w:r>
    </w:p>
    <w:p>
      <w:pPr>
        <w:spacing w:line="360" w:lineRule="auto"/>
        <w:ind w:firstLine="500"/>
        <w:rPr>
          <w:rFonts w:hint="eastAsia" w:ascii="宋体" w:hAnsi="宋体" w:eastAsia="宋体" w:cs="宋体"/>
          <w:sz w:val="24"/>
          <w:szCs w:val="24"/>
          <w:highlight w:val="none"/>
        </w:rPr>
      </w:pPr>
      <w:r>
        <w:rPr>
          <w:rFonts w:hint="eastAsia" w:ascii="宋体" w:hAnsi="宋体" w:eastAsia="宋体" w:cs="宋体"/>
          <w:sz w:val="24"/>
          <w:szCs w:val="24"/>
          <w:highlight w:val="none"/>
        </w:rPr>
        <w:t>a对于未预留份额专门面向中小企业采购的采购项目，以及预留份额项目的非预留部分采购包中符合条件的小微企业报价给予</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%的扣除。</w:t>
      </w:r>
    </w:p>
    <w:p>
      <w:pPr>
        <w:spacing w:line="360" w:lineRule="auto"/>
        <w:ind w:firstLine="5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b</w:t>
      </w:r>
      <w:r>
        <w:rPr>
          <w:rFonts w:hint="eastAsia" w:ascii="宋体" w:hAnsi="宋体" w:eastAsia="宋体" w:cs="宋体"/>
          <w:sz w:val="24"/>
          <w:szCs w:val="24"/>
          <w:highlight w:val="none"/>
        </w:rPr>
        <w:t>监狱企业、残疾人福利性单位视同小微企业，享受预留份额、评审中价格扣除等促进中小企业发展的政府采购政策。监狱企业、残疾人福利性单位属于小微企业的，不重复享受政策。</w:t>
      </w:r>
    </w:p>
    <w:p>
      <w:pPr>
        <w:autoSpaceDE w:val="0"/>
        <w:autoSpaceDN w:val="0"/>
        <w:adjustRightInd w:val="0"/>
        <w:spacing w:after="6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6.5评标委员会完成评标后，向采购人提出书面评标报告，并推荐综合得分由高到低排名前三名为中标候选人。</w:t>
      </w:r>
    </w:p>
    <w:p>
      <w:pPr>
        <w:autoSpaceDE w:val="0"/>
        <w:autoSpaceDN w:val="0"/>
        <w:adjustRightInd w:val="0"/>
        <w:spacing w:after="6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6.6若出现综合得分相同时，则比较投标报价得分。</w:t>
      </w:r>
    </w:p>
    <w:p>
      <w:pPr>
        <w:autoSpaceDE w:val="0"/>
        <w:autoSpaceDN w:val="0"/>
        <w:adjustRightInd w:val="0"/>
        <w:spacing w:after="6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6.7评标过程中，若出现本评标办法以外的特殊情况时，将暂停评标，有关情况待评标委员会确定后，再进行评定。</w:t>
      </w:r>
    </w:p>
    <w:p>
      <w:pPr>
        <w:autoSpaceDE w:val="0"/>
        <w:autoSpaceDN w:val="0"/>
        <w:adjustRightInd w:val="0"/>
        <w:spacing w:after="6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6.8未尽事宜以现行招标有关规定为准。</w:t>
      </w:r>
    </w:p>
    <w:p>
      <w:pPr>
        <w:autoSpaceDE w:val="0"/>
        <w:autoSpaceDN w:val="0"/>
        <w:adjustRightInd w:val="0"/>
        <w:spacing w:after="6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6.9本招标文件的解释权归采购代理公司所有。</w:t>
      </w:r>
      <w:bookmarkEnd w:id="230"/>
      <w:bookmarkEnd w:id="231"/>
      <w:bookmarkEnd w:id="232"/>
      <w:bookmarkStart w:id="235" w:name="_Toc339114165"/>
      <w:bookmarkStart w:id="236" w:name="_Toc31190"/>
    </w:p>
    <w:p>
      <w:pPr>
        <w:spacing w:line="360" w:lineRule="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br w:type="page"/>
      </w:r>
    </w:p>
    <w:p>
      <w:pPr>
        <w:numPr>
          <w:ilvl w:val="0"/>
          <w:numId w:val="6"/>
        </w:numPr>
        <w:spacing w:line="360" w:lineRule="auto"/>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bookmarkStart w:id="237" w:name="_Toc3749"/>
      <w:bookmarkStart w:id="238" w:name="_Toc31219"/>
      <w:r>
        <w:rPr>
          <w:rFonts w:hint="eastAsia" w:ascii="宋体" w:hAnsi="宋体" w:eastAsia="宋体" w:cs="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6"/>
          <w:szCs w:val="36"/>
          <w:highlight w:val="none"/>
          <w14:textFill>
            <w14:solidFill>
              <w14:schemeClr w14:val="tx1"/>
            </w14:solidFill>
          </w14:textFill>
        </w:rPr>
        <w:t>合同条款及格式</w:t>
      </w:r>
      <w:bookmarkEnd w:id="235"/>
      <w:bookmarkEnd w:id="236"/>
      <w:bookmarkEnd w:id="237"/>
      <w:bookmarkEnd w:id="238"/>
      <w:bookmarkStart w:id="239" w:name="_Toc152042387"/>
      <w:bookmarkStart w:id="240" w:name="_Toc152045609"/>
      <w:bookmarkStart w:id="241" w:name="_Toc144974577"/>
    </w:p>
    <w:bookmarkEnd w:id="239"/>
    <w:bookmarkEnd w:id="240"/>
    <w:bookmarkEnd w:id="241"/>
    <w:p>
      <w:pPr>
        <w:spacing w:line="360" w:lineRule="auto"/>
        <w:jc w:val="center"/>
        <w:rPr>
          <w:rFonts w:hint="eastAsia" w:ascii="宋体" w:hAnsi="宋体" w:eastAsia="宋体" w:cs="宋体"/>
          <w:b/>
          <w:color w:val="000000" w:themeColor="text1"/>
          <w:sz w:val="36"/>
          <w:szCs w:val="36"/>
          <w:highlight w:val="none"/>
          <w:lang w:eastAsia="zh-CN"/>
          <w14:textFill>
            <w14:solidFill>
              <w14:schemeClr w14:val="tx1"/>
            </w14:solidFill>
          </w14:textFill>
        </w:rPr>
      </w:pPr>
      <w:bookmarkStart w:id="242" w:name="_Toc30224_WPSOffice_Level1"/>
    </w:p>
    <w:p>
      <w:pPr>
        <w:pStyle w:val="17"/>
        <w:spacing w:line="360" w:lineRule="auto"/>
        <w:rPr>
          <w:rFonts w:hint="eastAsia" w:ascii="宋体" w:hAnsi="宋体" w:eastAsia="宋体" w:cs="宋体"/>
          <w:sz w:val="36"/>
          <w:szCs w:val="36"/>
          <w:highlight w:val="none"/>
          <w:lang w:eastAsia="zh-CN"/>
        </w:rPr>
      </w:pPr>
    </w:p>
    <w:p>
      <w:pPr>
        <w:spacing w:line="360" w:lineRule="auto"/>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p>
    <w:p>
      <w:pPr>
        <w:spacing w:line="360" w:lineRule="auto"/>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p>
    <w:p>
      <w:pPr>
        <w:spacing w:line="360" w:lineRule="auto"/>
        <w:jc w:val="center"/>
        <w:rPr>
          <w:rFonts w:hint="eastAsia" w:ascii="宋体" w:hAnsi="宋体" w:eastAsia="宋体" w:cs="宋体"/>
          <w:b/>
          <w:color w:val="000000" w:themeColor="text1"/>
          <w:sz w:val="36"/>
          <w:szCs w:val="36"/>
          <w:highlight w:val="none"/>
          <w:lang w:eastAsia="zh-CN"/>
          <w14:textFill>
            <w14:solidFill>
              <w14:schemeClr w14:val="tx1"/>
            </w14:solidFill>
          </w14:textFill>
        </w:rPr>
      </w:pPr>
    </w:p>
    <w:p>
      <w:pPr>
        <w:spacing w:line="360" w:lineRule="auto"/>
        <w:jc w:val="center"/>
        <w:rPr>
          <w:rFonts w:hint="eastAsia" w:ascii="宋体" w:hAnsi="宋体" w:eastAsia="宋体" w:cs="宋体"/>
          <w:b/>
          <w:color w:val="000000" w:themeColor="text1"/>
          <w:sz w:val="36"/>
          <w:szCs w:val="36"/>
          <w:highlight w:val="none"/>
          <w:lang w:eastAsia="zh-CN"/>
          <w14:textFill>
            <w14:solidFill>
              <w14:schemeClr w14:val="tx1"/>
            </w14:solidFill>
          </w14:textFill>
        </w:rPr>
      </w:pPr>
      <w:r>
        <w:rPr>
          <w:rFonts w:hint="eastAsia" w:ascii="宋体" w:hAnsi="宋体" w:eastAsia="宋体" w:cs="宋体"/>
          <w:b/>
          <w:color w:val="000000" w:themeColor="text1"/>
          <w:sz w:val="36"/>
          <w:szCs w:val="36"/>
          <w:highlight w:val="none"/>
          <w:lang w:eastAsia="zh-CN"/>
          <w14:textFill>
            <w14:solidFill>
              <w14:schemeClr w14:val="tx1"/>
            </w14:solidFill>
          </w14:textFill>
        </w:rPr>
        <w:t>中医医院后勤和安保服务项目</w:t>
      </w:r>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pStyle w:val="17"/>
        <w:spacing w:line="360" w:lineRule="auto"/>
        <w:rPr>
          <w:rFonts w:hint="eastAsia" w:ascii="宋体" w:hAnsi="宋体" w:eastAsia="宋体" w:cs="宋体"/>
          <w:b/>
          <w:color w:val="000000" w:themeColor="text1"/>
          <w:sz w:val="24"/>
          <w:szCs w:val="24"/>
          <w:highlight w:val="none"/>
          <w:lang w:eastAsia="zh-CN"/>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135"/>
        <w:spacing w:line="360" w:lineRule="auto"/>
        <w:ind w:left="0" w:leftChars="0" w:firstLine="0" w:firstLineChars="0"/>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（示范文本）</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采购人（全称）：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供应商（全称）：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根据《中华人民共和国民法典》及其他有关法律、法规，遵循平等、自愿、公平和诚信的原则，双方就下述项目范围与相关服务事项协商一致，订立本合同。</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一、项目概况</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项目地点：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项目内容：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二、组成本合同的文件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协议书；</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lang w:eastAsia="zh-CN"/>
        </w:rPr>
        <w:t>中标</w:t>
      </w:r>
      <w:r>
        <w:rPr>
          <w:rFonts w:hint="eastAsia" w:ascii="宋体" w:hAnsi="宋体" w:eastAsia="宋体" w:cs="宋体"/>
          <w:sz w:val="24"/>
          <w:szCs w:val="24"/>
          <w:highlight w:val="none"/>
        </w:rPr>
        <w:t>通知书、</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文件、澄清、补充文件（或委托书）；</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相关服务建议书；</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附录，即：附表内相关服务的范围和内容；</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本合同签订后，双方依法签订的补充协议也是本合同文件的组成部分。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三、合同价款</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合同总价（大写）：                            （¥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合同总价即成交价，合同总价一次包死，不受市场价变化或实际工作量变化的影响，合同价格为含税价，供应商（成交供应商）提供</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所发生的一切税（包括增值税）费等都已包含于合同价款中。</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四、结算方式：</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（1）结算单位：由采购人负责结算，乙方开具合同总价款的全额发票交采购人。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结算方式：</w:t>
      </w:r>
      <w:r>
        <w:rPr>
          <w:rFonts w:hint="eastAsia" w:ascii="宋体" w:hAnsi="宋体" w:eastAsia="宋体" w:cs="宋体"/>
          <w:sz w:val="24"/>
          <w:szCs w:val="24"/>
          <w:highlight w:val="none"/>
        </w:rPr>
        <w:t>采取月支付的方式进行付款。甲方每月据实结算一次，次月10</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rPr>
        <w:t>前支付上月费用。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五、期限</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期：</w:t>
      </w:r>
      <w:r>
        <w:rPr>
          <w:rFonts w:hint="eastAsia" w:ascii="宋体" w:hAnsi="宋体" w:eastAsia="宋体" w:cs="宋体"/>
          <w:sz w:val="24"/>
          <w:szCs w:val="24"/>
          <w:highlight w:val="none"/>
          <w:lang w:eastAsia="zh-CN"/>
        </w:rPr>
        <w:t>自合同签订之日起一年。（合同签订后，服务期为一年；第一年度服务期满，乙方满足甲方考核标准的，经双方协商可续签第二年度合同；第二年度服务期满，乙方满足甲方考核标准的，经双方协商可续签第三年度合同，每年合同款项按照约定的方式支付）。</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地点：采购人指定地点。</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、双方承诺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供应商向采购人承诺，按照本合同约定提供相关服务。</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采购人向供应商承诺，按照本合同约定支付服务款项。</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七、知识产权</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供应商应保证服务不会出现因第三方提出侵犯其专利权、商标权或其它知识产权而引发法律或经济纠纷，否则由供应商承担全部责任。任何被供应商用于未经授权的商业目的行为所造成的违约或侵权责任由供应商</w:t>
      </w:r>
      <w:r>
        <w:rPr>
          <w:rFonts w:hint="eastAsia" w:ascii="宋体" w:hAnsi="宋体" w:eastAsia="宋体" w:cs="宋体"/>
          <w:sz w:val="24"/>
          <w:szCs w:val="24"/>
          <w:highlight w:val="none"/>
          <w:lang w:eastAsia="zh-CN"/>
        </w:rPr>
        <w:t>承担</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八、合同争议的解决：合同执行中发生争议的，当事人双方应协商解决，协商达不成一致时，可向当地行政仲裁机关申请仲裁或者向人民法院提请诉讼。</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九、在发生不可抗力情况下的应对措施和解决办法。</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十、合同一经签订，不得擅自变更、中止或者终止合同。对确需变更、调整或者中止、终止合同的，应按规定履行相应的手续。</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一、违约责任：依据《中华人民共和国民法典》、《中华人民共和国政府采购法》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十二、其他（在合同中具体明确）</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十三、合同订立</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订立时间：          年       月      日。</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订立地点：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本合同一式     份，具有同等法律效力，双方各执     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采购代理机构存档壹份。各方签字盖章后生效，合同执行完毕自动失效。（合同的服务承诺则长期有效）。</w:t>
      </w:r>
    </w:p>
    <w:p>
      <w:pPr>
        <w:spacing w:line="360" w:lineRule="auto"/>
        <w:ind w:firstLine="480" w:firstLineChars="200"/>
        <w:rPr>
          <w:rFonts w:hint="eastAsia" w:ascii="宋体" w:hAnsi="宋体" w:eastAsia="宋体" w:cs="宋体"/>
          <w:sz w:val="24"/>
          <w:szCs w:val="24"/>
          <w:highlight w:val="none"/>
        </w:rPr>
      </w:pP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bookmarkStart w:id="243" w:name="OLE_LINK5"/>
      <w:r>
        <w:rPr>
          <w:rFonts w:hint="eastAsia" w:ascii="宋体" w:hAnsi="宋体" w:eastAsia="宋体" w:cs="宋体"/>
          <w:sz w:val="24"/>
          <w:szCs w:val="24"/>
          <w:highlight w:val="none"/>
        </w:rPr>
        <w:t xml:space="preserve">   （盖章）          </w:t>
      </w:r>
      <w:bookmarkEnd w:id="243"/>
      <w:r>
        <w:rPr>
          <w:rFonts w:hint="eastAsia" w:ascii="宋体" w:hAnsi="宋体" w:eastAsia="宋体" w:cs="宋体"/>
          <w:sz w:val="24"/>
          <w:szCs w:val="24"/>
          <w:highlight w:val="none"/>
        </w:rPr>
        <w:t xml:space="preserve">     供应商：   （盖章）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  址：                          地  址：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邮政编码：                        邮政编码：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                法定代表人或其授权</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的代理人：（签字）                的代理人：（签字）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开户银行：                        开户银行：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账  号：                          账  号：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  话：                          电  话：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传  真：                          传  真：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电子邮箱：                        电子邮箱：                                 </w:t>
      </w:r>
    </w:p>
    <w:p>
      <w:pPr>
        <w:spacing w:line="360" w:lineRule="auto"/>
        <w:ind w:firstLine="480" w:firstLineChars="200"/>
        <w:rPr>
          <w:rFonts w:hint="eastAsia" w:ascii="宋体" w:hAnsi="宋体" w:eastAsia="宋体" w:cs="宋体"/>
          <w:sz w:val="24"/>
          <w:szCs w:val="24"/>
          <w:highlight w:val="none"/>
        </w:rPr>
      </w:pPr>
    </w:p>
    <w:p>
      <w:pPr>
        <w:pStyle w:val="121"/>
        <w:widowControl/>
        <w:spacing w:line="360" w:lineRule="auto"/>
        <w:ind w:firstLine="560"/>
        <w:rPr>
          <w:rFonts w:hint="eastAsia" w:ascii="宋体" w:hAnsi="宋体" w:eastAsia="宋体" w:cs="宋体"/>
          <w:color w:val="000000" w:themeColor="text1"/>
          <w:kern w:val="2"/>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p>
    <w:bookmarkEnd w:id="242"/>
    <w:p>
      <w:pPr>
        <w:keepNext w:val="0"/>
        <w:keepLines w:val="0"/>
        <w:pageBreakBefore w:val="0"/>
        <w:widowControl w:val="0"/>
        <w:tabs>
          <w:tab w:val="left" w:pos="567"/>
        </w:tabs>
        <w:kinsoku/>
        <w:wordWrap/>
        <w:overflowPunct/>
        <w:topLinePunct w:val="0"/>
        <w:autoSpaceDE/>
        <w:autoSpaceDN/>
        <w:bidi w:val="0"/>
        <w:adjustRightInd/>
        <w:snapToGrid/>
        <w:spacing w:line="360" w:lineRule="auto"/>
        <w:ind w:left="239" w:leftChars="114" w:firstLine="234" w:firstLineChars="97"/>
        <w:jc w:val="center"/>
        <w:textAlignment w:val="auto"/>
        <w:outlineLvl w:val="0"/>
        <w:rPr>
          <w:rFonts w:hint="eastAsia" w:ascii="宋体" w:hAnsi="宋体" w:eastAsia="宋体" w:cs="宋体"/>
          <w:b/>
          <w:bCs w:val="0"/>
          <w:sz w:val="24"/>
          <w:szCs w:val="24"/>
          <w:highlight w:val="none"/>
        </w:rPr>
      </w:pPr>
      <w:bookmarkStart w:id="244" w:name="_Toc27150"/>
      <w:bookmarkStart w:id="245" w:name="_Toc32648"/>
      <w:bookmarkStart w:id="246" w:name="_Toc21421"/>
      <w:r>
        <w:rPr>
          <w:rFonts w:hint="eastAsia" w:ascii="宋体" w:hAnsi="宋体" w:eastAsia="宋体" w:cs="宋体"/>
          <w:b/>
          <w:bCs w:val="0"/>
          <w:sz w:val="24"/>
          <w:szCs w:val="24"/>
          <w:highlight w:val="none"/>
        </w:rPr>
        <w:t xml:space="preserve">第五部分  </w:t>
      </w:r>
      <w:r>
        <w:rPr>
          <w:rFonts w:hint="eastAsia" w:ascii="宋体" w:hAnsi="宋体" w:eastAsia="宋体" w:cs="宋体"/>
          <w:b/>
          <w:bCs w:val="0"/>
          <w:sz w:val="24"/>
          <w:szCs w:val="24"/>
          <w:highlight w:val="none"/>
          <w:lang w:val="en-US" w:eastAsia="zh-CN"/>
        </w:rPr>
        <w:t>采购</w:t>
      </w:r>
      <w:r>
        <w:rPr>
          <w:rFonts w:hint="eastAsia" w:ascii="宋体" w:hAnsi="宋体" w:eastAsia="宋体" w:cs="宋体"/>
          <w:b/>
          <w:bCs w:val="0"/>
          <w:sz w:val="24"/>
          <w:szCs w:val="24"/>
          <w:highlight w:val="none"/>
        </w:rPr>
        <w:t>内容及要求</w:t>
      </w:r>
      <w:bookmarkEnd w:id="244"/>
      <w:bookmarkEnd w:id="245"/>
      <w:bookmarkEnd w:id="246"/>
    </w:p>
    <w:p>
      <w:pPr>
        <w:bidi w:val="0"/>
        <w:spacing w:line="360" w:lineRule="auto"/>
        <w:rPr>
          <w:rFonts w:hint="eastAsia" w:ascii="宋体" w:hAnsi="宋体" w:eastAsia="宋体" w:cs="宋体"/>
          <w:b/>
          <w:bCs/>
          <w:sz w:val="24"/>
          <w:szCs w:val="24"/>
          <w:highlight w:val="none"/>
        </w:rPr>
      </w:pPr>
      <w:bookmarkStart w:id="247" w:name="_Toc32297"/>
      <w:bookmarkStart w:id="248" w:name="_Toc20743"/>
      <w:bookmarkStart w:id="249" w:name="_Toc10497"/>
      <w:bookmarkStart w:id="250" w:name="_Toc339114188"/>
      <w:bookmarkStart w:id="251" w:name="_Toc152042575"/>
      <w:bookmarkStart w:id="252" w:name="_Toc144974855"/>
      <w:bookmarkStart w:id="253" w:name="_Toc152045786"/>
      <w:r>
        <w:rPr>
          <w:rFonts w:hint="eastAsia" w:ascii="宋体" w:hAnsi="宋体" w:eastAsia="宋体" w:cs="宋体"/>
          <w:b/>
          <w:bCs/>
          <w:sz w:val="24"/>
          <w:szCs w:val="24"/>
          <w:highlight w:val="none"/>
        </w:rPr>
        <w:t>一、项目概况</w:t>
      </w:r>
      <w:bookmarkEnd w:id="247"/>
      <w:bookmarkEnd w:id="248"/>
      <w:bookmarkEnd w:id="249"/>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rPr>
      </w:pPr>
      <w:bookmarkStart w:id="254" w:name="_Toc509320200"/>
      <w:bookmarkStart w:id="255" w:name="_Toc510537712"/>
      <w:bookmarkStart w:id="256" w:name="_Toc510539778"/>
      <w:r>
        <w:rPr>
          <w:rFonts w:hint="eastAsia" w:ascii="宋体" w:hAnsi="宋体" w:eastAsia="宋体" w:cs="宋体"/>
          <w:color w:val="000000"/>
          <w:sz w:val="24"/>
          <w:szCs w:val="24"/>
          <w:highlight w:val="none"/>
          <w:lang w:val="zh-CN"/>
        </w:rPr>
        <w:t>本项目为西安市高陵区中医医院后勤和安保服务；</w:t>
      </w:r>
    </w:p>
    <w:p>
      <w:pPr>
        <w:bidi w:val="0"/>
        <w:spacing w:line="360" w:lineRule="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二、服务内容</w:t>
      </w:r>
    </w:p>
    <w:p>
      <w:pPr>
        <w:spacing w:line="360" w:lineRule="auto"/>
        <w:ind w:left="105" w:leftChars="50" w:right="105" w:rightChars="50"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一包：</w:t>
      </w:r>
      <w:r>
        <w:rPr>
          <w:rFonts w:hint="eastAsia" w:ascii="宋体" w:hAnsi="宋体" w:eastAsia="宋体" w:cs="宋体"/>
          <w:color w:val="000000"/>
          <w:sz w:val="24"/>
          <w:szCs w:val="24"/>
          <w:highlight w:val="none"/>
          <w:lang w:val="zh-CN"/>
        </w:rPr>
        <w:t>后勤服务</w:t>
      </w: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lang w:val="zh-CN" w:eastAsia="zh-CN"/>
        </w:rPr>
        <w:t>预算：</w:t>
      </w:r>
      <w:r>
        <w:rPr>
          <w:rFonts w:hint="eastAsia" w:ascii="宋体" w:hAnsi="宋体" w:cs="宋体"/>
          <w:color w:val="000000"/>
          <w:sz w:val="24"/>
          <w:szCs w:val="24"/>
          <w:highlight w:val="none"/>
          <w:lang w:val="en-US" w:eastAsia="zh-CN"/>
        </w:rPr>
        <w:t>1800000元/年</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1.保洁服务范围和内容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包括院内所属的供应室、内科、ICU 室、妇产科（含产房）、儿科、外科病区、手术室及会议室。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1.1供应室：供应室室内及室外公共区域卫生保洁。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1.2内科病区及ICU：医护办、治疗室、病房、走廊、楼梯、客梯间、污梯间、水房、公共卫生间、病房内卫生间、门窗、玻璃、座椅、消火栓、标识牌等保洁；ICU 室内保洁；日常消毒擦拭、拖拭及终末消毒；被服管理。</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1.3儿科病区：医护办、治疗室、病房、走廊、楼梯、客梯间、 污梯间、水房、公共卫生间、病房内卫生间、门窗、玻璃、座椅、消火栓、标识牌等保洁；日常消毒擦拭、拖拭及终末消毒；被服管理。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1.4妇科病区及产房：医护办、治疗室、病房、走廊、楼梯、客梯间、污梯间、水房、公共卫生间、病房内卫生间、门窗、玻璃、座椅、 消火栓、标识牌等保洁；产房内保洁；日常消毒擦拭、拖拭及终末消毒； 被服管理。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1.5外科病区：医护办、治疗室、病房、走廊、楼梯、客梯间、 污梯间、水房、公共卫生间、病房内卫生间、门窗、玻璃、座椅、消火栓、 标识牌等保洁；日常消毒擦拭、拖拭及终末消毒；被服管理。消火栓、标识牌等保洁；ICU 室内保洁；日常消毒擦拭、拖拭及终末消毒；</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1.6手术室：室内麻醉间、手术间、办公区、更衣室、休息区、储物间、污物间、洗手池、等候区、水房、卫生间、门窗、玻璃、座椅、消火栓、标识牌等保洁；日常消毒擦拭、拖拭。</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1.7</w:t>
      </w:r>
      <w:r>
        <w:rPr>
          <w:rFonts w:hint="eastAsia" w:ascii="宋体" w:hAnsi="宋体" w:eastAsia="宋体" w:cs="宋体"/>
          <w:color w:val="000000"/>
          <w:sz w:val="24"/>
          <w:szCs w:val="24"/>
          <w:highlight w:val="none"/>
          <w:lang w:val="zh-CN" w:eastAsia="zh-CN"/>
        </w:rPr>
        <w:t>会议室：会议室会前会后保洁及公共区域保洁。</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1.8</w:t>
      </w:r>
      <w:r>
        <w:rPr>
          <w:rFonts w:hint="eastAsia" w:ascii="宋体" w:hAnsi="宋体" w:eastAsia="宋体" w:cs="宋体"/>
          <w:color w:val="000000"/>
          <w:sz w:val="24"/>
          <w:szCs w:val="24"/>
          <w:highlight w:val="none"/>
          <w:lang w:val="zh-CN" w:eastAsia="zh-CN"/>
        </w:rPr>
        <w:t xml:space="preserve">医疗区大院：包括医院大门、通道、停车场地面；急诊、门诊、 办公区、功能科、住院部大楼等四周硬化地面及绿化带；急诊输液室； 院内公共厕所。 院内地面清扫、垃圾清运、宣传栏等公用设施保洁；急诊输液室保洁；公共卫生间保洁。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1.9</w:t>
      </w:r>
      <w:r>
        <w:rPr>
          <w:rFonts w:hint="eastAsia" w:ascii="宋体" w:hAnsi="宋体" w:eastAsia="宋体" w:cs="宋体"/>
          <w:color w:val="000000"/>
          <w:sz w:val="24"/>
          <w:szCs w:val="24"/>
          <w:highlight w:val="none"/>
          <w:lang w:val="zh-CN" w:eastAsia="zh-CN"/>
        </w:rPr>
        <w:t xml:space="preserve">电梯：医院电梯上班期间的运行管理与服务，包括：电梯的开、关，值守，引导乘坐，人员的分流；电梯轿厢面板的擦拭、保养；地面清扫拖拭； 电梯的开、关，电梯轿厢面板的擦拭、保养及地面清扫拖拭。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1.10</w:t>
      </w:r>
      <w:r>
        <w:rPr>
          <w:rFonts w:hint="eastAsia" w:ascii="宋体" w:hAnsi="宋体" w:eastAsia="宋体" w:cs="宋体"/>
          <w:color w:val="000000"/>
          <w:sz w:val="24"/>
          <w:szCs w:val="24"/>
          <w:highlight w:val="none"/>
          <w:lang w:val="zh-CN" w:eastAsia="zh-CN"/>
        </w:rPr>
        <w:t>被服交接、收送病区被服的下收下送及外洗被服的交接管理。</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1.11</w:t>
      </w:r>
      <w:r>
        <w:rPr>
          <w:rFonts w:hint="eastAsia" w:ascii="宋体" w:hAnsi="宋体" w:eastAsia="宋体" w:cs="宋体"/>
          <w:color w:val="000000"/>
          <w:sz w:val="24"/>
          <w:szCs w:val="24"/>
          <w:highlight w:val="none"/>
          <w:lang w:val="zh-CN" w:eastAsia="zh-CN"/>
        </w:rPr>
        <w:t xml:space="preserve">医疗废物管理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1.11.1</w:t>
      </w:r>
      <w:r>
        <w:rPr>
          <w:rFonts w:hint="eastAsia" w:ascii="宋体" w:hAnsi="宋体" w:eastAsia="宋体" w:cs="宋体"/>
          <w:color w:val="000000"/>
          <w:sz w:val="24"/>
          <w:szCs w:val="24"/>
          <w:highlight w:val="none"/>
          <w:lang w:val="zh-CN" w:eastAsia="zh-CN"/>
        </w:rPr>
        <w:t>各楼层污梯口医疗废物的收集、运至医疗废物暂存点；</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1.11.2</w:t>
      </w:r>
      <w:r>
        <w:rPr>
          <w:rFonts w:hint="eastAsia" w:ascii="宋体" w:hAnsi="宋体" w:eastAsia="宋体" w:cs="宋体"/>
          <w:color w:val="000000"/>
          <w:sz w:val="24"/>
          <w:szCs w:val="24"/>
          <w:highlight w:val="none"/>
          <w:lang w:val="zh-CN" w:eastAsia="zh-CN"/>
        </w:rPr>
        <w:t xml:space="preserve">与各科室及医废中心做好医疗废物的交接登记工作。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zh-CN" w:eastAsia="zh-CN"/>
        </w:rPr>
        <w:t>工作期间，需着装统一、整洁、干净；男士头发不能过耳，女士不能披发；工作期间文明用语，礼貌待人。</w:t>
      </w:r>
      <w:r>
        <w:rPr>
          <w:rFonts w:hint="eastAsia" w:ascii="宋体" w:hAnsi="宋体" w:eastAsia="宋体" w:cs="宋体"/>
          <w:color w:val="000000"/>
          <w:sz w:val="24"/>
          <w:szCs w:val="24"/>
          <w:highlight w:val="none"/>
          <w:lang w:val="zh-CN"/>
        </w:rPr>
        <w:t>总的为院内及周围环境室内外提供清洁服务，使其拥有一个整洁、舒适、安静、安全的诊治环境，针对医院的特殊环境及各个不同的服务区域制定防止交叉感染、消毒隔离制度和工作标准、作业流程。规范医疗区、办公区的保洁工作，确保卫生良好、环境整洁，符合相关保洁、消毒标准。另外，配合做好预防与隐蔽性和活动性虫害，如白蚁、消杀老鼠、蟑螂、蚊子、苍蝇等。</w:t>
      </w:r>
      <w:r>
        <w:rPr>
          <w:rFonts w:hint="eastAsia" w:ascii="宋体" w:hAnsi="宋体" w:eastAsia="宋体" w:cs="宋体"/>
          <w:color w:val="000000"/>
          <w:sz w:val="24"/>
          <w:szCs w:val="24"/>
          <w:highlight w:val="none"/>
          <w:lang w:val="zh-CN" w:eastAsia="zh-CN"/>
        </w:rPr>
        <w:t>必须掌握生活垃圾、医疗垃圾如何区分、处理，加强医院感染防护知识培训，在收集医疗垃圾时做好个人防护措施。因自身原因在收取过程中操作不当发生职业暴露所产生的费用由投标人自理。</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3.人员配备</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cs="宋体"/>
          <w:color w:val="000000"/>
          <w:sz w:val="24"/>
          <w:szCs w:val="24"/>
          <w:highlight w:val="none"/>
          <w:lang w:val="en-US" w:eastAsia="zh-CN"/>
        </w:rPr>
        <w:t>3.1</w:t>
      </w:r>
      <w:r>
        <w:rPr>
          <w:rFonts w:hint="eastAsia" w:ascii="宋体" w:hAnsi="宋体" w:eastAsia="宋体" w:cs="宋体"/>
          <w:color w:val="000000"/>
          <w:sz w:val="24"/>
          <w:szCs w:val="24"/>
          <w:highlight w:val="none"/>
          <w:lang w:val="zh-CN" w:eastAsia="zh-CN"/>
        </w:rPr>
        <w:t>生活垃圾清运人员配备不少于2名，医疗废品垃圾清运不少于2名，常规保洁员不少于31名；</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cs="宋体"/>
          <w:color w:val="000000"/>
          <w:sz w:val="24"/>
          <w:szCs w:val="24"/>
          <w:highlight w:val="none"/>
          <w:lang w:val="en-US" w:eastAsia="zh-CN"/>
        </w:rPr>
        <w:t>3.2</w:t>
      </w:r>
      <w:r>
        <w:rPr>
          <w:rFonts w:hint="eastAsia" w:ascii="宋体" w:hAnsi="宋体" w:eastAsia="宋体" w:cs="宋体"/>
          <w:color w:val="000000"/>
          <w:sz w:val="24"/>
          <w:szCs w:val="24"/>
          <w:highlight w:val="none"/>
          <w:lang w:val="zh-CN" w:eastAsia="zh-CN"/>
        </w:rPr>
        <w:t>高级电工不少于2名（需提供高级电工证）；水电工不少于4名（需提供水电工证）；</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3.3</w:t>
      </w:r>
      <w:r>
        <w:rPr>
          <w:rFonts w:hint="eastAsia" w:ascii="宋体" w:hAnsi="宋体" w:eastAsia="宋体" w:cs="宋体"/>
          <w:color w:val="000000"/>
          <w:sz w:val="24"/>
          <w:szCs w:val="24"/>
          <w:highlight w:val="none"/>
          <w:lang w:val="zh-CN"/>
        </w:rPr>
        <w:t>上班期间需确保有人在岗，不离岗，上班时间为</w:t>
      </w:r>
      <w:r>
        <w:rPr>
          <w:rFonts w:hint="eastAsia" w:ascii="宋体" w:hAnsi="宋体" w:eastAsia="宋体" w:cs="宋体"/>
          <w:color w:val="000000"/>
          <w:sz w:val="24"/>
          <w:szCs w:val="24"/>
          <w:highlight w:val="none"/>
          <w:lang w:val="en-US" w:eastAsia="zh-CN"/>
        </w:rPr>
        <w:t>07:</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lang w:val="en-US" w:eastAsia="zh-CN"/>
        </w:rPr>
        <w:t>0-21:00。</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4.日常保洁工具配备</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洗地机、地面清扫机、电瓶清扫车、吸水机、消毒机等其它日常保洁所需工具配备。</w:t>
      </w:r>
    </w:p>
    <w:p>
      <w:pPr>
        <w:spacing w:line="360" w:lineRule="auto"/>
        <w:ind w:left="105" w:leftChars="50" w:right="105" w:rightChars="50"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二包：</w:t>
      </w:r>
      <w:r>
        <w:rPr>
          <w:rFonts w:hint="eastAsia" w:ascii="宋体" w:hAnsi="宋体" w:eastAsia="宋体" w:cs="宋体"/>
          <w:color w:val="000000"/>
          <w:sz w:val="24"/>
          <w:szCs w:val="24"/>
          <w:highlight w:val="none"/>
          <w:lang w:val="zh-CN"/>
        </w:rPr>
        <w:t>安保服务</w:t>
      </w: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lang w:val="zh-CN" w:eastAsia="zh-CN"/>
        </w:rPr>
        <w:t>预算：</w:t>
      </w:r>
      <w:r>
        <w:rPr>
          <w:rFonts w:hint="eastAsia" w:ascii="宋体" w:hAnsi="宋体" w:cs="宋体"/>
          <w:color w:val="000000"/>
          <w:sz w:val="24"/>
          <w:szCs w:val="24"/>
          <w:highlight w:val="none"/>
          <w:lang w:val="en-US" w:eastAsia="zh-CN"/>
        </w:rPr>
        <w:t>900000元/年</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1.治安巡逻服务</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lang w:val="zh-CN" w:eastAsia="zh-CN"/>
        </w:rPr>
        <w:t>为医院提供全方位的安全保卫服务，维护医院工作区和家属区秩序，保障就医患者和医护人员安全。提供门诊、急诊、住院部、相关医疗科室及办公区域内巡逻、监控中心值守、秩序管理、消防巡查、突发事件处置。采购人临时交办事项。</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lang w:val="zh-CN" w:eastAsia="zh-CN"/>
        </w:rPr>
        <w:t>负责组织保安人员定期对办公区及其他区域，围墙道路及重点区域进行治安隐患检查，负责医院内部发生的治安纠纷，协助公安机关查处违法案件。对治安工作负责，执行医院内反恐工作部署。</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zh-CN" w:eastAsia="zh-CN"/>
        </w:rPr>
        <w:t xml:space="preserve">监控室执勤方案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lang w:val="zh-CN" w:eastAsia="zh-CN"/>
        </w:rPr>
        <w:t xml:space="preserve">负责应用医院安防、消防设备、监控等治安技防设施、设备的操作，有异常情况及时处理、汇报。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2.2</w:t>
      </w:r>
      <w:r>
        <w:rPr>
          <w:rFonts w:hint="eastAsia" w:ascii="宋体" w:hAnsi="宋体" w:eastAsia="宋体" w:cs="宋体"/>
          <w:color w:val="000000"/>
          <w:sz w:val="24"/>
          <w:szCs w:val="24"/>
          <w:highlight w:val="none"/>
          <w:lang w:val="zh-CN" w:eastAsia="zh-CN"/>
        </w:rPr>
        <w:t xml:space="preserve">负责安全监控中心24小时值班值守，做好交接工作和各项记录。不得随意让他人查看、拷贝、删除监控资料，对监控资料安全负责。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2.3</w:t>
      </w:r>
      <w:r>
        <w:rPr>
          <w:rFonts w:hint="eastAsia" w:ascii="宋体" w:hAnsi="宋体" w:eastAsia="宋体" w:cs="宋体"/>
          <w:color w:val="000000"/>
          <w:sz w:val="24"/>
          <w:szCs w:val="24"/>
          <w:highlight w:val="none"/>
          <w:lang w:val="zh-CN" w:eastAsia="zh-CN"/>
        </w:rPr>
        <w:t>负责突发治安事件处理，同时作为突发事故应急救援队伍、志愿消防队伍的组成部分，留守一定人员值守备勤随时响应，服从安排。</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2.4</w:t>
      </w:r>
      <w:r>
        <w:rPr>
          <w:rFonts w:hint="eastAsia" w:ascii="宋体" w:hAnsi="宋体" w:eastAsia="宋体" w:cs="宋体"/>
          <w:color w:val="000000"/>
          <w:sz w:val="24"/>
          <w:szCs w:val="24"/>
          <w:highlight w:val="none"/>
          <w:lang w:val="zh-CN" w:eastAsia="zh-CN"/>
        </w:rPr>
        <w:t>保证所管区域的正常工作秩序，防范失火、失盗、破坏、自然灾害事故发生，对各种突发事件能及时处理控制，为医院提供安全的工作环境。</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2.5</w:t>
      </w:r>
      <w:r>
        <w:rPr>
          <w:rFonts w:hint="eastAsia" w:ascii="宋体" w:hAnsi="宋体" w:eastAsia="宋体" w:cs="宋体"/>
          <w:color w:val="000000"/>
          <w:sz w:val="24"/>
          <w:szCs w:val="24"/>
          <w:highlight w:val="none"/>
          <w:lang w:val="zh-CN" w:eastAsia="zh-CN"/>
        </w:rPr>
        <w:t>应对医院的秩序维护，消防安全、治安防范，医院范围内的人员、设备设施的安全保卫，视频监控系统值班，消防监控中心值班及设施的巡查，院内道路交通秩序管理、重大疫情应急病区的警戒、看守工作及与安全工作有关的各项临时性任务等。</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val="zh-CN" w:eastAsia="zh-CN"/>
        </w:rPr>
        <w:t xml:space="preserve">相关职责：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zh-CN" w:eastAsia="zh-CN"/>
        </w:rPr>
        <w:t xml:space="preserve">岗位职责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3.1.1</w:t>
      </w:r>
      <w:r>
        <w:rPr>
          <w:rFonts w:hint="eastAsia" w:ascii="宋体" w:hAnsi="宋体" w:eastAsia="宋体" w:cs="宋体"/>
          <w:color w:val="000000"/>
          <w:sz w:val="24"/>
          <w:szCs w:val="24"/>
          <w:highlight w:val="none"/>
          <w:lang w:val="zh-CN" w:eastAsia="zh-CN"/>
        </w:rPr>
        <w:t xml:space="preserve">熟悉保安工作的性质、任务、职能，严格遵守医院及保卫部的各项规章制度和管理规定，时刻维护医院的良好形象。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3.1.2</w:t>
      </w:r>
      <w:r>
        <w:rPr>
          <w:rFonts w:hint="eastAsia" w:ascii="宋体" w:hAnsi="宋体" w:eastAsia="宋体" w:cs="宋体"/>
          <w:color w:val="000000"/>
          <w:sz w:val="24"/>
          <w:szCs w:val="24"/>
          <w:highlight w:val="none"/>
          <w:lang w:val="zh-CN" w:eastAsia="zh-CN"/>
        </w:rPr>
        <w:t xml:space="preserve">熟悉管辖范围楼宇的分布情况，维持人员密集场所（尤其是收费、取药窗口和电梯门前）的排队秩序，做好防盗、防骗的宣传工作。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3.1.3</w:t>
      </w:r>
      <w:r>
        <w:rPr>
          <w:rFonts w:hint="eastAsia" w:ascii="宋体" w:hAnsi="宋体" w:eastAsia="宋体" w:cs="宋体"/>
          <w:color w:val="000000"/>
          <w:sz w:val="24"/>
          <w:szCs w:val="24"/>
          <w:highlight w:val="none"/>
          <w:lang w:val="zh-CN" w:eastAsia="zh-CN"/>
        </w:rPr>
        <w:t xml:space="preserve">劝止医疗区公共部分的吸烟行为。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3.1.4</w:t>
      </w:r>
      <w:r>
        <w:rPr>
          <w:rFonts w:hint="eastAsia" w:ascii="宋体" w:hAnsi="宋体" w:eastAsia="宋体" w:cs="宋体"/>
          <w:color w:val="000000"/>
          <w:sz w:val="24"/>
          <w:szCs w:val="24"/>
          <w:highlight w:val="none"/>
          <w:lang w:val="zh-CN" w:eastAsia="zh-CN"/>
        </w:rPr>
        <w:t xml:space="preserve">禁止人员携带宠物进入门诊大楼。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3.1.5</w:t>
      </w:r>
      <w:r>
        <w:rPr>
          <w:rFonts w:hint="eastAsia" w:ascii="宋体" w:hAnsi="宋体" w:eastAsia="宋体" w:cs="宋体"/>
          <w:color w:val="000000"/>
          <w:sz w:val="24"/>
          <w:szCs w:val="24"/>
          <w:highlight w:val="none"/>
          <w:lang w:val="zh-CN" w:eastAsia="zh-CN"/>
        </w:rPr>
        <w:t xml:space="preserve">患者与医务人员发生纠纷时要及时赶到现场，了解事情起因，能自行处理的要及时处理，不能处理的要及时报告。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3.1.6</w:t>
      </w:r>
      <w:r>
        <w:rPr>
          <w:rFonts w:hint="eastAsia" w:ascii="宋体" w:hAnsi="宋体" w:eastAsia="宋体" w:cs="宋体"/>
          <w:color w:val="000000"/>
          <w:sz w:val="24"/>
          <w:szCs w:val="24"/>
          <w:highlight w:val="none"/>
          <w:lang w:val="zh-CN" w:eastAsia="zh-CN"/>
        </w:rPr>
        <w:t xml:space="preserve">当场队员执勤时如遇到水电、电梯故障和大面积的环境卫生问题时应通知相关部门处理。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3.1.7</w:t>
      </w:r>
      <w:r>
        <w:rPr>
          <w:rFonts w:hint="eastAsia" w:ascii="宋体" w:hAnsi="宋体" w:eastAsia="宋体" w:cs="宋体"/>
          <w:color w:val="000000"/>
          <w:sz w:val="24"/>
          <w:szCs w:val="24"/>
          <w:highlight w:val="none"/>
          <w:lang w:val="zh-CN" w:eastAsia="zh-CN"/>
        </w:rPr>
        <w:t xml:space="preserve">对进入医院办公区、医疗区的来访或办事人员，要文明执勤，并进行详细询问和登记。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3.2</w:t>
      </w:r>
      <w:r>
        <w:rPr>
          <w:rFonts w:hint="eastAsia" w:ascii="宋体" w:hAnsi="宋体" w:eastAsia="宋体" w:cs="宋体"/>
          <w:color w:val="000000"/>
          <w:sz w:val="24"/>
          <w:szCs w:val="24"/>
          <w:highlight w:val="none"/>
          <w:lang w:val="zh-CN" w:eastAsia="zh-CN"/>
        </w:rPr>
        <w:t xml:space="preserve">守护职责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3.2.1</w:t>
      </w:r>
      <w:r>
        <w:rPr>
          <w:rFonts w:hint="eastAsia" w:ascii="宋体" w:hAnsi="宋体" w:eastAsia="宋体" w:cs="宋体"/>
          <w:color w:val="000000"/>
          <w:sz w:val="24"/>
          <w:szCs w:val="24"/>
          <w:highlight w:val="none"/>
          <w:lang w:val="zh-CN" w:eastAsia="zh-CN"/>
        </w:rPr>
        <w:t xml:space="preserve">主要负责重点部位的守护任务；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3.2.2</w:t>
      </w:r>
      <w:r>
        <w:rPr>
          <w:rFonts w:hint="eastAsia" w:ascii="宋体" w:hAnsi="宋体" w:eastAsia="宋体" w:cs="宋体"/>
          <w:color w:val="000000"/>
          <w:sz w:val="24"/>
          <w:szCs w:val="24"/>
          <w:highlight w:val="none"/>
          <w:lang w:val="zh-CN" w:eastAsia="zh-CN"/>
        </w:rPr>
        <w:t xml:space="preserve">密切注视守护部位的情况确保所守护财产的安全；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3.2.3</w:t>
      </w:r>
      <w:r>
        <w:rPr>
          <w:rFonts w:hint="eastAsia" w:ascii="宋体" w:hAnsi="宋体" w:eastAsia="宋体" w:cs="宋体"/>
          <w:color w:val="000000"/>
          <w:sz w:val="24"/>
          <w:szCs w:val="24"/>
          <w:highlight w:val="none"/>
          <w:lang w:val="zh-CN" w:eastAsia="zh-CN"/>
        </w:rPr>
        <w:t xml:space="preserve">严格遵守交接班制度，严禁擅自离开守护岗位；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3.2.4</w:t>
      </w:r>
      <w:r>
        <w:rPr>
          <w:rFonts w:hint="eastAsia" w:ascii="宋体" w:hAnsi="宋体" w:eastAsia="宋体" w:cs="宋体"/>
          <w:color w:val="000000"/>
          <w:sz w:val="24"/>
          <w:szCs w:val="24"/>
          <w:highlight w:val="none"/>
          <w:lang w:val="zh-CN" w:eastAsia="zh-CN"/>
        </w:rPr>
        <w:t>严禁无关人员进入守护区域。</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4.人员配备</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4.1</w:t>
      </w:r>
      <w:r>
        <w:rPr>
          <w:rFonts w:hint="eastAsia" w:ascii="宋体" w:hAnsi="宋体" w:eastAsia="宋体" w:cs="宋体"/>
          <w:color w:val="000000"/>
          <w:sz w:val="24"/>
          <w:szCs w:val="24"/>
          <w:highlight w:val="none"/>
          <w:lang w:val="zh-CN" w:eastAsia="zh-CN"/>
        </w:rPr>
        <w:t>人员共需不少于</w:t>
      </w:r>
      <w:r>
        <w:rPr>
          <w:rFonts w:hint="eastAsia" w:ascii="宋体" w:hAnsi="宋体" w:eastAsia="宋体" w:cs="宋体"/>
          <w:color w:val="000000"/>
          <w:sz w:val="24"/>
          <w:szCs w:val="24"/>
          <w:highlight w:val="none"/>
          <w:lang w:val="en-US" w:eastAsia="zh-CN"/>
        </w:rPr>
        <w:t>20人（其中安保人员1</w:t>
      </w: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lang w:val="zh-CN" w:eastAsia="zh-CN"/>
        </w:rPr>
        <w:t>消防控制室人员</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zh-CN" w:eastAsia="zh-CN"/>
        </w:rPr>
        <w:t>人</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zh-CN" w:eastAsia="zh-CN"/>
        </w:rPr>
        <w:t>安保人员需要保安员证，消防控制室人员有消防操作员证；</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4.2</w:t>
      </w:r>
      <w:r>
        <w:rPr>
          <w:rFonts w:hint="eastAsia" w:ascii="宋体" w:hAnsi="宋体" w:eastAsia="宋体" w:cs="宋体"/>
          <w:color w:val="000000"/>
          <w:sz w:val="24"/>
          <w:szCs w:val="24"/>
          <w:highlight w:val="none"/>
          <w:lang w:val="zh-CN" w:eastAsia="zh-CN"/>
        </w:rPr>
        <w:t>上班期间需确保有人在岗，不离岗</w:t>
      </w:r>
      <w:r>
        <w:rPr>
          <w:rFonts w:hint="eastAsia" w:ascii="宋体" w:hAnsi="宋体" w:cs="宋体"/>
          <w:color w:val="000000"/>
          <w:sz w:val="24"/>
          <w:szCs w:val="24"/>
          <w:highlight w:val="none"/>
          <w:lang w:val="zh-CN" w:eastAsia="zh-CN"/>
        </w:rPr>
        <w:t>，上班时间为07:00-21:00</w:t>
      </w:r>
      <w:r>
        <w:rPr>
          <w:rFonts w:hint="eastAsia" w:ascii="宋体" w:hAnsi="宋体" w:eastAsia="宋体" w:cs="宋体"/>
          <w:color w:val="000000"/>
          <w:sz w:val="24"/>
          <w:szCs w:val="24"/>
          <w:highlight w:val="none"/>
          <w:lang w:val="zh-CN" w:eastAsia="zh-CN"/>
        </w:rPr>
        <w:t>。</w:t>
      </w:r>
    </w:p>
    <w:p>
      <w:pPr>
        <w:bidi w:val="0"/>
        <w:spacing w:line="360" w:lineRule="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三、技术要求</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1.满足甲方所需服务要求。</w:t>
      </w:r>
      <w:r>
        <w:rPr>
          <w:rFonts w:hint="eastAsia" w:ascii="宋体" w:hAnsi="宋体" w:eastAsia="宋体" w:cs="宋体"/>
          <w:color w:val="000000"/>
          <w:sz w:val="24"/>
          <w:szCs w:val="24"/>
          <w:highlight w:val="none"/>
          <w:lang w:val="zh-CN"/>
        </w:rPr>
        <w:t>乙方根据甲方的工作需要，选派思想品德良好，身体健康、能胜任本项目工作的人员为甲方提供优质的服务。</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zh-CN"/>
        </w:rPr>
        <w:t>对甲方因后勤及安保服务提出的合理建议和要求尽量给予满足，并及时整改，乙方有义务对派驻的人员明确服务的工作要求。</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val="zh-CN"/>
        </w:rPr>
        <w:t>所提供人员基本工资、意外伤害、绩效奖金、加班费、服装、工伤等费用由乙方负责办理并承担全部费用。</w:t>
      </w:r>
    </w:p>
    <w:p>
      <w:pPr>
        <w:spacing w:line="360" w:lineRule="auto"/>
        <w:ind w:left="105" w:leftChars="50" w:right="105" w:rightChars="5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val="zh-CN"/>
        </w:rPr>
        <w:t>对甲方提出的不能履行岗位职责，不能胜任本职工作的人员，乙方在接到甲方提出更换通知的15日内更换人员。</w:t>
      </w:r>
    </w:p>
    <w:p>
      <w:pPr>
        <w:bidi w:val="0"/>
        <w:spacing w:line="360" w:lineRule="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四、服务要求</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一包后勤服务岗位操作规范</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清擦物品操作方法：</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①备：毛巾、刀片（必要时）、清洁剂（必要时）、呢绒布料（必要时）。</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②毛巾使用中要经常清洗，保持干净。</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③使用前将洗净的毛巾拧干，对折多次后使用,一面擦脏后及时换另一面使用。</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④从物体的一端尽头抹到另一端尽头（避开有不平的一端）。</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⑤物体表面如有较厚的污渍，可先用刀片铲干净。</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⑥处理污渍时如无特殊情况，均使用中性清洁剂。</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⑦使用清洁剂时，需将清洁剂喷在毛巾上，再抹抹物，不可直接将清洁剂喷到物体上。</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⑧镜面物体需要用质量好的呢绒布料擦拭，不可用粗糙毛巾以免划伤镜面。</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⑨清洁完毕后,必须将抹布洗净晾干。</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拖地操作方法：</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①湿拖前要摆放“小心地滑”标识牌，拖布应尽量拧干。</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②拖地时，先拖擦边角落，后拖擦中间，尽量避免使拖把撞到墙身或玻璃。</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③水桶要摆放在适当位置，不能放在路中间，门口等以免影响医患家属等工作人员（应尽量放在墙边或一角，并在保洁员的视线之内）。</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④地拖不可太湿，地上不能有印，水要勤换（不能太脏）。</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⑤清洁完毕后，必须将拖布洗净，拧干，晾干放好备用。</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洗手间清洁操作方法：</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准备：工作前准备好保洁洗手间的基本清洁工具和清洁物品、“正在清洁指示牌”。</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冲洗：进入洗手间，首先放水将卫生洁具冲洗干净。</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清倒：扫除地面垃圾，清倒纸篓或垃圾桶。</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清洁：按照先云台、面盆、尿池、便池的顺序，逐项逐个刷洗卫生洁具，卫生洁具要用专用刷子、抹布等工具配合专用清洁剂刷洗。</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抹净：用抹布抹净门窗、窗台、隔板、墙面、镜面、烘干机。</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拖干：用地拖拖净地面，使地面保持干净，不留水迹。</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补充：及时补充手纸、洗手液、香球，垃圾袋等。</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喷洒：按规定喷洒除臭剂、消毒剂；</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撤离：收拾所有清洁工具、清洁物品，撤除“正在清洁”指示牌，把门关好。</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清洗频率：每天彻底清洁4次（上午2次，下午2次）</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环境主管每天至少检查二次公共厕所清洁情况，并记录于《洗手间检查记录表》</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清洁洗手间时，应在现场放置“正在清洁”指示牌，以便使用人注意并予以配合。</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清洁人员应注意自我保护，清洁时应戴保护手套，防止清洁剂损害皮肤，清洁完毕后，应使用肥皂洗手。</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注意保持洗手间空气畅通。</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二包安保服务形象要求标准</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着装要求标准</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除不宜或者不需要着装的情形外，在工作时间必须着保安制服。因私外出时应着便服。</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 xml:space="preserve">着保安服时，要按规定佩戴保安标志。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保安制服不准与便服混穿，不同季节的保安制服不准混穿。</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在驻勤单位除工作处，着装时可以不戴帽子。</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着保安制服应干净整洁，不准披衣、敞怀、挽袖、卷裤腿、歪戴 帽子、穿拖鞋或赤足。</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 xml:space="preserve">爱护和妥善保管保安制服和保安标志。严禁将保安制服和保安标志变卖、赠送或借给他人。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 xml:space="preserve">着装参加重要活动时，只准佩戴领导机关统一颁发的勋章、奖章 和证章，不准佩戴其他徽章和饰物。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仪容仪表要求标准</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 xml:space="preserve">值勤时要仪表端正，精神饱满。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 xml:space="preserve">男性保安不准留长头发、大鬓角和胡须，女性保安辫不得过肩。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不得染发、染指甲，不得化浓妆、戴首饰。</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 xml:space="preserve">礼节要求标准 </w:t>
      </w:r>
    </w:p>
    <w:p>
      <w:pPr>
        <w:spacing w:line="360" w:lineRule="auto"/>
        <w:ind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zh-CN" w:eastAsia="zh-CN"/>
        </w:rPr>
        <w:t>在下列场所行举手礼：着装遇领导时；站岗、值勤、交班时；纠正违章时；受到领导接见、慰问时，领导视察、检查工作时；着装在大会 上发言开始和结束时；接受颁奖</w:t>
      </w:r>
    </w:p>
    <w:p>
      <w:pPr>
        <w:spacing w:line="360" w:lineRule="auto"/>
        <w:ind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zh-CN" w:eastAsia="zh-CN"/>
        </w:rPr>
        <w:t xml:space="preserve">在参加集会、大型活动奏国歌、升国旗时，要立正行注目礼。 </w:t>
      </w:r>
    </w:p>
    <w:p>
      <w:pPr>
        <w:spacing w:line="360" w:lineRule="auto"/>
        <w:ind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zh-CN" w:eastAsia="zh-CN"/>
        </w:rPr>
        <w:t xml:space="preserve">对日常接触的上级领导可以不敬礼。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 xml:space="preserve">举止要求标准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 xml:space="preserve">精神饱满，姿态端正，动作规范，举止文明。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 xml:space="preserve">着装外出工作、值勤和出入公共场所时，不准将手插入衣袋。不准搭肩、挽臂、边走边吸烟、吃东西、嬉笑打闹，不准随地吐痰、乱扔废 弃物。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 xml:space="preserve">不准着制服在公共场所饮酒，严禁酗酒。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 xml:space="preserve">要自觉遵守公共秩序和社会公德。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 xml:space="preserve">要尊重少数民族的风俗习惯。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语言要求标准</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在工作中使用语言要简洁准确，文明规范，接触群众时，说话要和气，使用“你好、请、您、对不起、谢谢、再见”等礼貌语言。要注意 称谓的使用，在与少数民族、宗教人士、外籍人士交谈时，不准使用对方 禁忌的语言。</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值勤时应讲普通话。</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岗位纪律要求标准</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严格按照法律的规定范围开展保安服务工作，不准超越职责权限。</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 xml:space="preserve">严格履行岗位职责，不准做与保安服务无关的事情。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 xml:space="preserve">不准刁难住户。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 xml:space="preserve">不准脱岗、空岗、睡岗，不准迟到、早退。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 xml:space="preserve">遵守客户单位内部的各项规章制度，对客户单位内部的机密事项，不准随意打听、记录、传播。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未经允许不准动用客户物品和接受客户赠送的礼品。</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 xml:space="preserve">要爱护公物。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 xml:space="preserve">有重要情况要妥善处理并及时上报，不准迟报、漏报、隐瞒不报。 </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要认真填写值班记录，做好交接班工作。</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卫生要求标准</w:t>
      </w:r>
    </w:p>
    <w:p>
      <w:pPr>
        <w:spacing w:line="360" w:lineRule="auto"/>
        <w:ind w:left="105" w:leftChars="50" w:right="105" w:rightChars="50" w:firstLine="480" w:firstLineChars="200"/>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要自觉维护环境卫生，保持值勤区域整齐清洁。</w:t>
      </w:r>
    </w:p>
    <w:p>
      <w:pPr>
        <w:spacing w:line="360" w:lineRule="auto"/>
        <w:ind w:left="105" w:leftChars="50" w:right="105" w:rightChars="50" w:firstLine="480"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000000"/>
          <w:sz w:val="24"/>
          <w:szCs w:val="24"/>
          <w:highlight w:val="none"/>
          <w:lang w:val="zh-CN" w:eastAsia="zh-CN"/>
        </w:rPr>
        <w:t>内务卫生：床单、被褥整齐干净，床下无杂物；地面无烟头、无 痰迹、无纸屑；门窗洁净，玻璃明亮；生活用品摆放整齐、统一规范；不准饲养宠物、悬挂图片、画报。</w:t>
      </w:r>
      <w:bookmarkEnd w:id="254"/>
      <w:bookmarkEnd w:id="255"/>
      <w:bookmarkEnd w:id="256"/>
      <w:r>
        <w:rPr>
          <w:rFonts w:hint="eastAsia" w:ascii="宋体" w:hAnsi="宋体" w:eastAsia="宋体" w:cs="宋体"/>
          <w:b/>
          <w:color w:val="000000" w:themeColor="text1"/>
          <w:kern w:val="0"/>
          <w:sz w:val="24"/>
          <w:szCs w:val="24"/>
          <w:highlight w:val="none"/>
          <w14:textFill>
            <w14:solidFill>
              <w14:schemeClr w14:val="tx1"/>
            </w14:solidFill>
          </w14:textFill>
        </w:rPr>
        <w:br w:type="page"/>
      </w:r>
    </w:p>
    <w:p>
      <w:pPr>
        <w:spacing w:line="360" w:lineRule="auto"/>
        <w:jc w:val="center"/>
        <w:outlineLvl w:val="0"/>
        <w:rPr>
          <w:rFonts w:hint="eastAsia" w:ascii="宋体" w:hAnsi="宋体" w:eastAsia="宋体" w:cs="宋体"/>
          <w:b/>
          <w:bCs/>
          <w:color w:val="000000" w:themeColor="text1"/>
          <w:sz w:val="36"/>
          <w:szCs w:val="36"/>
          <w:highlight w:val="none"/>
          <w14:textFill>
            <w14:solidFill>
              <w14:schemeClr w14:val="tx1"/>
            </w14:solidFill>
          </w14:textFill>
        </w:rPr>
      </w:pPr>
      <w:bookmarkStart w:id="257" w:name="_Toc20857"/>
      <w:bookmarkStart w:id="258" w:name="_Toc3982"/>
      <w:bookmarkStart w:id="259" w:name="_Toc30604"/>
      <w:r>
        <w:rPr>
          <w:rFonts w:hint="eastAsia" w:ascii="宋体" w:hAnsi="宋体" w:eastAsia="宋体" w:cs="宋体"/>
          <w:b/>
          <w:bCs/>
          <w:color w:val="000000" w:themeColor="text1"/>
          <w:sz w:val="36"/>
          <w:szCs w:val="36"/>
          <w:highlight w:val="none"/>
          <w14:textFill>
            <w14:solidFill>
              <w14:schemeClr w14:val="tx1"/>
            </w14:solidFill>
          </w14:textFill>
        </w:rPr>
        <w:t>第六部分  投标文件格式</w:t>
      </w:r>
      <w:bookmarkEnd w:id="250"/>
      <w:bookmarkEnd w:id="257"/>
      <w:bookmarkEnd w:id="258"/>
      <w:bookmarkEnd w:id="259"/>
    </w:p>
    <w:bookmarkEnd w:id="251"/>
    <w:bookmarkEnd w:id="252"/>
    <w:bookmarkEnd w:id="253"/>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tabs>
          <w:tab w:val="left" w:pos="360"/>
        </w:tabs>
        <w:spacing w:line="360" w:lineRule="auto"/>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入场登记号：XA-2023-001295-B01</w:t>
      </w:r>
    </w:p>
    <w:p>
      <w:pPr>
        <w:tabs>
          <w:tab w:val="left" w:pos="360"/>
        </w:tabs>
        <w:spacing w:line="360" w:lineRule="auto"/>
        <w:jc w:val="lef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项目编号：</w:t>
      </w:r>
      <w:r>
        <w:rPr>
          <w:rFonts w:hint="eastAsia" w:ascii="宋体" w:hAnsi="宋体" w:eastAsia="宋体" w:cs="宋体"/>
          <w:b/>
          <w:color w:val="000000" w:themeColor="text1"/>
          <w:sz w:val="32"/>
          <w:szCs w:val="32"/>
          <w:highlight w:val="none"/>
          <w:lang w:eastAsia="zh-CN"/>
          <w14:textFill>
            <w14:solidFill>
              <w14:schemeClr w14:val="tx1"/>
            </w14:solidFill>
          </w14:textFill>
        </w:rPr>
        <w:t>SXXYCZB-GK-20230928</w:t>
      </w:r>
      <w:r>
        <w:rPr>
          <w:rFonts w:hint="eastAsia" w:ascii="宋体" w:hAnsi="宋体" w:eastAsia="宋体" w:cs="宋体"/>
          <w:b/>
          <w:color w:val="000000" w:themeColor="text1"/>
          <w:sz w:val="32"/>
          <w:szCs w:val="32"/>
          <w:highlight w:val="none"/>
          <w14:textFill>
            <w14:solidFill>
              <w14:schemeClr w14:val="tx1"/>
            </w14:solidFill>
          </w14:textFill>
        </w:rPr>
        <w:t xml:space="preserve">                   </w:t>
      </w:r>
    </w:p>
    <w:p>
      <w:pPr>
        <w:pStyle w:val="17"/>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sz w:val="24"/>
          <w:szCs w:val="24"/>
          <w:highlight w:val="none"/>
        </w:rPr>
      </w:pPr>
    </w:p>
    <w:p>
      <w:pPr>
        <w:numPr>
          <w:ilvl w:val="0"/>
          <w:numId w:val="0"/>
        </w:numPr>
        <w:spacing w:line="360" w:lineRule="auto"/>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169" w:firstLineChars="42"/>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40"/>
          <w:szCs w:val="40"/>
          <w:highlight w:val="none"/>
          <w:lang w:eastAsia="zh-CN"/>
          <w14:textFill>
            <w14:solidFill>
              <w14:schemeClr w14:val="tx1"/>
            </w14:solidFill>
          </w14:textFill>
        </w:rPr>
        <w:t>中医医院后勤和安保服务项目</w:t>
      </w:r>
      <w:r>
        <w:rPr>
          <w:rFonts w:hint="eastAsia" w:ascii="宋体" w:hAnsi="宋体" w:eastAsia="宋体" w:cs="宋体"/>
          <w:b/>
          <w:bCs/>
          <w:color w:val="000000" w:themeColor="text1"/>
          <w:sz w:val="28"/>
          <w:szCs w:val="28"/>
          <w:highlight w:val="none"/>
          <w:lang w:eastAsia="zh-CN"/>
          <w14:textFill>
            <w14:solidFill>
              <w14:schemeClr w14:val="tx1"/>
            </w14:solidFill>
          </w14:textFill>
        </w:rPr>
        <w:t xml:space="preserve"> </w:t>
      </w:r>
    </w:p>
    <w:p>
      <w:pPr>
        <w:tabs>
          <w:tab w:val="left" w:pos="360"/>
        </w:tabs>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ind w:firstLine="152" w:firstLineChars="42"/>
        <w:jc w:val="center"/>
        <w:rPr>
          <w:rFonts w:hint="eastAsia" w:ascii="宋体" w:hAnsi="宋体" w:eastAsia="宋体" w:cs="宋体"/>
          <w:b/>
          <w:bCs/>
          <w:color w:val="000000" w:themeColor="text1"/>
          <w:sz w:val="36"/>
          <w:szCs w:val="36"/>
          <w:highlight w:val="none"/>
          <w:lang w:eastAsia="zh-CN"/>
          <w14:textFill>
            <w14:solidFill>
              <w14:schemeClr w14:val="tx1"/>
            </w14:solidFill>
          </w14:textFill>
        </w:rPr>
      </w:pPr>
      <w:r>
        <w:rPr>
          <w:rFonts w:hint="eastAsia" w:ascii="宋体" w:hAnsi="宋体" w:eastAsia="宋体" w:cs="宋体"/>
          <w:b/>
          <w:bCs/>
          <w:color w:val="000000" w:themeColor="text1"/>
          <w:sz w:val="36"/>
          <w:szCs w:val="36"/>
          <w:highlight w:val="none"/>
          <w:lang w:eastAsia="zh-CN"/>
          <w14:textFill>
            <w14:solidFill>
              <w14:schemeClr w14:val="tx1"/>
            </w14:solidFill>
          </w14:textFill>
        </w:rPr>
        <w:t>第</w:t>
      </w:r>
      <w:r>
        <w:rPr>
          <w:rFonts w:hint="eastAsia" w:ascii="宋体" w:hAnsi="宋体" w:eastAsia="宋体" w:cs="宋体"/>
          <w:b/>
          <w:bCs/>
          <w:color w:val="000000" w:themeColor="text1"/>
          <w:sz w:val="36"/>
          <w:szCs w:val="36"/>
          <w:highlight w:val="none"/>
          <w:u w:val="single"/>
          <w:lang w:eastAsia="zh-CN"/>
          <w14:textFill>
            <w14:solidFill>
              <w14:schemeClr w14:val="tx1"/>
            </w14:solidFill>
          </w14:textFill>
        </w:rPr>
        <w:t xml:space="preserve">    </w:t>
      </w:r>
      <w:r>
        <w:rPr>
          <w:rFonts w:hint="eastAsia" w:ascii="宋体" w:hAnsi="宋体" w:eastAsia="宋体" w:cs="宋体"/>
          <w:b/>
          <w:bCs/>
          <w:color w:val="000000" w:themeColor="text1"/>
          <w:sz w:val="36"/>
          <w:szCs w:val="36"/>
          <w:highlight w:val="none"/>
          <w:u w:val="none"/>
          <w:lang w:eastAsia="zh-CN"/>
          <w14:textFill>
            <w14:solidFill>
              <w14:schemeClr w14:val="tx1"/>
            </w14:solidFill>
          </w14:textFill>
        </w:rPr>
        <w:t>包</w:t>
      </w:r>
    </w:p>
    <w:p>
      <w:pPr>
        <w:tabs>
          <w:tab w:val="left" w:pos="360"/>
        </w:tabs>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p>
    <w:p>
      <w:pPr>
        <w:tabs>
          <w:tab w:val="left" w:pos="360"/>
        </w:tabs>
        <w:spacing w:line="360" w:lineRule="auto"/>
        <w:jc w:val="center"/>
        <w:rPr>
          <w:rFonts w:hint="eastAsia" w:ascii="宋体" w:hAnsi="宋体" w:eastAsia="宋体" w:cs="宋体"/>
          <w:b/>
          <w:color w:val="000000" w:themeColor="text1"/>
          <w:sz w:val="40"/>
          <w:szCs w:val="40"/>
          <w:highlight w:val="none"/>
          <w14:textFill>
            <w14:solidFill>
              <w14:schemeClr w14:val="tx1"/>
            </w14:solidFill>
          </w14:textFill>
        </w:rPr>
      </w:pPr>
      <w:r>
        <w:rPr>
          <w:rFonts w:hint="eastAsia" w:ascii="宋体" w:hAnsi="宋体" w:eastAsia="宋体" w:cs="宋体"/>
          <w:b/>
          <w:color w:val="000000" w:themeColor="text1"/>
          <w:sz w:val="40"/>
          <w:szCs w:val="40"/>
          <w:highlight w:val="none"/>
          <w14:textFill>
            <w14:solidFill>
              <w14:schemeClr w14:val="tx1"/>
            </w14:solidFill>
          </w14:textFill>
        </w:rPr>
        <w:t>投 标 文 件</w:t>
      </w:r>
    </w:p>
    <w:p>
      <w:pPr>
        <w:tabs>
          <w:tab w:val="left" w:pos="360"/>
        </w:tabs>
        <w:spacing w:line="360" w:lineRule="auto"/>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pStyle w:val="17"/>
        <w:spacing w:line="360" w:lineRule="auto"/>
        <w:rPr>
          <w:rFonts w:hint="eastAsia" w:ascii="宋体" w:hAnsi="宋体" w:eastAsia="宋体" w:cs="宋体"/>
          <w:sz w:val="24"/>
          <w:szCs w:val="24"/>
          <w:highlight w:val="none"/>
        </w:rPr>
      </w:pPr>
    </w:p>
    <w:p>
      <w:pPr>
        <w:tabs>
          <w:tab w:val="left" w:pos="360"/>
        </w:tabs>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360"/>
        </w:tabs>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供  应  商：</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（公章）</w:t>
      </w:r>
    </w:p>
    <w:p>
      <w:pPr>
        <w:tabs>
          <w:tab w:val="left" w:pos="360"/>
        </w:tabs>
        <w:spacing w:line="360" w:lineRule="auto"/>
        <w:ind w:firstLine="1433" w:firstLineChars="446"/>
        <w:rPr>
          <w:rFonts w:hint="eastAsia" w:ascii="宋体" w:hAnsi="宋体" w:eastAsia="宋体" w:cs="宋体"/>
          <w:b/>
          <w:color w:val="000000" w:themeColor="text1"/>
          <w:sz w:val="32"/>
          <w:szCs w:val="32"/>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法定代表人或被委托人：</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（签字或盖章）</w:t>
      </w:r>
    </w:p>
    <w:p>
      <w:pPr>
        <w:tabs>
          <w:tab w:val="left" w:pos="360"/>
        </w:tabs>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年</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月</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日</w:t>
      </w:r>
    </w:p>
    <w:p>
      <w:pPr>
        <w:spacing w:line="360" w:lineRule="auto"/>
        <w:rPr>
          <w:rFonts w:hint="eastAsia" w:ascii="宋体" w:hAnsi="宋体" w:eastAsia="宋体" w:cs="宋体"/>
          <w:b/>
          <w:color w:val="000000" w:themeColor="text1"/>
          <w:sz w:val="32"/>
          <w:szCs w:val="32"/>
          <w:highlight w:val="none"/>
          <w14:textFill>
            <w14:solidFill>
              <w14:schemeClr w14:val="tx1"/>
            </w14:solidFill>
          </w14:textFill>
        </w:rPr>
        <w:sectPr>
          <w:headerReference r:id="rId6" w:type="first"/>
          <w:footerReference r:id="rId8" w:type="first"/>
          <w:headerReference r:id="rId5" w:type="default"/>
          <w:footerReference r:id="rId7" w:type="default"/>
          <w:type w:val="continuous"/>
          <w:pgSz w:w="11906" w:h="16838"/>
          <w:pgMar w:top="1418" w:right="1134" w:bottom="1418" w:left="1418" w:header="851" w:footer="992" w:gutter="0"/>
          <w:pgBorders>
            <w:top w:val="none" w:sz="0" w:space="0"/>
            <w:left w:val="none" w:sz="0" w:space="0"/>
            <w:bottom w:val="none" w:sz="0" w:space="0"/>
            <w:right w:val="none" w:sz="0" w:space="0"/>
          </w:pgBorders>
          <w:cols w:space="720" w:num="1"/>
          <w:titlePg/>
          <w:docGrid w:type="lines" w:linePitch="312" w:charSpace="0"/>
        </w:sectPr>
      </w:pPr>
    </w:p>
    <w:p>
      <w:pPr>
        <w:spacing w:line="360" w:lineRule="auto"/>
        <w:jc w:val="center"/>
        <w:outlineLvl w:val="9"/>
        <w:rPr>
          <w:rFonts w:hint="eastAsia" w:ascii="宋体" w:hAnsi="宋体" w:eastAsia="宋体" w:cs="宋体"/>
          <w:b/>
          <w:color w:val="000000" w:themeColor="text1"/>
          <w:sz w:val="32"/>
          <w:szCs w:val="32"/>
          <w:highlight w:val="none"/>
          <w14:textFill>
            <w14:solidFill>
              <w14:schemeClr w14:val="tx1"/>
            </w14:solidFill>
          </w14:textFill>
        </w:rPr>
      </w:pPr>
      <w:bookmarkStart w:id="260" w:name="_Toc18344"/>
      <w:r>
        <w:rPr>
          <w:rFonts w:hint="eastAsia" w:ascii="宋体" w:hAnsi="宋体" w:eastAsia="宋体" w:cs="宋体"/>
          <w:b/>
          <w:color w:val="000000" w:themeColor="text1"/>
          <w:sz w:val="32"/>
          <w:szCs w:val="32"/>
          <w:highlight w:val="none"/>
          <w14:textFill>
            <w14:solidFill>
              <w14:schemeClr w14:val="tx1"/>
            </w14:solidFill>
          </w14:textFill>
        </w:rPr>
        <w:t>目   录</w:t>
      </w:r>
      <w:bookmarkEnd w:id="260"/>
    </w:p>
    <w:p>
      <w:pPr>
        <w:snapToGrid w:val="0"/>
        <w:spacing w:line="360" w:lineRule="auto"/>
        <w:ind w:firstLine="1536" w:firstLineChars="64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line="360" w:lineRule="auto"/>
        <w:ind w:firstLine="1536" w:firstLineChars="64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一、投标函..................................................页码</w:t>
      </w:r>
    </w:p>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二、开标一览表（唱标报告）..................................页码</w:t>
      </w:r>
    </w:p>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三、法定代表人身份证明/法定代表人授权书.....................页码</w:t>
      </w:r>
    </w:p>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四、投标方案说明书..........................................页码</w:t>
      </w:r>
    </w:p>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五、商务条款偏离表..........................................页码</w:t>
      </w:r>
    </w:p>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六、供应商承诺书............................................页码</w:t>
      </w:r>
    </w:p>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七、资格证明文件............................................页码</w:t>
      </w:r>
    </w:p>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八、其他资料................................................页码</w:t>
      </w:r>
    </w:p>
    <w:p>
      <w:pPr>
        <w:snapToGrid w:val="0"/>
        <w:spacing w:line="360" w:lineRule="auto"/>
        <w:ind w:firstLine="1536" w:firstLineChars="64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line="360" w:lineRule="auto"/>
        <w:ind w:firstLine="1536" w:firstLineChars="64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line="360" w:lineRule="auto"/>
        <w:ind w:firstLine="1536" w:firstLineChars="640"/>
        <w:rPr>
          <w:rFonts w:hint="eastAsia" w:ascii="宋体" w:hAnsi="宋体" w:eastAsia="宋体" w:cs="宋体"/>
          <w:color w:val="000000" w:themeColor="text1"/>
          <w:sz w:val="24"/>
          <w:szCs w:val="24"/>
          <w:highlight w:val="none"/>
          <w14:textFill>
            <w14:solidFill>
              <w14:schemeClr w14:val="tx1"/>
            </w14:solidFill>
          </w14:textFill>
        </w:rPr>
      </w:pPr>
    </w:p>
    <w:p>
      <w:pPr>
        <w:pStyle w:val="97"/>
        <w:spacing w:line="360" w:lineRule="auto"/>
        <w:ind w:firstLine="2024" w:firstLineChars="8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spacing w:line="360" w:lineRule="auto"/>
        <w:jc w:val="center"/>
        <w:outlineLvl w:val="9"/>
        <w:rPr>
          <w:rFonts w:hint="eastAsia" w:ascii="宋体" w:hAnsi="宋体" w:eastAsia="宋体" w:cs="宋体"/>
          <w:b/>
          <w:color w:val="000000" w:themeColor="text1"/>
          <w:sz w:val="32"/>
          <w:szCs w:val="32"/>
          <w:highlight w:val="none"/>
          <w14:textFill>
            <w14:solidFill>
              <w14:schemeClr w14:val="tx1"/>
            </w14:solidFill>
          </w14:textFill>
        </w:rPr>
      </w:pPr>
      <w:bookmarkStart w:id="261" w:name="_Toc15600"/>
      <w:bookmarkStart w:id="262" w:name="_Toc7595"/>
      <w:bookmarkStart w:id="263" w:name="_Toc31665"/>
      <w:r>
        <w:rPr>
          <w:rFonts w:hint="eastAsia" w:ascii="宋体" w:hAnsi="宋体" w:eastAsia="宋体" w:cs="宋体"/>
          <w:b/>
          <w:color w:val="000000" w:themeColor="text1"/>
          <w:sz w:val="32"/>
          <w:szCs w:val="32"/>
          <w:highlight w:val="none"/>
          <w14:textFill>
            <w14:solidFill>
              <w14:schemeClr w14:val="tx1"/>
            </w14:solidFill>
          </w14:textFill>
        </w:rPr>
        <w:t>一 、投标函</w:t>
      </w:r>
      <w:bookmarkEnd w:id="261"/>
      <w:bookmarkEnd w:id="262"/>
      <w:bookmarkEnd w:id="263"/>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（采购人名称）: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1．我方己仔细研究了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项目招标文件的全部内容，承诺完全响应招标文件的全部内容，签字代表（</w:t>
      </w:r>
      <w:r>
        <w:rPr>
          <w:rFonts w:hint="eastAsia" w:ascii="宋体" w:hAnsi="宋体" w:eastAsia="宋体" w:cs="宋体"/>
          <w:color w:val="000000" w:themeColor="text1"/>
          <w:sz w:val="24"/>
          <w:szCs w:val="24"/>
          <w:highlight w:val="none"/>
          <w:u w:val="single"/>
          <w14:textFill>
            <w14:solidFill>
              <w14:schemeClr w14:val="tx1"/>
            </w14:solidFill>
          </w14:textFill>
        </w:rPr>
        <w:t>全名、职务</w:t>
      </w:r>
      <w:r>
        <w:rPr>
          <w:rFonts w:hint="eastAsia" w:ascii="宋体" w:hAnsi="宋体" w:eastAsia="宋体" w:cs="宋体"/>
          <w:color w:val="000000" w:themeColor="text1"/>
          <w:sz w:val="24"/>
          <w:szCs w:val="24"/>
          <w:highlight w:val="none"/>
          <w14:textFill>
            <w14:solidFill>
              <w14:schemeClr w14:val="tx1"/>
            </w14:solidFill>
          </w14:textFill>
        </w:rPr>
        <w:t>）经正式授权并代表供应商(</w:t>
      </w:r>
      <w:r>
        <w:rPr>
          <w:rFonts w:hint="eastAsia" w:ascii="宋体" w:hAnsi="宋体" w:eastAsia="宋体" w:cs="宋体"/>
          <w:color w:val="000000" w:themeColor="text1"/>
          <w:sz w:val="24"/>
          <w:szCs w:val="24"/>
          <w:highlight w:val="none"/>
          <w:u w:val="single"/>
          <w14:textFill>
            <w14:solidFill>
              <w14:schemeClr w14:val="tx1"/>
            </w14:solidFill>
          </w14:textFill>
        </w:rPr>
        <w:t>供应商名称、地址</w:t>
      </w:r>
      <w:r>
        <w:rPr>
          <w:rFonts w:hint="eastAsia" w:ascii="宋体" w:hAnsi="宋体" w:eastAsia="宋体" w:cs="宋体"/>
          <w:color w:val="000000" w:themeColor="text1"/>
          <w:sz w:val="24"/>
          <w:szCs w:val="24"/>
          <w:highlight w:val="none"/>
          <w14:textFill>
            <w14:solidFill>
              <w14:schemeClr w14:val="tx1"/>
            </w14:solidFill>
          </w14:textFill>
        </w:rPr>
        <w:t>) 提交投标文件。</w:t>
      </w:r>
    </w:p>
    <w:p>
      <w:pPr>
        <w:spacing w:line="360" w:lineRule="auto"/>
        <w:ind w:firstLine="48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我方已详细审核全部招标文件，包括答疑纪要及有关附件。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3．我方承诺在投标有效期内不修改、撤销投标文件。</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4．如我方中标：</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（l）我方承诺在收到中标通知书后，在中标通知书规定的期限内与你方签订合同。</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（2）我方承诺在合同约定的期限内完成所有工作。</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（3）我方承诺在本项目实施过程中，以中标价为合同结算的依据。</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5．我方在此声明，所递交的投标文件及有关资料内容完整、真实和准确。</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6.我方的投标文件在开标大会之日起计算有效期为 90天。</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7.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（其他补充说明）。</w:t>
      </w:r>
    </w:p>
    <w:p>
      <w:pPr>
        <w:pStyle w:val="5"/>
        <w:spacing w:line="360" w:lineRule="auto"/>
        <w:ind w:firstLine="480"/>
        <w:jc w:val="left"/>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2160" w:firstLineChars="9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邮编 ：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firstLine="2160" w:firstLineChars="9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传真：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ind w:firstLine="2160" w:firstLineChars="9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供应商全称：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公章) </w:t>
      </w:r>
    </w:p>
    <w:p>
      <w:pPr>
        <w:spacing w:line="360" w:lineRule="auto"/>
        <w:ind w:firstLine="2160" w:firstLineChars="9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(签字或盖章)</w:t>
      </w:r>
    </w:p>
    <w:p>
      <w:pPr>
        <w:tabs>
          <w:tab w:val="left" w:pos="630"/>
          <w:tab w:val="left" w:pos="1260"/>
        </w:tabs>
        <w:spacing w:line="360" w:lineRule="auto"/>
        <w:ind w:firstLine="2160" w:firstLineChars="9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spacing w:line="360" w:lineRule="auto"/>
        <w:jc w:val="center"/>
        <w:outlineLvl w:val="9"/>
        <w:rPr>
          <w:rFonts w:hint="eastAsia" w:ascii="宋体" w:hAnsi="宋体" w:eastAsia="宋体" w:cs="宋体"/>
          <w:b/>
          <w:color w:val="000000" w:themeColor="text1"/>
          <w:sz w:val="32"/>
          <w:szCs w:val="32"/>
          <w:highlight w:val="none"/>
          <w14:textFill>
            <w14:solidFill>
              <w14:schemeClr w14:val="tx1"/>
            </w14:solidFill>
          </w14:textFill>
        </w:rPr>
      </w:pPr>
      <w:bookmarkStart w:id="264" w:name="_Toc13260"/>
      <w:bookmarkStart w:id="265" w:name="_Toc31382"/>
      <w:bookmarkStart w:id="266" w:name="_Toc21989"/>
      <w:r>
        <w:rPr>
          <w:rFonts w:hint="eastAsia" w:ascii="宋体" w:hAnsi="宋体" w:eastAsia="宋体" w:cs="宋体"/>
          <w:b/>
          <w:color w:val="000000" w:themeColor="text1"/>
          <w:sz w:val="32"/>
          <w:szCs w:val="32"/>
          <w:highlight w:val="none"/>
          <w14:textFill>
            <w14:solidFill>
              <w14:schemeClr w14:val="tx1"/>
            </w14:solidFill>
          </w14:textFill>
        </w:rPr>
        <w:t>二、开标一览表（唱标报告）</w:t>
      </w:r>
      <w:bookmarkEnd w:id="264"/>
      <w:bookmarkEnd w:id="265"/>
      <w:bookmarkEnd w:id="266"/>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.1报价一览表</w:t>
      </w:r>
    </w:p>
    <w:p>
      <w:pPr>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项目名称：</w:t>
      </w:r>
      <w:r>
        <w:rPr>
          <w:rFonts w:hint="eastAsia" w:ascii="宋体" w:hAnsi="宋体" w:eastAsia="宋体" w:cs="宋体"/>
          <w:bCs/>
          <w:color w:val="000000" w:themeColor="text1"/>
          <w:sz w:val="24"/>
          <w:szCs w:val="24"/>
          <w:highlight w:val="none"/>
          <w:lang w:eastAsia="zh-CN"/>
          <w14:textFill>
            <w14:solidFill>
              <w14:schemeClr w14:val="tx1"/>
            </w14:solidFill>
          </w14:textFill>
        </w:rPr>
        <w:t>中医医院后勤和安保服务项目</w:t>
      </w:r>
      <w:r>
        <w:rPr>
          <w:rFonts w:hint="eastAsia" w:ascii="宋体" w:hAnsi="宋体" w:eastAsia="宋体" w:cs="宋体"/>
          <w:bCs/>
          <w:color w:val="000000" w:themeColor="text1"/>
          <w:kern w:val="0"/>
          <w:sz w:val="24"/>
          <w:szCs w:val="24"/>
          <w:highlight w:val="none"/>
          <w14:textFill>
            <w14:solidFill>
              <w14:schemeClr w14:val="tx1"/>
            </w14:solidFill>
          </w14:textFill>
        </w:rPr>
        <w:t xml:space="preserve">                                                  </w:t>
      </w:r>
    </w:p>
    <w:p>
      <w:pPr>
        <w:spacing w:line="360" w:lineRule="auto"/>
        <w:jc w:val="left"/>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项目编号：</w:t>
      </w:r>
      <w:r>
        <w:rPr>
          <w:rFonts w:hint="eastAsia" w:ascii="宋体" w:hAnsi="宋体" w:eastAsia="宋体" w:cs="宋体"/>
          <w:bCs/>
          <w:color w:val="000000" w:themeColor="text1"/>
          <w:sz w:val="24"/>
          <w:szCs w:val="24"/>
          <w:highlight w:val="none"/>
          <w:lang w:eastAsia="zh-CN"/>
          <w14:textFill>
            <w14:solidFill>
              <w14:schemeClr w14:val="tx1"/>
            </w14:solidFill>
          </w14:textFill>
        </w:rPr>
        <w:t>SXXYCZB-GK-20230928</w:t>
      </w:r>
    </w:p>
    <w:p>
      <w:pPr>
        <w:spacing w:line="360" w:lineRule="auto"/>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包号：</w:t>
      </w:r>
    </w:p>
    <w:tbl>
      <w:tblPr>
        <w:tblStyle w:val="42"/>
        <w:tblW w:w="5027" w:type="pct"/>
        <w:jc w:val="center"/>
        <w:tblLayout w:type="autofit"/>
        <w:tblCellMar>
          <w:top w:w="0" w:type="dxa"/>
          <w:left w:w="0" w:type="dxa"/>
          <w:bottom w:w="0" w:type="dxa"/>
          <w:right w:w="0" w:type="dxa"/>
        </w:tblCellMar>
      </w:tblPr>
      <w:tblGrid>
        <w:gridCol w:w="3584"/>
        <w:gridCol w:w="3815"/>
        <w:gridCol w:w="2021"/>
      </w:tblGrid>
      <w:tr>
        <w:tblPrEx>
          <w:tblCellMar>
            <w:top w:w="0" w:type="dxa"/>
            <w:left w:w="0" w:type="dxa"/>
            <w:bottom w:w="0" w:type="dxa"/>
            <w:right w:w="0" w:type="dxa"/>
          </w:tblCellMar>
        </w:tblPrEx>
        <w:trPr>
          <w:trHeight w:val="662" w:hRule="atLeast"/>
          <w:jc w:val="center"/>
        </w:trPr>
        <w:tc>
          <w:tcPr>
            <w:tcW w:w="1902" w:type="pct"/>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eastAsia="zh-CN"/>
              </w:rPr>
              <w:t>报价</w:t>
            </w:r>
          </w:p>
        </w:tc>
        <w:tc>
          <w:tcPr>
            <w:tcW w:w="2024" w:type="pct"/>
            <w:tcBorders>
              <w:top w:val="single" w:color="auto" w:sz="8" w:space="0"/>
              <w:left w:val="nil"/>
              <w:bottom w:val="single" w:color="auto" w:sz="8" w:space="0"/>
              <w:right w:val="single" w:color="auto" w:sz="4" w:space="0"/>
            </w:tcBorders>
            <w:noWrap w:val="0"/>
            <w:vAlign w:val="center"/>
          </w:tcPr>
          <w:p>
            <w:pPr>
              <w:tabs>
                <w:tab w:val="left" w:pos="5580"/>
              </w:tabs>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服务期</w:t>
            </w:r>
          </w:p>
        </w:tc>
        <w:tc>
          <w:tcPr>
            <w:tcW w:w="1072" w:type="pct"/>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r>
      <w:tr>
        <w:tblPrEx>
          <w:tblCellMar>
            <w:top w:w="0" w:type="dxa"/>
            <w:left w:w="0" w:type="dxa"/>
            <w:bottom w:w="0" w:type="dxa"/>
            <w:right w:w="0" w:type="dxa"/>
          </w:tblCellMar>
        </w:tblPrEx>
        <w:trPr>
          <w:cantSplit/>
          <w:trHeight w:val="3511" w:hRule="atLeast"/>
          <w:jc w:val="center"/>
        </w:trPr>
        <w:tc>
          <w:tcPr>
            <w:tcW w:w="1902" w:type="pct"/>
            <w:tcBorders>
              <w:top w:val="single" w:color="auto" w:sz="8" w:space="0"/>
              <w:left w:val="single" w:color="auto" w:sz="4" w:space="0"/>
              <w:bottom w:val="single" w:color="auto" w:sz="8" w:space="0"/>
              <w:right w:val="single" w:color="auto" w:sz="4" w:space="0"/>
            </w:tcBorders>
            <w:noWrap w:val="0"/>
            <w:vAlign w:val="center"/>
          </w:tcPr>
          <w:p>
            <w:pPr>
              <w:tabs>
                <w:tab w:val="left" w:pos="5580"/>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大写：</w:t>
            </w:r>
          </w:p>
          <w:p>
            <w:pPr>
              <w:tabs>
                <w:tab w:val="left" w:pos="5580"/>
              </w:tabs>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小写：</w:t>
            </w:r>
          </w:p>
        </w:tc>
        <w:tc>
          <w:tcPr>
            <w:tcW w:w="2024" w:type="pct"/>
            <w:tcBorders>
              <w:top w:val="single" w:color="auto" w:sz="8" w:space="0"/>
              <w:left w:val="nil"/>
              <w:bottom w:val="single" w:color="auto" w:sz="8" w:space="0"/>
              <w:right w:val="single" w:color="auto" w:sz="4" w:space="0"/>
            </w:tcBorders>
            <w:noWrap w:val="0"/>
            <w:vAlign w:val="center"/>
          </w:tcPr>
          <w:p>
            <w:pPr>
              <w:tabs>
                <w:tab w:val="left" w:pos="5580"/>
              </w:tabs>
              <w:spacing w:line="360" w:lineRule="auto"/>
              <w:ind w:left="1080" w:leftChars="257" w:hanging="540"/>
              <w:jc w:val="center"/>
              <w:rPr>
                <w:rFonts w:hint="eastAsia" w:ascii="宋体" w:hAnsi="宋体" w:eastAsia="宋体" w:cs="宋体"/>
                <w:color w:val="000000"/>
                <w:sz w:val="24"/>
                <w:szCs w:val="24"/>
                <w:highlight w:val="none"/>
              </w:rPr>
            </w:pPr>
          </w:p>
        </w:tc>
        <w:tc>
          <w:tcPr>
            <w:tcW w:w="1072" w:type="pct"/>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360" w:lineRule="auto"/>
              <w:ind w:left="1080" w:leftChars="257" w:hanging="540"/>
              <w:jc w:val="center"/>
              <w:rPr>
                <w:rFonts w:hint="eastAsia" w:ascii="宋体" w:hAnsi="宋体" w:eastAsia="宋体" w:cs="宋体"/>
                <w:color w:val="000000"/>
                <w:sz w:val="24"/>
                <w:szCs w:val="24"/>
                <w:highlight w:val="none"/>
              </w:rPr>
            </w:pPr>
          </w:p>
        </w:tc>
      </w:tr>
    </w:tbl>
    <w:p>
      <w:pPr>
        <w:spacing w:line="360" w:lineRule="auto"/>
        <w:rPr>
          <w:rFonts w:hint="eastAsia" w:ascii="宋体" w:hAnsi="宋体" w:eastAsia="宋体" w:cs="宋体"/>
          <w:i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iCs/>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iCs/>
          <w:color w:val="000000" w:themeColor="text1"/>
          <w:sz w:val="24"/>
          <w:szCs w:val="24"/>
          <w:highlight w:val="none"/>
          <w14:textFill>
            <w14:solidFill>
              <w14:schemeClr w14:val="tx1"/>
            </w14:solidFill>
          </w14:textFill>
        </w:rPr>
        <w:t>本表价格应按要求填写，保留小数点后两位。</w:t>
      </w:r>
    </w:p>
    <w:p>
      <w:pPr>
        <w:numPr>
          <w:ilvl w:val="0"/>
          <w:numId w:val="0"/>
        </w:numPr>
        <w:spacing w:line="360" w:lineRule="auto"/>
        <w:ind w:firstLine="960" w:firstLineChars="4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i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各投标人根据招标文件的规定，结合自身管理水平及市场行情自主报价</w:t>
      </w:r>
      <w:r>
        <w:rPr>
          <w:rFonts w:hint="eastAsia" w:ascii="宋体" w:hAnsi="宋体" w:eastAsia="宋体" w:cs="宋体"/>
          <w:bCs/>
          <w:color w:val="000000" w:themeColor="text1"/>
          <w:sz w:val="24"/>
          <w:szCs w:val="24"/>
          <w:highlight w:val="none"/>
          <w14:textFill>
            <w14:solidFill>
              <w14:schemeClr w14:val="tx1"/>
            </w14:solidFill>
          </w14:textFill>
        </w:rPr>
        <w:t>。</w:t>
      </w:r>
    </w:p>
    <w:p>
      <w:pPr>
        <w:spacing w:line="360" w:lineRule="auto"/>
        <w:ind w:firstLine="3600" w:firstLineChars="15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3600" w:firstLineChars="1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供应商全称：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（公章）</w:t>
      </w:r>
    </w:p>
    <w:p>
      <w:pPr>
        <w:spacing w:line="360" w:lineRule="auto"/>
        <w:ind w:firstLine="3600" w:firstLineChars="15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3600" w:firstLineChars="1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（签字或盖章）</w:t>
      </w:r>
    </w:p>
    <w:p>
      <w:pPr>
        <w:spacing w:line="360" w:lineRule="auto"/>
        <w:ind w:firstLine="6000" w:firstLineChars="25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6000" w:firstLineChars="2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spacing w:line="360" w:lineRule="auto"/>
        <w:jc w:val="center"/>
        <w:outlineLvl w:val="9"/>
        <w:rPr>
          <w:rFonts w:hint="eastAsia" w:ascii="宋体" w:hAnsi="宋体" w:eastAsia="宋体" w:cs="宋体"/>
          <w:b/>
          <w:color w:val="000000" w:themeColor="text1"/>
          <w:sz w:val="32"/>
          <w:szCs w:val="32"/>
          <w:highlight w:val="none"/>
          <w:lang w:val="en-US" w:eastAsia="zh-CN"/>
          <w14:textFill>
            <w14:solidFill>
              <w14:schemeClr w14:val="tx1"/>
            </w14:solidFill>
          </w14:textFill>
        </w:rPr>
      </w:pPr>
      <w:bookmarkStart w:id="267" w:name="_Toc12709"/>
      <w:bookmarkStart w:id="268" w:name="_Toc20983"/>
      <w:bookmarkStart w:id="269" w:name="_Toc9312"/>
      <w:r>
        <w:rPr>
          <w:rFonts w:hint="eastAsia" w:ascii="宋体" w:hAnsi="宋体" w:eastAsia="宋体" w:cs="宋体"/>
          <w:b/>
          <w:color w:val="000000" w:themeColor="text1"/>
          <w:sz w:val="32"/>
          <w:szCs w:val="32"/>
          <w:highlight w:val="none"/>
          <w:lang w:val="en-US" w:eastAsia="zh-CN"/>
          <w14:textFill>
            <w14:solidFill>
              <w14:schemeClr w14:val="tx1"/>
            </w14:solidFill>
          </w14:textFill>
        </w:rPr>
        <w:t>三、法定代表人身份证明/法定代表人授权书</w:t>
      </w:r>
      <w:bookmarkEnd w:id="267"/>
      <w:bookmarkEnd w:id="268"/>
    </w:p>
    <w:p>
      <w:pPr>
        <w:pStyle w:val="17"/>
        <w:keepLines w:val="0"/>
        <w:pageBreakBefore w:val="0"/>
        <w:widowControl w:val="0"/>
        <w:kinsoku/>
        <w:wordWrap/>
        <w:overflowPunct/>
        <w:topLinePunct w:val="0"/>
        <w:bidi w:val="0"/>
        <w:spacing w:line="360" w:lineRule="auto"/>
        <w:jc w:val="center"/>
        <w:textAlignment w:val="auto"/>
        <w:outlineLvl w:val="9"/>
        <w:rPr>
          <w:rFonts w:hint="eastAsia" w:ascii="宋体" w:hAnsi="宋体" w:eastAsia="宋体" w:cs="宋体"/>
          <w:b/>
          <w:bCs/>
          <w:kern w:val="2"/>
          <w:sz w:val="24"/>
          <w:szCs w:val="24"/>
          <w:highlight w:val="none"/>
          <w:lang w:val="en-US" w:eastAsia="zh-CN" w:bidi="ar-SA"/>
        </w:rPr>
      </w:pPr>
    </w:p>
    <w:p>
      <w:pPr>
        <w:pStyle w:val="17"/>
        <w:keepLines w:val="0"/>
        <w:pageBreakBefore w:val="0"/>
        <w:widowControl w:val="0"/>
        <w:kinsoku/>
        <w:wordWrap/>
        <w:overflowPunct/>
        <w:topLinePunct w:val="0"/>
        <w:bidi w:val="0"/>
        <w:spacing w:line="360" w:lineRule="auto"/>
        <w:jc w:val="center"/>
        <w:textAlignment w:val="auto"/>
        <w:outlineLvl w:val="2"/>
        <w:rPr>
          <w:rFonts w:hint="eastAsia" w:ascii="宋体" w:hAnsi="宋体" w:eastAsia="宋体" w:cs="宋体"/>
          <w:b/>
          <w:bCs/>
          <w:kern w:val="2"/>
          <w:sz w:val="28"/>
          <w:szCs w:val="28"/>
          <w:highlight w:val="none"/>
          <w:lang w:val="en-US" w:eastAsia="zh-CN" w:bidi="ar-SA"/>
        </w:rPr>
      </w:pPr>
      <w:bookmarkStart w:id="270" w:name="_Toc19648"/>
      <w:bookmarkStart w:id="271" w:name="_Toc10632"/>
      <w:r>
        <w:rPr>
          <w:rFonts w:hint="eastAsia" w:ascii="宋体" w:hAnsi="宋体" w:eastAsia="宋体" w:cs="宋体"/>
          <w:b/>
          <w:bCs/>
          <w:kern w:val="2"/>
          <w:sz w:val="28"/>
          <w:szCs w:val="28"/>
          <w:highlight w:val="none"/>
          <w:lang w:val="en-US" w:eastAsia="zh-CN" w:bidi="ar-SA"/>
        </w:rPr>
        <w:t>法定代表人身份证明</w:t>
      </w:r>
      <w:bookmarkEnd w:id="270"/>
      <w:bookmarkEnd w:id="271"/>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统一社会信用代码：</w:t>
      </w:r>
      <w:r>
        <w:rPr>
          <w:rFonts w:hint="eastAsia" w:ascii="宋体" w:hAnsi="宋体" w:eastAsia="宋体" w:cs="宋体"/>
          <w:kern w:val="0"/>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注册地址：</w:t>
      </w:r>
      <w:r>
        <w:rPr>
          <w:rFonts w:hint="eastAsia" w:ascii="宋体" w:hAnsi="宋体" w:eastAsia="宋体" w:cs="宋体"/>
          <w:kern w:val="0"/>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成立时间：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outlineLvl w:val="9"/>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经营期限：</w:t>
      </w:r>
      <w:r>
        <w:rPr>
          <w:rFonts w:hint="eastAsia" w:ascii="宋体" w:hAnsi="宋体" w:eastAsia="宋体" w:cs="宋体"/>
          <w:kern w:val="0"/>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名称）的</w:t>
      </w: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附：</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身份证复印件</w:t>
      </w:r>
    </w:p>
    <w:tbl>
      <w:tblPr>
        <w:tblStyle w:val="4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880" w:type="dxa"/>
            <w:noWrap w:val="0"/>
            <w:vAlign w:val="center"/>
          </w:tcPr>
          <w:p>
            <w:pPr>
              <w:wordWrap/>
              <w:overflowPunct/>
              <w:topLinePunct w:val="0"/>
              <w:bidi w:val="0"/>
              <w:snapToGrid w:val="0"/>
              <w:spacing w:line="360" w:lineRule="auto"/>
              <w:jc w:val="center"/>
              <w:rPr>
                <w:rFonts w:hint="eastAsia" w:ascii="宋体" w:hAnsi="宋体" w:eastAsia="宋体" w:cs="宋体"/>
                <w:sz w:val="24"/>
                <w:szCs w:val="24"/>
                <w:highlight w:val="none"/>
              </w:rPr>
            </w:pPr>
          </w:p>
          <w:p>
            <w:pPr>
              <w:wordWrap/>
              <w:overflowPunct/>
              <w:topLinePunct w:val="0"/>
              <w:bidi w:val="0"/>
              <w:snapToGrid w:val="0"/>
              <w:spacing w:line="360" w:lineRule="auto"/>
              <w:jc w:val="center"/>
              <w:rPr>
                <w:rFonts w:hint="eastAsia" w:ascii="宋体" w:hAnsi="宋体" w:eastAsia="宋体" w:cs="宋体"/>
                <w:sz w:val="24"/>
                <w:szCs w:val="24"/>
                <w:highlight w:val="none"/>
              </w:rPr>
            </w:pPr>
          </w:p>
          <w:p>
            <w:pPr>
              <w:wordWrap/>
              <w:overflowPunct/>
              <w:topLinePunct w:val="0"/>
              <w:autoSpaceDE w:val="0"/>
              <w:autoSpaceDN w:val="0"/>
              <w:bidi w:val="0"/>
              <w:adjustRightInd w:val="0"/>
              <w:snapToGrid w:val="0"/>
              <w:spacing w:before="120" w:before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粘</w:t>
            </w:r>
            <w:r>
              <w:rPr>
                <w:rFonts w:hint="eastAsia" w:ascii="宋体" w:hAnsi="宋体" w:eastAsia="宋体" w:cs="宋体"/>
                <w:sz w:val="24"/>
                <w:szCs w:val="24"/>
                <w:highlight w:val="none"/>
              </w:rPr>
              <w:t>贴处</w:t>
            </w:r>
          </w:p>
          <w:p>
            <w:pPr>
              <w:pStyle w:val="17"/>
              <w:wordWrap/>
              <w:overflowPunct/>
              <w:topLinePunct w:val="0"/>
              <w:bidi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（正反面）</w:t>
            </w:r>
          </w:p>
          <w:p>
            <w:pPr>
              <w:wordWrap/>
              <w:overflowPunct/>
              <w:topLinePunct w:val="0"/>
              <w:bidi w:val="0"/>
              <w:snapToGrid w:val="0"/>
              <w:spacing w:line="360" w:lineRule="auto"/>
              <w:jc w:val="center"/>
              <w:rPr>
                <w:rFonts w:hint="eastAsia" w:ascii="宋体" w:hAnsi="宋体" w:eastAsia="宋体" w:cs="宋体"/>
                <w:sz w:val="24"/>
                <w:szCs w:val="24"/>
                <w:highlight w:val="none"/>
              </w:rPr>
            </w:pPr>
          </w:p>
          <w:p>
            <w:pPr>
              <w:wordWrap/>
              <w:overflowPunct/>
              <w:topLinePunct w:val="0"/>
              <w:bidi w:val="0"/>
              <w:snapToGrid w:val="0"/>
              <w:spacing w:line="360" w:lineRule="auto"/>
              <w:jc w:val="center"/>
              <w:rPr>
                <w:rFonts w:hint="eastAsia" w:ascii="宋体" w:hAnsi="宋体" w:eastAsia="宋体" w:cs="宋体"/>
                <w:sz w:val="24"/>
                <w:szCs w:val="24"/>
                <w:highlight w:val="none"/>
              </w:rPr>
            </w:pPr>
          </w:p>
        </w:tc>
      </w:tr>
    </w:tbl>
    <w:p>
      <w:pPr>
        <w:wordWrap/>
        <w:overflowPunct/>
        <w:topLinePunct w:val="0"/>
        <w:bidi w:val="0"/>
        <w:snapToGrid w:val="0"/>
        <w:spacing w:line="360" w:lineRule="auto"/>
        <w:rPr>
          <w:rFonts w:hint="eastAsia" w:ascii="宋体" w:hAnsi="宋体" w:eastAsia="宋体" w:cs="宋体"/>
          <w:sz w:val="24"/>
          <w:szCs w:val="24"/>
          <w:highlight w:val="none"/>
        </w:rPr>
      </w:pPr>
    </w:p>
    <w:p>
      <w:pPr>
        <w:wordWrap/>
        <w:overflowPunct/>
        <w:topLinePunct w:val="0"/>
        <w:bidi w:val="0"/>
        <w:snapToGrid w:val="0"/>
        <w:spacing w:line="360" w:lineRule="auto"/>
        <w:rPr>
          <w:rFonts w:hint="eastAsia" w:ascii="宋体" w:hAnsi="宋体" w:eastAsia="宋体" w:cs="宋体"/>
          <w:sz w:val="24"/>
          <w:szCs w:val="24"/>
          <w:highlight w:val="none"/>
        </w:rPr>
      </w:pPr>
    </w:p>
    <w:p>
      <w:pPr>
        <w:wordWrap/>
        <w:overflowPunct/>
        <w:topLinePunct w:val="0"/>
        <w:bidi w:val="0"/>
        <w:snapToGrid w:val="0"/>
        <w:spacing w:line="360" w:lineRule="auto"/>
        <w:rPr>
          <w:rFonts w:hint="eastAsia" w:ascii="宋体" w:hAnsi="宋体" w:eastAsia="宋体" w:cs="宋体"/>
          <w:sz w:val="24"/>
          <w:szCs w:val="24"/>
          <w:highlight w:val="none"/>
        </w:rPr>
      </w:pPr>
    </w:p>
    <w:p>
      <w:pPr>
        <w:wordWrap/>
        <w:overflowPunct/>
        <w:topLinePunct w:val="0"/>
        <w:bidi w:val="0"/>
        <w:snapToGrid w:val="0"/>
        <w:spacing w:line="360" w:lineRule="auto"/>
        <w:rPr>
          <w:rFonts w:hint="eastAsia" w:ascii="宋体" w:hAnsi="宋体" w:eastAsia="宋体" w:cs="宋体"/>
          <w:sz w:val="24"/>
          <w:szCs w:val="24"/>
          <w:highlight w:val="none"/>
        </w:rPr>
      </w:pPr>
    </w:p>
    <w:p>
      <w:pPr>
        <w:wordWrap/>
        <w:overflowPunct/>
        <w:topLinePunct w:val="0"/>
        <w:bidi w:val="0"/>
        <w:snapToGrid w:val="0"/>
        <w:spacing w:line="360" w:lineRule="auto"/>
        <w:rPr>
          <w:rFonts w:hint="eastAsia" w:ascii="宋体" w:hAnsi="宋体" w:eastAsia="宋体" w:cs="宋体"/>
          <w:sz w:val="24"/>
          <w:szCs w:val="24"/>
          <w:highlight w:val="none"/>
        </w:rPr>
      </w:pPr>
    </w:p>
    <w:p>
      <w:pPr>
        <w:wordWrap/>
        <w:overflowPunct/>
        <w:topLinePunct w:val="0"/>
        <w:bidi w:val="0"/>
        <w:adjustRightInd w:val="0"/>
        <w:snapToGrid w:val="0"/>
        <w:spacing w:line="360" w:lineRule="auto"/>
        <w:rPr>
          <w:rFonts w:hint="eastAsia" w:ascii="宋体" w:hAnsi="宋体" w:eastAsia="宋体" w:cs="宋体"/>
          <w:sz w:val="24"/>
          <w:szCs w:val="24"/>
          <w:highlight w:val="none"/>
        </w:rPr>
      </w:pPr>
    </w:p>
    <w:p>
      <w:pPr>
        <w:wordWrap/>
        <w:overflowPunct/>
        <w:topLinePunct w:val="0"/>
        <w:bidi w:val="0"/>
        <w:adjustRightInd w:val="0"/>
        <w:snapToGrid w:val="0"/>
        <w:spacing w:line="360" w:lineRule="auto"/>
        <w:ind w:right="420"/>
        <w:rPr>
          <w:rFonts w:hint="eastAsia" w:ascii="宋体" w:hAnsi="宋体" w:eastAsia="宋体" w:cs="宋体"/>
          <w:sz w:val="24"/>
          <w:szCs w:val="24"/>
          <w:highlight w:val="none"/>
        </w:rPr>
      </w:pPr>
    </w:p>
    <w:p>
      <w:pPr>
        <w:wordWrap/>
        <w:overflowPunct/>
        <w:topLinePunct w:val="0"/>
        <w:bidi w:val="0"/>
        <w:adjustRightInd w:val="0"/>
        <w:snapToGrid w:val="0"/>
        <w:spacing w:line="360" w:lineRule="auto"/>
        <w:ind w:right="420"/>
        <w:rPr>
          <w:rFonts w:hint="eastAsia" w:ascii="宋体" w:hAnsi="宋体" w:eastAsia="宋体" w:cs="宋体"/>
          <w:sz w:val="24"/>
          <w:szCs w:val="24"/>
          <w:highlight w:val="none"/>
        </w:rPr>
      </w:pPr>
    </w:p>
    <w:p>
      <w:pPr>
        <w:wordWrap/>
        <w:overflowPunct/>
        <w:topLinePunct w:val="0"/>
        <w:bidi w:val="0"/>
        <w:adjustRightInd w:val="0"/>
        <w:snapToGrid w:val="0"/>
        <w:spacing w:line="360" w:lineRule="auto"/>
        <w:ind w:right="420"/>
        <w:rPr>
          <w:rFonts w:hint="eastAsia" w:ascii="宋体" w:hAnsi="宋体" w:eastAsia="宋体" w:cs="宋体"/>
          <w:sz w:val="24"/>
          <w:szCs w:val="24"/>
          <w:highlight w:val="none"/>
        </w:rPr>
      </w:pPr>
    </w:p>
    <w:p>
      <w:pPr>
        <w:wordWrap/>
        <w:overflowPunct/>
        <w:topLinePunct w:val="0"/>
        <w:bidi w:val="0"/>
        <w:adjustRightInd w:val="0"/>
        <w:snapToGrid w:val="0"/>
        <w:spacing w:line="360" w:lineRule="auto"/>
        <w:ind w:right="420"/>
        <w:rPr>
          <w:rFonts w:hint="eastAsia" w:ascii="宋体" w:hAnsi="宋体" w:eastAsia="宋体" w:cs="宋体"/>
          <w:sz w:val="24"/>
          <w:szCs w:val="24"/>
          <w:highlight w:val="none"/>
        </w:rPr>
      </w:pPr>
    </w:p>
    <w:p>
      <w:pPr>
        <w:wordWrap/>
        <w:overflowPunct/>
        <w:topLinePunct w:val="0"/>
        <w:bidi w:val="0"/>
        <w:adjustRightInd w:val="0"/>
        <w:snapToGrid w:val="0"/>
        <w:spacing w:line="360" w:lineRule="auto"/>
        <w:ind w:right="420" w:firstLine="4320" w:firstLineChars="18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公章</w:t>
      </w:r>
      <w:r>
        <w:rPr>
          <w:rFonts w:hint="eastAsia" w:ascii="宋体" w:hAnsi="宋体" w:eastAsia="宋体" w:cs="宋体"/>
          <w:sz w:val="24"/>
          <w:szCs w:val="24"/>
          <w:highlight w:val="none"/>
        </w:rPr>
        <w:t>）</w:t>
      </w:r>
    </w:p>
    <w:p>
      <w:pPr>
        <w:wordWrap/>
        <w:overflowPunct/>
        <w:topLinePunct w:val="0"/>
        <w:bidi w:val="0"/>
        <w:adjustRightInd w:val="0"/>
        <w:snapToGrid w:val="0"/>
        <w:spacing w:line="360" w:lineRule="auto"/>
        <w:ind w:right="420" w:firstLine="4320" w:firstLineChars="18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pPr>
        <w:numPr>
          <w:ilvl w:val="0"/>
          <w:numId w:val="0"/>
        </w:numPr>
        <w:spacing w:line="360" w:lineRule="auto"/>
        <w:ind w:right="893" w:rightChars="0"/>
        <w:jc w:val="both"/>
        <w:outlineLvl w:val="1"/>
        <w:rPr>
          <w:rFonts w:hint="eastAsia" w:ascii="宋体" w:hAnsi="宋体" w:eastAsia="宋体" w:cs="宋体"/>
          <w:b/>
          <w:color w:val="000000" w:themeColor="text1"/>
          <w:sz w:val="24"/>
          <w:szCs w:val="24"/>
          <w:highlight w:val="none"/>
          <w14:textFill>
            <w14:solidFill>
              <w14:schemeClr w14:val="tx1"/>
            </w14:solidFill>
          </w14:textFill>
        </w:rPr>
        <w:sectPr>
          <w:headerReference r:id="rId9" w:type="first"/>
          <w:pgSz w:w="11906" w:h="16838"/>
          <w:pgMar w:top="1418" w:right="1134" w:bottom="1418" w:left="1418" w:header="851" w:footer="992" w:gutter="0"/>
          <w:pgBorders>
            <w:top w:val="none" w:sz="0" w:space="0"/>
            <w:left w:val="none" w:sz="0" w:space="0"/>
            <w:bottom w:val="none" w:sz="0" w:space="0"/>
            <w:right w:val="none" w:sz="0" w:space="0"/>
          </w:pgBorders>
          <w:cols w:space="720" w:num="1"/>
          <w:titlePg/>
          <w:docGrid w:type="lines" w:linePitch="312" w:charSpace="0"/>
        </w:sectPr>
      </w:pPr>
    </w:p>
    <w:p>
      <w:pPr>
        <w:spacing w:line="360" w:lineRule="auto"/>
        <w:jc w:val="center"/>
        <w:outlineLvl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272" w:name="_Toc26639"/>
      <w:bookmarkStart w:id="273" w:name="_Toc7592"/>
      <w:r>
        <w:rPr>
          <w:rFonts w:hint="eastAsia" w:ascii="宋体" w:hAnsi="宋体" w:eastAsia="宋体" w:cs="宋体"/>
          <w:b/>
          <w:color w:val="000000" w:themeColor="text1"/>
          <w:sz w:val="28"/>
          <w:szCs w:val="28"/>
          <w:highlight w:val="none"/>
          <w:lang w:val="en-US" w:eastAsia="zh-CN"/>
          <w14:textFill>
            <w14:solidFill>
              <w14:schemeClr w14:val="tx1"/>
            </w14:solidFill>
          </w14:textFill>
        </w:rPr>
        <w:t>法定代表人授权书</w:t>
      </w:r>
      <w:bookmarkEnd w:id="269"/>
      <w:bookmarkEnd w:id="272"/>
      <w:bookmarkEnd w:id="273"/>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致：采购人/</w:t>
      </w:r>
      <w:r>
        <w:rPr>
          <w:rFonts w:hint="eastAsia" w:ascii="宋体" w:hAnsi="宋体" w:eastAsia="宋体" w:cs="宋体"/>
          <w:color w:val="000000" w:themeColor="text1"/>
          <w:sz w:val="24"/>
          <w:szCs w:val="24"/>
          <w:highlight w:val="none"/>
          <w:lang w:eastAsia="zh-CN"/>
          <w14:textFill>
            <w14:solidFill>
              <w14:schemeClr w14:val="tx1"/>
            </w14:solidFill>
          </w14:textFill>
        </w:rPr>
        <w:t>陕西信悦诚招标有限公司</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注册于（工商行政管理局名称）之（供应商全称）（法人代表人名称、职务）</w:t>
      </w:r>
      <w:r>
        <w:rPr>
          <w:rFonts w:hint="eastAsia" w:ascii="宋体" w:hAnsi="宋体" w:eastAsia="宋体" w:cs="宋体"/>
          <w:color w:val="000000" w:themeColor="text1"/>
          <w:sz w:val="24"/>
          <w:szCs w:val="24"/>
          <w:highlight w:val="none"/>
          <w14:textFill>
            <w14:solidFill>
              <w14:schemeClr w14:val="tx1"/>
            </w14:solidFill>
          </w14:textFill>
        </w:rPr>
        <w:t>授权</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（被授权人姓名、职务）</w:t>
      </w:r>
      <w:r>
        <w:rPr>
          <w:rFonts w:hint="eastAsia" w:ascii="宋体" w:hAnsi="宋体" w:eastAsia="宋体" w:cs="宋体"/>
          <w:color w:val="000000" w:themeColor="text1"/>
          <w:sz w:val="24"/>
          <w:szCs w:val="24"/>
          <w:highlight w:val="none"/>
          <w14:textFill>
            <w14:solidFill>
              <w14:schemeClr w14:val="tx1"/>
            </w14:solidFill>
          </w14:textFill>
        </w:rPr>
        <w:t>为全权代表，参加贵公司组织的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项目名称：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项目</w:t>
      </w:r>
      <w:r>
        <w:rPr>
          <w:rFonts w:hint="eastAsia" w:ascii="宋体" w:hAnsi="宋体" w:eastAsia="宋体" w:cs="宋体"/>
          <w:color w:val="000000" w:themeColor="text1"/>
          <w:sz w:val="24"/>
          <w:szCs w:val="24"/>
          <w:highlight w:val="none"/>
          <w:u w:val="single"/>
          <w14:textFill>
            <w14:solidFill>
              <w14:schemeClr w14:val="tx1"/>
            </w14:solidFill>
          </w14:textFill>
        </w:rPr>
        <w:t>编号：）</w:t>
      </w:r>
      <w:r>
        <w:rPr>
          <w:rFonts w:hint="eastAsia" w:ascii="宋体" w:hAnsi="宋体" w:eastAsia="宋体" w:cs="宋体"/>
          <w:color w:val="000000" w:themeColor="text1"/>
          <w:sz w:val="24"/>
          <w:szCs w:val="24"/>
          <w:highlight w:val="none"/>
          <w:u w:val="none"/>
          <w:lang w:eastAsia="zh-CN"/>
          <w14:textFill>
            <w14:solidFill>
              <w14:schemeClr w14:val="tx1"/>
            </w14:solidFill>
          </w14:textFill>
        </w:rPr>
        <w:t>（第</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招标活动，全权办理该项目的报名、投标等招标活动中的一切事宜。我公司对被授权人的签名负全部责任。</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                      被授权人签字或盖章：</w:t>
      </w:r>
    </w:p>
    <w:p>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务：                              职        务：</w:t>
      </w:r>
    </w:p>
    <w:p>
      <w:pPr>
        <w:spacing w:line="360" w:lineRule="auto"/>
        <w:ind w:firstLine="600" w:firstLineChars="2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 份 证 号 ：                              身 份 证 号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附：法定代表人、被授权人身份证复印件。（二代身份证、反正两面都需复印）</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7"/>
        <w:gridCol w:w="4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0" w:hRule="atLeast"/>
          <w:jc w:val="center"/>
        </w:trPr>
        <w:tc>
          <w:tcPr>
            <w:tcW w:w="4407" w:type="dxa"/>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法定代表人身份证复印件</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（正面或反面）</w:t>
            </w:r>
          </w:p>
        </w:tc>
        <w:tc>
          <w:tcPr>
            <w:tcW w:w="4408" w:type="dxa"/>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被授权人身份证复印件</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（正面或反面）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4407" w:type="dxa"/>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法定代表人身份证复印件</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（正面或反面）</w:t>
            </w:r>
          </w:p>
        </w:tc>
        <w:tc>
          <w:tcPr>
            <w:tcW w:w="4408" w:type="dxa"/>
            <w:vAlign w:val="center"/>
          </w:tcPr>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被授权人身份证复印件</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（正面或反面）</w:t>
            </w:r>
          </w:p>
        </w:tc>
      </w:tr>
    </w:tbl>
    <w:p>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（本授权的有效期为开标之日起90个日历日）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供应商全称：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（公章）</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spacing w:line="360" w:lineRule="auto"/>
        <w:jc w:val="center"/>
        <w:outlineLvl w:val="9"/>
        <w:rPr>
          <w:rFonts w:hint="eastAsia" w:ascii="宋体" w:hAnsi="宋体" w:eastAsia="宋体" w:cs="宋体"/>
          <w:b/>
          <w:color w:val="000000" w:themeColor="text1"/>
          <w:sz w:val="32"/>
          <w:szCs w:val="32"/>
          <w:highlight w:val="none"/>
          <w:lang w:val="en-US" w:eastAsia="zh-CN"/>
          <w14:textFill>
            <w14:solidFill>
              <w14:schemeClr w14:val="tx1"/>
            </w14:solidFill>
          </w14:textFill>
        </w:rPr>
      </w:pPr>
      <w:bookmarkStart w:id="274" w:name="_Toc10541"/>
      <w:bookmarkStart w:id="275" w:name="_Toc1900"/>
      <w:bookmarkStart w:id="276" w:name="_Toc21758"/>
      <w:r>
        <w:rPr>
          <w:rFonts w:hint="eastAsia" w:ascii="宋体" w:hAnsi="宋体" w:eastAsia="宋体" w:cs="宋体"/>
          <w:b/>
          <w:color w:val="000000" w:themeColor="text1"/>
          <w:sz w:val="32"/>
          <w:szCs w:val="32"/>
          <w:highlight w:val="none"/>
          <w:lang w:val="en-US" w:eastAsia="zh-CN"/>
          <w14:textFill>
            <w14:solidFill>
              <w14:schemeClr w14:val="tx1"/>
            </w14:solidFill>
          </w14:textFill>
        </w:rPr>
        <w:t>四、投标方案说明书</w:t>
      </w:r>
      <w:bookmarkEnd w:id="274"/>
      <w:bookmarkEnd w:id="275"/>
      <w:bookmarkEnd w:id="276"/>
    </w:p>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供应商按招标文件的要求，依据第三部分评标办法“</w:t>
      </w:r>
      <w:r>
        <w:rPr>
          <w:rFonts w:hint="eastAsia" w:ascii="宋体" w:hAnsi="宋体" w:eastAsia="宋体" w:cs="宋体"/>
          <w:b/>
          <w:color w:val="000000" w:themeColor="text1"/>
          <w:spacing w:val="4"/>
          <w:sz w:val="24"/>
          <w:szCs w:val="24"/>
          <w:highlight w:val="none"/>
          <w14:textFill>
            <w14:solidFill>
              <w14:schemeClr w14:val="tx1"/>
            </w14:solidFill>
          </w14:textFill>
        </w:rPr>
        <w:t>评标因素及权重分值表</w:t>
      </w:r>
      <w:r>
        <w:rPr>
          <w:rFonts w:hint="eastAsia" w:ascii="宋体" w:hAnsi="宋体" w:eastAsia="宋体" w:cs="宋体"/>
          <w:color w:val="000000" w:themeColor="text1"/>
          <w:sz w:val="24"/>
          <w:szCs w:val="24"/>
          <w:highlight w:val="none"/>
          <w14:textFill>
            <w14:solidFill>
              <w14:schemeClr w14:val="tx1"/>
            </w14:solidFill>
          </w14:textFill>
        </w:rPr>
        <w:t>”相关内容编写，格式自拟，评标因素及权重分值表要求内容，在投标方案说明书中必须逐项对应编制。</w:t>
      </w:r>
    </w:p>
    <w:p>
      <w:pPr>
        <w:spacing w:line="360" w:lineRule="auto"/>
        <w:ind w:left="619" w:leftChars="123" w:hanging="361" w:hangingChars="150"/>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left="619" w:leftChars="123" w:hanging="361" w:hangingChars="150"/>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left="619" w:leftChars="123" w:hanging="361" w:hangingChars="150"/>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left="619" w:leftChars="123" w:hanging="361" w:hangingChars="150"/>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left="619" w:leftChars="123" w:hanging="361" w:hangingChars="150"/>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left="619" w:leftChars="123" w:hanging="361" w:hangingChars="150"/>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left="619" w:leftChars="123" w:hanging="361" w:hangingChars="150"/>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left="619" w:leftChars="123" w:hanging="361" w:hangingChars="150"/>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left="619" w:leftChars="123" w:hanging="361" w:hangingChars="150"/>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left="619" w:leftChars="123" w:hanging="361" w:hangingChars="150"/>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left="619" w:leftChars="123" w:hanging="361" w:hangingChars="150"/>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left="619" w:leftChars="123" w:hanging="361" w:hangingChars="150"/>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left="619" w:leftChars="123" w:hanging="361" w:hangingChars="150"/>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left="619" w:leftChars="123" w:hanging="361" w:hangingChars="150"/>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left="619" w:leftChars="123" w:hanging="361" w:hangingChars="150"/>
        <w:jc w:val="center"/>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附表1</w:t>
      </w:r>
    </w:p>
    <w:p>
      <w:pPr>
        <w:spacing w:after="120"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服务应答表</w:t>
      </w:r>
    </w:p>
    <w:p>
      <w:pPr>
        <w:spacing w:after="120" w:line="360" w:lineRule="auto"/>
        <w:ind w:firstLine="241" w:firstLineChars="1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项目名称：</w:t>
      </w:r>
    </w:p>
    <w:p>
      <w:pPr>
        <w:spacing w:after="120" w:line="360" w:lineRule="auto"/>
        <w:ind w:firstLine="241" w:firstLineChars="1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项目编号：</w:t>
      </w:r>
    </w:p>
    <w:p>
      <w:pPr>
        <w:spacing w:after="120" w:line="360" w:lineRule="auto"/>
        <w:ind w:firstLine="241" w:firstLineChars="100"/>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包号：</w:t>
      </w:r>
    </w:p>
    <w:tbl>
      <w:tblPr>
        <w:tblStyle w:val="42"/>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vAlign w:val="center"/>
          </w:tcPr>
          <w:p>
            <w:pPr>
              <w:pStyle w:val="5"/>
              <w:tabs>
                <w:tab w:val="left" w:pos="6880"/>
              </w:tabs>
              <w:spacing w:line="360" w:lineRule="auto"/>
              <w:ind w:firstLine="0" w:firstLineChars="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序号</w:t>
            </w:r>
          </w:p>
        </w:tc>
        <w:tc>
          <w:tcPr>
            <w:tcW w:w="2519" w:type="dxa"/>
            <w:vAlign w:val="center"/>
          </w:tcPr>
          <w:p>
            <w:pPr>
              <w:pStyle w:val="5"/>
              <w:tabs>
                <w:tab w:val="left" w:pos="6880"/>
              </w:tabs>
              <w:spacing w:line="360" w:lineRule="auto"/>
              <w:ind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招标文件要求</w:t>
            </w:r>
          </w:p>
        </w:tc>
        <w:tc>
          <w:tcPr>
            <w:tcW w:w="2393" w:type="dxa"/>
            <w:vAlign w:val="center"/>
          </w:tcPr>
          <w:p>
            <w:pPr>
              <w:pStyle w:val="5"/>
              <w:tabs>
                <w:tab w:val="left" w:pos="6880"/>
              </w:tabs>
              <w:spacing w:line="360" w:lineRule="auto"/>
              <w:ind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投标文件的应答</w:t>
            </w:r>
          </w:p>
        </w:tc>
        <w:tc>
          <w:tcPr>
            <w:tcW w:w="1815" w:type="dxa"/>
            <w:vAlign w:val="center"/>
          </w:tcPr>
          <w:p>
            <w:pPr>
              <w:pStyle w:val="5"/>
              <w:tabs>
                <w:tab w:val="left" w:pos="6880"/>
              </w:tabs>
              <w:spacing w:line="360" w:lineRule="auto"/>
              <w:ind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响应/偏离</w:t>
            </w:r>
          </w:p>
        </w:tc>
        <w:tc>
          <w:tcPr>
            <w:tcW w:w="1238" w:type="dxa"/>
            <w:vAlign w:val="center"/>
          </w:tcPr>
          <w:p>
            <w:pPr>
              <w:pStyle w:val="5"/>
              <w:tabs>
                <w:tab w:val="left" w:pos="6880"/>
              </w:tabs>
              <w:spacing w:line="360" w:lineRule="auto"/>
              <w:ind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left="-108"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519"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2393"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815"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238"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left="-108"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519"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2393"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815"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238"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left="-108"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519"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2393"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815"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238"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left="-108"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519"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2393"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815"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238"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left="-108"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519"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2393"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815"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238"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left="-108"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519"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2393"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815"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238"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left="-108"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519"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2393"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815"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238"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left="-108" w:firstLine="0" w:firstLineChars="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519"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2393"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815"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238"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firstLine="120" w:firstLineChars="50"/>
              <w:rPr>
                <w:rFonts w:hint="eastAsia" w:ascii="宋体" w:hAnsi="宋体" w:eastAsia="宋体" w:cs="宋体"/>
                <w:color w:val="000000" w:themeColor="text1"/>
                <w:kern w:val="0"/>
                <w:sz w:val="24"/>
                <w:szCs w:val="24"/>
                <w:highlight w:val="none"/>
                <w14:textFill>
                  <w14:solidFill>
                    <w14:schemeClr w14:val="tx1"/>
                  </w14:solidFill>
                </w14:textFill>
              </w:rPr>
            </w:pPr>
          </w:p>
        </w:tc>
        <w:tc>
          <w:tcPr>
            <w:tcW w:w="2519"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2393"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815"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238"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5"/>
              <w:tabs>
                <w:tab w:val="left" w:pos="34"/>
              </w:tabs>
              <w:spacing w:line="360" w:lineRule="auto"/>
              <w:ind w:firstLine="120" w:firstLineChars="50"/>
              <w:rPr>
                <w:rFonts w:hint="eastAsia" w:ascii="宋体" w:hAnsi="宋体" w:eastAsia="宋体" w:cs="宋体"/>
                <w:color w:val="000000" w:themeColor="text1"/>
                <w:kern w:val="0"/>
                <w:sz w:val="24"/>
                <w:szCs w:val="24"/>
                <w:highlight w:val="none"/>
                <w14:textFill>
                  <w14:solidFill>
                    <w14:schemeClr w14:val="tx1"/>
                  </w14:solidFill>
                </w14:textFill>
              </w:rPr>
            </w:pPr>
          </w:p>
        </w:tc>
        <w:tc>
          <w:tcPr>
            <w:tcW w:w="2519"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2393"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815"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c>
          <w:tcPr>
            <w:tcW w:w="1238" w:type="dxa"/>
            <w:vAlign w:val="center"/>
          </w:tcPr>
          <w:p>
            <w:pPr>
              <w:pStyle w:val="5"/>
              <w:tabs>
                <w:tab w:val="left" w:pos="6880"/>
              </w:tabs>
              <w:spacing w:line="360" w:lineRule="auto"/>
              <w:ind w:firstLine="480"/>
              <w:rPr>
                <w:rFonts w:hint="eastAsia" w:ascii="宋体" w:hAnsi="宋体" w:eastAsia="宋体" w:cs="宋体"/>
                <w:color w:val="000000" w:themeColor="text1"/>
                <w:kern w:val="0"/>
                <w:sz w:val="24"/>
                <w:szCs w:val="24"/>
                <w:highlight w:val="none"/>
                <w14:textFill>
                  <w14:solidFill>
                    <w14:schemeClr w14:val="tx1"/>
                  </w14:solidFill>
                </w14:textFill>
              </w:rPr>
            </w:pPr>
          </w:p>
        </w:tc>
      </w:tr>
    </w:tbl>
    <w:p>
      <w:pPr>
        <w:spacing w:after="120"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（盖单位公章）</w:t>
      </w:r>
    </w:p>
    <w:p>
      <w:pPr>
        <w:spacing w:line="360" w:lineRule="auto"/>
        <w:ind w:firstLine="496" w:firstLineChars="200"/>
        <w:jc w:val="left"/>
        <w:rPr>
          <w:rFonts w:hint="eastAsia" w:ascii="宋体" w:hAnsi="宋体" w:eastAsia="宋体" w:cs="宋体"/>
          <w:color w:val="000000" w:themeColor="text1"/>
          <w:spacing w:val="4"/>
          <w:sz w:val="24"/>
          <w:szCs w:val="24"/>
          <w:highlight w:val="none"/>
          <w14:textFill>
            <w14:solidFill>
              <w14:schemeClr w14:val="tx1"/>
            </w14:solidFill>
          </w14:textFill>
        </w:rPr>
      </w:pPr>
    </w:p>
    <w:p>
      <w:pPr>
        <w:spacing w:line="360" w:lineRule="auto"/>
        <w:ind w:firstLine="496" w:firstLineChars="200"/>
        <w:jc w:val="left"/>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pacing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（签字或盖章）</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      年   月    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115"/>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注：1.本表只填写投标文件中与招标文件有偏离（包括正偏离和负偏离）的内容，投标文件中商务响应与招标文件要求完全一致的，不用在此表中列出，但必须提交空白表。</w:t>
      </w:r>
    </w:p>
    <w:p>
      <w:pPr>
        <w:pStyle w:val="115"/>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2．供应商必须据实填写，不得虚假填写，否则将取消其投标或中标资格。</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14:textFill>
            <w14:solidFill>
              <w14:schemeClr w14:val="tx1"/>
            </w14:solidFill>
          </w14:textFill>
        </w:rPr>
        <w:t>附表2 本项目拟投入人员汇总表</w:t>
      </w:r>
    </w:p>
    <w:p>
      <w:pPr>
        <w:pStyle w:val="116"/>
        <w:spacing w:before="156" w:beforeLines="50" w:line="360" w:lineRule="auto"/>
        <w:ind w:firstLine="0" w:firstLineChars="0"/>
        <w:jc w:val="center"/>
        <w:outlineLvl w:val="9"/>
        <w:rPr>
          <w:rFonts w:hint="eastAsia" w:ascii="宋体" w:hAnsi="宋体" w:eastAsia="宋体" w:cs="宋体"/>
          <w:color w:val="000000" w:themeColor="text1"/>
          <w:sz w:val="28"/>
          <w:szCs w:val="28"/>
          <w:highlight w:val="none"/>
          <w14:textFill>
            <w14:solidFill>
              <w14:schemeClr w14:val="tx1"/>
            </w14:solidFill>
          </w14:textFill>
        </w:rPr>
      </w:pPr>
      <w:bookmarkStart w:id="277" w:name="_Toc10057"/>
      <w:bookmarkStart w:id="278" w:name="_Toc5853"/>
      <w:bookmarkStart w:id="279" w:name="_Toc25058"/>
      <w:r>
        <w:rPr>
          <w:rFonts w:hint="eastAsia" w:ascii="宋体" w:hAnsi="宋体" w:eastAsia="宋体" w:cs="宋体"/>
          <w:color w:val="000000" w:themeColor="text1"/>
          <w:sz w:val="28"/>
          <w:szCs w:val="28"/>
          <w:highlight w:val="none"/>
          <w14:textFill>
            <w14:solidFill>
              <w14:schemeClr w14:val="tx1"/>
            </w14:solidFill>
          </w14:textFill>
        </w:rPr>
        <w:t>（一）本项目拟投入人员汇总表</w:t>
      </w:r>
      <w:bookmarkEnd w:id="277"/>
      <w:bookmarkEnd w:id="278"/>
      <w:bookmarkEnd w:id="279"/>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240"/>
        <w:gridCol w:w="570"/>
        <w:gridCol w:w="570"/>
        <w:gridCol w:w="570"/>
        <w:gridCol w:w="835"/>
        <w:gridCol w:w="1157"/>
        <w:gridCol w:w="748"/>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7" w:type="dxa"/>
            <w:tcMar>
              <w:top w:w="15" w:type="dxa"/>
              <w:left w:w="15" w:type="dxa"/>
              <w:bottom w:w="0" w:type="dxa"/>
              <w:right w:w="15" w:type="dxa"/>
            </w:tcMar>
            <w:vAlign w:val="center"/>
          </w:tcPr>
          <w:p>
            <w:pPr>
              <w:pStyle w:val="117"/>
              <w:spacing w:line="360" w:lineRule="auto"/>
              <w:ind w:left="0" w:leftChars="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1240" w:type="dxa"/>
            <w:tcMar>
              <w:top w:w="15" w:type="dxa"/>
              <w:left w:w="15" w:type="dxa"/>
              <w:bottom w:w="0" w:type="dxa"/>
              <w:right w:w="15" w:type="dxa"/>
            </w:tcMar>
            <w:vAlign w:val="center"/>
          </w:tcPr>
          <w:p>
            <w:pPr>
              <w:pStyle w:val="117"/>
              <w:spacing w:line="360" w:lineRule="auto"/>
              <w:ind w:left="0" w:leftChars="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姓  名</w:t>
            </w:r>
          </w:p>
        </w:tc>
        <w:tc>
          <w:tcPr>
            <w:tcW w:w="570" w:type="dxa"/>
            <w:tcMar>
              <w:top w:w="15" w:type="dxa"/>
              <w:left w:w="15" w:type="dxa"/>
              <w:bottom w:w="0" w:type="dxa"/>
              <w:right w:w="15" w:type="dxa"/>
            </w:tcMar>
            <w:vAlign w:val="center"/>
          </w:tcPr>
          <w:p>
            <w:pPr>
              <w:pStyle w:val="117"/>
              <w:spacing w:line="360" w:lineRule="auto"/>
              <w:ind w:left="0" w:leftChars="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性别</w:t>
            </w:r>
          </w:p>
        </w:tc>
        <w:tc>
          <w:tcPr>
            <w:tcW w:w="570" w:type="dxa"/>
            <w:tcMar>
              <w:top w:w="15" w:type="dxa"/>
              <w:left w:w="15" w:type="dxa"/>
              <w:bottom w:w="0" w:type="dxa"/>
              <w:right w:w="15" w:type="dxa"/>
            </w:tcMar>
            <w:vAlign w:val="center"/>
          </w:tcPr>
          <w:p>
            <w:pPr>
              <w:pStyle w:val="117"/>
              <w:spacing w:line="360" w:lineRule="auto"/>
              <w:ind w:left="0" w:leftChars="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年龄</w:t>
            </w:r>
          </w:p>
        </w:tc>
        <w:tc>
          <w:tcPr>
            <w:tcW w:w="570" w:type="dxa"/>
            <w:tcMar>
              <w:top w:w="15" w:type="dxa"/>
              <w:left w:w="15" w:type="dxa"/>
              <w:bottom w:w="0" w:type="dxa"/>
              <w:right w:w="15" w:type="dxa"/>
            </w:tcMar>
            <w:vAlign w:val="center"/>
          </w:tcPr>
          <w:p>
            <w:pPr>
              <w:pStyle w:val="117"/>
              <w:spacing w:line="360" w:lineRule="auto"/>
              <w:ind w:left="0" w:leftChars="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学历</w:t>
            </w:r>
          </w:p>
        </w:tc>
        <w:tc>
          <w:tcPr>
            <w:tcW w:w="835" w:type="dxa"/>
            <w:tcMar>
              <w:top w:w="15" w:type="dxa"/>
              <w:left w:w="15" w:type="dxa"/>
              <w:bottom w:w="0" w:type="dxa"/>
              <w:right w:w="15" w:type="dxa"/>
            </w:tcMar>
            <w:vAlign w:val="center"/>
          </w:tcPr>
          <w:p>
            <w:pPr>
              <w:pStyle w:val="117"/>
              <w:spacing w:line="360" w:lineRule="auto"/>
              <w:ind w:left="0" w:leftChars="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技术</w:t>
            </w:r>
          </w:p>
          <w:p>
            <w:pPr>
              <w:pStyle w:val="117"/>
              <w:spacing w:line="360" w:lineRule="auto"/>
              <w:ind w:left="0" w:leftChars="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职称</w:t>
            </w:r>
          </w:p>
        </w:tc>
        <w:tc>
          <w:tcPr>
            <w:tcW w:w="1157" w:type="dxa"/>
            <w:tcMar>
              <w:top w:w="15" w:type="dxa"/>
              <w:left w:w="15" w:type="dxa"/>
              <w:bottom w:w="0" w:type="dxa"/>
              <w:right w:w="15" w:type="dxa"/>
            </w:tcMar>
          </w:tcPr>
          <w:p>
            <w:pPr>
              <w:pStyle w:val="117"/>
              <w:spacing w:line="360" w:lineRule="auto"/>
              <w:ind w:left="0" w:leftChars="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资格证</w:t>
            </w:r>
          </w:p>
          <w:p>
            <w:pPr>
              <w:pStyle w:val="117"/>
              <w:spacing w:line="360" w:lineRule="auto"/>
              <w:ind w:left="0" w:leftChars="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书种类</w:t>
            </w:r>
          </w:p>
        </w:tc>
        <w:tc>
          <w:tcPr>
            <w:tcW w:w="748" w:type="dxa"/>
            <w:tcMar>
              <w:top w:w="15" w:type="dxa"/>
              <w:left w:w="15" w:type="dxa"/>
              <w:bottom w:w="0" w:type="dxa"/>
              <w:right w:w="15" w:type="dxa"/>
            </w:tcMar>
            <w:vAlign w:val="center"/>
          </w:tcPr>
          <w:p>
            <w:pPr>
              <w:pStyle w:val="117"/>
              <w:spacing w:line="360" w:lineRule="auto"/>
              <w:ind w:left="0" w:leftChars="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工作</w:t>
            </w:r>
          </w:p>
          <w:p>
            <w:pPr>
              <w:pStyle w:val="117"/>
              <w:spacing w:line="360" w:lineRule="auto"/>
              <w:ind w:left="0" w:leftChars="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年限</w:t>
            </w:r>
          </w:p>
        </w:tc>
        <w:tc>
          <w:tcPr>
            <w:tcW w:w="2757" w:type="dxa"/>
            <w:tcMar>
              <w:top w:w="15" w:type="dxa"/>
              <w:left w:w="15" w:type="dxa"/>
              <w:bottom w:w="0" w:type="dxa"/>
              <w:right w:w="15" w:type="dxa"/>
            </w:tcMar>
            <w:vAlign w:val="center"/>
          </w:tcPr>
          <w:p>
            <w:pPr>
              <w:pStyle w:val="117"/>
              <w:spacing w:line="360" w:lineRule="auto"/>
              <w:ind w:left="0" w:leftChars="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拟担任的职务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4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570"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835"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57" w:type="dxa"/>
            <w:tcMar>
              <w:top w:w="15" w:type="dxa"/>
              <w:left w:w="15" w:type="dxa"/>
              <w:bottom w:w="0" w:type="dxa"/>
              <w:right w:w="15" w:type="dxa"/>
            </w:tcMa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748"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2757" w:type="dxa"/>
            <w:tcMar>
              <w:top w:w="15" w:type="dxa"/>
              <w:left w:w="15" w:type="dxa"/>
              <w:bottom w:w="0" w:type="dxa"/>
              <w:right w:w="15" w:type="dxa"/>
            </w:tcMar>
            <w:vAlign w:val="bottom"/>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bl>
    <w:p>
      <w:pPr>
        <w:pStyle w:val="118"/>
        <w:tabs>
          <w:tab w:val="left" w:pos="2040"/>
        </w:tabs>
        <w:spacing w:beforeLines="0" w:line="360" w:lineRule="auto"/>
        <w:ind w:lef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注：供应商可适当调整该表格式，但不得减少信息内容。</w:t>
      </w:r>
    </w:p>
    <w:p>
      <w:pPr>
        <w:pStyle w:val="119"/>
        <w:spacing w:before="0" w:beforeLines="0" w:after="0" w:afterLines="0" w:line="360" w:lineRule="auto"/>
        <w:ind w:left="0" w:leftChars="0" w:firstLine="480" w:firstLineChars="200"/>
        <w:jc w:val="both"/>
        <w:rPr>
          <w:rFonts w:hint="eastAsia" w:ascii="宋体" w:hAnsi="宋体" w:eastAsia="宋体" w:cs="宋体"/>
          <w:b w:val="0"/>
          <w:color w:val="000000" w:themeColor="text1"/>
          <w:sz w:val="24"/>
          <w:szCs w:val="24"/>
          <w:highlight w:val="none"/>
          <w14:textFill>
            <w14:solidFill>
              <w14:schemeClr w14:val="tx1"/>
            </w14:solidFill>
          </w14:textFill>
        </w:rPr>
      </w:pPr>
    </w:p>
    <w:p>
      <w:pPr>
        <w:pStyle w:val="116"/>
        <w:spacing w:line="360" w:lineRule="auto"/>
        <w:ind w:firstLine="0" w:firstLineChars="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pStyle w:val="116"/>
        <w:spacing w:line="360" w:lineRule="auto"/>
        <w:ind w:firstLine="0" w:firstLineChars="0"/>
        <w:jc w:val="center"/>
        <w:outlineLvl w:val="9"/>
        <w:rPr>
          <w:rFonts w:hint="eastAsia" w:ascii="宋体" w:hAnsi="宋体" w:eastAsia="宋体" w:cs="宋体"/>
          <w:color w:val="000000" w:themeColor="text1"/>
          <w:sz w:val="24"/>
          <w:szCs w:val="24"/>
          <w:highlight w:val="none"/>
          <w14:textFill>
            <w14:solidFill>
              <w14:schemeClr w14:val="tx1"/>
            </w14:solidFill>
          </w14:textFill>
        </w:rPr>
      </w:pPr>
      <w:bookmarkStart w:id="280" w:name="_Toc31228"/>
      <w:bookmarkStart w:id="281" w:name="_Toc27953"/>
      <w:bookmarkStart w:id="282" w:name="_Toc25611"/>
      <w:r>
        <w:rPr>
          <w:rFonts w:hint="eastAsia" w:ascii="宋体" w:hAnsi="宋体" w:eastAsia="宋体" w:cs="宋体"/>
          <w:color w:val="000000" w:themeColor="text1"/>
          <w:sz w:val="24"/>
          <w:szCs w:val="24"/>
          <w:highlight w:val="none"/>
          <w14:textFill>
            <w14:solidFill>
              <w14:schemeClr w14:val="tx1"/>
            </w14:solidFill>
          </w14:textFill>
        </w:rPr>
        <w:t>（二） 本项目拟投入主要人员简历表</w:t>
      </w:r>
      <w:bookmarkEnd w:id="280"/>
      <w:bookmarkEnd w:id="281"/>
      <w:bookmarkEnd w:id="282"/>
    </w:p>
    <w:p>
      <w:pPr>
        <w:pStyle w:val="116"/>
        <w:spacing w:line="360" w:lineRule="auto"/>
        <w:ind w:firstLine="0" w:firstLineChars="0"/>
        <w:jc w:val="center"/>
        <w:outlineLvl w:val="9"/>
        <w:rPr>
          <w:rFonts w:hint="eastAsia" w:ascii="宋体" w:hAnsi="宋体" w:eastAsia="宋体" w:cs="宋体"/>
          <w:color w:val="000000" w:themeColor="text1"/>
          <w:sz w:val="24"/>
          <w:szCs w:val="24"/>
          <w:highlight w:val="none"/>
          <w14:textFill>
            <w14:solidFill>
              <w14:schemeClr w14:val="tx1"/>
            </w14:solidFill>
          </w14:textFill>
        </w:rPr>
      </w:pPr>
      <w:bookmarkStart w:id="283" w:name="_Toc10940"/>
      <w:bookmarkStart w:id="284" w:name="_Toc13331"/>
      <w:bookmarkStart w:id="285" w:name="_Toc14182"/>
      <w:r>
        <w:rPr>
          <w:rFonts w:hint="eastAsia" w:ascii="宋体" w:hAnsi="宋体" w:eastAsia="宋体" w:cs="宋体"/>
          <w:color w:val="000000" w:themeColor="text1"/>
          <w:sz w:val="24"/>
          <w:szCs w:val="24"/>
          <w:highlight w:val="none"/>
          <w14:textFill>
            <w14:solidFill>
              <w14:schemeClr w14:val="tx1"/>
            </w14:solidFill>
          </w14:textFill>
        </w:rPr>
        <w:t>本项目拟投入主要人员简历表</w:t>
      </w:r>
      <w:bookmarkEnd w:id="283"/>
      <w:bookmarkEnd w:id="284"/>
      <w:bookmarkEnd w:id="285"/>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72"/>
        <w:gridCol w:w="1577"/>
        <w:gridCol w:w="1525"/>
        <w:gridCol w:w="1286"/>
        <w:gridCol w:w="45"/>
        <w:gridCol w:w="1709"/>
        <w:gridCol w:w="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p>
        </w:tc>
        <w:tc>
          <w:tcPr>
            <w:tcW w:w="1577" w:type="dxa"/>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p>
        </w:tc>
        <w:tc>
          <w:tcPr>
            <w:tcW w:w="1525" w:type="dxa"/>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 别</w:t>
            </w:r>
          </w:p>
        </w:tc>
        <w:tc>
          <w:tcPr>
            <w:tcW w:w="1331" w:type="dxa"/>
            <w:gridSpan w:val="2"/>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p>
        </w:tc>
        <w:tc>
          <w:tcPr>
            <w:tcW w:w="1709" w:type="dxa"/>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龄</w:t>
            </w:r>
          </w:p>
        </w:tc>
        <w:tc>
          <w:tcPr>
            <w:tcW w:w="1139" w:type="dxa"/>
            <w:gridSpan w:val="2"/>
            <w:vAlign w:val="center"/>
          </w:tcPr>
          <w:p>
            <w:pPr>
              <w:pStyle w:val="117"/>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2" w:type="dxa"/>
            <w:gridSpan w:val="2"/>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称</w:t>
            </w:r>
          </w:p>
        </w:tc>
        <w:tc>
          <w:tcPr>
            <w:tcW w:w="1577" w:type="dxa"/>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p>
        </w:tc>
        <w:tc>
          <w:tcPr>
            <w:tcW w:w="1525" w:type="dxa"/>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w:t>
            </w:r>
          </w:p>
        </w:tc>
        <w:tc>
          <w:tcPr>
            <w:tcW w:w="1331" w:type="dxa"/>
            <w:gridSpan w:val="2"/>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p>
        </w:tc>
        <w:tc>
          <w:tcPr>
            <w:tcW w:w="1709" w:type="dxa"/>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专业/年限</w:t>
            </w:r>
          </w:p>
        </w:tc>
        <w:tc>
          <w:tcPr>
            <w:tcW w:w="1139" w:type="dxa"/>
            <w:gridSpan w:val="2"/>
            <w:vAlign w:val="center"/>
          </w:tcPr>
          <w:p>
            <w:pPr>
              <w:pStyle w:val="117"/>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毕业时间</w:t>
            </w:r>
          </w:p>
        </w:tc>
        <w:tc>
          <w:tcPr>
            <w:tcW w:w="1577" w:type="dxa"/>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p>
        </w:tc>
        <w:tc>
          <w:tcPr>
            <w:tcW w:w="1525" w:type="dxa"/>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毕业学校</w:t>
            </w:r>
          </w:p>
        </w:tc>
        <w:tc>
          <w:tcPr>
            <w:tcW w:w="1331" w:type="dxa"/>
            <w:gridSpan w:val="2"/>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p>
        </w:tc>
        <w:tc>
          <w:tcPr>
            <w:tcW w:w="1709" w:type="dxa"/>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学历/专业</w:t>
            </w:r>
          </w:p>
        </w:tc>
        <w:tc>
          <w:tcPr>
            <w:tcW w:w="1139" w:type="dxa"/>
            <w:gridSpan w:val="2"/>
            <w:vAlign w:val="center"/>
          </w:tcPr>
          <w:p>
            <w:pPr>
              <w:pStyle w:val="117"/>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资格证书</w:t>
            </w:r>
          </w:p>
        </w:tc>
        <w:tc>
          <w:tcPr>
            <w:tcW w:w="1577" w:type="dxa"/>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p>
        </w:tc>
        <w:tc>
          <w:tcPr>
            <w:tcW w:w="1525" w:type="dxa"/>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注册时间</w:t>
            </w:r>
          </w:p>
        </w:tc>
        <w:tc>
          <w:tcPr>
            <w:tcW w:w="1331" w:type="dxa"/>
            <w:gridSpan w:val="2"/>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p>
        </w:tc>
        <w:tc>
          <w:tcPr>
            <w:tcW w:w="1709" w:type="dxa"/>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从业时间</w:t>
            </w:r>
          </w:p>
        </w:tc>
        <w:tc>
          <w:tcPr>
            <w:tcW w:w="1139" w:type="dxa"/>
            <w:gridSpan w:val="2"/>
            <w:vAlign w:val="center"/>
          </w:tcPr>
          <w:p>
            <w:pPr>
              <w:pStyle w:val="117"/>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49" w:type="dxa"/>
            <w:gridSpan w:val="3"/>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是否属供应商固定雇员</w:t>
            </w:r>
          </w:p>
        </w:tc>
        <w:tc>
          <w:tcPr>
            <w:tcW w:w="1525" w:type="dxa"/>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p>
        </w:tc>
        <w:tc>
          <w:tcPr>
            <w:tcW w:w="3040" w:type="dxa"/>
            <w:gridSpan w:val="3"/>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为供应商服务时间</w:t>
            </w:r>
          </w:p>
        </w:tc>
        <w:tc>
          <w:tcPr>
            <w:tcW w:w="1139" w:type="dxa"/>
            <w:gridSpan w:val="2"/>
            <w:vAlign w:val="center"/>
          </w:tcPr>
          <w:p>
            <w:pPr>
              <w:pStyle w:val="117"/>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349" w:type="dxa"/>
            <w:gridSpan w:val="3"/>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拟在本项目担任职务</w:t>
            </w:r>
          </w:p>
        </w:tc>
        <w:tc>
          <w:tcPr>
            <w:tcW w:w="5704" w:type="dxa"/>
            <w:gridSpan w:val="6"/>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53" w:type="dxa"/>
            <w:gridSpan w:val="9"/>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教育和培训背景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053" w:type="dxa"/>
            <w:gridSpan w:val="9"/>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  间</w:t>
            </w:r>
          </w:p>
        </w:tc>
        <w:tc>
          <w:tcPr>
            <w:tcW w:w="3374" w:type="dxa"/>
            <w:gridSpan w:val="3"/>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参加过的项目名称</w:t>
            </w:r>
          </w:p>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及当时所在单位</w:t>
            </w:r>
          </w:p>
        </w:tc>
        <w:tc>
          <w:tcPr>
            <w:tcW w:w="1286" w:type="dxa"/>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担任何职</w:t>
            </w:r>
          </w:p>
        </w:tc>
        <w:tc>
          <w:tcPr>
            <w:tcW w:w="1761" w:type="dxa"/>
            <w:gridSpan w:val="3"/>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主要工作内容</w:t>
            </w:r>
          </w:p>
        </w:tc>
        <w:tc>
          <w:tcPr>
            <w:tcW w:w="1132" w:type="dxa"/>
            <w:vAlign w:val="center"/>
          </w:tcPr>
          <w:p>
            <w:pPr>
              <w:pStyle w:val="117"/>
              <w:spacing w:line="360" w:lineRule="auto"/>
              <w:ind w:left="0" w:lef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3374" w:type="dxa"/>
            <w:gridSpan w:val="3"/>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86" w:type="dxa"/>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761" w:type="dxa"/>
            <w:gridSpan w:val="3"/>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00" w:type="dxa"/>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3374" w:type="dxa"/>
            <w:gridSpan w:val="3"/>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86" w:type="dxa"/>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761" w:type="dxa"/>
            <w:gridSpan w:val="3"/>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3374" w:type="dxa"/>
            <w:gridSpan w:val="3"/>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86" w:type="dxa"/>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761" w:type="dxa"/>
            <w:gridSpan w:val="3"/>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3374" w:type="dxa"/>
            <w:gridSpan w:val="3"/>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86" w:type="dxa"/>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761" w:type="dxa"/>
            <w:gridSpan w:val="3"/>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pPr>
              <w:pStyle w:val="117"/>
              <w:spacing w:line="360" w:lineRule="auto"/>
              <w:ind w:left="0" w:leftChars="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3374" w:type="dxa"/>
            <w:gridSpan w:val="3"/>
            <w:vAlign w:val="cente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86" w:type="dxa"/>
            <w:vAlign w:val="cente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761" w:type="dxa"/>
            <w:gridSpan w:val="3"/>
            <w:vAlign w:val="cente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3374" w:type="dxa"/>
            <w:gridSpan w:val="3"/>
            <w:vAlign w:val="cente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286" w:type="dxa"/>
            <w:vAlign w:val="cente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761" w:type="dxa"/>
            <w:gridSpan w:val="3"/>
            <w:vAlign w:val="cente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vAlign w:val="center"/>
          </w:tcPr>
          <w:p>
            <w:pPr>
              <w:pStyle w:val="117"/>
              <w:spacing w:line="360" w:lineRule="auto"/>
              <w:ind w:left="0" w:leftChars="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p>
        </w:tc>
      </w:tr>
    </w:tbl>
    <w:p>
      <w:pPr>
        <w:pStyle w:val="118"/>
        <w:tabs>
          <w:tab w:val="left" w:pos="2040"/>
        </w:tabs>
        <w:spacing w:beforeLines="0" w:line="360" w:lineRule="auto"/>
        <w:ind w:lef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pPr>
        <w:pStyle w:val="118"/>
        <w:tabs>
          <w:tab w:val="left" w:pos="2040"/>
        </w:tabs>
        <w:spacing w:beforeLines="0" w:line="360" w:lineRule="auto"/>
        <w:ind w:lef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1.表后附身份证、毕业证、职称证、执业资格证、获奖证书（如果有）复印件。</w:t>
      </w:r>
    </w:p>
    <w:p>
      <w:pPr>
        <w:pStyle w:val="118"/>
        <w:tabs>
          <w:tab w:val="left" w:pos="2040"/>
        </w:tabs>
        <w:spacing w:beforeLines="0" w:line="360" w:lineRule="auto"/>
        <w:ind w:left="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2.获奖情况包括项目、集体或个人获奖情况，如有，应附复印件或者扫描件。</w:t>
      </w:r>
    </w:p>
    <w:p>
      <w:pPr>
        <w:pStyle w:val="118"/>
        <w:tabs>
          <w:tab w:val="left" w:pos="2040"/>
        </w:tabs>
        <w:spacing w:beforeLines="0" w:line="360" w:lineRule="auto"/>
        <w:ind w:left="0"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left="619" w:leftChars="123" w:hanging="361" w:hangingChars="150"/>
        <w:jc w:val="center"/>
        <w:rPr>
          <w:rFonts w:hint="eastAsia" w:ascii="宋体" w:hAnsi="宋体" w:eastAsia="宋体" w:cs="宋体"/>
          <w:b/>
          <w:bCs/>
          <w:color w:val="000000" w:themeColor="text1"/>
          <w:sz w:val="24"/>
          <w:szCs w:val="24"/>
          <w:highlight w:val="none"/>
          <w14:textFill>
            <w14:solidFill>
              <w14:schemeClr w14:val="tx1"/>
            </w14:solidFill>
          </w14:textFill>
        </w:rPr>
      </w:pPr>
    </w:p>
    <w:p>
      <w:pPr>
        <w:pStyle w:val="28"/>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pStyle w:val="28"/>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pStyle w:val="28"/>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bookmarkStart w:id="286" w:name="_Toc7892"/>
      <w:r>
        <w:rPr>
          <w:rFonts w:hint="eastAsia" w:ascii="宋体" w:hAnsi="宋体" w:eastAsia="宋体" w:cs="宋体"/>
          <w:b/>
          <w:bCs/>
          <w:color w:val="000000" w:themeColor="text1"/>
          <w:sz w:val="24"/>
          <w:szCs w:val="24"/>
          <w:highlight w:val="none"/>
          <w14:textFill>
            <w14:solidFill>
              <w14:schemeClr w14:val="tx1"/>
            </w14:solidFill>
          </w14:textFill>
        </w:rPr>
        <w:br w:type="page"/>
      </w:r>
    </w:p>
    <w:p>
      <w:pPr>
        <w:numPr>
          <w:ilvl w:val="0"/>
          <w:numId w:val="7"/>
        </w:numPr>
        <w:spacing w:line="360" w:lineRule="auto"/>
        <w:ind w:left="740" w:leftChars="123" w:hanging="482" w:hangingChars="150"/>
        <w:jc w:val="center"/>
        <w:outlineLvl w:val="1"/>
        <w:rPr>
          <w:rFonts w:hint="eastAsia" w:ascii="宋体" w:hAnsi="宋体" w:eastAsia="宋体" w:cs="宋体"/>
          <w:b/>
          <w:bCs/>
          <w:color w:val="000000" w:themeColor="text1"/>
          <w:sz w:val="32"/>
          <w:szCs w:val="32"/>
          <w:highlight w:val="none"/>
          <w14:textFill>
            <w14:solidFill>
              <w14:schemeClr w14:val="tx1"/>
            </w14:solidFill>
          </w14:textFill>
        </w:rPr>
      </w:pPr>
      <w:bookmarkStart w:id="287" w:name="_Toc26829"/>
      <w:bookmarkStart w:id="288" w:name="_Toc21437"/>
      <w:r>
        <w:rPr>
          <w:rFonts w:hint="eastAsia" w:ascii="宋体" w:hAnsi="宋体" w:eastAsia="宋体" w:cs="宋体"/>
          <w:b/>
          <w:bCs/>
          <w:color w:val="000000" w:themeColor="text1"/>
          <w:sz w:val="32"/>
          <w:szCs w:val="32"/>
          <w:highlight w:val="none"/>
          <w14:textFill>
            <w14:solidFill>
              <w14:schemeClr w14:val="tx1"/>
            </w14:solidFill>
          </w14:textFill>
        </w:rPr>
        <w:t>商务条款偏离表</w:t>
      </w:r>
      <w:bookmarkEnd w:id="286"/>
      <w:bookmarkEnd w:id="287"/>
      <w:bookmarkEnd w:id="288"/>
    </w:p>
    <w:p>
      <w:pPr>
        <w:pStyle w:val="37"/>
        <w:widowControl w:val="0"/>
        <w:spacing w:before="156" w:beforeLines="50" w:beforeAutospacing="0" w:after="156" w:afterLines="50" w:afterAutospacing="0"/>
        <w:rPr>
          <w:rFonts w:hint="eastAsia" w:ascii="宋体" w:hAnsi="宋体" w:eastAsia="宋体" w:cs="宋体"/>
          <w:sz w:val="24"/>
          <w:szCs w:val="24"/>
          <w:highlight w:val="none"/>
        </w:rPr>
      </w:pPr>
    </w:p>
    <w:p>
      <w:pPr>
        <w:pStyle w:val="37"/>
        <w:widowControl w:val="0"/>
        <w:spacing w:before="156" w:beforeLines="50" w:beforeAutospacing="0" w:after="156" w:afterLines="50"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pPr>
        <w:pStyle w:val="37"/>
        <w:widowControl w:val="0"/>
        <w:spacing w:before="156" w:beforeLines="50" w:beforeAutospacing="0" w:after="156" w:afterLines="50"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pPr>
        <w:pStyle w:val="37"/>
        <w:widowControl w:val="0"/>
        <w:spacing w:before="156" w:beforeLines="50" w:beforeAutospacing="0" w:after="156" w:afterLines="50" w:afterAutospacing="0"/>
        <w:rPr>
          <w:rFonts w:hint="eastAsia" w:ascii="宋体" w:hAnsi="宋体" w:eastAsia="宋体" w:cs="宋体"/>
          <w:sz w:val="24"/>
          <w:szCs w:val="24"/>
        </w:rPr>
      </w:pPr>
      <w:r>
        <w:rPr>
          <w:rFonts w:hint="eastAsia" w:ascii="宋体" w:hAnsi="宋体" w:eastAsia="宋体" w:cs="宋体"/>
          <w:sz w:val="24"/>
          <w:szCs w:val="24"/>
          <w:highlight w:val="none"/>
        </w:rPr>
        <w:t>包    号：</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289" w:name="_Toc387415869"/>
            <w:r>
              <w:rPr>
                <w:rFonts w:hint="eastAsia" w:ascii="宋体" w:hAnsi="宋体" w:eastAsia="宋体" w:cs="宋体"/>
                <w:color w:val="000000" w:themeColor="text1"/>
                <w:sz w:val="24"/>
                <w:szCs w:val="24"/>
                <w:highlight w:val="none"/>
                <w14:textFill>
                  <w14:solidFill>
                    <w14:schemeClr w14:val="tx1"/>
                  </w14:solidFill>
                </w14:textFill>
              </w:rPr>
              <w:t>序号</w:t>
            </w:r>
          </w:p>
        </w:tc>
        <w:tc>
          <w:tcPr>
            <w:tcW w:w="193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招标文件条目号</w:t>
            </w:r>
          </w:p>
        </w:tc>
        <w:tc>
          <w:tcPr>
            <w:tcW w:w="199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w:t>
            </w:r>
          </w:p>
        </w:tc>
        <w:tc>
          <w:tcPr>
            <w:tcW w:w="944"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pStyle w:val="37"/>
        <w:widowControl w:val="0"/>
        <w:spacing w:before="0" w:beforeAutospacing="0" w:after="0" w:afterAutospacing="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p>
      <w:pPr>
        <w:pStyle w:val="37"/>
        <w:widowControl w:val="0"/>
        <w:spacing w:before="0" w:beforeAutospacing="0" w:after="0" w:afterAutospacing="0" w:line="360" w:lineRule="auto"/>
        <w:ind w:firstLine="482" w:firstLineChars="200"/>
        <w:jc w:val="both"/>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1.本表只填写投标文件中与招标文件有偏离（包括正偏离和负偏离）的内容，投标文件中商务响应与招标文件要求完全一致的，不用在此表中列出，但必须提交空白表。</w:t>
      </w:r>
    </w:p>
    <w:p>
      <w:pPr>
        <w:pStyle w:val="37"/>
        <w:widowControl w:val="0"/>
        <w:spacing w:before="0" w:beforeAutospacing="0" w:after="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2.供应商必须据实填写，不得虚假响应，否则将取消其投标或中标资格，并按有关规定</w:t>
      </w:r>
      <w:r>
        <w:rPr>
          <w:rFonts w:hint="eastAsia" w:ascii="宋体" w:hAnsi="宋体" w:eastAsia="宋体" w:cs="宋体"/>
          <w:color w:val="000000" w:themeColor="text1"/>
          <w:sz w:val="24"/>
          <w:szCs w:val="24"/>
          <w:highlight w:val="none"/>
          <w:lang w:eastAsia="zh-CN"/>
          <w14:textFill>
            <w14:solidFill>
              <w14:schemeClr w14:val="tx1"/>
            </w14:solidFill>
          </w14:textFill>
        </w:rPr>
        <w:t>进行处罚</w:t>
      </w:r>
      <w:r>
        <w:rPr>
          <w:rFonts w:hint="eastAsia" w:ascii="宋体" w:hAnsi="宋体" w:eastAsia="宋体" w:cs="宋体"/>
          <w:color w:val="000000" w:themeColor="text1"/>
          <w:sz w:val="24"/>
          <w:szCs w:val="24"/>
          <w:highlight w:val="none"/>
          <w14:textFill>
            <w14:solidFill>
              <w14:schemeClr w14:val="tx1"/>
            </w14:solidFill>
          </w14:textFill>
        </w:rPr>
        <w:t>。</w:t>
      </w:r>
    </w:p>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pStyle w:val="37"/>
        <w:widowControl w:val="0"/>
        <w:spacing w:before="0" w:beforeAutospacing="0" w:after="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（盖单位公章）</w:t>
      </w:r>
    </w:p>
    <w:p>
      <w:pPr>
        <w:pStyle w:val="37"/>
        <w:widowControl w:val="0"/>
        <w:spacing w:before="0" w:beforeAutospacing="0" w:after="0" w:afterAutospacing="0" w:line="360" w:lineRule="auto"/>
        <w:ind w:firstLine="480" w:firstLineChars="200"/>
        <w:jc w:val="cente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法定代表人或被授权人：      （签字或盖章）</w:t>
      </w:r>
    </w:p>
    <w:p>
      <w:pPr>
        <w:pStyle w:val="37"/>
        <w:widowControl w:val="0"/>
        <w:spacing w:before="0" w:beforeAutospacing="0" w:after="0" w:afterAutospacing="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日      期：      年   月    日</w:t>
      </w:r>
    </w:p>
    <w:bookmarkEnd w:id="289"/>
    <w:p>
      <w:pPr>
        <w:spacing w:line="360" w:lineRule="auto"/>
        <w:jc w:val="center"/>
        <w:outlineLvl w:val="9"/>
        <w:rPr>
          <w:rFonts w:hint="eastAsia" w:ascii="宋体" w:hAnsi="宋体" w:eastAsia="宋体" w:cs="宋体"/>
          <w:b/>
          <w:color w:val="000000" w:themeColor="text1"/>
          <w:sz w:val="32"/>
          <w:szCs w:val="32"/>
          <w:highlight w:val="none"/>
          <w:lang w:val="en-US" w:eastAsia="zh-CN"/>
          <w14:textFill>
            <w14:solidFill>
              <w14:schemeClr w14:val="tx1"/>
            </w14:solidFill>
          </w14:textFill>
        </w:rPr>
      </w:pPr>
      <w:bookmarkStart w:id="290" w:name="_Toc12660"/>
      <w:bookmarkStart w:id="291" w:name="_Toc29939"/>
      <w:bookmarkStart w:id="292" w:name="_Toc4020"/>
      <w:r>
        <w:rPr>
          <w:rFonts w:hint="eastAsia" w:ascii="宋体" w:hAnsi="宋体" w:eastAsia="宋体" w:cs="宋体"/>
          <w:b/>
          <w:color w:val="000000" w:themeColor="text1"/>
          <w:sz w:val="32"/>
          <w:szCs w:val="32"/>
          <w:highlight w:val="none"/>
          <w:lang w:val="en-US" w:eastAsia="zh-CN"/>
          <w14:textFill>
            <w14:solidFill>
              <w14:schemeClr w14:val="tx1"/>
            </w14:solidFill>
          </w14:textFill>
        </w:rPr>
        <w:t>六、供应商承诺书</w:t>
      </w:r>
      <w:bookmarkEnd w:id="290"/>
      <w:bookmarkEnd w:id="291"/>
      <w:bookmarkEnd w:id="292"/>
    </w:p>
    <w:p>
      <w:pPr>
        <w:spacing w:before="120" w:beforeLines="50"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20"/>
          <w:sz w:val="24"/>
          <w:szCs w:val="24"/>
          <w:highlight w:val="none"/>
          <w14:textFill>
            <w14:solidFill>
              <w14:schemeClr w14:val="tx1"/>
            </w14:solidFill>
          </w14:textFill>
        </w:rPr>
        <w:t>陕西省政府采购供应商拒绝政府采购领域商业贿赂承诺书</w:t>
      </w:r>
    </w:p>
    <w:p>
      <w:pPr>
        <w:widowControl/>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为响应党中央、国务院关于治理政府采购领域商业贿赂行为的号召，我公司在此庄严承诺：</w:t>
      </w:r>
    </w:p>
    <w:p>
      <w:pPr>
        <w:widowControl/>
        <w:numPr>
          <w:ilvl w:val="0"/>
          <w:numId w:val="8"/>
        </w:num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在参与政府采购活动中遵纪守法、诚信经营、公平竞标。</w:t>
      </w:r>
    </w:p>
    <w:p>
      <w:pPr>
        <w:widowControl/>
        <w:numPr>
          <w:ilvl w:val="0"/>
          <w:numId w:val="8"/>
        </w:num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不向政府采购人、采购代理机构和政府采购评审专家进行任何形式的商业贿赂以谋取交易机会。</w:t>
      </w:r>
    </w:p>
    <w:p>
      <w:pPr>
        <w:widowControl/>
        <w:numPr>
          <w:ilvl w:val="0"/>
          <w:numId w:val="8"/>
        </w:num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不向政府采购代理机构和采购人提供虚假资质文件或采用虚假应标方式参与政府采购市场竞争并谋取中标、成交。</w:t>
      </w:r>
    </w:p>
    <w:p>
      <w:pPr>
        <w:widowControl/>
        <w:numPr>
          <w:ilvl w:val="0"/>
          <w:numId w:val="8"/>
        </w:num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不采取“围标、陪标”等商业欺诈手段获得政府采购定单。</w:t>
      </w:r>
    </w:p>
    <w:p>
      <w:pPr>
        <w:widowControl/>
        <w:numPr>
          <w:ilvl w:val="0"/>
          <w:numId w:val="8"/>
        </w:num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不采取不正当手段诋毁、排挤其他供应商。</w:t>
      </w:r>
    </w:p>
    <w:p>
      <w:pPr>
        <w:widowControl/>
        <w:numPr>
          <w:ilvl w:val="0"/>
          <w:numId w:val="8"/>
        </w:num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不在提供商品和服务时“偷梁换柱、以次充好”损害采购人的合法权益。</w:t>
      </w:r>
    </w:p>
    <w:p>
      <w:pPr>
        <w:widowControl/>
        <w:numPr>
          <w:ilvl w:val="0"/>
          <w:numId w:val="8"/>
        </w:num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不与采购人、采购代理机构政府采购评审专家或其它供应商恶意串通，进行质疑和投诉，维护政府采购市场秩序。</w:t>
      </w:r>
    </w:p>
    <w:p>
      <w:pPr>
        <w:widowControl/>
        <w:numPr>
          <w:ilvl w:val="0"/>
          <w:numId w:val="8"/>
        </w:num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尊重和接受政府采购监督管理部门的监督和政府采购代理机构招标采购要求，承担因违约行为给采购人造成的损失。</w:t>
      </w:r>
    </w:p>
    <w:p>
      <w:pPr>
        <w:widowControl/>
        <w:numPr>
          <w:ilvl w:val="0"/>
          <w:numId w:val="8"/>
        </w:num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不发生其他有悖于政府采购公开、公平、公正和诚信原则的行为。</w:t>
      </w:r>
    </w:p>
    <w:p>
      <w:pPr>
        <w:pStyle w:val="4"/>
        <w:spacing w:line="360" w:lineRule="auto"/>
        <w:rPr>
          <w:rFonts w:hint="eastAsia" w:ascii="宋体" w:hAnsi="宋体" w:eastAsia="宋体" w:cs="宋体"/>
          <w:sz w:val="24"/>
          <w:szCs w:val="24"/>
          <w:highlight w:val="none"/>
        </w:rPr>
      </w:pPr>
    </w:p>
    <w:p>
      <w:pPr>
        <w:widowControl/>
        <w:spacing w:line="360" w:lineRule="auto"/>
        <w:ind w:left="239" w:leftChars="114"/>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承诺单位：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（盖章）</w:t>
      </w:r>
    </w:p>
    <w:p>
      <w:pPr>
        <w:widowControl/>
        <w:spacing w:line="360" w:lineRule="auto"/>
        <w:ind w:left="239" w:leftChars="114"/>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w:t>
      </w:r>
    </w:p>
    <w:p>
      <w:pPr>
        <w:widowControl/>
        <w:spacing w:line="360" w:lineRule="auto"/>
        <w:ind w:left="239" w:leftChars="114"/>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  </w:t>
      </w:r>
    </w:p>
    <w:p>
      <w:pPr>
        <w:widowControl/>
        <w:spacing w:line="360" w:lineRule="auto"/>
        <w:ind w:left="239" w:leftChars="114"/>
        <w:jc w:val="left"/>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  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widowControl/>
        <w:spacing w:line="360" w:lineRule="auto"/>
        <w:ind w:left="239" w:leftChars="114"/>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                                                       年  月  日</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20"/>
          <w:sz w:val="24"/>
          <w:szCs w:val="24"/>
          <w:highlight w:val="none"/>
          <w14:textFill>
            <w14:solidFill>
              <w14:schemeClr w14:val="tx1"/>
            </w14:solidFill>
          </w14:textFill>
        </w:rPr>
        <w:br w:type="page"/>
      </w:r>
    </w:p>
    <w:p>
      <w:pPr>
        <w:spacing w:line="360" w:lineRule="auto"/>
        <w:jc w:val="center"/>
        <w:outlineLvl w:val="9"/>
        <w:rPr>
          <w:rFonts w:hint="eastAsia" w:ascii="宋体" w:hAnsi="宋体" w:eastAsia="宋体" w:cs="宋体"/>
          <w:b/>
          <w:color w:val="000000" w:themeColor="text1"/>
          <w:sz w:val="32"/>
          <w:szCs w:val="32"/>
          <w:highlight w:val="none"/>
          <w:lang w:val="en-US" w:eastAsia="zh-CN"/>
          <w14:textFill>
            <w14:solidFill>
              <w14:schemeClr w14:val="tx1"/>
            </w14:solidFill>
          </w14:textFill>
        </w:rPr>
      </w:pPr>
      <w:bookmarkStart w:id="293" w:name="_Toc27728"/>
      <w:bookmarkStart w:id="294" w:name="_Toc26377"/>
      <w:bookmarkStart w:id="295" w:name="_Toc15926"/>
      <w:r>
        <w:rPr>
          <w:rFonts w:hint="eastAsia" w:ascii="宋体" w:hAnsi="宋体" w:eastAsia="宋体" w:cs="宋体"/>
          <w:b/>
          <w:color w:val="000000" w:themeColor="text1"/>
          <w:sz w:val="32"/>
          <w:szCs w:val="32"/>
          <w:highlight w:val="none"/>
          <w:lang w:val="en-US" w:eastAsia="zh-CN"/>
          <w14:textFill>
            <w14:solidFill>
              <w14:schemeClr w14:val="tx1"/>
            </w14:solidFill>
          </w14:textFill>
        </w:rPr>
        <w:t>七、资格证明文件</w:t>
      </w:r>
      <w:bookmarkEnd w:id="293"/>
      <w:bookmarkEnd w:id="294"/>
      <w:bookmarkEnd w:id="295"/>
    </w:p>
    <w:p>
      <w:pPr>
        <w:spacing w:line="360" w:lineRule="auto"/>
        <w:ind w:firstLine="470" w:firstLineChars="196"/>
        <w:outlineLvl w:val="1"/>
        <w:rPr>
          <w:rFonts w:hint="eastAsia" w:ascii="宋体" w:hAnsi="宋体" w:eastAsia="宋体" w:cs="宋体"/>
          <w:color w:val="000000" w:themeColor="text1"/>
          <w:kern w:val="0"/>
          <w:sz w:val="24"/>
          <w:szCs w:val="24"/>
          <w:highlight w:val="none"/>
          <w14:textFill>
            <w14:solidFill>
              <w14:schemeClr w14:val="tx1"/>
            </w14:solidFill>
          </w14:textFill>
        </w:rPr>
      </w:pPr>
      <w:bookmarkStart w:id="296" w:name="_Toc4923"/>
      <w:bookmarkStart w:id="297" w:name="_Toc6821"/>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基本资格条件：符合《中华人民共和国政府采购法》第二十二条的规定；</w:t>
      </w:r>
      <w:bookmarkEnd w:id="296"/>
      <w:bookmarkEnd w:id="297"/>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（1）具有独立承担民事责任能力的法人或其他组织，提供有效存续的营业执照或事业单位法人证书或非企业专业服务机构执业许可证或民办非企业单位登记证书或自然人的身份证明；</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（2）财务状况报告：提供经审计的2022年财务报告，包括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（3）税收缴纳证明：提供已缴纳的2022年11月至今任意一个月的纳税证明或完税证明，纳税证明或完税证明上应有代收机构或税务机关的公章</w:t>
      </w:r>
      <w:r>
        <w:rPr>
          <w:rFonts w:hint="eastAsia" w:ascii="宋体" w:hAnsi="宋体" w:eastAsia="宋体" w:cs="宋体"/>
          <w:b w:val="0"/>
          <w:bCs w:val="0"/>
          <w:sz w:val="24"/>
          <w:szCs w:val="24"/>
          <w:highlight w:val="none"/>
          <w:lang w:val="en-US" w:eastAsia="zh-CN"/>
        </w:rPr>
        <w:t>或业务专用章</w:t>
      </w:r>
      <w:r>
        <w:rPr>
          <w:rFonts w:hint="eastAsia" w:ascii="宋体" w:hAnsi="宋体" w:eastAsia="宋体" w:cs="宋体"/>
          <w:color w:val="000000" w:themeColor="text1"/>
          <w:sz w:val="24"/>
          <w:szCs w:val="24"/>
          <w:highlight w:val="none"/>
          <w:lang w:val="en-US" w:eastAsia="zh-CN"/>
          <w14:textFill>
            <w14:solidFill>
              <w14:schemeClr w14:val="tx1"/>
            </w14:solidFill>
          </w14:textFill>
        </w:rPr>
        <w:t>。依法免税的供应商应提供相关文件证明；</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（4）供应商须提供具有履行合同所必需的设备和专业技术能力的承诺；</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（5）社会保障资金缴纳证明：提供已缴存的2022年11月至今任意一个月的社会保障资金缴存单据或社保机构开具的社会保险参保缴费情况证明，单据或证明上应有社保机构或代收机构的公章</w:t>
      </w:r>
      <w:r>
        <w:rPr>
          <w:rFonts w:hint="eastAsia" w:ascii="宋体" w:hAnsi="宋体" w:eastAsia="宋体" w:cs="宋体"/>
          <w:b w:val="0"/>
          <w:bCs w:val="0"/>
          <w:sz w:val="24"/>
          <w:szCs w:val="24"/>
          <w:highlight w:val="none"/>
          <w:lang w:val="en-US" w:eastAsia="zh-CN"/>
        </w:rPr>
        <w:t>或业务专用章</w:t>
      </w:r>
      <w:r>
        <w:rPr>
          <w:rFonts w:hint="eastAsia" w:ascii="宋体" w:hAnsi="宋体" w:eastAsia="宋体" w:cs="宋体"/>
          <w:color w:val="000000" w:themeColor="text1"/>
          <w:sz w:val="24"/>
          <w:szCs w:val="24"/>
          <w:highlight w:val="none"/>
          <w:lang w:val="en-US" w:eastAsia="zh-CN"/>
          <w14:textFill>
            <w14:solidFill>
              <w14:schemeClr w14:val="tx1"/>
            </w14:solidFill>
          </w14:textFill>
        </w:rPr>
        <w:t>。依法不需要缴纳社会保障资金的供应商应提供相关文件证明；</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（6）出具参加本次政府采购活动前三年内在经营活动中没有重大违法记录的书面声明；</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222222"/>
          <w:spacing w:val="0"/>
          <w:sz w:val="24"/>
          <w:szCs w:val="24"/>
          <w:highlight w:val="none"/>
          <w:shd w:val="clear" w:fill="FFFFFF"/>
          <w:lang w:eastAsia="zh-CN"/>
        </w:rPr>
      </w:pPr>
      <w:r>
        <w:rPr>
          <w:rFonts w:hint="eastAsia" w:ascii="宋体" w:hAnsi="宋体" w:eastAsia="宋体" w:cs="宋体"/>
          <w:i w:val="0"/>
          <w:iCs w:val="0"/>
          <w:caps w:val="0"/>
          <w:color w:val="222222"/>
          <w:spacing w:val="0"/>
          <w:sz w:val="24"/>
          <w:szCs w:val="24"/>
          <w:highlight w:val="none"/>
          <w:shd w:val="clear" w:fill="FFFFFF"/>
          <w:lang w:val="en-US" w:eastAsia="zh-CN"/>
        </w:rPr>
        <w:t>2、</w:t>
      </w:r>
      <w:r>
        <w:rPr>
          <w:rFonts w:hint="eastAsia" w:ascii="宋体" w:hAnsi="宋体" w:eastAsia="宋体" w:cs="宋体"/>
          <w:i w:val="0"/>
          <w:iCs w:val="0"/>
          <w:caps w:val="0"/>
          <w:color w:val="222222"/>
          <w:spacing w:val="0"/>
          <w:sz w:val="24"/>
          <w:szCs w:val="24"/>
          <w:highlight w:val="none"/>
          <w:shd w:val="clear" w:fill="FFFFFF"/>
        </w:rPr>
        <w:t>落实政府采购政策需满足的资格要求如下</w:t>
      </w:r>
      <w:r>
        <w:rPr>
          <w:rFonts w:hint="eastAsia" w:ascii="宋体" w:hAnsi="宋体" w:eastAsia="宋体" w:cs="宋体"/>
          <w:i w:val="0"/>
          <w:iCs w:val="0"/>
          <w:caps w:val="0"/>
          <w:color w:val="222222"/>
          <w:spacing w:val="0"/>
          <w:sz w:val="24"/>
          <w:szCs w:val="24"/>
          <w:highlight w:val="none"/>
          <w:shd w:val="clear" w:fill="FFFFFF"/>
          <w:lang w:eastAsia="zh-CN"/>
        </w:rPr>
        <w:t>：</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Style w:val="136"/>
          <w:rFonts w:hint="eastAsia" w:ascii="宋体" w:hAnsi="宋体" w:eastAsia="宋体" w:cs="宋体"/>
          <w:color w:val="000000"/>
          <w:kern w:val="0"/>
          <w:sz w:val="24"/>
          <w:szCs w:val="24"/>
          <w:highlight w:val="none"/>
        </w:rPr>
      </w:pPr>
      <w:r>
        <w:rPr>
          <w:rStyle w:val="136"/>
          <w:rFonts w:hint="eastAsia" w:ascii="宋体" w:hAnsi="宋体" w:eastAsia="宋体" w:cs="宋体"/>
          <w:color w:val="000000"/>
          <w:kern w:val="0"/>
          <w:sz w:val="24"/>
          <w:szCs w:val="24"/>
          <w:highlight w:val="none"/>
        </w:rPr>
        <w:t>本项目专门面向中小企业采购（残疾人福利性单位及监狱企业视同小型、微型企业）（提供声明函）。</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3、特定资格条件：</w:t>
      </w:r>
    </w:p>
    <w:p>
      <w:pPr>
        <w:pStyle w:val="37"/>
        <w:spacing w:before="0" w:beforeAutospacing="0" w:after="0" w:afterAutospacing="0" w:line="360" w:lineRule="auto"/>
        <w:ind w:firstLine="420"/>
        <w:rPr>
          <w:rStyle w:val="136"/>
          <w:rFonts w:hint="eastAsia" w:ascii="宋体" w:hAnsi="宋体" w:eastAsia="宋体" w:cs="宋体"/>
          <w:color w:val="000000"/>
          <w:sz w:val="24"/>
          <w:szCs w:val="24"/>
          <w:highlight w:val="none"/>
          <w:lang w:val="en-US"/>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Style w:val="136"/>
          <w:rFonts w:hint="eastAsia" w:ascii="宋体" w:hAnsi="宋体" w:eastAsia="宋体" w:cs="宋体"/>
          <w:color w:val="000000"/>
          <w:sz w:val="24"/>
          <w:szCs w:val="24"/>
          <w:highlight w:val="none"/>
        </w:rPr>
        <w:t>投标人需具有公安机关核发的保安服务许可证（陕西省外企业还须出具承诺书，承诺自承接本项目之日起30日内向采购人所在地设区的市级人民政府公安机关备案）；</w:t>
      </w:r>
      <w:r>
        <w:rPr>
          <w:rFonts w:hint="eastAsia" w:ascii="宋体" w:hAnsi="宋体" w:eastAsia="宋体" w:cs="宋体"/>
          <w:i w:val="0"/>
          <w:iCs w:val="0"/>
          <w:caps w:val="0"/>
          <w:color w:val="222222"/>
          <w:spacing w:val="0"/>
          <w:sz w:val="24"/>
          <w:szCs w:val="24"/>
          <w:highlight w:val="none"/>
          <w:shd w:val="clear" w:fill="FFFFFF"/>
          <w:lang w:eastAsia="zh-CN"/>
        </w:rPr>
        <w:t>（合同包</w:t>
      </w:r>
      <w:r>
        <w:rPr>
          <w:rFonts w:hint="eastAsia" w:ascii="宋体" w:hAnsi="宋体" w:eastAsia="宋体" w:cs="宋体"/>
          <w:i w:val="0"/>
          <w:iCs w:val="0"/>
          <w:caps w:val="0"/>
          <w:color w:val="222222"/>
          <w:spacing w:val="0"/>
          <w:sz w:val="24"/>
          <w:szCs w:val="24"/>
          <w:highlight w:val="none"/>
          <w:shd w:val="clear" w:fill="FFFFFF"/>
          <w:lang w:val="en-US" w:eastAsia="zh-CN"/>
        </w:rPr>
        <w:t>2提供</w:t>
      </w:r>
      <w:r>
        <w:rPr>
          <w:rFonts w:hint="eastAsia" w:ascii="宋体" w:hAnsi="宋体" w:eastAsia="宋体" w:cs="宋体"/>
          <w:i w:val="0"/>
          <w:iCs w:val="0"/>
          <w:caps w:val="0"/>
          <w:color w:val="222222"/>
          <w:spacing w:val="0"/>
          <w:sz w:val="24"/>
          <w:szCs w:val="24"/>
          <w:highlight w:val="none"/>
          <w:shd w:val="clear" w:fill="FFFFFF"/>
          <w:lang w:eastAsia="zh-CN"/>
        </w:rPr>
        <w:t>）</w:t>
      </w:r>
      <w:r>
        <w:rPr>
          <w:rStyle w:val="136"/>
          <w:rFonts w:hint="eastAsia" w:ascii="宋体" w:hAnsi="宋体" w:eastAsia="宋体" w:cs="宋体"/>
          <w:color w:val="000000"/>
          <w:sz w:val="24"/>
          <w:szCs w:val="24"/>
          <w:highlight w:val="none"/>
        </w:rPr>
        <w:t>；</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）法定代表人参加投标的提供法定代表人身份证明及身份证，委托代理人参加投标的提供授权委托书及委托代理人身份证，</w:t>
      </w:r>
      <w:r>
        <w:rPr>
          <w:rFonts w:hint="eastAsia" w:ascii="宋体" w:hAnsi="宋体" w:eastAsia="宋体" w:cs="宋体"/>
          <w:kern w:val="0"/>
          <w:sz w:val="24"/>
          <w:szCs w:val="24"/>
          <w:highlight w:val="none"/>
        </w:rPr>
        <w:t>备注：分支机构由分支机构负责人授权即可</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37"/>
        <w:spacing w:before="0" w:beforeAutospacing="0" w:after="0" w:afterAutospacing="0" w:line="360" w:lineRule="auto"/>
        <w:ind w:firstLine="42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）本项目不接受联合体投标（提供书面声明材料）。</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bookmarkStart w:id="298" w:name="_Toc21489"/>
      <w:bookmarkStart w:id="299" w:name="_Toc8726"/>
      <w:bookmarkStart w:id="300" w:name="_Toc3930"/>
    </w:p>
    <w:p>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spacing w:line="360" w:lineRule="auto"/>
        <w:jc w:val="center"/>
        <w:outlineLvl w:val="9"/>
        <w:rPr>
          <w:rFonts w:hint="eastAsia"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八、其他资料</w:t>
      </w:r>
      <w:bookmarkEnd w:id="298"/>
      <w:bookmarkEnd w:id="299"/>
      <w:bookmarkEnd w:id="300"/>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1、依据招标文件要求，供应商认为有必要说明的其他内容。</w:t>
      </w:r>
    </w:p>
    <w:p>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2、其他可以证明供应商实力的文件。</w:t>
      </w: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pStyle w:val="17"/>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pStyle w:val="17"/>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pStyle w:val="17"/>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pStyle w:val="17"/>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pStyle w:val="17"/>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pStyle w:val="17"/>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pStyle w:val="17"/>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pStyle w:val="17"/>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pStyle w:val="17"/>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pStyle w:val="17"/>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spacing w:line="360" w:lineRule="auto"/>
        <w:rPr>
          <w:rFonts w:hint="eastAsia" w:ascii="宋体" w:hAnsi="宋体" w:eastAsia="宋体" w:cs="宋体"/>
          <w:b/>
          <w:color w:val="000000" w:themeColor="text1"/>
          <w:kern w:val="0"/>
          <w:sz w:val="24"/>
          <w:szCs w:val="24"/>
          <w:highlight w:val="none"/>
          <w14:textFill>
            <w14:solidFill>
              <w14:schemeClr w14:val="tx1"/>
            </w14:solidFill>
          </w14:textFill>
        </w:rPr>
      </w:pPr>
    </w:p>
    <w:p>
      <w:pPr>
        <w:rPr>
          <w:rFonts w:hint="eastAsia" w:ascii="宋体" w:hAnsi="宋体" w:eastAsia="宋体" w:cs="宋体"/>
          <w:b/>
          <w:bCs/>
          <w:sz w:val="24"/>
          <w:szCs w:val="24"/>
          <w:highlight w:val="none"/>
          <w:u w:val="none"/>
          <w:lang w:eastAsia="zh-CN"/>
        </w:rPr>
      </w:pPr>
      <w:r>
        <w:rPr>
          <w:rFonts w:hint="eastAsia" w:ascii="宋体" w:hAnsi="宋体" w:eastAsia="宋体" w:cs="宋体"/>
          <w:b/>
          <w:bCs/>
          <w:sz w:val="24"/>
          <w:szCs w:val="24"/>
          <w:highlight w:val="none"/>
          <w:u w:val="none"/>
          <w:lang w:eastAsia="zh-CN"/>
        </w:rPr>
        <w:br w:type="page"/>
      </w:r>
    </w:p>
    <w:p>
      <w:pPr>
        <w:pStyle w:val="17"/>
        <w:wordWrap/>
        <w:overflowPunct/>
        <w:topLinePunct w:val="0"/>
        <w:bidi w:val="0"/>
        <w:spacing w:line="360" w:lineRule="auto"/>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eastAsia="zh-CN"/>
        </w:rPr>
        <w:t>附件</w:t>
      </w:r>
      <w:r>
        <w:rPr>
          <w:rFonts w:hint="eastAsia" w:ascii="宋体" w:hAnsi="宋体" w:eastAsia="宋体" w:cs="宋体"/>
          <w:b/>
          <w:bCs/>
          <w:sz w:val="24"/>
          <w:szCs w:val="24"/>
          <w:highlight w:val="none"/>
          <w:u w:val="none"/>
          <w:lang w:val="en-US" w:eastAsia="zh-CN"/>
        </w:rPr>
        <w:t>1</w:t>
      </w:r>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outlineLvl w:val="2"/>
        <w:rPr>
          <w:rFonts w:hint="eastAsia" w:ascii="宋体" w:hAnsi="宋体" w:eastAsia="宋体" w:cs="宋体"/>
          <w:b/>
          <w:spacing w:val="6"/>
          <w:sz w:val="24"/>
          <w:szCs w:val="24"/>
          <w:highlight w:val="none"/>
        </w:rPr>
      </w:pPr>
      <w:r>
        <w:rPr>
          <w:rFonts w:hint="eastAsia" w:ascii="宋体" w:hAnsi="宋体" w:eastAsia="宋体" w:cs="宋体"/>
          <w:b/>
          <w:spacing w:val="6"/>
          <w:sz w:val="24"/>
          <w:szCs w:val="24"/>
          <w:highlight w:val="none"/>
        </w:rPr>
        <w:t>中小企业声明函（服务）</w:t>
      </w:r>
    </w:p>
    <w:p>
      <w:pPr>
        <w:pStyle w:val="17"/>
        <w:keepNext w:val="0"/>
        <w:keepLines w:val="0"/>
        <w:pageBreakBefore w:val="0"/>
        <w:widowControl w:val="0"/>
        <w:kinsoku/>
        <w:wordWrap/>
        <w:overflowPunct/>
        <w:topLinePunct w:val="0"/>
        <w:autoSpaceDE/>
        <w:autoSpaceDN/>
        <w:bidi w:val="0"/>
        <w:adjustRightInd/>
        <w:snapToGrid/>
        <w:spacing w:before="55" w:after="0" w:afterLines="0" w:line="360" w:lineRule="auto"/>
        <w:ind w:right="415" w:firstLine="640"/>
        <w:textAlignment w:val="auto"/>
        <w:outlineLvl w:val="9"/>
        <w:rPr>
          <w:rFonts w:hint="eastAsia" w:ascii="宋体" w:hAnsi="宋体" w:eastAsia="宋体" w:cs="宋体"/>
          <w:b w:val="0"/>
          <w:bCs w:val="0"/>
          <w:spacing w:val="-2"/>
          <w:sz w:val="24"/>
          <w:szCs w:val="24"/>
          <w:highlight w:val="none"/>
        </w:rPr>
      </w:pPr>
    </w:p>
    <w:p>
      <w:pPr>
        <w:pStyle w:val="17"/>
        <w:keepNext w:val="0"/>
        <w:keepLines w:val="0"/>
        <w:pageBreakBefore w:val="0"/>
        <w:widowControl w:val="0"/>
        <w:kinsoku/>
        <w:wordWrap/>
        <w:overflowPunct/>
        <w:topLinePunct w:val="0"/>
        <w:autoSpaceDE/>
        <w:autoSpaceDN/>
        <w:bidi w:val="0"/>
        <w:adjustRightInd/>
        <w:snapToGrid/>
        <w:spacing w:before="55" w:after="0" w:afterLines="0" w:line="360" w:lineRule="auto"/>
        <w:ind w:right="0" w:rightChars="0" w:firstLine="640"/>
        <w:textAlignment w:val="auto"/>
        <w:outlineLvl w:val="9"/>
        <w:rPr>
          <w:rFonts w:hint="eastAsia" w:ascii="宋体" w:hAnsi="宋体" w:eastAsia="宋体" w:cs="宋体"/>
          <w:b w:val="0"/>
          <w:bCs w:val="0"/>
          <w:spacing w:val="-2"/>
          <w:sz w:val="24"/>
          <w:szCs w:val="24"/>
          <w:highlight w:val="none"/>
        </w:rPr>
      </w:pPr>
      <w:r>
        <w:rPr>
          <w:rFonts w:hint="eastAsia" w:ascii="宋体" w:hAnsi="宋体" w:eastAsia="宋体" w:cs="宋体"/>
          <w:b w:val="0"/>
          <w:bCs w:val="0"/>
          <w:spacing w:val="-2"/>
          <w:sz w:val="24"/>
          <w:szCs w:val="24"/>
          <w:highlight w:val="none"/>
        </w:rPr>
        <w:t>本公司（联合体）郑重声明，根据《政府采购促进中小企业发展管理办法》（财库</w:t>
      </w:r>
      <w:r>
        <w:rPr>
          <w:rFonts w:hint="eastAsia" w:ascii="宋体" w:hAnsi="宋体" w:eastAsia="宋体" w:cs="宋体"/>
          <w:spacing w:val="-8"/>
          <w:sz w:val="24"/>
          <w:szCs w:val="24"/>
          <w:highlight w:val="none"/>
          <w:lang w:eastAsia="zh-CN"/>
        </w:rPr>
        <w:t>〔</w:t>
      </w:r>
      <w:r>
        <w:rPr>
          <w:rFonts w:hint="eastAsia" w:ascii="宋体" w:hAnsi="宋体" w:eastAsia="宋体" w:cs="宋体"/>
          <w:b w:val="0"/>
          <w:bCs w:val="0"/>
          <w:spacing w:val="-2"/>
          <w:sz w:val="24"/>
          <w:szCs w:val="24"/>
          <w:highlight w:val="none"/>
        </w:rPr>
        <w:t>2020</w:t>
      </w:r>
      <w:r>
        <w:rPr>
          <w:rFonts w:hint="eastAsia" w:ascii="宋体" w:hAnsi="宋体" w:eastAsia="宋体" w:cs="宋体"/>
          <w:spacing w:val="-8"/>
          <w:sz w:val="24"/>
          <w:szCs w:val="24"/>
          <w:highlight w:val="none"/>
          <w:lang w:eastAsia="zh-CN"/>
        </w:rPr>
        <w:t>〕</w:t>
      </w:r>
      <w:r>
        <w:rPr>
          <w:rFonts w:hint="eastAsia" w:ascii="宋体" w:hAnsi="宋体" w:eastAsia="宋体" w:cs="宋体"/>
          <w:b w:val="0"/>
          <w:bCs w:val="0"/>
          <w:spacing w:val="-2"/>
          <w:sz w:val="24"/>
          <w:szCs w:val="24"/>
          <w:highlight w:val="none"/>
        </w:rPr>
        <w:t>46 号）的规定，本公司（联合体）参加</w:t>
      </w:r>
      <w:r>
        <w:rPr>
          <w:rFonts w:hint="eastAsia" w:ascii="宋体" w:hAnsi="宋体" w:eastAsia="宋体" w:cs="宋体"/>
          <w:b w:val="0"/>
          <w:bCs w:val="0"/>
          <w:spacing w:val="-2"/>
          <w:sz w:val="24"/>
          <w:szCs w:val="24"/>
          <w:highlight w:val="none"/>
          <w:u w:val="single"/>
        </w:rPr>
        <w:t>（单位名称）</w:t>
      </w:r>
      <w:r>
        <w:rPr>
          <w:rFonts w:hint="eastAsia" w:ascii="宋体" w:hAnsi="宋体" w:eastAsia="宋体" w:cs="宋体"/>
          <w:b w:val="0"/>
          <w:bCs w:val="0"/>
          <w:spacing w:val="-2"/>
          <w:sz w:val="24"/>
          <w:szCs w:val="24"/>
          <w:highlight w:val="none"/>
        </w:rPr>
        <w:t>的</w:t>
      </w:r>
      <w:r>
        <w:rPr>
          <w:rFonts w:hint="eastAsia" w:ascii="宋体" w:hAnsi="宋体" w:eastAsia="宋体" w:cs="宋体"/>
          <w:b w:val="0"/>
          <w:bCs w:val="0"/>
          <w:spacing w:val="-2"/>
          <w:sz w:val="24"/>
          <w:szCs w:val="24"/>
          <w:highlight w:val="none"/>
          <w:u w:val="single"/>
        </w:rPr>
        <w:t>（项目名称）</w:t>
      </w:r>
      <w:r>
        <w:rPr>
          <w:rFonts w:hint="eastAsia" w:ascii="宋体" w:hAnsi="宋体" w:eastAsia="宋体" w:cs="宋体"/>
          <w:b w:val="0"/>
          <w:bCs w:val="0"/>
          <w:spacing w:val="-2"/>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42"/>
        <w:pageBreakBefore w:val="0"/>
        <w:numPr>
          <w:ilvl w:val="0"/>
          <w:numId w:val="9"/>
        </w:numPr>
        <w:kinsoku/>
        <w:wordWrap/>
        <w:overflowPunct/>
        <w:topLinePunct w:val="0"/>
        <w:autoSpaceDE/>
        <w:autoSpaceDN/>
        <w:bidi w:val="0"/>
        <w:adjustRightInd/>
        <w:snapToGrid/>
        <w:spacing w:line="360" w:lineRule="auto"/>
        <w:ind w:left="60" w:leftChars="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zh-CN" w:eastAsia="zh-CN"/>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lang w:val="zh-CN" w:eastAsia="zh-CN"/>
        </w:rPr>
        <w:t>（采购文件中明确的所属行业）</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rPr>
        <w:t>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pPr>
        <w:pStyle w:val="142"/>
        <w:pageBreakBefore w:val="0"/>
        <w:numPr>
          <w:ilvl w:val="0"/>
          <w:numId w:val="9"/>
        </w:numPr>
        <w:kinsoku/>
        <w:wordWrap/>
        <w:overflowPunct/>
        <w:topLinePunct w:val="0"/>
        <w:autoSpaceDE/>
        <w:autoSpaceDN/>
        <w:bidi w:val="0"/>
        <w:adjustRightInd/>
        <w:snapToGrid/>
        <w:spacing w:line="360" w:lineRule="auto"/>
        <w:ind w:left="60" w:leftChars="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zh-CN" w:eastAsia="zh-CN"/>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lang w:val="zh-CN" w:eastAsia="zh-CN"/>
        </w:rPr>
        <w:t>（采购文件中明确的所属行业）</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pPr>
        <w:pStyle w:val="142"/>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val="zh-CN" w:eastAsia="zh-CN"/>
        </w:rPr>
      </w:pPr>
      <w:r>
        <w:rPr>
          <w:rFonts w:hint="eastAsia" w:ascii="宋体" w:hAnsi="宋体" w:eastAsia="宋体" w:cs="宋体"/>
          <w:sz w:val="24"/>
          <w:szCs w:val="24"/>
          <w:highlight w:val="none"/>
          <w:u w:val="none"/>
          <w:lang w:val="zh-CN" w:eastAsia="zh-CN"/>
        </w:rPr>
        <w:t>……</w:t>
      </w:r>
    </w:p>
    <w:p>
      <w:pPr>
        <w:pStyle w:val="142"/>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val="zh-CN" w:eastAsia="zh-CN"/>
        </w:rPr>
      </w:pPr>
      <w:r>
        <w:rPr>
          <w:rFonts w:hint="eastAsia" w:ascii="宋体" w:hAnsi="宋体" w:eastAsia="宋体" w:cs="宋体"/>
          <w:sz w:val="24"/>
          <w:szCs w:val="24"/>
          <w:highlight w:val="none"/>
          <w:u w:val="none"/>
          <w:lang w:val="zh-CN" w:eastAsia="zh-CN"/>
        </w:rPr>
        <w:t>以上企业，不属于大企业的分支机构，不存在控股股东为大企业的情形，也不存在与大企业的负责人为同一人的情形。</w:t>
      </w:r>
    </w:p>
    <w:p>
      <w:pPr>
        <w:pStyle w:val="142"/>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val="zh-CN" w:eastAsia="zh-CN"/>
        </w:rPr>
      </w:pPr>
      <w:r>
        <w:rPr>
          <w:rFonts w:hint="eastAsia" w:ascii="宋体" w:hAnsi="宋体" w:eastAsia="宋体" w:cs="宋体"/>
          <w:sz w:val="24"/>
          <w:szCs w:val="24"/>
          <w:highlight w:val="none"/>
          <w:u w:val="none"/>
          <w:lang w:val="zh-CN" w:eastAsia="zh-CN"/>
        </w:rPr>
        <w:t>本企业对上述声明内容的真实性负责。如有虚假，将依法承担相应责任。</w:t>
      </w:r>
    </w:p>
    <w:p>
      <w:pPr>
        <w:pStyle w:val="142"/>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pStyle w:val="142"/>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outlineLvl w:val="9"/>
        <w:rPr>
          <w:rFonts w:hint="eastAsia" w:ascii="宋体" w:hAnsi="宋体" w:eastAsia="宋体" w:cs="宋体"/>
          <w:b w:val="0"/>
          <w:bCs w:val="0"/>
          <w:kern w:val="0"/>
          <w:sz w:val="24"/>
          <w:szCs w:val="24"/>
          <w:highlight w:val="none"/>
          <w:u w:val="none"/>
          <w:lang w:val="en-US" w:eastAsia="zh-CN" w:bidi="ar-SA"/>
        </w:rPr>
      </w:pPr>
      <w:r>
        <w:rPr>
          <w:rFonts w:hint="eastAsia" w:ascii="宋体" w:hAnsi="宋体" w:eastAsia="宋体" w:cs="宋体"/>
          <w:b w:val="0"/>
          <w:bCs w:val="0"/>
          <w:kern w:val="0"/>
          <w:sz w:val="24"/>
          <w:szCs w:val="24"/>
          <w:highlight w:val="none"/>
          <w:u w:val="none"/>
          <w:lang w:val="en-US" w:eastAsia="zh-CN" w:bidi="ar-SA"/>
        </w:rPr>
        <w:t>企业名称（盖章）：</w:t>
      </w:r>
    </w:p>
    <w:p>
      <w:pPr>
        <w:pStyle w:val="142"/>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outlineLvl w:val="9"/>
        <w:rPr>
          <w:rFonts w:hint="eastAsia" w:ascii="宋体" w:hAnsi="宋体" w:eastAsia="宋体" w:cs="宋体"/>
          <w:b w:val="0"/>
          <w:bCs w:val="0"/>
          <w:kern w:val="0"/>
          <w:sz w:val="24"/>
          <w:szCs w:val="24"/>
          <w:highlight w:val="none"/>
          <w:u w:val="none"/>
          <w:lang w:val="en-US" w:eastAsia="zh-CN" w:bidi="ar-SA"/>
        </w:rPr>
      </w:pPr>
      <w:r>
        <w:rPr>
          <w:rFonts w:hint="eastAsia" w:ascii="宋体" w:hAnsi="宋体" w:eastAsia="宋体" w:cs="宋体"/>
          <w:b w:val="0"/>
          <w:bCs w:val="0"/>
          <w:kern w:val="0"/>
          <w:sz w:val="24"/>
          <w:szCs w:val="24"/>
          <w:highlight w:val="none"/>
          <w:u w:val="none"/>
          <w:lang w:val="en-US" w:eastAsia="zh-CN" w:bidi="ar-SA"/>
        </w:rPr>
        <w:t>日期：</w:t>
      </w:r>
    </w:p>
    <w:p>
      <w:pPr>
        <w:pStyle w:val="14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p>
    <w:p>
      <w:pPr>
        <w:pStyle w:val="142"/>
        <w:pageBreakBefore w:val="0"/>
        <w:kinsoku/>
        <w:wordWrap/>
        <w:overflowPunct/>
        <w:topLinePunct w:val="0"/>
        <w:autoSpaceDE/>
        <w:autoSpaceDN/>
        <w:bidi w:val="0"/>
        <w:adjustRightInd/>
        <w:snapToGrid/>
        <w:spacing w:line="360" w:lineRule="auto"/>
        <w:ind w:left="720" w:leftChars="0" w:hanging="720" w:hangingChars="300"/>
        <w:textAlignment w:val="auto"/>
        <w:rPr>
          <w:rFonts w:hint="eastAsia" w:ascii="宋体" w:hAnsi="宋体" w:eastAsia="宋体" w:cs="宋体"/>
          <w:spacing w:val="-8"/>
          <w:sz w:val="24"/>
          <w:szCs w:val="24"/>
          <w:highlight w:val="none"/>
          <w:lang w:eastAsia="zh-CN"/>
        </w:rPr>
      </w:pPr>
      <w:r>
        <w:rPr>
          <w:rFonts w:hint="eastAsia" w:ascii="宋体" w:hAnsi="宋体" w:eastAsia="宋体" w:cs="宋体"/>
          <w:sz w:val="24"/>
          <w:szCs w:val="24"/>
          <w:highlight w:val="none"/>
          <w:lang w:eastAsia="zh-CN"/>
        </w:rPr>
        <w:t>备注：</w:t>
      </w:r>
      <w:r>
        <w:rPr>
          <w:rFonts w:hint="eastAsia" w:ascii="宋体" w:hAnsi="宋体" w:eastAsia="宋体" w:cs="宋体"/>
          <w:sz w:val="24"/>
          <w:szCs w:val="24"/>
          <w:highlight w:val="none"/>
          <w:lang w:val="en-US" w:eastAsia="zh-CN"/>
        </w:rPr>
        <w:t>1、</w:t>
      </w:r>
      <w:r>
        <w:rPr>
          <w:rFonts w:hint="eastAsia" w:ascii="宋体" w:hAnsi="宋体" w:eastAsia="宋体" w:cs="宋体"/>
          <w:spacing w:val="-8"/>
          <w:sz w:val="24"/>
          <w:szCs w:val="24"/>
          <w:highlight w:val="none"/>
        </w:rPr>
        <w:t>中小企业参加政府采购活动，应当按照</w:t>
      </w:r>
      <w:r>
        <w:rPr>
          <w:rFonts w:hint="eastAsia" w:ascii="宋体" w:hAnsi="宋体" w:eastAsia="宋体" w:cs="宋体"/>
          <w:spacing w:val="-8"/>
          <w:sz w:val="24"/>
          <w:szCs w:val="24"/>
          <w:highlight w:val="none"/>
          <w:lang w:eastAsia="zh-CN"/>
        </w:rPr>
        <w:t>《政府采购促进中小企业发展管理办法》（财库〔2020〕46号）</w:t>
      </w:r>
      <w:r>
        <w:rPr>
          <w:rFonts w:hint="eastAsia" w:ascii="宋体" w:hAnsi="宋体" w:eastAsia="宋体" w:cs="宋体"/>
          <w:spacing w:val="-8"/>
          <w:sz w:val="24"/>
          <w:szCs w:val="24"/>
          <w:highlight w:val="none"/>
        </w:rPr>
        <w:t>规定和《中小企业划型标准规定》（工信部联企业〔2011〕300号），如实填写并</w:t>
      </w:r>
      <w:r>
        <w:rPr>
          <w:rFonts w:hint="eastAsia" w:ascii="宋体" w:hAnsi="宋体" w:eastAsia="宋体" w:cs="宋体"/>
          <w:spacing w:val="-8"/>
          <w:sz w:val="24"/>
          <w:szCs w:val="24"/>
          <w:highlight w:val="none"/>
          <w:lang w:eastAsia="zh-CN"/>
        </w:rPr>
        <w:t>提交本</w:t>
      </w:r>
      <w:r>
        <w:rPr>
          <w:rFonts w:hint="eastAsia" w:ascii="宋体" w:hAnsi="宋体" w:eastAsia="宋体" w:cs="宋体"/>
          <w:spacing w:val="-8"/>
          <w:sz w:val="24"/>
          <w:szCs w:val="24"/>
          <w:highlight w:val="none"/>
        </w:rPr>
        <w:t>《中小企业声明函》</w:t>
      </w:r>
      <w:r>
        <w:rPr>
          <w:rFonts w:hint="eastAsia" w:ascii="宋体" w:hAnsi="宋体" w:eastAsia="宋体" w:cs="宋体"/>
          <w:spacing w:val="-8"/>
          <w:sz w:val="24"/>
          <w:szCs w:val="24"/>
          <w:highlight w:val="none"/>
          <w:lang w:eastAsia="zh-CN"/>
        </w:rPr>
        <w:t>。</w:t>
      </w:r>
    </w:p>
    <w:p>
      <w:pPr>
        <w:pStyle w:val="142"/>
        <w:pageBreakBefore w:val="0"/>
        <w:numPr>
          <w:ilvl w:val="0"/>
          <w:numId w:val="0"/>
        </w:numPr>
        <w:kinsoku/>
        <w:wordWrap/>
        <w:overflowPunct/>
        <w:topLinePunct w:val="0"/>
        <w:autoSpaceDE/>
        <w:autoSpaceDN/>
        <w:bidi w:val="0"/>
        <w:adjustRightInd/>
        <w:snapToGrid/>
        <w:spacing w:line="360" w:lineRule="auto"/>
        <w:ind w:left="480" w:leftChars="0"/>
        <w:textAlignment w:val="auto"/>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2、从业人员、营业收入、资产总额填报上一年度数据，无上一年度数据的新成立企业可不填报。</w:t>
      </w:r>
    </w:p>
    <w:p>
      <w:pPr>
        <w:pStyle w:val="142"/>
        <w:pageBreakBefore w:val="0"/>
        <w:numPr>
          <w:ilvl w:val="0"/>
          <w:numId w:val="9"/>
        </w:numPr>
        <w:kinsoku/>
        <w:wordWrap/>
        <w:overflowPunct/>
        <w:topLinePunct w:val="0"/>
        <w:autoSpaceDE/>
        <w:autoSpaceDN/>
        <w:bidi w:val="0"/>
        <w:adjustRightInd/>
        <w:snapToGrid/>
        <w:spacing w:line="360" w:lineRule="auto"/>
        <w:ind w:left="60" w:leftChars="0" w:firstLine="420" w:firstLineChars="0"/>
        <w:textAlignment w:val="auto"/>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本项目采购标的所属行业为</w:t>
      </w:r>
      <w:r>
        <w:rPr>
          <w:rFonts w:hint="eastAsia" w:ascii="宋体" w:hAnsi="宋体" w:eastAsia="宋体" w:cs="宋体"/>
          <w:b/>
          <w:bCs/>
          <w:spacing w:val="-8"/>
          <w:sz w:val="24"/>
          <w:szCs w:val="24"/>
          <w:highlight w:val="none"/>
          <w:lang w:val="en-US" w:eastAsia="zh-CN"/>
        </w:rPr>
        <w:t>租赁和商务服务业</w:t>
      </w:r>
      <w:r>
        <w:rPr>
          <w:rFonts w:hint="eastAsia" w:ascii="宋体" w:hAnsi="宋体" w:eastAsia="宋体" w:cs="宋体"/>
          <w:spacing w:val="-8"/>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line="360" w:lineRule="auto"/>
        <w:jc w:val="left"/>
        <w:textAlignment w:val="auto"/>
        <w:rPr>
          <w:rFonts w:hint="eastAsia" w:ascii="宋体" w:hAnsi="宋体" w:eastAsia="宋体" w:cs="宋体"/>
          <w:b/>
          <w:sz w:val="24"/>
          <w:szCs w:val="24"/>
          <w:highlight w:val="none"/>
        </w:rPr>
        <w:sectPr>
          <w:pgSz w:w="11906" w:h="16838"/>
          <w:pgMar w:top="1418" w:right="1134" w:bottom="1418" w:left="1418" w:header="851" w:footer="992" w:gutter="0"/>
          <w:pgBorders>
            <w:top w:val="none" w:sz="0" w:space="0"/>
            <w:left w:val="none" w:sz="0" w:space="0"/>
            <w:bottom w:val="none" w:sz="0" w:space="0"/>
            <w:right w:val="none" w:sz="0" w:space="0"/>
          </w:pgBorders>
          <w:cols w:space="720" w:num="1"/>
        </w:sectPr>
      </w:pPr>
    </w:p>
    <w:p>
      <w:pPr>
        <w:spacing w:line="360" w:lineRule="auto"/>
        <w:rPr>
          <w:rFonts w:hint="eastAsia" w:ascii="宋体" w:hAnsi="宋体" w:eastAsia="宋体" w:cs="宋体"/>
          <w:b/>
          <w:bCs/>
          <w:spacing w:val="6"/>
          <w:sz w:val="24"/>
          <w:szCs w:val="24"/>
          <w:highlight w:val="none"/>
        </w:rPr>
      </w:pPr>
      <w:bookmarkStart w:id="301" w:name="_Toc18154"/>
      <w:r>
        <w:rPr>
          <w:rFonts w:hint="eastAsia" w:ascii="宋体" w:hAnsi="宋体" w:eastAsia="宋体" w:cs="宋体"/>
          <w:b/>
          <w:bCs/>
          <w:spacing w:val="6"/>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before="100" w:beforeAutospacing="0" w:after="163" w:afterLines="50" w:line="360" w:lineRule="auto"/>
        <w:textAlignment w:val="auto"/>
        <w:outlineLvl w:val="2"/>
        <w:rPr>
          <w:rFonts w:hint="eastAsia" w:ascii="宋体" w:hAnsi="宋体" w:eastAsia="宋体" w:cs="宋体"/>
          <w:b/>
          <w:bCs/>
          <w:spacing w:val="6"/>
          <w:sz w:val="24"/>
          <w:szCs w:val="24"/>
          <w:highlight w:val="none"/>
        </w:rPr>
      </w:pPr>
      <w:bookmarkStart w:id="302" w:name="_Toc30631"/>
      <w:bookmarkStart w:id="303" w:name="_Toc7156"/>
      <w:r>
        <w:rPr>
          <w:rFonts w:hint="eastAsia" w:ascii="宋体" w:hAnsi="宋体" w:eastAsia="宋体" w:cs="宋体"/>
          <w:b/>
          <w:bCs/>
          <w:spacing w:val="6"/>
          <w:sz w:val="24"/>
          <w:szCs w:val="24"/>
          <w:highlight w:val="none"/>
        </w:rPr>
        <w:t>附件</w:t>
      </w:r>
      <w:r>
        <w:rPr>
          <w:rFonts w:hint="eastAsia" w:ascii="宋体" w:hAnsi="宋体" w:eastAsia="宋体" w:cs="宋体"/>
          <w:b/>
          <w:bCs/>
          <w:spacing w:val="6"/>
          <w:sz w:val="24"/>
          <w:szCs w:val="24"/>
          <w:highlight w:val="none"/>
          <w:lang w:val="en-US" w:eastAsia="zh-CN"/>
        </w:rPr>
        <w:t>2</w:t>
      </w:r>
      <w:bookmarkEnd w:id="301"/>
      <w:bookmarkEnd w:id="302"/>
      <w:bookmarkEnd w:id="303"/>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outlineLvl w:val="2"/>
        <w:rPr>
          <w:rFonts w:hint="eastAsia" w:ascii="宋体" w:hAnsi="宋体" w:eastAsia="宋体" w:cs="宋体"/>
          <w:b/>
          <w:spacing w:val="6"/>
          <w:sz w:val="24"/>
          <w:szCs w:val="24"/>
          <w:highlight w:val="none"/>
        </w:rPr>
      </w:pPr>
      <w:bookmarkStart w:id="304" w:name="_Toc2347"/>
      <w:bookmarkStart w:id="305" w:name="_Toc11171"/>
      <w:bookmarkStart w:id="306" w:name="_Toc2490"/>
      <w:r>
        <w:rPr>
          <w:rFonts w:hint="eastAsia" w:ascii="宋体" w:hAnsi="宋体" w:eastAsia="宋体" w:cs="宋体"/>
          <w:b/>
          <w:spacing w:val="6"/>
          <w:sz w:val="24"/>
          <w:szCs w:val="24"/>
          <w:highlight w:val="none"/>
        </w:rPr>
        <w:t>残疾人福利性单位声明函</w:t>
      </w:r>
      <w:bookmarkEnd w:id="304"/>
      <w:bookmarkEnd w:id="305"/>
      <w:bookmarkEnd w:id="306"/>
    </w:p>
    <w:p>
      <w:pPr>
        <w:wordWrap/>
        <w:overflowPunct/>
        <w:topLinePunct w:val="0"/>
        <w:bidi w:val="0"/>
        <w:spacing w:line="360" w:lineRule="auto"/>
        <w:rPr>
          <w:rFonts w:hint="eastAsia" w:ascii="宋体" w:hAnsi="宋体" w:eastAsia="宋体" w:cs="宋体"/>
          <w:b/>
          <w:spacing w:val="6"/>
          <w:sz w:val="24"/>
          <w:szCs w:val="24"/>
          <w:highlight w:val="none"/>
        </w:rPr>
      </w:pPr>
    </w:p>
    <w:p>
      <w:pPr>
        <w:wordWrap/>
        <w:overflowPunct/>
        <w:topLinePunct w:val="0"/>
        <w:bidi w:val="0"/>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sz w:val="24"/>
          <w:szCs w:val="24"/>
          <w:highlight w:val="none"/>
        </w:rPr>
        <w:t>〔2017〕 141</w:t>
      </w:r>
      <w:r>
        <w:rPr>
          <w:rFonts w:hint="eastAsia" w:ascii="宋体" w:hAnsi="宋体" w:eastAsia="宋体" w:cs="宋体"/>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ordWrap/>
        <w:overflowPunct/>
        <w:topLinePunct w:val="0"/>
        <w:bidi w:val="0"/>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本单位对上述声明的真实性负责。如有虚假，将依法承担相应责任。</w:t>
      </w:r>
    </w:p>
    <w:p>
      <w:pPr>
        <w:wordWrap/>
        <w:overflowPunct/>
        <w:topLinePunct w:val="0"/>
        <w:bidi w:val="0"/>
        <w:spacing w:line="360" w:lineRule="auto"/>
        <w:ind w:firstLine="504" w:firstLineChars="200"/>
        <w:rPr>
          <w:rFonts w:hint="eastAsia" w:ascii="宋体" w:hAnsi="宋体" w:eastAsia="宋体" w:cs="宋体"/>
          <w:spacing w:val="6"/>
          <w:sz w:val="24"/>
          <w:szCs w:val="24"/>
          <w:highlight w:val="none"/>
        </w:rPr>
      </w:pPr>
    </w:p>
    <w:p>
      <w:pPr>
        <w:wordWrap/>
        <w:overflowPunct/>
        <w:topLinePunct w:val="0"/>
        <w:bidi w:val="0"/>
        <w:spacing w:line="360" w:lineRule="auto"/>
        <w:ind w:firstLine="504" w:firstLineChars="200"/>
        <w:rPr>
          <w:rFonts w:hint="eastAsia" w:ascii="宋体" w:hAnsi="宋体" w:eastAsia="宋体" w:cs="宋体"/>
          <w:spacing w:val="6"/>
          <w:sz w:val="24"/>
          <w:szCs w:val="24"/>
          <w:highlight w:val="none"/>
        </w:rPr>
      </w:pPr>
    </w:p>
    <w:p>
      <w:pPr>
        <w:wordWrap/>
        <w:overflowPunct/>
        <w:topLinePunct w:val="0"/>
        <w:bidi w:val="0"/>
        <w:spacing w:line="360" w:lineRule="auto"/>
        <w:ind w:firstLine="504" w:firstLineChars="200"/>
        <w:rPr>
          <w:rFonts w:hint="eastAsia" w:ascii="宋体" w:hAnsi="宋体" w:eastAsia="宋体" w:cs="宋体"/>
          <w:spacing w:val="6"/>
          <w:sz w:val="24"/>
          <w:szCs w:val="24"/>
          <w:highlight w:val="none"/>
        </w:rPr>
      </w:pPr>
    </w:p>
    <w:p>
      <w:pPr>
        <w:wordWrap/>
        <w:overflowPunct/>
        <w:topLinePunct w:val="0"/>
        <w:bidi w:val="0"/>
        <w:spacing w:line="360" w:lineRule="auto"/>
        <w:ind w:firstLine="504" w:firstLineChars="200"/>
        <w:rPr>
          <w:rFonts w:hint="eastAsia" w:ascii="宋体" w:hAnsi="宋体" w:eastAsia="宋体" w:cs="宋体"/>
          <w:spacing w:val="6"/>
          <w:sz w:val="24"/>
          <w:szCs w:val="24"/>
          <w:highlight w:val="none"/>
        </w:rPr>
      </w:pPr>
    </w:p>
    <w:p>
      <w:pPr>
        <w:tabs>
          <w:tab w:val="left" w:pos="4860"/>
        </w:tabs>
        <w:wordWrap/>
        <w:overflowPunct/>
        <w:topLinePunct w:val="0"/>
        <w:bidi w:val="0"/>
        <w:spacing w:line="360" w:lineRule="auto"/>
        <w:ind w:right="1560" w:firstLine="504" w:firstLineChars="200"/>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               单位名称（盖章）：</w:t>
      </w:r>
    </w:p>
    <w:p>
      <w:pPr>
        <w:tabs>
          <w:tab w:val="left" w:pos="4860"/>
        </w:tabs>
        <w:wordWrap/>
        <w:overflowPunct/>
        <w:topLinePunct w:val="0"/>
        <w:bidi w:val="0"/>
        <w:spacing w:line="360" w:lineRule="auto"/>
        <w:ind w:right="1560" w:firstLine="504" w:firstLineChars="200"/>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lang w:val="en-US" w:eastAsia="zh-CN"/>
        </w:rPr>
        <w:t xml:space="preserve"> </w:t>
      </w:r>
      <w:r>
        <w:rPr>
          <w:rFonts w:hint="eastAsia" w:ascii="宋体" w:hAnsi="宋体" w:eastAsia="宋体" w:cs="宋体"/>
          <w:spacing w:val="6"/>
          <w:sz w:val="24"/>
          <w:szCs w:val="24"/>
          <w:highlight w:val="none"/>
        </w:rPr>
        <w:t xml:space="preserve">日  </w:t>
      </w:r>
      <w:r>
        <w:rPr>
          <w:rFonts w:hint="eastAsia" w:ascii="宋体" w:hAnsi="宋体" w:eastAsia="宋体" w:cs="宋体"/>
          <w:spacing w:val="6"/>
          <w:sz w:val="24"/>
          <w:szCs w:val="24"/>
          <w:highlight w:val="none"/>
          <w:lang w:val="en-US" w:eastAsia="zh-CN"/>
        </w:rPr>
        <w:t xml:space="preserve">  </w:t>
      </w:r>
      <w:r>
        <w:rPr>
          <w:rFonts w:hint="eastAsia" w:ascii="宋体" w:hAnsi="宋体" w:eastAsia="宋体" w:cs="宋体"/>
          <w:spacing w:val="6"/>
          <w:sz w:val="24"/>
          <w:szCs w:val="24"/>
          <w:highlight w:val="none"/>
        </w:rPr>
        <w:t>期：</w:t>
      </w:r>
    </w:p>
    <w:p>
      <w:pPr>
        <w:pStyle w:val="17"/>
        <w:wordWrap/>
        <w:overflowPunct/>
        <w:topLinePunct w:val="0"/>
        <w:bidi w:val="0"/>
        <w:spacing w:line="360" w:lineRule="auto"/>
        <w:rPr>
          <w:rFonts w:hint="eastAsia" w:ascii="宋体" w:hAnsi="宋体" w:eastAsia="宋体" w:cs="宋体"/>
          <w:b/>
          <w:bCs/>
          <w:spacing w:val="6"/>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备注：</w:t>
      </w:r>
      <w:r>
        <w:rPr>
          <w:rFonts w:hint="eastAsia" w:ascii="宋体" w:hAnsi="宋体" w:eastAsia="宋体" w:cs="宋体"/>
          <w:sz w:val="24"/>
          <w:szCs w:val="24"/>
          <w:highlight w:val="none"/>
          <w:lang w:eastAsia="zh-CN"/>
        </w:rPr>
        <w:t>符合条件的残疾人福利性单位在参加政府采购活动时，应当提供《残疾人福利性单位声明函》，并对声明的真实性负责；非残疾人福利性单位无需提供。</w:t>
      </w:r>
    </w:p>
    <w:p>
      <w:pPr>
        <w:pStyle w:val="17"/>
        <w:wordWrap/>
        <w:overflowPunct/>
        <w:topLinePunct w:val="0"/>
        <w:bidi w:val="0"/>
        <w:spacing w:line="360" w:lineRule="auto"/>
        <w:rPr>
          <w:rFonts w:hint="eastAsia" w:ascii="宋体" w:hAnsi="宋体" w:eastAsia="宋体" w:cs="宋体"/>
          <w:b/>
          <w:bCs/>
          <w:spacing w:val="6"/>
          <w:kern w:val="0"/>
          <w:sz w:val="24"/>
          <w:szCs w:val="24"/>
          <w:highlight w:val="none"/>
          <w:lang w:val="en-US" w:eastAsia="zh-CN" w:bidi="ar-SA"/>
        </w:rPr>
      </w:pPr>
    </w:p>
    <w:p>
      <w:pPr>
        <w:pStyle w:val="17"/>
        <w:wordWrap/>
        <w:overflowPunct/>
        <w:topLinePunct w:val="0"/>
        <w:bidi w:val="0"/>
        <w:spacing w:line="360" w:lineRule="auto"/>
        <w:rPr>
          <w:rFonts w:hint="eastAsia" w:ascii="宋体" w:hAnsi="宋体" w:eastAsia="宋体" w:cs="宋体"/>
          <w:b/>
          <w:bCs/>
          <w:spacing w:val="6"/>
          <w:kern w:val="0"/>
          <w:sz w:val="24"/>
          <w:szCs w:val="24"/>
          <w:highlight w:val="none"/>
          <w:lang w:val="en-US" w:eastAsia="zh-CN" w:bidi="ar-SA"/>
        </w:rPr>
      </w:pPr>
    </w:p>
    <w:p>
      <w:pPr>
        <w:pStyle w:val="17"/>
        <w:wordWrap/>
        <w:overflowPunct/>
        <w:topLinePunct w:val="0"/>
        <w:bidi w:val="0"/>
        <w:spacing w:line="360" w:lineRule="auto"/>
        <w:rPr>
          <w:rFonts w:hint="eastAsia" w:ascii="宋体" w:hAnsi="宋体" w:eastAsia="宋体" w:cs="宋体"/>
          <w:b/>
          <w:bCs/>
          <w:spacing w:val="6"/>
          <w:kern w:val="0"/>
          <w:sz w:val="24"/>
          <w:szCs w:val="24"/>
          <w:highlight w:val="none"/>
          <w:lang w:val="en-US" w:eastAsia="zh-CN" w:bidi="ar-SA"/>
        </w:rPr>
      </w:pPr>
    </w:p>
    <w:p>
      <w:pPr>
        <w:pStyle w:val="17"/>
        <w:wordWrap/>
        <w:overflowPunct/>
        <w:topLinePunct w:val="0"/>
        <w:bidi w:val="0"/>
        <w:spacing w:line="360" w:lineRule="auto"/>
        <w:rPr>
          <w:rFonts w:hint="eastAsia" w:ascii="宋体" w:hAnsi="宋体" w:eastAsia="宋体" w:cs="宋体"/>
          <w:b/>
          <w:bCs/>
          <w:spacing w:val="6"/>
          <w:kern w:val="0"/>
          <w:sz w:val="24"/>
          <w:szCs w:val="24"/>
          <w:highlight w:val="none"/>
          <w:lang w:val="en-US" w:eastAsia="zh-CN" w:bidi="ar-SA"/>
        </w:rPr>
      </w:pPr>
    </w:p>
    <w:p>
      <w:pPr>
        <w:pStyle w:val="17"/>
        <w:wordWrap/>
        <w:overflowPunct/>
        <w:topLinePunct w:val="0"/>
        <w:bidi w:val="0"/>
        <w:spacing w:line="360" w:lineRule="auto"/>
        <w:rPr>
          <w:rFonts w:hint="eastAsia" w:ascii="宋体" w:hAnsi="宋体" w:eastAsia="宋体" w:cs="宋体"/>
          <w:b/>
          <w:bCs/>
          <w:spacing w:val="6"/>
          <w:kern w:val="0"/>
          <w:sz w:val="24"/>
          <w:szCs w:val="24"/>
          <w:highlight w:val="none"/>
          <w:lang w:val="en-US" w:eastAsia="zh-CN" w:bidi="ar-SA"/>
        </w:rPr>
      </w:pPr>
    </w:p>
    <w:p>
      <w:pPr>
        <w:spacing w:line="360" w:lineRule="auto"/>
        <w:rPr>
          <w:rFonts w:hint="eastAsia" w:ascii="宋体" w:hAnsi="宋体" w:eastAsia="宋体" w:cs="宋体"/>
          <w:b/>
          <w:bCs/>
          <w:spacing w:val="6"/>
          <w:kern w:val="0"/>
          <w:sz w:val="24"/>
          <w:szCs w:val="24"/>
          <w:highlight w:val="none"/>
          <w:lang w:val="en-US" w:eastAsia="zh-CN" w:bidi="ar-SA"/>
        </w:rPr>
      </w:pPr>
    </w:p>
    <w:p>
      <w:pPr>
        <w:pStyle w:val="59"/>
        <w:spacing w:line="360" w:lineRule="auto"/>
        <w:rPr>
          <w:rFonts w:hint="eastAsia" w:ascii="宋体" w:hAnsi="宋体" w:eastAsia="宋体" w:cs="宋体"/>
          <w:sz w:val="24"/>
          <w:szCs w:val="24"/>
          <w:highlight w:val="none"/>
          <w:lang w:val="en-US" w:eastAsia="zh-CN"/>
        </w:rPr>
      </w:pPr>
    </w:p>
    <w:p>
      <w:pPr>
        <w:spacing w:line="360" w:lineRule="auto"/>
        <w:rPr>
          <w:rFonts w:hint="eastAsia" w:ascii="宋体" w:hAnsi="宋体" w:eastAsia="宋体" w:cs="宋体"/>
          <w:b/>
          <w:bCs/>
          <w:spacing w:val="6"/>
          <w:kern w:val="0"/>
          <w:sz w:val="24"/>
          <w:szCs w:val="24"/>
          <w:highlight w:val="none"/>
          <w:lang w:val="en-US" w:eastAsia="zh-CN" w:bidi="ar-SA"/>
        </w:rPr>
      </w:pPr>
      <w:r>
        <w:rPr>
          <w:rFonts w:hint="eastAsia" w:ascii="宋体" w:hAnsi="宋体" w:eastAsia="宋体" w:cs="宋体"/>
          <w:b/>
          <w:bCs/>
          <w:spacing w:val="6"/>
          <w:kern w:val="0"/>
          <w:sz w:val="24"/>
          <w:szCs w:val="24"/>
          <w:highlight w:val="none"/>
          <w:lang w:val="en-US" w:eastAsia="zh-CN" w:bidi="ar-SA"/>
        </w:rPr>
        <w:br w:type="page"/>
      </w:r>
    </w:p>
    <w:p>
      <w:pPr>
        <w:pStyle w:val="17"/>
        <w:wordWrap/>
        <w:overflowPunct/>
        <w:topLinePunct w:val="0"/>
        <w:bidi w:val="0"/>
        <w:spacing w:line="360" w:lineRule="auto"/>
        <w:rPr>
          <w:rFonts w:hint="eastAsia" w:ascii="宋体" w:hAnsi="宋体" w:eastAsia="宋体" w:cs="宋体"/>
          <w:b/>
          <w:bCs/>
          <w:spacing w:val="6"/>
          <w:kern w:val="0"/>
          <w:sz w:val="24"/>
          <w:szCs w:val="24"/>
          <w:highlight w:val="none"/>
          <w:lang w:val="en-US" w:eastAsia="zh-CN" w:bidi="ar-SA"/>
        </w:rPr>
      </w:pPr>
      <w:r>
        <w:rPr>
          <w:rFonts w:hint="eastAsia" w:ascii="宋体" w:hAnsi="宋体" w:eastAsia="宋体" w:cs="宋体"/>
          <w:b/>
          <w:bCs/>
          <w:spacing w:val="6"/>
          <w:kern w:val="0"/>
          <w:sz w:val="24"/>
          <w:szCs w:val="24"/>
          <w:highlight w:val="none"/>
          <w:lang w:val="en-US" w:eastAsia="zh-CN" w:bidi="ar-SA"/>
        </w:rPr>
        <w:t>附件3</w:t>
      </w:r>
    </w:p>
    <w:p>
      <w:pPr>
        <w:wordWrap/>
        <w:overflowPunct/>
        <w:topLinePunct w:val="0"/>
        <w:bidi w:val="0"/>
        <w:spacing w:line="360" w:lineRule="auto"/>
        <w:ind w:firstLine="482" w:firstLineChars="20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监狱企业证明文件</w:t>
      </w:r>
    </w:p>
    <w:p>
      <w:pPr>
        <w:pStyle w:val="17"/>
        <w:wordWrap/>
        <w:overflowPunct/>
        <w:topLinePunct w:val="0"/>
        <w:bidi w:val="0"/>
        <w:spacing w:line="360" w:lineRule="auto"/>
        <w:rPr>
          <w:rFonts w:hint="eastAsia" w:ascii="宋体" w:hAnsi="宋体" w:eastAsia="宋体" w:cs="宋体"/>
          <w:sz w:val="24"/>
          <w:szCs w:val="24"/>
          <w:highlight w:val="none"/>
          <w:lang w:eastAsia="zh-CN"/>
        </w:rPr>
      </w:pPr>
    </w:p>
    <w:p>
      <w:pPr>
        <w:wordWrap/>
        <w:overflowPunct/>
        <w:topLinePunct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wordWrap/>
        <w:overflowPunct/>
        <w:topLinePunct w:val="0"/>
        <w:bidi w:val="0"/>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
          <w:bCs/>
          <w:sz w:val="24"/>
          <w:szCs w:val="24"/>
          <w:highlight w:val="none"/>
          <w:lang w:eastAsia="zh-CN"/>
        </w:rPr>
        <w:t>，</w:t>
      </w:r>
      <w:r>
        <w:rPr>
          <w:rFonts w:hint="eastAsia" w:ascii="宋体" w:hAnsi="宋体" w:eastAsia="宋体" w:cs="宋体"/>
          <w:b/>
          <w:bCs/>
          <w:color w:val="000000"/>
          <w:sz w:val="24"/>
          <w:szCs w:val="24"/>
          <w:highlight w:val="none"/>
          <w:lang w:eastAsia="zh-CN"/>
        </w:rPr>
        <w:t>非监狱企业无需提供</w:t>
      </w:r>
      <w:r>
        <w:rPr>
          <w:rFonts w:hint="eastAsia" w:ascii="宋体" w:hAnsi="宋体" w:eastAsia="宋体" w:cs="宋体"/>
          <w:b/>
          <w:bCs/>
          <w:sz w:val="24"/>
          <w:szCs w:val="24"/>
          <w:highlight w:val="none"/>
        </w:rPr>
        <w:t>。</w:t>
      </w:r>
    </w:p>
    <w:p>
      <w:pPr>
        <w:tabs>
          <w:tab w:val="left" w:pos="7839"/>
        </w:tabs>
        <w:wordWrap/>
        <w:overflowPunct/>
        <w:topLinePunct w:val="0"/>
        <w:bidi w:val="0"/>
        <w:spacing w:line="360" w:lineRule="auto"/>
        <w:rPr>
          <w:rFonts w:hint="eastAsia" w:ascii="宋体" w:hAnsi="宋体" w:eastAsia="宋体" w:cs="宋体"/>
          <w:sz w:val="24"/>
          <w:szCs w:val="24"/>
          <w:highlight w:val="none"/>
        </w:rPr>
      </w:pPr>
    </w:p>
    <w:p>
      <w:pPr>
        <w:snapToGri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p>
    <w:p>
      <w:pPr>
        <w:pStyle w:val="41"/>
        <w:spacing w:line="360" w:lineRule="auto"/>
        <w:rPr>
          <w:rFonts w:hint="eastAsia" w:ascii="宋体" w:hAnsi="宋体" w:eastAsia="宋体" w:cs="宋体"/>
          <w:sz w:val="24"/>
          <w:szCs w:val="24"/>
          <w:highlight w:val="none"/>
        </w:rPr>
      </w:pPr>
    </w:p>
    <w:sectPr>
      <w:footerReference r:id="rId10" w:type="default"/>
      <w:type w:val="continuous"/>
      <w:pgSz w:w="11906" w:h="16838"/>
      <w:pgMar w:top="1418" w:right="1134" w:bottom="1418" w:left="1418" w:header="851" w:footer="85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10002FF" w:usb1="4000FCFF" w:usb2="00000009" w:usb3="00000000" w:csb0="6000019F" w:csb1="DFD7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Futura Bk BT">
    <w:altName w:val="Lucida Sans Unicode"/>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1080" w:hanging="1080" w:hangingChars="600"/>
      <w:jc w:val="left"/>
      <w:rPr>
        <w:rFonts w:hint="eastAsia"/>
      </w:rPr>
    </w:pPr>
    <w:r>
      <w:rPr>
        <w:rFonts w:hint="eastAsia" w:ascii="宋体" w:hAnsi="宋体" w:cs="宋体"/>
        <w:lang w:val="en-US" w:eastAsia="zh-CN"/>
      </w:rPr>
      <w:t xml:space="preserve">中医医院后勤和安保服务项目                                                                 </w:t>
    </w:r>
    <w:r>
      <w:rPr>
        <w:rFonts w:hint="eastAsia" w:ascii="宋体" w:hAnsi="宋体" w:eastAsia="宋体" w:cs="宋体"/>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widowControl w:val="0"/>
      <w:pBdr>
        <w:top w:val="none" w:color="auto" w:sz="0" w:space="1"/>
        <w:left w:val="none" w:color="auto" w:sz="0" w:space="4"/>
        <w:bottom w:val="none" w:color="auto" w:sz="0" w:space="1"/>
        <w:right w:val="none" w:color="auto" w:sz="0" w:space="4"/>
        <w:between w:val="none" w:color="auto" w:sz="0" w:space="0"/>
      </w:pBdr>
      <w:snapToGrid w:val="0"/>
      <w:ind w:left="1084" w:leftChars="0" w:hanging="1084" w:hangingChars="600"/>
      <w:jc w:val="left"/>
      <w:rPr>
        <w:rFonts w:hint="default" w:eastAsia="宋体"/>
        <w:b/>
        <w:bCs/>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1080" w:hanging="1080" w:hangingChars="600"/>
      <w:jc w:val="left"/>
      <w:rPr>
        <w:rFonts w:hint="eastAsia"/>
      </w:rPr>
    </w:pPr>
    <w:r>
      <w:rPr>
        <w:rFonts w:hint="eastAsia" w:ascii="宋体" w:hAnsi="宋体" w:cs="宋体"/>
        <w:lang w:val="en-US" w:eastAsia="zh-CN"/>
      </w:rPr>
      <w:t xml:space="preserve">中医医院后勤和安保服务项目                                                                     </w:t>
    </w:r>
    <w:r>
      <w:rPr>
        <w:rFonts w:hint="eastAsia" w:ascii="宋体" w:hAnsi="宋体" w:eastAsia="宋体" w:cs="宋体"/>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8400"/>
      </w:tabs>
      <w:ind w:left="1080" w:hanging="1080" w:hangingChars="600"/>
      <w:jc w:val="left"/>
      <w:rPr>
        <w:rFonts w:hint="eastAsia" w:ascii="宋体" w:hAnsi="宋体" w:eastAsia="宋体" w:cs="宋体"/>
      </w:rPr>
    </w:pPr>
    <w:r>
      <w:rPr>
        <w:rFonts w:hint="eastAsia" w:ascii="宋体" w:hAnsi="宋体" w:cs="宋体"/>
        <w:lang w:val="en-US" w:eastAsia="zh-CN"/>
      </w:rPr>
      <w:t xml:space="preserve">中医医院后勤和安保服务                                                                     </w:t>
    </w:r>
    <w:r>
      <w:rPr>
        <w:rFonts w:hint="eastAsia" w:ascii="宋体" w:hAnsi="宋体" w:eastAsia="宋体" w:cs="宋体"/>
      </w:rPr>
      <w:t>招标文件</w:t>
    </w:r>
  </w:p>
  <w:p>
    <w:pPr>
      <w:pStyle w:val="29"/>
      <w:widowControl w:val="0"/>
      <w:pBdr>
        <w:top w:val="none" w:color="auto" w:sz="0" w:space="1"/>
        <w:left w:val="none" w:color="auto" w:sz="0" w:space="4"/>
        <w:bottom w:val="none" w:color="auto" w:sz="0" w:space="1"/>
        <w:right w:val="none" w:color="auto" w:sz="0" w:space="4"/>
        <w:between w:val="none" w:color="auto" w:sz="0" w:space="0"/>
      </w:pBdr>
      <w:snapToGrid w:val="0"/>
      <w:ind w:left="1084" w:leftChars="0" w:hanging="1084" w:hangingChars="600"/>
      <w:jc w:val="left"/>
      <w:rPr>
        <w:rFonts w:hint="default" w:eastAsia="宋体"/>
        <w:b/>
        <w:bCs/>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1080" w:hanging="1080" w:hangingChars="600"/>
      <w:jc w:val="left"/>
      <w:rPr>
        <w:rFonts w:hint="eastAsia"/>
      </w:rPr>
    </w:pPr>
    <w:r>
      <w:rPr>
        <w:rFonts w:hint="eastAsia" w:ascii="宋体" w:hAnsi="宋体" w:cs="宋体"/>
        <w:lang w:val="en-US" w:eastAsia="zh-CN"/>
      </w:rPr>
      <w:t xml:space="preserve">中医医院后勤和安保服务项目                                                                     </w:t>
    </w:r>
    <w:r>
      <w:rPr>
        <w:rFonts w:hint="eastAsia" w:ascii="宋体" w:hAnsi="宋体" w:eastAsia="宋体" w:cs="宋体"/>
      </w:rPr>
      <w:t>招标文件</w:t>
    </w:r>
  </w:p>
  <w:p>
    <w:pPr>
      <w:pStyle w:val="29"/>
      <w:widowControl w:val="0"/>
      <w:pBdr>
        <w:top w:val="none" w:color="auto" w:sz="0" w:space="1"/>
        <w:left w:val="none" w:color="auto" w:sz="0" w:space="4"/>
        <w:bottom w:val="none" w:color="auto" w:sz="0" w:space="1"/>
        <w:right w:val="none" w:color="auto" w:sz="0" w:space="4"/>
        <w:between w:val="none" w:color="auto" w:sz="0" w:space="0"/>
      </w:pBdr>
      <w:snapToGrid w:val="0"/>
      <w:ind w:left="1084" w:leftChars="0" w:hanging="1084" w:hangingChars="600"/>
      <w:jc w:val="left"/>
      <w:rPr>
        <w:rFonts w:hint="default" w:eastAsia="宋体"/>
        <w:b/>
        <w:bCs/>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lvl>
  </w:abstractNum>
  <w:abstractNum w:abstractNumId="1">
    <w:nsid w:val="9E4CA47A"/>
    <w:multiLevelType w:val="singleLevel"/>
    <w:tmpl w:val="9E4CA47A"/>
    <w:lvl w:ilvl="0" w:tentative="0">
      <w:start w:val="12"/>
      <w:numFmt w:val="decimal"/>
      <w:lvlText w:val="%1."/>
      <w:lvlJc w:val="left"/>
      <w:pPr>
        <w:tabs>
          <w:tab w:val="left" w:pos="312"/>
        </w:tabs>
      </w:pPr>
    </w:lvl>
  </w:abstractNum>
  <w:abstractNum w:abstractNumId="2">
    <w:nsid w:val="D50817FF"/>
    <w:multiLevelType w:val="singleLevel"/>
    <w:tmpl w:val="D50817FF"/>
    <w:lvl w:ilvl="0" w:tentative="0">
      <w:start w:val="5"/>
      <w:numFmt w:val="chineseCounting"/>
      <w:suff w:val="nothing"/>
      <w:lvlText w:val="%1、"/>
      <w:lvlJc w:val="left"/>
      <w:rPr>
        <w:rFonts w:hint="eastAsia"/>
      </w:rPr>
    </w:lvl>
  </w:abstractNum>
  <w:abstractNum w:abstractNumId="3">
    <w:nsid w:val="D8BE74EF"/>
    <w:multiLevelType w:val="singleLevel"/>
    <w:tmpl w:val="D8BE74EF"/>
    <w:lvl w:ilvl="0" w:tentative="0">
      <w:start w:val="4"/>
      <w:numFmt w:val="chineseCounting"/>
      <w:suff w:val="space"/>
      <w:lvlText w:val="第%1部分"/>
      <w:lvlJc w:val="left"/>
      <w:rPr>
        <w:rFonts w:hint="eastAsia"/>
      </w:rPr>
    </w:lvl>
  </w:abstractNum>
  <w:abstractNum w:abstractNumId="4">
    <w:nsid w:val="DA8563C1"/>
    <w:multiLevelType w:val="singleLevel"/>
    <w:tmpl w:val="DA8563C1"/>
    <w:lvl w:ilvl="0" w:tentative="0">
      <w:start w:val="4"/>
      <w:numFmt w:val="decimal"/>
      <w:suff w:val="nothing"/>
      <w:lvlText w:val="%1．"/>
      <w:lvlJc w:val="left"/>
    </w:lvl>
  </w:abstractNum>
  <w:abstractNum w:abstractNumId="5">
    <w:nsid w:val="04125DC2"/>
    <w:multiLevelType w:val="singleLevel"/>
    <w:tmpl w:val="04125DC2"/>
    <w:lvl w:ilvl="0" w:tentative="0">
      <w:start w:val="1"/>
      <w:numFmt w:val="decimal"/>
      <w:suff w:val="nothing"/>
      <w:lvlText w:val="（%1）"/>
      <w:lvlJc w:val="left"/>
    </w:lvl>
  </w:abstractNum>
  <w:abstractNum w:abstractNumId="6">
    <w:nsid w:val="6563AE0D"/>
    <w:multiLevelType w:val="singleLevel"/>
    <w:tmpl w:val="6563AE0D"/>
    <w:lvl w:ilvl="0" w:tentative="0">
      <w:start w:val="1"/>
      <w:numFmt w:val="decimal"/>
      <w:suff w:val="nothing"/>
      <w:lvlText w:val="（%1）"/>
      <w:lvlJc w:val="left"/>
    </w:lvl>
  </w:abstractNum>
  <w:abstractNum w:abstractNumId="7">
    <w:nsid w:val="6A26F07A"/>
    <w:multiLevelType w:val="singleLevel"/>
    <w:tmpl w:val="6A26F07A"/>
    <w:lvl w:ilvl="0" w:tentative="0">
      <w:start w:val="2"/>
      <w:numFmt w:val="chineseCounting"/>
      <w:suff w:val="space"/>
      <w:lvlText w:val="第%1部分"/>
      <w:lvlJc w:val="left"/>
      <w:rPr>
        <w:rFonts w:hint="eastAsia"/>
      </w:rPr>
    </w:lvl>
  </w:abstractNum>
  <w:abstractNum w:abstractNumId="8">
    <w:nsid w:val="7ED0A0DE"/>
    <w:multiLevelType w:val="singleLevel"/>
    <w:tmpl w:val="7ED0A0DE"/>
    <w:lvl w:ilvl="0" w:tentative="0">
      <w:start w:val="1"/>
      <w:numFmt w:val="decimal"/>
      <w:suff w:val="nothing"/>
      <w:lvlText w:val="%1、"/>
      <w:lvlJc w:val="left"/>
      <w:pPr>
        <w:ind w:left="60"/>
      </w:pPr>
    </w:lvl>
  </w:abstractNum>
  <w:num w:numId="1">
    <w:abstractNumId w:val="7"/>
  </w:num>
  <w:num w:numId="2">
    <w:abstractNumId w:val="1"/>
  </w:num>
  <w:num w:numId="3">
    <w:abstractNumId w:val="4"/>
  </w:num>
  <w:num w:numId="4">
    <w:abstractNumId w:val="6"/>
  </w:num>
  <w:num w:numId="5">
    <w:abstractNumId w:val="5"/>
  </w:num>
  <w:num w:numId="6">
    <w:abstractNumId w:val="3"/>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TJmNjc3MGQ5OWQ5OGYzNGIzMzVhZjg5Y2FkOTEifQ=="/>
  </w:docVars>
  <w:rsids>
    <w:rsidRoot w:val="00172A27"/>
    <w:rsid w:val="00000AB9"/>
    <w:rsid w:val="0000790B"/>
    <w:rsid w:val="00015F6D"/>
    <w:rsid w:val="00024CFC"/>
    <w:rsid w:val="0005022A"/>
    <w:rsid w:val="00052D48"/>
    <w:rsid w:val="0005361D"/>
    <w:rsid w:val="0005494B"/>
    <w:rsid w:val="000643DD"/>
    <w:rsid w:val="000669CC"/>
    <w:rsid w:val="00081DE7"/>
    <w:rsid w:val="00083151"/>
    <w:rsid w:val="00092CC7"/>
    <w:rsid w:val="00096A2E"/>
    <w:rsid w:val="000A21B2"/>
    <w:rsid w:val="000A3B30"/>
    <w:rsid w:val="000A5A77"/>
    <w:rsid w:val="000A7791"/>
    <w:rsid w:val="000B60B0"/>
    <w:rsid w:val="000B6C08"/>
    <w:rsid w:val="000D12F3"/>
    <w:rsid w:val="000D26EF"/>
    <w:rsid w:val="000E0CCE"/>
    <w:rsid w:val="000E16D0"/>
    <w:rsid w:val="000E41CD"/>
    <w:rsid w:val="000F43B4"/>
    <w:rsid w:val="0010228B"/>
    <w:rsid w:val="00105A4D"/>
    <w:rsid w:val="00113624"/>
    <w:rsid w:val="00115047"/>
    <w:rsid w:val="001172AA"/>
    <w:rsid w:val="00117B3E"/>
    <w:rsid w:val="00123FC2"/>
    <w:rsid w:val="00125614"/>
    <w:rsid w:val="00126697"/>
    <w:rsid w:val="00132499"/>
    <w:rsid w:val="00134B67"/>
    <w:rsid w:val="001459B5"/>
    <w:rsid w:val="001469DB"/>
    <w:rsid w:val="0015026D"/>
    <w:rsid w:val="00151FD0"/>
    <w:rsid w:val="0016410A"/>
    <w:rsid w:val="00167335"/>
    <w:rsid w:val="00172A27"/>
    <w:rsid w:val="001746D0"/>
    <w:rsid w:val="0017540D"/>
    <w:rsid w:val="001810E7"/>
    <w:rsid w:val="00190C1D"/>
    <w:rsid w:val="001A0474"/>
    <w:rsid w:val="001A1902"/>
    <w:rsid w:val="001B34FC"/>
    <w:rsid w:val="001B60A0"/>
    <w:rsid w:val="001C4722"/>
    <w:rsid w:val="001D0270"/>
    <w:rsid w:val="001E3092"/>
    <w:rsid w:val="001E3D4D"/>
    <w:rsid w:val="001F3600"/>
    <w:rsid w:val="001F4BA7"/>
    <w:rsid w:val="001F57D7"/>
    <w:rsid w:val="002001C5"/>
    <w:rsid w:val="00200B1D"/>
    <w:rsid w:val="002044CF"/>
    <w:rsid w:val="002107FD"/>
    <w:rsid w:val="002113F6"/>
    <w:rsid w:val="00213804"/>
    <w:rsid w:val="00213D39"/>
    <w:rsid w:val="00214C9C"/>
    <w:rsid w:val="00223AC9"/>
    <w:rsid w:val="00224111"/>
    <w:rsid w:val="0023068E"/>
    <w:rsid w:val="00236A72"/>
    <w:rsid w:val="00236CAC"/>
    <w:rsid w:val="00243258"/>
    <w:rsid w:val="00244998"/>
    <w:rsid w:val="002539D8"/>
    <w:rsid w:val="00256B64"/>
    <w:rsid w:val="00256F65"/>
    <w:rsid w:val="00274E8E"/>
    <w:rsid w:val="0029406F"/>
    <w:rsid w:val="002A1E7A"/>
    <w:rsid w:val="002B035C"/>
    <w:rsid w:val="002B46BE"/>
    <w:rsid w:val="002C2E53"/>
    <w:rsid w:val="002C37E3"/>
    <w:rsid w:val="002C4111"/>
    <w:rsid w:val="002C49B9"/>
    <w:rsid w:val="002C560F"/>
    <w:rsid w:val="002C6E11"/>
    <w:rsid w:val="002D17F4"/>
    <w:rsid w:val="002D2057"/>
    <w:rsid w:val="002D5094"/>
    <w:rsid w:val="002E080C"/>
    <w:rsid w:val="002E619F"/>
    <w:rsid w:val="002E6E08"/>
    <w:rsid w:val="002F0634"/>
    <w:rsid w:val="002F16D3"/>
    <w:rsid w:val="002F2733"/>
    <w:rsid w:val="003020D0"/>
    <w:rsid w:val="003025D1"/>
    <w:rsid w:val="00310DED"/>
    <w:rsid w:val="00313B7B"/>
    <w:rsid w:val="00316DCB"/>
    <w:rsid w:val="00317C0F"/>
    <w:rsid w:val="003237C4"/>
    <w:rsid w:val="00323909"/>
    <w:rsid w:val="0033062F"/>
    <w:rsid w:val="00340A64"/>
    <w:rsid w:val="003411B9"/>
    <w:rsid w:val="00341545"/>
    <w:rsid w:val="00341C25"/>
    <w:rsid w:val="00342E8C"/>
    <w:rsid w:val="00343FF7"/>
    <w:rsid w:val="00350BA2"/>
    <w:rsid w:val="00371A55"/>
    <w:rsid w:val="00372E68"/>
    <w:rsid w:val="00373AAB"/>
    <w:rsid w:val="00381423"/>
    <w:rsid w:val="003833CA"/>
    <w:rsid w:val="0039061B"/>
    <w:rsid w:val="003A2544"/>
    <w:rsid w:val="003B0CBE"/>
    <w:rsid w:val="003C0F5E"/>
    <w:rsid w:val="003C7BD7"/>
    <w:rsid w:val="003D0C48"/>
    <w:rsid w:val="003D19B3"/>
    <w:rsid w:val="003E044B"/>
    <w:rsid w:val="003E10C4"/>
    <w:rsid w:val="003F3AC7"/>
    <w:rsid w:val="003F6390"/>
    <w:rsid w:val="00403BB1"/>
    <w:rsid w:val="004056CF"/>
    <w:rsid w:val="00416778"/>
    <w:rsid w:val="00422BAB"/>
    <w:rsid w:val="00424437"/>
    <w:rsid w:val="00424937"/>
    <w:rsid w:val="004250BE"/>
    <w:rsid w:val="004271B5"/>
    <w:rsid w:val="00454479"/>
    <w:rsid w:val="004725A4"/>
    <w:rsid w:val="00474547"/>
    <w:rsid w:val="00483ACE"/>
    <w:rsid w:val="00491DE8"/>
    <w:rsid w:val="004A08B5"/>
    <w:rsid w:val="004A2905"/>
    <w:rsid w:val="004A2BE7"/>
    <w:rsid w:val="004B1C11"/>
    <w:rsid w:val="004B5AC5"/>
    <w:rsid w:val="004C4BD6"/>
    <w:rsid w:val="004D0F8B"/>
    <w:rsid w:val="004D1BA3"/>
    <w:rsid w:val="004D3A3E"/>
    <w:rsid w:val="004E17AC"/>
    <w:rsid w:val="004E29A3"/>
    <w:rsid w:val="004F4FE6"/>
    <w:rsid w:val="004F6BF9"/>
    <w:rsid w:val="00500E42"/>
    <w:rsid w:val="005057B0"/>
    <w:rsid w:val="005106D6"/>
    <w:rsid w:val="005130E9"/>
    <w:rsid w:val="00515B38"/>
    <w:rsid w:val="00516927"/>
    <w:rsid w:val="00522F2D"/>
    <w:rsid w:val="0052450C"/>
    <w:rsid w:val="00527CAA"/>
    <w:rsid w:val="00532E85"/>
    <w:rsid w:val="00533233"/>
    <w:rsid w:val="00533EE3"/>
    <w:rsid w:val="00541E33"/>
    <w:rsid w:val="00560151"/>
    <w:rsid w:val="005740AA"/>
    <w:rsid w:val="00577204"/>
    <w:rsid w:val="00581D1A"/>
    <w:rsid w:val="0058559E"/>
    <w:rsid w:val="00586714"/>
    <w:rsid w:val="00587E2D"/>
    <w:rsid w:val="0059619F"/>
    <w:rsid w:val="005B10D3"/>
    <w:rsid w:val="005B26EA"/>
    <w:rsid w:val="005B6B04"/>
    <w:rsid w:val="005C3F14"/>
    <w:rsid w:val="005C49A5"/>
    <w:rsid w:val="005D2CF9"/>
    <w:rsid w:val="005D6DE9"/>
    <w:rsid w:val="005E3FDB"/>
    <w:rsid w:val="005E7889"/>
    <w:rsid w:val="00601451"/>
    <w:rsid w:val="00603B18"/>
    <w:rsid w:val="00603C55"/>
    <w:rsid w:val="00604D9F"/>
    <w:rsid w:val="00605C4C"/>
    <w:rsid w:val="00613C81"/>
    <w:rsid w:val="006168DC"/>
    <w:rsid w:val="006241A5"/>
    <w:rsid w:val="00626C91"/>
    <w:rsid w:val="00627BC6"/>
    <w:rsid w:val="00641E40"/>
    <w:rsid w:val="00646D67"/>
    <w:rsid w:val="006611F2"/>
    <w:rsid w:val="0066220A"/>
    <w:rsid w:val="00662257"/>
    <w:rsid w:val="006632E6"/>
    <w:rsid w:val="006659FF"/>
    <w:rsid w:val="00681386"/>
    <w:rsid w:val="00683E43"/>
    <w:rsid w:val="00683E49"/>
    <w:rsid w:val="00696CA6"/>
    <w:rsid w:val="006977E1"/>
    <w:rsid w:val="006A6160"/>
    <w:rsid w:val="006B0062"/>
    <w:rsid w:val="006C49FD"/>
    <w:rsid w:val="006D0490"/>
    <w:rsid w:val="006D0EEF"/>
    <w:rsid w:val="006E1A28"/>
    <w:rsid w:val="006E3BB3"/>
    <w:rsid w:val="006E5C74"/>
    <w:rsid w:val="006F4CD6"/>
    <w:rsid w:val="007028D4"/>
    <w:rsid w:val="007066BF"/>
    <w:rsid w:val="007068CF"/>
    <w:rsid w:val="0072025B"/>
    <w:rsid w:val="007229CE"/>
    <w:rsid w:val="00731B31"/>
    <w:rsid w:val="00746AAD"/>
    <w:rsid w:val="0074753A"/>
    <w:rsid w:val="007549A8"/>
    <w:rsid w:val="007611CC"/>
    <w:rsid w:val="007758F3"/>
    <w:rsid w:val="0078074D"/>
    <w:rsid w:val="00792B1C"/>
    <w:rsid w:val="00793D22"/>
    <w:rsid w:val="007A3925"/>
    <w:rsid w:val="007B1123"/>
    <w:rsid w:val="007B5DBD"/>
    <w:rsid w:val="007C0AF5"/>
    <w:rsid w:val="007C1CE9"/>
    <w:rsid w:val="007D1911"/>
    <w:rsid w:val="007D35AE"/>
    <w:rsid w:val="007D480A"/>
    <w:rsid w:val="007D5AD9"/>
    <w:rsid w:val="007E486B"/>
    <w:rsid w:val="007F7A8C"/>
    <w:rsid w:val="00801291"/>
    <w:rsid w:val="00811641"/>
    <w:rsid w:val="00824FF6"/>
    <w:rsid w:val="00826FFF"/>
    <w:rsid w:val="00836BC2"/>
    <w:rsid w:val="008471CD"/>
    <w:rsid w:val="008500FD"/>
    <w:rsid w:val="008508E8"/>
    <w:rsid w:val="00857452"/>
    <w:rsid w:val="0086066A"/>
    <w:rsid w:val="0086071E"/>
    <w:rsid w:val="00860CBE"/>
    <w:rsid w:val="0086196E"/>
    <w:rsid w:val="008641DB"/>
    <w:rsid w:val="0086713E"/>
    <w:rsid w:val="00867984"/>
    <w:rsid w:val="00870C1F"/>
    <w:rsid w:val="00890FD2"/>
    <w:rsid w:val="00892843"/>
    <w:rsid w:val="00894F13"/>
    <w:rsid w:val="008A0B2E"/>
    <w:rsid w:val="008B1D8B"/>
    <w:rsid w:val="008B465C"/>
    <w:rsid w:val="008B6989"/>
    <w:rsid w:val="008C2C57"/>
    <w:rsid w:val="008D3254"/>
    <w:rsid w:val="008F3B97"/>
    <w:rsid w:val="0090306A"/>
    <w:rsid w:val="00912851"/>
    <w:rsid w:val="009129E0"/>
    <w:rsid w:val="00916716"/>
    <w:rsid w:val="00920D90"/>
    <w:rsid w:val="00924301"/>
    <w:rsid w:val="0092561B"/>
    <w:rsid w:val="00926A78"/>
    <w:rsid w:val="00931F76"/>
    <w:rsid w:val="0093316E"/>
    <w:rsid w:val="00942774"/>
    <w:rsid w:val="00946A60"/>
    <w:rsid w:val="00947D24"/>
    <w:rsid w:val="0095434D"/>
    <w:rsid w:val="00955A6F"/>
    <w:rsid w:val="009658AE"/>
    <w:rsid w:val="00967928"/>
    <w:rsid w:val="00975F25"/>
    <w:rsid w:val="0098290B"/>
    <w:rsid w:val="00983E78"/>
    <w:rsid w:val="00984BAD"/>
    <w:rsid w:val="00984FC5"/>
    <w:rsid w:val="009903F0"/>
    <w:rsid w:val="00990FA3"/>
    <w:rsid w:val="00991916"/>
    <w:rsid w:val="00996818"/>
    <w:rsid w:val="009A10A9"/>
    <w:rsid w:val="009A412B"/>
    <w:rsid w:val="009A5D90"/>
    <w:rsid w:val="009B37CF"/>
    <w:rsid w:val="009B4772"/>
    <w:rsid w:val="009B5605"/>
    <w:rsid w:val="009B7776"/>
    <w:rsid w:val="009B7AF9"/>
    <w:rsid w:val="009C0816"/>
    <w:rsid w:val="009C2FD0"/>
    <w:rsid w:val="009C595A"/>
    <w:rsid w:val="009F58F1"/>
    <w:rsid w:val="00A044D6"/>
    <w:rsid w:val="00A051BB"/>
    <w:rsid w:val="00A16EAA"/>
    <w:rsid w:val="00A17E78"/>
    <w:rsid w:val="00A30264"/>
    <w:rsid w:val="00A33F8C"/>
    <w:rsid w:val="00A3713E"/>
    <w:rsid w:val="00A4544D"/>
    <w:rsid w:val="00A45E37"/>
    <w:rsid w:val="00A46065"/>
    <w:rsid w:val="00A466D9"/>
    <w:rsid w:val="00A56484"/>
    <w:rsid w:val="00A60889"/>
    <w:rsid w:val="00A633FF"/>
    <w:rsid w:val="00A6540C"/>
    <w:rsid w:val="00A71605"/>
    <w:rsid w:val="00A85F15"/>
    <w:rsid w:val="00A86730"/>
    <w:rsid w:val="00AA37A5"/>
    <w:rsid w:val="00AA6EAC"/>
    <w:rsid w:val="00AB4CBB"/>
    <w:rsid w:val="00AC4AF0"/>
    <w:rsid w:val="00AD3A7D"/>
    <w:rsid w:val="00AD40CD"/>
    <w:rsid w:val="00AE12A6"/>
    <w:rsid w:val="00AE7FFD"/>
    <w:rsid w:val="00AF10D4"/>
    <w:rsid w:val="00B00335"/>
    <w:rsid w:val="00B17CCA"/>
    <w:rsid w:val="00B20708"/>
    <w:rsid w:val="00B20A3B"/>
    <w:rsid w:val="00B22737"/>
    <w:rsid w:val="00B41F96"/>
    <w:rsid w:val="00B42397"/>
    <w:rsid w:val="00B45034"/>
    <w:rsid w:val="00B6161B"/>
    <w:rsid w:val="00B6175C"/>
    <w:rsid w:val="00B650D2"/>
    <w:rsid w:val="00B71689"/>
    <w:rsid w:val="00B71823"/>
    <w:rsid w:val="00B76036"/>
    <w:rsid w:val="00B858FA"/>
    <w:rsid w:val="00B8670D"/>
    <w:rsid w:val="00B86AB3"/>
    <w:rsid w:val="00B9017D"/>
    <w:rsid w:val="00B9279A"/>
    <w:rsid w:val="00B97C1C"/>
    <w:rsid w:val="00BA3C32"/>
    <w:rsid w:val="00BA52D9"/>
    <w:rsid w:val="00BB3114"/>
    <w:rsid w:val="00BB3DC4"/>
    <w:rsid w:val="00BB419E"/>
    <w:rsid w:val="00BB4B46"/>
    <w:rsid w:val="00BB51F3"/>
    <w:rsid w:val="00BC05FC"/>
    <w:rsid w:val="00BC38DF"/>
    <w:rsid w:val="00BC6222"/>
    <w:rsid w:val="00BE0653"/>
    <w:rsid w:val="00BE5294"/>
    <w:rsid w:val="00BE662D"/>
    <w:rsid w:val="00BE66E6"/>
    <w:rsid w:val="00C006E5"/>
    <w:rsid w:val="00C00EFD"/>
    <w:rsid w:val="00C0260F"/>
    <w:rsid w:val="00C02D12"/>
    <w:rsid w:val="00C04586"/>
    <w:rsid w:val="00C07F13"/>
    <w:rsid w:val="00C269B5"/>
    <w:rsid w:val="00C44502"/>
    <w:rsid w:val="00C45C34"/>
    <w:rsid w:val="00C46789"/>
    <w:rsid w:val="00C473C9"/>
    <w:rsid w:val="00C4773B"/>
    <w:rsid w:val="00C50B26"/>
    <w:rsid w:val="00C61853"/>
    <w:rsid w:val="00C63EF7"/>
    <w:rsid w:val="00C671B7"/>
    <w:rsid w:val="00C70384"/>
    <w:rsid w:val="00C76F70"/>
    <w:rsid w:val="00C86FF4"/>
    <w:rsid w:val="00C90376"/>
    <w:rsid w:val="00C95F3C"/>
    <w:rsid w:val="00C97CD6"/>
    <w:rsid w:val="00CA5221"/>
    <w:rsid w:val="00CA6016"/>
    <w:rsid w:val="00CA66B1"/>
    <w:rsid w:val="00CB0413"/>
    <w:rsid w:val="00CB3A34"/>
    <w:rsid w:val="00CB4C4F"/>
    <w:rsid w:val="00CC4A04"/>
    <w:rsid w:val="00CD4B66"/>
    <w:rsid w:val="00CD6FFB"/>
    <w:rsid w:val="00CE0249"/>
    <w:rsid w:val="00CE1919"/>
    <w:rsid w:val="00CE2073"/>
    <w:rsid w:val="00CF6A9C"/>
    <w:rsid w:val="00D12C66"/>
    <w:rsid w:val="00D1325D"/>
    <w:rsid w:val="00D210F6"/>
    <w:rsid w:val="00D22EE7"/>
    <w:rsid w:val="00D2382B"/>
    <w:rsid w:val="00D25636"/>
    <w:rsid w:val="00D25C47"/>
    <w:rsid w:val="00D30512"/>
    <w:rsid w:val="00D33470"/>
    <w:rsid w:val="00D34A87"/>
    <w:rsid w:val="00D353D0"/>
    <w:rsid w:val="00D565D3"/>
    <w:rsid w:val="00D63A72"/>
    <w:rsid w:val="00D660EB"/>
    <w:rsid w:val="00D66553"/>
    <w:rsid w:val="00D67DD9"/>
    <w:rsid w:val="00D710F1"/>
    <w:rsid w:val="00D71E0A"/>
    <w:rsid w:val="00D74EB0"/>
    <w:rsid w:val="00D76974"/>
    <w:rsid w:val="00D8198F"/>
    <w:rsid w:val="00D84002"/>
    <w:rsid w:val="00D86C51"/>
    <w:rsid w:val="00D9764C"/>
    <w:rsid w:val="00DA4A3F"/>
    <w:rsid w:val="00DB0721"/>
    <w:rsid w:val="00DB1938"/>
    <w:rsid w:val="00DB3462"/>
    <w:rsid w:val="00DB7DF6"/>
    <w:rsid w:val="00DD0994"/>
    <w:rsid w:val="00DD1A8F"/>
    <w:rsid w:val="00DD1B12"/>
    <w:rsid w:val="00DD57FD"/>
    <w:rsid w:val="00DE7A17"/>
    <w:rsid w:val="00DF0855"/>
    <w:rsid w:val="00DF304A"/>
    <w:rsid w:val="00E12E33"/>
    <w:rsid w:val="00E179F0"/>
    <w:rsid w:val="00E20BF0"/>
    <w:rsid w:val="00E41802"/>
    <w:rsid w:val="00E43EB2"/>
    <w:rsid w:val="00E4685A"/>
    <w:rsid w:val="00E5078A"/>
    <w:rsid w:val="00E50B2C"/>
    <w:rsid w:val="00E54915"/>
    <w:rsid w:val="00E54F6E"/>
    <w:rsid w:val="00E55BB0"/>
    <w:rsid w:val="00E56204"/>
    <w:rsid w:val="00E56BA3"/>
    <w:rsid w:val="00E710AC"/>
    <w:rsid w:val="00E71AB7"/>
    <w:rsid w:val="00E72EAB"/>
    <w:rsid w:val="00E730C5"/>
    <w:rsid w:val="00E75706"/>
    <w:rsid w:val="00E8092E"/>
    <w:rsid w:val="00E81BB8"/>
    <w:rsid w:val="00E95312"/>
    <w:rsid w:val="00E96E59"/>
    <w:rsid w:val="00EA50F9"/>
    <w:rsid w:val="00EA58F8"/>
    <w:rsid w:val="00EB1F68"/>
    <w:rsid w:val="00EB34CB"/>
    <w:rsid w:val="00EB790C"/>
    <w:rsid w:val="00EC0FD6"/>
    <w:rsid w:val="00ED3C52"/>
    <w:rsid w:val="00EE1D41"/>
    <w:rsid w:val="00EE6933"/>
    <w:rsid w:val="00EF0383"/>
    <w:rsid w:val="00EF380D"/>
    <w:rsid w:val="00F0205C"/>
    <w:rsid w:val="00F12F6A"/>
    <w:rsid w:val="00F27443"/>
    <w:rsid w:val="00F3116D"/>
    <w:rsid w:val="00F34E4E"/>
    <w:rsid w:val="00F368A7"/>
    <w:rsid w:val="00F441D7"/>
    <w:rsid w:val="00F6704D"/>
    <w:rsid w:val="00F6757F"/>
    <w:rsid w:val="00F77C45"/>
    <w:rsid w:val="00F80B58"/>
    <w:rsid w:val="00F80BAE"/>
    <w:rsid w:val="00F83F5C"/>
    <w:rsid w:val="00F87ACE"/>
    <w:rsid w:val="00F92437"/>
    <w:rsid w:val="00F937DB"/>
    <w:rsid w:val="00F9401B"/>
    <w:rsid w:val="00F94D69"/>
    <w:rsid w:val="00F979FE"/>
    <w:rsid w:val="00FA1193"/>
    <w:rsid w:val="00FA39E9"/>
    <w:rsid w:val="00FA7CB7"/>
    <w:rsid w:val="00FC165B"/>
    <w:rsid w:val="00FD11D9"/>
    <w:rsid w:val="00FD6D13"/>
    <w:rsid w:val="00FE30DA"/>
    <w:rsid w:val="00FF042C"/>
    <w:rsid w:val="00FF3377"/>
    <w:rsid w:val="00FF7022"/>
    <w:rsid w:val="010D7CAE"/>
    <w:rsid w:val="010E299D"/>
    <w:rsid w:val="01592469"/>
    <w:rsid w:val="015C5DB1"/>
    <w:rsid w:val="0170404F"/>
    <w:rsid w:val="01735F5A"/>
    <w:rsid w:val="017E0007"/>
    <w:rsid w:val="01AF4A4D"/>
    <w:rsid w:val="01EE5456"/>
    <w:rsid w:val="02176509"/>
    <w:rsid w:val="02377BE6"/>
    <w:rsid w:val="029060AA"/>
    <w:rsid w:val="02AE2C16"/>
    <w:rsid w:val="02B94956"/>
    <w:rsid w:val="02C441C6"/>
    <w:rsid w:val="02F53A76"/>
    <w:rsid w:val="032669E8"/>
    <w:rsid w:val="03521F01"/>
    <w:rsid w:val="036B48D4"/>
    <w:rsid w:val="03A57FE5"/>
    <w:rsid w:val="03C330D9"/>
    <w:rsid w:val="03E071B0"/>
    <w:rsid w:val="03F359AA"/>
    <w:rsid w:val="041E0A86"/>
    <w:rsid w:val="044358FC"/>
    <w:rsid w:val="044A7BA3"/>
    <w:rsid w:val="04623A76"/>
    <w:rsid w:val="0472010B"/>
    <w:rsid w:val="0493773A"/>
    <w:rsid w:val="04A64940"/>
    <w:rsid w:val="04A701D9"/>
    <w:rsid w:val="04E055EE"/>
    <w:rsid w:val="04E2054C"/>
    <w:rsid w:val="04E54B7A"/>
    <w:rsid w:val="04F52FD6"/>
    <w:rsid w:val="051666CB"/>
    <w:rsid w:val="051F7672"/>
    <w:rsid w:val="052F1D40"/>
    <w:rsid w:val="05424B35"/>
    <w:rsid w:val="056A7930"/>
    <w:rsid w:val="05D01845"/>
    <w:rsid w:val="05DF2D15"/>
    <w:rsid w:val="05EF3851"/>
    <w:rsid w:val="060B5303"/>
    <w:rsid w:val="063174BB"/>
    <w:rsid w:val="06322E0E"/>
    <w:rsid w:val="06340D6A"/>
    <w:rsid w:val="064B0C94"/>
    <w:rsid w:val="064F459E"/>
    <w:rsid w:val="065128C5"/>
    <w:rsid w:val="068D60ED"/>
    <w:rsid w:val="068E4538"/>
    <w:rsid w:val="06BC1351"/>
    <w:rsid w:val="07034156"/>
    <w:rsid w:val="070E13CD"/>
    <w:rsid w:val="07245249"/>
    <w:rsid w:val="073B1E38"/>
    <w:rsid w:val="073B457B"/>
    <w:rsid w:val="074C2E4B"/>
    <w:rsid w:val="074C4ADA"/>
    <w:rsid w:val="0752169F"/>
    <w:rsid w:val="07767AEB"/>
    <w:rsid w:val="077E43A6"/>
    <w:rsid w:val="07862691"/>
    <w:rsid w:val="07E5385B"/>
    <w:rsid w:val="07F1449F"/>
    <w:rsid w:val="07F20E7E"/>
    <w:rsid w:val="07FF153D"/>
    <w:rsid w:val="0819667B"/>
    <w:rsid w:val="08343F74"/>
    <w:rsid w:val="08414535"/>
    <w:rsid w:val="084614A8"/>
    <w:rsid w:val="0847542C"/>
    <w:rsid w:val="08480F6C"/>
    <w:rsid w:val="0855370F"/>
    <w:rsid w:val="089F71BD"/>
    <w:rsid w:val="08A3125D"/>
    <w:rsid w:val="08A74FB5"/>
    <w:rsid w:val="08CD4F42"/>
    <w:rsid w:val="08F6322F"/>
    <w:rsid w:val="092263E9"/>
    <w:rsid w:val="097E13E3"/>
    <w:rsid w:val="0993732F"/>
    <w:rsid w:val="09A6526C"/>
    <w:rsid w:val="09B4426E"/>
    <w:rsid w:val="09C269E6"/>
    <w:rsid w:val="09F4528B"/>
    <w:rsid w:val="0A1A2968"/>
    <w:rsid w:val="0A2709FD"/>
    <w:rsid w:val="0A2C60A6"/>
    <w:rsid w:val="0A5B4178"/>
    <w:rsid w:val="0A9713EC"/>
    <w:rsid w:val="0AA43F77"/>
    <w:rsid w:val="0AA71863"/>
    <w:rsid w:val="0AA8538E"/>
    <w:rsid w:val="0AE147AE"/>
    <w:rsid w:val="0AF52007"/>
    <w:rsid w:val="0B1306DF"/>
    <w:rsid w:val="0B3E574F"/>
    <w:rsid w:val="0B570F57"/>
    <w:rsid w:val="0B5D5DF3"/>
    <w:rsid w:val="0B7219F2"/>
    <w:rsid w:val="0B7A659F"/>
    <w:rsid w:val="0BAE02F9"/>
    <w:rsid w:val="0BE15B4C"/>
    <w:rsid w:val="0BE33C53"/>
    <w:rsid w:val="0BFA0CCC"/>
    <w:rsid w:val="0C032502"/>
    <w:rsid w:val="0C2333AB"/>
    <w:rsid w:val="0C3118A4"/>
    <w:rsid w:val="0C3E338D"/>
    <w:rsid w:val="0C665E39"/>
    <w:rsid w:val="0C7B43D3"/>
    <w:rsid w:val="0C892282"/>
    <w:rsid w:val="0C8C0749"/>
    <w:rsid w:val="0CBF6062"/>
    <w:rsid w:val="0D224920"/>
    <w:rsid w:val="0D5E00F6"/>
    <w:rsid w:val="0D72077A"/>
    <w:rsid w:val="0D7F229E"/>
    <w:rsid w:val="0DC91529"/>
    <w:rsid w:val="0DE06FC0"/>
    <w:rsid w:val="0E3F0579"/>
    <w:rsid w:val="0E5666F6"/>
    <w:rsid w:val="0E572BD5"/>
    <w:rsid w:val="0E6333EC"/>
    <w:rsid w:val="0E751FD2"/>
    <w:rsid w:val="0E870C1F"/>
    <w:rsid w:val="0EC457FA"/>
    <w:rsid w:val="0EF32D02"/>
    <w:rsid w:val="0F065ABD"/>
    <w:rsid w:val="0F130755"/>
    <w:rsid w:val="0F3D604D"/>
    <w:rsid w:val="0F490772"/>
    <w:rsid w:val="0F4E618A"/>
    <w:rsid w:val="0F75416F"/>
    <w:rsid w:val="0F8971C2"/>
    <w:rsid w:val="0FA626FD"/>
    <w:rsid w:val="0FC65D20"/>
    <w:rsid w:val="0FC75E33"/>
    <w:rsid w:val="101215D4"/>
    <w:rsid w:val="10294501"/>
    <w:rsid w:val="102B5C62"/>
    <w:rsid w:val="104C6051"/>
    <w:rsid w:val="104E6E5E"/>
    <w:rsid w:val="10D03CF0"/>
    <w:rsid w:val="10DB12FA"/>
    <w:rsid w:val="10E77423"/>
    <w:rsid w:val="10F24784"/>
    <w:rsid w:val="1102018A"/>
    <w:rsid w:val="113207A3"/>
    <w:rsid w:val="1156321C"/>
    <w:rsid w:val="116F5F57"/>
    <w:rsid w:val="11AD1F5B"/>
    <w:rsid w:val="11E53EC2"/>
    <w:rsid w:val="120862FD"/>
    <w:rsid w:val="123A4FE9"/>
    <w:rsid w:val="124F0D00"/>
    <w:rsid w:val="126A72C0"/>
    <w:rsid w:val="12880584"/>
    <w:rsid w:val="129676BF"/>
    <w:rsid w:val="129D41F8"/>
    <w:rsid w:val="12A56E0D"/>
    <w:rsid w:val="12B971DF"/>
    <w:rsid w:val="12D55006"/>
    <w:rsid w:val="12F42C58"/>
    <w:rsid w:val="12F750DE"/>
    <w:rsid w:val="132B6DAE"/>
    <w:rsid w:val="13490117"/>
    <w:rsid w:val="13794B74"/>
    <w:rsid w:val="1395331A"/>
    <w:rsid w:val="13A445CA"/>
    <w:rsid w:val="13BF7656"/>
    <w:rsid w:val="13CD2D65"/>
    <w:rsid w:val="13D06B5F"/>
    <w:rsid w:val="13D0731A"/>
    <w:rsid w:val="13ED5D3B"/>
    <w:rsid w:val="13F41A26"/>
    <w:rsid w:val="13FD5EED"/>
    <w:rsid w:val="14107E69"/>
    <w:rsid w:val="1462503A"/>
    <w:rsid w:val="14921339"/>
    <w:rsid w:val="14930299"/>
    <w:rsid w:val="14C26A3F"/>
    <w:rsid w:val="14E530ED"/>
    <w:rsid w:val="151B08BC"/>
    <w:rsid w:val="152C693B"/>
    <w:rsid w:val="154530D7"/>
    <w:rsid w:val="1556200E"/>
    <w:rsid w:val="1556251E"/>
    <w:rsid w:val="157C6CB2"/>
    <w:rsid w:val="158C17BA"/>
    <w:rsid w:val="15A66E56"/>
    <w:rsid w:val="15BB652C"/>
    <w:rsid w:val="15D37588"/>
    <w:rsid w:val="15E52D11"/>
    <w:rsid w:val="161E5935"/>
    <w:rsid w:val="16206D76"/>
    <w:rsid w:val="167A2ED0"/>
    <w:rsid w:val="167B66AC"/>
    <w:rsid w:val="168E65B4"/>
    <w:rsid w:val="16931C70"/>
    <w:rsid w:val="16A012A2"/>
    <w:rsid w:val="16AA639C"/>
    <w:rsid w:val="16AE750E"/>
    <w:rsid w:val="16D4233C"/>
    <w:rsid w:val="16EF4002"/>
    <w:rsid w:val="16F851AF"/>
    <w:rsid w:val="172A2A51"/>
    <w:rsid w:val="172E0C33"/>
    <w:rsid w:val="174D4042"/>
    <w:rsid w:val="17562080"/>
    <w:rsid w:val="176C25AC"/>
    <w:rsid w:val="17774AC3"/>
    <w:rsid w:val="177956AE"/>
    <w:rsid w:val="17C52D22"/>
    <w:rsid w:val="17D91255"/>
    <w:rsid w:val="17F02E4D"/>
    <w:rsid w:val="1809450B"/>
    <w:rsid w:val="186B2A20"/>
    <w:rsid w:val="18C127F2"/>
    <w:rsid w:val="18C63393"/>
    <w:rsid w:val="18C90CFF"/>
    <w:rsid w:val="18CD0B35"/>
    <w:rsid w:val="18DC3CCF"/>
    <w:rsid w:val="18E92892"/>
    <w:rsid w:val="18EA6F23"/>
    <w:rsid w:val="19233FA3"/>
    <w:rsid w:val="192537CA"/>
    <w:rsid w:val="19431DA0"/>
    <w:rsid w:val="195919B3"/>
    <w:rsid w:val="19931AB5"/>
    <w:rsid w:val="199512F0"/>
    <w:rsid w:val="199B0385"/>
    <w:rsid w:val="19AA1AF9"/>
    <w:rsid w:val="19C71184"/>
    <w:rsid w:val="19EF3ACE"/>
    <w:rsid w:val="1A051B3B"/>
    <w:rsid w:val="1A057D8D"/>
    <w:rsid w:val="1A347D4B"/>
    <w:rsid w:val="1A4953AC"/>
    <w:rsid w:val="1A557ED5"/>
    <w:rsid w:val="1A6858B9"/>
    <w:rsid w:val="1A6B7078"/>
    <w:rsid w:val="1A703379"/>
    <w:rsid w:val="1A742EDA"/>
    <w:rsid w:val="1A9173E7"/>
    <w:rsid w:val="1A9F0C83"/>
    <w:rsid w:val="1AA80D89"/>
    <w:rsid w:val="1AB31334"/>
    <w:rsid w:val="1AB776DE"/>
    <w:rsid w:val="1AC06A33"/>
    <w:rsid w:val="1AEE1EBE"/>
    <w:rsid w:val="1AF44669"/>
    <w:rsid w:val="1B1E1452"/>
    <w:rsid w:val="1B425A03"/>
    <w:rsid w:val="1B4D701A"/>
    <w:rsid w:val="1B9964FB"/>
    <w:rsid w:val="1BA444CC"/>
    <w:rsid w:val="1BB67025"/>
    <w:rsid w:val="1BCE2ACB"/>
    <w:rsid w:val="1BDA4AC1"/>
    <w:rsid w:val="1C022E6C"/>
    <w:rsid w:val="1C612596"/>
    <w:rsid w:val="1C7F3E27"/>
    <w:rsid w:val="1CC22675"/>
    <w:rsid w:val="1CE719CD"/>
    <w:rsid w:val="1CFC0F98"/>
    <w:rsid w:val="1DA578BD"/>
    <w:rsid w:val="1DEF27B9"/>
    <w:rsid w:val="1E5C4D35"/>
    <w:rsid w:val="1E6B7566"/>
    <w:rsid w:val="1E753AA1"/>
    <w:rsid w:val="1E931FA3"/>
    <w:rsid w:val="1EAF5DEB"/>
    <w:rsid w:val="1EF15C9C"/>
    <w:rsid w:val="1EFB2FFA"/>
    <w:rsid w:val="1EFC7464"/>
    <w:rsid w:val="1F0F46C2"/>
    <w:rsid w:val="1F1668EB"/>
    <w:rsid w:val="1F316F2E"/>
    <w:rsid w:val="1F361C45"/>
    <w:rsid w:val="1F4446D0"/>
    <w:rsid w:val="1F455F33"/>
    <w:rsid w:val="1F504C1F"/>
    <w:rsid w:val="1F5C540C"/>
    <w:rsid w:val="1F7E7B2E"/>
    <w:rsid w:val="1FAE2C5F"/>
    <w:rsid w:val="1FE12BB5"/>
    <w:rsid w:val="1FEF691D"/>
    <w:rsid w:val="1FF22B62"/>
    <w:rsid w:val="1FF73CD4"/>
    <w:rsid w:val="20237A84"/>
    <w:rsid w:val="204A4D07"/>
    <w:rsid w:val="2096173F"/>
    <w:rsid w:val="209A5AF5"/>
    <w:rsid w:val="20AB7496"/>
    <w:rsid w:val="20AC3881"/>
    <w:rsid w:val="20AE0CF7"/>
    <w:rsid w:val="20BB51CB"/>
    <w:rsid w:val="20CD4719"/>
    <w:rsid w:val="20D85B49"/>
    <w:rsid w:val="20DB43AD"/>
    <w:rsid w:val="20E95D13"/>
    <w:rsid w:val="21183FF9"/>
    <w:rsid w:val="212E0A02"/>
    <w:rsid w:val="213B55BE"/>
    <w:rsid w:val="214967B1"/>
    <w:rsid w:val="216009F8"/>
    <w:rsid w:val="217D40E8"/>
    <w:rsid w:val="21DB5CC6"/>
    <w:rsid w:val="21DD24A2"/>
    <w:rsid w:val="21DD49CB"/>
    <w:rsid w:val="21EB63F2"/>
    <w:rsid w:val="22042B99"/>
    <w:rsid w:val="220D3C83"/>
    <w:rsid w:val="221B64CB"/>
    <w:rsid w:val="2242260B"/>
    <w:rsid w:val="227E2B74"/>
    <w:rsid w:val="22837B3B"/>
    <w:rsid w:val="228B4025"/>
    <w:rsid w:val="228C104B"/>
    <w:rsid w:val="229E148E"/>
    <w:rsid w:val="22A243CB"/>
    <w:rsid w:val="22DC3680"/>
    <w:rsid w:val="22EF5318"/>
    <w:rsid w:val="2300653D"/>
    <w:rsid w:val="23162F0E"/>
    <w:rsid w:val="23394CB0"/>
    <w:rsid w:val="233F5BDA"/>
    <w:rsid w:val="236C1AA3"/>
    <w:rsid w:val="239C1C25"/>
    <w:rsid w:val="23EC5247"/>
    <w:rsid w:val="23FC53D4"/>
    <w:rsid w:val="24074A22"/>
    <w:rsid w:val="24191654"/>
    <w:rsid w:val="2472601F"/>
    <w:rsid w:val="249859C9"/>
    <w:rsid w:val="24B14D99"/>
    <w:rsid w:val="24C47A35"/>
    <w:rsid w:val="24DF431D"/>
    <w:rsid w:val="25101AE9"/>
    <w:rsid w:val="251B735D"/>
    <w:rsid w:val="25203C5B"/>
    <w:rsid w:val="25271897"/>
    <w:rsid w:val="25953326"/>
    <w:rsid w:val="25B11709"/>
    <w:rsid w:val="25BF642B"/>
    <w:rsid w:val="25C909A6"/>
    <w:rsid w:val="26374B86"/>
    <w:rsid w:val="26452E30"/>
    <w:rsid w:val="265E2CFF"/>
    <w:rsid w:val="267057E9"/>
    <w:rsid w:val="26804A23"/>
    <w:rsid w:val="269B06C8"/>
    <w:rsid w:val="26A34BB6"/>
    <w:rsid w:val="26C846B8"/>
    <w:rsid w:val="26D01617"/>
    <w:rsid w:val="26D6483C"/>
    <w:rsid w:val="26DC4479"/>
    <w:rsid w:val="26E41CCB"/>
    <w:rsid w:val="26FB2ACC"/>
    <w:rsid w:val="27057F32"/>
    <w:rsid w:val="275D3300"/>
    <w:rsid w:val="276E60CD"/>
    <w:rsid w:val="277A1B31"/>
    <w:rsid w:val="27C76682"/>
    <w:rsid w:val="27F76BCA"/>
    <w:rsid w:val="28100CC6"/>
    <w:rsid w:val="28126A85"/>
    <w:rsid w:val="282150E9"/>
    <w:rsid w:val="28A770F0"/>
    <w:rsid w:val="28AB678D"/>
    <w:rsid w:val="28B300BA"/>
    <w:rsid w:val="28C45520"/>
    <w:rsid w:val="28CF3D38"/>
    <w:rsid w:val="28FB2270"/>
    <w:rsid w:val="29193E52"/>
    <w:rsid w:val="29256BCE"/>
    <w:rsid w:val="29946FA3"/>
    <w:rsid w:val="29976B6A"/>
    <w:rsid w:val="29BF23C0"/>
    <w:rsid w:val="29D1014C"/>
    <w:rsid w:val="29DD582A"/>
    <w:rsid w:val="29E9585C"/>
    <w:rsid w:val="29EB2AFB"/>
    <w:rsid w:val="2A1009C7"/>
    <w:rsid w:val="2A17361C"/>
    <w:rsid w:val="2A320916"/>
    <w:rsid w:val="2A375D41"/>
    <w:rsid w:val="2A693A20"/>
    <w:rsid w:val="2A773719"/>
    <w:rsid w:val="2A950493"/>
    <w:rsid w:val="2AA508CD"/>
    <w:rsid w:val="2AEA4B61"/>
    <w:rsid w:val="2B1269FD"/>
    <w:rsid w:val="2B221CE0"/>
    <w:rsid w:val="2B9564D0"/>
    <w:rsid w:val="2B9B40AD"/>
    <w:rsid w:val="2BB01477"/>
    <w:rsid w:val="2BDF2F66"/>
    <w:rsid w:val="2BE023C4"/>
    <w:rsid w:val="2BE43DA1"/>
    <w:rsid w:val="2C290EE9"/>
    <w:rsid w:val="2C933A01"/>
    <w:rsid w:val="2CA9708A"/>
    <w:rsid w:val="2CAC5F7D"/>
    <w:rsid w:val="2CAF2ECB"/>
    <w:rsid w:val="2CCA6A7E"/>
    <w:rsid w:val="2CDD556A"/>
    <w:rsid w:val="2D092E76"/>
    <w:rsid w:val="2D0A1A7B"/>
    <w:rsid w:val="2D0D5881"/>
    <w:rsid w:val="2D283E6C"/>
    <w:rsid w:val="2D6E7E4B"/>
    <w:rsid w:val="2D99461C"/>
    <w:rsid w:val="2DAC361B"/>
    <w:rsid w:val="2DD3296E"/>
    <w:rsid w:val="2DD90081"/>
    <w:rsid w:val="2DE27D71"/>
    <w:rsid w:val="2DE52C57"/>
    <w:rsid w:val="2DE57862"/>
    <w:rsid w:val="2DEC1D3C"/>
    <w:rsid w:val="2E051F5E"/>
    <w:rsid w:val="2E1D6FFC"/>
    <w:rsid w:val="2E3040AE"/>
    <w:rsid w:val="2E506979"/>
    <w:rsid w:val="2E732DF7"/>
    <w:rsid w:val="2E7D2B29"/>
    <w:rsid w:val="2E9276A5"/>
    <w:rsid w:val="2E976DAE"/>
    <w:rsid w:val="2EA34F73"/>
    <w:rsid w:val="2EAF75D8"/>
    <w:rsid w:val="2EC3136F"/>
    <w:rsid w:val="2F081A5A"/>
    <w:rsid w:val="2F87097D"/>
    <w:rsid w:val="2F9C6C74"/>
    <w:rsid w:val="2FA77700"/>
    <w:rsid w:val="2FAD73A0"/>
    <w:rsid w:val="2FBC1909"/>
    <w:rsid w:val="2FC16EFF"/>
    <w:rsid w:val="2FD410B3"/>
    <w:rsid w:val="2FE42982"/>
    <w:rsid w:val="2FF65BD7"/>
    <w:rsid w:val="30195EF2"/>
    <w:rsid w:val="301D2986"/>
    <w:rsid w:val="30310509"/>
    <w:rsid w:val="30401F9D"/>
    <w:rsid w:val="304E64B6"/>
    <w:rsid w:val="3063470D"/>
    <w:rsid w:val="309F5314"/>
    <w:rsid w:val="30B55C11"/>
    <w:rsid w:val="30CB4547"/>
    <w:rsid w:val="31120C37"/>
    <w:rsid w:val="3115280F"/>
    <w:rsid w:val="31560261"/>
    <w:rsid w:val="31A73E2E"/>
    <w:rsid w:val="31BA43C9"/>
    <w:rsid w:val="31C16AB4"/>
    <w:rsid w:val="320563A7"/>
    <w:rsid w:val="320A57CD"/>
    <w:rsid w:val="32244DFC"/>
    <w:rsid w:val="324B7C77"/>
    <w:rsid w:val="327005F9"/>
    <w:rsid w:val="32A8252D"/>
    <w:rsid w:val="32DE2260"/>
    <w:rsid w:val="32F81814"/>
    <w:rsid w:val="32FB0F4C"/>
    <w:rsid w:val="32FD56ED"/>
    <w:rsid w:val="330F17E5"/>
    <w:rsid w:val="33332E1D"/>
    <w:rsid w:val="333A1E7A"/>
    <w:rsid w:val="335B2DBB"/>
    <w:rsid w:val="33736C53"/>
    <w:rsid w:val="33D0308C"/>
    <w:rsid w:val="33E744B7"/>
    <w:rsid w:val="33F3468D"/>
    <w:rsid w:val="33F52DA1"/>
    <w:rsid w:val="33F64A1A"/>
    <w:rsid w:val="340C750B"/>
    <w:rsid w:val="340D2FDB"/>
    <w:rsid w:val="3421373E"/>
    <w:rsid w:val="342B09EB"/>
    <w:rsid w:val="34527057"/>
    <w:rsid w:val="345D3C26"/>
    <w:rsid w:val="345F54B7"/>
    <w:rsid w:val="347E351D"/>
    <w:rsid w:val="34A31AFB"/>
    <w:rsid w:val="34B86D13"/>
    <w:rsid w:val="34BC4687"/>
    <w:rsid w:val="34E9340B"/>
    <w:rsid w:val="34FD7B87"/>
    <w:rsid w:val="351823E5"/>
    <w:rsid w:val="35267B43"/>
    <w:rsid w:val="354978C3"/>
    <w:rsid w:val="356221AD"/>
    <w:rsid w:val="35683A54"/>
    <w:rsid w:val="357758E3"/>
    <w:rsid w:val="357D4824"/>
    <w:rsid w:val="35A55437"/>
    <w:rsid w:val="35F431BB"/>
    <w:rsid w:val="36725C92"/>
    <w:rsid w:val="36C466FA"/>
    <w:rsid w:val="36CB02C0"/>
    <w:rsid w:val="37231F6C"/>
    <w:rsid w:val="373A0A40"/>
    <w:rsid w:val="37702FE8"/>
    <w:rsid w:val="37976071"/>
    <w:rsid w:val="37AA4049"/>
    <w:rsid w:val="37B3347F"/>
    <w:rsid w:val="37D25E78"/>
    <w:rsid w:val="3807777E"/>
    <w:rsid w:val="380F26A6"/>
    <w:rsid w:val="38242B94"/>
    <w:rsid w:val="383102F9"/>
    <w:rsid w:val="38332E0C"/>
    <w:rsid w:val="384A5771"/>
    <w:rsid w:val="385F29E9"/>
    <w:rsid w:val="38643C9F"/>
    <w:rsid w:val="38892B5C"/>
    <w:rsid w:val="38A8126A"/>
    <w:rsid w:val="38BD21BA"/>
    <w:rsid w:val="38D56637"/>
    <w:rsid w:val="38F42DD2"/>
    <w:rsid w:val="39043742"/>
    <w:rsid w:val="39060BC2"/>
    <w:rsid w:val="39157987"/>
    <w:rsid w:val="39313B99"/>
    <w:rsid w:val="393B1A49"/>
    <w:rsid w:val="39436326"/>
    <w:rsid w:val="39614CA2"/>
    <w:rsid w:val="39A20CFD"/>
    <w:rsid w:val="39A8727C"/>
    <w:rsid w:val="39CF204D"/>
    <w:rsid w:val="39DC0E8E"/>
    <w:rsid w:val="39E22AEA"/>
    <w:rsid w:val="3A034A0E"/>
    <w:rsid w:val="3A1A2409"/>
    <w:rsid w:val="3A1C0E86"/>
    <w:rsid w:val="3A2351B0"/>
    <w:rsid w:val="3A236771"/>
    <w:rsid w:val="3A236EF9"/>
    <w:rsid w:val="3A6C3A05"/>
    <w:rsid w:val="3A7931A8"/>
    <w:rsid w:val="3A9C6A8F"/>
    <w:rsid w:val="3AC94A3A"/>
    <w:rsid w:val="3ADE7B13"/>
    <w:rsid w:val="3AF1486E"/>
    <w:rsid w:val="3AF23F12"/>
    <w:rsid w:val="3AFC48EC"/>
    <w:rsid w:val="3AFD3A9D"/>
    <w:rsid w:val="3B1C3301"/>
    <w:rsid w:val="3B2F5E4E"/>
    <w:rsid w:val="3B513DEE"/>
    <w:rsid w:val="3B691D97"/>
    <w:rsid w:val="3B7053DE"/>
    <w:rsid w:val="3BC83389"/>
    <w:rsid w:val="3BCE2734"/>
    <w:rsid w:val="3BD07273"/>
    <w:rsid w:val="3C243C4B"/>
    <w:rsid w:val="3C2D2FF5"/>
    <w:rsid w:val="3C3218B9"/>
    <w:rsid w:val="3C3C29EE"/>
    <w:rsid w:val="3C4F5132"/>
    <w:rsid w:val="3C6525A5"/>
    <w:rsid w:val="3C7A2DCE"/>
    <w:rsid w:val="3C945E4D"/>
    <w:rsid w:val="3CAF2872"/>
    <w:rsid w:val="3CB32057"/>
    <w:rsid w:val="3CCF7F38"/>
    <w:rsid w:val="3CD047A6"/>
    <w:rsid w:val="3CF41C14"/>
    <w:rsid w:val="3CF803AC"/>
    <w:rsid w:val="3D005253"/>
    <w:rsid w:val="3D3118EB"/>
    <w:rsid w:val="3D34734F"/>
    <w:rsid w:val="3D4914B1"/>
    <w:rsid w:val="3D4B7758"/>
    <w:rsid w:val="3D5552B8"/>
    <w:rsid w:val="3D692C3F"/>
    <w:rsid w:val="3D8B3C33"/>
    <w:rsid w:val="3DB945F5"/>
    <w:rsid w:val="3DCA5029"/>
    <w:rsid w:val="3DCB0515"/>
    <w:rsid w:val="3DDA1633"/>
    <w:rsid w:val="3DFD7168"/>
    <w:rsid w:val="3E163336"/>
    <w:rsid w:val="3E235C84"/>
    <w:rsid w:val="3E5F540E"/>
    <w:rsid w:val="3E6C01D2"/>
    <w:rsid w:val="3E867D8C"/>
    <w:rsid w:val="3E8F3986"/>
    <w:rsid w:val="3EB900D3"/>
    <w:rsid w:val="3ECE7D2E"/>
    <w:rsid w:val="3ED73AE6"/>
    <w:rsid w:val="3EDF3F16"/>
    <w:rsid w:val="3EE30F7D"/>
    <w:rsid w:val="3F055FB6"/>
    <w:rsid w:val="3F47037C"/>
    <w:rsid w:val="3F4E170B"/>
    <w:rsid w:val="3F62682D"/>
    <w:rsid w:val="3F6E3B5B"/>
    <w:rsid w:val="3F7A20AE"/>
    <w:rsid w:val="3FE14AE0"/>
    <w:rsid w:val="3FEC4101"/>
    <w:rsid w:val="403642AA"/>
    <w:rsid w:val="40632F94"/>
    <w:rsid w:val="40A37E18"/>
    <w:rsid w:val="40B41A41"/>
    <w:rsid w:val="40CD3D02"/>
    <w:rsid w:val="41862EE9"/>
    <w:rsid w:val="41A23C24"/>
    <w:rsid w:val="41D0464D"/>
    <w:rsid w:val="41DD38D3"/>
    <w:rsid w:val="42222148"/>
    <w:rsid w:val="42443F87"/>
    <w:rsid w:val="42566AF0"/>
    <w:rsid w:val="42581CC7"/>
    <w:rsid w:val="42707BEA"/>
    <w:rsid w:val="42812299"/>
    <w:rsid w:val="42AA417F"/>
    <w:rsid w:val="42D81106"/>
    <w:rsid w:val="42DD4B4A"/>
    <w:rsid w:val="42F029F7"/>
    <w:rsid w:val="431219E3"/>
    <w:rsid w:val="431846E9"/>
    <w:rsid w:val="431B695C"/>
    <w:rsid w:val="434346DE"/>
    <w:rsid w:val="434E44A7"/>
    <w:rsid w:val="43512E49"/>
    <w:rsid w:val="436D5705"/>
    <w:rsid w:val="43775F23"/>
    <w:rsid w:val="43BB0FD0"/>
    <w:rsid w:val="43BE13CA"/>
    <w:rsid w:val="43E02B4D"/>
    <w:rsid w:val="43E43B1F"/>
    <w:rsid w:val="43E53A75"/>
    <w:rsid w:val="43FF0184"/>
    <w:rsid w:val="44004CA8"/>
    <w:rsid w:val="440B1DF8"/>
    <w:rsid w:val="441C40D4"/>
    <w:rsid w:val="44495458"/>
    <w:rsid w:val="449630B1"/>
    <w:rsid w:val="44C11685"/>
    <w:rsid w:val="44DC4D12"/>
    <w:rsid w:val="44E17249"/>
    <w:rsid w:val="44F504C9"/>
    <w:rsid w:val="44FB4726"/>
    <w:rsid w:val="45077E73"/>
    <w:rsid w:val="450B59A8"/>
    <w:rsid w:val="45136354"/>
    <w:rsid w:val="451713AC"/>
    <w:rsid w:val="452469FE"/>
    <w:rsid w:val="455C26A8"/>
    <w:rsid w:val="45783434"/>
    <w:rsid w:val="45A07DBC"/>
    <w:rsid w:val="45AD61FC"/>
    <w:rsid w:val="45B8325D"/>
    <w:rsid w:val="45BF39AD"/>
    <w:rsid w:val="45E06AD2"/>
    <w:rsid w:val="45FD0EBA"/>
    <w:rsid w:val="46072965"/>
    <w:rsid w:val="462A584F"/>
    <w:rsid w:val="46500AD4"/>
    <w:rsid w:val="46537CE0"/>
    <w:rsid w:val="46562DA7"/>
    <w:rsid w:val="466D3D88"/>
    <w:rsid w:val="46867910"/>
    <w:rsid w:val="46B475BD"/>
    <w:rsid w:val="46FD2D63"/>
    <w:rsid w:val="470A2DF2"/>
    <w:rsid w:val="473653BD"/>
    <w:rsid w:val="47374B95"/>
    <w:rsid w:val="47637A38"/>
    <w:rsid w:val="47A852CE"/>
    <w:rsid w:val="47B40D9A"/>
    <w:rsid w:val="47C05FC0"/>
    <w:rsid w:val="47EA57FC"/>
    <w:rsid w:val="47F23EAB"/>
    <w:rsid w:val="480568A7"/>
    <w:rsid w:val="480F0C6A"/>
    <w:rsid w:val="481629BE"/>
    <w:rsid w:val="48417499"/>
    <w:rsid w:val="484D3FB1"/>
    <w:rsid w:val="48735D3E"/>
    <w:rsid w:val="48754629"/>
    <w:rsid w:val="48C216E7"/>
    <w:rsid w:val="48C83810"/>
    <w:rsid w:val="48CF6CE0"/>
    <w:rsid w:val="48EC5AF0"/>
    <w:rsid w:val="48F10632"/>
    <w:rsid w:val="49180624"/>
    <w:rsid w:val="49380D36"/>
    <w:rsid w:val="496C17E6"/>
    <w:rsid w:val="497C5F5E"/>
    <w:rsid w:val="49921B9C"/>
    <w:rsid w:val="49CE50DE"/>
    <w:rsid w:val="49D37AEA"/>
    <w:rsid w:val="4A205018"/>
    <w:rsid w:val="4A3B6CB1"/>
    <w:rsid w:val="4A453398"/>
    <w:rsid w:val="4A952779"/>
    <w:rsid w:val="4AB74B32"/>
    <w:rsid w:val="4B413ED2"/>
    <w:rsid w:val="4B6B030A"/>
    <w:rsid w:val="4B876458"/>
    <w:rsid w:val="4B991F11"/>
    <w:rsid w:val="4BA25ADB"/>
    <w:rsid w:val="4BBD6990"/>
    <w:rsid w:val="4BC72D95"/>
    <w:rsid w:val="4BC8298A"/>
    <w:rsid w:val="4BD032DB"/>
    <w:rsid w:val="4BDF193C"/>
    <w:rsid w:val="4BE01608"/>
    <w:rsid w:val="4BE24E41"/>
    <w:rsid w:val="4BE65461"/>
    <w:rsid w:val="4C407841"/>
    <w:rsid w:val="4CC7209A"/>
    <w:rsid w:val="4D110BD2"/>
    <w:rsid w:val="4D123B4A"/>
    <w:rsid w:val="4D3D3D41"/>
    <w:rsid w:val="4D6927A1"/>
    <w:rsid w:val="4D8F5AD4"/>
    <w:rsid w:val="4DA23ED3"/>
    <w:rsid w:val="4E30637C"/>
    <w:rsid w:val="4E531211"/>
    <w:rsid w:val="4E6272FF"/>
    <w:rsid w:val="4E836345"/>
    <w:rsid w:val="4E8A1BD3"/>
    <w:rsid w:val="4E991EB4"/>
    <w:rsid w:val="4EA331C8"/>
    <w:rsid w:val="4EA77F02"/>
    <w:rsid w:val="4F1D4680"/>
    <w:rsid w:val="4F584350"/>
    <w:rsid w:val="4F6201FC"/>
    <w:rsid w:val="4FA37BB1"/>
    <w:rsid w:val="4FC8067B"/>
    <w:rsid w:val="4FEA47B3"/>
    <w:rsid w:val="4FEB5A09"/>
    <w:rsid w:val="4FF93690"/>
    <w:rsid w:val="4FFB2802"/>
    <w:rsid w:val="50591CBD"/>
    <w:rsid w:val="50665D02"/>
    <w:rsid w:val="50767501"/>
    <w:rsid w:val="507E419A"/>
    <w:rsid w:val="50A47DB1"/>
    <w:rsid w:val="50BC6AD5"/>
    <w:rsid w:val="50D33F90"/>
    <w:rsid w:val="50D432C9"/>
    <w:rsid w:val="50DC50D8"/>
    <w:rsid w:val="50EC631F"/>
    <w:rsid w:val="50FB0887"/>
    <w:rsid w:val="50FD5126"/>
    <w:rsid w:val="510B46C0"/>
    <w:rsid w:val="513940B8"/>
    <w:rsid w:val="5144072C"/>
    <w:rsid w:val="51F0037B"/>
    <w:rsid w:val="51F53C68"/>
    <w:rsid w:val="521D0FC3"/>
    <w:rsid w:val="524C1EF6"/>
    <w:rsid w:val="52977749"/>
    <w:rsid w:val="529C2335"/>
    <w:rsid w:val="52AD79B5"/>
    <w:rsid w:val="52C058D7"/>
    <w:rsid w:val="52F66364"/>
    <w:rsid w:val="530B4323"/>
    <w:rsid w:val="531749EC"/>
    <w:rsid w:val="532D5321"/>
    <w:rsid w:val="53511372"/>
    <w:rsid w:val="53685562"/>
    <w:rsid w:val="53975F38"/>
    <w:rsid w:val="53B66105"/>
    <w:rsid w:val="53B74616"/>
    <w:rsid w:val="53C46FFC"/>
    <w:rsid w:val="53E933C6"/>
    <w:rsid w:val="53ED4C3D"/>
    <w:rsid w:val="53F4743C"/>
    <w:rsid w:val="53FD029B"/>
    <w:rsid w:val="53FF492A"/>
    <w:rsid w:val="540F391A"/>
    <w:rsid w:val="543A1E06"/>
    <w:rsid w:val="544133E2"/>
    <w:rsid w:val="544C45A3"/>
    <w:rsid w:val="54596730"/>
    <w:rsid w:val="54681ED8"/>
    <w:rsid w:val="546A01ED"/>
    <w:rsid w:val="546E4801"/>
    <w:rsid w:val="548779D4"/>
    <w:rsid w:val="54945563"/>
    <w:rsid w:val="54C03049"/>
    <w:rsid w:val="54C808C1"/>
    <w:rsid w:val="54D779F7"/>
    <w:rsid w:val="54F076AE"/>
    <w:rsid w:val="5507406B"/>
    <w:rsid w:val="55203EE0"/>
    <w:rsid w:val="552E3C55"/>
    <w:rsid w:val="55300842"/>
    <w:rsid w:val="55560A9D"/>
    <w:rsid w:val="55846554"/>
    <w:rsid w:val="55B215CB"/>
    <w:rsid w:val="55BC1804"/>
    <w:rsid w:val="56004372"/>
    <w:rsid w:val="561512E2"/>
    <w:rsid w:val="5667542A"/>
    <w:rsid w:val="56935FC5"/>
    <w:rsid w:val="56BD5DCA"/>
    <w:rsid w:val="56D31E62"/>
    <w:rsid w:val="56D8109D"/>
    <w:rsid w:val="56DD6522"/>
    <w:rsid w:val="56F00607"/>
    <w:rsid w:val="571142E7"/>
    <w:rsid w:val="5729447A"/>
    <w:rsid w:val="57506FC9"/>
    <w:rsid w:val="57850558"/>
    <w:rsid w:val="57973429"/>
    <w:rsid w:val="57BF13A7"/>
    <w:rsid w:val="57C64E6A"/>
    <w:rsid w:val="57D47486"/>
    <w:rsid w:val="57DF41EB"/>
    <w:rsid w:val="57ED70BD"/>
    <w:rsid w:val="580F0CB1"/>
    <w:rsid w:val="583753A8"/>
    <w:rsid w:val="58503DE7"/>
    <w:rsid w:val="586A3E5D"/>
    <w:rsid w:val="58846AA6"/>
    <w:rsid w:val="5886085C"/>
    <w:rsid w:val="588C502F"/>
    <w:rsid w:val="588E6FF5"/>
    <w:rsid w:val="58B73A25"/>
    <w:rsid w:val="58C31F74"/>
    <w:rsid w:val="58F5562B"/>
    <w:rsid w:val="59054519"/>
    <w:rsid w:val="59075F24"/>
    <w:rsid w:val="5914264C"/>
    <w:rsid w:val="59376914"/>
    <w:rsid w:val="593C5A58"/>
    <w:rsid w:val="595014EE"/>
    <w:rsid w:val="5961382A"/>
    <w:rsid w:val="598002BB"/>
    <w:rsid w:val="59815A4A"/>
    <w:rsid w:val="59F40CA9"/>
    <w:rsid w:val="59F82547"/>
    <w:rsid w:val="5A067D5F"/>
    <w:rsid w:val="5A11105F"/>
    <w:rsid w:val="5A187725"/>
    <w:rsid w:val="5A1F26DD"/>
    <w:rsid w:val="5A2055FA"/>
    <w:rsid w:val="5A3E1AF1"/>
    <w:rsid w:val="5A4209DB"/>
    <w:rsid w:val="5A490FF5"/>
    <w:rsid w:val="5A4A7550"/>
    <w:rsid w:val="5A5651AD"/>
    <w:rsid w:val="5A8C332D"/>
    <w:rsid w:val="5AA53D1D"/>
    <w:rsid w:val="5ABD7D7E"/>
    <w:rsid w:val="5ACB2232"/>
    <w:rsid w:val="5B2630E4"/>
    <w:rsid w:val="5B8342DA"/>
    <w:rsid w:val="5B8F2A37"/>
    <w:rsid w:val="5B9C35FC"/>
    <w:rsid w:val="5BF306CD"/>
    <w:rsid w:val="5BF821E3"/>
    <w:rsid w:val="5C7502BA"/>
    <w:rsid w:val="5C835FBF"/>
    <w:rsid w:val="5CDC7EFE"/>
    <w:rsid w:val="5CE46921"/>
    <w:rsid w:val="5D5932FD"/>
    <w:rsid w:val="5D6027F4"/>
    <w:rsid w:val="5D615CFC"/>
    <w:rsid w:val="5D8B5480"/>
    <w:rsid w:val="5DB663A5"/>
    <w:rsid w:val="5DE81CCB"/>
    <w:rsid w:val="5E3B3AD3"/>
    <w:rsid w:val="5E4A076D"/>
    <w:rsid w:val="5E590DDF"/>
    <w:rsid w:val="5E675216"/>
    <w:rsid w:val="5EA52572"/>
    <w:rsid w:val="5EAF108E"/>
    <w:rsid w:val="5EC57CE7"/>
    <w:rsid w:val="5ECF4011"/>
    <w:rsid w:val="5ED9574B"/>
    <w:rsid w:val="5EE237C6"/>
    <w:rsid w:val="5EE83621"/>
    <w:rsid w:val="5EE96F88"/>
    <w:rsid w:val="5EEE344A"/>
    <w:rsid w:val="5F090B4D"/>
    <w:rsid w:val="5F2A4D32"/>
    <w:rsid w:val="5F453584"/>
    <w:rsid w:val="5F986776"/>
    <w:rsid w:val="5FA77A1A"/>
    <w:rsid w:val="5FC05E02"/>
    <w:rsid w:val="5FC70086"/>
    <w:rsid w:val="5FD537CF"/>
    <w:rsid w:val="5FDB3173"/>
    <w:rsid w:val="5FF07E98"/>
    <w:rsid w:val="60116800"/>
    <w:rsid w:val="602224A2"/>
    <w:rsid w:val="60592C21"/>
    <w:rsid w:val="60B75FDB"/>
    <w:rsid w:val="60D62077"/>
    <w:rsid w:val="60F257CD"/>
    <w:rsid w:val="60F77BE1"/>
    <w:rsid w:val="61002BE4"/>
    <w:rsid w:val="611514D2"/>
    <w:rsid w:val="61193F48"/>
    <w:rsid w:val="613227E3"/>
    <w:rsid w:val="61407821"/>
    <w:rsid w:val="61927C78"/>
    <w:rsid w:val="6194446E"/>
    <w:rsid w:val="61AC7260"/>
    <w:rsid w:val="61B97615"/>
    <w:rsid w:val="61E45980"/>
    <w:rsid w:val="61FA4033"/>
    <w:rsid w:val="6200468F"/>
    <w:rsid w:val="6238469E"/>
    <w:rsid w:val="627E3805"/>
    <w:rsid w:val="62906D3B"/>
    <w:rsid w:val="62990D5C"/>
    <w:rsid w:val="62AA50ED"/>
    <w:rsid w:val="62C430D7"/>
    <w:rsid w:val="62DC2626"/>
    <w:rsid w:val="62E57320"/>
    <w:rsid w:val="63182D7C"/>
    <w:rsid w:val="63184EA6"/>
    <w:rsid w:val="63414B82"/>
    <w:rsid w:val="636B4E7E"/>
    <w:rsid w:val="639E1A2D"/>
    <w:rsid w:val="63A6102E"/>
    <w:rsid w:val="63DC0116"/>
    <w:rsid w:val="64296F31"/>
    <w:rsid w:val="642B5CE3"/>
    <w:rsid w:val="64343B2F"/>
    <w:rsid w:val="64416969"/>
    <w:rsid w:val="64484206"/>
    <w:rsid w:val="64532635"/>
    <w:rsid w:val="645F26AE"/>
    <w:rsid w:val="64AB3952"/>
    <w:rsid w:val="64B833BB"/>
    <w:rsid w:val="64BD40BE"/>
    <w:rsid w:val="64C54ACB"/>
    <w:rsid w:val="64CD3DE2"/>
    <w:rsid w:val="64E42419"/>
    <w:rsid w:val="64ED04B4"/>
    <w:rsid w:val="652D109D"/>
    <w:rsid w:val="653537D6"/>
    <w:rsid w:val="65373941"/>
    <w:rsid w:val="657A2B2F"/>
    <w:rsid w:val="659226F4"/>
    <w:rsid w:val="65A52198"/>
    <w:rsid w:val="65BF65B2"/>
    <w:rsid w:val="65E50102"/>
    <w:rsid w:val="65E511C7"/>
    <w:rsid w:val="65F26C70"/>
    <w:rsid w:val="66040BB8"/>
    <w:rsid w:val="663002D4"/>
    <w:rsid w:val="66713C35"/>
    <w:rsid w:val="66770C98"/>
    <w:rsid w:val="6689508B"/>
    <w:rsid w:val="66964A23"/>
    <w:rsid w:val="669953F2"/>
    <w:rsid w:val="66DF38B6"/>
    <w:rsid w:val="66FD6BFE"/>
    <w:rsid w:val="67000C8D"/>
    <w:rsid w:val="672A1A1E"/>
    <w:rsid w:val="67465F35"/>
    <w:rsid w:val="676B56DD"/>
    <w:rsid w:val="677E239F"/>
    <w:rsid w:val="679B36C4"/>
    <w:rsid w:val="67CA4B20"/>
    <w:rsid w:val="67F000D7"/>
    <w:rsid w:val="67F71035"/>
    <w:rsid w:val="681E1E7A"/>
    <w:rsid w:val="686B2E45"/>
    <w:rsid w:val="68794F3C"/>
    <w:rsid w:val="68886FC7"/>
    <w:rsid w:val="688C1635"/>
    <w:rsid w:val="68C42E27"/>
    <w:rsid w:val="68D25B9F"/>
    <w:rsid w:val="68D53754"/>
    <w:rsid w:val="6902263E"/>
    <w:rsid w:val="691655E5"/>
    <w:rsid w:val="6953050C"/>
    <w:rsid w:val="697F058F"/>
    <w:rsid w:val="69824CEF"/>
    <w:rsid w:val="699558A5"/>
    <w:rsid w:val="69CC5E2C"/>
    <w:rsid w:val="69DF43A6"/>
    <w:rsid w:val="69E86162"/>
    <w:rsid w:val="69EF6AFC"/>
    <w:rsid w:val="6A5D677E"/>
    <w:rsid w:val="6A86594D"/>
    <w:rsid w:val="6A88179D"/>
    <w:rsid w:val="6A8B10FD"/>
    <w:rsid w:val="6AAA7BB9"/>
    <w:rsid w:val="6AB81ABD"/>
    <w:rsid w:val="6AC0225E"/>
    <w:rsid w:val="6ACA6F45"/>
    <w:rsid w:val="6AD94ED8"/>
    <w:rsid w:val="6ADB198A"/>
    <w:rsid w:val="6AEA0E92"/>
    <w:rsid w:val="6AEB5F43"/>
    <w:rsid w:val="6AF421AC"/>
    <w:rsid w:val="6B131EF6"/>
    <w:rsid w:val="6B1F61CC"/>
    <w:rsid w:val="6B266785"/>
    <w:rsid w:val="6B266E76"/>
    <w:rsid w:val="6B374265"/>
    <w:rsid w:val="6B46061D"/>
    <w:rsid w:val="6B5B4528"/>
    <w:rsid w:val="6B7127AE"/>
    <w:rsid w:val="6B905367"/>
    <w:rsid w:val="6B9320D0"/>
    <w:rsid w:val="6B9B3B23"/>
    <w:rsid w:val="6BBF7065"/>
    <w:rsid w:val="6BDE0813"/>
    <w:rsid w:val="6BE53461"/>
    <w:rsid w:val="6BEC4AE7"/>
    <w:rsid w:val="6C095EA7"/>
    <w:rsid w:val="6C0C297A"/>
    <w:rsid w:val="6C11007B"/>
    <w:rsid w:val="6C1F4622"/>
    <w:rsid w:val="6C3F18BA"/>
    <w:rsid w:val="6C5F126B"/>
    <w:rsid w:val="6C7661F7"/>
    <w:rsid w:val="6C974856"/>
    <w:rsid w:val="6CDE116F"/>
    <w:rsid w:val="6CF272CA"/>
    <w:rsid w:val="6D0F6FD5"/>
    <w:rsid w:val="6D160362"/>
    <w:rsid w:val="6D21117E"/>
    <w:rsid w:val="6D2D0624"/>
    <w:rsid w:val="6D584566"/>
    <w:rsid w:val="6D6A6EB1"/>
    <w:rsid w:val="6D6F0005"/>
    <w:rsid w:val="6D71236F"/>
    <w:rsid w:val="6DA31ADE"/>
    <w:rsid w:val="6DA61A6C"/>
    <w:rsid w:val="6DB314F4"/>
    <w:rsid w:val="6DBD1C9B"/>
    <w:rsid w:val="6DF350A8"/>
    <w:rsid w:val="6DFF1732"/>
    <w:rsid w:val="6E076DA5"/>
    <w:rsid w:val="6E437785"/>
    <w:rsid w:val="6E773D80"/>
    <w:rsid w:val="6E9053FD"/>
    <w:rsid w:val="6EA834A0"/>
    <w:rsid w:val="6EDF2946"/>
    <w:rsid w:val="6EE53805"/>
    <w:rsid w:val="6EFD4493"/>
    <w:rsid w:val="6F0D2199"/>
    <w:rsid w:val="6F2A2D4B"/>
    <w:rsid w:val="6F357DDA"/>
    <w:rsid w:val="6F784650"/>
    <w:rsid w:val="6F7E4F4F"/>
    <w:rsid w:val="6F8464EB"/>
    <w:rsid w:val="6FB34B3E"/>
    <w:rsid w:val="6FD06B87"/>
    <w:rsid w:val="6FFC584D"/>
    <w:rsid w:val="7004098B"/>
    <w:rsid w:val="7022300E"/>
    <w:rsid w:val="703419A7"/>
    <w:rsid w:val="70372271"/>
    <w:rsid w:val="70A5092B"/>
    <w:rsid w:val="70AC02DD"/>
    <w:rsid w:val="70B11315"/>
    <w:rsid w:val="70B531E3"/>
    <w:rsid w:val="70BC3C4E"/>
    <w:rsid w:val="70E04D4E"/>
    <w:rsid w:val="70E06EE4"/>
    <w:rsid w:val="70FA674D"/>
    <w:rsid w:val="71134338"/>
    <w:rsid w:val="711807F2"/>
    <w:rsid w:val="71282442"/>
    <w:rsid w:val="713742F4"/>
    <w:rsid w:val="713F3304"/>
    <w:rsid w:val="715F7085"/>
    <w:rsid w:val="71724B49"/>
    <w:rsid w:val="718A2445"/>
    <w:rsid w:val="71922EE9"/>
    <w:rsid w:val="719D2BCC"/>
    <w:rsid w:val="71C57C05"/>
    <w:rsid w:val="71E12B43"/>
    <w:rsid w:val="71E424F7"/>
    <w:rsid w:val="71E713A5"/>
    <w:rsid w:val="71FE226D"/>
    <w:rsid w:val="7212068C"/>
    <w:rsid w:val="72347284"/>
    <w:rsid w:val="725B417E"/>
    <w:rsid w:val="726758D0"/>
    <w:rsid w:val="72704323"/>
    <w:rsid w:val="72847A2A"/>
    <w:rsid w:val="72987AB4"/>
    <w:rsid w:val="72A35D30"/>
    <w:rsid w:val="72B61EE2"/>
    <w:rsid w:val="72CB161F"/>
    <w:rsid w:val="72D35F87"/>
    <w:rsid w:val="72DE7F25"/>
    <w:rsid w:val="72F34940"/>
    <w:rsid w:val="73064471"/>
    <w:rsid w:val="730B79D6"/>
    <w:rsid w:val="733028FA"/>
    <w:rsid w:val="735477E2"/>
    <w:rsid w:val="736D604E"/>
    <w:rsid w:val="737E3CB6"/>
    <w:rsid w:val="73A03009"/>
    <w:rsid w:val="73A03D9F"/>
    <w:rsid w:val="73A263E1"/>
    <w:rsid w:val="73B44CAE"/>
    <w:rsid w:val="73BA4E1E"/>
    <w:rsid w:val="73C12E92"/>
    <w:rsid w:val="73D51CFF"/>
    <w:rsid w:val="73E60253"/>
    <w:rsid w:val="73EA5AF7"/>
    <w:rsid w:val="740638BC"/>
    <w:rsid w:val="74334064"/>
    <w:rsid w:val="74477445"/>
    <w:rsid w:val="747263BA"/>
    <w:rsid w:val="74A23383"/>
    <w:rsid w:val="74B80631"/>
    <w:rsid w:val="750A53F5"/>
    <w:rsid w:val="751D0B1E"/>
    <w:rsid w:val="752452F3"/>
    <w:rsid w:val="753F48C2"/>
    <w:rsid w:val="75782E4C"/>
    <w:rsid w:val="7589486C"/>
    <w:rsid w:val="75F663E5"/>
    <w:rsid w:val="76011917"/>
    <w:rsid w:val="760D1365"/>
    <w:rsid w:val="761608DF"/>
    <w:rsid w:val="761E79A2"/>
    <w:rsid w:val="762D50CD"/>
    <w:rsid w:val="7641052A"/>
    <w:rsid w:val="764B26FE"/>
    <w:rsid w:val="764D619F"/>
    <w:rsid w:val="767D1768"/>
    <w:rsid w:val="76BB169E"/>
    <w:rsid w:val="76C770D1"/>
    <w:rsid w:val="76DB5B2B"/>
    <w:rsid w:val="76E41895"/>
    <w:rsid w:val="76F90BDF"/>
    <w:rsid w:val="77077CCC"/>
    <w:rsid w:val="770A6702"/>
    <w:rsid w:val="77106CCA"/>
    <w:rsid w:val="773520FB"/>
    <w:rsid w:val="773D6FCC"/>
    <w:rsid w:val="77443098"/>
    <w:rsid w:val="776313F3"/>
    <w:rsid w:val="7772528F"/>
    <w:rsid w:val="77A4212C"/>
    <w:rsid w:val="77A771D4"/>
    <w:rsid w:val="77B27C39"/>
    <w:rsid w:val="77C25C6A"/>
    <w:rsid w:val="77C846BB"/>
    <w:rsid w:val="77E42159"/>
    <w:rsid w:val="77FF064F"/>
    <w:rsid w:val="78067B81"/>
    <w:rsid w:val="782011A6"/>
    <w:rsid w:val="7829326F"/>
    <w:rsid w:val="78480498"/>
    <w:rsid w:val="785E3012"/>
    <w:rsid w:val="78611F5E"/>
    <w:rsid w:val="78976D25"/>
    <w:rsid w:val="78A4141D"/>
    <w:rsid w:val="78C7160B"/>
    <w:rsid w:val="78F52018"/>
    <w:rsid w:val="790C7168"/>
    <w:rsid w:val="794B05EF"/>
    <w:rsid w:val="79830B41"/>
    <w:rsid w:val="799A2643"/>
    <w:rsid w:val="79D60607"/>
    <w:rsid w:val="79E71A62"/>
    <w:rsid w:val="7A1E7001"/>
    <w:rsid w:val="7A2C4FAF"/>
    <w:rsid w:val="7A3F6D80"/>
    <w:rsid w:val="7A491AA7"/>
    <w:rsid w:val="7A532593"/>
    <w:rsid w:val="7A645D3A"/>
    <w:rsid w:val="7A884DCA"/>
    <w:rsid w:val="7AE34018"/>
    <w:rsid w:val="7B0408F4"/>
    <w:rsid w:val="7B093D2C"/>
    <w:rsid w:val="7B141984"/>
    <w:rsid w:val="7B2A5E81"/>
    <w:rsid w:val="7B3F679B"/>
    <w:rsid w:val="7B4A55D2"/>
    <w:rsid w:val="7B6F0753"/>
    <w:rsid w:val="7B7E6290"/>
    <w:rsid w:val="7B952009"/>
    <w:rsid w:val="7BBA717E"/>
    <w:rsid w:val="7BF23A4F"/>
    <w:rsid w:val="7BFA24A7"/>
    <w:rsid w:val="7C122F23"/>
    <w:rsid w:val="7C17561A"/>
    <w:rsid w:val="7C220CF8"/>
    <w:rsid w:val="7C2441B3"/>
    <w:rsid w:val="7C2A0F9C"/>
    <w:rsid w:val="7C3E6A61"/>
    <w:rsid w:val="7C6201EE"/>
    <w:rsid w:val="7C69797B"/>
    <w:rsid w:val="7C7E03C1"/>
    <w:rsid w:val="7C9A0D0C"/>
    <w:rsid w:val="7CCE7DC9"/>
    <w:rsid w:val="7CF73A06"/>
    <w:rsid w:val="7D025A67"/>
    <w:rsid w:val="7D0D4753"/>
    <w:rsid w:val="7D257C55"/>
    <w:rsid w:val="7D314B7B"/>
    <w:rsid w:val="7D4A7579"/>
    <w:rsid w:val="7D5771B8"/>
    <w:rsid w:val="7D9C1611"/>
    <w:rsid w:val="7D9D3963"/>
    <w:rsid w:val="7DBF0B02"/>
    <w:rsid w:val="7E117E12"/>
    <w:rsid w:val="7E191B65"/>
    <w:rsid w:val="7E450902"/>
    <w:rsid w:val="7E886DEF"/>
    <w:rsid w:val="7E893C95"/>
    <w:rsid w:val="7E9B42DC"/>
    <w:rsid w:val="7EB118E6"/>
    <w:rsid w:val="7EC7247F"/>
    <w:rsid w:val="7EF401A0"/>
    <w:rsid w:val="7F1C6715"/>
    <w:rsid w:val="7F1D3E12"/>
    <w:rsid w:val="7F27546F"/>
    <w:rsid w:val="7F3723EF"/>
    <w:rsid w:val="7F623E3B"/>
    <w:rsid w:val="7F8A3392"/>
    <w:rsid w:val="7F9549DB"/>
    <w:rsid w:val="7FE508C3"/>
    <w:rsid w:val="7FF24D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99"/>
    <w:pPr>
      <w:keepNext/>
      <w:keepLines/>
      <w:spacing w:before="340" w:after="330" w:line="576" w:lineRule="auto"/>
      <w:outlineLvl w:val="0"/>
    </w:pPr>
    <w:rPr>
      <w:b/>
      <w:bCs/>
      <w:kern w:val="44"/>
      <w:sz w:val="44"/>
      <w:szCs w:val="44"/>
    </w:rPr>
  </w:style>
  <w:style w:type="paragraph" w:styleId="4">
    <w:name w:val="heading 2"/>
    <w:basedOn w:val="1"/>
    <w:next w:val="5"/>
    <w:link w:val="63"/>
    <w:qFormat/>
    <w:uiPriority w:val="99"/>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64"/>
    <w:qFormat/>
    <w:uiPriority w:val="99"/>
    <w:pPr>
      <w:keepNext/>
      <w:keepLines/>
      <w:spacing w:before="260" w:after="260" w:line="415" w:lineRule="auto"/>
      <w:outlineLvl w:val="2"/>
    </w:pPr>
    <w:rPr>
      <w:b/>
      <w:bCs/>
      <w:sz w:val="32"/>
      <w:szCs w:val="32"/>
    </w:rPr>
  </w:style>
  <w:style w:type="paragraph" w:styleId="2">
    <w:name w:val="heading 4"/>
    <w:basedOn w:val="1"/>
    <w:next w:val="1"/>
    <w:link w:val="65"/>
    <w:qFormat/>
    <w:uiPriority w:val="99"/>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66"/>
    <w:qFormat/>
    <w:uiPriority w:val="99"/>
    <w:pPr>
      <w:keepNext/>
      <w:keepLines/>
      <w:spacing w:before="280" w:after="290" w:line="374" w:lineRule="auto"/>
      <w:outlineLvl w:val="4"/>
    </w:pPr>
    <w:rPr>
      <w:b/>
      <w:bCs/>
      <w:sz w:val="28"/>
      <w:szCs w:val="28"/>
    </w:rPr>
  </w:style>
  <w:style w:type="paragraph" w:styleId="8">
    <w:name w:val="heading 6"/>
    <w:basedOn w:val="1"/>
    <w:next w:val="1"/>
    <w:link w:val="67"/>
    <w:qFormat/>
    <w:uiPriority w:val="99"/>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68"/>
    <w:qFormat/>
    <w:uiPriority w:val="99"/>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69"/>
    <w:qFormat/>
    <w:uiPriority w:val="99"/>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70"/>
    <w:qFormat/>
    <w:uiPriority w:val="99"/>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12">
    <w:name w:val="toc 7"/>
    <w:basedOn w:val="1"/>
    <w:next w:val="1"/>
    <w:qFormat/>
    <w:uiPriority w:val="99"/>
    <w:pPr>
      <w:ind w:left="2520" w:leftChars="1200"/>
    </w:pPr>
  </w:style>
  <w:style w:type="paragraph" w:styleId="13">
    <w:name w:val="Document Map"/>
    <w:basedOn w:val="1"/>
    <w:link w:val="71"/>
    <w:qFormat/>
    <w:uiPriority w:val="99"/>
    <w:pPr>
      <w:shd w:val="clear" w:color="auto" w:fill="000080"/>
    </w:pPr>
  </w:style>
  <w:style w:type="paragraph" w:styleId="14">
    <w:name w:val="toa heading"/>
    <w:basedOn w:val="1"/>
    <w:next w:val="1"/>
    <w:qFormat/>
    <w:uiPriority w:val="0"/>
    <w:pPr>
      <w:spacing w:before="120"/>
    </w:pPr>
    <w:rPr>
      <w:rFonts w:ascii="Cambria" w:hAnsi="Cambria"/>
      <w:sz w:val="24"/>
    </w:rPr>
  </w:style>
  <w:style w:type="paragraph" w:styleId="15">
    <w:name w:val="annotation text"/>
    <w:basedOn w:val="1"/>
    <w:link w:val="72"/>
    <w:qFormat/>
    <w:uiPriority w:val="99"/>
    <w:pPr>
      <w:adjustRightInd w:val="0"/>
      <w:spacing w:line="360" w:lineRule="atLeast"/>
      <w:jc w:val="left"/>
    </w:pPr>
    <w:rPr>
      <w:kern w:val="0"/>
      <w:sz w:val="24"/>
      <w:szCs w:val="20"/>
    </w:rPr>
  </w:style>
  <w:style w:type="paragraph" w:styleId="16">
    <w:name w:val="Body Text 3"/>
    <w:basedOn w:val="1"/>
    <w:link w:val="73"/>
    <w:qFormat/>
    <w:uiPriority w:val="99"/>
    <w:rPr>
      <w:rFonts w:ascii="宋体"/>
      <w:sz w:val="24"/>
      <w:szCs w:val="20"/>
    </w:rPr>
  </w:style>
  <w:style w:type="paragraph" w:styleId="17">
    <w:name w:val="Body Text"/>
    <w:basedOn w:val="1"/>
    <w:next w:val="1"/>
    <w:link w:val="74"/>
    <w:qFormat/>
    <w:uiPriority w:val="99"/>
    <w:pPr>
      <w:spacing w:after="120"/>
    </w:pPr>
  </w:style>
  <w:style w:type="paragraph" w:styleId="18">
    <w:name w:val="Body Text Indent"/>
    <w:basedOn w:val="1"/>
    <w:link w:val="75"/>
    <w:qFormat/>
    <w:uiPriority w:val="99"/>
    <w:pPr>
      <w:spacing w:line="540" w:lineRule="exact"/>
      <w:ind w:right="210" w:rightChars="100" w:firstLine="719" w:firstLineChars="243"/>
      <w:jc w:val="left"/>
    </w:pPr>
    <w:rPr>
      <w:rFonts w:ascii="仿宋_GB2312" w:eastAsia="仿宋_GB2312"/>
      <w:spacing w:val="-12"/>
      <w:sz w:val="32"/>
    </w:rPr>
  </w:style>
  <w:style w:type="paragraph" w:styleId="19">
    <w:name w:val="Block Text"/>
    <w:basedOn w:val="1"/>
    <w:qFormat/>
    <w:uiPriority w:val="0"/>
    <w:pPr>
      <w:spacing w:after="120"/>
      <w:ind w:left="1440" w:leftChars="700" w:right="700" w:rightChars="700"/>
    </w:pPr>
  </w:style>
  <w:style w:type="paragraph" w:styleId="20">
    <w:name w:val="toc 5"/>
    <w:basedOn w:val="1"/>
    <w:next w:val="1"/>
    <w:qFormat/>
    <w:uiPriority w:val="99"/>
    <w:pPr>
      <w:ind w:left="1680" w:leftChars="800"/>
    </w:pPr>
  </w:style>
  <w:style w:type="paragraph" w:styleId="21">
    <w:name w:val="toc 3"/>
    <w:basedOn w:val="1"/>
    <w:next w:val="1"/>
    <w:qFormat/>
    <w:uiPriority w:val="99"/>
    <w:pPr>
      <w:ind w:left="840" w:leftChars="400"/>
    </w:pPr>
  </w:style>
  <w:style w:type="paragraph" w:styleId="22">
    <w:name w:val="Plain Text"/>
    <w:basedOn w:val="1"/>
    <w:link w:val="76"/>
    <w:qFormat/>
    <w:uiPriority w:val="99"/>
    <w:rPr>
      <w:rFonts w:ascii="宋体" w:hAnsi="Courier New"/>
      <w:szCs w:val="20"/>
    </w:rPr>
  </w:style>
  <w:style w:type="paragraph" w:styleId="23">
    <w:name w:val="toc 8"/>
    <w:basedOn w:val="1"/>
    <w:next w:val="1"/>
    <w:qFormat/>
    <w:uiPriority w:val="99"/>
    <w:pPr>
      <w:ind w:left="2940" w:leftChars="1400"/>
    </w:pPr>
  </w:style>
  <w:style w:type="paragraph" w:styleId="24">
    <w:name w:val="Date"/>
    <w:basedOn w:val="1"/>
    <w:next w:val="1"/>
    <w:link w:val="77"/>
    <w:qFormat/>
    <w:uiPriority w:val="99"/>
    <w:rPr>
      <w:rFonts w:ascii="宋体" w:hAnsi="宋体"/>
      <w:sz w:val="24"/>
      <w:szCs w:val="20"/>
    </w:rPr>
  </w:style>
  <w:style w:type="paragraph" w:styleId="25">
    <w:name w:val="Body Text Indent 2"/>
    <w:basedOn w:val="1"/>
    <w:link w:val="78"/>
    <w:qFormat/>
    <w:uiPriority w:val="99"/>
    <w:pPr>
      <w:spacing w:after="120" w:line="480" w:lineRule="auto"/>
      <w:ind w:left="420" w:leftChars="200"/>
    </w:pPr>
    <w:rPr>
      <w:szCs w:val="20"/>
    </w:rPr>
  </w:style>
  <w:style w:type="paragraph" w:styleId="26">
    <w:name w:val="endnote text"/>
    <w:basedOn w:val="1"/>
    <w:link w:val="79"/>
    <w:qFormat/>
    <w:uiPriority w:val="99"/>
    <w:pPr>
      <w:snapToGrid w:val="0"/>
    </w:pPr>
    <w:rPr>
      <w:szCs w:val="20"/>
    </w:rPr>
  </w:style>
  <w:style w:type="paragraph" w:styleId="27">
    <w:name w:val="Balloon Text"/>
    <w:basedOn w:val="1"/>
    <w:link w:val="80"/>
    <w:qFormat/>
    <w:uiPriority w:val="99"/>
    <w:rPr>
      <w:sz w:val="18"/>
      <w:szCs w:val="18"/>
    </w:rPr>
  </w:style>
  <w:style w:type="paragraph" w:styleId="28">
    <w:name w:val="footer"/>
    <w:basedOn w:val="1"/>
    <w:link w:val="81"/>
    <w:qFormat/>
    <w:uiPriority w:val="99"/>
    <w:pPr>
      <w:tabs>
        <w:tab w:val="center" w:pos="4153"/>
        <w:tab w:val="right" w:pos="8306"/>
      </w:tabs>
      <w:snapToGrid w:val="0"/>
      <w:jc w:val="left"/>
    </w:pPr>
    <w:rPr>
      <w:sz w:val="18"/>
      <w:szCs w:val="18"/>
    </w:rPr>
  </w:style>
  <w:style w:type="paragraph" w:styleId="29">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99"/>
    <w:pPr>
      <w:tabs>
        <w:tab w:val="right" w:leader="dot" w:pos="8820"/>
      </w:tabs>
      <w:spacing w:line="440" w:lineRule="exact"/>
    </w:pPr>
  </w:style>
  <w:style w:type="paragraph" w:styleId="31">
    <w:name w:val="toc 4"/>
    <w:basedOn w:val="1"/>
    <w:next w:val="1"/>
    <w:qFormat/>
    <w:uiPriority w:val="99"/>
    <w:pPr>
      <w:ind w:left="1260" w:leftChars="600"/>
    </w:pPr>
  </w:style>
  <w:style w:type="paragraph" w:styleId="32">
    <w:name w:val="toc 6"/>
    <w:basedOn w:val="1"/>
    <w:next w:val="1"/>
    <w:qFormat/>
    <w:uiPriority w:val="99"/>
    <w:pPr>
      <w:ind w:left="2100" w:leftChars="1000"/>
    </w:pPr>
  </w:style>
  <w:style w:type="paragraph" w:styleId="33">
    <w:name w:val="Body Text Indent 3"/>
    <w:basedOn w:val="1"/>
    <w:link w:val="83"/>
    <w:qFormat/>
    <w:uiPriority w:val="99"/>
    <w:pPr>
      <w:spacing w:after="120"/>
      <w:ind w:left="420" w:leftChars="200"/>
    </w:pPr>
    <w:rPr>
      <w:sz w:val="16"/>
      <w:szCs w:val="16"/>
    </w:rPr>
  </w:style>
  <w:style w:type="paragraph" w:styleId="34">
    <w:name w:val="toc 2"/>
    <w:basedOn w:val="1"/>
    <w:next w:val="1"/>
    <w:qFormat/>
    <w:uiPriority w:val="99"/>
    <w:pPr>
      <w:tabs>
        <w:tab w:val="right" w:leader="dot" w:pos="8834"/>
      </w:tabs>
      <w:spacing w:line="360" w:lineRule="auto"/>
      <w:ind w:left="420" w:leftChars="200"/>
    </w:pPr>
  </w:style>
  <w:style w:type="paragraph" w:styleId="35">
    <w:name w:val="toc 9"/>
    <w:basedOn w:val="1"/>
    <w:next w:val="1"/>
    <w:qFormat/>
    <w:uiPriority w:val="99"/>
    <w:pPr>
      <w:ind w:left="3360" w:leftChars="1600"/>
    </w:pPr>
  </w:style>
  <w:style w:type="paragraph" w:styleId="36">
    <w:name w:val="Body Text 2"/>
    <w:basedOn w:val="1"/>
    <w:link w:val="84"/>
    <w:qFormat/>
    <w:uiPriority w:val="99"/>
    <w:rPr>
      <w:rFonts w:ascii="楷体_GB2312" w:eastAsia="楷体_GB2312"/>
      <w:b/>
      <w:sz w:val="32"/>
      <w:szCs w:val="20"/>
    </w:rPr>
  </w:style>
  <w:style w:type="paragraph" w:styleId="37">
    <w:name w:val="Normal (Web)"/>
    <w:basedOn w:val="1"/>
    <w:qFormat/>
    <w:uiPriority w:val="99"/>
    <w:pPr>
      <w:widowControl/>
      <w:spacing w:before="100" w:beforeAutospacing="1" w:after="100" w:afterAutospacing="1"/>
      <w:jc w:val="left"/>
    </w:pPr>
    <w:rPr>
      <w:rFonts w:ascii="宋体" w:hAnsi="宋体"/>
      <w:kern w:val="0"/>
      <w:sz w:val="24"/>
    </w:rPr>
  </w:style>
  <w:style w:type="paragraph" w:styleId="38">
    <w:name w:val="index 1"/>
    <w:basedOn w:val="1"/>
    <w:next w:val="1"/>
    <w:qFormat/>
    <w:uiPriority w:val="99"/>
    <w:pPr>
      <w:spacing w:line="220" w:lineRule="exact"/>
      <w:jc w:val="center"/>
    </w:pPr>
    <w:rPr>
      <w:rFonts w:ascii="仿宋_GB2312" w:eastAsia="仿宋_GB2312"/>
      <w:szCs w:val="21"/>
    </w:rPr>
  </w:style>
  <w:style w:type="paragraph" w:styleId="39">
    <w:name w:val="Title"/>
    <w:basedOn w:val="1"/>
    <w:next w:val="1"/>
    <w:link w:val="85"/>
    <w:qFormat/>
    <w:uiPriority w:val="99"/>
    <w:pPr>
      <w:adjustRightInd w:val="0"/>
      <w:spacing w:before="240" w:after="60" w:line="420" w:lineRule="atLeast"/>
      <w:jc w:val="center"/>
      <w:outlineLvl w:val="0"/>
    </w:pPr>
    <w:rPr>
      <w:rFonts w:ascii="Arial" w:hAnsi="Arial" w:cs="Arial"/>
      <w:b/>
      <w:kern w:val="0"/>
      <w:sz w:val="32"/>
      <w:szCs w:val="20"/>
    </w:rPr>
  </w:style>
  <w:style w:type="paragraph" w:styleId="40">
    <w:name w:val="annotation subject"/>
    <w:basedOn w:val="15"/>
    <w:next w:val="15"/>
    <w:link w:val="122"/>
    <w:qFormat/>
    <w:uiPriority w:val="0"/>
    <w:pPr>
      <w:adjustRightInd/>
      <w:spacing w:line="240" w:lineRule="auto"/>
    </w:pPr>
    <w:rPr>
      <w:b/>
      <w:bCs/>
      <w:kern w:val="2"/>
      <w:sz w:val="21"/>
      <w:szCs w:val="24"/>
    </w:rPr>
  </w:style>
  <w:style w:type="paragraph" w:styleId="41">
    <w:name w:val="Body Text First Indent"/>
    <w:basedOn w:val="17"/>
    <w:qFormat/>
    <w:uiPriority w:val="0"/>
    <w:pPr>
      <w:widowControl/>
      <w:ind w:firstLine="420" w:firstLineChars="100"/>
    </w:pPr>
    <w:rPr>
      <w:sz w:val="28"/>
    </w:rPr>
  </w:style>
  <w:style w:type="table" w:styleId="43">
    <w:name w:val="Table Grid"/>
    <w:basedOn w:val="42"/>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locked/>
    <w:uiPriority w:val="22"/>
    <w:rPr>
      <w:b/>
      <w:bCs/>
    </w:rPr>
  </w:style>
  <w:style w:type="character" w:styleId="46">
    <w:name w:val="page number"/>
    <w:basedOn w:val="44"/>
    <w:qFormat/>
    <w:uiPriority w:val="99"/>
    <w:rPr>
      <w:rFonts w:cs="Times New Roman"/>
    </w:rPr>
  </w:style>
  <w:style w:type="character" w:styleId="47">
    <w:name w:val="FollowedHyperlink"/>
    <w:basedOn w:val="44"/>
    <w:qFormat/>
    <w:uiPriority w:val="99"/>
    <w:rPr>
      <w:rFonts w:cs="Times New Roman"/>
      <w:color w:val="800080"/>
      <w:u w:val="single"/>
    </w:rPr>
  </w:style>
  <w:style w:type="character" w:styleId="48">
    <w:name w:val="Emphasis"/>
    <w:basedOn w:val="44"/>
    <w:qFormat/>
    <w:locked/>
    <w:uiPriority w:val="20"/>
  </w:style>
  <w:style w:type="character" w:styleId="49">
    <w:name w:val="HTML Definition"/>
    <w:basedOn w:val="44"/>
    <w:qFormat/>
    <w:uiPriority w:val="0"/>
    <w:rPr>
      <w:i/>
      <w:iCs/>
    </w:rPr>
  </w:style>
  <w:style w:type="character" w:styleId="50">
    <w:name w:val="HTML Typewriter"/>
    <w:basedOn w:val="44"/>
    <w:qFormat/>
    <w:uiPriority w:val="0"/>
    <w:rPr>
      <w:rFonts w:hint="default" w:ascii="monospace" w:hAnsi="monospace" w:eastAsia="monospace" w:cs="monospace"/>
      <w:sz w:val="20"/>
    </w:rPr>
  </w:style>
  <w:style w:type="character" w:styleId="51">
    <w:name w:val="HTML Acronym"/>
    <w:basedOn w:val="44"/>
    <w:qFormat/>
    <w:uiPriority w:val="0"/>
    <w:rPr>
      <w:sz w:val="0"/>
      <w:szCs w:val="0"/>
      <w:bdr w:val="single" w:color="auto" w:sz="2" w:space="0"/>
    </w:rPr>
  </w:style>
  <w:style w:type="character" w:styleId="52">
    <w:name w:val="HTML Variable"/>
    <w:basedOn w:val="44"/>
    <w:qFormat/>
    <w:uiPriority w:val="0"/>
  </w:style>
  <w:style w:type="character" w:styleId="53">
    <w:name w:val="Hyperlink"/>
    <w:basedOn w:val="44"/>
    <w:qFormat/>
    <w:uiPriority w:val="99"/>
    <w:rPr>
      <w:rFonts w:cs="Times New Roman"/>
      <w:color w:val="0000FF"/>
      <w:u w:val="single"/>
    </w:rPr>
  </w:style>
  <w:style w:type="character" w:styleId="54">
    <w:name w:val="HTML Code"/>
    <w:basedOn w:val="44"/>
    <w:qFormat/>
    <w:uiPriority w:val="0"/>
    <w:rPr>
      <w:rFonts w:hint="default" w:ascii="Consolas" w:hAnsi="Consolas" w:eastAsia="Consolas" w:cs="Consolas"/>
      <w:color w:val="C7254E"/>
      <w:sz w:val="21"/>
      <w:szCs w:val="21"/>
      <w:shd w:val="clear" w:color="auto" w:fill="F9F2F4"/>
    </w:rPr>
  </w:style>
  <w:style w:type="character" w:styleId="55">
    <w:name w:val="annotation reference"/>
    <w:basedOn w:val="44"/>
    <w:qFormat/>
    <w:uiPriority w:val="99"/>
    <w:rPr>
      <w:rFonts w:cs="Times New Roman"/>
      <w:sz w:val="21"/>
    </w:rPr>
  </w:style>
  <w:style w:type="character" w:styleId="56">
    <w:name w:val="HTML Cite"/>
    <w:basedOn w:val="44"/>
    <w:qFormat/>
    <w:uiPriority w:val="0"/>
  </w:style>
  <w:style w:type="character" w:styleId="57">
    <w:name w:val="HTML Keyboard"/>
    <w:basedOn w:val="44"/>
    <w:qFormat/>
    <w:uiPriority w:val="0"/>
    <w:rPr>
      <w:rFonts w:ascii="Consolas" w:hAnsi="Consolas" w:eastAsia="Consolas" w:cs="Consolas"/>
      <w:color w:val="FFFFFF"/>
      <w:sz w:val="21"/>
      <w:szCs w:val="21"/>
      <w:shd w:val="clear" w:color="auto" w:fill="333333"/>
    </w:rPr>
  </w:style>
  <w:style w:type="character" w:styleId="58">
    <w:name w:val="HTML Sample"/>
    <w:basedOn w:val="44"/>
    <w:qFormat/>
    <w:uiPriority w:val="0"/>
    <w:rPr>
      <w:rFonts w:hint="default" w:ascii="Consolas" w:hAnsi="Consolas" w:eastAsia="Consolas" w:cs="Consolas"/>
      <w:sz w:val="21"/>
      <w:szCs w:val="21"/>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列出段落1"/>
    <w:basedOn w:val="1"/>
    <w:qFormat/>
    <w:uiPriority w:val="99"/>
    <w:pPr>
      <w:ind w:firstLine="420" w:firstLineChars="200"/>
    </w:pPr>
    <w:rPr>
      <w:rFonts w:ascii="Calibri" w:hAnsi="Calibri"/>
      <w:szCs w:val="22"/>
    </w:rPr>
  </w:style>
  <w:style w:type="paragraph" w:customStyle="1" w:styleId="61">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62">
    <w:name w:val="标题 1 Char"/>
    <w:basedOn w:val="44"/>
    <w:link w:val="3"/>
    <w:qFormat/>
    <w:uiPriority w:val="9"/>
    <w:rPr>
      <w:b/>
      <w:bCs/>
      <w:kern w:val="44"/>
      <w:sz w:val="44"/>
      <w:szCs w:val="44"/>
    </w:rPr>
  </w:style>
  <w:style w:type="character" w:customStyle="1" w:styleId="63">
    <w:name w:val="标题 2 Char"/>
    <w:basedOn w:val="44"/>
    <w:link w:val="4"/>
    <w:qFormat/>
    <w:locked/>
    <w:uiPriority w:val="99"/>
    <w:rPr>
      <w:rFonts w:ascii="Arial" w:hAnsi="Arial" w:eastAsia="黑体"/>
      <w:b/>
      <w:kern w:val="2"/>
      <w:sz w:val="32"/>
      <w:lang w:val="en-US" w:eastAsia="zh-CN"/>
    </w:rPr>
  </w:style>
  <w:style w:type="character" w:customStyle="1" w:styleId="64">
    <w:name w:val="标题 3 Char"/>
    <w:basedOn w:val="44"/>
    <w:link w:val="6"/>
    <w:semiHidden/>
    <w:qFormat/>
    <w:uiPriority w:val="9"/>
    <w:rPr>
      <w:b/>
      <w:bCs/>
      <w:sz w:val="32"/>
      <w:szCs w:val="32"/>
    </w:rPr>
  </w:style>
  <w:style w:type="character" w:customStyle="1" w:styleId="65">
    <w:name w:val="标题 4 Char"/>
    <w:basedOn w:val="44"/>
    <w:link w:val="2"/>
    <w:semiHidden/>
    <w:qFormat/>
    <w:uiPriority w:val="9"/>
    <w:rPr>
      <w:rFonts w:asciiTheme="majorHAnsi" w:hAnsiTheme="majorHAnsi" w:eastAsiaTheme="majorEastAsia" w:cstheme="majorBidi"/>
      <w:b/>
      <w:bCs/>
      <w:sz w:val="28"/>
      <w:szCs w:val="28"/>
    </w:rPr>
  </w:style>
  <w:style w:type="character" w:customStyle="1" w:styleId="66">
    <w:name w:val="标题 5 Char"/>
    <w:basedOn w:val="44"/>
    <w:link w:val="7"/>
    <w:qFormat/>
    <w:locked/>
    <w:uiPriority w:val="99"/>
    <w:rPr>
      <w:rFonts w:eastAsia="宋体"/>
      <w:b/>
      <w:kern w:val="2"/>
      <w:sz w:val="28"/>
      <w:lang w:val="en-US" w:eastAsia="zh-CN"/>
    </w:rPr>
  </w:style>
  <w:style w:type="character" w:customStyle="1" w:styleId="67">
    <w:name w:val="标题 6 Char"/>
    <w:basedOn w:val="44"/>
    <w:link w:val="8"/>
    <w:semiHidden/>
    <w:qFormat/>
    <w:uiPriority w:val="9"/>
    <w:rPr>
      <w:rFonts w:asciiTheme="majorHAnsi" w:hAnsiTheme="majorHAnsi" w:eastAsiaTheme="majorEastAsia" w:cstheme="majorBidi"/>
      <w:b/>
      <w:bCs/>
      <w:sz w:val="24"/>
      <w:szCs w:val="24"/>
    </w:rPr>
  </w:style>
  <w:style w:type="character" w:customStyle="1" w:styleId="68">
    <w:name w:val="标题 7 Char"/>
    <w:basedOn w:val="44"/>
    <w:link w:val="9"/>
    <w:semiHidden/>
    <w:qFormat/>
    <w:uiPriority w:val="9"/>
    <w:rPr>
      <w:b/>
      <w:bCs/>
      <w:sz w:val="24"/>
      <w:szCs w:val="24"/>
    </w:rPr>
  </w:style>
  <w:style w:type="character" w:customStyle="1" w:styleId="69">
    <w:name w:val="标题 8 Char"/>
    <w:basedOn w:val="44"/>
    <w:link w:val="10"/>
    <w:semiHidden/>
    <w:qFormat/>
    <w:uiPriority w:val="9"/>
    <w:rPr>
      <w:rFonts w:asciiTheme="majorHAnsi" w:hAnsiTheme="majorHAnsi" w:eastAsiaTheme="majorEastAsia" w:cstheme="majorBidi"/>
      <w:sz w:val="24"/>
      <w:szCs w:val="24"/>
    </w:rPr>
  </w:style>
  <w:style w:type="character" w:customStyle="1" w:styleId="70">
    <w:name w:val="标题 9 Char"/>
    <w:basedOn w:val="44"/>
    <w:link w:val="11"/>
    <w:semiHidden/>
    <w:qFormat/>
    <w:uiPriority w:val="9"/>
    <w:rPr>
      <w:rFonts w:asciiTheme="majorHAnsi" w:hAnsiTheme="majorHAnsi" w:eastAsiaTheme="majorEastAsia" w:cstheme="majorBidi"/>
      <w:szCs w:val="21"/>
    </w:rPr>
  </w:style>
  <w:style w:type="character" w:customStyle="1" w:styleId="71">
    <w:name w:val="文档结构图 Char"/>
    <w:basedOn w:val="44"/>
    <w:link w:val="13"/>
    <w:semiHidden/>
    <w:qFormat/>
    <w:uiPriority w:val="99"/>
    <w:rPr>
      <w:sz w:val="0"/>
      <w:szCs w:val="0"/>
    </w:rPr>
  </w:style>
  <w:style w:type="character" w:customStyle="1" w:styleId="72">
    <w:name w:val="批注文字 Char"/>
    <w:basedOn w:val="44"/>
    <w:link w:val="15"/>
    <w:semiHidden/>
    <w:qFormat/>
    <w:uiPriority w:val="99"/>
    <w:rPr>
      <w:szCs w:val="24"/>
    </w:rPr>
  </w:style>
  <w:style w:type="character" w:customStyle="1" w:styleId="73">
    <w:name w:val="正文文本 3 Char"/>
    <w:basedOn w:val="44"/>
    <w:link w:val="16"/>
    <w:semiHidden/>
    <w:qFormat/>
    <w:uiPriority w:val="99"/>
    <w:rPr>
      <w:sz w:val="16"/>
      <w:szCs w:val="16"/>
    </w:rPr>
  </w:style>
  <w:style w:type="character" w:customStyle="1" w:styleId="74">
    <w:name w:val="正文文本 Char"/>
    <w:basedOn w:val="44"/>
    <w:link w:val="17"/>
    <w:semiHidden/>
    <w:qFormat/>
    <w:uiPriority w:val="99"/>
    <w:rPr>
      <w:szCs w:val="24"/>
    </w:rPr>
  </w:style>
  <w:style w:type="character" w:customStyle="1" w:styleId="75">
    <w:name w:val="正文文本缩进 Char"/>
    <w:basedOn w:val="44"/>
    <w:link w:val="18"/>
    <w:qFormat/>
    <w:locked/>
    <w:uiPriority w:val="99"/>
    <w:rPr>
      <w:rFonts w:ascii="仿宋_GB2312" w:eastAsia="仿宋_GB2312" w:cs="Times New Roman"/>
      <w:spacing w:val="-12"/>
      <w:kern w:val="2"/>
      <w:sz w:val="24"/>
      <w:szCs w:val="24"/>
    </w:rPr>
  </w:style>
  <w:style w:type="character" w:customStyle="1" w:styleId="76">
    <w:name w:val="纯文本 Char"/>
    <w:basedOn w:val="44"/>
    <w:link w:val="22"/>
    <w:qFormat/>
    <w:locked/>
    <w:uiPriority w:val="99"/>
    <w:rPr>
      <w:rFonts w:ascii="宋体" w:hAnsi="Courier New" w:eastAsia="宋体"/>
      <w:kern w:val="2"/>
      <w:sz w:val="21"/>
      <w:lang w:val="en-US" w:eastAsia="zh-CN"/>
    </w:rPr>
  </w:style>
  <w:style w:type="character" w:customStyle="1" w:styleId="77">
    <w:name w:val="日期 Char"/>
    <w:basedOn w:val="44"/>
    <w:link w:val="24"/>
    <w:qFormat/>
    <w:locked/>
    <w:uiPriority w:val="99"/>
    <w:rPr>
      <w:rFonts w:ascii="宋体" w:hAnsi="宋体" w:eastAsia="宋体"/>
      <w:kern w:val="2"/>
      <w:sz w:val="24"/>
      <w:lang w:val="en-US" w:eastAsia="zh-CN"/>
    </w:rPr>
  </w:style>
  <w:style w:type="character" w:customStyle="1" w:styleId="78">
    <w:name w:val="正文文本缩进 2 Char"/>
    <w:basedOn w:val="44"/>
    <w:link w:val="25"/>
    <w:semiHidden/>
    <w:qFormat/>
    <w:uiPriority w:val="99"/>
    <w:rPr>
      <w:szCs w:val="24"/>
    </w:rPr>
  </w:style>
  <w:style w:type="character" w:customStyle="1" w:styleId="79">
    <w:name w:val="尾注文本 Char"/>
    <w:basedOn w:val="44"/>
    <w:link w:val="26"/>
    <w:semiHidden/>
    <w:qFormat/>
    <w:uiPriority w:val="99"/>
    <w:rPr>
      <w:szCs w:val="24"/>
    </w:rPr>
  </w:style>
  <w:style w:type="character" w:customStyle="1" w:styleId="80">
    <w:name w:val="批注框文本 Char"/>
    <w:basedOn w:val="44"/>
    <w:link w:val="27"/>
    <w:semiHidden/>
    <w:qFormat/>
    <w:uiPriority w:val="99"/>
    <w:rPr>
      <w:sz w:val="0"/>
      <w:szCs w:val="0"/>
    </w:rPr>
  </w:style>
  <w:style w:type="character" w:customStyle="1" w:styleId="81">
    <w:name w:val="页脚 Char"/>
    <w:basedOn w:val="44"/>
    <w:link w:val="28"/>
    <w:qFormat/>
    <w:locked/>
    <w:uiPriority w:val="99"/>
    <w:rPr>
      <w:rFonts w:eastAsia="宋体"/>
      <w:kern w:val="2"/>
      <w:sz w:val="18"/>
      <w:lang w:val="en-US" w:eastAsia="zh-CN"/>
    </w:rPr>
  </w:style>
  <w:style w:type="character" w:customStyle="1" w:styleId="82">
    <w:name w:val="页眉 Char"/>
    <w:basedOn w:val="44"/>
    <w:link w:val="29"/>
    <w:semiHidden/>
    <w:qFormat/>
    <w:uiPriority w:val="99"/>
    <w:rPr>
      <w:sz w:val="18"/>
      <w:szCs w:val="18"/>
    </w:rPr>
  </w:style>
  <w:style w:type="character" w:customStyle="1" w:styleId="83">
    <w:name w:val="正文文本缩进 3 Char"/>
    <w:basedOn w:val="44"/>
    <w:link w:val="33"/>
    <w:semiHidden/>
    <w:qFormat/>
    <w:uiPriority w:val="99"/>
    <w:rPr>
      <w:sz w:val="16"/>
      <w:szCs w:val="16"/>
    </w:rPr>
  </w:style>
  <w:style w:type="character" w:customStyle="1" w:styleId="84">
    <w:name w:val="正文文本 2 Char"/>
    <w:basedOn w:val="44"/>
    <w:link w:val="36"/>
    <w:semiHidden/>
    <w:qFormat/>
    <w:uiPriority w:val="99"/>
    <w:rPr>
      <w:szCs w:val="24"/>
    </w:rPr>
  </w:style>
  <w:style w:type="character" w:customStyle="1" w:styleId="85">
    <w:name w:val="标题 Char"/>
    <w:basedOn w:val="44"/>
    <w:link w:val="39"/>
    <w:qFormat/>
    <w:locked/>
    <w:uiPriority w:val="99"/>
    <w:rPr>
      <w:rFonts w:ascii="Arial" w:hAnsi="Arial" w:eastAsia="宋体"/>
      <w:b/>
      <w:sz w:val="32"/>
      <w:lang w:val="en-US" w:eastAsia="zh-CN"/>
    </w:rPr>
  </w:style>
  <w:style w:type="character" w:customStyle="1" w:styleId="86">
    <w:name w:val="style11"/>
    <w:basedOn w:val="44"/>
    <w:qFormat/>
    <w:uiPriority w:val="99"/>
    <w:rPr>
      <w:rFonts w:cs="Times New Roman"/>
    </w:rPr>
  </w:style>
  <w:style w:type="character" w:customStyle="1" w:styleId="87">
    <w:name w:val="apple-style-span"/>
    <w:basedOn w:val="44"/>
    <w:qFormat/>
    <w:uiPriority w:val="99"/>
    <w:rPr>
      <w:rFonts w:cs="Times New Roman"/>
    </w:rPr>
  </w:style>
  <w:style w:type="character" w:customStyle="1" w:styleId="88">
    <w:name w:val="font161"/>
    <w:qFormat/>
    <w:uiPriority w:val="99"/>
    <w:rPr>
      <w:b/>
      <w:sz w:val="32"/>
    </w:rPr>
  </w:style>
  <w:style w:type="paragraph" w:customStyle="1" w:styleId="89">
    <w:name w:val="样式 标题 3 + (中文) 黑体 小四 非加粗 段前: 7.8 磅 段后: 0 磅 行距: 固定值 20 磅"/>
    <w:basedOn w:val="6"/>
    <w:qFormat/>
    <w:uiPriority w:val="99"/>
    <w:pPr>
      <w:spacing w:before="0" w:after="0" w:line="400" w:lineRule="exact"/>
    </w:pPr>
    <w:rPr>
      <w:rFonts w:eastAsia="黑体" w:cs="宋体"/>
      <w:b w:val="0"/>
      <w:bCs w:val="0"/>
      <w:sz w:val="24"/>
      <w:szCs w:val="20"/>
    </w:rPr>
  </w:style>
  <w:style w:type="paragraph" w:customStyle="1" w:styleId="90">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1">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92">
    <w:name w:val="表格文字"/>
    <w:basedOn w:val="1"/>
    <w:qFormat/>
    <w:uiPriority w:val="99"/>
    <w:pPr>
      <w:adjustRightInd w:val="0"/>
      <w:spacing w:line="420" w:lineRule="atLeast"/>
      <w:jc w:val="left"/>
    </w:pPr>
    <w:rPr>
      <w:kern w:val="0"/>
      <w:szCs w:val="20"/>
    </w:rPr>
  </w:style>
  <w:style w:type="paragraph" w:customStyle="1" w:styleId="93">
    <w:name w:val="Char2"/>
    <w:basedOn w:val="1"/>
    <w:qFormat/>
    <w:uiPriority w:val="99"/>
  </w:style>
  <w:style w:type="paragraph" w:customStyle="1" w:styleId="94">
    <w:name w:val="Char"/>
    <w:basedOn w:val="1"/>
    <w:qFormat/>
    <w:uiPriority w:val="99"/>
    <w:pPr>
      <w:spacing w:line="360" w:lineRule="auto"/>
    </w:pPr>
    <w:rPr>
      <w:rFonts w:ascii="仿宋_GB2312" w:eastAsia="仿宋_GB2312"/>
      <w:b/>
      <w:sz w:val="32"/>
      <w:szCs w:val="20"/>
    </w:rPr>
  </w:style>
  <w:style w:type="paragraph" w:customStyle="1" w:styleId="95">
    <w:name w:val="样式1"/>
    <w:basedOn w:val="1"/>
    <w:qFormat/>
    <w:uiPriority w:val="99"/>
    <w:pPr>
      <w:spacing w:before="120" w:after="120" w:line="300" w:lineRule="auto"/>
    </w:pPr>
    <w:rPr>
      <w:rFonts w:ascii="宋体" w:hAnsi="宋体"/>
      <w:b/>
      <w:sz w:val="24"/>
      <w:szCs w:val="20"/>
    </w:rPr>
  </w:style>
  <w:style w:type="paragraph" w:customStyle="1" w:styleId="96">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97">
    <w:name w:val="目录"/>
    <w:basedOn w:val="1"/>
    <w:qFormat/>
    <w:uiPriority w:val="99"/>
    <w:pPr>
      <w:widowControl/>
      <w:jc w:val="center"/>
    </w:pPr>
    <w:rPr>
      <w:rFonts w:ascii="宋体"/>
      <w:b/>
      <w:kern w:val="0"/>
      <w:sz w:val="36"/>
      <w:szCs w:val="20"/>
    </w:rPr>
  </w:style>
  <w:style w:type="paragraph" w:customStyle="1" w:styleId="98">
    <w:name w:val="目录文字"/>
    <w:basedOn w:val="1"/>
    <w:qFormat/>
    <w:uiPriority w:val="99"/>
    <w:pPr>
      <w:widowControl/>
      <w:spacing w:line="480" w:lineRule="auto"/>
      <w:jc w:val="left"/>
    </w:pPr>
    <w:rPr>
      <w:rFonts w:ascii="宋体" w:hAnsi="宋体"/>
      <w:kern w:val="0"/>
      <w:sz w:val="24"/>
      <w:szCs w:val="20"/>
    </w:rPr>
  </w:style>
  <w:style w:type="paragraph" w:customStyle="1" w:styleId="99">
    <w:name w:val="style1"/>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100">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customStyle="1" w:styleId="101">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02">
    <w:name w:val="表头"/>
    <w:basedOn w:val="1"/>
    <w:qFormat/>
    <w:uiPriority w:val="99"/>
    <w:pPr>
      <w:spacing w:line="360" w:lineRule="auto"/>
      <w:jc w:val="center"/>
    </w:pPr>
    <w:rPr>
      <w:rFonts w:ascii="黑体" w:eastAsia="黑体"/>
      <w:kern w:val="0"/>
      <w:sz w:val="24"/>
      <w:szCs w:val="20"/>
    </w:rPr>
  </w:style>
  <w:style w:type="paragraph" w:customStyle="1" w:styleId="103">
    <w:name w:val="1"/>
    <w:basedOn w:val="1"/>
    <w:next w:val="1"/>
    <w:qFormat/>
    <w:uiPriority w:val="99"/>
  </w:style>
  <w:style w:type="paragraph" w:customStyle="1" w:styleId="104">
    <w:name w:val="6'"/>
    <w:basedOn w:val="1"/>
    <w:qFormat/>
    <w:uiPriority w:val="99"/>
    <w:pPr>
      <w:autoSpaceDE w:val="0"/>
      <w:autoSpaceDN w:val="0"/>
      <w:adjustRightInd w:val="0"/>
      <w:snapToGrid w:val="0"/>
      <w:spacing w:line="320" w:lineRule="exact"/>
      <w:jc w:val="center"/>
    </w:pPr>
    <w:rPr>
      <w:spacing w:val="20"/>
      <w:kern w:val="28"/>
      <w:szCs w:val="20"/>
    </w:rPr>
  </w:style>
  <w:style w:type="paragraph" w:customStyle="1" w:styleId="105">
    <w:name w:val="_Style 14"/>
    <w:basedOn w:val="1"/>
    <w:qFormat/>
    <w:uiPriority w:val="99"/>
    <w:pPr>
      <w:spacing w:line="360" w:lineRule="auto"/>
    </w:pPr>
    <w:rPr>
      <w:szCs w:val="20"/>
    </w:rPr>
  </w:style>
  <w:style w:type="paragraph" w:customStyle="1" w:styleId="106">
    <w:name w:val="Char1"/>
    <w:basedOn w:val="1"/>
    <w:qFormat/>
    <w:uiPriority w:val="99"/>
    <w:pPr>
      <w:spacing w:line="360" w:lineRule="auto"/>
    </w:pPr>
    <w:rPr>
      <w:rFonts w:ascii="仿宋_GB2312" w:eastAsia="仿宋_GB2312"/>
      <w:b/>
      <w:sz w:val="32"/>
      <w:szCs w:val="20"/>
    </w:rPr>
  </w:style>
  <w:style w:type="paragraph" w:customStyle="1" w:styleId="107">
    <w:name w:val="p0"/>
    <w:basedOn w:val="1"/>
    <w:qFormat/>
    <w:uiPriority w:val="99"/>
    <w:pPr>
      <w:widowControl/>
    </w:pPr>
    <w:rPr>
      <w:kern w:val="0"/>
      <w:szCs w:val="21"/>
    </w:rPr>
  </w:style>
  <w:style w:type="paragraph" w:customStyle="1" w:styleId="108">
    <w:name w:val="样式 标题 1 + 黑体 三号 非加粗 居中 段前: 6 磅 段后: 6 磅 行距: 固定值 20 磅"/>
    <w:basedOn w:val="3"/>
    <w:qFormat/>
    <w:uiPriority w:val="99"/>
    <w:pPr>
      <w:spacing w:before="120" w:after="120" w:line="400" w:lineRule="exact"/>
      <w:jc w:val="center"/>
    </w:pPr>
    <w:rPr>
      <w:rFonts w:ascii="黑体" w:hAnsi="黑体" w:eastAsia="黑体" w:cs="宋体"/>
      <w:b w:val="0"/>
      <w:bCs w:val="0"/>
      <w:sz w:val="32"/>
      <w:szCs w:val="20"/>
    </w:rPr>
  </w:style>
  <w:style w:type="paragraph" w:customStyle="1" w:styleId="109">
    <w:name w:val="表格"/>
    <w:basedOn w:val="1"/>
    <w:qFormat/>
    <w:uiPriority w:val="99"/>
    <w:pPr>
      <w:jc w:val="center"/>
    </w:pPr>
    <w:rPr>
      <w:rFonts w:ascii="华文细黑" w:hAnsi="华文细黑"/>
      <w:kern w:val="0"/>
      <w:szCs w:val="20"/>
    </w:rPr>
  </w:style>
  <w:style w:type="paragraph" w:customStyle="1" w:styleId="110">
    <w:name w:val="xl52"/>
    <w:basedOn w:val="1"/>
    <w:qFormat/>
    <w:uiPriority w:val="99"/>
    <w:pPr>
      <w:widowControl/>
      <w:spacing w:before="100" w:beforeAutospacing="1" w:after="100" w:afterAutospacing="1"/>
      <w:jc w:val="center"/>
    </w:pPr>
    <w:rPr>
      <w:rFonts w:ascii="Arial Unicode MS" w:hAnsi="Arial Unicode MS"/>
      <w:b/>
      <w:kern w:val="0"/>
      <w:sz w:val="32"/>
      <w:szCs w:val="20"/>
    </w:rPr>
  </w:style>
  <w:style w:type="paragraph" w:customStyle="1" w:styleId="111">
    <w:name w:val="Char Char Char Char Char Char Char"/>
    <w:basedOn w:val="1"/>
    <w:qFormat/>
    <w:uiPriority w:val="99"/>
    <w:pPr>
      <w:widowControl/>
      <w:snapToGrid w:val="0"/>
      <w:spacing w:after="160" w:line="360" w:lineRule="auto"/>
      <w:jc w:val="left"/>
    </w:pPr>
    <w:rPr>
      <w:szCs w:val="20"/>
    </w:rPr>
  </w:style>
  <w:style w:type="paragraph" w:customStyle="1" w:styleId="112">
    <w:name w:val="Char Char Char Char Char Char Char1"/>
    <w:basedOn w:val="1"/>
    <w:qFormat/>
    <w:uiPriority w:val="99"/>
    <w:pPr>
      <w:widowControl/>
      <w:snapToGrid w:val="0"/>
      <w:spacing w:after="160" w:line="360" w:lineRule="auto"/>
      <w:jc w:val="left"/>
    </w:pPr>
    <w:rPr>
      <w:szCs w:val="20"/>
    </w:rPr>
  </w:style>
  <w:style w:type="paragraph" w:customStyle="1" w:styleId="113">
    <w:name w:val="Char Char Char"/>
    <w:basedOn w:val="2"/>
    <w:qFormat/>
    <w:uiPriority w:val="99"/>
    <w:pPr>
      <w:widowControl/>
      <w:tabs>
        <w:tab w:val="left" w:pos="495"/>
      </w:tabs>
      <w:spacing w:before="140" w:after="0" w:line="220" w:lineRule="atLeast"/>
      <w:ind w:left="720"/>
      <w:jc w:val="left"/>
    </w:pPr>
    <w:rPr>
      <w:rFonts w:ascii="Futura Bk BT" w:hAnsi="Futura Bk BT" w:eastAsia="宋体"/>
      <w:b w:val="0"/>
      <w:bCs w:val="0"/>
      <w:spacing w:val="-4"/>
      <w:kern w:val="28"/>
      <w:sz w:val="21"/>
      <w:szCs w:val="20"/>
      <w:lang w:val="en-AU" w:eastAsia="en-US"/>
    </w:rPr>
  </w:style>
  <w:style w:type="character" w:customStyle="1" w:styleId="114">
    <w:name w:val="ca-31"/>
    <w:basedOn w:val="44"/>
    <w:qFormat/>
    <w:uiPriority w:val="0"/>
    <w:rPr>
      <w:rFonts w:cs="Times New Roman"/>
    </w:rPr>
  </w:style>
  <w:style w:type="paragraph" w:customStyle="1" w:styleId="115">
    <w:name w:val="纯文本1"/>
    <w:basedOn w:val="1"/>
    <w:qFormat/>
    <w:uiPriority w:val="0"/>
    <w:pPr>
      <w:spacing w:line="324" w:lineRule="auto"/>
    </w:pPr>
    <w:rPr>
      <w:rFonts w:ascii="宋体" w:hAnsi="Courier New" w:cs="Courier New"/>
      <w:szCs w:val="21"/>
    </w:rPr>
  </w:style>
  <w:style w:type="paragraph" w:customStyle="1" w:styleId="116">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117">
    <w:name w:val="表格文字中"/>
    <w:basedOn w:val="1"/>
    <w:qFormat/>
    <w:uiPriority w:val="0"/>
    <w:pPr>
      <w:adjustRightInd w:val="0"/>
      <w:snapToGrid w:val="0"/>
      <w:ind w:left="22" w:leftChars="8"/>
      <w:jc w:val="center"/>
    </w:pPr>
    <w:rPr>
      <w:kern w:val="0"/>
    </w:rPr>
  </w:style>
  <w:style w:type="paragraph" w:customStyle="1" w:styleId="118">
    <w:name w:val="表注1"/>
    <w:basedOn w:val="1"/>
    <w:qFormat/>
    <w:uiPriority w:val="0"/>
    <w:pPr>
      <w:adjustRightInd w:val="0"/>
      <w:snapToGrid w:val="0"/>
      <w:spacing w:beforeLines="50" w:line="300" w:lineRule="auto"/>
      <w:ind w:left="350" w:hanging="350" w:hangingChars="350"/>
    </w:pPr>
    <w:rPr>
      <w:rFonts w:eastAsia="仿宋_GB2312"/>
      <w:bCs/>
      <w:color w:val="000000"/>
    </w:rPr>
  </w:style>
  <w:style w:type="paragraph" w:customStyle="1" w:styleId="119">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120">
    <w:name w:val="正文 New"/>
    <w:qFormat/>
    <w:uiPriority w:val="99"/>
    <w:pPr>
      <w:widowControl w:val="0"/>
      <w:jc w:val="both"/>
    </w:pPr>
    <w:rPr>
      <w:rFonts w:ascii="Calibri" w:hAnsi="Calibri" w:eastAsia="宋体" w:cs="Times New Roman"/>
      <w:lang w:val="en-US" w:eastAsia="zh-CN" w:bidi="ar-SA"/>
    </w:rPr>
  </w:style>
  <w:style w:type="paragraph" w:customStyle="1" w:styleId="121">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character" w:customStyle="1" w:styleId="122">
    <w:name w:val="批注主题 Char"/>
    <w:basedOn w:val="72"/>
    <w:link w:val="40"/>
    <w:qFormat/>
    <w:uiPriority w:val="0"/>
    <w:rPr>
      <w:b/>
      <w:bCs/>
      <w:kern w:val="2"/>
      <w:sz w:val="21"/>
      <w:szCs w:val="24"/>
    </w:rPr>
  </w:style>
  <w:style w:type="character" w:customStyle="1" w:styleId="123">
    <w:name w:val="hour_pm"/>
    <w:basedOn w:val="44"/>
    <w:qFormat/>
    <w:uiPriority w:val="0"/>
  </w:style>
  <w:style w:type="character" w:customStyle="1" w:styleId="124">
    <w:name w:val="indent"/>
    <w:basedOn w:val="44"/>
    <w:qFormat/>
    <w:uiPriority w:val="0"/>
  </w:style>
  <w:style w:type="character" w:customStyle="1" w:styleId="125">
    <w:name w:val="hour_am"/>
    <w:basedOn w:val="44"/>
    <w:qFormat/>
    <w:uiPriority w:val="0"/>
  </w:style>
  <w:style w:type="character" w:customStyle="1" w:styleId="126">
    <w:name w:val="button"/>
    <w:basedOn w:val="44"/>
    <w:qFormat/>
    <w:uiPriority w:val="0"/>
  </w:style>
  <w:style w:type="character" w:customStyle="1" w:styleId="127">
    <w:name w:val="hover3"/>
    <w:basedOn w:val="44"/>
    <w:qFormat/>
    <w:uiPriority w:val="0"/>
    <w:rPr>
      <w:shd w:val="clear" w:color="auto" w:fill="EEEEEE"/>
    </w:rPr>
  </w:style>
  <w:style w:type="character" w:customStyle="1" w:styleId="128">
    <w:name w:val="old"/>
    <w:basedOn w:val="44"/>
    <w:qFormat/>
    <w:uiPriority w:val="0"/>
    <w:rPr>
      <w:color w:val="999999"/>
    </w:rPr>
  </w:style>
  <w:style w:type="character" w:customStyle="1" w:styleId="129">
    <w:name w:val="glyphicon4"/>
    <w:basedOn w:val="44"/>
    <w:qFormat/>
    <w:uiPriority w:val="0"/>
  </w:style>
  <w:style w:type="character" w:customStyle="1" w:styleId="130">
    <w:name w:val="tmpztreemove_arrow"/>
    <w:basedOn w:val="44"/>
    <w:qFormat/>
    <w:uiPriority w:val="0"/>
    <w:rPr>
      <w:shd w:val="clear" w:color="auto" w:fill="FFFFFF"/>
    </w:rPr>
  </w:style>
  <w:style w:type="paragraph" w:customStyle="1" w:styleId="131">
    <w:name w:val="WPSOffice手动目录 1"/>
    <w:qFormat/>
    <w:uiPriority w:val="0"/>
    <w:rPr>
      <w:rFonts w:ascii="Times New Roman" w:hAnsi="Times New Roman" w:eastAsia="宋体" w:cs="Times New Roman"/>
      <w:lang w:val="en-US" w:eastAsia="zh-CN" w:bidi="ar-SA"/>
    </w:rPr>
  </w:style>
  <w:style w:type="paragraph" w:customStyle="1" w:styleId="132">
    <w:name w:val="TOC 标题1"/>
    <w:basedOn w:val="3"/>
    <w:next w:val="1"/>
    <w:qFormat/>
    <w:uiPriority w:val="39"/>
    <w:pPr>
      <w:tabs>
        <w:tab w:val="left" w:pos="1440"/>
        <w:tab w:val="left" w:pos="5670"/>
      </w:tabs>
      <w:spacing w:before="480" w:after="0" w:line="276" w:lineRule="auto"/>
      <w:jc w:val="left"/>
      <w:outlineLvl w:val="9"/>
    </w:pPr>
    <w:rPr>
      <w:rFonts w:ascii="仿宋" w:hAnsi="仿宋" w:eastAsia="仿宋"/>
      <w:color w:val="000000"/>
      <w:kern w:val="0"/>
      <w:sz w:val="32"/>
      <w:szCs w:val="32"/>
    </w:rPr>
  </w:style>
  <w:style w:type="paragraph" w:styleId="133">
    <w:name w:val="List Paragraph"/>
    <w:basedOn w:val="1"/>
    <w:unhideWhenUsed/>
    <w:qFormat/>
    <w:uiPriority w:val="99"/>
    <w:pPr>
      <w:ind w:firstLine="420" w:firstLineChars="200"/>
    </w:pPr>
  </w:style>
  <w:style w:type="paragraph" w:customStyle="1" w:styleId="13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5">
    <w:name w:val="样式 首行缩进:  2 字符"/>
    <w:basedOn w:val="1"/>
    <w:qFormat/>
    <w:uiPriority w:val="0"/>
    <w:pPr>
      <w:spacing w:line="400" w:lineRule="exact"/>
      <w:ind w:firstLine="200" w:firstLineChars="200"/>
    </w:pPr>
    <w:rPr>
      <w:rFonts w:cs="宋体"/>
      <w:sz w:val="24"/>
    </w:rPr>
  </w:style>
  <w:style w:type="character" w:customStyle="1" w:styleId="136">
    <w:name w:val="NormalCharacter"/>
    <w:qFormat/>
    <w:uiPriority w:val="0"/>
    <w:rPr>
      <w:rFonts w:ascii="宋体"/>
      <w:sz w:val="24"/>
      <w:lang w:val="en-US" w:eastAsia="zh-CN" w:bidi="ar-SA"/>
    </w:rPr>
  </w:style>
  <w:style w:type="paragraph" w:customStyle="1" w:styleId="137">
    <w:name w:val="样式2"/>
    <w:basedOn w:val="138"/>
    <w:qFormat/>
    <w:uiPriority w:val="0"/>
    <w:pPr>
      <w:spacing w:line="560" w:lineRule="exact"/>
      <w:ind w:firstLine="643" w:firstLineChars="200"/>
      <w:jc w:val="both"/>
    </w:pPr>
    <w:rPr>
      <w:rFonts w:ascii="仿宋_GB2312" w:hAnsi="仿宋" w:eastAsia="仿宋_GB2312"/>
      <w:b/>
      <w:bCs/>
      <w:szCs w:val="32"/>
    </w:rPr>
  </w:style>
  <w:style w:type="paragraph" w:customStyle="1" w:styleId="138">
    <w:name w:val="@标题"/>
    <w:basedOn w:val="1"/>
    <w:next w:val="139"/>
    <w:qFormat/>
    <w:uiPriority w:val="0"/>
    <w:pPr>
      <w:keepNext/>
      <w:spacing w:before="50" w:beforeLines="50" w:after="50" w:afterLines="50"/>
      <w:jc w:val="center"/>
      <w:outlineLvl w:val="1"/>
    </w:pPr>
    <w:rPr>
      <w:rFonts w:ascii="Calibri" w:hAnsi="Calibri" w:eastAsia="黑体"/>
      <w:kern w:val="32"/>
      <w:sz w:val="32"/>
    </w:rPr>
  </w:style>
  <w:style w:type="paragraph" w:customStyle="1" w:styleId="139">
    <w:name w:val="@正文"/>
    <w:basedOn w:val="1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141">
    <w:name w:val="4"/>
    <w:basedOn w:val="1"/>
    <w:next w:val="133"/>
    <w:qFormat/>
    <w:uiPriority w:val="34"/>
    <w:pPr>
      <w:ind w:firstLine="420" w:firstLineChars="200"/>
    </w:pPr>
  </w:style>
  <w:style w:type="paragraph" w:customStyle="1" w:styleId="142">
    <w:name w:val="正文缩进1"/>
    <w:basedOn w:val="1"/>
    <w:qFormat/>
    <w:uiPriority w:val="0"/>
    <w:pPr>
      <w:ind w:firstLine="420" w:firstLineChars="200"/>
    </w:pPr>
  </w:style>
  <w:style w:type="paragraph" w:customStyle="1" w:styleId="14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69</Pages>
  <Words>34729</Words>
  <Characters>37654</Characters>
  <Lines>247</Lines>
  <Paragraphs>69</Paragraphs>
  <TotalTime>3</TotalTime>
  <ScaleCrop>false</ScaleCrop>
  <LinksUpToDate>false</LinksUpToDate>
  <CharactersWithSpaces>39870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2021-02-04T00:59:00Z</dcterms:created>
  <dc:creator>adminis</dc:creator>
  <cp:lastModifiedBy>余生太长。</cp:lastModifiedBy>
  <cp:lastPrinted>2022-10-10T01:33:00Z</cp:lastPrinted>
  <dcterms:modified xsi:type="dcterms:W3CDTF">2023-11-16T10:56:40Z</dcterms:modified>
  <dc:title>招标编号：SXLHZB2012-831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BB66D73F6F894264BF64047B7AEAFD8D</vt:lpwstr>
  </property>
</Properties>
</file>