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p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（1）具有独立承担民事责任能力的法人、其他组织或自然人，并出具合法有效的营业执照或事业单位法人证书等国家规定的相关证明，自然人参与的提供其身份证明书；</w:t>
      </w:r>
    </w:p>
    <w:p>
      <w:pPr>
        <w:rPr>
          <w:rFonts w:hint="eastAsia"/>
          <w:color w:val="000000" w:themeColor="text1"/>
          <w:lang w:val="zh-CN" w:eastAsia="zh-CN"/>
          <w14:textFill>
            <w14:solidFill>
              <w14:schemeClr w14:val="tx1"/>
            </w14:solidFill>
          </w14:textFill>
        </w:rPr>
      </w:pPr>
      <w:r>
        <w:rPr>
          <w:rFonts w:hint="eastAsia"/>
          <w:color w:val="000000" w:themeColor="text1"/>
          <w:lang w:val="zh-CN"/>
          <w14:textFill>
            <w14:solidFill>
              <w14:schemeClr w14:val="tx1"/>
            </w14:solidFill>
          </w14:textFill>
        </w:rPr>
        <w:t>（2）</w:t>
      </w:r>
      <w:r>
        <w:rPr>
          <w:rFonts w:hint="eastAsia"/>
          <w:color w:val="000000" w:themeColor="text1"/>
          <w:lang w:val="zh-CN" w:eastAsia="zh-CN"/>
          <w14:textFill>
            <w14:solidFill>
              <w14:schemeClr w14:val="tx1"/>
            </w14:solidFill>
          </w14:textFill>
        </w:rPr>
        <w:t>供应商应授权合法的人员参加磋商全过程，其中法定代表人直接参加磋商的，须出具法定代表人身份证明书，并与营业执照上信息一致。法定代表人授权代表参加磋商的，须出具法定代表人授权委托书，非法人单位参照执行；</w:t>
      </w:r>
    </w:p>
    <w:p>
      <w:pPr>
        <w:pStyle w:val="2"/>
        <w:rPr>
          <w:rFonts w:hint="eastAsia"/>
          <w:lang w:val="zh-CN" w:eastAsia="zh-CN"/>
        </w:rPr>
      </w:pPr>
      <w:r>
        <w:rPr>
          <w:rFonts w:hint="eastAsia"/>
          <w:lang w:val="zh-CN" w:eastAsia="zh-CN"/>
        </w:rPr>
        <w:t>（</w:t>
      </w:r>
      <w:r>
        <w:rPr>
          <w:rFonts w:hint="eastAsia"/>
          <w:lang w:val="en-US" w:eastAsia="zh-CN"/>
        </w:rPr>
        <w:t>3</w:t>
      </w:r>
      <w:r>
        <w:rPr>
          <w:rFonts w:hint="eastAsia"/>
          <w:lang w:val="zh-CN" w:eastAsia="zh-CN"/>
        </w:rPr>
        <w:t>）提供肥料登记证（投标人为代理商的提供加盖厂家公章的肥料登记证）；</w:t>
      </w:r>
    </w:p>
    <w:p>
      <w:pPr>
        <w:rPr>
          <w:rFonts w:hint="eastAsia"/>
          <w:color w:val="000000" w:themeColor="text1"/>
          <w:lang w:val="zh-CN" w:eastAsia="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4</w:t>
      </w:r>
      <w:r>
        <w:rPr>
          <w:rFonts w:hint="eastAsia"/>
          <w:color w:val="000000" w:themeColor="text1"/>
          <w:lang w:val="zh-CN"/>
          <w14:textFill>
            <w14:solidFill>
              <w14:schemeClr w14:val="tx1"/>
            </w14:solidFill>
          </w14:textFill>
        </w:rPr>
        <w:t>）财务状况报告：</w:t>
      </w:r>
      <w:r>
        <w:rPr>
          <w:rFonts w:hint="eastAsia"/>
          <w:color w:val="000000" w:themeColor="text1"/>
          <w:lang w:val="zh-CN" w:eastAsia="zh-CN"/>
          <w14:textFill>
            <w14:solidFill>
              <w14:schemeClr w14:val="tx1"/>
            </w14:solidFill>
          </w14:textFill>
        </w:rPr>
        <w:t>提供2022年度经审计的财务报告，或投标前三个月内公司基本开户银行出具的资信证明（以上两种形式的资料提供任何一种即可）</w:t>
      </w:r>
    </w:p>
    <w:p>
      <w:p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5</w:t>
      </w:r>
      <w:r>
        <w:rPr>
          <w:rFonts w:hint="eastAsia"/>
          <w:color w:val="000000" w:themeColor="text1"/>
          <w:lang w:val="zh-CN"/>
          <w14:textFill>
            <w14:solidFill>
              <w14:schemeClr w14:val="tx1"/>
            </w14:solidFill>
          </w14:textFill>
        </w:rPr>
        <w:t>）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6</w:t>
      </w:r>
      <w:r>
        <w:rPr>
          <w:rFonts w:hint="eastAsia"/>
          <w:color w:val="000000" w:themeColor="text1"/>
          <w:lang w:val="zh-CN"/>
          <w14:textFill>
            <w14:solidFill>
              <w14:schemeClr w14:val="tx1"/>
            </w14:solidFill>
          </w14:textFill>
        </w:rPr>
        <w:t>）社会保障资金缴纳证明：提供投标截止日前6个月内已缴存的至少一个月的社会保障资金缴存单据或社保机构开具的社会保险参保缴费情况证明，依法不需要缴纳社会保障资金的单位应提供相关证明材料。</w:t>
      </w:r>
    </w:p>
    <w:p>
      <w:p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7</w:t>
      </w:r>
      <w:r>
        <w:rPr>
          <w:rFonts w:hint="eastAsia"/>
          <w:color w:val="000000" w:themeColor="text1"/>
          <w:lang w:val="zh-CN"/>
          <w14:textFill>
            <w14:solidFill>
              <w14:schemeClr w14:val="tx1"/>
            </w14:solidFill>
          </w14:textFill>
        </w:rPr>
        <w:t>）参加政府采购活动前3年内，在经营活动中没有重大违法记录（提供书面声明函）；</w:t>
      </w:r>
    </w:p>
    <w:p>
      <w:p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8</w:t>
      </w:r>
      <w:r>
        <w:rPr>
          <w:rFonts w:hint="eastAsia"/>
          <w:color w:val="000000" w:themeColor="text1"/>
          <w:lang w:val="zh-CN"/>
          <w14:textFill>
            <w14:solidFill>
              <w14:schemeClr w14:val="tx1"/>
            </w14:solidFill>
          </w14:textFill>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9</w:t>
      </w:r>
      <w:r>
        <w:rPr>
          <w:rFonts w:hint="eastAsia"/>
          <w:color w:val="000000" w:themeColor="text1"/>
          <w:lang w:val="zh-CN"/>
          <w14:textFill>
            <w14:solidFill>
              <w14:schemeClr w14:val="tx1"/>
            </w14:solidFill>
          </w14:textFill>
        </w:rPr>
        <w:t>）供应商具备履行合同所必需的设备和专业技术能力（提供承诺书）；</w:t>
      </w:r>
    </w:p>
    <w:p>
      <w:p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10</w:t>
      </w:r>
      <w:r>
        <w:rPr>
          <w:rFonts w:hint="eastAsia"/>
          <w:color w:val="000000" w:themeColor="text1"/>
          <w:lang w:val="zh-CN"/>
          <w14:textFill>
            <w14:solidFill>
              <w14:schemeClr w14:val="tx1"/>
            </w14:solidFill>
          </w14:textFill>
        </w:rPr>
        <w:t>）单位负责人为同一人或者存在控股、管理关系的不同单位不得同时参加。</w:t>
      </w:r>
    </w:p>
    <w:p>
      <w:p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w:t>
      </w:r>
      <w:r>
        <w:rPr>
          <w:rFonts w:hint="eastAsia"/>
          <w:color w:val="000000" w:themeColor="text1"/>
          <w:lang w:val="en-US" w:eastAsia="zh-CN"/>
          <w14:textFill>
            <w14:solidFill>
              <w14:schemeClr w14:val="tx1"/>
            </w14:solidFill>
          </w14:textFill>
        </w:rPr>
        <w:t>11</w:t>
      </w:r>
      <w:r>
        <w:rPr>
          <w:rFonts w:hint="eastAsia"/>
          <w:color w:val="000000" w:themeColor="text1"/>
          <w:lang w:val="zh-CN"/>
          <w14:textFill>
            <w14:solidFill>
              <w14:schemeClr w14:val="tx1"/>
            </w14:solidFill>
          </w14:textFill>
        </w:rPr>
        <w:t>）本项目不接受联合体投标（提供承诺书）。</w:t>
      </w:r>
    </w:p>
    <w:p>
      <w:pPr>
        <w:rPr>
          <w:rFonts w:hint="eastAsia"/>
          <w:sz w:val="24"/>
          <w:szCs w:val="24"/>
          <w:lang w:eastAsia="zh-CN"/>
        </w:rPr>
      </w:pPr>
      <w:bookmarkStart w:id="56" w:name="_GoBack"/>
      <w:bookmarkEnd w:id="56"/>
      <w:r>
        <w:br w:type="page"/>
      </w:r>
      <w:r>
        <w:rPr>
          <w:rFonts w:hint="eastAsia"/>
          <w:sz w:val="24"/>
          <w:szCs w:val="24"/>
          <w:lang w:eastAsia="zh-CN"/>
        </w:rPr>
        <w:t>附件一：</w:t>
      </w:r>
    </w:p>
    <w:p>
      <w:pPr>
        <w:pStyle w:val="14"/>
        <w:widowControl/>
        <w:spacing w:line="480" w:lineRule="exact"/>
        <w:ind w:left="240" w:firstLine="321" w:firstLineChars="100"/>
        <w:jc w:val="center"/>
        <w:outlineLvl w:val="0"/>
        <w:rPr>
          <w:rFonts w:hint="eastAsia" w:ascii="宋体" w:hAnsi="宋体" w:eastAsia="宋体" w:cs="宋体"/>
          <w:b/>
          <w:bCs/>
          <w:kern w:val="2"/>
          <w:sz w:val="32"/>
          <w:szCs w:val="32"/>
          <w:lang w:val="en-US"/>
        </w:rPr>
      </w:pPr>
      <w:bookmarkStart w:id="0" w:name="_Toc17"/>
      <w:bookmarkStart w:id="1" w:name="_Toc10064"/>
      <w:bookmarkStart w:id="2" w:name="_Toc11181"/>
      <w:bookmarkStart w:id="3" w:name="_Toc15496"/>
      <w:bookmarkStart w:id="4" w:name="_Toc1052"/>
      <w:bookmarkStart w:id="5" w:name="_Toc1006"/>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p>
    <w:p>
      <w:pPr>
        <w:pStyle w:val="14"/>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426457701"/>
      <w:bookmarkStart w:id="9" w:name="_Toc363474028"/>
      <w:bookmarkStart w:id="10" w:name="_Toc25348"/>
      <w:bookmarkStart w:id="11" w:name="_Toc16097"/>
      <w:bookmarkStart w:id="12" w:name="_Toc30210"/>
      <w:bookmarkStart w:id="13" w:name="_Toc403077649"/>
      <w:bookmarkStart w:id="14" w:name="_Toc19075"/>
      <w:bookmarkStart w:id="15" w:name="_Toc4867"/>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pPr>
              <w:pStyle w:val="2"/>
              <w:widowControl/>
              <w:jc w:val="center"/>
              <w:rPr>
                <w:rFonts w:hint="eastAsia" w:ascii="宋体" w:hAnsi="宋体" w:eastAsia="宋体" w:cs="宋体"/>
                <w:szCs w:val="21"/>
                <w:lang w:val="en-US"/>
              </w:rPr>
            </w:pPr>
            <w:r>
              <w:rPr>
                <w:rFonts w:hint="eastAsia" w:ascii="宋体" w:hAnsi="宋体" w:eastAsia="宋体" w:cs="宋体"/>
                <w:szCs w:val="21"/>
              </w:rPr>
              <w:t>（双面）</w:t>
            </w:r>
          </w:p>
          <w:p>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szCs w:val="21"/>
          <w:lang w:val="en-US"/>
        </w:rPr>
      </w:pPr>
    </w:p>
    <w:p>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pPr>
        <w:pStyle w:val="2"/>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pStyle w:val="3"/>
        <w:rPr>
          <w:rFonts w:hint="eastAsia" w:ascii="宋体" w:hAnsi="宋体" w:eastAsia="宋体" w:cs="宋体"/>
          <w:kern w:val="2"/>
          <w:sz w:val="21"/>
          <w:szCs w:val="21"/>
          <w:lang w:val="en-US" w:eastAsia="zh-CN" w:bidi="ar"/>
        </w:rPr>
      </w:pPr>
    </w:p>
    <w:p>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pPr>
        <w:pStyle w:val="9"/>
        <w:widowControl/>
        <w:rPr>
          <w:rFonts w:hint="eastAsia" w:ascii="宋体" w:hAnsi="宋体" w:eastAsia="宋体" w:cs="宋体"/>
          <w:sz w:val="21"/>
          <w:szCs w:val="21"/>
          <w:lang w:val="en-US"/>
        </w:rPr>
      </w:pPr>
    </w:p>
    <w:p>
      <w:pPr>
        <w:pStyle w:val="7"/>
        <w:widowControl/>
        <w:ind w:left="0" w:firstLine="90" w:firstLineChars="50"/>
        <w:jc w:val="left"/>
        <w:rPr>
          <w:rFonts w:hint="eastAsia" w:ascii="宋体" w:hAnsi="宋体" w:eastAsia="宋体" w:cs="宋体"/>
          <w:b/>
          <w:bCs/>
          <w:szCs w:val="32"/>
          <w:lang w:val="en-US"/>
        </w:rPr>
      </w:pPr>
      <w:r>
        <w:rPr>
          <w:rFonts w:hAnsi="宋体" w:cs="宋体"/>
          <w:b/>
          <w:bCs/>
          <w:sz w:val="18"/>
          <w:szCs w:val="18"/>
          <w:lang w:eastAsia="zh-CN"/>
        </w:rPr>
        <w:t>说明：仅限法定代表人参加投标</w:t>
      </w:r>
      <w:r>
        <w:rPr>
          <w:rFonts w:hint="eastAsia" w:hAnsi="宋体" w:cs="宋体"/>
          <w:b/>
          <w:bCs/>
          <w:sz w:val="18"/>
          <w:szCs w:val="18"/>
          <w:lang w:eastAsia="zh-CN"/>
        </w:rPr>
        <w:t>（磋商</w:t>
      </w:r>
      <w:r>
        <w:rPr>
          <w:rFonts w:hint="eastAsia" w:hAnsi="宋体" w:cs="宋体"/>
          <w:b/>
          <w:bCs/>
          <w:sz w:val="18"/>
          <w:szCs w:val="18"/>
          <w:lang w:val="en-US" w:eastAsia="zh-CN"/>
        </w:rPr>
        <w:t>/谈判</w:t>
      </w:r>
      <w:r>
        <w:rPr>
          <w:rFonts w:hint="eastAsia" w:hAnsi="宋体" w:cs="宋体"/>
          <w:b/>
          <w:bCs/>
          <w:sz w:val="18"/>
          <w:szCs w:val="18"/>
          <w:lang w:eastAsia="zh-CN"/>
        </w:rPr>
        <w:t>）</w:t>
      </w:r>
      <w:r>
        <w:rPr>
          <w:rFonts w:hAnsi="宋体" w:cs="宋体"/>
          <w:b/>
          <w:bCs/>
          <w:sz w:val="18"/>
          <w:szCs w:val="18"/>
          <w:lang w:eastAsia="zh-CN"/>
        </w:rPr>
        <w:t>时提供。</w:t>
      </w:r>
      <w:bookmarkEnd w:id="8"/>
      <w:bookmarkEnd w:id="9"/>
      <w:bookmarkEnd w:id="10"/>
      <w:bookmarkEnd w:id="11"/>
      <w:bookmarkEnd w:id="12"/>
      <w:bookmarkEnd w:id="13"/>
      <w:bookmarkEnd w:id="14"/>
      <w:bookmarkEnd w:id="15"/>
    </w:p>
    <w:p>
      <w:pPr>
        <w:rPr>
          <w:rFonts w:hint="eastAsia" w:ascii="宋体" w:hAnsi="宋体" w:eastAsia="宋体" w:cs="宋体"/>
          <w:b/>
          <w:bCs/>
          <w:kern w:val="2"/>
          <w:sz w:val="32"/>
          <w:szCs w:val="32"/>
          <w:lang w:eastAsia="zh-CN"/>
        </w:rPr>
      </w:pPr>
      <w:bookmarkStart w:id="16" w:name="_Toc4792"/>
      <w:bookmarkStart w:id="17" w:name="_Toc26764"/>
      <w:bookmarkStart w:id="18" w:name="_Toc21507"/>
      <w:bookmarkStart w:id="19" w:name="_Toc4852"/>
      <w:bookmarkStart w:id="20" w:name="_Toc30633"/>
      <w:bookmarkStart w:id="21" w:name="_Toc13130"/>
      <w:r>
        <w:rPr>
          <w:rFonts w:hint="eastAsia" w:ascii="宋体" w:hAnsi="宋体" w:eastAsia="宋体" w:cs="宋体"/>
          <w:b/>
          <w:bCs/>
          <w:kern w:val="2"/>
          <w:sz w:val="32"/>
          <w:szCs w:val="32"/>
          <w:lang w:eastAsia="zh-CN"/>
        </w:rPr>
        <w:br w:type="page"/>
      </w:r>
    </w:p>
    <w:p>
      <w:pPr>
        <w:pStyle w:val="14"/>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pPr>
        <w:pStyle w:val="7"/>
        <w:widowControl/>
        <w:spacing w:line="360" w:lineRule="auto"/>
        <w:ind w:left="-118"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int="eastAsia" w:hAnsi="宋体" w:cs="宋体"/>
          <w:u w:val="single"/>
          <w:lang w:val="en-US" w:eastAsia="zh-CN"/>
        </w:rPr>
        <w:t xml:space="preserve">  </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Ansi="宋体" w:cs="宋体"/>
          <w:lang w:eastAsia="zh-CN"/>
        </w:rPr>
        <w:t>法定代表人（签字或盖章）：</w:t>
      </w:r>
    </w:p>
    <w:p>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pPr>
        <w:pStyle w:val="7"/>
        <w:widowControl/>
        <w:spacing w:line="360" w:lineRule="auto"/>
        <w:ind w:left="0" w:firstLine="420" w:firstLineChars="200"/>
        <w:jc w:val="left"/>
        <w:rPr>
          <w:rFonts w:hAnsi="宋体" w:cs="宋体"/>
          <w:lang w:val="en-US"/>
        </w:rPr>
      </w:pPr>
      <w:r>
        <w:rPr>
          <w:rFonts w:hAnsi="宋体" w:cs="宋体"/>
          <w:lang w:eastAsia="zh-CN"/>
        </w:rPr>
        <w:t>联系电话：</w:t>
      </w:r>
    </w:p>
    <w:p>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pPr>
        <w:pStyle w:val="7"/>
        <w:widowControl/>
        <w:spacing w:line="360" w:lineRule="auto"/>
        <w:ind w:left="0" w:firstLine="420" w:firstLineChars="200"/>
        <w:jc w:val="left"/>
        <w:rPr>
          <w:rFonts w:hAnsi="宋体" w:cs="宋体"/>
          <w:lang w:val="en-US"/>
        </w:rPr>
      </w:pPr>
      <w:r>
        <w:rPr>
          <w:rFonts w:hAnsi="宋体" w:cs="宋体"/>
          <w:lang w:eastAsia="zh-CN"/>
        </w:rPr>
        <w:t>附：法定代表人、被授权人身份证复印件</w:t>
      </w:r>
    </w:p>
    <w:tbl>
      <w:tblPr>
        <w:tblStyle w:val="11"/>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pPr>
              <w:pStyle w:val="7"/>
              <w:widowControl/>
              <w:spacing w:line="360" w:lineRule="auto"/>
              <w:jc w:val="center"/>
              <w:rPr>
                <w:rFonts w:hAnsi="宋体" w:cs="宋体"/>
                <w:shd w:val="clear" w:color="auto" w:fill="D9D9D9"/>
                <w:lang w:val="en-US"/>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p/>
    <w:p>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pPr>
        <w:rPr>
          <w:rFonts w:hint="eastAsia"/>
          <w:lang w:eastAsia="zh-CN"/>
        </w:rPr>
      </w:pPr>
      <w:r>
        <w:rPr>
          <w:rFonts w:hint="eastAsia"/>
          <w:lang w:eastAsia="zh-CN"/>
        </w:rPr>
        <w:br w:type="page"/>
      </w:r>
    </w:p>
    <w:p>
      <w:pPr>
        <w:pStyle w:val="4"/>
        <w:adjustRightInd w:val="0"/>
        <w:spacing w:before="0" w:after="0" w:line="416" w:lineRule="atLeast"/>
        <w:textAlignment w:val="baseline"/>
        <w:outlineLvl w:val="1"/>
        <w:rPr>
          <w:rFonts w:hint="eastAsia" w:asciiTheme="minorHAnsi" w:hAnsiTheme="minorHAnsi" w:eastAsiaTheme="minorEastAsia" w:cstheme="minorBidi"/>
          <w:b w:val="0"/>
          <w:kern w:val="2"/>
          <w:sz w:val="24"/>
          <w:szCs w:val="24"/>
          <w:lang w:val="en-US" w:eastAsia="zh-CN" w:bidi="ar-SA"/>
        </w:rPr>
      </w:pPr>
      <w:bookmarkStart w:id="22" w:name="_Toc5031"/>
      <w:bookmarkStart w:id="23" w:name="_Toc20104"/>
      <w:bookmarkStart w:id="24" w:name="_Toc28938"/>
      <w:bookmarkStart w:id="25" w:name="_Toc7395"/>
      <w:bookmarkStart w:id="26" w:name="_Toc18670"/>
      <w:bookmarkStart w:id="27" w:name="_Toc6826"/>
      <w:bookmarkStart w:id="28" w:name="_Toc7423"/>
      <w:bookmarkStart w:id="29" w:name="_Toc29671"/>
      <w:bookmarkStart w:id="30" w:name="_Toc6768"/>
      <w:bookmarkStart w:id="31" w:name="_Toc31213"/>
      <w:bookmarkStart w:id="32" w:name="_Toc8016"/>
      <w:bookmarkStart w:id="33" w:name="_Toc31350"/>
      <w:bookmarkStart w:id="34" w:name="_Toc27664"/>
      <w:bookmarkStart w:id="35" w:name="_Toc30181"/>
      <w:r>
        <w:rPr>
          <w:rFonts w:hint="eastAsia" w:asciiTheme="minorHAnsi" w:hAnsiTheme="minorHAnsi" w:eastAsiaTheme="minorEastAsia" w:cstheme="minorBidi"/>
          <w:b w:val="0"/>
          <w:kern w:val="2"/>
          <w:sz w:val="24"/>
          <w:szCs w:val="24"/>
          <w:lang w:val="en-US" w:eastAsia="zh-CN" w:bidi="ar-SA"/>
        </w:rPr>
        <w:t>附件二：</w:t>
      </w:r>
    </w:p>
    <w:p>
      <w:pPr>
        <w:pStyle w:val="4"/>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pPr>
        <w:numPr>
          <w:ins w:id="1" w:author="admin" w:date="1901-01-01T00:00:00Z"/>
        </w:numPr>
        <w:spacing w:before="240" w:beforeLines="100" w:after="120" w:afterLines="50" w:line="480" w:lineRule="auto"/>
        <w:ind w:firstLine="545"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 xml:space="preserve"> 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pPr>
        <w:rPr>
          <w:rFonts w:ascii="宋体" w:hAnsi="宋体" w:cs="宋体"/>
          <w:highlight w:val="none"/>
        </w:rPr>
      </w:pPr>
    </w:p>
    <w:p>
      <w:pPr>
        <w:pStyle w:val="8"/>
        <w:rPr>
          <w:rFonts w:ascii="宋体" w:hAnsi="宋体" w:cs="宋体"/>
          <w:highlight w:val="none"/>
        </w:rPr>
      </w:pPr>
    </w:p>
    <w:p>
      <w:pPr>
        <w:spacing w:line="600" w:lineRule="auto"/>
        <w:ind w:firstLine="3780" w:firstLineChars="1800"/>
        <w:jc w:val="left"/>
        <w:rPr>
          <w:rFonts w:ascii="宋体" w:hAnsi="宋体" w:cs="宋体"/>
          <w:szCs w:val="21"/>
          <w:highlight w:val="none"/>
        </w:rPr>
      </w:pPr>
    </w:p>
    <w:p>
      <w:pPr>
        <w:spacing w:line="600" w:lineRule="auto"/>
        <w:ind w:firstLine="3780" w:firstLineChars="1800"/>
        <w:jc w:val="left"/>
        <w:rPr>
          <w:rFonts w:ascii="宋体" w:hAnsi="宋体" w:cs="宋体"/>
          <w:szCs w:val="21"/>
          <w:highlight w:val="none"/>
        </w:rPr>
      </w:pPr>
    </w:p>
    <w:p>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pPr>
        <w:pStyle w:val="2"/>
        <w:rPr>
          <w:rFonts w:ascii="宋体" w:hAnsi="宋体" w:cs="宋体"/>
          <w:highlight w:val="none"/>
        </w:rPr>
      </w:pPr>
    </w:p>
    <w:p>
      <w:pPr>
        <w:rPr>
          <w:rFonts w:ascii="宋体" w:hAnsi="宋体" w:cs="宋体"/>
          <w:highlight w:val="none"/>
        </w:rPr>
      </w:pPr>
    </w:p>
    <w:p>
      <w:pPr>
        <w:pStyle w:val="4"/>
        <w:adjustRightInd w:val="0"/>
        <w:spacing w:before="0" w:after="0" w:line="360" w:lineRule="auto"/>
        <w:jc w:val="left"/>
        <w:textAlignment w:val="baseline"/>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9874"/>
      <w:bookmarkStart w:id="37" w:name="_Toc16522"/>
      <w:bookmarkStart w:id="38" w:name="_Toc22939"/>
      <w:bookmarkStart w:id="39" w:name="_Toc24381"/>
      <w:bookmarkStart w:id="40" w:name="_Toc17109"/>
      <w:bookmarkStart w:id="41" w:name="_Toc16203"/>
      <w:bookmarkStart w:id="42" w:name="_Toc25778"/>
      <w:bookmarkStart w:id="43" w:name="_Toc13555"/>
      <w:bookmarkStart w:id="44" w:name="_Toc18224"/>
      <w:bookmarkStart w:id="45" w:name="_Toc20888"/>
      <w:bookmarkStart w:id="46" w:name="_Toc16188"/>
      <w:bookmarkStart w:id="47" w:name="_Toc2190"/>
      <w:bookmarkStart w:id="48" w:name="_Toc20975"/>
      <w:bookmarkStart w:id="49" w:name="_Toc12215"/>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pPr>
        <w:pStyle w:val="14"/>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pPr>
        <w:rPr>
          <w:rFonts w:ascii="宋体" w:hAnsi="宋体" w:cs="宋体"/>
          <w:highlight w:val="none"/>
        </w:rPr>
      </w:pPr>
    </w:p>
    <w:p>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特此声明。</w:t>
      </w:r>
    </w:p>
    <w:p>
      <w:pPr>
        <w:spacing w:line="360" w:lineRule="auto"/>
        <w:ind w:firstLine="420" w:firstLineChars="200"/>
        <w:rPr>
          <w:rFonts w:ascii="宋体" w:hAnsi="宋体" w:cs="宋体"/>
          <w:color w:val="000000"/>
          <w:szCs w:val="21"/>
          <w:highlight w:val="none"/>
        </w:rPr>
      </w:pPr>
    </w:p>
    <w:p>
      <w:pPr>
        <w:spacing w:line="360" w:lineRule="auto"/>
        <w:rPr>
          <w:rFonts w:ascii="宋体" w:hAnsi="宋体" w:cs="宋体"/>
          <w:color w:val="000000"/>
          <w:szCs w:val="21"/>
          <w:highlight w:val="none"/>
        </w:rPr>
      </w:pPr>
    </w:p>
    <w:p>
      <w:pPr>
        <w:spacing w:line="360" w:lineRule="auto"/>
        <w:rPr>
          <w:rFonts w:ascii="宋体" w:hAnsi="宋体" w:cs="宋体"/>
          <w:color w:val="000000"/>
          <w:szCs w:val="21"/>
          <w:highlight w:val="none"/>
        </w:rPr>
      </w:pPr>
    </w:p>
    <w:p>
      <w:pPr>
        <w:spacing w:line="600" w:lineRule="auto"/>
        <w:ind w:firstLine="3780" w:firstLineChars="1800"/>
        <w:jc w:val="left"/>
        <w:rPr>
          <w:rFonts w:ascii="宋体" w:hAnsi="宋体" w:cs="宋体"/>
          <w:szCs w:val="21"/>
          <w:highlight w:val="none"/>
        </w:rPr>
      </w:pPr>
    </w:p>
    <w:p>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法定代表人或被授权人：(签字或盖章)</w:t>
      </w:r>
    </w:p>
    <w:p>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pPr>
        <w:spacing w:line="360" w:lineRule="auto"/>
        <w:rPr>
          <w:rFonts w:ascii="宋体" w:hAnsi="宋体" w:cs="宋体"/>
          <w:color w:val="000000"/>
          <w:szCs w:val="21"/>
          <w:highlight w:val="none"/>
        </w:rPr>
      </w:pPr>
    </w:p>
    <w:p>
      <w:pPr>
        <w:rPr>
          <w:rFonts w:hint="eastAsia" w:ascii="宋体" w:hAnsi="宋体" w:cs="宋体"/>
          <w:color w:val="000000"/>
          <w:highlight w:val="none"/>
          <w:lang w:eastAsia="zh-CN"/>
        </w:rPr>
      </w:pPr>
      <w:r>
        <w:rPr>
          <w:rFonts w:hint="eastAsia" w:ascii="宋体" w:hAnsi="宋体" w:cs="宋体"/>
          <w:color w:val="000000"/>
          <w:highlight w:val="none"/>
          <w:lang w:eastAsia="zh-CN"/>
        </w:rPr>
        <w:br w:type="page"/>
      </w:r>
    </w:p>
    <w:p>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16139"/>
      <w:bookmarkStart w:id="51" w:name="_Toc26975"/>
      <w:bookmarkStart w:id="52" w:name="_Toc31586"/>
      <w:bookmarkStart w:id="53" w:name="_Toc17695"/>
      <w:bookmarkStart w:id="54" w:name="_Toc591"/>
      <w:bookmarkStart w:id="55" w:name="_Toc17049"/>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pPr>
        <w:pStyle w:val="14"/>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一、供应商股东及股权证明</w:t>
      </w:r>
      <w:r>
        <w:rPr>
          <w:rFonts w:hint="eastAsia" w:ascii="宋体" w:hAnsi="宋体" w:cs="仿宋"/>
          <w:b/>
          <w:bCs/>
          <w:szCs w:val="21"/>
          <w:highlight w:val="none"/>
        </w:rPr>
        <w:t>(提供相关证明材料)</w:t>
      </w:r>
      <w:r>
        <w:rPr>
          <w:rFonts w:hint="eastAsia" w:ascii="宋体" w:hAnsi="宋体" w:cs="仿宋"/>
          <w:szCs w:val="21"/>
          <w:highlight w:val="none"/>
        </w:rPr>
        <w:t>。</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二、供应商在本项目磋商中，不存在与其它供应商负责人为同一人，有控股、管理等关联关系承诺。</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三、我单位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四、其他与本项目有关的利害关系说明。</w:t>
      </w:r>
    </w:p>
    <w:p>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pPr>
        <w:spacing w:line="360" w:lineRule="auto"/>
        <w:ind w:firstLine="1920" w:firstLineChars="800"/>
        <w:rPr>
          <w:rFonts w:ascii="宋体" w:hAnsi="宋体"/>
          <w:sz w:val="24"/>
          <w:highlight w:val="none"/>
        </w:rPr>
      </w:pPr>
    </w:p>
    <w:p>
      <w:pPr>
        <w:spacing w:line="360" w:lineRule="auto"/>
        <w:ind w:firstLine="1920" w:firstLineChars="800"/>
        <w:rPr>
          <w:rFonts w:ascii="宋体" w:hAnsi="宋体"/>
          <w:sz w:val="24"/>
          <w:highlight w:val="none"/>
        </w:rPr>
      </w:pPr>
    </w:p>
    <w:p>
      <w:pPr>
        <w:pStyle w:val="9"/>
        <w:rPr>
          <w:rFonts w:ascii="宋体" w:hAnsi="宋体"/>
          <w:sz w:val="24"/>
          <w:highlight w:val="none"/>
        </w:rPr>
      </w:pPr>
    </w:p>
    <w:p>
      <w:pPr>
        <w:pStyle w:val="9"/>
        <w:rPr>
          <w:rFonts w:ascii="宋体" w:hAnsi="宋体"/>
          <w:sz w:val="24"/>
          <w:highlight w:val="none"/>
        </w:rPr>
      </w:pPr>
    </w:p>
    <w:p>
      <w:pPr>
        <w:pStyle w:val="9"/>
        <w:rPr>
          <w:rFonts w:ascii="宋体" w:hAnsi="宋体"/>
          <w:sz w:val="24"/>
          <w:highlight w:val="none"/>
        </w:rPr>
      </w:pPr>
    </w:p>
    <w:p>
      <w:pPr>
        <w:pStyle w:val="9"/>
        <w:ind w:firstLine="0"/>
        <w:rPr>
          <w:rFonts w:ascii="宋体" w:hAnsi="宋体"/>
          <w:sz w:val="24"/>
          <w:highlight w:val="none"/>
        </w:rPr>
      </w:pPr>
    </w:p>
    <w:p>
      <w:pPr>
        <w:snapToGrid w:val="0"/>
        <w:spacing w:line="360" w:lineRule="auto"/>
        <w:rPr>
          <w:rFonts w:ascii="宋体" w:hAnsi="宋体"/>
          <w:b/>
          <w:szCs w:val="21"/>
          <w:highlight w:val="none"/>
        </w:rPr>
      </w:pPr>
    </w:p>
    <w:p>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pPr>
        <w:pStyle w:val="9"/>
        <w:rPr>
          <w:rFonts w:ascii="宋体" w:hAnsi="宋体"/>
          <w:sz w:val="21"/>
          <w:szCs w:val="21"/>
          <w:highlight w:val="none"/>
          <w:u w:val="single"/>
        </w:rPr>
      </w:pPr>
    </w:p>
    <w:p>
      <w:pPr>
        <w:pStyle w:val="9"/>
        <w:rPr>
          <w:rFonts w:ascii="宋体" w:hAnsi="宋体"/>
          <w:sz w:val="21"/>
          <w:szCs w:val="21"/>
          <w:highlight w:val="none"/>
          <w:u w:val="single"/>
        </w:rPr>
      </w:pPr>
    </w:p>
    <w:p>
      <w:pPr>
        <w:pStyle w:val="9"/>
        <w:rPr>
          <w:rFonts w:ascii="宋体" w:hAnsi="宋体"/>
          <w:sz w:val="21"/>
          <w:szCs w:val="21"/>
          <w:highlight w:val="none"/>
          <w:u w:val="single"/>
        </w:rPr>
      </w:pPr>
    </w:p>
    <w:p>
      <w:pPr>
        <w:pStyle w:val="9"/>
        <w:rPr>
          <w:rFonts w:ascii="宋体" w:hAnsi="宋体"/>
          <w:sz w:val="21"/>
          <w:szCs w:val="21"/>
          <w:highlight w:val="none"/>
          <w:u w:val="single"/>
        </w:rPr>
      </w:pPr>
    </w:p>
    <w:p>
      <w:pPr>
        <w:pStyle w:val="9"/>
        <w:rPr>
          <w:rFonts w:ascii="宋体" w:hAnsi="宋体"/>
          <w:sz w:val="21"/>
          <w:szCs w:val="21"/>
          <w:highlight w:val="none"/>
          <w:u w:val="single"/>
        </w:rPr>
      </w:pPr>
    </w:p>
    <w:p>
      <w:pPr>
        <w:pStyle w:val="9"/>
        <w:rPr>
          <w:rFonts w:ascii="宋体" w:hAnsi="宋体"/>
          <w:sz w:val="21"/>
          <w:szCs w:val="21"/>
          <w:highlight w:val="none"/>
          <w:u w:val="single"/>
        </w:rPr>
      </w:pPr>
    </w:p>
    <w:p>
      <w:pPr>
        <w:pStyle w:val="9"/>
        <w:rPr>
          <w:rFonts w:ascii="宋体" w:hAnsi="宋体"/>
          <w:sz w:val="21"/>
          <w:szCs w:val="21"/>
          <w:highlight w:val="none"/>
          <w:u w:val="single"/>
        </w:rPr>
      </w:pPr>
    </w:p>
    <w:p>
      <w:pPr>
        <w:pStyle w:val="9"/>
        <w:ind w:left="0" w:leftChars="0" w:firstLine="0" w:firstLineChars="0"/>
        <w:rPr>
          <w:rFonts w:hint="eastAsia" w:ascii="宋体" w:hAnsi="宋体"/>
          <w:sz w:val="21"/>
          <w:szCs w:val="21"/>
          <w:highlight w:val="none"/>
          <w:u w:val="single"/>
          <w:lang w:eastAsia="zh-CN"/>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WI2NjVjN2EyNzdjNWFlNjU1MTY0YTViNDAwYmYifQ=="/>
  </w:docVars>
  <w:rsids>
    <w:rsidRoot w:val="45ED0FFB"/>
    <w:rsid w:val="026954E1"/>
    <w:rsid w:val="03DA48E8"/>
    <w:rsid w:val="14D7452C"/>
    <w:rsid w:val="19E972FD"/>
    <w:rsid w:val="1E775C3F"/>
    <w:rsid w:val="26A650A8"/>
    <w:rsid w:val="35413010"/>
    <w:rsid w:val="3CA1529C"/>
    <w:rsid w:val="3CDF2FA8"/>
    <w:rsid w:val="454C3CB1"/>
    <w:rsid w:val="45ED0FFB"/>
    <w:rsid w:val="46641814"/>
    <w:rsid w:val="49B439A3"/>
    <w:rsid w:val="4E673294"/>
    <w:rsid w:val="60AF1486"/>
    <w:rsid w:val="6A921944"/>
    <w:rsid w:val="6AE66C4F"/>
    <w:rsid w:val="7A682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3">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Body Text First Indent"/>
    <w:basedOn w:val="2"/>
    <w:next w:val="10"/>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0">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3">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4">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2142</Words>
  <Characters>2186</Characters>
  <Lines>0</Lines>
  <Paragraphs>0</Paragraphs>
  <TotalTime>0</TotalTime>
  <ScaleCrop>false</ScaleCrop>
  <LinksUpToDate>false</LinksUpToDate>
  <CharactersWithSpaces>2728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2023-06-05T02:14:00Z</dcterms:created>
  <dc:creator>WPS_1550105559</dc:creator>
  <cp:lastModifiedBy>ZERO</cp:lastModifiedBy>
  <dcterms:modified xsi:type="dcterms:W3CDTF">2023-09-27T07:40:44Z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16BBC9C401684A96878F468BA27A71BB_11</vt:lpwstr>
  </property>
</Properties>
</file>