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eastAsia" w:ascii="宋体" w:hAnsi="宋体" w:eastAsia="宋体" w:cs="宋体"/>
        </w:rPr>
      </w:pPr>
      <w:r>
        <w:rPr>
          <w:rFonts w:hint="eastAsia" w:ascii="宋体" w:hAnsi="宋体" w:eastAsia="宋体" w:cs="宋体"/>
        </w:rPr>
        <w:t>合同一般条款（参考格式）</w:t>
      </w:r>
    </w:p>
    <w:p>
      <w:pPr>
        <w:jc w:val="center"/>
        <w:rPr>
          <w:rFonts w:hint="eastAsia" w:ascii="宋体" w:hAnsi="宋体" w:eastAsia="宋体" w:cs="宋体"/>
        </w:rPr>
      </w:pPr>
      <w:r>
        <w:rPr>
          <w:rFonts w:hint="eastAsia" w:ascii="宋体" w:hAnsi="宋体" w:eastAsia="宋体" w:cs="宋体"/>
          <w:b/>
          <w:sz w:val="24"/>
        </w:rPr>
        <w:t>政府采购合同</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u w:val="single"/>
          <w:lang w:val="en-US" w:eastAsia="zh-CN"/>
        </w:rPr>
        <w:t xml:space="preserve"> </w:t>
      </w:r>
      <w:r>
        <w:rPr>
          <w:rFonts w:hint="eastAsia" w:ascii="宋体" w:hAnsi="宋体" w:cs="宋体"/>
          <w:sz w:val="24"/>
          <w:u w:val="single"/>
          <w:lang w:val="en-US" w:eastAsia="zh-CN"/>
        </w:rPr>
        <w:t>中国共产党西安市鄠邑区纪律检查委员会</w:t>
      </w:r>
      <w:r>
        <w:rPr>
          <w:rFonts w:hint="eastAsia" w:ascii="宋体" w:hAnsi="宋体" w:eastAsia="宋体" w:cs="宋体"/>
          <w:sz w:val="24"/>
          <w:u w:val="single"/>
          <w:lang w:val="en-US" w:eastAsia="zh-CN"/>
        </w:rPr>
        <w:t xml:space="preserve"> </w:t>
      </w:r>
      <w:r>
        <w:rPr>
          <w:rFonts w:hint="eastAsia" w:ascii="宋体" w:hAnsi="宋体" w:eastAsia="宋体" w:cs="宋体"/>
          <w:sz w:val="24"/>
          <w:u w:val="none"/>
        </w:rPr>
        <w:t>（以下简称甲方）</w:t>
      </w:r>
      <w:r>
        <w:rPr>
          <w:rFonts w:hint="eastAsia" w:ascii="宋体" w:hAnsi="宋体" w:eastAsia="宋体" w:cs="宋体"/>
          <w:sz w:val="24"/>
        </w:rPr>
        <w:t>采购，由</w:t>
      </w:r>
      <w:r>
        <w:rPr>
          <w:rFonts w:hint="eastAsia" w:ascii="宋体" w:hAnsi="宋体" w:eastAsia="宋体" w:cs="宋体"/>
          <w:sz w:val="24"/>
          <w:u w:val="single"/>
        </w:rPr>
        <w:t>陕西</w:t>
      </w:r>
      <w:r>
        <w:rPr>
          <w:rFonts w:hint="eastAsia" w:ascii="宋体" w:hAnsi="宋体" w:eastAsia="宋体" w:cs="宋体"/>
          <w:sz w:val="24"/>
          <w:u w:val="single"/>
          <w:lang w:val="en-US" w:eastAsia="zh-CN"/>
        </w:rPr>
        <w:t>中信海诚造价咨询</w:t>
      </w:r>
      <w:r>
        <w:rPr>
          <w:rFonts w:hint="eastAsia" w:ascii="宋体" w:hAnsi="宋体" w:eastAsia="宋体" w:cs="宋体"/>
          <w:sz w:val="24"/>
          <w:u w:val="single"/>
        </w:rPr>
        <w:t>有限公司</w:t>
      </w:r>
      <w:r>
        <w:rPr>
          <w:rFonts w:hint="eastAsia" w:ascii="宋体" w:hAnsi="宋体" w:eastAsia="宋体" w:cs="宋体"/>
          <w:sz w:val="24"/>
        </w:rPr>
        <w:t>组织采购，选定</w:t>
      </w:r>
      <w:r>
        <w:rPr>
          <w:rFonts w:hint="eastAsia" w:ascii="宋体" w:hAnsi="宋体" w:eastAsia="宋体" w:cs="宋体"/>
          <w:sz w:val="24"/>
          <w:u w:val="single"/>
        </w:rPr>
        <w:t xml:space="preserve">         </w:t>
      </w:r>
      <w:r>
        <w:rPr>
          <w:rFonts w:hint="eastAsia" w:ascii="宋体" w:hAnsi="宋体" w:eastAsia="宋体" w:cs="宋体"/>
          <w:sz w:val="24"/>
        </w:rPr>
        <w:t xml:space="preserve"> (以下简称乙方）为该项目成交供应商。依据《中华人民共和国民法典》和《中华人民共和国政府采购法》，经甲、乙双方共同协商，按下述条款和条件签署本合同。</w:t>
      </w:r>
    </w:p>
    <w:p>
      <w:pPr>
        <w:numPr>
          <w:ilvl w:val="0"/>
          <w:numId w:val="1"/>
        </w:numPr>
        <w:spacing w:line="360" w:lineRule="auto"/>
        <w:ind w:firstLine="562" w:firstLineChars="200"/>
        <w:rPr>
          <w:rStyle w:val="11"/>
          <w:rFonts w:hint="eastAsia" w:ascii="宋体" w:hAnsi="宋体" w:eastAsia="宋体" w:cs="宋体"/>
          <w:b/>
          <w:bCs/>
          <w:color w:val="auto"/>
          <w:sz w:val="28"/>
          <w:szCs w:val="28"/>
        </w:rPr>
      </w:pPr>
      <w:r>
        <w:rPr>
          <w:rStyle w:val="11"/>
          <w:rFonts w:hint="eastAsia" w:ascii="宋体" w:hAnsi="宋体" w:eastAsia="宋体" w:cs="宋体"/>
          <w:b/>
          <w:bCs/>
          <w:color w:val="auto"/>
          <w:sz w:val="28"/>
          <w:szCs w:val="28"/>
        </w:rPr>
        <w:t>服务的目标和范围</w:t>
      </w:r>
    </w:p>
    <w:p>
      <w:pPr>
        <w:spacing w:line="360" w:lineRule="auto"/>
        <w:ind w:firstLine="560" w:firstLineChars="200"/>
        <w:rPr>
          <w:rStyle w:val="11"/>
          <w:rFonts w:hint="eastAsia" w:ascii="宋体" w:hAnsi="宋体" w:eastAsia="宋体" w:cs="宋体"/>
          <w:color w:val="auto"/>
          <w:sz w:val="28"/>
          <w:szCs w:val="28"/>
          <w:highlight w:val="none"/>
        </w:rPr>
      </w:pPr>
      <w:r>
        <w:rPr>
          <w:rStyle w:val="12"/>
          <w:rFonts w:hint="eastAsia" w:ascii="宋体" w:hAnsi="宋体" w:eastAsia="宋体" w:cs="宋体"/>
          <w:color w:val="auto"/>
          <w:sz w:val="28"/>
          <w:szCs w:val="28"/>
        </w:rPr>
        <w:t>1.</w:t>
      </w:r>
      <w:r>
        <w:rPr>
          <w:rStyle w:val="11"/>
          <w:rFonts w:hint="eastAsia" w:ascii="宋体" w:hAnsi="宋体" w:eastAsia="宋体" w:cs="宋体"/>
          <w:color w:val="auto"/>
          <w:sz w:val="28"/>
          <w:szCs w:val="28"/>
        </w:rPr>
        <w:t>乙方接受甲方委托，对</w:t>
      </w:r>
      <w:r>
        <w:rPr>
          <w:rStyle w:val="11"/>
          <w:rFonts w:hint="eastAsia" w:ascii="宋体" w:hAnsi="宋体" w:eastAsia="宋体" w:cs="宋体"/>
          <w:color w:val="auto"/>
          <w:sz w:val="28"/>
          <w:szCs w:val="28"/>
          <w:lang w:eastAsia="zh-CN"/>
        </w:rPr>
        <w:t>西安市鄠邑区黄柏峪建筑石料矿矿业权退出补偿相关财务审计和评估复核</w:t>
      </w:r>
      <w:r>
        <w:rPr>
          <w:rStyle w:val="11"/>
          <w:rFonts w:hint="eastAsia" w:ascii="宋体" w:hAnsi="宋体" w:cs="宋体"/>
          <w:color w:val="auto"/>
          <w:sz w:val="28"/>
          <w:szCs w:val="28"/>
          <w:lang w:eastAsia="zh-CN"/>
        </w:rPr>
        <w:t>。</w:t>
      </w:r>
    </w:p>
    <w:p>
      <w:pPr>
        <w:spacing w:line="360" w:lineRule="auto"/>
        <w:ind w:firstLine="560" w:firstLineChars="200"/>
        <w:rPr>
          <w:rStyle w:val="11"/>
          <w:rFonts w:hint="eastAsia" w:ascii="宋体" w:hAnsi="宋体" w:eastAsia="宋体" w:cs="宋体"/>
          <w:color w:val="auto"/>
          <w:sz w:val="28"/>
          <w:szCs w:val="28"/>
          <w:highlight w:val="none"/>
          <w:u w:val="none"/>
        </w:rPr>
      </w:pPr>
      <w:r>
        <w:rPr>
          <w:rStyle w:val="12"/>
          <w:rFonts w:hint="eastAsia" w:ascii="宋体" w:hAnsi="宋体" w:eastAsia="宋体" w:cs="宋体"/>
          <w:color w:val="auto"/>
          <w:sz w:val="28"/>
          <w:szCs w:val="28"/>
          <w:highlight w:val="none"/>
        </w:rPr>
        <w:t>2.</w:t>
      </w:r>
      <w:r>
        <w:rPr>
          <w:rStyle w:val="12"/>
          <w:rFonts w:hint="eastAsia" w:ascii="宋体" w:hAnsi="宋体" w:eastAsia="宋体" w:cs="宋体"/>
          <w:color w:val="auto"/>
          <w:sz w:val="28"/>
          <w:szCs w:val="28"/>
          <w:highlight w:val="none"/>
          <w:u w:val="none"/>
        </w:rPr>
        <w:t>主要涉及对陕西瑞德宝尔投资有限公司、西安瑞德宝尔建材有限公司、陕西瑞德宝尔矿山工程股份有限公司，以上三家企业的财务账务、对黄柏峪建筑石料矿的持续性建设投入、非资产性损失、矿石料销售、大额资金流向等内容进行评估和审计，从而得出专项审核报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sz w:val="28"/>
          <w:szCs w:val="28"/>
          <w:highlight w:val="none"/>
          <w:u w:val="single"/>
          <w:lang w:val="en-US" w:eastAsia="zh-CN"/>
        </w:rPr>
      </w:pPr>
      <w:r>
        <w:rPr>
          <w:rStyle w:val="11"/>
          <w:rFonts w:hint="eastAsia" w:ascii="宋体" w:hAnsi="宋体" w:cs="宋体"/>
          <w:color w:val="auto"/>
          <w:sz w:val="28"/>
          <w:szCs w:val="28"/>
          <w:highlight w:val="none"/>
          <w:lang w:val="en-US" w:eastAsia="zh-CN"/>
        </w:rPr>
        <w:t>3</w:t>
      </w:r>
      <w:r>
        <w:rPr>
          <w:rStyle w:val="11"/>
          <w:rFonts w:hint="eastAsia" w:ascii="宋体" w:hAnsi="宋体" w:eastAsia="宋体" w:cs="宋体"/>
          <w:color w:val="auto"/>
          <w:sz w:val="28"/>
          <w:szCs w:val="28"/>
          <w:highlight w:val="none"/>
          <w:lang w:val="en-US" w:eastAsia="zh-CN"/>
        </w:rPr>
        <w:t>.服务期限：</w:t>
      </w:r>
      <w:r>
        <w:rPr>
          <w:rStyle w:val="11"/>
          <w:rFonts w:hint="eastAsia" w:ascii="宋体" w:hAnsi="宋体" w:eastAsia="宋体" w:cs="宋体"/>
          <w:color w:val="auto"/>
          <w:sz w:val="28"/>
          <w:szCs w:val="28"/>
          <w:highlight w:val="none"/>
          <w:u w:val="single"/>
          <w:lang w:val="en-US" w:eastAsia="zh-CN"/>
        </w:rPr>
        <w:t xml:space="preserve">                    </w:t>
      </w:r>
    </w:p>
    <w:p>
      <w:pPr>
        <w:spacing w:line="360" w:lineRule="auto"/>
        <w:ind w:firstLine="562" w:firstLineChars="200"/>
        <w:rPr>
          <w:rStyle w:val="13"/>
          <w:rFonts w:hint="eastAsia" w:ascii="宋体" w:hAnsi="宋体" w:eastAsia="宋体" w:cs="宋体"/>
          <w:b/>
          <w:bCs/>
          <w:color w:val="auto"/>
          <w:sz w:val="28"/>
          <w:szCs w:val="28"/>
        </w:rPr>
      </w:pPr>
      <w:r>
        <w:rPr>
          <w:rStyle w:val="13"/>
          <w:rFonts w:hint="eastAsia" w:ascii="宋体" w:hAnsi="宋体" w:eastAsia="宋体" w:cs="宋体"/>
          <w:b/>
          <w:bCs/>
          <w:color w:val="auto"/>
          <w:sz w:val="28"/>
          <w:szCs w:val="28"/>
        </w:rPr>
        <w:t>二、甲方的责任</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1.</w:t>
      </w:r>
      <w:r>
        <w:rPr>
          <w:rStyle w:val="12"/>
          <w:rFonts w:hint="eastAsia" w:ascii="宋体" w:hAnsi="宋体" w:eastAsia="宋体" w:cs="宋体"/>
          <w:color w:val="auto"/>
          <w:sz w:val="28"/>
          <w:szCs w:val="28"/>
          <w:u w:val="none"/>
        </w:rPr>
        <w:t>根据国家法律法规、有关技术标准以及政府部门发布的标准规范等进行全面的审核，并出具审核报告，达到甲方的要求及标准。</w:t>
      </w:r>
      <w:bookmarkStart w:id="0" w:name="_GoBack"/>
      <w:bookmarkEnd w:id="0"/>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2.</w:t>
      </w:r>
      <w:r>
        <w:rPr>
          <w:rStyle w:val="11"/>
          <w:rFonts w:hint="eastAsia" w:ascii="宋体" w:hAnsi="宋体" w:eastAsia="宋体" w:cs="宋体"/>
          <w:color w:val="auto"/>
          <w:sz w:val="28"/>
          <w:szCs w:val="28"/>
        </w:rPr>
        <w:t>按照事业单位会计制度、相关主体会计制度的规定编制和公允列报财务报表是甲方管理层的责任，这种责任包括：</w:t>
      </w:r>
      <w:r>
        <w:rPr>
          <w:rStyle w:val="12"/>
          <w:rFonts w:hint="eastAsia" w:ascii="宋体" w:hAnsi="宋体" w:eastAsia="宋体" w:cs="宋体"/>
          <w:color w:val="auto"/>
          <w:sz w:val="28"/>
          <w:szCs w:val="28"/>
        </w:rPr>
        <w:t>(1)</w:t>
      </w:r>
      <w:r>
        <w:rPr>
          <w:rStyle w:val="11"/>
          <w:rFonts w:hint="eastAsia" w:ascii="宋体" w:hAnsi="宋体" w:eastAsia="宋体" w:cs="宋体"/>
          <w:color w:val="auto"/>
          <w:sz w:val="28"/>
          <w:szCs w:val="28"/>
        </w:rPr>
        <w:t>按照企业会计准则的规定编制财务报表，并使其实现公允反映；</w:t>
      </w:r>
      <w:r>
        <w:rPr>
          <w:rStyle w:val="12"/>
          <w:rFonts w:hint="eastAsia" w:ascii="宋体" w:hAnsi="宋体" w:eastAsia="宋体" w:cs="宋体"/>
          <w:color w:val="auto"/>
          <w:sz w:val="28"/>
          <w:szCs w:val="28"/>
        </w:rPr>
        <w:t>(2)</w:t>
      </w:r>
      <w:r>
        <w:rPr>
          <w:rStyle w:val="11"/>
          <w:rFonts w:hint="eastAsia" w:ascii="宋体" w:hAnsi="宋体" w:eastAsia="宋体" w:cs="宋体"/>
          <w:color w:val="auto"/>
          <w:sz w:val="28"/>
          <w:szCs w:val="28"/>
        </w:rPr>
        <w:t>设计、执行和维护必要的内部控制，以使财务报表不存在由于舞弊或错误导致的重大错报。</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3.</w:t>
      </w:r>
      <w:r>
        <w:rPr>
          <w:rStyle w:val="11"/>
          <w:rFonts w:hint="eastAsia" w:ascii="宋体" w:hAnsi="宋体" w:eastAsia="宋体" w:cs="宋体"/>
          <w:color w:val="auto"/>
          <w:sz w:val="28"/>
          <w:szCs w:val="28"/>
        </w:rPr>
        <w:t>及时为乙方的审计工作提供与审计有关的所有记录、文件和所需的其他信息，并保证所提供资料的真实性和完整性。</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4.</w:t>
      </w:r>
      <w:r>
        <w:rPr>
          <w:rStyle w:val="11"/>
          <w:rFonts w:hint="eastAsia" w:ascii="宋体" w:hAnsi="宋体" w:eastAsia="宋体" w:cs="宋体"/>
          <w:color w:val="auto"/>
          <w:sz w:val="28"/>
          <w:szCs w:val="28"/>
        </w:rPr>
        <w:t>确保乙方不受限制地接触其认为必要的甲方内部人员和其他相关人员。</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5.</w:t>
      </w:r>
      <w:r>
        <w:rPr>
          <w:rStyle w:val="11"/>
          <w:rFonts w:hint="eastAsia" w:ascii="宋体" w:hAnsi="宋体" w:eastAsia="宋体" w:cs="宋体"/>
          <w:color w:val="auto"/>
          <w:sz w:val="28"/>
          <w:szCs w:val="28"/>
        </w:rPr>
        <w:t>甲方管理层对其做出的与审计有关的声明予以书面确认。</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6.</w:t>
      </w:r>
      <w:r>
        <w:rPr>
          <w:rStyle w:val="11"/>
          <w:rFonts w:hint="eastAsia" w:ascii="宋体" w:hAnsi="宋体" w:eastAsia="宋体" w:cs="宋体"/>
          <w:color w:val="auto"/>
          <w:sz w:val="28"/>
          <w:szCs w:val="28"/>
        </w:rPr>
        <w:t>为乙方派出的有关工作人员提供必要的工作条件和协助，乙方将于外勤工作开始前提供主要事项清单并经甲方书面同意后方可执行。</w:t>
      </w:r>
    </w:p>
    <w:p>
      <w:pPr>
        <w:numPr>
          <w:ilvl w:val="0"/>
          <w:numId w:val="2"/>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按照本约定书的约定及时足额支付审计费用以及乙方人员在审计期间实际发生且经甲方确认的交通、工作餐费用（在甲方场所的工作餐费由甲方承担）。</w:t>
      </w:r>
    </w:p>
    <w:p>
      <w:pPr>
        <w:numPr>
          <w:ilvl w:val="0"/>
          <w:numId w:val="2"/>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乙方的审计不能减轻甲方及甲方管理层的责任。</w:t>
      </w:r>
    </w:p>
    <w:p>
      <w:pPr>
        <w:numPr>
          <w:ilvl w:val="0"/>
          <w:numId w:val="3"/>
        </w:numPr>
        <w:spacing w:line="360" w:lineRule="auto"/>
        <w:ind w:firstLine="562" w:firstLineChars="200"/>
        <w:rPr>
          <w:rStyle w:val="13"/>
          <w:rFonts w:hint="eastAsia" w:ascii="宋体" w:hAnsi="宋体" w:eastAsia="宋体" w:cs="宋体"/>
          <w:b/>
          <w:bCs/>
          <w:color w:val="auto"/>
          <w:sz w:val="28"/>
          <w:szCs w:val="28"/>
        </w:rPr>
      </w:pPr>
      <w:r>
        <w:rPr>
          <w:rStyle w:val="13"/>
          <w:rFonts w:hint="eastAsia" w:ascii="宋体" w:hAnsi="宋体" w:eastAsia="宋体" w:cs="宋体"/>
          <w:b/>
          <w:bCs/>
          <w:color w:val="auto"/>
          <w:sz w:val="28"/>
          <w:szCs w:val="28"/>
        </w:rPr>
        <w:t>乙方的责任</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 xml:space="preserve">1. </w:t>
      </w:r>
      <w:r>
        <w:rPr>
          <w:rStyle w:val="11"/>
          <w:rFonts w:hint="eastAsia" w:ascii="宋体" w:hAnsi="宋体" w:eastAsia="宋体" w:cs="宋体"/>
          <w:color w:val="auto"/>
          <w:sz w:val="28"/>
          <w:szCs w:val="28"/>
        </w:rPr>
        <w:t>乙方的责任是在执行审计工作的基础上对甲方财务报表发表审计意见。乙方根据中国注册会计师审计准则</w:t>
      </w:r>
      <w:r>
        <w:rPr>
          <w:rStyle w:val="12"/>
          <w:rFonts w:hint="eastAsia" w:ascii="宋体" w:hAnsi="宋体" w:eastAsia="宋体" w:cs="宋体"/>
          <w:color w:val="auto"/>
          <w:sz w:val="28"/>
          <w:szCs w:val="28"/>
        </w:rPr>
        <w:t>(</w:t>
      </w:r>
      <w:r>
        <w:rPr>
          <w:rStyle w:val="11"/>
          <w:rFonts w:hint="eastAsia" w:ascii="宋体" w:hAnsi="宋体" w:eastAsia="宋体" w:cs="宋体"/>
          <w:color w:val="auto"/>
          <w:sz w:val="28"/>
          <w:szCs w:val="28"/>
        </w:rPr>
        <w:t>以下简称审计准则</w:t>
      </w:r>
      <w:r>
        <w:rPr>
          <w:rStyle w:val="12"/>
          <w:rFonts w:hint="eastAsia" w:ascii="宋体" w:hAnsi="宋体" w:eastAsia="宋体" w:cs="宋体"/>
          <w:color w:val="auto"/>
          <w:sz w:val="28"/>
          <w:szCs w:val="28"/>
        </w:rPr>
        <w:t>)</w:t>
      </w:r>
      <w:r>
        <w:rPr>
          <w:rStyle w:val="11"/>
          <w:rFonts w:hint="eastAsia" w:ascii="宋体" w:hAnsi="宋体" w:eastAsia="宋体" w:cs="宋体"/>
          <w:color w:val="auto"/>
          <w:sz w:val="28"/>
          <w:szCs w:val="28"/>
        </w:rPr>
        <w:t>的规定执行审计工作。审计准则要求注册会计师遵守中国注册会计师职业道德守则，计划和执行审计工作以对财务报表是否不存在重大错报获取合理保证。</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 xml:space="preserve">2. </w:t>
      </w:r>
      <w:r>
        <w:rPr>
          <w:rStyle w:val="11"/>
          <w:rFonts w:hint="eastAsia" w:ascii="宋体" w:hAnsi="宋体" w:eastAsia="宋体" w:cs="宋体"/>
          <w:color w:val="auto"/>
          <w:sz w:val="28"/>
          <w:szCs w:val="28"/>
        </w:rPr>
        <w:t>审计工作涉及实施审计程序，以获取有关财务报表金额和披露的审计证据。选择的审计程序取决于乙方的判断，包括对由于舞弊或错误导致的财务报表重大错报风险的评估。在进行风险评估时，乙方应充分考虑与财务报表编制和公允列报相关的内部控制，以设计恰当的审计程序，但目的并非对内部控制的有效性发表意见。审计工作还包括评价管理层选用会计政策的恰当性和作出会计估计的合理性，以及评价财务报表的总体列报。</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3.</w:t>
      </w:r>
      <w:r>
        <w:rPr>
          <w:rStyle w:val="11"/>
          <w:rFonts w:hint="eastAsia" w:ascii="宋体" w:hAnsi="宋体" w:eastAsia="宋体" w:cs="宋体"/>
          <w:color w:val="auto"/>
          <w:sz w:val="28"/>
          <w:szCs w:val="28"/>
        </w:rPr>
        <w:t>在审计过程中，乙方若发现甲方存在乙方认为值得关注的内部控制缺陷，应以书面形式向甲方治理层或管理层通报。甲方在实施乙方提出的改进建议前应全面评估其影响。未经乙方书面许可，甲方不得向任何第三方提供乙方出具的沟通文件。</w:t>
      </w:r>
    </w:p>
    <w:p>
      <w:pPr>
        <w:spacing w:line="360" w:lineRule="auto"/>
        <w:ind w:firstLine="560" w:firstLineChars="200"/>
        <w:jc w:val="left"/>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4.按照约定时间完成审计工作，出具审计报告。乙方应于审计小组进场之日（即     年   月  日）起一个月内出具审计报告。</w:t>
      </w:r>
    </w:p>
    <w:p>
      <w:pPr>
        <w:spacing w:line="360" w:lineRule="auto"/>
        <w:ind w:firstLine="560" w:firstLineChars="200"/>
        <w:jc w:val="left"/>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5.除下列情况外，乙方应当对执行业务过程中知悉的甲方信息予以保密：</w:t>
      </w:r>
      <w:r>
        <w:rPr>
          <w:rStyle w:val="12"/>
          <w:rFonts w:hint="eastAsia" w:ascii="宋体" w:hAnsi="宋体" w:eastAsia="宋体" w:cs="宋体"/>
          <w:color w:val="auto"/>
          <w:sz w:val="28"/>
          <w:szCs w:val="28"/>
        </w:rPr>
        <w:t>(1)</w:t>
      </w:r>
      <w:r>
        <w:rPr>
          <w:rStyle w:val="11"/>
          <w:rFonts w:hint="eastAsia" w:ascii="宋体" w:hAnsi="宋体" w:eastAsia="宋体" w:cs="宋体"/>
          <w:color w:val="auto"/>
          <w:sz w:val="28"/>
          <w:szCs w:val="28"/>
        </w:rPr>
        <w:t>法律法规允许披露，并取得甲方的书面授权；</w:t>
      </w:r>
      <w:r>
        <w:rPr>
          <w:rStyle w:val="12"/>
          <w:rFonts w:hint="eastAsia" w:ascii="宋体" w:hAnsi="宋体" w:eastAsia="宋体" w:cs="宋体"/>
          <w:color w:val="auto"/>
          <w:sz w:val="28"/>
          <w:szCs w:val="28"/>
        </w:rPr>
        <w:t>(2)</w:t>
      </w:r>
      <w:r>
        <w:rPr>
          <w:rStyle w:val="11"/>
          <w:rFonts w:hint="eastAsia" w:ascii="宋体" w:hAnsi="宋体" w:eastAsia="宋体" w:cs="宋体"/>
          <w:color w:val="auto"/>
          <w:sz w:val="28"/>
          <w:szCs w:val="28"/>
        </w:rPr>
        <w:t>根据法律法规的要求，为法律诉讼、仲裁准备文件或提供证据，以及向监管机构报告发现的违法行为；</w:t>
      </w:r>
      <w:r>
        <w:rPr>
          <w:rStyle w:val="12"/>
          <w:rFonts w:hint="eastAsia" w:ascii="宋体" w:hAnsi="宋体" w:eastAsia="宋体" w:cs="宋体"/>
          <w:color w:val="auto"/>
          <w:sz w:val="28"/>
          <w:szCs w:val="28"/>
        </w:rPr>
        <w:t>(3)</w:t>
      </w:r>
      <w:r>
        <w:rPr>
          <w:rStyle w:val="11"/>
          <w:rFonts w:hint="eastAsia" w:ascii="宋体" w:hAnsi="宋体" w:eastAsia="宋体" w:cs="宋体"/>
          <w:color w:val="auto"/>
          <w:sz w:val="28"/>
          <w:szCs w:val="28"/>
        </w:rPr>
        <w:t>在法律法规允许的情况下，在法律诉讼、仲裁中维护自己的合法权益；</w:t>
      </w:r>
      <w:r>
        <w:rPr>
          <w:rStyle w:val="12"/>
          <w:rFonts w:hint="eastAsia" w:ascii="宋体" w:hAnsi="宋体" w:eastAsia="宋体" w:cs="宋体"/>
          <w:color w:val="auto"/>
          <w:sz w:val="28"/>
          <w:szCs w:val="28"/>
        </w:rPr>
        <w:t>(4)</w:t>
      </w:r>
      <w:r>
        <w:rPr>
          <w:rStyle w:val="11"/>
          <w:rFonts w:hint="eastAsia" w:ascii="宋体" w:hAnsi="宋体" w:eastAsia="宋体" w:cs="宋体"/>
          <w:color w:val="auto"/>
          <w:sz w:val="28"/>
          <w:szCs w:val="28"/>
        </w:rPr>
        <w:t>接受注册会计师协会或监管机构的执业质量检查，答复其询问和调查；</w:t>
      </w:r>
      <w:r>
        <w:rPr>
          <w:rStyle w:val="12"/>
          <w:rFonts w:hint="eastAsia" w:ascii="宋体" w:hAnsi="宋体" w:eastAsia="宋体" w:cs="宋体"/>
          <w:color w:val="auto"/>
          <w:sz w:val="28"/>
          <w:szCs w:val="28"/>
        </w:rPr>
        <w:t>(5)</w:t>
      </w:r>
      <w:r>
        <w:rPr>
          <w:rStyle w:val="11"/>
          <w:rFonts w:hint="eastAsia" w:ascii="宋体" w:hAnsi="宋体" w:eastAsia="宋体" w:cs="宋体"/>
          <w:color w:val="auto"/>
          <w:sz w:val="28"/>
          <w:szCs w:val="28"/>
        </w:rPr>
        <w:t>法律法规、执业准则和职业道德规范规定的其他情形。</w:t>
      </w:r>
    </w:p>
    <w:p>
      <w:pPr>
        <w:spacing w:line="360" w:lineRule="auto"/>
        <w:ind w:firstLine="562" w:firstLineChars="200"/>
        <w:rPr>
          <w:rStyle w:val="13"/>
          <w:rFonts w:hint="eastAsia" w:ascii="宋体" w:hAnsi="宋体" w:eastAsia="宋体" w:cs="宋体"/>
          <w:b/>
          <w:bCs/>
          <w:color w:val="auto"/>
          <w:sz w:val="28"/>
          <w:szCs w:val="28"/>
        </w:rPr>
      </w:pPr>
      <w:r>
        <w:rPr>
          <w:rStyle w:val="14"/>
          <w:rFonts w:hint="eastAsia" w:ascii="宋体" w:hAnsi="宋体" w:eastAsia="宋体" w:cs="宋体"/>
          <w:b/>
          <w:bCs/>
          <w:color w:val="auto"/>
          <w:sz w:val="28"/>
          <w:szCs w:val="28"/>
        </w:rPr>
        <w:t xml:space="preserve"> </w:t>
      </w:r>
      <w:r>
        <w:rPr>
          <w:rStyle w:val="13"/>
          <w:rFonts w:hint="eastAsia" w:ascii="宋体" w:hAnsi="宋体" w:eastAsia="宋体" w:cs="宋体"/>
          <w:b/>
          <w:bCs/>
          <w:color w:val="auto"/>
          <w:sz w:val="28"/>
          <w:szCs w:val="28"/>
        </w:rPr>
        <w:t>四、服务收费</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1.</w:t>
      </w:r>
      <w:r>
        <w:rPr>
          <w:rStyle w:val="11"/>
          <w:rFonts w:hint="eastAsia" w:ascii="宋体" w:hAnsi="宋体" w:eastAsia="宋体" w:cs="宋体"/>
          <w:color w:val="auto"/>
          <w:sz w:val="28"/>
          <w:szCs w:val="28"/>
        </w:rPr>
        <w:t>本次审计及咨询服务的收费是以乙方各级别工作人员在本次工作中所耗费的时间为基础计算的。乙方本次审计服务的费用总额为人民币</w:t>
      </w:r>
      <w:r>
        <w:rPr>
          <w:rStyle w:val="11"/>
          <w:rFonts w:hint="eastAsia" w:ascii="宋体" w:hAnsi="宋体" w:eastAsia="宋体" w:cs="宋体"/>
          <w:color w:val="auto"/>
          <w:sz w:val="28"/>
          <w:szCs w:val="28"/>
          <w:u w:val="single"/>
        </w:rPr>
        <w:t xml:space="preserve">          </w:t>
      </w:r>
      <w:r>
        <w:rPr>
          <w:rStyle w:val="11"/>
          <w:rFonts w:hint="eastAsia" w:ascii="宋体" w:hAnsi="宋体" w:eastAsia="宋体" w:cs="宋体"/>
          <w:color w:val="auto"/>
          <w:sz w:val="28"/>
          <w:szCs w:val="28"/>
        </w:rPr>
        <w:t>元整（小写：</w:t>
      </w:r>
      <w:r>
        <w:rPr>
          <w:rStyle w:val="12"/>
          <w:rFonts w:hint="eastAsia" w:ascii="宋体" w:hAnsi="宋体" w:eastAsia="宋体" w:cs="宋体"/>
          <w:color w:val="auto"/>
          <w:sz w:val="28"/>
          <w:szCs w:val="28"/>
        </w:rPr>
        <w:t xml:space="preserve">         </w:t>
      </w:r>
      <w:r>
        <w:rPr>
          <w:rStyle w:val="11"/>
          <w:rFonts w:hint="eastAsia" w:ascii="宋体" w:hAnsi="宋体" w:eastAsia="宋体" w:cs="宋体"/>
          <w:color w:val="auto"/>
          <w:sz w:val="28"/>
          <w:szCs w:val="28"/>
        </w:rPr>
        <w:t>元</w:t>
      </w:r>
      <w:r>
        <w:rPr>
          <w:rStyle w:val="12"/>
          <w:rFonts w:hint="eastAsia" w:ascii="宋体" w:hAnsi="宋体" w:eastAsia="宋体" w:cs="宋体"/>
          <w:color w:val="auto"/>
          <w:sz w:val="28"/>
          <w:szCs w:val="28"/>
        </w:rPr>
        <w:t>)</w:t>
      </w:r>
      <w:r>
        <w:rPr>
          <w:rStyle w:val="11"/>
          <w:rFonts w:hint="eastAsia" w:ascii="宋体" w:hAnsi="宋体" w:eastAsia="宋体" w:cs="宋体"/>
          <w:color w:val="auto"/>
          <w:sz w:val="28"/>
          <w:szCs w:val="28"/>
        </w:rPr>
        <w:t>。</w:t>
      </w:r>
    </w:p>
    <w:p>
      <w:pPr>
        <w:spacing w:line="360" w:lineRule="auto"/>
        <w:ind w:firstLine="560" w:firstLineChars="200"/>
        <w:rPr>
          <w:rStyle w:val="11"/>
          <w:rFonts w:hint="eastAsia" w:ascii="宋体" w:hAnsi="宋体" w:eastAsia="宋体" w:cs="宋体"/>
          <w:color w:val="auto"/>
          <w:sz w:val="28"/>
          <w:szCs w:val="28"/>
        </w:rPr>
      </w:pPr>
      <w:r>
        <w:rPr>
          <w:rStyle w:val="12"/>
          <w:rFonts w:hint="eastAsia" w:ascii="宋体" w:hAnsi="宋体" w:eastAsia="宋体" w:cs="宋体"/>
          <w:color w:val="auto"/>
          <w:sz w:val="28"/>
          <w:szCs w:val="28"/>
        </w:rPr>
        <w:t>2.</w:t>
      </w:r>
      <w:r>
        <w:rPr>
          <w:rStyle w:val="11"/>
          <w:rFonts w:hint="eastAsia" w:ascii="宋体" w:hAnsi="宋体" w:eastAsia="宋体" w:cs="宋体"/>
          <w:color w:val="auto"/>
          <w:sz w:val="28"/>
          <w:szCs w:val="28"/>
        </w:rPr>
        <w:t>甲方应于相应报告出具后一次结清审计及咨询服务费用，甲方付款前，乙方应提供正式的等额发票，否则，甲方有权顺延付款时间。</w:t>
      </w:r>
    </w:p>
    <w:p>
      <w:pPr>
        <w:numPr>
          <w:ilvl w:val="0"/>
          <w:numId w:val="4"/>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报告和报告的使用</w:t>
      </w:r>
    </w:p>
    <w:p>
      <w:pPr>
        <w:numPr>
          <w:ilvl w:val="0"/>
          <w:numId w:val="5"/>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乙方按照中国注册会计师审计准则规定的格式和类型出具审计报告。</w:t>
      </w:r>
    </w:p>
    <w:p>
      <w:pPr>
        <w:numPr>
          <w:ilvl w:val="0"/>
          <w:numId w:val="5"/>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乙方向甲方致送审计报告一式</w:t>
      </w:r>
      <w:r>
        <w:rPr>
          <w:rStyle w:val="12"/>
          <w:rFonts w:hint="eastAsia" w:ascii="宋体" w:hAnsi="宋体" w:eastAsia="宋体" w:cs="宋体"/>
          <w:color w:val="auto"/>
          <w:sz w:val="28"/>
          <w:szCs w:val="28"/>
          <w:u w:val="single"/>
        </w:rPr>
        <w:t xml:space="preserve">    </w:t>
      </w:r>
      <w:r>
        <w:rPr>
          <w:rStyle w:val="11"/>
          <w:rFonts w:hint="eastAsia" w:ascii="宋体" w:hAnsi="宋体" w:eastAsia="宋体" w:cs="宋体"/>
          <w:color w:val="auto"/>
          <w:sz w:val="28"/>
          <w:szCs w:val="28"/>
        </w:rPr>
        <w:t>份。</w:t>
      </w:r>
    </w:p>
    <w:p>
      <w:pPr>
        <w:numPr>
          <w:ilvl w:val="0"/>
          <w:numId w:val="5"/>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甲方在提交或对外公布乙方出具的审计报告及其后附的已审计财务报表时，不得对其进行修改。当甲方认为有必要修改会计数据、报表附注和所作的说明时，应当事先通知乙方，乙方将考虑有关的修改对审计报告的影响，必要时，将重新出具审计报告。</w:t>
      </w:r>
    </w:p>
    <w:p>
      <w:pPr>
        <w:numPr>
          <w:ilvl w:val="0"/>
          <w:numId w:val="6"/>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本约定书的有效期间</w:t>
      </w:r>
    </w:p>
    <w:p>
      <w:p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本约定书自双方签署之日起生效，并在双方履行完毕本约定书约定的所有义务后终止。但其中第四、五、七、八、九、十项并不因本约定书终止而失效。</w:t>
      </w:r>
    </w:p>
    <w:p>
      <w:pPr>
        <w:numPr>
          <w:ilvl w:val="0"/>
          <w:numId w:val="6"/>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约定事项的变更</w:t>
      </w:r>
    </w:p>
    <w:p>
      <w:p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如果出现不可预见的情况，影响审计工作如期完成，或需要提前出具审计报告，甲、乙双方均可要求变更约定事项，但应及时通知对方，并由双方协商解决。</w:t>
      </w:r>
    </w:p>
    <w:p>
      <w:pPr>
        <w:numPr>
          <w:ilvl w:val="0"/>
          <w:numId w:val="6"/>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终止条款</w:t>
      </w:r>
    </w:p>
    <w:p>
      <w:pPr>
        <w:numPr>
          <w:ilvl w:val="0"/>
          <w:numId w:val="7"/>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如果根据乙方的职业道德及其他有关专业职责、适用的法律法规或其他任何法定的要求，乙方认为已不适宜继续为甲方提供本约定书约定的审计服务，乙方应向甲方提出合法依据且经甲方书面同意后方可终止履行本约定书，否则，乙方应按本约定书的约定承担违约责任。</w:t>
      </w:r>
    </w:p>
    <w:p>
      <w:pPr>
        <w:numPr>
          <w:ilvl w:val="0"/>
          <w:numId w:val="7"/>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在按本约定书的约定终止本约定书的情况下，乙方有权就其于终止之日前对约定的审计服务项目所做的实际工作经甲方确认、同意后收取合理的费用。</w:t>
      </w:r>
    </w:p>
    <w:p>
      <w:pPr>
        <w:numPr>
          <w:ilvl w:val="0"/>
          <w:numId w:val="8"/>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违约责任</w:t>
      </w:r>
    </w:p>
    <w:p>
      <w:p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1.乙方应勤勉尽责的向甲方提供审计服务，如因乙方违反中国注册会计师审计准则或职业道德规范等对甲方造成损失的，乙方应赔偿甲方因此所遭受的全部损失。</w:t>
      </w:r>
    </w:p>
    <w:p>
      <w:p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2.乙方应当按照本约定书约定的时间向甲方提交审计报告，否则，每逾期一日，应按照本约定书总金额的1%向甲方支付违约金。逾期超过10日，甲方有权单方解除本约定书，自甲方发出解除通知之日起本约定书自动解除，乙方除承担逾期违约责任外，还应按本约定书总金额的20%向甲方支付违约金，并赔偿给甲方造成的全部损失。</w:t>
      </w:r>
    </w:p>
    <w:p>
      <w:pPr>
        <w:spacing w:line="360" w:lineRule="auto"/>
        <w:ind w:firstLine="560" w:firstLineChars="200"/>
        <w:rPr>
          <w:rFonts w:hint="eastAsia" w:ascii="宋体" w:hAnsi="宋体" w:eastAsia="宋体" w:cs="宋体"/>
          <w:kern w:val="0"/>
          <w:sz w:val="28"/>
          <w:szCs w:val="28"/>
        </w:rPr>
      </w:pPr>
      <w:r>
        <w:rPr>
          <w:rStyle w:val="11"/>
          <w:rFonts w:hint="eastAsia" w:ascii="宋体" w:hAnsi="宋体" w:eastAsia="宋体" w:cs="宋体"/>
          <w:color w:val="auto"/>
          <w:sz w:val="28"/>
          <w:szCs w:val="28"/>
        </w:rPr>
        <w:t>3.其他违约情形</w:t>
      </w:r>
      <w:r>
        <w:rPr>
          <w:rFonts w:hint="eastAsia" w:ascii="宋体" w:hAnsi="宋体" w:eastAsia="宋体" w:cs="宋体"/>
          <w:sz w:val="28"/>
          <w:szCs w:val="28"/>
        </w:rPr>
        <w:t>，</w:t>
      </w:r>
      <w:r>
        <w:rPr>
          <w:rFonts w:hint="eastAsia" w:ascii="宋体" w:hAnsi="宋体" w:eastAsia="宋体" w:cs="宋体"/>
          <w:kern w:val="0"/>
          <w:sz w:val="28"/>
          <w:szCs w:val="28"/>
        </w:rPr>
        <w:t>甲、乙双方按照《中华人民共和国</w:t>
      </w:r>
      <w:r>
        <w:rPr>
          <w:rFonts w:hint="eastAsia" w:ascii="宋体" w:hAnsi="宋体" w:eastAsia="宋体" w:cs="宋体"/>
          <w:kern w:val="0"/>
          <w:sz w:val="28"/>
          <w:szCs w:val="28"/>
          <w:lang w:eastAsia="zh-CN"/>
        </w:rPr>
        <w:t>民法典</w:t>
      </w:r>
      <w:r>
        <w:rPr>
          <w:rFonts w:hint="eastAsia" w:ascii="宋体" w:hAnsi="宋体" w:eastAsia="宋体" w:cs="宋体"/>
          <w:kern w:val="0"/>
          <w:sz w:val="28"/>
          <w:szCs w:val="28"/>
        </w:rPr>
        <w:t>》的规定承担违约责任。</w:t>
      </w:r>
    </w:p>
    <w:p>
      <w:pPr>
        <w:numPr>
          <w:ilvl w:val="0"/>
          <w:numId w:val="8"/>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适用法律和争议解决</w:t>
      </w:r>
    </w:p>
    <w:p>
      <w:p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本约定书的所有方面均应适用中华人民共和国法律进行解释并受其约束。本约定书履行地为乙方出具审计报告所在地，因本约定书引起的或与本约定书有关的任何纠纷或争议</w:t>
      </w:r>
      <w:r>
        <w:rPr>
          <w:rStyle w:val="12"/>
          <w:rFonts w:hint="eastAsia" w:ascii="宋体" w:hAnsi="宋体" w:eastAsia="宋体" w:cs="宋体"/>
          <w:color w:val="auto"/>
          <w:sz w:val="28"/>
          <w:szCs w:val="28"/>
        </w:rPr>
        <w:t>(</w:t>
      </w:r>
      <w:r>
        <w:rPr>
          <w:rStyle w:val="11"/>
          <w:rFonts w:hint="eastAsia" w:ascii="宋体" w:hAnsi="宋体" w:eastAsia="宋体" w:cs="宋体"/>
          <w:color w:val="auto"/>
          <w:sz w:val="28"/>
          <w:szCs w:val="28"/>
        </w:rPr>
        <w:t>包括关于本约定书条款的存在、效力或终止，或无效之后果</w:t>
      </w:r>
      <w:r>
        <w:rPr>
          <w:rStyle w:val="12"/>
          <w:rFonts w:hint="eastAsia" w:ascii="宋体" w:hAnsi="宋体" w:eastAsia="宋体" w:cs="宋体"/>
          <w:color w:val="auto"/>
          <w:sz w:val="28"/>
          <w:szCs w:val="28"/>
        </w:rPr>
        <w:t>)</w:t>
      </w:r>
      <w:r>
        <w:rPr>
          <w:rStyle w:val="11"/>
          <w:rFonts w:hint="eastAsia" w:ascii="宋体" w:hAnsi="宋体" w:eastAsia="宋体" w:cs="宋体"/>
          <w:color w:val="auto"/>
          <w:sz w:val="28"/>
          <w:szCs w:val="28"/>
        </w:rPr>
        <w:t>，双方协商确定采取以下第（</w:t>
      </w:r>
      <w:r>
        <w:rPr>
          <w:rStyle w:val="12"/>
          <w:rFonts w:hint="eastAsia" w:ascii="宋体" w:hAnsi="宋体" w:eastAsia="宋体" w:cs="宋体"/>
          <w:color w:val="auto"/>
          <w:sz w:val="28"/>
          <w:szCs w:val="28"/>
        </w:rPr>
        <w:t>_</w:t>
      </w:r>
      <w:r>
        <w:rPr>
          <w:rStyle w:val="12"/>
          <w:rFonts w:hint="eastAsia" w:ascii="宋体" w:hAnsi="宋体" w:eastAsia="宋体" w:cs="宋体"/>
          <w:color w:val="auto"/>
          <w:sz w:val="28"/>
          <w:szCs w:val="28"/>
          <w:lang w:val="en-US" w:eastAsia="zh-CN"/>
        </w:rPr>
        <w:t>2</w:t>
      </w:r>
      <w:r>
        <w:rPr>
          <w:rStyle w:val="12"/>
          <w:rFonts w:hint="eastAsia" w:ascii="宋体" w:hAnsi="宋体" w:eastAsia="宋体" w:cs="宋体"/>
          <w:color w:val="auto"/>
          <w:sz w:val="28"/>
          <w:szCs w:val="28"/>
        </w:rPr>
        <w:t>_</w:t>
      </w:r>
      <w:r>
        <w:rPr>
          <w:rStyle w:val="11"/>
          <w:rFonts w:hint="eastAsia" w:ascii="宋体" w:hAnsi="宋体" w:eastAsia="宋体" w:cs="宋体"/>
          <w:color w:val="auto"/>
          <w:sz w:val="28"/>
          <w:szCs w:val="28"/>
        </w:rPr>
        <w:t>）种方式予以解决：</w:t>
      </w:r>
    </w:p>
    <w:p>
      <w:pPr>
        <w:numPr>
          <w:ilvl w:val="0"/>
          <w:numId w:val="9"/>
        </w:numPr>
        <w:spacing w:line="360" w:lineRule="auto"/>
        <w:ind w:firstLine="560" w:firstLineChars="200"/>
        <w:rPr>
          <w:rStyle w:val="11"/>
          <w:rFonts w:hint="eastAsia" w:ascii="宋体" w:hAnsi="宋体" w:eastAsia="宋体" w:cs="宋体"/>
          <w:color w:val="auto"/>
          <w:sz w:val="28"/>
          <w:szCs w:val="28"/>
        </w:rPr>
      </w:pPr>
      <w:r>
        <w:rPr>
          <w:rStyle w:val="11"/>
          <w:rFonts w:hint="eastAsia" w:ascii="宋体" w:hAnsi="宋体" w:eastAsia="宋体" w:cs="宋体"/>
          <w:color w:val="auto"/>
          <w:sz w:val="28"/>
          <w:szCs w:val="28"/>
        </w:rPr>
        <w:t>向甲方住所地有管辖权的人民法院提起诉讼；</w:t>
      </w:r>
    </w:p>
    <w:p>
      <w:pPr>
        <w:numPr>
          <w:ilvl w:val="0"/>
          <w:numId w:val="9"/>
        </w:numPr>
        <w:spacing w:line="360" w:lineRule="auto"/>
        <w:ind w:firstLine="560" w:firstLineChars="200"/>
        <w:rPr>
          <w:rStyle w:val="11"/>
          <w:rFonts w:hint="eastAsia" w:ascii="宋体" w:hAnsi="宋体" w:eastAsia="宋体" w:cs="宋体"/>
          <w:color w:val="auto"/>
          <w:sz w:val="28"/>
          <w:szCs w:val="28"/>
          <w:highlight w:val="none"/>
        </w:rPr>
      </w:pPr>
      <w:r>
        <w:rPr>
          <w:rStyle w:val="11"/>
          <w:rFonts w:hint="eastAsia" w:ascii="宋体" w:hAnsi="宋体" w:eastAsia="宋体" w:cs="宋体"/>
          <w:color w:val="auto"/>
          <w:sz w:val="28"/>
          <w:szCs w:val="28"/>
          <w:highlight w:val="none"/>
        </w:rPr>
        <w:t>提交</w:t>
      </w:r>
      <w:r>
        <w:rPr>
          <w:rStyle w:val="11"/>
          <w:rFonts w:hint="eastAsia" w:ascii="宋体" w:hAnsi="宋体" w:eastAsia="宋体" w:cs="宋体"/>
          <w:color w:val="auto"/>
          <w:sz w:val="28"/>
          <w:szCs w:val="28"/>
          <w:highlight w:val="none"/>
          <w:lang w:eastAsia="zh-CN"/>
        </w:rPr>
        <w:t>西咸新区</w:t>
      </w:r>
      <w:r>
        <w:rPr>
          <w:rStyle w:val="11"/>
          <w:rFonts w:hint="eastAsia" w:ascii="宋体" w:hAnsi="宋体" w:eastAsia="宋体" w:cs="宋体"/>
          <w:color w:val="auto"/>
          <w:sz w:val="28"/>
          <w:szCs w:val="28"/>
          <w:highlight w:val="none"/>
        </w:rPr>
        <w:t>仲裁委员会仲裁。</w:t>
      </w:r>
    </w:p>
    <w:p>
      <w:pPr>
        <w:numPr>
          <w:ilvl w:val="0"/>
          <w:numId w:val="10"/>
        </w:numPr>
        <w:spacing w:line="360" w:lineRule="auto"/>
        <w:ind w:firstLine="562" w:firstLineChars="200"/>
        <w:rPr>
          <w:rFonts w:hint="eastAsia" w:ascii="宋体" w:hAnsi="宋体" w:eastAsia="宋体" w:cs="宋体"/>
          <w:b/>
          <w:kern w:val="0"/>
          <w:sz w:val="28"/>
          <w:szCs w:val="28"/>
        </w:rPr>
      </w:pPr>
      <w:r>
        <w:rPr>
          <w:rFonts w:hint="eastAsia" w:ascii="宋体" w:hAnsi="宋体" w:eastAsia="宋体" w:cs="宋体"/>
          <w:b/>
          <w:kern w:val="0"/>
          <w:sz w:val="28"/>
          <w:szCs w:val="28"/>
        </w:rPr>
        <w:t>双方对其他有关事项的约定</w:t>
      </w:r>
    </w:p>
    <w:p>
      <w:pPr>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t>本约定书一式</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份，甲、乙双方各执</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份，具有同等法律效力。</w:t>
      </w:r>
    </w:p>
    <w:p>
      <w:pPr>
        <w:shd w:val="clear" w:color="auto" w:fill="FFFFFF"/>
        <w:snapToGrid w:val="0"/>
        <w:spacing w:line="360" w:lineRule="auto"/>
        <w:ind w:firstLine="480" w:firstLineChars="200"/>
        <w:rPr>
          <w:rFonts w:hint="eastAsia"/>
        </w:rPr>
      </w:pPr>
      <w:r>
        <w:rPr>
          <w:rFonts w:hint="eastAsia" w:ascii="宋体" w:hAnsi="宋体" w:eastAsia="宋体" w:cs="宋体"/>
          <w:sz w:val="24"/>
          <w:highlight w:val="none"/>
        </w:rPr>
        <w:t>（以下无正文）</w:t>
      </w:r>
    </w:p>
    <w:tbl>
      <w:tblPr>
        <w:tblStyle w:val="9"/>
        <w:tblpPr w:leftFromText="180" w:rightFromText="180" w:vertAnchor="text" w:horzAnchor="page" w:tblpX="1492" w:tblpY="1033"/>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rPr>
                <w:rFonts w:hint="eastAsia"/>
                <w:sz w:val="24"/>
                <w:szCs w:val="22"/>
              </w:rPr>
            </w:pPr>
            <w:r>
              <w:rPr>
                <w:rFonts w:hint="eastAsia"/>
                <w:sz w:val="24"/>
                <w:szCs w:val="22"/>
              </w:rPr>
              <w:br w:type="page"/>
            </w:r>
            <w:r>
              <w:rPr>
                <w:rFonts w:hint="eastAsia"/>
                <w:sz w:val="24"/>
                <w:szCs w:val="22"/>
              </w:rPr>
              <w:t>甲  方：</w:t>
            </w:r>
            <w:r>
              <w:rPr>
                <w:rFonts w:hint="eastAsia"/>
                <w:sz w:val="24"/>
                <w:szCs w:val="22"/>
                <w:lang w:eastAsia="zh-CN"/>
              </w:rPr>
              <w:t>（盖章）</w:t>
            </w:r>
          </w:p>
          <w:p>
            <w:pPr>
              <w:pStyle w:val="7"/>
              <w:rPr>
                <w:rFonts w:hint="eastAsia" w:ascii="宋体" w:hAnsi="宋体" w:cs="宋体"/>
                <w:color w:val="000000"/>
                <w:sz w:val="24"/>
                <w:highlight w:val="none"/>
              </w:rPr>
            </w:pPr>
          </w:p>
          <w:p>
            <w:pPr>
              <w:pStyle w:val="7"/>
              <w:ind w:firstLine="0"/>
              <w:rPr>
                <w:rFonts w:hint="eastAsia" w:ascii="宋体" w:hAnsi="宋体" w:cs="宋体"/>
                <w:color w:val="000000"/>
                <w:sz w:val="24"/>
                <w:highlight w:val="none"/>
              </w:rPr>
            </w:pPr>
          </w:p>
        </w:tc>
        <w:tc>
          <w:tcPr>
            <w:tcW w:w="2500" w:type="pct"/>
            <w:tcBorders>
              <w:top w:val="single" w:color="auto" w:sz="4" w:space="0"/>
              <w:left w:val="single" w:color="auto" w:sz="4" w:space="0"/>
              <w:bottom w:val="single" w:color="auto" w:sz="4" w:space="0"/>
              <w:right w:val="single" w:color="auto" w:sz="4" w:space="0"/>
            </w:tcBorders>
            <w:noWrap/>
            <w:vAlign w:val="center"/>
          </w:tcPr>
          <w:p>
            <w:pPr>
              <w:rPr>
                <w:rFonts w:hint="eastAsia"/>
                <w:sz w:val="24"/>
                <w:szCs w:val="22"/>
              </w:rPr>
            </w:pPr>
            <w:r>
              <w:rPr>
                <w:rFonts w:hint="eastAsia"/>
                <w:sz w:val="24"/>
                <w:szCs w:val="22"/>
                <w:lang w:eastAsia="zh-CN"/>
              </w:rPr>
              <w:t>乙</w:t>
            </w:r>
            <w:r>
              <w:rPr>
                <w:rFonts w:hint="eastAsia"/>
                <w:sz w:val="24"/>
                <w:szCs w:val="22"/>
              </w:rPr>
              <w:t xml:space="preserve">  方：</w:t>
            </w:r>
            <w:r>
              <w:rPr>
                <w:rFonts w:hint="eastAsia"/>
                <w:sz w:val="24"/>
                <w:szCs w:val="22"/>
                <w:lang w:eastAsia="zh-CN"/>
              </w:rPr>
              <w:t>（盖章）</w:t>
            </w:r>
          </w:p>
          <w:p>
            <w:pPr>
              <w:spacing w:line="540" w:lineRule="exact"/>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地　址：</w:t>
            </w:r>
          </w:p>
        </w:tc>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sz w:val="24"/>
                <w:highlight w:val="none"/>
                <w:lang w:eastAsia="zh-CN"/>
              </w:rPr>
            </w:pPr>
            <w:r>
              <w:rPr>
                <w:rFonts w:hint="eastAsia" w:ascii="宋体" w:hAnsi="宋体" w:cs="宋体"/>
                <w:sz w:val="24"/>
                <w:highlight w:val="none"/>
                <w:lang w:eastAsia="zh-CN"/>
              </w:rPr>
              <w:t>法定代表人：</w:t>
            </w:r>
          </w:p>
          <w:p>
            <w:pPr>
              <w:spacing w:line="360" w:lineRule="auto"/>
              <w:rPr>
                <w:rFonts w:ascii="宋体" w:hAnsi="宋体" w:cs="宋体"/>
                <w:sz w:val="24"/>
                <w:highlight w:val="none"/>
              </w:rPr>
            </w:pPr>
            <w:r>
              <w:rPr>
                <w:rFonts w:hint="eastAsia" w:ascii="宋体" w:hAnsi="宋体" w:cs="宋体"/>
                <w:sz w:val="24"/>
                <w:highlight w:val="none"/>
              </w:rPr>
              <w:t>代理人：</w:t>
            </w:r>
          </w:p>
        </w:tc>
        <w:tc>
          <w:tcPr>
            <w:tcW w:w="2500" w:type="pct"/>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sz w:val="24"/>
                <w:highlight w:val="none"/>
                <w:lang w:eastAsia="zh-CN"/>
              </w:rPr>
            </w:pPr>
            <w:r>
              <w:rPr>
                <w:rFonts w:hint="eastAsia" w:ascii="宋体" w:hAnsi="宋体" w:cs="宋体"/>
                <w:sz w:val="24"/>
                <w:highlight w:val="none"/>
                <w:lang w:eastAsia="zh-CN"/>
              </w:rPr>
              <w:t>法定代表人：</w:t>
            </w:r>
          </w:p>
          <w:p>
            <w:pPr>
              <w:spacing w:line="360" w:lineRule="auto"/>
              <w:ind w:firstLine="0" w:firstLineChars="0"/>
              <w:rPr>
                <w:rFonts w:ascii="宋体" w:hAnsi="宋体" w:cs="宋体"/>
                <w:sz w:val="24"/>
                <w:highlight w:val="none"/>
              </w:rPr>
            </w:pPr>
            <w:r>
              <w:rPr>
                <w:rFonts w:hint="eastAsia" w:ascii="宋体" w:hAnsi="宋体" w:cs="宋体"/>
                <w:sz w:val="24"/>
                <w:highlight w:val="none"/>
              </w:rPr>
              <w:t>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联系电话：</w:t>
            </w:r>
          </w:p>
        </w:tc>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开户行：</w:t>
            </w:r>
          </w:p>
        </w:tc>
        <w:tc>
          <w:tcPr>
            <w:tcW w:w="2500" w:type="pct"/>
            <w:tcBorders>
              <w:top w:val="single" w:color="auto" w:sz="4" w:space="0"/>
              <w:left w:val="single" w:color="auto" w:sz="4" w:space="0"/>
              <w:bottom w:val="single" w:color="auto" w:sz="4" w:space="0"/>
              <w:right w:val="single" w:color="auto" w:sz="4" w:space="0"/>
            </w:tcBorders>
            <w:noWrap/>
            <w:vAlign w:val="center"/>
          </w:tcPr>
          <w:p>
            <w:pPr>
              <w:tabs>
                <w:tab w:val="left" w:pos="5355"/>
              </w:tabs>
              <w:spacing w:line="540" w:lineRule="exact"/>
              <w:rPr>
                <w:rFonts w:ascii="宋体" w:hAnsi="宋体" w:cs="宋体"/>
                <w:sz w:val="24"/>
                <w:highlight w:val="none"/>
              </w:rPr>
            </w:pPr>
            <w:r>
              <w:rPr>
                <w:rFonts w:hint="eastAsia" w:ascii="宋体" w:hAnsi="宋体" w:cs="宋体"/>
                <w:sz w:val="24"/>
                <w:highlight w:val="none"/>
              </w:rPr>
              <w:t xml:space="preserve">开户行： </w:t>
            </w:r>
          </w:p>
          <w:p>
            <w:pPr>
              <w:spacing w:line="540" w:lineRule="exact"/>
              <w:ind w:firstLine="480" w:firstLineChars="200"/>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 xml:space="preserve"> 账号：</w:t>
            </w:r>
          </w:p>
        </w:tc>
        <w:tc>
          <w:tcPr>
            <w:tcW w:w="2500" w:type="pct"/>
            <w:tcBorders>
              <w:top w:val="single" w:color="auto" w:sz="4" w:space="0"/>
              <w:left w:val="single" w:color="auto" w:sz="4" w:space="0"/>
              <w:bottom w:val="single" w:color="auto" w:sz="4" w:space="0"/>
              <w:right w:val="single" w:color="auto" w:sz="4" w:space="0"/>
            </w:tcBorders>
            <w:noWrap/>
            <w:vAlign w:val="center"/>
          </w:tcPr>
          <w:p>
            <w:pPr>
              <w:tabs>
                <w:tab w:val="left" w:pos="5355"/>
              </w:tabs>
              <w:spacing w:line="540" w:lineRule="exact"/>
              <w:rPr>
                <w:rFonts w:ascii="宋体" w:hAnsi="宋体" w:cs="宋体"/>
                <w:sz w:val="24"/>
                <w:highlight w:val="none"/>
              </w:rPr>
            </w:pPr>
            <w:r>
              <w:rPr>
                <w:rFonts w:hint="eastAsia" w:ascii="宋体" w:hAnsi="宋体" w:cs="宋体"/>
                <w:sz w:val="24"/>
                <w:highlight w:val="none"/>
              </w:rPr>
              <w:t>账号：</w:t>
            </w:r>
          </w:p>
          <w:p>
            <w:pPr>
              <w:spacing w:line="540" w:lineRule="exact"/>
              <w:ind w:firstLine="480" w:firstLineChars="200"/>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日期：    年   月   日</w:t>
            </w:r>
          </w:p>
        </w:tc>
        <w:tc>
          <w:tcPr>
            <w:tcW w:w="2500" w:type="pct"/>
            <w:tcBorders>
              <w:top w:val="single" w:color="auto" w:sz="4" w:space="0"/>
              <w:left w:val="single" w:color="auto" w:sz="4" w:space="0"/>
              <w:bottom w:val="single" w:color="auto" w:sz="4" w:space="0"/>
              <w:right w:val="single" w:color="auto" w:sz="4" w:space="0"/>
            </w:tcBorders>
            <w:noWrap/>
            <w:vAlign w:val="center"/>
          </w:tcPr>
          <w:p>
            <w:pPr>
              <w:spacing w:line="540" w:lineRule="exact"/>
              <w:rPr>
                <w:rFonts w:ascii="宋体" w:hAnsi="宋体" w:cs="宋体"/>
                <w:sz w:val="24"/>
                <w:highlight w:val="none"/>
              </w:rPr>
            </w:pPr>
            <w:r>
              <w:rPr>
                <w:rFonts w:hint="eastAsia" w:ascii="宋体" w:hAnsi="宋体" w:cs="宋体"/>
                <w:sz w:val="24"/>
                <w:highlight w:val="none"/>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332DC"/>
    <w:multiLevelType w:val="singleLevel"/>
    <w:tmpl w:val="54D332DC"/>
    <w:lvl w:ilvl="0" w:tentative="0">
      <w:start w:val="1"/>
      <w:numFmt w:val="chineseCounting"/>
      <w:suff w:val="nothing"/>
      <w:lvlText w:val="%1、"/>
      <w:lvlJc w:val="left"/>
    </w:lvl>
  </w:abstractNum>
  <w:abstractNum w:abstractNumId="1">
    <w:nsid w:val="54D33373"/>
    <w:multiLevelType w:val="singleLevel"/>
    <w:tmpl w:val="54D33373"/>
    <w:lvl w:ilvl="0" w:tentative="0">
      <w:start w:val="7"/>
      <w:numFmt w:val="decimal"/>
      <w:suff w:val="nothing"/>
      <w:lvlText w:val="%1."/>
      <w:lvlJc w:val="left"/>
    </w:lvl>
  </w:abstractNum>
  <w:abstractNum w:abstractNumId="2">
    <w:nsid w:val="54D3339B"/>
    <w:multiLevelType w:val="singleLevel"/>
    <w:tmpl w:val="54D3339B"/>
    <w:lvl w:ilvl="0" w:tentative="0">
      <w:start w:val="3"/>
      <w:numFmt w:val="chineseCounting"/>
      <w:suff w:val="nothing"/>
      <w:lvlText w:val="%1、"/>
      <w:lvlJc w:val="left"/>
    </w:lvl>
  </w:abstractNum>
  <w:abstractNum w:abstractNumId="3">
    <w:nsid w:val="54D3345B"/>
    <w:multiLevelType w:val="singleLevel"/>
    <w:tmpl w:val="54D3345B"/>
    <w:lvl w:ilvl="0" w:tentative="0">
      <w:start w:val="5"/>
      <w:numFmt w:val="chineseCounting"/>
      <w:suff w:val="nothing"/>
      <w:lvlText w:val="%1、"/>
      <w:lvlJc w:val="left"/>
    </w:lvl>
  </w:abstractNum>
  <w:abstractNum w:abstractNumId="4">
    <w:nsid w:val="54D33526"/>
    <w:multiLevelType w:val="singleLevel"/>
    <w:tmpl w:val="54D33526"/>
    <w:lvl w:ilvl="0" w:tentative="0">
      <w:start w:val="1"/>
      <w:numFmt w:val="decimal"/>
      <w:suff w:val="nothing"/>
      <w:lvlText w:val="%1."/>
      <w:lvlJc w:val="left"/>
    </w:lvl>
  </w:abstractNum>
  <w:abstractNum w:abstractNumId="5">
    <w:nsid w:val="54D3355A"/>
    <w:multiLevelType w:val="singleLevel"/>
    <w:tmpl w:val="54D3355A"/>
    <w:lvl w:ilvl="0" w:tentative="0">
      <w:start w:val="6"/>
      <w:numFmt w:val="chineseCounting"/>
      <w:suff w:val="nothing"/>
      <w:lvlText w:val="%1、"/>
      <w:lvlJc w:val="left"/>
    </w:lvl>
  </w:abstractNum>
  <w:abstractNum w:abstractNumId="6">
    <w:nsid w:val="54D337D3"/>
    <w:multiLevelType w:val="singleLevel"/>
    <w:tmpl w:val="54D337D3"/>
    <w:lvl w:ilvl="0" w:tentative="0">
      <w:start w:val="1"/>
      <w:numFmt w:val="decimal"/>
      <w:suff w:val="nothing"/>
      <w:lvlText w:val="%1."/>
      <w:lvlJc w:val="left"/>
    </w:lvl>
  </w:abstractNum>
  <w:abstractNum w:abstractNumId="7">
    <w:nsid w:val="54D337F5"/>
    <w:multiLevelType w:val="singleLevel"/>
    <w:tmpl w:val="54D337F5"/>
    <w:lvl w:ilvl="0" w:tentative="0">
      <w:start w:val="9"/>
      <w:numFmt w:val="chineseCounting"/>
      <w:suff w:val="nothing"/>
      <w:lvlText w:val="%1、"/>
      <w:lvlJc w:val="left"/>
    </w:lvl>
  </w:abstractNum>
  <w:abstractNum w:abstractNumId="8">
    <w:nsid w:val="54D3382A"/>
    <w:multiLevelType w:val="singleLevel"/>
    <w:tmpl w:val="54D3382A"/>
    <w:lvl w:ilvl="0" w:tentative="0">
      <w:start w:val="1"/>
      <w:numFmt w:val="decimal"/>
      <w:suff w:val="nothing"/>
      <w:lvlText w:val="（%1）"/>
      <w:lvlJc w:val="left"/>
    </w:lvl>
  </w:abstractNum>
  <w:abstractNum w:abstractNumId="9">
    <w:nsid w:val="54D3384A"/>
    <w:multiLevelType w:val="singleLevel"/>
    <w:tmpl w:val="54D3384A"/>
    <w:lvl w:ilvl="0" w:tentative="0">
      <w:start w:val="1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0M2RlMjYwMTk2MzU1NDFmY2JmMDlkOWQ1ODM2Y2IifQ=="/>
  </w:docVars>
  <w:rsids>
    <w:rsidRoot w:val="00000000"/>
    <w:rsid w:val="014D4677"/>
    <w:rsid w:val="05EE467B"/>
    <w:rsid w:val="14942891"/>
    <w:rsid w:val="156F6E5A"/>
    <w:rsid w:val="1BC872C4"/>
    <w:rsid w:val="1E120DF5"/>
    <w:rsid w:val="1F7317C2"/>
    <w:rsid w:val="365657A0"/>
    <w:rsid w:val="39B8407C"/>
    <w:rsid w:val="3BFC64A2"/>
    <w:rsid w:val="40616290"/>
    <w:rsid w:val="44FC39B7"/>
    <w:rsid w:val="5FC627A0"/>
    <w:rsid w:val="77216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styleId="4">
    <w:name w:val="Body Text"/>
    <w:basedOn w:val="1"/>
    <w:next w:val="1"/>
    <w:qFormat/>
    <w:uiPriority w:val="0"/>
    <w:rPr>
      <w:b/>
      <w:sz w:val="28"/>
    </w:rPr>
  </w:style>
  <w:style w:type="paragraph" w:styleId="5">
    <w:name w:val="Body Text Indent"/>
    <w:basedOn w:val="1"/>
    <w:qFormat/>
    <w:uiPriority w:val="99"/>
    <w:pPr>
      <w:ind w:firstLine="420" w:firstLineChars="200"/>
    </w:pPr>
    <w:rPr>
      <w:rFonts w:ascii="Calibri" w:hAnsi="Calibri"/>
      <w:szCs w:val="24"/>
    </w:rPr>
  </w:style>
  <w:style w:type="paragraph" w:styleId="6">
    <w:name w:val="Title"/>
    <w:basedOn w:val="1"/>
    <w:next w:val="1"/>
    <w:qFormat/>
    <w:uiPriority w:val="0"/>
    <w:pPr>
      <w:spacing w:before="240" w:after="60"/>
      <w:jc w:val="center"/>
      <w:outlineLvl w:val="0"/>
    </w:pPr>
    <w:rPr>
      <w:rFonts w:ascii="等线 Light" w:hAnsi="等线 Light"/>
      <w:b/>
      <w:bCs/>
      <w:sz w:val="32"/>
      <w:szCs w:val="32"/>
    </w:rPr>
  </w:style>
  <w:style w:type="paragraph" w:styleId="7">
    <w:name w:val="Body Text First Indent"/>
    <w:basedOn w:val="4"/>
    <w:next w:val="8"/>
    <w:qFormat/>
    <w:uiPriority w:val="0"/>
    <w:pPr>
      <w:adjustRightInd w:val="0"/>
      <w:ind w:firstLine="420"/>
      <w:jc w:val="left"/>
      <w:textAlignment w:val="baseline"/>
    </w:pPr>
    <w:rPr>
      <w:b w:val="0"/>
      <w:kern w:val="0"/>
      <w:sz w:val="21"/>
    </w:rPr>
  </w:style>
  <w:style w:type="paragraph" w:styleId="8">
    <w:name w:val="Body Text First Indent 2"/>
    <w:basedOn w:val="5"/>
    <w:qFormat/>
    <w:uiPriority w:val="99"/>
  </w:style>
  <w:style w:type="character" w:customStyle="1" w:styleId="11">
    <w:name w:val="font21"/>
    <w:basedOn w:val="10"/>
    <w:qFormat/>
    <w:uiPriority w:val="0"/>
    <w:rPr>
      <w:rFonts w:hint="eastAsia" w:ascii="宋体" w:hAnsi="宋体" w:eastAsia="宋体" w:cs="宋体"/>
      <w:color w:val="000000"/>
      <w:sz w:val="20"/>
      <w:szCs w:val="20"/>
      <w:u w:val="none"/>
    </w:rPr>
  </w:style>
  <w:style w:type="character" w:customStyle="1" w:styleId="12">
    <w:name w:val="font71"/>
    <w:basedOn w:val="10"/>
    <w:qFormat/>
    <w:uiPriority w:val="0"/>
    <w:rPr>
      <w:rFonts w:hint="eastAsia" w:ascii="宋体" w:hAnsi="宋体" w:eastAsia="宋体" w:cs="宋体"/>
      <w:color w:val="000000"/>
      <w:sz w:val="28"/>
      <w:szCs w:val="28"/>
      <w:u w:val="single"/>
    </w:rPr>
  </w:style>
  <w:style w:type="character" w:customStyle="1" w:styleId="13">
    <w:name w:val="font61"/>
    <w:basedOn w:val="10"/>
    <w:qFormat/>
    <w:uiPriority w:val="0"/>
    <w:rPr>
      <w:rFonts w:hint="eastAsia" w:ascii="宋体" w:hAnsi="宋体" w:eastAsia="宋体" w:cs="宋体"/>
      <w:color w:val="000000"/>
      <w:sz w:val="20"/>
      <w:szCs w:val="20"/>
      <w:u w:val="none"/>
    </w:rPr>
  </w:style>
  <w:style w:type="character" w:customStyle="1" w:styleId="14">
    <w:name w:val="font11"/>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2023-10-31T08:01:28Z</dcterms:created>
  <dc:creator>Lenovo</dc:creator>
  <cp:lastModifiedBy>七</cp:lastModifiedBy>
  <dcterms:modified xsi:type="dcterms:W3CDTF">2023-10-31T08:03:36Z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B93FA569DF2A4C739920B15ECCF116DF_12</vt:lpwstr>
  </property>
</Properties>
</file>