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分项报价表</w:t>
      </w:r>
    </w:p>
    <w:p>
      <w:pPr>
        <w:kinsoku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cs="仿宋"/>
          <w:color w:val="auto"/>
          <w:sz w:val="24"/>
          <w:szCs w:val="24"/>
          <w:highlight w:val="none"/>
          <w:lang w:eastAsia="zh-CN"/>
        </w:rPr>
        <w:t>省级中医药特色康复示范中心建设项目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cs="仿宋"/>
          <w:color w:val="auto"/>
          <w:sz w:val="24"/>
          <w:szCs w:val="24"/>
          <w:highlight w:val="none"/>
          <w:lang w:val="en-US" w:eastAsia="zh-CN"/>
        </w:rPr>
        <w:t>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LC-ZC-2023-016</w:t>
      </w:r>
    </w:p>
    <w:tbl>
      <w:tblPr>
        <w:tblStyle w:val="3"/>
        <w:tblW w:w="906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8"/>
        <w:gridCol w:w="530"/>
        <w:gridCol w:w="789"/>
        <w:gridCol w:w="862"/>
        <w:gridCol w:w="988"/>
        <w:gridCol w:w="1271"/>
        <w:gridCol w:w="966"/>
        <w:gridCol w:w="1353"/>
        <w:gridCol w:w="1153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  <w:jc w:val="center"/>
        </w:trPr>
        <w:tc>
          <w:tcPr>
            <w:tcW w:w="1148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left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分项费用</w:t>
            </w: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型号或规格</w:t>
            </w: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bCs/>
                <w:color w:val="auto"/>
                <w:sz w:val="24"/>
                <w:szCs w:val="24"/>
                <w:highlight w:val="none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  <w:jc w:val="center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  <w:jc w:val="center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  <w:jc w:val="center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  <w:jc w:val="center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  <w:jc w:val="center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  <w:jc w:val="center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  <w:jc w:val="center"/>
        </w:trPr>
        <w:tc>
          <w:tcPr>
            <w:tcW w:w="246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其他费用</w:t>
            </w:r>
          </w:p>
        </w:tc>
        <w:tc>
          <w:tcPr>
            <w:tcW w:w="659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  <w:jc w:val="center"/>
        </w:trPr>
        <w:tc>
          <w:tcPr>
            <w:tcW w:w="246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659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  <w:jc w:val="center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left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 xml:space="preserve"> 小写：</w:t>
            </w: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 xml:space="preserve"> 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  <w:jc w:val="center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color w:val="auto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auto"/>
          <w:sz w:val="24"/>
          <w:szCs w:val="24"/>
          <w:highlight w:val="none"/>
        </w:rPr>
      </w:pP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：（</w:t>
      </w:r>
      <w:r>
        <w:rPr>
          <w:rFonts w:hint="eastAsia" w:ascii="仿宋" w:hAnsi="仿宋" w:cs="仿宋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全称并加盖公章）</w:t>
      </w:r>
    </w:p>
    <w:p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期：    年  月  日</w:t>
      </w: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br w:type="page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配套耗材报价明细表</w:t>
      </w:r>
    </w:p>
    <w:p>
      <w:pPr>
        <w:pStyle w:val="2"/>
        <w:jc w:val="center"/>
        <w:rPr>
          <w:rFonts w:hint="eastAsia"/>
          <w:b w:val="0"/>
          <w:bCs w:val="0"/>
          <w:sz w:val="22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>（格式自拟）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br w:type="page"/>
      </w:r>
      <w:bookmarkStart w:id="0" w:name="_GoBack"/>
      <w:bookmarkEnd w:id="0"/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以下非招标文件正文，只起说明作用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说明：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因系统原因，投标文件格式中“标的清单”表格无法扩展，各投标人均按总价金额填报，可参考以下方式填写：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品目号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货物</w:t>
            </w:r>
          </w:p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规格</w:t>
            </w:r>
          </w:p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型号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</w:trPr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1-1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具体详见分项报价表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具体详见分项报价表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具体详见分项报价表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具体详见分项报价表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具体详见分项报价表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DQ1MzE1OGZjNzcwNzc3YmIwNjMxNjMwODEyNjcifQ=="/>
  </w:docVars>
  <w:rsids>
    <w:rsidRoot w:val="00000000"/>
    <w:rsid w:val="144865C2"/>
    <w:rsid w:val="1E4A3C59"/>
    <w:rsid w:val="3F4B4546"/>
    <w:rsid w:val="491F3208"/>
    <w:rsid w:val="4D445B9D"/>
    <w:rsid w:val="4FB91487"/>
    <w:rsid w:val="58046F2A"/>
    <w:rsid w:val="58A130C4"/>
    <w:rsid w:val="6E2A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/>
      <w:spacing w:line="360" w:lineRule="auto"/>
    </w:pPr>
    <w:rPr>
      <w:rFonts w:ascii="Tahoma" w:hAnsi="Tahoma" w:eastAsia="仿宋" w:cs="Tahoma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2023-11-10T08:08:00Z</dcterms:created>
  <dc:creator>Administrator</dc:creator>
  <cp:lastModifiedBy>Jorva</cp:lastModifiedBy>
  <dcterms:modified xsi:type="dcterms:W3CDTF">2023-11-10T08:31:03Z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196E749BA80A4A238AD86A9E03A08C5E_12</vt:lpwstr>
  </property>
</Properties>
</file>