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baseline"/>
        <w:rPr>
          <w:rFonts w:hint="eastAsia" w:eastAsia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eastAsia="仿宋"/>
          <w:b w:val="0"/>
          <w:bCs w:val="0"/>
          <w:sz w:val="36"/>
          <w:szCs w:val="36"/>
          <w:highlight w:val="none"/>
          <w:lang w:val="en-US" w:eastAsia="zh-CN"/>
        </w:rPr>
        <w:t>西安市自然资源和规划局鄠邑分局44个实用性村庄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baseline"/>
        <w:rPr>
          <w:rFonts w:hint="eastAsia" w:eastAsia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eastAsia="仿宋"/>
          <w:b w:val="0"/>
          <w:bCs w:val="0"/>
          <w:sz w:val="36"/>
          <w:szCs w:val="36"/>
          <w:highlight w:val="none"/>
          <w:lang w:val="en-US" w:eastAsia="zh-CN"/>
        </w:rPr>
        <w:t>规划编制项目采购需求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textAlignment w:val="baseline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8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8"/>
          <w:sz w:val="24"/>
          <w:szCs w:val="24"/>
        </w:rPr>
        <w:t>项目概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</w:rPr>
        <w:t>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西安市自然资源和规划局鄠邑分局44个实用性村庄规划编制项目，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括白庙村、宫家堡村、响桥、韩村、真守村、侯王村、秣师坡村、丈北村、衙道村、吕家堡村、紫阁峪村、穆家庄、丁家庄村、板桥头村、马村、太平口村、晋候村、南涝村、白龙沟、养老宫、史家庄、索村、元驾村、栗园头、显落村、两旗、割耳庄村、斑竹园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煤场村、</w:t>
      </w:r>
      <w:r>
        <w:rPr>
          <w:rFonts w:hint="eastAsia" w:ascii="仿宋" w:hAnsi="仿宋" w:eastAsia="仿宋" w:cs="仿宋"/>
          <w:sz w:val="24"/>
          <w:szCs w:val="24"/>
        </w:rPr>
        <w:t>旧泉坊村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、西河村、</w:t>
      </w:r>
      <w:r>
        <w:rPr>
          <w:rFonts w:hint="eastAsia" w:ascii="仿宋" w:hAnsi="仿宋" w:eastAsia="仿宋" w:cs="仿宋"/>
          <w:sz w:val="24"/>
          <w:szCs w:val="24"/>
        </w:rPr>
        <w:t>丈南村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、余姚村、鲁村、丁村、南马营村、什村、伦公村、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董村、罗什村、梁庄、围棋寨村、皇甫村、坳子村。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textAlignment w:val="baseline"/>
        <w:rPr>
          <w:rFonts w:hint="default" w:ascii="仿宋" w:hAnsi="仿宋" w:eastAsia="仿宋" w:cs="仿宋"/>
          <w:b/>
          <w:bCs/>
          <w:spacing w:val="8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24"/>
          <w:szCs w:val="24"/>
          <w:highlight w:val="none"/>
          <w:lang w:val="en-US" w:eastAsia="zh-CN"/>
        </w:rPr>
        <w:t>二、采购需求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主要实施内容为：以44个村庄为基础，按照中省相关政策要求开展规划编制，充分结合资源要素和区位条件等因素，可采取一个或几个村庄联合编制方式，深入挖掘空间要素资源，体现设施共享共建，融入产业发展要求；同时，规划编制应以本轮划定的三区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线为基础，重点结合鄠邑区国土空间总体规划、鄠邑区功能体系及布局规划等确定的基本内容和框架，综合考虑村庄特色、生存环境、发展建设、城村联系、村庄功能、政策影响、宅基地闲置、发展潜力等因素，建立村庄分类指标体系。并对各类村庄用途管制提出具体要求，针对性的挖掘村庄特色资源和解决建设用地低效利用、生态环境污染等问题；在项目编制过程中应开展前期现状调研、基础资料收集和项目开展期间的交换意见等工作，并完成基础资料收集，成果备案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MGY4NGI5YmU5OGE3YjRiMDgyODliZGQxOWY2MGYifQ=="/>
  </w:docVars>
  <w:rsids>
    <w:rsidRoot w:val="34C530E6"/>
    <w:rsid w:val="34C530E6"/>
    <w:rsid w:val="3F22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方正小标宋_GBK" w:hAnsi="仿宋" w:eastAsia="方正小标宋_GBK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2023-08-28T10:12:00Z</dcterms:created>
  <dc:creator>Dreamer</dc:creator>
  <cp:lastModifiedBy>Dreamer</cp:lastModifiedBy>
  <dcterms:modified xsi:type="dcterms:W3CDTF">2023-08-28T10:13:54Z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9E366B34C759434D85CD4642ED7913C7_11</vt:lpwstr>
  </property>
</Properties>
</file>