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360" w:lineRule="auto"/>
        <w:jc w:val="center"/>
        <w:rPr>
          <w:rFonts w:hint="eastAsia" w:ascii="宋体" w:hAnsi="宋体" w:eastAsia="宋体" w:cs="宋体"/>
          <w:b/>
          <w:bCs/>
          <w:sz w:val="24"/>
          <w:szCs w:val="24"/>
          <w:highlight w:val="yellow"/>
          <w:lang w:val="en-US" w:eastAsia="zh-CN"/>
        </w:rPr>
      </w:pPr>
      <w:r>
        <w:rPr>
          <w:rFonts w:hint="eastAsia" w:ascii="宋体" w:hAnsi="宋体" w:eastAsia="宋体" w:cs="宋体"/>
          <w:b/>
          <w:bCs/>
          <w:sz w:val="24"/>
          <w:szCs w:val="24"/>
          <w:lang w:val="en-US" w:eastAsia="zh-CN"/>
        </w:rPr>
        <w:t>技</w:t>
      </w:r>
      <w:bookmarkStart w:id="0" w:name="_GoBack"/>
      <w:bookmarkEnd w:id="0"/>
      <w:r>
        <w:rPr>
          <w:rFonts w:hint="eastAsia" w:ascii="宋体" w:hAnsi="宋体" w:eastAsia="宋体" w:cs="宋体"/>
          <w:b/>
          <w:bCs/>
          <w:sz w:val="24"/>
          <w:szCs w:val="24"/>
          <w:lang w:val="en-US" w:eastAsia="zh-CN"/>
        </w:rPr>
        <w:t>术参数及要求</w:t>
      </w:r>
    </w:p>
    <w:tbl>
      <w:tblPr>
        <w:tblStyle w:val="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27"/>
        <w:gridCol w:w="1420"/>
        <w:gridCol w:w="4772"/>
        <w:gridCol w:w="868"/>
        <w:gridCol w:w="7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000" w:type="pct"/>
            <w:gridSpan w:val="5"/>
            <w:tcBorders>
              <w:tl2br w:val="nil"/>
              <w:tr2bl w:val="nil"/>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鄠邑区信合社区健身器材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27" w:type="pct"/>
            <w:tcBorders>
              <w:tl2br w:val="nil"/>
              <w:tr2bl w:val="nil"/>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833" w:type="pct"/>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器材名称</w:t>
            </w:r>
          </w:p>
        </w:tc>
        <w:tc>
          <w:tcPr>
            <w:tcW w:w="2800" w:type="pct"/>
            <w:tcBorders>
              <w:tl2br w:val="nil"/>
              <w:tr2bl w:val="nil"/>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器材参数</w:t>
            </w:r>
          </w:p>
        </w:tc>
        <w:tc>
          <w:tcPr>
            <w:tcW w:w="509" w:type="pct"/>
            <w:tcBorders>
              <w:tl2br w:val="nil"/>
              <w:tr2bl w:val="nil"/>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428" w:type="pct"/>
            <w:tcBorders>
              <w:tl2br w:val="nil"/>
              <w:tr2bl w:val="nil"/>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000" w:type="pct"/>
            <w:gridSpan w:val="5"/>
            <w:tcBorders>
              <w:tl2br w:val="nil"/>
              <w:tr2bl w:val="nil"/>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室外健身器材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trPr>
        <w:tc>
          <w:tcPr>
            <w:tcW w:w="427" w:type="pct"/>
            <w:tcBorders>
              <w:tl2br w:val="nil"/>
              <w:tr2bl w:val="nil"/>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33" w:type="pct"/>
            <w:tcBorders>
              <w:tl2br w:val="nil"/>
              <w:tr2bl w:val="nil"/>
            </w:tcBorders>
            <w:shd w:val="clear" w:color="FFFFFF" w:fill="FFFFFF"/>
            <w:noWrap w:val="0"/>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悬浮地板（核心产品）</w:t>
            </w:r>
          </w:p>
        </w:tc>
        <w:tc>
          <w:tcPr>
            <w:tcW w:w="2800" w:type="pct"/>
            <w:tcBorders>
              <w:tl2br w:val="nil"/>
              <w:tr2bl w:val="nil"/>
            </w:tcBorders>
            <w:shd w:val="clear" w:color="auto" w:fill="auto"/>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1、铺设羽毛球场地两块；                                                                                   2、悬浮式拼装地板采用PP改性聚丙烯，单块地板规格不小于30*40cm，厚度：≥1.58cm，由12小块软连接结构设计，弹性可伸缩；                                                                    3、垂直变形:0.6-3.0mm，抗滑值：80-110，耐人工老化500h后拉伸强度：≥0.4MPa，拉断伸长率：≥40%，可溶性镉含量：≤10mg/kg，甲醛：≤0.4mg/(m².h)，苯：≤0.1mg/(m².h)，均须符合GB36246-2018标准；                                                             ★4、臭氧老化不低于9000h后，邵氏硬度依据GB/T531.1-2008检测标准≥70 Shore A，</w:t>
            </w:r>
            <w:r>
              <w:rPr>
                <w:rFonts w:hint="eastAsia" w:ascii="宋体" w:hAnsi="宋体" w:eastAsia="宋体" w:cs="宋体"/>
                <w:b w:val="0"/>
                <w:bCs w:val="0"/>
                <w:i w:val="0"/>
                <w:iCs w:val="0"/>
                <w:color w:val="000000"/>
                <w:kern w:val="0"/>
                <w:sz w:val="24"/>
                <w:szCs w:val="24"/>
                <w:highlight w:val="none"/>
                <w:u w:val="none"/>
                <w:lang w:val="en-US" w:eastAsia="zh-CN" w:bidi="ar"/>
              </w:rPr>
              <w:t>需提供第三方检验报告；</w:t>
            </w:r>
            <w:r>
              <w:rPr>
                <w:rFonts w:hint="eastAsia" w:ascii="宋体" w:hAnsi="宋体" w:eastAsia="宋体" w:cs="宋体"/>
                <w:b/>
                <w:bCs/>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★5、老化不低于20000h后，垂直变形符合GB36246-2018标准0.6-3.0mm，</w:t>
            </w:r>
            <w:r>
              <w:rPr>
                <w:rFonts w:hint="eastAsia" w:ascii="宋体" w:hAnsi="宋体" w:eastAsia="宋体" w:cs="宋体"/>
                <w:b w:val="0"/>
                <w:bCs w:val="0"/>
                <w:i w:val="0"/>
                <w:iCs w:val="0"/>
                <w:color w:val="000000"/>
                <w:kern w:val="0"/>
                <w:sz w:val="24"/>
                <w:szCs w:val="24"/>
                <w:highlight w:val="none"/>
                <w:u w:val="none"/>
                <w:lang w:val="en-US" w:eastAsia="zh-CN" w:bidi="ar"/>
              </w:rPr>
              <w:t>需提供第三方检验报告；</w:t>
            </w:r>
            <w:r>
              <w:rPr>
                <w:rFonts w:hint="eastAsia" w:ascii="宋体" w:hAnsi="宋体" w:eastAsia="宋体" w:cs="宋体"/>
                <w:b/>
                <w:bCs/>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 xml:space="preserve">                                                             ★6、有害物质短链氯化石蜡、中链氯化石蜡、长链氯化石蜡：未检出，</w:t>
            </w:r>
            <w:r>
              <w:rPr>
                <w:rFonts w:hint="eastAsia" w:ascii="宋体" w:hAnsi="宋体" w:eastAsia="宋体" w:cs="宋体"/>
                <w:b w:val="0"/>
                <w:bCs w:val="0"/>
                <w:i w:val="0"/>
                <w:iCs w:val="0"/>
                <w:color w:val="000000"/>
                <w:kern w:val="0"/>
                <w:sz w:val="24"/>
                <w:szCs w:val="24"/>
                <w:highlight w:val="none"/>
                <w:u w:val="none"/>
                <w:lang w:val="en-US" w:eastAsia="zh-CN" w:bidi="ar"/>
              </w:rPr>
              <w:t>需提供第三方检验报告；</w:t>
            </w:r>
            <w:r>
              <w:rPr>
                <w:rFonts w:hint="eastAsia" w:ascii="宋体" w:hAnsi="宋体" w:eastAsia="宋体" w:cs="宋体"/>
                <w:b/>
                <w:bCs/>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 xml:space="preserve">                                                       ★7、为保证产品的耐盐腐蚀性（如雨水，汗水等），中性盐雾试验不低于6500h后，拉伸强度≥0.4MPa；断裂伸长率≥40%，</w:t>
            </w:r>
            <w:r>
              <w:rPr>
                <w:rFonts w:hint="eastAsia" w:ascii="宋体" w:hAnsi="宋体" w:eastAsia="宋体" w:cs="宋体"/>
                <w:b w:val="0"/>
                <w:bCs w:val="0"/>
                <w:i w:val="0"/>
                <w:iCs w:val="0"/>
                <w:color w:val="000000"/>
                <w:kern w:val="0"/>
                <w:sz w:val="24"/>
                <w:szCs w:val="24"/>
                <w:highlight w:val="none"/>
                <w:u w:val="none"/>
                <w:lang w:val="en-US" w:eastAsia="zh-CN" w:bidi="ar"/>
              </w:rPr>
              <w:t>需提供第三方检验报告；</w:t>
            </w:r>
            <w:r>
              <w:rPr>
                <w:rFonts w:hint="eastAsia" w:ascii="宋体" w:hAnsi="宋体" w:eastAsia="宋体" w:cs="宋体"/>
                <w:b/>
                <w:bCs/>
                <w:i w:val="0"/>
                <w:iCs w:val="0"/>
                <w:color w:val="000000"/>
                <w:kern w:val="0"/>
                <w:sz w:val="24"/>
                <w:szCs w:val="24"/>
                <w:u w:val="none"/>
                <w:lang w:val="en-US" w:eastAsia="zh-CN" w:bidi="ar"/>
              </w:rPr>
              <w:t xml:space="preserve">      </w:t>
            </w:r>
          </w:p>
        </w:tc>
        <w:tc>
          <w:tcPr>
            <w:tcW w:w="509" w:type="pct"/>
            <w:tcBorders>
              <w:tl2br w:val="nil"/>
              <w:tr2bl w:val="nil"/>
            </w:tcBorders>
            <w:shd w:val="clear" w:color="FFFFFF" w:fill="FFFFFF"/>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620</w:t>
            </w:r>
          </w:p>
        </w:tc>
        <w:tc>
          <w:tcPr>
            <w:tcW w:w="428" w:type="pct"/>
            <w:tcBorders>
              <w:tl2br w:val="nil"/>
              <w:tr2bl w:val="nil"/>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9" w:hRule="atLeast"/>
        </w:trPr>
        <w:tc>
          <w:tcPr>
            <w:tcW w:w="427" w:type="pct"/>
            <w:tcBorders>
              <w:tl2br w:val="nil"/>
              <w:tr2bl w:val="nil"/>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33" w:type="pct"/>
            <w:tcBorders>
              <w:tl2br w:val="nil"/>
              <w:tr2bl w:val="nil"/>
            </w:tcBorders>
            <w:shd w:val="clear" w:color="FFFFFF" w:fill="FFFFFF"/>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健身步道</w:t>
            </w:r>
          </w:p>
        </w:tc>
        <w:tc>
          <w:tcPr>
            <w:tcW w:w="2800" w:type="pct"/>
            <w:tcBorders>
              <w:tl2br w:val="nil"/>
              <w:tr2bl w:val="nil"/>
            </w:tcBorders>
            <w:shd w:val="clear" w:color="FFFFFF" w:fill="FFFFFF"/>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15mm厚EPDM塑胶地面，塑胶步道两侧白线宽</w:t>
            </w: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50</w:t>
            </w:r>
            <w:r>
              <w:rPr>
                <w:rFonts w:hint="eastAsia" w:ascii="宋体" w:hAnsi="宋体" w:eastAsia="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★2、塑胶材料在80℃放置500h，然后在-40℃放置500h后，拉伸强度、拉断伸长率、抗滑值检测符合GB36246-2018标准要求，且耐冻融性检测（80℃ 10h，-40℃ 10h）循环50次无粉化、无剥落、无起皮、无开裂、无脱落、颜色与光泽无明显脱色变化的合格检测报告。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★3、塑胶材料符合GB36246-2018《中小学合成材料面层运动场地》标准非固体原料中有害物质限量要求的合格检测报告。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★4、塑胶材料经80℃模仿雨水中浸泡500小时依据GB/T14833-2020标准撕裂强度≥10kN/m要求的合格检测报告。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★5、塑胶材料暴露在自然环境放置14天后，依据GB/T18883-2002、GB/T 18204.2-2014 公共场所卫生检验方法第2部分：化学污染物标准要求：一氧化碳≤0.05mg/m3，二氧化碳≤0.05mg/m3，甲醛≤0.20mg/m3，氨≤0.10mg/m3，苯、甲苯、二甲苯总和≤0.1mg/m3要求的合格检测报告。</w:t>
            </w:r>
          </w:p>
        </w:tc>
        <w:tc>
          <w:tcPr>
            <w:tcW w:w="509" w:type="pct"/>
            <w:tcBorders>
              <w:tl2br w:val="nil"/>
              <w:tr2bl w:val="nil"/>
            </w:tcBorders>
            <w:shd w:val="clear" w:color="FFFFFF" w:fill="FFFFFF"/>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428" w:type="pct"/>
            <w:tcBorders>
              <w:tl2br w:val="nil"/>
              <w:tr2bl w:val="nil"/>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27" w:type="pct"/>
            <w:tcBorders>
              <w:tl2br w:val="nil"/>
              <w:tr2bl w:val="nil"/>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33" w:type="pct"/>
            <w:tcBorders>
              <w:tl2br w:val="nil"/>
              <w:tr2bl w:val="nil"/>
            </w:tcBorders>
            <w:shd w:val="clear" w:color="FFFFFF" w:fill="FFFFFF"/>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移动羽毛球柱</w:t>
            </w:r>
          </w:p>
        </w:tc>
        <w:tc>
          <w:tcPr>
            <w:tcW w:w="2800" w:type="pct"/>
            <w:tcBorders>
              <w:tl2br w:val="nil"/>
              <w:tr2bl w:val="nil"/>
            </w:tcBorders>
            <w:shd w:val="clear" w:color="FFFFFF" w:fill="FFFFFF"/>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1、立柱采用不小于Φ60mm，壁厚3.0mm钢管；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2、高度可调节，适用于成人及中小学生使用；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3、采用配重箱体式结构，可随时移动搬运；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4、球网采用天然纤维材料；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5、器材满足以上参数，符合GB/T 19851.13-2007标准要求。</w:t>
            </w:r>
          </w:p>
        </w:tc>
        <w:tc>
          <w:tcPr>
            <w:tcW w:w="509" w:type="pct"/>
            <w:tcBorders>
              <w:tl2br w:val="nil"/>
              <w:tr2bl w:val="nil"/>
            </w:tcBorders>
            <w:shd w:val="clear" w:color="FFFFFF" w:fill="FFFFFF"/>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28" w:type="pct"/>
            <w:tcBorders>
              <w:tl2br w:val="nil"/>
              <w:tr2bl w:val="nil"/>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1" w:hRule="atLeast"/>
        </w:trPr>
        <w:tc>
          <w:tcPr>
            <w:tcW w:w="427" w:type="pct"/>
            <w:tcBorders>
              <w:tl2br w:val="nil"/>
              <w:tr2bl w:val="nil"/>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33" w:type="pct"/>
            <w:tcBorders>
              <w:tl2br w:val="nil"/>
              <w:tr2bl w:val="nil"/>
            </w:tcBorders>
            <w:shd w:val="clear" w:color="FFFFFF" w:fill="FFFFFF"/>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儿童乐园</w:t>
            </w:r>
          </w:p>
        </w:tc>
        <w:tc>
          <w:tcPr>
            <w:tcW w:w="2800" w:type="pct"/>
            <w:tcBorders>
              <w:tl2br w:val="nil"/>
              <w:tr2bl w:val="nil"/>
            </w:tcBorders>
            <w:shd w:val="clear" w:color="FFFFFF" w:fill="FFFFFF"/>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1、规格：不小于740×410×370cm。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2、功能：本设备满足攀、爬、滑、敲等基本功能。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3、材质：立柱</w:t>
            </w:r>
            <w:r>
              <w:rPr>
                <w:rStyle w:val="7"/>
                <w:rFonts w:hint="eastAsia" w:ascii="宋体" w:hAnsi="宋体" w:eastAsia="宋体" w:cs="宋体"/>
                <w:sz w:val="24"/>
                <w:szCs w:val="24"/>
                <w:lang w:val="en-US" w:eastAsia="zh-CN" w:bidi="ar"/>
              </w:rPr>
              <w:t>≥</w:t>
            </w:r>
            <w:r>
              <w:rPr>
                <w:rStyle w:val="9"/>
                <w:rFonts w:hint="eastAsia" w:ascii="宋体" w:hAnsi="宋体" w:eastAsia="宋体" w:cs="宋体"/>
                <w:sz w:val="24"/>
                <w:szCs w:val="24"/>
                <w:lang w:val="en-US" w:eastAsia="zh-CN" w:bidi="ar"/>
              </w:rPr>
              <w:t>Ø114mm，壁厚不小于2.0mm钢管，进行抛砂，打磨处理后，表面再经过静电粉末喷涂流水线高温固化。塑粉色彩鲜艳，不易脱落，耐腐蚀。</w:t>
            </w:r>
            <w:r>
              <w:rPr>
                <w:rStyle w:val="9"/>
                <w:rFonts w:hint="eastAsia" w:ascii="宋体" w:hAnsi="宋体" w:eastAsia="宋体" w:cs="宋体"/>
                <w:sz w:val="24"/>
                <w:szCs w:val="24"/>
                <w:lang w:val="en-US" w:eastAsia="zh-CN" w:bidi="ar"/>
              </w:rPr>
              <w:br w:type="textWrapping"/>
            </w:r>
            <w:r>
              <w:rPr>
                <w:rStyle w:val="9"/>
                <w:rFonts w:hint="eastAsia" w:ascii="宋体" w:hAnsi="宋体" w:eastAsia="宋体" w:cs="宋体"/>
                <w:sz w:val="24"/>
                <w:szCs w:val="24"/>
                <w:lang w:val="en-US" w:eastAsia="zh-CN" w:bidi="ar"/>
              </w:rPr>
              <w:t>4、塑料件采用滚塑专用料经滚塑成形，抗静电能力强，安全环保，耐候性好，强度高。</w:t>
            </w:r>
            <w:r>
              <w:rPr>
                <w:rStyle w:val="9"/>
                <w:rFonts w:hint="eastAsia" w:ascii="宋体" w:hAnsi="宋体" w:eastAsia="宋体" w:cs="宋体"/>
                <w:sz w:val="24"/>
                <w:szCs w:val="24"/>
                <w:lang w:val="en-US" w:eastAsia="zh-CN" w:bidi="ar"/>
              </w:rPr>
              <w:br w:type="textWrapping"/>
            </w:r>
            <w:r>
              <w:rPr>
                <w:rStyle w:val="9"/>
                <w:rFonts w:hint="eastAsia" w:ascii="宋体" w:hAnsi="宋体" w:eastAsia="宋体" w:cs="宋体"/>
                <w:sz w:val="24"/>
                <w:szCs w:val="24"/>
                <w:lang w:val="en-US" w:eastAsia="zh-CN" w:bidi="ar"/>
              </w:rPr>
              <w:t>5、扣件采用高强度铝合金一次性铸造成形，边角圆滑，进行抛砂处理后，表面喷涂采用环保聚酯粉末，高温固化，表面光滑，抗紫外光能力强，色彩鲜艳，不易脱落，耐腐蚀；有螺丝均为不锈钢材质，外覆环保塑料盖，安全性好。</w:t>
            </w:r>
          </w:p>
        </w:tc>
        <w:tc>
          <w:tcPr>
            <w:tcW w:w="509" w:type="pct"/>
            <w:tcBorders>
              <w:tl2br w:val="nil"/>
              <w:tr2bl w:val="nil"/>
            </w:tcBorders>
            <w:shd w:val="clear" w:color="FFFFFF" w:fill="FFFFFF"/>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28" w:type="pct"/>
            <w:tcBorders>
              <w:tl2br w:val="nil"/>
              <w:tr2bl w:val="nil"/>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27" w:type="pct"/>
            <w:tcBorders>
              <w:tl2br w:val="nil"/>
              <w:tr2bl w:val="nil"/>
            </w:tcBorders>
            <w:shd w:val="clear" w:color="auto" w:fill="auto"/>
            <w:noWrap/>
            <w:vAlign w:val="center"/>
          </w:tcPr>
          <w:p>
            <w:pPr>
              <w:spacing w:line="360" w:lineRule="auto"/>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w:t>
            </w:r>
          </w:p>
        </w:tc>
        <w:tc>
          <w:tcPr>
            <w:tcW w:w="833" w:type="pct"/>
            <w:tcBorders>
              <w:tl2br w:val="nil"/>
              <w:tr2bl w:val="nil"/>
            </w:tcBorders>
            <w:shd w:val="clear" w:color="FFFFFF" w:fill="FFFFFF"/>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乒乓球台（核心产品）</w:t>
            </w:r>
          </w:p>
        </w:tc>
        <w:tc>
          <w:tcPr>
            <w:tcW w:w="2800" w:type="pct"/>
            <w:tcBorders>
              <w:tl2br w:val="nil"/>
              <w:tr2bl w:val="nil"/>
            </w:tcBorders>
            <w:shd w:val="clear" w:color="FFFFFF" w:fill="FFFFFF"/>
            <w:noWrap w:val="0"/>
            <w:vAlign w:val="center"/>
          </w:tcPr>
          <w:p>
            <w:pPr>
              <w:keepNext w:val="0"/>
              <w:keepLines w:val="0"/>
              <w:widowControl/>
              <w:suppressLineNumbers w:val="0"/>
              <w:spacing w:line="360" w:lineRule="auto"/>
              <w:jc w:val="lef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1、台面规格不小于2740×1525mm。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2、台面采用SMC片状模塑料，整体高温模压一次成型。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3、台面面板厚度</w:t>
            </w:r>
            <w:r>
              <w:rPr>
                <w:rStyle w:val="7"/>
                <w:rFonts w:hint="eastAsia" w:ascii="宋体" w:hAnsi="宋体" w:eastAsia="宋体" w:cs="宋体"/>
                <w:sz w:val="24"/>
                <w:szCs w:val="24"/>
                <w:lang w:val="en-US" w:eastAsia="zh-CN" w:bidi="ar"/>
              </w:rPr>
              <w:t>≥</w:t>
            </w:r>
            <w:r>
              <w:rPr>
                <w:rStyle w:val="9"/>
                <w:rFonts w:hint="eastAsia" w:ascii="宋体" w:hAnsi="宋体" w:eastAsia="宋体" w:cs="宋体"/>
                <w:sz w:val="24"/>
                <w:szCs w:val="24"/>
                <w:lang w:val="en-US" w:eastAsia="zh-CN" w:bidi="ar"/>
              </w:rPr>
              <w:t>4.5 mm，翻边宽度</w:t>
            </w:r>
            <w:r>
              <w:rPr>
                <w:rStyle w:val="7"/>
                <w:rFonts w:hint="eastAsia" w:ascii="宋体" w:hAnsi="宋体" w:eastAsia="宋体" w:cs="宋体"/>
                <w:sz w:val="24"/>
                <w:szCs w:val="24"/>
                <w:lang w:val="en-US" w:eastAsia="zh-CN" w:bidi="ar"/>
              </w:rPr>
              <w:t>≥</w:t>
            </w:r>
            <w:r>
              <w:rPr>
                <w:rStyle w:val="9"/>
                <w:rFonts w:hint="eastAsia" w:ascii="宋体" w:hAnsi="宋体" w:eastAsia="宋体" w:cs="宋体"/>
                <w:sz w:val="24"/>
                <w:szCs w:val="24"/>
                <w:lang w:val="en-US" w:eastAsia="zh-CN" w:bidi="ar"/>
              </w:rPr>
              <w:t>50mm，翻边厚度</w:t>
            </w:r>
            <w:r>
              <w:rPr>
                <w:rStyle w:val="7"/>
                <w:rFonts w:hint="eastAsia" w:ascii="宋体" w:hAnsi="宋体" w:eastAsia="宋体" w:cs="宋体"/>
                <w:sz w:val="24"/>
                <w:szCs w:val="24"/>
                <w:lang w:val="en-US" w:eastAsia="zh-CN" w:bidi="ar"/>
              </w:rPr>
              <w:t>≥</w:t>
            </w:r>
            <w:r>
              <w:rPr>
                <w:rStyle w:val="9"/>
                <w:rFonts w:hint="eastAsia" w:ascii="宋体" w:hAnsi="宋体" w:eastAsia="宋体" w:cs="宋体"/>
                <w:sz w:val="24"/>
                <w:szCs w:val="24"/>
                <w:lang w:val="en-US" w:eastAsia="zh-CN" w:bidi="ar"/>
              </w:rPr>
              <w:t>7mm。面板背面必须采用“井”字形加强筋并在内部预埋螺丝，加强筋厚度不低于4mm，“井”字形加强筋呈小长方形均匀排列，每个小长方形尺寸不大于160×140mm。</w:t>
            </w:r>
            <w:r>
              <w:rPr>
                <w:rStyle w:val="9"/>
                <w:rFonts w:hint="eastAsia" w:ascii="宋体" w:hAnsi="宋体" w:eastAsia="宋体" w:cs="宋体"/>
                <w:sz w:val="24"/>
                <w:szCs w:val="24"/>
                <w:lang w:val="en-US" w:eastAsia="zh-CN" w:bidi="ar"/>
              </w:rPr>
              <w:br w:type="textWrapping"/>
            </w:r>
            <w:r>
              <w:rPr>
                <w:rStyle w:val="9"/>
                <w:rFonts w:hint="eastAsia" w:ascii="宋体" w:hAnsi="宋体" w:eastAsia="宋体" w:cs="宋体"/>
                <w:sz w:val="24"/>
                <w:szCs w:val="24"/>
                <w:lang w:val="en-US" w:eastAsia="zh-CN" w:bidi="ar"/>
              </w:rPr>
              <w:t>4、台面喷深蓝色漆，手摸不掉色，褪色率达5年以上。</w:t>
            </w:r>
            <w:r>
              <w:rPr>
                <w:rStyle w:val="9"/>
                <w:rFonts w:hint="eastAsia" w:ascii="宋体" w:hAnsi="宋体" w:eastAsia="宋体" w:cs="宋体"/>
                <w:sz w:val="24"/>
                <w:szCs w:val="24"/>
                <w:lang w:val="en-US" w:eastAsia="zh-CN" w:bidi="ar"/>
              </w:rPr>
              <w:br w:type="textWrapping"/>
            </w:r>
            <w:r>
              <w:rPr>
                <w:rStyle w:val="9"/>
                <w:rFonts w:hint="eastAsia" w:ascii="宋体" w:hAnsi="宋体" w:eastAsia="宋体" w:cs="宋体"/>
                <w:sz w:val="24"/>
                <w:szCs w:val="24"/>
                <w:lang w:val="en-US" w:eastAsia="zh-CN" w:bidi="ar"/>
              </w:rPr>
              <w:t>5、台面弹性为230mm～260mm。</w:t>
            </w:r>
            <w:r>
              <w:rPr>
                <w:rStyle w:val="9"/>
                <w:rFonts w:hint="eastAsia" w:ascii="宋体" w:hAnsi="宋体" w:eastAsia="宋体" w:cs="宋体"/>
                <w:sz w:val="24"/>
                <w:szCs w:val="24"/>
                <w:lang w:val="en-US" w:eastAsia="zh-CN" w:bidi="ar"/>
              </w:rPr>
              <w:br w:type="textWrapping"/>
            </w:r>
            <w:r>
              <w:rPr>
                <w:rStyle w:val="9"/>
                <w:rFonts w:hint="eastAsia" w:ascii="宋体" w:hAnsi="宋体" w:eastAsia="宋体" w:cs="宋体"/>
                <w:sz w:val="24"/>
                <w:szCs w:val="24"/>
                <w:lang w:val="en-US" w:eastAsia="zh-CN" w:bidi="ar"/>
              </w:rPr>
              <w:t>6、台板底部采用托管支撑，支撑框架管壁厚度不小于2mm，每半块板面支撑框架不少于4横4纵支撑管连接。</w:t>
            </w:r>
            <w:r>
              <w:rPr>
                <w:rStyle w:val="9"/>
                <w:rFonts w:hint="eastAsia" w:ascii="宋体" w:hAnsi="宋体" w:eastAsia="宋体" w:cs="宋体"/>
                <w:sz w:val="24"/>
                <w:szCs w:val="24"/>
                <w:lang w:val="en-US" w:eastAsia="zh-CN" w:bidi="ar"/>
              </w:rPr>
              <w:br w:type="textWrapping"/>
            </w:r>
            <w:r>
              <w:rPr>
                <w:rStyle w:val="9"/>
                <w:rFonts w:hint="eastAsia" w:ascii="宋体" w:hAnsi="宋体" w:eastAsia="宋体" w:cs="宋体"/>
                <w:sz w:val="24"/>
                <w:szCs w:val="24"/>
                <w:lang w:val="en-US" w:eastAsia="zh-CN" w:bidi="ar"/>
              </w:rPr>
              <w:t>7、为保证台板的稳定性，两块台板与主架的连接均采用四角连接。使台面大面积与支腿构成整体。</w:t>
            </w:r>
            <w:r>
              <w:rPr>
                <w:rStyle w:val="9"/>
                <w:rFonts w:hint="eastAsia" w:ascii="宋体" w:hAnsi="宋体" w:eastAsia="宋体" w:cs="宋体"/>
                <w:sz w:val="24"/>
                <w:szCs w:val="24"/>
                <w:lang w:val="en-US" w:eastAsia="zh-CN" w:bidi="ar"/>
              </w:rPr>
              <w:br w:type="textWrapping"/>
            </w:r>
            <w:r>
              <w:rPr>
                <w:rStyle w:val="9"/>
                <w:rFonts w:hint="eastAsia" w:ascii="宋体" w:hAnsi="宋体" w:eastAsia="宋体" w:cs="宋体"/>
                <w:sz w:val="24"/>
                <w:szCs w:val="24"/>
                <w:lang w:val="en-US" w:eastAsia="zh-CN" w:bidi="ar"/>
              </w:rPr>
              <w:t>8、各连接部位采用螺栓、螺钉紧固，防松、防盗、防锈。</w:t>
            </w:r>
            <w:r>
              <w:rPr>
                <w:rStyle w:val="9"/>
                <w:rFonts w:hint="eastAsia" w:ascii="宋体" w:hAnsi="宋体" w:eastAsia="宋体" w:cs="宋体"/>
                <w:sz w:val="24"/>
                <w:szCs w:val="24"/>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w:t>
            </w:r>
            <w:r>
              <w:rPr>
                <w:rStyle w:val="9"/>
                <w:rFonts w:hint="eastAsia" w:ascii="宋体" w:hAnsi="宋体" w:eastAsia="宋体" w:cs="宋体"/>
                <w:sz w:val="24"/>
                <w:szCs w:val="24"/>
                <w:highlight w:val="none"/>
                <w:lang w:val="en-US" w:eastAsia="zh-CN" w:bidi="ar"/>
              </w:rPr>
              <w:t>9、器材满足以上参数，符合GB19272-2011标准要求，并提供NSCC认证证书。</w:t>
            </w:r>
          </w:p>
        </w:tc>
        <w:tc>
          <w:tcPr>
            <w:tcW w:w="509" w:type="pct"/>
            <w:tcBorders>
              <w:tl2br w:val="nil"/>
              <w:tr2bl w:val="nil"/>
            </w:tcBorders>
            <w:shd w:val="clear" w:color="FFFFFF" w:fill="FFFFFF"/>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28" w:type="pct"/>
            <w:tcBorders>
              <w:tl2br w:val="nil"/>
              <w:tr2bl w:val="nil"/>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69" w:hRule="atLeast"/>
        </w:trPr>
        <w:tc>
          <w:tcPr>
            <w:tcW w:w="427" w:type="pct"/>
            <w:tcBorders>
              <w:tl2br w:val="nil"/>
              <w:tr2bl w:val="nil"/>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33" w:type="pct"/>
            <w:tcBorders>
              <w:tl2br w:val="nil"/>
              <w:tr2bl w:val="nil"/>
            </w:tcBorders>
            <w:shd w:val="clear" w:color="FFFFFF" w:fill="FFFFFF"/>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上肢牵引器</w:t>
            </w:r>
          </w:p>
        </w:tc>
        <w:tc>
          <w:tcPr>
            <w:tcW w:w="2800" w:type="pct"/>
            <w:tcBorders>
              <w:tl2br w:val="nil"/>
              <w:tr2bl w:val="nil"/>
            </w:tcBorders>
            <w:shd w:val="clear" w:color="FFFFFF" w:fill="FFFFFF"/>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1、主立柱为钢、铝、塑木复合结构，截面尺寸不小于120mm×120mm，主承载钢管采用不小于120mm×80mm×3.0mm优质矩形钢管；</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2、主要承载横梁采用不小于60mm×3mm钢管；</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3、把手直径不小于16mm且不大于45mm,把手端部直径不小于50mm；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4、活动把手（不含柔性部件）质量不大于600g；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5、牵引头具有内限位装置；</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6、设置有缓冲装置，各部件之间不存在刚性碰撞；</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7、立柱采用外扣式封头，可防止雨水流入；</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★8、器材满足以上参数，符合GB19272-2011标准要求，并提供NSCC认证证书。</w:t>
            </w:r>
          </w:p>
        </w:tc>
        <w:tc>
          <w:tcPr>
            <w:tcW w:w="509" w:type="pct"/>
            <w:tcBorders>
              <w:tl2br w:val="nil"/>
              <w:tr2bl w:val="nil"/>
            </w:tcBorders>
            <w:shd w:val="clear" w:color="FFFFFF" w:fill="FFFFFF"/>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28" w:type="pct"/>
            <w:tcBorders>
              <w:tl2br w:val="nil"/>
              <w:tr2bl w:val="nil"/>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427" w:type="pct"/>
            <w:tcBorders>
              <w:tl2br w:val="nil"/>
              <w:tr2bl w:val="nil"/>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833" w:type="pct"/>
            <w:tcBorders>
              <w:tl2br w:val="nil"/>
              <w:tr2bl w:val="nil"/>
            </w:tcBorders>
            <w:shd w:val="clear" w:color="FFFFFF" w:fill="FFFFFF"/>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双位蹬力器</w:t>
            </w:r>
          </w:p>
        </w:tc>
        <w:tc>
          <w:tcPr>
            <w:tcW w:w="2800" w:type="pct"/>
            <w:tcBorders>
              <w:tl2br w:val="nil"/>
              <w:tr2bl w:val="nil"/>
            </w:tcBorders>
            <w:shd w:val="clear" w:color="FFFFFF" w:fill="FFFFFF"/>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1、主立柱为钢、铝、塑木复合结构，截面尺寸不小于120mm×120mm，主承载钢管采用不小于120mm×80mm×3.0mm优质矩形钢管；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2、主要承载横梁采用不小于60mm×3mm钢管；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3、各支撑人体的表面所有棱边和尖角，其半径不小于3mm，使用者或第三者易接触的零部件的所有棱边予以圆滑过渡或加以防护；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4、摆杆最下端与场地表面之间的最小距离大于400mm；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5、脚踏部位有防滑措施；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6、运动幅度过大的部位设置限位装置；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7、立柱采用外扣式封头，可防止雨水流入；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★8、器材</w:t>
            </w:r>
            <w:r>
              <w:rPr>
                <w:rFonts w:hint="eastAsia" w:ascii="宋体" w:hAnsi="宋体" w:eastAsia="宋体" w:cs="宋体"/>
                <w:i w:val="0"/>
                <w:iCs w:val="0"/>
                <w:color w:val="000000"/>
                <w:kern w:val="0"/>
                <w:sz w:val="24"/>
                <w:szCs w:val="24"/>
                <w:highlight w:val="none"/>
                <w:u w:val="none"/>
                <w:lang w:val="en-US" w:eastAsia="zh-CN" w:bidi="ar"/>
              </w:rPr>
              <w:t>满足以上参数，符合GB19272-2011标准要求，并提供NSCC认证证书。</w:t>
            </w:r>
          </w:p>
        </w:tc>
        <w:tc>
          <w:tcPr>
            <w:tcW w:w="509" w:type="pct"/>
            <w:tcBorders>
              <w:tl2br w:val="nil"/>
              <w:tr2bl w:val="nil"/>
            </w:tcBorders>
            <w:shd w:val="clear" w:color="FFFFFF" w:fill="FFFFFF"/>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28" w:type="pct"/>
            <w:tcBorders>
              <w:tl2br w:val="nil"/>
              <w:tr2bl w:val="nil"/>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3" w:hRule="atLeast"/>
        </w:trPr>
        <w:tc>
          <w:tcPr>
            <w:tcW w:w="427" w:type="pct"/>
            <w:tcBorders>
              <w:tl2br w:val="nil"/>
              <w:tr2bl w:val="nil"/>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833" w:type="pct"/>
            <w:tcBorders>
              <w:tl2br w:val="nil"/>
              <w:tr2bl w:val="nil"/>
            </w:tcBorders>
            <w:shd w:val="clear" w:color="FFFFFF" w:fill="FFFFFF"/>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腰背按摩器</w:t>
            </w:r>
          </w:p>
        </w:tc>
        <w:tc>
          <w:tcPr>
            <w:tcW w:w="2800" w:type="pct"/>
            <w:tcBorders>
              <w:tl2br w:val="nil"/>
              <w:tr2bl w:val="nil"/>
            </w:tcBorders>
            <w:shd w:val="clear" w:color="FFFFFF" w:fill="FFFFFF"/>
            <w:noWrap w:val="0"/>
            <w:vAlign w:val="center"/>
          </w:tcPr>
          <w:p>
            <w:pPr>
              <w:keepNext w:val="0"/>
              <w:keepLines w:val="0"/>
              <w:widowControl/>
              <w:numPr>
                <w:ilvl w:val="0"/>
                <w:numId w:val="1"/>
              </w:numPr>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主立柱为钢、铝、塑木复合结构，截面尺寸不小于120mm×120mm，主承载钢管采用不小于120mm×80mm×3.0mm矩形钢管；</w:t>
            </w:r>
          </w:p>
          <w:p>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highlight w:val="none"/>
                <w:u w:val="none"/>
                <w:lang w:val="en-US" w:eastAsia="zh-CN" w:bidi="ar"/>
              </w:rPr>
              <w:t>2、主要承载横梁采用不小于Ф42mm×3mm钢管；</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3、扶</w:t>
            </w:r>
            <w:r>
              <w:rPr>
                <w:rFonts w:hint="eastAsia" w:ascii="宋体" w:hAnsi="宋体" w:eastAsia="宋体" w:cs="宋体"/>
                <w:i w:val="0"/>
                <w:iCs w:val="0"/>
                <w:color w:val="000000"/>
                <w:kern w:val="0"/>
                <w:sz w:val="24"/>
                <w:szCs w:val="24"/>
                <w:u w:val="none"/>
                <w:lang w:val="en-US" w:eastAsia="zh-CN" w:bidi="ar"/>
              </w:rPr>
              <w:t>手直径不小于16mm且不大于45mm；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4、把手端部直径不小于50mm；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5、立柱采用外扣式封头，可防止雨水流入；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6、轴承</w:t>
            </w:r>
            <w:r>
              <w:rPr>
                <w:rFonts w:hint="eastAsia" w:ascii="宋体" w:hAnsi="宋体" w:eastAsia="宋体" w:cs="宋体"/>
                <w:i w:val="0"/>
                <w:iCs w:val="0"/>
                <w:color w:val="000000"/>
                <w:kern w:val="0"/>
                <w:sz w:val="24"/>
                <w:szCs w:val="24"/>
                <w:highlight w:val="none"/>
                <w:u w:val="none"/>
                <w:lang w:val="en-US" w:eastAsia="zh-CN" w:bidi="ar"/>
              </w:rPr>
              <w:t>部位具有防水结构；</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★7、器材满足以上参数，符合GB19272-2011标准要求，并提供NSCC认证证书。</w:t>
            </w:r>
          </w:p>
        </w:tc>
        <w:tc>
          <w:tcPr>
            <w:tcW w:w="509" w:type="pct"/>
            <w:tcBorders>
              <w:tl2br w:val="nil"/>
              <w:tr2bl w:val="nil"/>
            </w:tcBorders>
            <w:shd w:val="clear" w:color="FFFFFF" w:fill="FFFFFF"/>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28" w:type="pct"/>
            <w:tcBorders>
              <w:tl2br w:val="nil"/>
              <w:tr2bl w:val="nil"/>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5" w:hRule="atLeast"/>
        </w:trPr>
        <w:tc>
          <w:tcPr>
            <w:tcW w:w="427" w:type="pct"/>
            <w:tcBorders>
              <w:tl2br w:val="nil"/>
              <w:tr2bl w:val="nil"/>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833" w:type="pct"/>
            <w:tcBorders>
              <w:tl2br w:val="nil"/>
              <w:tr2bl w:val="nil"/>
            </w:tcBorders>
            <w:shd w:val="clear" w:color="FFFFFF" w:fill="FFFFFF"/>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三位扭腰器</w:t>
            </w:r>
          </w:p>
        </w:tc>
        <w:tc>
          <w:tcPr>
            <w:tcW w:w="2800" w:type="pct"/>
            <w:tcBorders>
              <w:tl2br w:val="nil"/>
              <w:tr2bl w:val="nil"/>
            </w:tcBorders>
            <w:shd w:val="clear" w:color="FFFFFF" w:fill="FFFFFF"/>
            <w:noWrap w:val="0"/>
            <w:vAlign w:val="center"/>
          </w:tcPr>
          <w:p>
            <w:pPr>
              <w:keepNext w:val="0"/>
              <w:keepLines w:val="0"/>
              <w:widowControl/>
              <w:numPr>
                <w:ilvl w:val="0"/>
                <w:numId w:val="2"/>
              </w:numPr>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主立柱为钢、铝、塑木复合结构，截面尺寸不小于130mm×120mm，主承载钢管采用不小于120mm×80mm×3.0mm矩形钢管；</w:t>
            </w:r>
          </w:p>
          <w:p>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2、主要承载横梁采用不小于Ф32mm×2.5mm钢管；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3、扭腰盘采用金属材质，转动部位设置防止超速运转的阻尼装置；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4、器材各支撑人体的表面所有棱边和尖角，其半径不小于3mm；使用者或第三者易接触的零部件的其他所有棱边予以圆滑过渡或加以防护；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5、扶手直径不小于16mm且不大于45mm;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6、活动部件底部距地面间的距离不小于80mm；</w:t>
            </w:r>
            <w:r>
              <w:rPr>
                <w:rFonts w:hint="eastAsia" w:ascii="宋体" w:hAnsi="宋体" w:eastAsia="宋体" w:cs="宋体"/>
                <w:i w:val="0"/>
                <w:iCs w:val="0"/>
                <w:color w:val="000000"/>
                <w:kern w:val="0"/>
                <w:sz w:val="24"/>
                <w:szCs w:val="24"/>
                <w:highlight w:val="yellow"/>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★7、器材满足以上参数，</w:t>
            </w:r>
            <w:r>
              <w:rPr>
                <w:rFonts w:hint="eastAsia" w:ascii="宋体" w:hAnsi="宋体" w:eastAsia="宋体" w:cs="宋体"/>
                <w:i w:val="0"/>
                <w:iCs w:val="0"/>
                <w:color w:val="000000"/>
                <w:kern w:val="0"/>
                <w:sz w:val="24"/>
                <w:szCs w:val="24"/>
                <w:highlight w:val="none"/>
                <w:u w:val="none"/>
                <w:lang w:val="en-US" w:eastAsia="zh-CN" w:bidi="ar"/>
              </w:rPr>
              <w:t>符合GB19272-2011标准要求，并提供NSCC认证证书。</w:t>
            </w:r>
          </w:p>
        </w:tc>
        <w:tc>
          <w:tcPr>
            <w:tcW w:w="509" w:type="pct"/>
            <w:tcBorders>
              <w:tl2br w:val="nil"/>
              <w:tr2bl w:val="nil"/>
            </w:tcBorders>
            <w:shd w:val="clear" w:color="FFFFFF" w:fill="FFFFFF"/>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1</w:t>
            </w:r>
          </w:p>
        </w:tc>
        <w:tc>
          <w:tcPr>
            <w:tcW w:w="428" w:type="pct"/>
            <w:tcBorders>
              <w:tl2br w:val="nil"/>
              <w:tr2bl w:val="nil"/>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0" w:hRule="atLeast"/>
        </w:trPr>
        <w:tc>
          <w:tcPr>
            <w:tcW w:w="427" w:type="pct"/>
            <w:tcBorders>
              <w:tl2br w:val="nil"/>
              <w:tr2bl w:val="nil"/>
            </w:tcBorders>
            <w:shd w:val="clear" w:color="auto" w:fill="auto"/>
            <w:noWrap/>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10</w:t>
            </w:r>
          </w:p>
        </w:tc>
        <w:tc>
          <w:tcPr>
            <w:tcW w:w="833" w:type="pct"/>
            <w:tcBorders>
              <w:tl2br w:val="nil"/>
              <w:tr2bl w:val="nil"/>
            </w:tcBorders>
            <w:shd w:val="clear" w:color="FFFFFF" w:fill="FFFFFF"/>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太极揉推器</w:t>
            </w:r>
          </w:p>
        </w:tc>
        <w:tc>
          <w:tcPr>
            <w:tcW w:w="2800" w:type="pct"/>
            <w:tcBorders>
              <w:tl2br w:val="nil"/>
              <w:tr2bl w:val="nil"/>
            </w:tcBorders>
            <w:shd w:val="clear" w:color="FFFFFF" w:fill="FFFFFF"/>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1、主立柱为钢、铝、塑木复合结构，</w:t>
            </w:r>
            <w:r>
              <w:rPr>
                <w:rFonts w:hint="eastAsia" w:ascii="宋体" w:hAnsi="宋体" w:eastAsia="宋体" w:cs="宋体"/>
                <w:i w:val="0"/>
                <w:iCs w:val="0"/>
                <w:color w:val="000000"/>
                <w:kern w:val="0"/>
                <w:sz w:val="24"/>
                <w:szCs w:val="24"/>
                <w:highlight w:val="none"/>
                <w:u w:val="none"/>
                <w:lang w:val="en-US" w:eastAsia="zh-CN" w:bidi="ar"/>
              </w:rPr>
              <w:t>截面尺寸不小于120mm×120mm，主承载钢管采用不小于120mm×80mm×3.0mm矩形钢管；</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2、主要承载横梁采用不小于Ф48mm×3mm钢管；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3、轴承部位具有防水结构，转轴具有阻尼装置；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4、转轴直径不小于20mm；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★5、器材</w:t>
            </w:r>
            <w:r>
              <w:rPr>
                <w:rFonts w:hint="eastAsia" w:ascii="宋体" w:hAnsi="宋体" w:eastAsia="宋体" w:cs="宋体"/>
                <w:i w:val="0"/>
                <w:iCs w:val="0"/>
                <w:color w:val="000000"/>
                <w:kern w:val="0"/>
                <w:sz w:val="24"/>
                <w:szCs w:val="24"/>
                <w:highlight w:val="none"/>
                <w:u w:val="none"/>
                <w:lang w:val="en-US" w:eastAsia="zh-CN" w:bidi="ar"/>
              </w:rPr>
              <w:t>满足以上参数，符合GB19272-2011标准要求，并提供NSCC认证证书。</w:t>
            </w:r>
          </w:p>
        </w:tc>
        <w:tc>
          <w:tcPr>
            <w:tcW w:w="509" w:type="pct"/>
            <w:tcBorders>
              <w:tl2br w:val="nil"/>
              <w:tr2bl w:val="nil"/>
            </w:tcBorders>
            <w:shd w:val="clear" w:color="FFFFFF" w:fill="FFFFFF"/>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28" w:type="pct"/>
            <w:tcBorders>
              <w:tl2br w:val="nil"/>
              <w:tr2bl w:val="nil"/>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427" w:type="pct"/>
            <w:tcBorders>
              <w:tl2br w:val="nil"/>
              <w:tr2bl w:val="nil"/>
            </w:tcBorders>
            <w:shd w:val="clear" w:color="auto" w:fill="auto"/>
            <w:noWrap/>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11</w:t>
            </w:r>
          </w:p>
        </w:tc>
        <w:tc>
          <w:tcPr>
            <w:tcW w:w="833" w:type="pct"/>
            <w:tcBorders>
              <w:tl2br w:val="nil"/>
              <w:tr2bl w:val="nil"/>
            </w:tcBorders>
            <w:shd w:val="clear" w:color="FFFFFF" w:fill="FFFFFF"/>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双人漫步机</w:t>
            </w:r>
          </w:p>
        </w:tc>
        <w:tc>
          <w:tcPr>
            <w:tcW w:w="2800" w:type="pct"/>
            <w:tcBorders>
              <w:tl2br w:val="nil"/>
              <w:tr2bl w:val="nil"/>
            </w:tcBorders>
            <w:shd w:val="clear" w:color="auto" w:fill="auto"/>
            <w:noWrap w:val="0"/>
            <w:vAlign w:val="center"/>
          </w:tcPr>
          <w:p>
            <w:pPr>
              <w:keepNext w:val="0"/>
              <w:keepLines w:val="0"/>
              <w:widowControl/>
              <w:numPr>
                <w:ilvl w:val="0"/>
                <w:numId w:val="3"/>
              </w:numPr>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主立柱为钢、铝、塑木复合结构，</w:t>
            </w:r>
            <w:r>
              <w:rPr>
                <w:rFonts w:hint="eastAsia" w:ascii="宋体" w:hAnsi="宋体" w:eastAsia="宋体" w:cs="宋体"/>
                <w:i w:val="0"/>
                <w:iCs w:val="0"/>
                <w:color w:val="000000"/>
                <w:kern w:val="0"/>
                <w:sz w:val="24"/>
                <w:szCs w:val="24"/>
                <w:highlight w:val="none"/>
                <w:u w:val="none"/>
                <w:lang w:val="en-US" w:eastAsia="zh-CN" w:bidi="ar"/>
              </w:rPr>
              <w:t>截面尺寸不小于120mm×120mm，主承载钢管采用不小于120mm×80mm×3.0mm矩形钢管；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2、主要承载横梁采用不小于Ф60mm×3mm钢管；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3、摆动部件底面距地面（或底面）高度不小于80mm；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4、踏板采取了防滑措施，摩擦系数不小于0.5；</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5、摆臂与主立柱间距</w:t>
            </w: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65mm；</w:t>
            </w:r>
          </w:p>
          <w:p>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highlight w:val="none"/>
                <w:u w:val="none"/>
                <w:lang w:val="en-US" w:eastAsia="zh-CN" w:bidi="ar"/>
              </w:rPr>
              <w:t>6、摆臂单侧最大摆动幅度不大于65°；</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7、相邻运动的两踏板的间距不小于100mm；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★8、器材满足以上参数，符合GB19272-2011标准要求，并提供NSCC认证证书。</w:t>
            </w:r>
          </w:p>
        </w:tc>
        <w:tc>
          <w:tcPr>
            <w:tcW w:w="509" w:type="pct"/>
            <w:tcBorders>
              <w:tl2br w:val="nil"/>
              <w:tr2bl w:val="nil"/>
            </w:tcBorders>
            <w:shd w:val="clear" w:color="FFFFFF" w:fill="FFFFFF"/>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1</w:t>
            </w:r>
          </w:p>
        </w:tc>
        <w:tc>
          <w:tcPr>
            <w:tcW w:w="428" w:type="pct"/>
            <w:tcBorders>
              <w:tl2br w:val="nil"/>
              <w:tr2bl w:val="nil"/>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40" w:hRule="atLeast"/>
        </w:trPr>
        <w:tc>
          <w:tcPr>
            <w:tcW w:w="427" w:type="pct"/>
            <w:tcBorders>
              <w:tl2br w:val="nil"/>
              <w:tr2bl w:val="nil"/>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33" w:type="pct"/>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举腿收腹训练器</w:t>
            </w:r>
          </w:p>
        </w:tc>
        <w:tc>
          <w:tcPr>
            <w:tcW w:w="2800" w:type="pct"/>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1、主立柱为钢、铝、塑木复合结构，截面尺寸不小于120mm×120mm，主承载钢管采用不小于120mm×80mm×3.0mm矩形钢管；</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2、主承载横梁尺寸不小于50×2.0mm；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3、扶手直径应不小于16mm且不大于45mm；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★4、器材满足以上参数，符合GB19272-2011标准要求，并提供NSCC认证证书。</w:t>
            </w:r>
          </w:p>
        </w:tc>
        <w:tc>
          <w:tcPr>
            <w:tcW w:w="509" w:type="pct"/>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28" w:type="pct"/>
            <w:tcBorders>
              <w:tl2br w:val="nil"/>
              <w:tr2bl w:val="nil"/>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7" w:hRule="atLeast"/>
        </w:trPr>
        <w:tc>
          <w:tcPr>
            <w:tcW w:w="427" w:type="pct"/>
            <w:tcBorders>
              <w:tl2br w:val="nil"/>
              <w:tr2bl w:val="nil"/>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833" w:type="pct"/>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坐姿侧举训练器</w:t>
            </w:r>
          </w:p>
        </w:tc>
        <w:tc>
          <w:tcPr>
            <w:tcW w:w="2800" w:type="pct"/>
            <w:tcBorders>
              <w:tl2br w:val="nil"/>
              <w:tr2bl w:val="nil"/>
            </w:tcBorders>
            <w:noWrap w:val="0"/>
            <w:vAlign w:val="center"/>
          </w:tcPr>
          <w:p>
            <w:pPr>
              <w:keepNext w:val="0"/>
              <w:keepLines w:val="0"/>
              <w:widowControl/>
              <w:numPr>
                <w:ilvl w:val="0"/>
                <w:numId w:val="4"/>
              </w:numPr>
              <w:suppressLineNumbers w:val="0"/>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主立柱为钢、铝、塑木复合结构，</w:t>
            </w:r>
            <w:r>
              <w:rPr>
                <w:rFonts w:hint="eastAsia" w:ascii="宋体" w:hAnsi="宋体" w:eastAsia="宋体" w:cs="宋体"/>
                <w:i w:val="0"/>
                <w:iCs w:val="0"/>
                <w:color w:val="000000"/>
                <w:kern w:val="0"/>
                <w:sz w:val="24"/>
                <w:szCs w:val="24"/>
                <w:highlight w:val="none"/>
                <w:u w:val="none"/>
                <w:lang w:val="en-US" w:eastAsia="zh-CN" w:bidi="ar"/>
              </w:rPr>
              <w:t xml:space="preserve">截面尺寸不小于120mm×120mm，主承载钢管采用不小于120mm×80mm×3.0mm矩形钢管； </w:t>
            </w:r>
            <w:r>
              <w:rPr>
                <w:rFonts w:hint="eastAsia" w:ascii="宋体" w:hAnsi="宋体" w:eastAsia="宋体" w:cs="宋体"/>
                <w:i w:val="0"/>
                <w:iCs w:val="0"/>
                <w:color w:val="000000"/>
                <w:kern w:val="0"/>
                <w:sz w:val="24"/>
                <w:szCs w:val="24"/>
                <w:u w:val="none"/>
                <w:lang w:val="en-US" w:eastAsia="zh-CN" w:bidi="ar"/>
              </w:rPr>
              <w:t xml:space="preserve">                  </w:t>
            </w:r>
          </w:p>
          <w:p>
            <w:pPr>
              <w:keepNext w:val="0"/>
              <w:keepLines w:val="0"/>
              <w:widowControl/>
              <w:numPr>
                <w:ilvl w:val="0"/>
                <w:numId w:val="4"/>
              </w:numPr>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主要承载横梁采用不小于60mm×3mm钢管；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3、座板与靠背板采用塑木板；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4、各支撑人体的表面所有棱边和尖角，其半径不小于3mm，使用者或第三者易接触的零部件的所有棱边予以圆滑过渡或加以防护；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5、扶手管直径不小于16mm且不大于45mm，端部直径不小于50mm；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6、立柱采用外扣式封头；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7、器材满足以上参数，符合GB19272-2011标准要求。</w:t>
            </w:r>
          </w:p>
        </w:tc>
        <w:tc>
          <w:tcPr>
            <w:tcW w:w="509" w:type="pct"/>
            <w:tcBorders>
              <w:tl2br w:val="nil"/>
              <w:tr2bl w:val="nil"/>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28" w:type="pct"/>
            <w:tcBorders>
              <w:tl2br w:val="nil"/>
              <w:tr2bl w:val="nil"/>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27" w:type="pct"/>
            <w:tcBorders>
              <w:tl2br w:val="nil"/>
              <w:tr2bl w:val="nil"/>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833" w:type="pct"/>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智能在线互动健身车</w:t>
            </w:r>
          </w:p>
        </w:tc>
        <w:tc>
          <w:tcPr>
            <w:tcW w:w="2800" w:type="pct"/>
            <w:tcBorders>
              <w:tl2br w:val="nil"/>
              <w:tr2bl w:val="nil"/>
            </w:tcBorders>
            <w:noWrap w:val="0"/>
            <w:vAlign w:val="center"/>
          </w:tcPr>
          <w:p>
            <w:pPr>
              <w:keepNext w:val="0"/>
              <w:keepLines w:val="0"/>
              <w:widowControl/>
              <w:numPr>
                <w:ilvl w:val="0"/>
                <w:numId w:val="5"/>
              </w:numPr>
              <w:suppressLineNumbers w:val="0"/>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产品总体符合GB 19272-2011 标准要求；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2、膜顶主要承载立柱不小于φ114×3mm；器材主要承载立柱管材不小于120mm×50mm×3mm，支撑管管材不小于80mm×40mm×3mm；伞膜结构风荷载、雪荷载符合GB50009-2012的规定；有太阳能照明装置；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3、阻力方式：健身车应为自发电双向磁控阻力；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4、阻力调节档位不小于60级；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5、具有微信扫码识别或者人脸识别功能，自动识别用户后，为已建档用户自动保存运动数据，无需扫码；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6、双屏显示，大屏可显示教练模式、自由模式、现场竞速模式实时状态；健身车仪表LCD显示屏：显示内容包括但不限于：速度、档位、运动时间、里程和能量消耗等，运动结束时需有运动小结报告显示；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7、具有教练训练模式、个人自由训练模式、双人现场竞赛模式、线上竞赛模式，线上竞赛模式不少于三种阻尼档位；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8、使用微信小程序连接手机端平台后，可显示、存储、分析运动数据，使用者可以了解自己运动状态，可通过手机端系统实现一键报修功能，可查看实时排名；</w:t>
            </w:r>
          </w:p>
          <w:p>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9、手机端智慧平台可观看科学健身指导视频，达到科学智慧健身目的；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管理方在电脑端智慧平台，可查看器材使用频率、器材状态、使用者运动时间、次数、消耗卡路里等大数据，可分析不同人群、不同安装区域的使用者、器材大数据，并提供分级管理，不同层级可看不同管理权限内数据</w:t>
            </w:r>
            <w:r>
              <w:rPr>
                <w:rFonts w:hint="eastAsia" w:ascii="宋体" w:hAnsi="宋体" w:eastAsia="宋体" w:cs="宋体"/>
                <w:b/>
                <w:bCs/>
                <w:i w:val="0"/>
                <w:iCs w:val="0"/>
                <w:color w:val="000000"/>
                <w:kern w:val="0"/>
                <w:sz w:val="24"/>
                <w:szCs w:val="24"/>
                <w:u w:val="none"/>
                <w:lang w:val="en-US" w:eastAsia="zh-CN" w:bidi="ar"/>
              </w:rPr>
              <w:t>。</w:t>
            </w:r>
          </w:p>
        </w:tc>
        <w:tc>
          <w:tcPr>
            <w:tcW w:w="509" w:type="pct"/>
            <w:tcBorders>
              <w:tl2br w:val="nil"/>
              <w:tr2bl w:val="nil"/>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28" w:type="pct"/>
            <w:tcBorders>
              <w:tl2br w:val="nil"/>
              <w:tr2bl w:val="nil"/>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27" w:type="pct"/>
            <w:tcBorders>
              <w:tl2br w:val="nil"/>
              <w:tr2bl w:val="nil"/>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833" w:type="pct"/>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少儿智能体智趣味健身车</w:t>
            </w:r>
          </w:p>
        </w:tc>
        <w:tc>
          <w:tcPr>
            <w:tcW w:w="2800" w:type="pct"/>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1、产品总体符合GB 19272-2011 标准要求；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2、主立柱采用不小于120mm×80mm×3mm矩形管；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3、采用太阳能供电，大屏呈现骑行路线直观图；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4、两台适于儿童使用的健身车，阻力采用磁阻结构；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器材可同时供两人使用，LED显示屏，按照PC板图例说明，各自选择运动路线，然后骑行锻炼。骑到途经城市，可听到当地的地理风貌，风土人情，及经济状况等信息，达到体智融合的目的，吸引儿童达到耐力锻炼目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6、使用微信小程序连接手机端平台后，可显示、存储、分析运动数据，使用者可以了解自己运动状态，可通过手机端系统实现一键报修功能，可查看实时排名，操作简单实用；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7、手机端智慧平台可观看科学健身指导视频；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管理方在电脑端智慧平台，可查看器材使用频率、器材状态、使用者运动时间、次数、消耗卡路里等大数据，可分析不同人群、不同安装区域的使用者、器材大数据，并提供分级管理，不同层级可看不同管理权限内数据</w:t>
            </w:r>
            <w:r>
              <w:rPr>
                <w:rFonts w:hint="eastAsia" w:ascii="宋体" w:hAnsi="宋体" w:eastAsia="宋体" w:cs="宋体"/>
                <w:b/>
                <w:bCs/>
                <w:i w:val="0"/>
                <w:iCs w:val="0"/>
                <w:color w:val="000000"/>
                <w:kern w:val="0"/>
                <w:sz w:val="24"/>
                <w:szCs w:val="24"/>
                <w:u w:val="none"/>
                <w:lang w:val="en-US" w:eastAsia="zh-CN" w:bidi="ar"/>
              </w:rPr>
              <w:t>。</w:t>
            </w:r>
          </w:p>
        </w:tc>
        <w:tc>
          <w:tcPr>
            <w:tcW w:w="509" w:type="pct"/>
            <w:tcBorders>
              <w:tl2br w:val="nil"/>
              <w:tr2bl w:val="nil"/>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28" w:type="pct"/>
            <w:tcBorders>
              <w:tl2br w:val="nil"/>
              <w:tr2bl w:val="nil"/>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000" w:type="pct"/>
            <w:gridSpan w:val="5"/>
            <w:tcBorders>
              <w:tl2br w:val="nil"/>
              <w:tr2bl w:val="nil"/>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室内休闲室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8" w:hRule="atLeast"/>
        </w:trPr>
        <w:tc>
          <w:tcPr>
            <w:tcW w:w="427" w:type="pct"/>
            <w:tcBorders>
              <w:tl2br w:val="nil"/>
              <w:tr2bl w:val="nil"/>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833" w:type="pct"/>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运动地胶</w:t>
            </w:r>
          </w:p>
        </w:tc>
        <w:tc>
          <w:tcPr>
            <w:tcW w:w="2800" w:type="pct"/>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1、地胶总厚度：≥5.0mm；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2、冲击吸收:≥25%、拉伸强度：≥7.0MPa、抗滑值：80-110、耐化学性：无溶解、膨胀、波纹、褶皱、裂纹、剥落、起泡；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★3、为保证产品的耐盐腐蚀性（如雨水，汗水等），中性盐雾试验不低于6500h后拉伸强度依据GB/T1040.2-2006标准≥7.0MPa；断裂伸长率≥60%，</w:t>
            </w:r>
            <w:r>
              <w:rPr>
                <w:rFonts w:hint="eastAsia" w:ascii="宋体" w:hAnsi="宋体" w:eastAsia="宋体" w:cs="宋体"/>
                <w:b w:val="0"/>
                <w:bCs w:val="0"/>
                <w:i w:val="0"/>
                <w:iCs w:val="0"/>
                <w:color w:val="000000"/>
                <w:kern w:val="0"/>
                <w:sz w:val="24"/>
                <w:szCs w:val="24"/>
                <w:highlight w:val="none"/>
                <w:u w:val="none"/>
                <w:lang w:val="en-US" w:eastAsia="zh-CN" w:bidi="ar"/>
              </w:rPr>
              <w:t>需提供第三方检验报告；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★5、臭氧老化不低于9000h后邵氏硬度依据GB/T531.1-2008检测标准70-90 Shore A，</w:t>
            </w:r>
            <w:r>
              <w:rPr>
                <w:rFonts w:hint="eastAsia" w:ascii="宋体" w:hAnsi="宋体" w:eastAsia="宋体" w:cs="宋体"/>
                <w:b w:val="0"/>
                <w:bCs w:val="0"/>
                <w:i w:val="0"/>
                <w:iCs w:val="0"/>
                <w:color w:val="000000"/>
                <w:kern w:val="0"/>
                <w:sz w:val="24"/>
                <w:szCs w:val="24"/>
                <w:highlight w:val="none"/>
                <w:u w:val="none"/>
                <w:lang w:val="en-US" w:eastAsia="zh-CN" w:bidi="ar"/>
              </w:rPr>
              <w:t>需提供第三方检验报告；</w:t>
            </w:r>
            <w:r>
              <w:rPr>
                <w:rFonts w:hint="eastAsia" w:ascii="宋体" w:hAnsi="宋体" w:eastAsia="宋体" w:cs="宋体"/>
                <w:i w:val="0"/>
                <w:iCs w:val="0"/>
                <w:color w:val="000000"/>
                <w:kern w:val="0"/>
                <w:sz w:val="24"/>
                <w:szCs w:val="24"/>
                <w:highlight w:val="yellow"/>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★6、自然光暴露不低于30个月后，垂直变形符合GB36246-2018标准0.6-3.0mm，</w:t>
            </w:r>
            <w:r>
              <w:rPr>
                <w:rFonts w:hint="eastAsia" w:ascii="宋体" w:hAnsi="宋体" w:eastAsia="宋体" w:cs="宋体"/>
                <w:b w:val="0"/>
                <w:bCs w:val="0"/>
                <w:i w:val="0"/>
                <w:iCs w:val="0"/>
                <w:color w:val="000000"/>
                <w:kern w:val="0"/>
                <w:sz w:val="24"/>
                <w:szCs w:val="24"/>
                <w:highlight w:val="none"/>
                <w:u w:val="none"/>
                <w:lang w:val="en-US" w:eastAsia="zh-CN" w:bidi="ar"/>
              </w:rPr>
              <w:t>需提供第三方检验报告；</w:t>
            </w:r>
          </w:p>
        </w:tc>
        <w:tc>
          <w:tcPr>
            <w:tcW w:w="509" w:type="pct"/>
            <w:tcBorders>
              <w:tl2br w:val="nil"/>
              <w:tr2bl w:val="nil"/>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428" w:type="pct"/>
            <w:tcBorders>
              <w:tl2br w:val="nil"/>
              <w:tr2bl w:val="nil"/>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27" w:type="pct"/>
            <w:tcBorders>
              <w:tl2br w:val="nil"/>
              <w:tr2bl w:val="nil"/>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833" w:type="pct"/>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室内乒乓球台</w:t>
            </w:r>
          </w:p>
        </w:tc>
        <w:tc>
          <w:tcPr>
            <w:tcW w:w="2800" w:type="pct"/>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yellow"/>
                <w:u w:val="none"/>
                <w:lang w:val="en-US" w:eastAsia="zh-CN" w:bidi="ar"/>
              </w:rPr>
            </w:pPr>
            <w:r>
              <w:rPr>
                <w:rFonts w:hint="eastAsia" w:ascii="宋体" w:hAnsi="宋体" w:eastAsia="宋体" w:cs="宋体"/>
                <w:i w:val="0"/>
                <w:iCs w:val="0"/>
                <w:color w:val="000000"/>
                <w:kern w:val="0"/>
                <w:sz w:val="24"/>
                <w:szCs w:val="24"/>
                <w:u w:val="none"/>
                <w:lang w:val="en-US" w:eastAsia="zh-CN" w:bidi="ar"/>
              </w:rPr>
              <w:t>彩虹乒乓球台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有无脚轮:无脚轮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是否可调高度:可调高度 </w:t>
            </w:r>
          </w:p>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台面颜色:蓝色 </w:t>
            </w:r>
          </w:p>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物理性能:弹性230-260mm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规格尺寸</w:t>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 xml:space="preserve">台长2740mm 弹性均匀度≤5mm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台宽</w:t>
            </w: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 xml:space="preserve">1525mm 球台稳定性≤10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台高</w:t>
            </w:r>
            <w:r>
              <w:rPr>
                <w:rFonts w:hint="eastAsia" w:ascii="宋体" w:hAnsi="宋体" w:eastAsia="宋体" w:cs="宋体"/>
                <w:b/>
                <w:bCs/>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760mm 台面光</w:t>
            </w:r>
            <w:r>
              <w:rPr>
                <w:rFonts w:hint="eastAsia" w:ascii="宋体" w:hAnsi="宋体" w:eastAsia="宋体" w:cs="宋体"/>
                <w:i w:val="0"/>
                <w:iCs w:val="0"/>
                <w:color w:val="000000"/>
                <w:kern w:val="0"/>
                <w:sz w:val="24"/>
                <w:szCs w:val="24"/>
                <w:u w:val="none"/>
                <w:lang w:val="en-US" w:eastAsia="zh-CN" w:bidi="ar"/>
              </w:rPr>
              <w:t xml:space="preserve">泽度≤0.6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平面度:≤3mm                                                       </w:t>
            </w:r>
            <w:r>
              <w:rPr>
                <w:rFonts w:hint="eastAsia" w:ascii="宋体" w:hAnsi="宋体" w:eastAsia="宋体" w:cs="宋体"/>
                <w:i w:val="0"/>
                <w:iCs w:val="0"/>
                <w:color w:val="000000"/>
                <w:kern w:val="0"/>
                <w:sz w:val="24"/>
                <w:szCs w:val="24"/>
                <w:highlight w:val="none"/>
                <w:u w:val="none"/>
                <w:lang w:val="en-US" w:eastAsia="zh-CN" w:bidi="ar"/>
              </w:rPr>
              <w:t>配乒拍*1 三星球*2盒 网架*1套</w:t>
            </w:r>
          </w:p>
        </w:tc>
        <w:tc>
          <w:tcPr>
            <w:tcW w:w="509" w:type="pct"/>
            <w:tcBorders>
              <w:tl2br w:val="nil"/>
              <w:tr2bl w:val="nil"/>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28" w:type="pct"/>
            <w:tcBorders>
              <w:tl2br w:val="nil"/>
              <w:tr2bl w:val="nil"/>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7" w:hRule="atLeast"/>
        </w:trPr>
        <w:tc>
          <w:tcPr>
            <w:tcW w:w="427" w:type="pct"/>
            <w:tcBorders>
              <w:tl2br w:val="nil"/>
              <w:tr2bl w:val="nil"/>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833" w:type="pct"/>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棋牌桌</w:t>
            </w:r>
          </w:p>
        </w:tc>
        <w:tc>
          <w:tcPr>
            <w:tcW w:w="2800" w:type="pct"/>
            <w:tcBorders>
              <w:tl2br w:val="nil"/>
              <w:tr2bl w:val="nil"/>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1、带USB充电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2、产品功率：100w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3、产品油漆：钢琴烤漆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4、麻将牌：密胺树脂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5、电动打骰子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6、4机口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7、七件套组合、餐桌式。</w:t>
            </w:r>
          </w:p>
        </w:tc>
        <w:tc>
          <w:tcPr>
            <w:tcW w:w="509" w:type="pct"/>
            <w:tcBorders>
              <w:tl2br w:val="nil"/>
              <w:tr2bl w:val="nil"/>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28" w:type="pct"/>
            <w:tcBorders>
              <w:tl2br w:val="nil"/>
              <w:tr2bl w:val="nil"/>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bl>
    <w:p>
      <w:pPr>
        <w:pStyle w:val="4"/>
        <w:numPr>
          <w:ilvl w:val="0"/>
          <w:numId w:val="0"/>
        </w:numPr>
        <w:rPr>
          <w:rFonts w:hint="default"/>
          <w:lang w:val="en-US"/>
        </w:r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829251"/>
    <w:multiLevelType w:val="singleLevel"/>
    <w:tmpl w:val="A3829251"/>
    <w:lvl w:ilvl="0" w:tentative="0">
      <w:start w:val="1"/>
      <w:numFmt w:val="decimal"/>
      <w:suff w:val="nothing"/>
      <w:lvlText w:val="%1、"/>
      <w:lvlJc w:val="left"/>
    </w:lvl>
  </w:abstractNum>
  <w:abstractNum w:abstractNumId="1">
    <w:nsid w:val="ABFE5612"/>
    <w:multiLevelType w:val="singleLevel"/>
    <w:tmpl w:val="ABFE5612"/>
    <w:lvl w:ilvl="0" w:tentative="0">
      <w:start w:val="1"/>
      <w:numFmt w:val="decimal"/>
      <w:suff w:val="nothing"/>
      <w:lvlText w:val="%1、"/>
      <w:lvlJc w:val="left"/>
    </w:lvl>
  </w:abstractNum>
  <w:abstractNum w:abstractNumId="2">
    <w:nsid w:val="139A15F3"/>
    <w:multiLevelType w:val="singleLevel"/>
    <w:tmpl w:val="139A15F3"/>
    <w:lvl w:ilvl="0" w:tentative="0">
      <w:start w:val="1"/>
      <w:numFmt w:val="decimal"/>
      <w:suff w:val="nothing"/>
      <w:lvlText w:val="%1、"/>
      <w:lvlJc w:val="left"/>
    </w:lvl>
  </w:abstractNum>
  <w:abstractNum w:abstractNumId="3">
    <w:nsid w:val="372A4FA2"/>
    <w:multiLevelType w:val="singleLevel"/>
    <w:tmpl w:val="372A4FA2"/>
    <w:lvl w:ilvl="0" w:tentative="0">
      <w:start w:val="1"/>
      <w:numFmt w:val="decimal"/>
      <w:suff w:val="nothing"/>
      <w:lvlText w:val="%1、"/>
      <w:lvlJc w:val="left"/>
    </w:lvl>
  </w:abstractNum>
  <w:abstractNum w:abstractNumId="4">
    <w:nsid w:val="626B54B9"/>
    <w:multiLevelType w:val="singleLevel"/>
    <w:tmpl w:val="626B54B9"/>
    <w:lvl w:ilvl="0" w:tentative="0">
      <w:start w:val="1"/>
      <w:numFmt w:val="decimal"/>
      <w:suff w:val="nothing"/>
      <w:lvlText w:val="%1、"/>
      <w:lvlJc w:val="left"/>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MzhjMzA1NWViZWRkYmZhMTA3NTM5M2U0Y2ViYWMifQ=="/>
  </w:docVars>
  <w:rsids>
    <w:rsidRoot w:val="42E7351E"/>
    <w:rsid w:val="42E735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w:basedOn w:val="1"/>
    <w:next w:val="3"/>
    <w:qFormat/>
    <w:uiPriority w:val="0"/>
    <w:pPr>
      <w:ind w:firstLine="480"/>
    </w:pPr>
    <w:rPr>
      <w:rFonts w:ascii="宋体" w:hAnsi="宋体"/>
    </w:rPr>
  </w:style>
  <w:style w:type="paragraph" w:customStyle="1" w:styleId="3">
    <w:name w:val="样式 正文文本缩进 + 首行缩进:  2 字符 行距: 1.5 倍行距"/>
    <w:basedOn w:val="2"/>
    <w:qFormat/>
    <w:uiPriority w:val="0"/>
    <w:pPr>
      <w:spacing w:line="360" w:lineRule="auto"/>
      <w:ind w:firstLine="482" w:firstLineChars="200"/>
    </w:pPr>
    <w:rPr>
      <w:rFonts w:cs="宋体"/>
    </w:rPr>
  </w:style>
  <w:style w:type="paragraph" w:styleId="4">
    <w:name w:val="Body Text First Indent 2"/>
    <w:basedOn w:val="2"/>
    <w:next w:val="1"/>
    <w:unhideWhenUsed/>
    <w:qFormat/>
    <w:uiPriority w:val="99"/>
    <w:pPr>
      <w:ind w:firstLine="420" w:firstLineChars="200"/>
    </w:pPr>
  </w:style>
  <w:style w:type="character" w:customStyle="1" w:styleId="7">
    <w:name w:val="font61"/>
    <w:basedOn w:val="6"/>
    <w:qFormat/>
    <w:uiPriority w:val="0"/>
    <w:rPr>
      <w:rFonts w:ascii="宋体" w:hAnsi="宋体" w:eastAsia="宋体" w:cs="宋体"/>
      <w:color w:val="000000"/>
      <w:sz w:val="24"/>
      <w:szCs w:val="24"/>
      <w:u w:val="none"/>
    </w:rPr>
  </w:style>
  <w:style w:type="paragraph" w:customStyle="1" w:styleId="8">
    <w:name w:val=" Char Char1 Char Char"/>
    <w:basedOn w:val="1"/>
    <w:qFormat/>
    <w:uiPriority w:val="0"/>
    <w:pPr>
      <w:spacing w:line="240" w:lineRule="auto"/>
    </w:pPr>
    <w:rPr>
      <w:rFonts w:ascii="Tahoma" w:hAnsi="Tahoma"/>
      <w:sz w:val="24"/>
      <w:szCs w:val="20"/>
    </w:rPr>
  </w:style>
  <w:style w:type="character" w:customStyle="1" w:styleId="9">
    <w:name w:val="font0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2023-09-28T08:02:00Z</dcterms:created>
  <dc:creator>就是如此</dc:creator>
  <cp:lastModifiedBy>就是如此</cp:lastModifiedBy>
  <dcterms:modified xsi:type="dcterms:W3CDTF">2023-09-28T08:03:14Z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F4429E49F1B346FF9A19457294C4EC72_11</vt:lpwstr>
  </property>
</Properties>
</file>