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第三章 招标项目技术、服务、商务及其他要求</w:t>
      </w:r>
    </w:p>
    <w:p>
      <w:pPr>
        <w:rPr>
          <w:rFonts w:hint="eastAsia"/>
        </w:rPr>
      </w:pPr>
    </w:p>
    <w:p>
      <w:pPr>
        <w:rPr>
          <w:rFonts w:hint="eastAsia"/>
        </w:rPr>
      </w:pPr>
      <w:r>
        <w:rPr>
          <w:rFonts w:hint="eastAsia"/>
        </w:rPr>
        <w:t>3.1采购项目概况</w:t>
      </w:r>
    </w:p>
    <w:p>
      <w:pPr>
        <w:rPr>
          <w:rFonts w:hint="eastAsia"/>
          <w:lang w:val="en-US" w:eastAsia="zh-CN"/>
        </w:rPr>
      </w:pPr>
      <w:r>
        <w:rPr>
          <w:rFonts w:hint="eastAsia"/>
          <w:lang w:eastAsia="zh-CN"/>
        </w:rPr>
        <w:t>净水优化服务采购</w:t>
      </w:r>
      <w:r>
        <w:rPr>
          <w:rFonts w:hint="eastAsia"/>
          <w:lang w:val="en-US" w:eastAsia="zh-CN"/>
        </w:rPr>
        <w:t>项目</w:t>
      </w:r>
    </w:p>
    <w:p>
      <w:pPr>
        <w:rPr>
          <w:rFonts w:hint="eastAsia"/>
        </w:rPr>
      </w:pPr>
      <w:r>
        <w:rPr>
          <w:rFonts w:hint="eastAsia"/>
        </w:rPr>
        <w:t>3.2采购内容</w:t>
      </w:r>
    </w:p>
    <w:p>
      <w:pPr>
        <w:rPr>
          <w:rFonts w:hint="eastAsia"/>
        </w:rPr>
      </w:pPr>
      <w:r>
        <w:rPr>
          <w:rFonts w:hint="eastAsia"/>
        </w:rPr>
        <w:t>采购包1：</w:t>
      </w:r>
    </w:p>
    <w:p>
      <w:pPr>
        <w:rPr>
          <w:rFonts w:hint="eastAsia"/>
        </w:rPr>
      </w:pPr>
      <w:r>
        <w:rPr>
          <w:rFonts w:hint="eastAsia"/>
        </w:rPr>
        <w:t>采购包预算金额（元）: 8</w:t>
      </w:r>
      <w:r>
        <w:rPr>
          <w:rFonts w:hint="eastAsia"/>
          <w:lang w:val="en-US" w:eastAsia="zh-CN"/>
        </w:rPr>
        <w:t>5</w:t>
      </w:r>
      <w:r>
        <w:rPr>
          <w:rFonts w:hint="eastAsia"/>
        </w:rPr>
        <w:t>0,000.00</w:t>
      </w:r>
    </w:p>
    <w:p>
      <w:pPr>
        <w:rPr>
          <w:rFonts w:hint="eastAsia"/>
        </w:rPr>
      </w:pPr>
      <w:r>
        <w:rPr>
          <w:rFonts w:hint="eastAsia"/>
        </w:rPr>
        <w:t>采购包最高限价（元）: 8</w:t>
      </w:r>
      <w:r>
        <w:rPr>
          <w:rFonts w:hint="eastAsia"/>
          <w:lang w:val="en-US" w:eastAsia="zh-CN"/>
        </w:rPr>
        <w:t>5</w:t>
      </w:r>
      <w:r>
        <w:rPr>
          <w:rFonts w:hint="eastAsia"/>
        </w:rPr>
        <w:t>0,000.00</w:t>
      </w:r>
    </w:p>
    <w:p>
      <w:pPr>
        <w:rPr>
          <w:rFonts w:hint="eastAsia"/>
        </w:rPr>
      </w:pPr>
      <w:r>
        <w:rPr>
          <w:rFonts w:hint="eastAsia"/>
        </w:rPr>
        <w:t>供应商报价不允许超过标的金额</w:t>
      </w:r>
    </w:p>
    <w:p>
      <w:pPr>
        <w:rPr>
          <w:rFonts w:hint="eastAsia"/>
        </w:rPr>
      </w:pPr>
      <w:r>
        <w:rPr>
          <w:rFonts w:hint="eastAsia"/>
        </w:rPr>
        <w:t>（招单价的）供应商报价不允许超过标的单价</w:t>
      </w:r>
    </w:p>
    <w:tbl>
      <w:tblPr>
        <w:tblStyle w:val="15"/>
        <w:tblW w:w="99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9"/>
        <w:gridCol w:w="1482"/>
        <w:gridCol w:w="561"/>
        <w:gridCol w:w="1472"/>
        <w:gridCol w:w="686"/>
        <w:gridCol w:w="1068"/>
        <w:gridCol w:w="793"/>
        <w:gridCol w:w="1020"/>
        <w:gridCol w:w="1020"/>
        <w:gridCol w:w="12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0" w:hRule="atLeast"/>
          <w:jc w:val="center"/>
        </w:trPr>
        <w:tc>
          <w:tcPr>
            <w:tcW w:w="609" w:type="dxa"/>
            <w:vAlign w:val="center"/>
          </w:tcPr>
          <w:p>
            <w:pPr>
              <w:rPr>
                <w:rFonts w:hint="eastAsia"/>
              </w:rPr>
            </w:pPr>
            <w:r>
              <w:rPr>
                <w:rFonts w:hint="eastAsia"/>
              </w:rPr>
              <w:t>序号</w:t>
            </w:r>
          </w:p>
        </w:tc>
        <w:tc>
          <w:tcPr>
            <w:tcW w:w="1482" w:type="dxa"/>
            <w:vAlign w:val="center"/>
          </w:tcPr>
          <w:p>
            <w:pPr>
              <w:rPr>
                <w:rFonts w:hint="eastAsia"/>
              </w:rPr>
            </w:pPr>
            <w:r>
              <w:rPr>
                <w:rFonts w:hint="eastAsia"/>
              </w:rPr>
              <w:t>标的名称</w:t>
            </w:r>
          </w:p>
        </w:tc>
        <w:tc>
          <w:tcPr>
            <w:tcW w:w="561" w:type="dxa"/>
            <w:textDirection w:val="tbRlV"/>
            <w:vAlign w:val="center"/>
          </w:tcPr>
          <w:p>
            <w:pPr>
              <w:rPr>
                <w:rFonts w:hint="eastAsia"/>
              </w:rPr>
            </w:pPr>
            <w:r>
              <w:rPr>
                <w:rFonts w:hint="eastAsia"/>
              </w:rPr>
              <w:t>数  量</w:t>
            </w:r>
          </w:p>
        </w:tc>
        <w:tc>
          <w:tcPr>
            <w:tcW w:w="1472" w:type="dxa"/>
            <w:vAlign w:val="center"/>
          </w:tcPr>
          <w:p>
            <w:pPr>
              <w:rPr>
                <w:rFonts w:hint="eastAsia"/>
              </w:rPr>
            </w:pPr>
            <w:r>
              <w:rPr>
                <w:rFonts w:hint="eastAsia"/>
              </w:rPr>
              <w:t>标的金额</w:t>
            </w:r>
          </w:p>
          <w:p>
            <w:pPr>
              <w:rPr>
                <w:rFonts w:hint="eastAsia"/>
              </w:rPr>
            </w:pPr>
            <w:r>
              <w:rPr>
                <w:rFonts w:hint="eastAsia"/>
              </w:rPr>
              <w:t>（元)</w:t>
            </w:r>
          </w:p>
        </w:tc>
        <w:tc>
          <w:tcPr>
            <w:tcW w:w="686" w:type="dxa"/>
            <w:vAlign w:val="center"/>
          </w:tcPr>
          <w:p>
            <w:pPr>
              <w:rPr>
                <w:rFonts w:hint="eastAsia"/>
                <w:lang w:val="en-US" w:eastAsia="zh-CN"/>
              </w:rPr>
            </w:pPr>
            <w:r>
              <w:rPr>
                <w:rFonts w:hint="eastAsia"/>
                <w:lang w:val="en-US" w:eastAsia="zh-CN"/>
              </w:rPr>
              <w:t>单位</w:t>
            </w:r>
          </w:p>
        </w:tc>
        <w:tc>
          <w:tcPr>
            <w:tcW w:w="1068" w:type="dxa"/>
            <w:vAlign w:val="center"/>
          </w:tcPr>
          <w:p>
            <w:pPr>
              <w:rPr>
                <w:rFonts w:hint="eastAsia"/>
              </w:rPr>
            </w:pPr>
            <w:r>
              <w:rPr>
                <w:rFonts w:hint="eastAsia"/>
              </w:rPr>
              <w:t>所属行业</w:t>
            </w:r>
          </w:p>
        </w:tc>
        <w:tc>
          <w:tcPr>
            <w:tcW w:w="793" w:type="dxa"/>
            <w:vAlign w:val="center"/>
          </w:tcPr>
          <w:p>
            <w:pPr>
              <w:rPr>
                <w:rFonts w:hint="eastAsia"/>
              </w:rPr>
            </w:pPr>
            <w:r>
              <w:rPr>
                <w:rFonts w:hint="eastAsia"/>
              </w:rPr>
              <w:t>是否核</w:t>
            </w:r>
          </w:p>
          <w:p>
            <w:pPr>
              <w:rPr>
                <w:rFonts w:hint="eastAsia"/>
              </w:rPr>
            </w:pPr>
            <w:r>
              <w:rPr>
                <w:rFonts w:hint="eastAsia"/>
              </w:rPr>
              <w:t>心产品</w:t>
            </w:r>
          </w:p>
        </w:tc>
        <w:tc>
          <w:tcPr>
            <w:tcW w:w="1020" w:type="dxa"/>
            <w:vAlign w:val="center"/>
          </w:tcPr>
          <w:p>
            <w:pPr>
              <w:rPr>
                <w:rFonts w:hint="eastAsia"/>
              </w:rPr>
            </w:pPr>
            <w:r>
              <w:rPr>
                <w:rFonts w:hint="eastAsia"/>
              </w:rPr>
              <w:t>是否允许进口产品</w:t>
            </w:r>
          </w:p>
        </w:tc>
        <w:tc>
          <w:tcPr>
            <w:tcW w:w="1020" w:type="dxa"/>
            <w:vAlign w:val="center"/>
          </w:tcPr>
          <w:p>
            <w:pPr>
              <w:rPr>
                <w:rFonts w:hint="eastAsia"/>
              </w:rPr>
            </w:pPr>
            <w:r>
              <w:rPr>
                <w:rFonts w:hint="eastAsia"/>
              </w:rPr>
              <w:t>是否属于节能产品</w:t>
            </w:r>
          </w:p>
        </w:tc>
        <w:tc>
          <w:tcPr>
            <w:tcW w:w="1265" w:type="dxa"/>
            <w:vAlign w:val="center"/>
          </w:tcPr>
          <w:p>
            <w:pPr>
              <w:rPr>
                <w:rFonts w:hint="eastAsia"/>
              </w:rPr>
            </w:pPr>
            <w:r>
              <w:rPr>
                <w:rFonts w:hint="eastAsia"/>
              </w:rPr>
              <w:t>是否属于环境标志产品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9" w:hRule="atLeast"/>
          <w:jc w:val="center"/>
        </w:trPr>
        <w:tc>
          <w:tcPr>
            <w:tcW w:w="609" w:type="dxa"/>
            <w:vAlign w:val="center"/>
          </w:tcPr>
          <w:p>
            <w:pPr>
              <w:rPr>
                <w:rFonts w:hint="eastAsia"/>
              </w:rPr>
            </w:pPr>
          </w:p>
          <w:p>
            <w:pPr>
              <w:rPr>
                <w:rFonts w:hint="eastAsia"/>
              </w:rPr>
            </w:pPr>
            <w:r>
              <w:rPr>
                <w:rFonts w:hint="eastAsia"/>
              </w:rPr>
              <w:t>1</w:t>
            </w:r>
          </w:p>
        </w:tc>
        <w:tc>
          <w:tcPr>
            <w:tcW w:w="1482" w:type="dxa"/>
            <w:vAlign w:val="center"/>
          </w:tcPr>
          <w:p>
            <w:pPr>
              <w:rPr>
                <w:rFonts w:hint="eastAsia"/>
                <w:lang w:val="en-US" w:eastAsia="zh-CN"/>
              </w:rPr>
            </w:pPr>
            <w:r>
              <w:rPr>
                <w:rFonts w:hint="eastAsia"/>
                <w:lang w:eastAsia="zh-CN"/>
              </w:rPr>
              <w:t>净水优化服务采购</w:t>
            </w:r>
            <w:r>
              <w:rPr>
                <w:rFonts w:hint="eastAsia"/>
                <w:lang w:val="en-US" w:eastAsia="zh-CN"/>
              </w:rPr>
              <w:t>项目</w:t>
            </w:r>
          </w:p>
        </w:tc>
        <w:tc>
          <w:tcPr>
            <w:tcW w:w="561" w:type="dxa"/>
            <w:vAlign w:val="center"/>
          </w:tcPr>
          <w:p>
            <w:pPr>
              <w:rPr>
                <w:rFonts w:hint="eastAsia"/>
              </w:rPr>
            </w:pPr>
            <w:r>
              <w:rPr>
                <w:rFonts w:hint="eastAsia"/>
              </w:rPr>
              <w:t>1</w:t>
            </w:r>
          </w:p>
        </w:tc>
        <w:tc>
          <w:tcPr>
            <w:tcW w:w="1472" w:type="dxa"/>
            <w:vAlign w:val="center"/>
          </w:tcPr>
          <w:p>
            <w:pPr>
              <w:rPr>
                <w:rFonts w:hint="eastAsia"/>
              </w:rPr>
            </w:pPr>
            <w:r>
              <w:rPr>
                <w:rFonts w:hint="eastAsia"/>
              </w:rPr>
              <w:t>8</w:t>
            </w:r>
            <w:r>
              <w:rPr>
                <w:rFonts w:hint="eastAsia"/>
                <w:lang w:val="en-US" w:eastAsia="zh-CN"/>
              </w:rPr>
              <w:t>5</w:t>
            </w:r>
            <w:r>
              <w:rPr>
                <w:rFonts w:hint="eastAsia"/>
              </w:rPr>
              <w:t>0,000.00</w:t>
            </w:r>
          </w:p>
        </w:tc>
        <w:tc>
          <w:tcPr>
            <w:tcW w:w="686" w:type="dxa"/>
            <w:vAlign w:val="center"/>
          </w:tcPr>
          <w:p>
            <w:pPr>
              <w:rPr>
                <w:rFonts w:hint="eastAsia"/>
                <w:lang w:eastAsia="zh-CN"/>
              </w:rPr>
            </w:pPr>
            <w:r>
              <w:rPr>
                <w:rFonts w:hint="eastAsia"/>
                <w:lang w:val="en-US" w:eastAsia="zh-CN"/>
              </w:rPr>
              <w:t>个</w:t>
            </w:r>
          </w:p>
        </w:tc>
        <w:tc>
          <w:tcPr>
            <w:tcW w:w="1068" w:type="dxa"/>
            <w:vAlign w:val="center"/>
          </w:tcPr>
          <w:p>
            <w:pPr>
              <w:rPr>
                <w:rFonts w:hint="eastAsia"/>
                <w:lang w:val="en-US" w:eastAsia="zh-CN"/>
              </w:rPr>
            </w:pPr>
            <w:r>
              <w:rPr>
                <w:rFonts w:hint="eastAsia"/>
                <w:lang w:val="en-US" w:eastAsia="zh-CN"/>
              </w:rPr>
              <w:t>其他未列明行业</w:t>
            </w:r>
          </w:p>
        </w:tc>
        <w:tc>
          <w:tcPr>
            <w:tcW w:w="793" w:type="dxa"/>
            <w:vAlign w:val="center"/>
          </w:tcPr>
          <w:p>
            <w:pPr>
              <w:rPr>
                <w:rFonts w:hint="eastAsia"/>
              </w:rPr>
            </w:pPr>
            <w:r>
              <w:rPr>
                <w:rFonts w:hint="eastAsia"/>
              </w:rPr>
              <w:t>否</w:t>
            </w:r>
          </w:p>
        </w:tc>
        <w:tc>
          <w:tcPr>
            <w:tcW w:w="1020" w:type="dxa"/>
            <w:vAlign w:val="center"/>
          </w:tcPr>
          <w:p>
            <w:pPr>
              <w:rPr>
                <w:rFonts w:hint="eastAsia"/>
              </w:rPr>
            </w:pPr>
            <w:r>
              <w:rPr>
                <w:rFonts w:hint="eastAsia"/>
              </w:rPr>
              <w:t>否</w:t>
            </w:r>
          </w:p>
        </w:tc>
        <w:tc>
          <w:tcPr>
            <w:tcW w:w="1020" w:type="dxa"/>
            <w:vAlign w:val="center"/>
          </w:tcPr>
          <w:p>
            <w:pPr>
              <w:rPr>
                <w:rFonts w:hint="eastAsia"/>
              </w:rPr>
            </w:pPr>
            <w:r>
              <w:rPr>
                <w:rFonts w:hint="eastAsia"/>
              </w:rPr>
              <w:t>否</w:t>
            </w:r>
          </w:p>
        </w:tc>
        <w:tc>
          <w:tcPr>
            <w:tcW w:w="1265" w:type="dxa"/>
            <w:vAlign w:val="center"/>
          </w:tcPr>
          <w:p>
            <w:pPr>
              <w:rPr>
                <w:rFonts w:hint="eastAsia"/>
              </w:rPr>
            </w:pPr>
            <w:r>
              <w:rPr>
                <w:rFonts w:hint="eastAsia"/>
              </w:rPr>
              <w:t>否</w:t>
            </w:r>
          </w:p>
        </w:tc>
      </w:tr>
    </w:tbl>
    <w:p>
      <w:pPr>
        <w:rPr>
          <w:rFonts w:hint="eastAsia"/>
        </w:rPr>
      </w:pPr>
      <w:r>
        <w:rPr>
          <w:rFonts w:hint="eastAsia"/>
        </w:rPr>
        <w:t>3 .3技术要求</w:t>
      </w:r>
    </w:p>
    <w:p>
      <w:pPr>
        <w:rPr>
          <w:rFonts w:hint="eastAsia"/>
        </w:rPr>
      </w:pPr>
      <w:r>
        <w:rPr>
          <w:rFonts w:hint="eastAsia"/>
        </w:rPr>
        <w:t>采购包1：</w:t>
      </w:r>
    </w:p>
    <w:p>
      <w:pPr>
        <w:rPr>
          <w:rFonts w:hint="eastAsia"/>
        </w:rPr>
      </w:pPr>
      <w:r>
        <w:rPr>
          <w:rFonts w:hint="eastAsia"/>
        </w:rPr>
        <w:t>供应商报价不允许超过标的金额</w:t>
      </w:r>
    </w:p>
    <w:p>
      <w:pPr>
        <w:rPr>
          <w:rFonts w:hint="eastAsia"/>
        </w:rPr>
      </w:pPr>
      <w:r>
        <w:rPr>
          <w:rFonts w:hint="eastAsia"/>
        </w:rPr>
        <w:t>（招单价的）供应商报价不允许超过标的单价</w:t>
      </w:r>
    </w:p>
    <w:p>
      <w:pPr>
        <w:rPr>
          <w:rFonts w:hint="eastAsia"/>
          <w:lang w:eastAsia="zh-CN"/>
        </w:rPr>
      </w:pPr>
      <w:r>
        <w:rPr>
          <w:rFonts w:hint="eastAsia"/>
        </w:rPr>
        <w:t>标的名称：</w:t>
      </w:r>
      <w:r>
        <w:rPr>
          <w:rFonts w:hint="eastAsia"/>
          <w:lang w:eastAsia="zh-CN"/>
        </w:rPr>
        <w:t>净水优化服务采购</w:t>
      </w:r>
    </w:p>
    <w:p>
      <w:pPr>
        <w:rPr>
          <w:rFonts w:hint="eastAsia"/>
          <w:lang w:eastAsia="zh-CN"/>
        </w:rPr>
      </w:pPr>
      <w:r>
        <w:rPr>
          <w:rFonts w:hint="eastAsia"/>
          <w:lang w:eastAsia="zh-CN"/>
        </w:rPr>
        <w:t>1、</w:t>
      </w:r>
      <w:r>
        <w:rPr>
          <w:rFonts w:hint="eastAsia"/>
          <w:lang w:val="en-US" w:eastAsia="zh-CN"/>
        </w:rPr>
        <w:t>净水优化</w:t>
      </w:r>
      <w:r>
        <w:rPr>
          <w:rFonts w:hint="eastAsia"/>
          <w:lang w:eastAsia="zh-CN"/>
        </w:rPr>
        <w:t>服务清单</w:t>
      </w:r>
    </w:p>
    <w:tbl>
      <w:tblPr>
        <w:tblStyle w:val="11"/>
        <w:tblW w:w="8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1745"/>
        <w:gridCol w:w="1422"/>
        <w:gridCol w:w="3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666" w:type="dxa"/>
            <w:vAlign w:val="center"/>
          </w:tcPr>
          <w:p>
            <w:pPr>
              <w:rPr>
                <w:rFonts w:hint="eastAsia"/>
                <w:lang w:val="en-US" w:eastAsia="zh-CN"/>
              </w:rPr>
            </w:pPr>
            <w:r>
              <w:rPr>
                <w:rFonts w:hint="eastAsia"/>
                <w:lang w:val="en-US" w:eastAsia="zh-CN"/>
              </w:rPr>
              <w:t>取水网点位置</w:t>
            </w:r>
          </w:p>
        </w:tc>
        <w:tc>
          <w:tcPr>
            <w:tcW w:w="1745" w:type="dxa"/>
            <w:vAlign w:val="center"/>
          </w:tcPr>
          <w:p>
            <w:pPr>
              <w:rPr>
                <w:rFonts w:hint="eastAsia"/>
                <w:lang w:val="en-US" w:eastAsia="zh-CN"/>
              </w:rPr>
            </w:pPr>
            <w:r>
              <w:rPr>
                <w:rFonts w:hint="eastAsia"/>
                <w:lang w:val="en-US" w:eastAsia="zh-CN"/>
              </w:rPr>
              <w:t>取水网点数量</w:t>
            </w:r>
          </w:p>
        </w:tc>
        <w:tc>
          <w:tcPr>
            <w:tcW w:w="1422" w:type="dxa"/>
            <w:vAlign w:val="center"/>
          </w:tcPr>
          <w:p>
            <w:pPr>
              <w:rPr>
                <w:rFonts w:hint="eastAsia"/>
                <w:lang w:val="en-US" w:eastAsia="zh-CN"/>
              </w:rPr>
            </w:pPr>
            <w:r>
              <w:rPr>
                <w:rFonts w:hint="eastAsia"/>
                <w:lang w:val="en-US" w:eastAsia="zh-CN"/>
              </w:rPr>
              <w:t>单位</w:t>
            </w:r>
          </w:p>
          <w:p>
            <w:pPr>
              <w:rPr>
                <w:rFonts w:hint="eastAsia"/>
                <w:lang w:val="en-US" w:eastAsia="zh-CN"/>
              </w:rPr>
            </w:pPr>
            <w:r>
              <w:rPr>
                <w:rFonts w:hint="eastAsia"/>
                <w:lang w:val="en-US" w:eastAsia="zh-CN"/>
              </w:rPr>
              <w:t>（个）</w:t>
            </w:r>
          </w:p>
        </w:tc>
        <w:tc>
          <w:tcPr>
            <w:tcW w:w="3787" w:type="dxa"/>
            <w:vAlign w:val="center"/>
          </w:tcPr>
          <w:p>
            <w:pPr>
              <w:rPr>
                <w:rFonts w:hint="eastAsia"/>
                <w:lang w:val="en-US" w:eastAsia="zh-CN"/>
              </w:rPr>
            </w:pPr>
            <w:r>
              <w:rPr>
                <w:rFonts w:hint="eastAsia"/>
                <w:lang w:val="en-US" w:eastAsia="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1666" w:type="dxa"/>
            <w:vAlign w:val="center"/>
          </w:tcPr>
          <w:p>
            <w:pPr>
              <w:rPr>
                <w:rFonts w:hint="eastAsia"/>
                <w:lang w:val="en-US" w:eastAsia="zh-CN"/>
              </w:rPr>
            </w:pPr>
            <w:r>
              <w:rPr>
                <w:rFonts w:hint="eastAsia"/>
                <w:lang w:val="en-US" w:eastAsia="zh-CN"/>
              </w:rPr>
              <w:t>西安市高新区</w:t>
            </w:r>
          </w:p>
        </w:tc>
        <w:tc>
          <w:tcPr>
            <w:tcW w:w="1745" w:type="dxa"/>
            <w:vAlign w:val="center"/>
          </w:tcPr>
          <w:p>
            <w:pPr>
              <w:rPr>
                <w:rFonts w:hint="eastAsia"/>
                <w:lang w:val="en-US" w:eastAsia="zh-CN"/>
              </w:rPr>
            </w:pPr>
            <w:r>
              <w:rPr>
                <w:rFonts w:hint="eastAsia"/>
                <w:lang w:val="en-US" w:eastAsia="zh-CN"/>
              </w:rPr>
              <w:t>284</w:t>
            </w:r>
          </w:p>
        </w:tc>
        <w:tc>
          <w:tcPr>
            <w:tcW w:w="1422" w:type="dxa"/>
            <w:vAlign w:val="center"/>
          </w:tcPr>
          <w:p>
            <w:pPr>
              <w:rPr>
                <w:rFonts w:hint="eastAsia"/>
                <w:lang w:val="en-US" w:eastAsia="zh-CN"/>
              </w:rPr>
            </w:pPr>
            <w:r>
              <w:rPr>
                <w:rFonts w:hint="eastAsia"/>
                <w:lang w:val="en-US" w:eastAsia="zh-CN"/>
              </w:rPr>
              <w:t>个</w:t>
            </w:r>
          </w:p>
        </w:tc>
        <w:tc>
          <w:tcPr>
            <w:tcW w:w="3787" w:type="dxa"/>
            <w:vAlign w:val="center"/>
          </w:tcPr>
          <w:p>
            <w:pPr>
              <w:rPr>
                <w:rFonts w:hint="eastAsia"/>
                <w:lang w:val="en-US" w:eastAsia="zh-CN"/>
              </w:rPr>
            </w:pPr>
            <w:r>
              <w:rPr>
                <w:rFonts w:hint="eastAsia"/>
                <w:lang w:val="en-US" w:eastAsia="zh-CN"/>
              </w:rPr>
              <w:t>包含直饮机设备提供及日常维护维保、维修、所需零配件、滤芯耗材及人工费用</w:t>
            </w:r>
          </w:p>
        </w:tc>
      </w:tr>
    </w:tbl>
    <w:p>
      <w:pPr>
        <w:rPr>
          <w:rFonts w:hint="eastAsia"/>
          <w:lang w:eastAsia="zh-CN"/>
        </w:rPr>
      </w:pPr>
      <w:bookmarkStart w:id="0" w:name="_Toc118969742"/>
      <w:r>
        <w:rPr>
          <w:rFonts w:hint="eastAsia"/>
          <w:lang w:val="en-US" w:eastAsia="zh-CN"/>
        </w:rPr>
        <w:t>2</w:t>
      </w:r>
      <w:r>
        <w:rPr>
          <w:rFonts w:hint="eastAsia"/>
          <w:lang w:eastAsia="zh-CN"/>
        </w:rPr>
        <w:t>、</w:t>
      </w:r>
      <w:r>
        <w:rPr>
          <w:rFonts w:hint="eastAsia"/>
          <w:lang w:val="en-US" w:eastAsia="zh-CN"/>
        </w:rPr>
        <w:t>净水优化</w:t>
      </w:r>
      <w:r>
        <w:rPr>
          <w:rFonts w:hint="eastAsia"/>
          <w:lang w:eastAsia="zh-CN"/>
        </w:rPr>
        <w:t>服务要求</w:t>
      </w:r>
      <w:bookmarkEnd w:id="0"/>
    </w:p>
    <w:tbl>
      <w:tblPr>
        <w:tblStyle w:val="10"/>
        <w:tblpPr w:leftFromText="180" w:rightFromText="180" w:vertAnchor="text" w:horzAnchor="page" w:tblpX="1436" w:tblpY="312"/>
        <w:tblOverlap w:val="never"/>
        <w:tblW w:w="95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6275"/>
        <w:gridCol w:w="2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217" w:type="dxa"/>
          </w:tcPr>
          <w:p>
            <w:pPr>
              <w:rPr>
                <w:rFonts w:hint="eastAsia"/>
                <w:lang w:val="en-US" w:eastAsia="zh-CN"/>
              </w:rPr>
            </w:pPr>
            <w:r>
              <w:rPr>
                <w:rFonts w:hint="eastAsia"/>
                <w:lang w:val="en-US" w:eastAsia="zh-CN"/>
              </w:rPr>
              <w:t>产品名称</w:t>
            </w:r>
          </w:p>
        </w:tc>
        <w:tc>
          <w:tcPr>
            <w:tcW w:w="6275" w:type="dxa"/>
          </w:tcPr>
          <w:p>
            <w:pPr>
              <w:rPr>
                <w:rFonts w:hint="eastAsia"/>
                <w:lang w:val="en-US" w:eastAsia="zh-CN"/>
              </w:rPr>
            </w:pPr>
            <w:r>
              <w:rPr>
                <w:rFonts w:hint="eastAsia"/>
                <w:lang w:val="en-US" w:eastAsia="zh-CN"/>
              </w:rPr>
              <w:t>净水优化服务要求</w:t>
            </w:r>
          </w:p>
        </w:tc>
        <w:tc>
          <w:tcPr>
            <w:tcW w:w="2061" w:type="dxa"/>
          </w:tcPr>
          <w:p>
            <w:pPr>
              <w:rPr>
                <w:rFonts w:hint="eastAsia"/>
                <w:lang w:eastAsia="zh-CN"/>
              </w:rPr>
            </w:pPr>
            <w:r>
              <w:rPr>
                <w:rFonts w:hint="eastAsia"/>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17" w:type="dxa"/>
            <w:vAlign w:val="center"/>
          </w:tcPr>
          <w:p>
            <w:pPr>
              <w:rPr>
                <w:rFonts w:hint="eastAsia"/>
                <w:lang w:val="en-US" w:eastAsia="zh-CN"/>
              </w:rPr>
            </w:pPr>
            <w:r>
              <w:rPr>
                <w:rFonts w:hint="eastAsia"/>
                <w:lang w:val="en-US" w:eastAsia="zh-CN"/>
              </w:rPr>
              <w:t>直饮机</w:t>
            </w:r>
          </w:p>
        </w:tc>
        <w:tc>
          <w:tcPr>
            <w:tcW w:w="6275" w:type="dxa"/>
          </w:tcPr>
          <w:p>
            <w:pPr>
              <w:rPr>
                <w:rFonts w:hint="eastAsia"/>
                <w:lang w:val="en-US" w:eastAsia="zh-CN"/>
              </w:rPr>
            </w:pPr>
            <w:r>
              <w:rPr>
                <w:rFonts w:hint="eastAsia"/>
                <w:lang w:val="en-US" w:eastAsia="zh-CN"/>
              </w:rPr>
              <w:t>（1）供应商提供直饮机设备，出水水质符合国家标准；</w:t>
            </w:r>
          </w:p>
          <w:p>
            <w:pPr>
              <w:rPr>
                <w:rFonts w:hint="eastAsia"/>
                <w:lang w:val="en-US" w:eastAsia="zh-CN"/>
              </w:rPr>
            </w:pPr>
            <w:r>
              <w:rPr>
                <w:rFonts w:hint="eastAsia"/>
                <w:lang w:val="en-US" w:eastAsia="zh-CN"/>
              </w:rPr>
              <w:t>（2）满足日常供应热水、常温水且热水温度≥90℃；</w:t>
            </w:r>
          </w:p>
          <w:p>
            <w:pPr>
              <w:rPr>
                <w:rFonts w:hint="eastAsia"/>
                <w:lang w:val="en-US" w:eastAsia="zh-CN"/>
              </w:rPr>
            </w:pPr>
            <w:r>
              <w:rPr>
                <w:rFonts w:hint="eastAsia"/>
                <w:lang w:val="en-US" w:eastAsia="zh-CN"/>
              </w:rPr>
              <w:t>（3）直饮机制水量≥10L/H；</w:t>
            </w:r>
          </w:p>
          <w:p>
            <w:pPr>
              <w:rPr>
                <w:rFonts w:hint="eastAsia"/>
                <w:lang w:val="en-US" w:eastAsia="zh-CN"/>
              </w:rPr>
            </w:pPr>
            <w:r>
              <w:rPr>
                <w:rFonts w:hint="eastAsia"/>
                <w:lang w:val="en-US" w:eastAsia="zh-CN"/>
              </w:rPr>
              <w:t>（4）供水时间365天*24小时；</w:t>
            </w:r>
          </w:p>
          <w:p>
            <w:pPr>
              <w:rPr>
                <w:rFonts w:hint="eastAsia"/>
                <w:lang w:val="en-US" w:eastAsia="zh-CN"/>
              </w:rPr>
            </w:pPr>
            <w:r>
              <w:rPr>
                <w:rFonts w:hint="eastAsia"/>
                <w:lang w:val="en-US" w:eastAsia="zh-CN"/>
              </w:rPr>
              <w:t>（5）制定规范使用标准提示服务：制定完整的使用提示标识、标牌；确保正确、正常、安全使用，防止使用不当造成安全隐患；</w:t>
            </w:r>
          </w:p>
          <w:p>
            <w:pPr>
              <w:rPr>
                <w:rFonts w:hint="eastAsia"/>
                <w:lang w:val="en-US" w:eastAsia="zh-CN"/>
              </w:rPr>
            </w:pPr>
            <w:r>
              <w:rPr>
                <w:rFonts w:hint="eastAsia"/>
                <w:lang w:val="en-US" w:eastAsia="zh-CN"/>
              </w:rPr>
              <w:t>（6）制定完善的维保服务方案并以表格的形式列出具体的执行表格（例行维护时间、更换标准、水质达标标准、水质化验标准及相应的服务标准）；</w:t>
            </w:r>
          </w:p>
          <w:p>
            <w:pPr>
              <w:rPr>
                <w:rFonts w:hint="eastAsia"/>
                <w:lang w:val="en-US" w:eastAsia="zh-CN"/>
              </w:rPr>
            </w:pPr>
            <w:r>
              <w:rPr>
                <w:rFonts w:hint="eastAsia"/>
                <w:lang w:val="en-US" w:eastAsia="zh-CN"/>
              </w:rPr>
              <w:t>（7）制定完善的应急预案及应急措施并以表格的形式列出具体的执行表格（例如响应时间、标准、备用机及相应的具体措施）；</w:t>
            </w:r>
          </w:p>
          <w:p>
            <w:pPr>
              <w:rPr>
                <w:rFonts w:hint="eastAsia"/>
                <w:lang w:val="en-US" w:eastAsia="zh-CN"/>
              </w:rPr>
            </w:pPr>
            <w:r>
              <w:rPr>
                <w:rFonts w:hint="eastAsia"/>
                <w:lang w:val="en-US" w:eastAsia="zh-CN"/>
              </w:rPr>
              <w:t>（8）制定完善的培训方案，正确引导健康饮水知识，能提供日常咨询服务并以表格的形式列出具体的执行表格；</w:t>
            </w:r>
          </w:p>
          <w:p>
            <w:pPr>
              <w:rPr>
                <w:rFonts w:hint="eastAsia"/>
                <w:lang w:val="en-US" w:eastAsia="zh-CN"/>
              </w:rPr>
            </w:pPr>
            <w:r>
              <w:rPr>
                <w:rFonts w:hint="eastAsia"/>
                <w:lang w:val="en-US" w:eastAsia="zh-CN"/>
              </w:rPr>
              <w:t>（9）每年至少提供1次由第三方权威机构出具的水质取样检验报告；</w:t>
            </w:r>
          </w:p>
        </w:tc>
        <w:tc>
          <w:tcPr>
            <w:tcW w:w="2061" w:type="dxa"/>
          </w:tcPr>
          <w:p>
            <w:pPr>
              <w:rPr>
                <w:rFonts w:hint="eastAsia"/>
                <w:lang w:val="en-US" w:eastAsia="zh-CN"/>
              </w:rPr>
            </w:pPr>
            <w:r>
              <w:rPr>
                <w:rFonts w:hint="eastAsia"/>
                <w:lang w:val="en-US" w:eastAsia="zh-CN"/>
              </w:rPr>
              <w:t>直饮机在运行期间，主要配件滤芯、电控系统、加热系统等易损件会因长期工作造成设备损坏，影响日常饮水。为保证设备正常运转，需根据设备运转情况，水质情况，对设备进行维护、维修、更换耗材、保养等，一年对水质进行一次抽检化验，确保水质合格。</w:t>
            </w:r>
          </w:p>
          <w:p>
            <w:pPr>
              <w:rPr>
                <w:rFonts w:hint="eastAsia"/>
                <w:lang w:eastAsia="zh-CN"/>
              </w:rPr>
            </w:pPr>
          </w:p>
        </w:tc>
      </w:tr>
    </w:tbl>
    <w:p>
      <w:pPr>
        <w:rPr>
          <w:rFonts w:hint="eastAsia"/>
          <w:lang w:eastAsia="zh-CN"/>
        </w:rPr>
      </w:pPr>
    </w:p>
    <w:p>
      <w:pPr>
        <w:rPr>
          <w:rFonts w:hint="eastAsia"/>
          <w:lang w:eastAsia="zh-CN"/>
        </w:rPr>
      </w:pPr>
      <w:r>
        <w:rPr>
          <w:rFonts w:hint="eastAsia"/>
          <w:lang w:eastAsia="zh-CN"/>
        </w:rPr>
        <w:br w:type="page"/>
      </w:r>
    </w:p>
    <w:p>
      <w:pPr>
        <w:rPr>
          <w:rFonts w:hint="eastAsia"/>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4ZjlhMTA4MzY0MWMxYjM4YzhiMjgzNjkxZWVhMGQifQ=="/>
  </w:docVars>
  <w:rsids>
    <w:rsidRoot w:val="00000000"/>
    <w:rsid w:val="15A8554E"/>
    <w:rsid w:val="22530BF7"/>
    <w:rsid w:val="32FC709F"/>
    <w:rsid w:val="335E7A3C"/>
    <w:rsid w:val="33B65D86"/>
    <w:rsid w:val="38A6237B"/>
    <w:rsid w:val="47282B66"/>
    <w:rsid w:val="4D6814E2"/>
    <w:rsid w:val="57E109EC"/>
    <w:rsid w:val="5DA6458A"/>
    <w:rsid w:val="65DD516C"/>
    <w:rsid w:val="6A915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6">
    <w:name w:val="heading 1"/>
    <w:basedOn w:val="1"/>
    <w:next w:val="1"/>
    <w:link w:val="14"/>
    <w:qFormat/>
    <w:uiPriority w:val="0"/>
    <w:pPr>
      <w:spacing w:before="240" w:after="240" w:line="240" w:lineRule="auto"/>
      <w:jc w:val="center"/>
      <w:outlineLvl w:val="0"/>
    </w:pPr>
    <w:rPr>
      <w:rFonts w:ascii="仿宋_GB2312" w:hAnsi="仿宋_GB2312" w:eastAsia="宋体" w:cs="Times New Roman"/>
      <w:b/>
      <w:bCs/>
      <w:kern w:val="0"/>
      <w:sz w:val="36"/>
      <w:szCs w:val="32"/>
    </w:rPr>
  </w:style>
  <w:style w:type="paragraph" w:styleId="7">
    <w:name w:val="heading 2"/>
    <w:basedOn w:val="1"/>
    <w:next w:val="1"/>
    <w:link w:val="13"/>
    <w:semiHidden/>
    <w:unhideWhenUsed/>
    <w:qFormat/>
    <w:uiPriority w:val="0"/>
    <w:pPr>
      <w:keepNext/>
      <w:keepLines/>
      <w:spacing w:before="260" w:beforeLines="0" w:beforeAutospacing="0" w:after="260" w:afterLines="0" w:afterAutospacing="0" w:line="240" w:lineRule="auto"/>
      <w:jc w:val="left"/>
      <w:outlineLvl w:val="1"/>
    </w:pPr>
    <w:rPr>
      <w:rFonts w:ascii="Arial" w:hAnsi="Arial" w:eastAsia="宋体" w:cs="Times New Roman"/>
      <w:b/>
      <w:sz w:val="32"/>
      <w:szCs w:val="28"/>
    </w:rPr>
  </w:style>
  <w:style w:type="paragraph" w:styleId="8">
    <w:name w:val="heading 3"/>
    <w:basedOn w:val="1"/>
    <w:next w:val="1"/>
    <w:semiHidden/>
    <w:unhideWhenUsed/>
    <w:qFormat/>
    <w:uiPriority w:val="0"/>
    <w:pPr>
      <w:spacing w:line="415" w:lineRule="auto"/>
      <w:jc w:val="center"/>
      <w:outlineLvl w:val="2"/>
    </w:pPr>
    <w:rPr>
      <w:rFonts w:ascii="仿宋_GB2312" w:hAnsi="仿宋_GB2312" w:eastAsia="宋体" w:cs="Times New Roman"/>
      <w:b/>
      <w:bCs/>
      <w:kern w:val="0"/>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next w:val="1"/>
    <w:semiHidden/>
    <w:qFormat/>
    <w:uiPriority w:val="0"/>
    <w:rPr>
      <w:rFonts w:ascii="宋体" w:hAnsi="宋体" w:eastAsia="宋体" w:cs="宋体"/>
      <w:sz w:val="21"/>
      <w:szCs w:val="21"/>
      <w:lang w:val="en-US" w:eastAsia="en-US" w:bidi="ar-SA"/>
    </w:rPr>
  </w:style>
  <w:style w:type="paragraph" w:styleId="4">
    <w:name w:val="Body Text First Indent 2"/>
    <w:basedOn w:val="5"/>
    <w:qFormat/>
    <w:uiPriority w:val="0"/>
    <w:pPr>
      <w:ind w:firstLine="420" w:firstLineChars="200"/>
    </w:pPr>
  </w:style>
  <w:style w:type="paragraph" w:styleId="5">
    <w:name w:val="Body Text Indent"/>
    <w:basedOn w:val="1"/>
    <w:qFormat/>
    <w:uiPriority w:val="0"/>
    <w:pPr>
      <w:adjustRightInd w:val="0"/>
      <w:spacing w:line="360" w:lineRule="auto"/>
      <w:ind w:left="600"/>
      <w:textAlignment w:val="baseline"/>
    </w:pPr>
    <w:rPr>
      <w:rFonts w:ascii="宋体"/>
    </w:rPr>
  </w:style>
  <w:style w:type="paragraph" w:styleId="9">
    <w:name w:val="footer"/>
    <w:basedOn w:val="1"/>
    <w:qFormat/>
    <w:uiPriority w:val="0"/>
    <w:pPr>
      <w:tabs>
        <w:tab w:val="center" w:pos="4153"/>
        <w:tab w:val="right" w:pos="8306"/>
      </w:tabs>
      <w:snapToGrid w:val="0"/>
      <w:jc w:val="left"/>
    </w:pPr>
    <w:rPr>
      <w:sz w:val="18"/>
    </w:rPr>
  </w:style>
  <w:style w:type="table" w:styleId="11">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标题 2 Char"/>
    <w:link w:val="7"/>
    <w:qFormat/>
    <w:uiPriority w:val="9"/>
    <w:rPr>
      <w:rFonts w:ascii="Arial" w:hAnsi="Arial" w:eastAsia="宋体" w:cs="Times New Roman"/>
      <w:b/>
      <w:sz w:val="32"/>
      <w:szCs w:val="28"/>
    </w:rPr>
  </w:style>
  <w:style w:type="character" w:customStyle="1" w:styleId="14">
    <w:name w:val="标题 1 Char"/>
    <w:link w:val="6"/>
    <w:qFormat/>
    <w:locked/>
    <w:uiPriority w:val="0"/>
    <w:rPr>
      <w:rFonts w:ascii="仿宋_GB2312" w:hAnsi="仿宋_GB2312" w:eastAsia="宋体" w:cs="Times New Roman"/>
      <w:b/>
      <w:bCs/>
      <w:sz w:val="36"/>
      <w:szCs w:val="32"/>
    </w:rPr>
  </w:style>
  <w:style w:type="table" w:customStyle="1" w:styleId="1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2022-04-06T01:30:00Z</dcterms:created>
  <dc:creator>HP</dc:creator>
  <cp:lastModifiedBy>HP</cp:lastModifiedBy>
  <dcterms:modified xsi:type="dcterms:W3CDTF">2023-10-31T09:56:00Z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3F4E4848D3CD4D629030C78523DEF6E6</vt:lpwstr>
  </property>
</Properties>
</file>