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32"/>
          <w:szCs w:val="32"/>
        </w:rPr>
        <w:t>合同格式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（参考格式）</w:t>
      </w:r>
    </w:p>
    <w:p>
      <w:pPr>
        <w:tabs>
          <w:tab w:val="left" w:pos="3195"/>
        </w:tabs>
        <w:spacing w:before="156" w:beforeLines="50" w:after="156" w:afterLines="50"/>
        <w:jc w:val="center"/>
        <w:rPr>
          <w:rFonts w:hint="eastAsia" w:ascii="宋体" w:hAnsi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zh-CN"/>
        </w:rPr>
        <w:t>西安高新区道路桥梁检测项目</w:t>
      </w:r>
      <w:r>
        <w:rPr>
          <w:rFonts w:hint="eastAsia" w:ascii="宋体" w:hAnsi="宋体" w:cs="宋体"/>
          <w:b/>
          <w:sz w:val="36"/>
          <w:szCs w:val="36"/>
        </w:rPr>
        <w:t>合同</w:t>
      </w:r>
    </w:p>
    <w:p>
      <w:pPr>
        <w:pStyle w:val="7"/>
        <w:rPr>
          <w:rFonts w:hint="eastAsia" w:ascii="宋体" w:hAnsi="宋体" w:cs="宋体"/>
          <w:b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>
      <w:pPr>
        <w:pStyle w:val="7"/>
        <w:rPr>
          <w:rFonts w:hint="eastAsia" w:ascii="宋体" w:hAnsi="宋体" w:cs="宋体"/>
          <w:b/>
          <w:sz w:val="32"/>
          <w:szCs w:val="32"/>
        </w:rPr>
      </w:pPr>
    </w:p>
    <w:p>
      <w:pPr>
        <w:pStyle w:val="2"/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sz w:val="32"/>
          <w:szCs w:val="32"/>
        </w:rPr>
      </w:pPr>
    </w:p>
    <w:p>
      <w:pPr>
        <w:pStyle w:val="7"/>
        <w:rPr>
          <w:rFonts w:hint="eastAsia" w:ascii="宋体" w:hAnsi="宋体" w:cs="宋体"/>
          <w:b/>
          <w:sz w:val="32"/>
          <w:szCs w:val="32"/>
        </w:rPr>
      </w:pPr>
    </w:p>
    <w:p>
      <w:pPr>
        <w:pStyle w:val="2"/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sz w:val="32"/>
          <w:szCs w:val="32"/>
        </w:rPr>
      </w:pPr>
    </w:p>
    <w:p>
      <w:pPr>
        <w:rPr>
          <w:rFonts w:hint="eastAsia" w:ascii="宋体" w:hAnsi="宋体" w:cs="宋体"/>
          <w:b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 w:ascii="宋体" w:hAnsi="宋体" w:cs="宋体"/>
          <w:sz w:val="32"/>
          <w:szCs w:val="32"/>
        </w:rPr>
      </w:pPr>
    </w:p>
    <w:p>
      <w:pPr>
        <w:pStyle w:val="7"/>
        <w:rPr>
          <w:rFonts w:hint="eastAsia" w:ascii="宋体" w:hAnsi="宋体" w:cs="宋体"/>
          <w:b/>
          <w:sz w:val="32"/>
          <w:szCs w:val="32"/>
        </w:rPr>
      </w:pPr>
    </w:p>
    <w:p>
      <w:pPr>
        <w:pStyle w:val="2"/>
        <w:ind w:firstLine="1405" w:firstLineChars="500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>甲方：</w:t>
      </w:r>
      <w:r>
        <w:rPr>
          <w:rFonts w:hint="eastAsia" w:ascii="宋体" w:hAnsi="宋体" w:cs="宋体"/>
          <w:shd w:val="clear" w:color="auto" w:fill="FFFFFF"/>
        </w:rPr>
        <w:t>西安高新技术产业开发区城市管理和综合执法局</w:t>
      </w:r>
    </w:p>
    <w:p>
      <w:pPr>
        <w:ind w:firstLine="1405" w:firstLineChars="5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乙方：</w:t>
      </w:r>
    </w:p>
    <w:p>
      <w:pPr>
        <w:pStyle w:val="2"/>
        <w:rPr>
          <w:rFonts w:hint="eastAsia" w:ascii="宋体" w:hAnsi="宋体" w:cs="宋体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pStyle w:val="7"/>
        <w:ind w:firstLine="1960" w:firstLineChars="700"/>
        <w:rPr>
          <w:rFonts w:hint="eastAsia" w:ascii="宋体" w:hAnsi="宋体" w:cs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</w:rPr>
        <w:t>签订日期：   年  月  日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甲方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西安高新技术产业开发区城市管理和综合执法局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乙方：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                                 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甲方委托乙方承担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，经双方协商一致，签订本合同，共同执行。</w:t>
      </w:r>
    </w:p>
    <w:p>
      <w:pPr>
        <w:widowControl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第一条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本合同签订依据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1.1《中华人民共和国民法典》等。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1.2 磋商文件、响应文件、成交通知书。</w:t>
      </w:r>
    </w:p>
    <w:p>
      <w:pPr>
        <w:widowControl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第二条　服务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依据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2.1</w:t>
      </w:r>
      <w:r>
        <w:rPr>
          <w:rFonts w:hint="eastAsia" w:ascii="宋体" w:hAnsi="宋体" w:cs="宋体"/>
          <w:color w:val="000000"/>
          <w:sz w:val="24"/>
          <w:szCs w:val="24"/>
        </w:rPr>
        <w:t>甲方给乙方的委托书。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2.2</w:t>
      </w:r>
      <w:r>
        <w:rPr>
          <w:rFonts w:hint="eastAsia" w:ascii="宋体" w:hAnsi="宋体" w:cs="宋体"/>
          <w:color w:val="000000"/>
          <w:sz w:val="24"/>
          <w:szCs w:val="24"/>
        </w:rPr>
        <w:t>甲方提供的基础性资料。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2.3乙方遵循的主要服务标准是：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国家及地方行业现行相关法规及标准。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2.4当地政府部门的要求及甲方的合理要求。</w:t>
      </w:r>
    </w:p>
    <w:p>
      <w:pPr>
        <w:widowControl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第三条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合同文件的优先次序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构成本合同的文件可视为是能互相说明的，如果合同文件存在歧义或不一致，则根据如下优先次序来判断：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3.1合同履行过程中签订的补充协议或其他补充文件；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3.2合同书；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3.3成交通知书；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3.4甲方要求；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3.5磋商文件、响应文件。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双方为履行本合同的有关洽商、变更等书面协议、文件，视为本合同的组成部分。</w:t>
      </w:r>
    </w:p>
    <w:p>
      <w:pPr>
        <w:widowControl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第四条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本合同项目的名称及服务内容</w:t>
      </w:r>
    </w:p>
    <w:p>
      <w:pPr>
        <w:widowControl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4.1项目名称：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西安高新区道路桥梁检测项目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>服务内容：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为保证高新区辖区内已移交道路、桥梁的通行安全，及时发现道路桥梁存在的病害，从而正确提出和指导日常养护处治对策，拟对60条道路、24座桥梁进行安全性检测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具体检测内容详见附件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第五条　费用及</w:t>
      </w:r>
      <w:r>
        <w:rPr>
          <w:rFonts w:hint="eastAsia" w:ascii="宋体" w:hAnsi="宋体" w:cs="宋体"/>
          <w:b/>
          <w:kern w:val="0"/>
          <w:sz w:val="24"/>
          <w:szCs w:val="24"/>
        </w:rPr>
        <w:t>付款方式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结算依据：按实结算，根据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供应商成交单价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乘以实际发生工程量按实结算，当结算金额高于145万元时，合同自动终止。</w:t>
      </w:r>
    </w:p>
    <w:p>
      <w:pPr>
        <w:snapToGrid w:val="0"/>
        <w:spacing w:line="360" w:lineRule="auto"/>
        <w:ind w:firstLine="484" w:firstLineChars="201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第六条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权利义务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1、甲乙双方必须遵守本合同并执行合同中的各项规定，保证本合同的正常履行。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2、甲方有权根据本合同所约定的内容及标准，对乙方提供的服务进度和服务质量进行检查，如乙方提供的服务质量不符合本合同的约定，甲方有权要求乙方在指定时间内作出补充或修正。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、甲方有权对乙方的服务成果、服务实施等提出要求或修改建议，乙方应按甲方要求或修改建议进行完善或修改。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、乙方确保本项目涉及统计内容等均不侵犯任何第三方权利，否则应当承担侵权责任，如因此对甲方造成损失的，还应赔偿甲方损失。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szCs w:val="24"/>
        </w:rPr>
        <w:t>、服务结束后，成果所有权、知识产权归甲方所有，乙方不得以任何理由干涉甲方对项目成果的使用。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4"/>
          <w:szCs w:val="24"/>
        </w:rPr>
        <w:t>、本项目的相关资料（包括履约过程中获取的相关资料）在未经甲方书面同意的情况下不得用作其他地方。</w:t>
      </w:r>
    </w:p>
    <w:p>
      <w:pPr>
        <w:pStyle w:val="6"/>
        <w:spacing w:line="360" w:lineRule="auto"/>
        <w:ind w:firstLine="480" w:firstLineChars="200"/>
        <w:rPr>
          <w:rFonts w:hint="eastAsia" w:hAnsi="宋体" w:cs="仿宋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4"/>
          <w:szCs w:val="24"/>
        </w:rPr>
        <w:t>、乙方配备的制作及执行为高水准配套人员，响应迅速。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第七条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违约责任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7.1因乙方行为违约造成甲方利益受到侵害或造成社会影响的，甲方有权要求乙方在一定期限内解决，逾期不解决的，甲方有权终止合同。造成甲方经济损失的，乙方应给予甲方相应的经济赔偿(5%)。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第八条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保密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乙方不得向第三人泄露、转让甲方提交的技术资料。如发生以上情况并给甲方造成经济损失，乙方须赔偿由此给甲方造成的一切损失。并承担相应的法律后果。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第九条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争议解决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双方因本合同发生争议，甲方与乙方应及时协商解决。协商不成或调解不成时，双方当事人同意</w:t>
      </w:r>
      <w:r>
        <w:rPr>
          <w:rFonts w:hint="eastAsia" w:ascii="宋体" w:hAnsi="宋体" w:cs="宋体"/>
          <w:color w:val="000000"/>
          <w:sz w:val="24"/>
          <w:szCs w:val="24"/>
        </w:rPr>
        <w:t>向甲方所在地有管辖权的人民法院提起诉讼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第十条　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合同生效及其他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.1乙方为本合同项目的服务至本项目验收合格之日为止。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.2由于不可抗力因素致使合同无法履行时，双方应及时协商解决。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.3本合同双方签字盖章即生效，正本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贰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份，双方各执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壹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份，副本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捌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份，甲方执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伍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份，乙方执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>叁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份。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.</w:t>
      </w:r>
      <w:r>
        <w:rPr>
          <w:rFonts w:ascii="宋体" w:hAnsi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双方认可的来往传真、电报、会议纪要等，均为合同的组成部分，与本合同具有同等法律效力。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.</w:t>
      </w:r>
      <w:r>
        <w:rPr>
          <w:rFonts w:ascii="宋体" w:hAnsi="宋体" w:cs="宋体"/>
          <w:color w:val="000000"/>
          <w:kern w:val="0"/>
          <w:sz w:val="24"/>
          <w:szCs w:val="24"/>
        </w:rPr>
        <w:t>5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未尽事宜，经双方协商一致，签订补充协议，补充协议与本合同具有同等效力。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360" w:lineRule="auto"/>
        <w:ind w:firstLine="570"/>
        <w:jc w:val="left"/>
        <w:rPr>
          <w:rFonts w:hint="eastAsia" w:ascii="宋体" w:hAnsi="宋体" w:cs="宋体"/>
          <w:color w:val="000000"/>
          <w:w w:val="110"/>
          <w:sz w:val="24"/>
          <w:szCs w:val="24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2420"/>
        <w:gridCol w:w="21"/>
        <w:gridCol w:w="1703"/>
        <w:gridCol w:w="28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3933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甲方名称：</w:t>
            </w: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制作人名称： </w:t>
            </w: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3933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3933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法定代表人：</w:t>
            </w: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法定代表人：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3933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（签字）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3933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委托代理人：</w:t>
            </w: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539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委托代理人：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3933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（签字）</w:t>
            </w: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经办人：</w:t>
            </w: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9" w:type="dxa"/>
            <w:gridSpan w:val="2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（签字）</w:t>
            </w:r>
          </w:p>
          <w:p>
            <w:pPr>
              <w:tabs>
                <w:tab w:val="left" w:pos="4680"/>
              </w:tabs>
              <w:spacing w:line="360" w:lineRule="auto"/>
              <w:ind w:firstLine="720" w:firstLineChars="3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ind w:firstLine="720" w:firstLineChars="3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513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签订日期：</w:t>
            </w:r>
          </w:p>
        </w:tc>
        <w:tc>
          <w:tcPr>
            <w:tcW w:w="2420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21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签订日期：</w:t>
            </w:r>
          </w:p>
        </w:tc>
        <w:tc>
          <w:tcPr>
            <w:tcW w:w="2836" w:type="dxa"/>
            <w:noWrap w:val="0"/>
            <w:vAlign w:val="top"/>
          </w:tcPr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4680"/>
              </w:tabs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ascii="宋体" w:hAnsi="宋体" w:cs="宋体"/>
          <w:sz w:val="24"/>
        </w:rPr>
      </w:pPr>
    </w:p>
    <w:p>
      <w:pPr>
        <w:rPr>
          <w:szCs w:val="24"/>
        </w:rPr>
      </w:pPr>
    </w:p>
    <w:p>
      <w:pPr>
        <w:pStyle w:val="9"/>
        <w:ind w:left="63" w:firstLine="480"/>
        <w:rPr>
          <w:szCs w:val="24"/>
        </w:rPr>
      </w:pPr>
    </w:p>
    <w:p>
      <w:pPr>
        <w:pStyle w:val="9"/>
        <w:ind w:left="63" w:firstLine="480"/>
        <w:rPr>
          <w:szCs w:val="24"/>
        </w:rPr>
      </w:pPr>
    </w:p>
    <w:p>
      <w:pPr>
        <w:pStyle w:val="9"/>
        <w:ind w:left="63" w:firstLine="480"/>
        <w:rPr>
          <w:szCs w:val="24"/>
        </w:rPr>
      </w:pPr>
    </w:p>
    <w:p>
      <w:pPr>
        <w:pStyle w:val="9"/>
        <w:ind w:left="63" w:firstLine="480"/>
        <w:rPr>
          <w:rFonts w:hint="eastAsia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  <w:sectPr>
          <w:headerReference r:id="rId3" w:type="default"/>
          <w:footerReference r:id="rId4" w:type="default"/>
          <w:footnotePr>
            <w:pos w:val="beneathText"/>
          </w:footnotePr>
          <w:pgSz w:w="11906" w:h="16838"/>
          <w:pgMar w:top="1440" w:right="1423" w:bottom="1219" w:left="1644" w:header="851" w:footer="992" w:gutter="0"/>
          <w:cols w:space="720" w:num="1"/>
          <w:titlePg/>
          <w:docGrid w:linePitch="312" w:charSpace="0"/>
        </w:sectPr>
      </w:pPr>
    </w:p>
    <w:p>
      <w:pPr>
        <w:pStyle w:val="2"/>
        <w:rPr>
          <w:rFonts w:hint="eastAsia"/>
        </w:rPr>
      </w:pPr>
    </w:p>
    <w:p>
      <w:pPr>
        <w:numPr>
          <w:ilvl w:val="0"/>
          <w:numId w:val="0"/>
        </w:numPr>
        <w:spacing w:line="5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附表：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道路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检测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道路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检测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清单</w:t>
      </w:r>
    </w:p>
    <w:tbl>
      <w:tblPr>
        <w:tblStyle w:val="10"/>
        <w:tblW w:w="528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20"/>
        <w:gridCol w:w="2324"/>
        <w:gridCol w:w="1290"/>
        <w:gridCol w:w="1564"/>
        <w:gridCol w:w="895"/>
        <w:gridCol w:w="895"/>
        <w:gridCol w:w="7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95" w:hRule="atLeast"/>
          <w:jc w:val="center"/>
        </w:trPr>
        <w:tc>
          <w:tcPr>
            <w:tcW w:w="2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道路名称</w:t>
            </w:r>
          </w:p>
        </w:tc>
        <w:tc>
          <w:tcPr>
            <w:tcW w:w="12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道路起止点</w:t>
            </w:r>
          </w:p>
        </w:tc>
        <w:tc>
          <w:tcPr>
            <w:tcW w:w="20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道路内容</w:t>
            </w:r>
          </w:p>
        </w:tc>
        <w:tc>
          <w:tcPr>
            <w:tcW w:w="4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建设年限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长度（m）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宽度（m）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面积（㎡）</w:t>
            </w:r>
          </w:p>
        </w:tc>
        <w:tc>
          <w:tcPr>
            <w:tcW w:w="4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太白南路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科技二路十字北侧至丈八东路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43.60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81543.00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科技六路-木塔寺东路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245.92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4277.95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木塔寺路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木塔寺路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科技六路-科技七路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515.00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10815.00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5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  <w:lang w:val="en-US" w:eastAsia="zh-CN"/>
              </w:rPr>
            </w:pP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木塔寺西路-科技八路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3060.00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39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高新路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科技七路-丈八东路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858.20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30（正常段）；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40（渠化段）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15568.50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枫林路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唐兴路-科技二路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765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6885.00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1997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唐延路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科技路-丈八东路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30/40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116100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1999-2009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光夏路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高新三路--高新四路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217.00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1410.50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光智路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高新三路--高新四路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217.00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1410.50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敦义巷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高新路以东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288.00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1728.00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枫叶北路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高新一路-高新二路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枫叶南路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高新一路-高新二路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2250.00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科技一路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博文路-丈八北路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3586.00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23315.00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庄严巷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唐延路-高新路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315.00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2835.00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西工大园区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沣惠南路-团结南路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1284.00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11556.00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双水磨路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丈八北路-高新六路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296.96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3840.00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木塔寺东路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木塔寺路-太白南路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531.07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10438.19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科技八路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唐延路-西三环立交上口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2764.00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74628.00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永阳一巷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唐延路-太白南路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1018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14428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2017-2020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永阳二巷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高新路-太白南路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310.94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3922.50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西沣路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丈八东路—环山路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18450.00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516600.00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西沣辅道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锦业路-锦业三路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1526.00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13734.00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锦业三街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锦业一路—南三环北辅道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锦业五街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锦业路—南三环北辅道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432.00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2592.00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锦业六街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锦业路—南三环北辅道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2580.00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锦业路—南三环北辅道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606.00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4848.00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南三环-锦业二路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461.00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3688.00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造字台路北段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南三环-锦业三路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675.00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32.20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12285.00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亚迪路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锦业二路-西部大道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64400.00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河池寨立交北辅道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热源广场西门-云水一路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2852.00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30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河池寨立交南辅道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热源广场西门-云水一路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2852.00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丈八西路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丈八一路-丈八七路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3005.00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39.40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54691.00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都市之门西侧石材路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都市之门-丈八一路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西沣路-丈八八路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4683.00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192003.00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里花水立交桥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锦业一路-锦业二路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41500.00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里花水立交</w:t>
            </w:r>
            <w:r>
              <w:rPr>
                <w:rStyle w:val="14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BB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西三环-绕城北辅道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376.00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6768.00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里花水立交</w:t>
            </w:r>
            <w:r>
              <w:rPr>
                <w:rStyle w:val="14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CC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绕城南辅道-锦业二路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7560.00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里花水立交</w:t>
            </w:r>
            <w:r>
              <w:rPr>
                <w:rStyle w:val="14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DD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造字台路-锦业二路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11340.00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里花水立交</w:t>
            </w: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EE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里花水AA匝道-BB匝道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2960.00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39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里花水立交</w:t>
            </w:r>
            <w:r>
              <w:rPr>
                <w:rStyle w:val="15"/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FF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里花水DD匝道-CC匝道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40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绕城高速北辅道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BB匝道-丈八八路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绕城高速南辅道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CC匝道-丈八八路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646.00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12274.00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西沣辅道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锦业三路-创汇路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2516.00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46294.40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悦园路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锦业三路-艺术北街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5850.00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怡园北路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锦业三路-文化广场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425.00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3825.00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怡园南路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文化广场-西部大道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3780.00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丽园路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西部大道-艺术南街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197.00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1379.00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企业一号公园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西沣辅道-丽园路-博士路-西沣辅道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1618.00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19577.80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标准厂房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信息大道-创汇路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3950.00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49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造字台一路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锦业四路-西部大道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163.00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1141.00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50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文化广场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文化广场环岛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步行北街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文化广场-博士路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步行南街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文化广场-博士路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沁园路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西沣辅道-艺术东街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时代广场环路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西沣辅道-博士路-信息大道-西沣辅道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725.60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13060.80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中心环道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博士路-西部大道-创业大道-信息大道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19065.00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海关东巡逻道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北巡逻道-支一路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海关支二路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支一路-纬十八路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795.00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7393.50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海关经二十路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支一路-南巡逻道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14823.00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海关西巡逻道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北巡逻道--南巡逻道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1450.00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15.50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10585.00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60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西汉高速南辅道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普新一路-上林苑三路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370.00 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3330.00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</w:t>
            </w: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br w:type="page"/>
      </w:r>
    </w:p>
    <w:p>
      <w:pPr>
        <w:pStyle w:val="4"/>
        <w:ind w:left="0" w:leftChars="0" w:firstLine="0" w:firstLineChars="0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</w:p>
    <w:p>
      <w:pPr>
        <w:pStyle w:val="4"/>
        <w:ind w:left="0" w:leftChars="0" w:firstLine="0" w:firstLineChars="0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附表：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桥梁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检测清单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桥梁检测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清单</w:t>
      </w:r>
    </w:p>
    <w:tbl>
      <w:tblPr>
        <w:tblStyle w:val="10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3935"/>
        <w:gridCol w:w="32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序号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桥梁名称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科技五路人行天桥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2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文理学院人行天桥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3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丈八立交南北人行天桥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4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高新一中人行天桥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5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沙井村人行天桥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6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西辛庄人行天桥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7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外事学院人行天桥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8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科技路赵家坡村口人行天桥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9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高新一小人行天桥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10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漳浒寨人行天桥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11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鱼斗路人行天桥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12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东晁村人行天桥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13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太白南路东西立交桥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14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里花水立交桥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15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丈八四路跨线桥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16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丈八六路跨线桥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17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丈八八路跨线桥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18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科技八路跨线桥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19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富鱼路皂河桥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20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科技四路皂河桥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21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西沣路高桥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22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西太路金沙河桥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  <w:jc w:val="center"/>
        </w:trPr>
        <w:tc>
          <w:tcPr>
            <w:tcW w:w="692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23</w:t>
            </w:r>
          </w:p>
        </w:tc>
        <w:tc>
          <w:tcPr>
            <w:tcW w:w="23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西太路沣河桥</w:t>
            </w:r>
          </w:p>
        </w:tc>
        <w:tc>
          <w:tcPr>
            <w:tcW w:w="194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24</w:t>
            </w:r>
          </w:p>
        </w:tc>
        <w:tc>
          <w:tcPr>
            <w:tcW w:w="23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  <w:t>西太路洨河桥</w:t>
            </w:r>
          </w:p>
        </w:tc>
        <w:tc>
          <w:tcPr>
            <w:tcW w:w="19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zh-TW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6" w:space="1"/>
      </w:pBdr>
      <w:rPr>
        <w:rFonts w:hint="eastAsia" w:ascii="仿宋_GB2312" w:eastAsia="仿宋_GB2312"/>
        <w:u w:val="single"/>
      </w:rPr>
    </w:pPr>
  </w:p>
  <w:p>
    <w:pPr>
      <w:pStyle w:val="7"/>
      <w:rPr>
        <w:rFonts w:hint="eastAsia" w:ascii="仿宋_GB2312" w:eastAsia="仿宋_GB2312"/>
      </w:rPr>
    </w:pPr>
    <w:r>
      <w:rPr>
        <w:rFonts w:hint="eastAsia" w:ascii="仿宋_GB2312" w:eastAsia="仿宋_GB2312"/>
      </w:rPr>
      <w:t>陕西中技招标有限公司（</w:t>
    </w:r>
    <w:r>
      <w:rPr>
        <w:rFonts w:ascii="仿宋_GB2312" w:eastAsia="仿宋_GB2312"/>
      </w:rPr>
      <w:fldChar w:fldCharType="begin"/>
    </w:r>
    <w:r>
      <w:rPr>
        <w:rFonts w:ascii="仿宋_GB2312" w:eastAsia="仿宋_GB2312"/>
      </w:rPr>
      <w:instrText xml:space="preserve"> HYPERLINK "http://www.sxzjtc.com</w:instrText>
    </w:r>
    <w:r>
      <w:rPr>
        <w:rFonts w:hint="eastAsia" w:ascii="仿宋_GB2312" w:eastAsia="仿宋_GB2312"/>
      </w:rPr>
      <w:instrText xml:space="preserve">）</w:instrText>
    </w:r>
    <w:r>
      <w:rPr>
        <w:rFonts w:ascii="仿宋_GB2312" w:eastAsia="仿宋_GB2312"/>
      </w:rPr>
      <w:instrText xml:space="preserve">" </w:instrText>
    </w:r>
    <w:r>
      <w:rPr>
        <w:rFonts w:ascii="仿宋_GB2312" w:eastAsia="仿宋_GB2312"/>
      </w:rPr>
      <w:fldChar w:fldCharType="separate"/>
    </w:r>
    <w:r>
      <w:rPr>
        <w:rStyle w:val="13"/>
        <w:rFonts w:hint="default" w:ascii="仿宋_GB2312" w:eastAsia="仿宋_GB2312"/>
      </w:rPr>
      <w:t>http://www.sxzjtc.com）</w:t>
    </w:r>
    <w:r>
      <w:rPr>
        <w:rFonts w:ascii="仿宋_GB2312" w:eastAsia="仿宋_GB2312"/>
      </w:rPr>
      <w:fldChar w:fldCharType="end"/>
    </w:r>
    <w:r>
      <w:rPr>
        <w:rFonts w:hint="eastAsia" w:ascii="仿宋_GB2312" w:eastAsia="仿宋_GB2312"/>
      </w:rPr>
      <w:t xml:space="preserve"> 地址：西安高新区高新四路1号高科广场A座1001室</w:t>
    </w:r>
  </w:p>
  <w:p>
    <w:pPr>
      <w:pStyle w:val="7"/>
      <w:jc w:val="center"/>
      <w:rPr>
        <w:rFonts w:hint="eastAsia"/>
      </w:rPr>
    </w:pPr>
    <w:r>
      <w:rPr>
        <w:rStyle w:val="12"/>
        <w:rFonts w:hint="eastAsia" w:ascii="仿宋_GB2312" w:eastAsia="仿宋_GB2312"/>
        <w:kern w:val="0"/>
        <w:szCs w:val="21"/>
      </w:rPr>
      <w:t xml:space="preserve">第 </w:t>
    </w:r>
    <w:r>
      <w:rPr>
        <w:rFonts w:hint="eastAsia" w:ascii="仿宋_GB2312" w:eastAsia="仿宋_GB2312"/>
        <w:kern w:val="0"/>
        <w:szCs w:val="21"/>
      </w:rPr>
      <w:fldChar w:fldCharType="begin"/>
    </w:r>
    <w:r>
      <w:rPr>
        <w:rStyle w:val="12"/>
        <w:rFonts w:hint="eastAsia" w:ascii="仿宋_GB2312" w:eastAsia="仿宋_GB2312"/>
        <w:kern w:val="0"/>
        <w:szCs w:val="21"/>
      </w:rPr>
      <w:instrText xml:space="preserve"> PAGE </w:instrText>
    </w:r>
    <w:r>
      <w:rPr>
        <w:rFonts w:hint="eastAsia" w:ascii="仿宋_GB2312" w:eastAsia="仿宋_GB2312"/>
        <w:kern w:val="0"/>
        <w:szCs w:val="21"/>
      </w:rPr>
      <w:fldChar w:fldCharType="separate"/>
    </w:r>
    <w:r>
      <w:rPr>
        <w:rStyle w:val="12"/>
        <w:rFonts w:ascii="仿宋_GB2312" w:eastAsia="仿宋_GB2312"/>
        <w:kern w:val="0"/>
        <w:szCs w:val="21"/>
      </w:rPr>
      <w:t>31</w:t>
    </w:r>
    <w:r>
      <w:rPr>
        <w:rFonts w:hint="eastAsia" w:ascii="仿宋_GB2312" w:eastAsia="仿宋_GB2312"/>
        <w:kern w:val="0"/>
        <w:szCs w:val="21"/>
      </w:rPr>
      <w:fldChar w:fldCharType="end"/>
    </w:r>
    <w:r>
      <w:rPr>
        <w:rStyle w:val="12"/>
        <w:rFonts w:hint="eastAsia" w:ascii="仿宋_GB2312" w:eastAsia="仿宋_GB2312"/>
        <w:kern w:val="0"/>
        <w:szCs w:val="21"/>
      </w:rPr>
      <w:t xml:space="preserve"> 页 共 </w:t>
    </w:r>
    <w:r>
      <w:rPr>
        <w:rFonts w:hint="eastAsia" w:ascii="仿宋_GB2312" w:eastAsia="仿宋_GB2312"/>
        <w:kern w:val="0"/>
        <w:szCs w:val="21"/>
      </w:rPr>
      <w:fldChar w:fldCharType="begin"/>
    </w:r>
    <w:r>
      <w:rPr>
        <w:rStyle w:val="12"/>
        <w:rFonts w:hint="eastAsia" w:ascii="仿宋_GB2312" w:eastAsia="仿宋_GB2312"/>
        <w:kern w:val="0"/>
        <w:szCs w:val="21"/>
      </w:rPr>
      <w:instrText xml:space="preserve"> NUMPAGES </w:instrText>
    </w:r>
    <w:r>
      <w:rPr>
        <w:rFonts w:hint="eastAsia" w:ascii="仿宋_GB2312" w:eastAsia="仿宋_GB2312"/>
        <w:kern w:val="0"/>
        <w:szCs w:val="21"/>
      </w:rPr>
      <w:fldChar w:fldCharType="separate"/>
    </w:r>
    <w:r>
      <w:rPr>
        <w:rStyle w:val="12"/>
        <w:rFonts w:ascii="仿宋_GB2312" w:eastAsia="仿宋_GB2312"/>
        <w:kern w:val="0"/>
        <w:szCs w:val="21"/>
      </w:rPr>
      <w:t>53</w:t>
    </w:r>
    <w:r>
      <w:rPr>
        <w:rFonts w:hint="eastAsia" w:ascii="仿宋_GB2312" w:eastAsia="仿宋_GB2312"/>
        <w:kern w:val="0"/>
        <w:szCs w:val="21"/>
      </w:rPr>
      <w:fldChar w:fldCharType="end"/>
    </w:r>
    <w:r>
      <w:rPr>
        <w:rStyle w:val="12"/>
        <w:rFonts w:hint="eastAsia" w:ascii="仿宋_GB2312" w:eastAsia="仿宋_GB2312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  <w:rPr>
        <w:rFonts w:hint="eastAsia" w:ascii="宋体" w:hAnsi="宋体" w:cs="宋体"/>
      </w:rPr>
    </w:pPr>
    <w:r>
      <w:rPr>
        <w:rFonts w:hint="eastAsia" w:ascii="宋体" w:hAnsi="宋体" w:cs="宋体"/>
        <w:szCs w:val="18"/>
        <w:lang w:eastAsia="zh-CN"/>
      </w:rPr>
      <w:t>西安高新区道路桥梁检测项目</w:t>
    </w:r>
    <w:r>
      <w:rPr>
        <w:rFonts w:hint="eastAsia" w:ascii="宋体" w:hAnsi="宋体" w:cs="宋体"/>
        <w:szCs w:val="18"/>
      </w:rPr>
      <w:t>磋商文件</w:t>
    </w:r>
    <w:r>
      <w:rPr>
        <w:rFonts w:hint="eastAsia" w:ascii="宋体" w:hAnsi="宋体" w:cs="宋体"/>
        <w:bCs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0MWZhMTJlM2RiZjc0MDE2MjBmODc2Nzc1YzBlMGYifQ=="/>
  </w:docVars>
  <w:rsids>
    <w:rsidRoot w:val="35FE1456"/>
    <w:rsid w:val="35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 w:val="24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</w:pPr>
    <w:rPr>
      <w:kern w:val="0"/>
      <w:sz w:val="18"/>
      <w:szCs w:val="24"/>
    </w:rPr>
  </w:style>
  <w:style w:type="paragraph" w:styleId="9">
    <w:name w:val="Body Text First Indent 2"/>
    <w:basedOn w:val="5"/>
    <w:qFormat/>
    <w:uiPriority w:val="99"/>
    <w:pPr>
      <w:ind w:firstLine="420" w:firstLineChars="200"/>
    </w:pPr>
  </w:style>
  <w:style w:type="character" w:styleId="12">
    <w:name w:val="page number"/>
    <w:uiPriority w:val="0"/>
  </w:style>
  <w:style w:type="character" w:styleId="13">
    <w:name w:val="Hyperlink"/>
    <w:qFormat/>
    <w:uiPriority w:val="99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51"/>
    <w:basedOn w:val="11"/>
    <w:qFormat/>
    <w:uiPriority w:val="0"/>
    <w:rPr>
      <w:rFonts w:hint="eastAsia" w:ascii="仿宋_GB2312" w:eastAsia="仿宋_GB2312"/>
      <w:color w:val="000000"/>
      <w:sz w:val="20"/>
      <w:szCs w:val="20"/>
      <w:u w:val="none"/>
    </w:rPr>
  </w:style>
  <w:style w:type="character" w:customStyle="1" w:styleId="15">
    <w:name w:val="font61"/>
    <w:basedOn w:val="11"/>
    <w:uiPriority w:val="0"/>
    <w:rPr>
      <w:rFonts w:ascii="font-weight : 400" w:hAnsi="font-weight : 400" w:eastAsia="font-weight : 400" w:cs="font-weight : 400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2023-11-13T04:46:00Z</dcterms:created>
  <dc:creator>湫</dc:creator>
  <cp:lastModifiedBy>湫</cp:lastModifiedBy>
  <dcterms:modified xsi:type="dcterms:W3CDTF">2023-11-13T04:47:05Z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4D1DCBE8150E4886969D24EFC0445D70_11</vt:lpwstr>
  </property>
</Properties>
</file>