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480" w:lineRule="exact"/>
        <w:rPr>
          <w:rFonts w:hint="default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技术标准及要求</w:t>
      </w:r>
    </w:p>
    <w:p>
      <w:pPr>
        <w:widowControl/>
        <w:spacing w:before="150"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一、概况</w:t>
      </w:r>
    </w:p>
    <w:p>
      <w:pPr>
        <w:widowControl/>
        <w:spacing w:line="510" w:lineRule="atLeast"/>
        <w:ind w:firstLine="480"/>
        <w:jc w:val="left"/>
        <w:rPr>
          <w:rFonts w:hint="default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庞光街道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西南郊水厂二期一阶段配水管线项目（清表、树木粉碎、水泥路破碎及垃圾外运）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，面积约为477.89亩、树木粉碎约为475.82亩、水泥路破碎约为1380.01㎡，垃圾外运运距暂定为51公里。</w:t>
      </w:r>
    </w:p>
    <w:p>
      <w:pPr>
        <w:widowControl/>
        <w:spacing w:before="150"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二、实施范围</w:t>
      </w:r>
    </w:p>
    <w:p>
      <w:pPr>
        <w:widowControl/>
        <w:spacing w:line="510" w:lineRule="atLeast"/>
        <w:ind w:firstLine="480"/>
        <w:jc w:val="left"/>
        <w:rPr>
          <w:rFonts w:hint="default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庞光街道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西南郊水厂二期一阶段配水管线项目（清表、树木粉碎、水泥路破碎及垃圾外运）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位于庞光街道化羊村、庞光村、炉丹村、朝阳社区、正村、新寨村、孙姑村。</w:t>
      </w:r>
    </w:p>
    <w:p>
      <w:pPr>
        <w:widowControl/>
        <w:spacing w:before="150"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三、执行的法律法规、技术规范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（一）执行的法律法规、技术规范包括但不限于以下规定、规范、标准：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《安全生产法》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《建设工程安全生产管理条例》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《西安市扬尘污染防治条例》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《西安市建筑垃圾管理办法》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《西安高新区治污减霾网格化管理工作实施方案》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（二）质量标准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1、项目范围内的垃圾清运全部采用机械清运的施工方法，严禁人工清运。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2、清理至场地平整。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、现场的全部垃圾，严格按照城市管理部门指定的运输路线和倾倒场地清运，不得冒尖装栽、不得沿路抛洒。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5、垃圾清运最终达到地面平整，全部垃圾清运完毕，现场无任何遗留物（最后以采购人、中标人共同验收合格，签字确认为准）。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6、施工单位负责协调周边关系。</w:t>
      </w:r>
    </w:p>
    <w:p>
      <w:pPr>
        <w:widowControl/>
        <w:spacing w:before="150"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四、工程实施期限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1、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人须在合同签订之日起3天内进驻并制作工程计划进度表，并经采购人书面同意；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2、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人同意在5天内开始施工；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3、双方约定自施工之日起在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天完成约定的项目清运。遇阴雨天及不可抗力因素以及其他施工因素影响、工期相应顺延（顺延工期应由采购人、中标人共同签字确认）；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由于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人原因造成工期延迟视同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人违约，则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人赔付采购人违约金至清运价的5</w:t>
      </w:r>
      <w:r>
        <w:rPr>
          <w:rFonts w:hint="default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‰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zh-CN" w:eastAsia="zh-CN"/>
        </w:rPr>
        <w:t>／天。</w:t>
      </w:r>
    </w:p>
    <w:p>
      <w:pPr>
        <w:widowControl/>
        <w:spacing w:before="150"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Helvetica"/>
          <w:b/>
          <w:bCs/>
          <w:color w:val="auto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、付款方式</w:t>
      </w:r>
    </w:p>
    <w:p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项目完工验收并通过结算</w:t>
      </w:r>
      <w:r>
        <w:rPr>
          <w:rFonts w:hint="eastAsia" w:ascii="宋体" w:hAnsi="宋体" w:cs="Helvetica"/>
          <w:color w:val="auto"/>
          <w:kern w:val="0"/>
          <w:sz w:val="24"/>
          <w:szCs w:val="21"/>
          <w:highlight w:val="none"/>
          <w:lang w:val="en-US" w:eastAsia="zh-CN"/>
        </w:rPr>
        <w:t>评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审后，甲方支付</w:t>
      </w:r>
      <w:r>
        <w:rPr>
          <w:rFonts w:hint="eastAsia" w:ascii="宋体" w:hAnsi="宋体" w:cs="Helvetica"/>
          <w:color w:val="auto"/>
          <w:kern w:val="0"/>
          <w:sz w:val="24"/>
          <w:szCs w:val="21"/>
          <w:highlight w:val="none"/>
          <w:lang w:val="en-US" w:eastAsia="zh-CN"/>
        </w:rPr>
        <w:t>结算</w:t>
      </w:r>
      <w:r>
        <w:rPr>
          <w:rFonts w:hint="eastAsia" w:ascii="宋体" w:hAnsi="宋体" w:eastAsia="宋体" w:cs="Helvetica"/>
          <w:color w:val="auto"/>
          <w:kern w:val="0"/>
          <w:sz w:val="24"/>
          <w:szCs w:val="21"/>
          <w:highlight w:val="none"/>
          <w:lang w:val="en-US" w:eastAsia="zh-CN"/>
        </w:rPr>
        <w:t>价款的100%。</w:t>
      </w:r>
    </w:p>
    <w:p>
      <w:pPr>
        <w:widowControl/>
        <w:spacing w:line="510" w:lineRule="atLeast"/>
        <w:jc w:val="left"/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Helvetica"/>
          <w:b/>
          <w:bCs/>
          <w:color w:val="auto"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Helvetica"/>
          <w:b/>
          <w:bCs/>
          <w:color w:val="auto"/>
          <w:kern w:val="0"/>
          <w:sz w:val="24"/>
          <w:highlight w:val="none"/>
          <w:lang w:val="en-US" w:eastAsia="zh-CN"/>
        </w:rPr>
        <w:t>、工程量清单</w:t>
      </w:r>
    </w:p>
    <w:tbl>
      <w:tblPr>
        <w:tblStyle w:val="4"/>
        <w:tblW w:w="8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488"/>
        <w:gridCol w:w="1383"/>
        <w:gridCol w:w="1142"/>
        <w:gridCol w:w="1392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清单项目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（平方）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spacing w:before="86" w:line="240" w:lineRule="exact"/>
              <w:ind w:left="9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（含树木粉碎）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475.82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475.82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最高限价：1500元/亩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spacing w:before="192" w:line="2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水泥路破碎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1380.01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1380.01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最高限价：17元/平方米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spacing w:before="192" w:line="2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水泥路破碎后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275.99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275.99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运距暂定51公里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最高限价：106元/立方米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spacing w:before="192" w:line="2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杂树清理及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4535.25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4535.25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运距暂定51公里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最高限价：106元/立方米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spacing w:before="192" w:line="240" w:lineRule="exact"/>
              <w:jc w:val="center"/>
              <w:outlineLvl w:val="9"/>
              <w:rPr>
                <w:rFonts w:hint="default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葡萄树清理及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6938.80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6938.80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运距暂定51公里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最高限价：106元/立方米</w:t>
            </w:r>
          </w:p>
        </w:tc>
      </w:tr>
    </w:tbl>
    <w:p>
      <w:bookmarkStart w:id="0" w:name="_GoBack"/>
      <w:bookmarkEnd w:id="0"/>
    </w:p>
    <w:sectPr>
      <w:pgSz w:w="11910" w:h="16840"/>
      <w:pgMar w:top="1440" w:right="1800" w:bottom="1440" w:left="1800" w:header="794" w:footer="79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cxODczODNkNjg0NGQ4ODVkZWU3OWJjN2Y2ZjYifQ=="/>
  </w:docVars>
  <w:rsids>
    <w:rsidRoot w:val="3AE75C60"/>
    <w:rsid w:val="3AE75C60"/>
    <w:rsid w:val="3C3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kern w:val="44"/>
      <w:sz w:val="30"/>
      <w:szCs w:val="44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2023-08-09T02:02:00Z</dcterms:created>
  <dc:creator>贾旭鸣</dc:creator>
  <cp:lastModifiedBy>贾旭鸣</cp:lastModifiedBy>
  <dcterms:modified xsi:type="dcterms:W3CDTF">2023-08-09T02:02:42Z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017B196F5A9940BF8DFDF057FC3599E3_11</vt:lpwstr>
  </property>
</Properties>
</file>