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eastAsia="zh-CN"/>
        </w:rPr>
      </w:pPr>
      <w:r>
        <w:rPr>
          <w:rFonts w:hint="eastAsia" w:ascii="仿宋" w:hAnsi="仿宋" w:eastAsia="仿宋" w:cs="仿宋"/>
          <w:b/>
          <w:bCs/>
          <w:sz w:val="30"/>
          <w:szCs w:val="30"/>
          <w:lang w:val="zh-CN"/>
        </w:rPr>
        <w:t>采购项目编号：</w:t>
      </w:r>
      <w:r>
        <w:rPr>
          <w:rFonts w:hint="eastAsia" w:ascii="仿宋" w:hAnsi="仿宋" w:eastAsia="仿宋" w:cs="仿宋"/>
          <w:b/>
          <w:bCs/>
          <w:sz w:val="30"/>
          <w:szCs w:val="30"/>
          <w:lang w:eastAsia="zh-CN"/>
        </w:rPr>
        <w:t>XHZB2023-CS-024/001</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rPr>
          <w:rFonts w:hint="eastAsia" w:ascii="仿宋" w:hAnsi="仿宋" w:eastAsia="仿宋" w:cs="仿宋"/>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铜川市朝阳实验小学多媒体及配套设备</w:t>
      </w: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r>
        <w:rPr>
          <w:rFonts w:hint="eastAsia" w:ascii="仿宋" w:hAnsi="仿宋" w:eastAsia="仿宋" w:cs="仿宋"/>
          <w:b/>
          <w:bCs/>
          <w:sz w:val="52"/>
          <w:szCs w:val="52"/>
          <w:lang w:val="zh-CN"/>
        </w:rPr>
        <w:t>竞争性磋商文件</w:t>
      </w:r>
    </w:p>
    <w:p>
      <w:pPr>
        <w:pStyle w:val="10"/>
        <w:rPr>
          <w:rFonts w:hint="eastAsia" w:ascii="仿宋" w:hAnsi="仿宋" w:eastAsia="仿宋" w:cs="仿宋"/>
          <w:bCs/>
          <w:sz w:val="30"/>
          <w:szCs w:val="30"/>
        </w:rPr>
      </w:pPr>
    </w:p>
    <w:p>
      <w:pPr>
        <w:rPr>
          <w:rFonts w:hint="eastAsia" w:ascii="仿宋" w:hAnsi="仿宋" w:eastAsia="仿宋" w:cs="仿宋"/>
          <w:b/>
          <w:bCs/>
          <w:sz w:val="30"/>
          <w:szCs w:val="30"/>
        </w:rPr>
      </w:pPr>
    </w:p>
    <w:p>
      <w:pPr>
        <w:pStyle w:val="10"/>
        <w:rPr>
          <w:rFonts w:hint="eastAsia" w:ascii="仿宋" w:hAnsi="仿宋" w:eastAsia="仿宋" w:cs="仿宋"/>
          <w:bCs/>
          <w:sz w:val="30"/>
          <w:szCs w:val="30"/>
        </w:rPr>
      </w:pPr>
    </w:p>
    <w:p>
      <w:pPr>
        <w:pStyle w:val="10"/>
        <w:rPr>
          <w:rFonts w:hint="eastAsia" w:ascii="仿宋" w:hAnsi="仿宋" w:eastAsia="仿宋" w:cs="仿宋"/>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ab/>
      </w: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购</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人：铜川市朝阳实验小学</w:t>
      </w: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zh-CN"/>
        </w:rPr>
        <w:t>采购代理机构：陕西</w:t>
      </w:r>
      <w:r>
        <w:rPr>
          <w:rFonts w:hint="eastAsia" w:ascii="仿宋" w:hAnsi="仿宋" w:eastAsia="仿宋" w:cs="仿宋"/>
          <w:b/>
          <w:bCs/>
          <w:sz w:val="32"/>
          <w:szCs w:val="32"/>
        </w:rPr>
        <w:t>星火工程管理有限公司</w:t>
      </w: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lang w:val="zh-CN"/>
        </w:rPr>
      </w:pP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月</w:t>
      </w:r>
    </w:p>
    <w:p>
      <w:pPr>
        <w:pStyle w:val="8"/>
        <w:ind w:firstLine="0" w:firstLineChars="0"/>
        <w:jc w:val="center"/>
        <w:rPr>
          <w:rFonts w:hint="eastAsia" w:ascii="仿宋" w:hAnsi="仿宋" w:eastAsia="仿宋" w:cs="仿宋"/>
          <w:b/>
          <w:sz w:val="32"/>
          <w:szCs w:val="32"/>
        </w:rPr>
        <w:sectPr>
          <w:headerReference r:id="rId4" w:type="first"/>
          <w:headerReference r:id="rId3" w:type="default"/>
          <w:footerReference r:id="rId5" w:type="default"/>
          <w:pgSz w:w="11906" w:h="16838"/>
          <w:pgMar w:top="1418" w:right="1418" w:bottom="1418" w:left="1418" w:header="851" w:footer="992" w:gutter="0"/>
          <w:cols w:space="720" w:num="1"/>
          <w:titlePg/>
          <w:docGrid w:linePitch="312" w:charSpace="0"/>
        </w:sectPr>
      </w:pPr>
    </w:p>
    <w:p>
      <w:pPr>
        <w:pStyle w:val="8"/>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8"/>
        <w:tabs>
          <w:tab w:val="right" w:leader="dot" w:pos="9070"/>
          <w:tab w:val="clear" w:pos="9344"/>
        </w:tabs>
        <w:rPr>
          <w:rFonts w:hint="eastAsia" w:ascii="仿宋" w:hAnsi="仿宋" w:eastAsia="仿宋" w:cs="仿宋"/>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"_Toc25827" </w:instrText>
      </w:r>
      <w:r>
        <w:rPr>
          <w:rFonts w:hint="eastAsia" w:ascii="仿宋" w:hAnsi="仿宋" w:eastAsia="仿宋" w:cs="仿宋"/>
        </w:rPr>
        <w:fldChar w:fldCharType="separate"/>
      </w:r>
      <w:r>
        <w:rPr>
          <w:rFonts w:hint="eastAsia" w:ascii="仿宋" w:hAnsi="仿宋" w:eastAsia="仿宋" w:cs="仿宋"/>
          <w:szCs w:val="36"/>
        </w:rPr>
        <w:t>第一章  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_Toc25827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"_Toc17110" </w:instrText>
      </w:r>
      <w:r>
        <w:rPr>
          <w:rFonts w:hint="eastAsia" w:ascii="仿宋" w:hAnsi="仿宋" w:eastAsia="仿宋" w:cs="仿宋"/>
        </w:rPr>
        <w:fldChar w:fldCharType="separate"/>
      </w:r>
      <w:r>
        <w:rPr>
          <w:rFonts w:hint="eastAsia" w:ascii="仿宋" w:hAnsi="仿宋" w:eastAsia="仿宋" w:cs="仿宋"/>
          <w:szCs w:val="36"/>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_Toc17110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"_Toc16430" </w:instrText>
      </w:r>
      <w:r>
        <w:rPr>
          <w:rFonts w:hint="eastAsia" w:ascii="仿宋" w:hAnsi="仿宋" w:eastAsia="仿宋" w:cs="仿宋"/>
        </w:rPr>
        <w:fldChar w:fldCharType="separate"/>
      </w:r>
      <w:r>
        <w:rPr>
          <w:rFonts w:hint="eastAsia" w:ascii="仿宋" w:hAnsi="仿宋" w:eastAsia="仿宋" w:cs="仿宋"/>
          <w:szCs w:val="28"/>
        </w:rPr>
        <w:t>（一）供应商须知前附表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_Toc16430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"_Toc29763" </w:instrText>
      </w:r>
      <w:r>
        <w:rPr>
          <w:rFonts w:hint="eastAsia" w:ascii="仿宋" w:hAnsi="仿宋" w:eastAsia="仿宋" w:cs="仿宋"/>
        </w:rPr>
        <w:fldChar w:fldCharType="separate"/>
      </w:r>
      <w:r>
        <w:rPr>
          <w:rFonts w:hint="eastAsia" w:ascii="仿宋" w:hAnsi="仿宋" w:eastAsia="仿宋" w:cs="仿宋"/>
          <w:szCs w:val="32"/>
        </w:rPr>
        <w:t>（二）供应商须知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_Toc29763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"_Toc16024" </w:instrText>
      </w:r>
      <w:r>
        <w:rPr>
          <w:rFonts w:hint="eastAsia" w:ascii="仿宋" w:hAnsi="仿宋" w:eastAsia="仿宋" w:cs="仿宋"/>
        </w:rPr>
        <w:fldChar w:fldCharType="separate"/>
      </w:r>
      <w:r>
        <w:rPr>
          <w:rFonts w:hint="eastAsia" w:ascii="仿宋" w:hAnsi="仿宋" w:eastAsia="仿宋" w:cs="仿宋"/>
          <w:szCs w:val="30"/>
        </w:rPr>
        <w:t>一、总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_Toc16024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"_Toc11015" </w:instrText>
      </w:r>
      <w:r>
        <w:rPr>
          <w:rFonts w:hint="eastAsia" w:ascii="仿宋" w:hAnsi="仿宋" w:eastAsia="仿宋" w:cs="仿宋"/>
        </w:rPr>
        <w:fldChar w:fldCharType="separate"/>
      </w:r>
      <w:r>
        <w:rPr>
          <w:rFonts w:hint="eastAsia" w:ascii="仿宋" w:hAnsi="仿宋" w:eastAsia="仿宋" w:cs="仿宋"/>
          <w:szCs w:val="30"/>
        </w:rPr>
        <w:t>二、磋商文件说明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_Toc11015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"_Toc17888" </w:instrText>
      </w:r>
      <w:r>
        <w:rPr>
          <w:rFonts w:hint="eastAsia" w:ascii="仿宋" w:hAnsi="仿宋" w:eastAsia="仿宋" w:cs="仿宋"/>
        </w:rPr>
        <w:fldChar w:fldCharType="separate"/>
      </w:r>
      <w:r>
        <w:rPr>
          <w:rFonts w:hint="eastAsia" w:ascii="仿宋" w:hAnsi="仿宋" w:eastAsia="仿宋" w:cs="仿宋"/>
          <w:szCs w:val="30"/>
        </w:rPr>
        <w:t>三、响应文件的编写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_Toc17888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"_Toc19858" </w:instrText>
      </w:r>
      <w:r>
        <w:rPr>
          <w:rFonts w:hint="eastAsia" w:ascii="仿宋" w:hAnsi="仿宋" w:eastAsia="仿宋" w:cs="仿宋"/>
        </w:rPr>
        <w:fldChar w:fldCharType="separate"/>
      </w:r>
      <w:r>
        <w:rPr>
          <w:rFonts w:hint="eastAsia" w:ascii="仿宋" w:hAnsi="仿宋" w:eastAsia="仿宋" w:cs="仿宋"/>
          <w:szCs w:val="30"/>
        </w:rPr>
        <w:t>四、响应文件的密封和递交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_Toc19858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"_Toc951" </w:instrText>
      </w:r>
      <w:r>
        <w:rPr>
          <w:rFonts w:hint="eastAsia" w:ascii="仿宋" w:hAnsi="仿宋" w:eastAsia="仿宋" w:cs="仿宋"/>
        </w:rPr>
        <w:fldChar w:fldCharType="separate"/>
      </w:r>
      <w:r>
        <w:rPr>
          <w:rFonts w:hint="eastAsia" w:ascii="仿宋" w:hAnsi="仿宋" w:eastAsia="仿宋" w:cs="仿宋"/>
          <w:szCs w:val="30"/>
        </w:rPr>
        <w:t>五、评审与磋商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_Toc951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"_Toc14282" </w:instrText>
      </w:r>
      <w:r>
        <w:rPr>
          <w:rFonts w:hint="eastAsia" w:ascii="仿宋" w:hAnsi="仿宋" w:eastAsia="仿宋" w:cs="仿宋"/>
        </w:rPr>
        <w:fldChar w:fldCharType="separate"/>
      </w:r>
      <w:r>
        <w:rPr>
          <w:rFonts w:hint="eastAsia" w:ascii="仿宋" w:hAnsi="仿宋" w:eastAsia="仿宋" w:cs="仿宋"/>
          <w:szCs w:val="30"/>
        </w:rPr>
        <w:t>六、确定成交单位、授予合同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_Toc14282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"_Toc7545" </w:instrText>
      </w:r>
      <w:r>
        <w:rPr>
          <w:rFonts w:hint="eastAsia" w:ascii="仿宋" w:hAnsi="仿宋" w:eastAsia="仿宋" w:cs="仿宋"/>
        </w:rPr>
        <w:fldChar w:fldCharType="separate"/>
      </w:r>
      <w:r>
        <w:rPr>
          <w:rFonts w:hint="eastAsia" w:ascii="仿宋" w:hAnsi="仿宋" w:eastAsia="仿宋" w:cs="仿宋"/>
          <w:szCs w:val="36"/>
        </w:rPr>
        <w:t>第三章  评审办法和标准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_Toc7545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"_Toc25706" </w:instrText>
      </w:r>
      <w:r>
        <w:rPr>
          <w:rFonts w:hint="eastAsia" w:ascii="仿宋" w:hAnsi="仿宋" w:eastAsia="仿宋" w:cs="仿宋"/>
        </w:rPr>
        <w:fldChar w:fldCharType="separate"/>
      </w:r>
      <w:r>
        <w:rPr>
          <w:rFonts w:hint="eastAsia" w:ascii="仿宋" w:hAnsi="仿宋" w:eastAsia="仿宋" w:cs="仿宋"/>
          <w:szCs w:val="36"/>
        </w:rPr>
        <w:t>第四章  合同草案条款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_Toc25706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"_Toc3572" </w:instrText>
      </w:r>
      <w:r>
        <w:rPr>
          <w:rFonts w:hint="eastAsia" w:ascii="仿宋" w:hAnsi="仿宋" w:eastAsia="仿宋" w:cs="仿宋"/>
        </w:rPr>
        <w:fldChar w:fldCharType="separate"/>
      </w:r>
      <w:r>
        <w:rPr>
          <w:rFonts w:hint="eastAsia" w:ascii="仿宋" w:hAnsi="仿宋" w:eastAsia="仿宋" w:cs="仿宋"/>
          <w:szCs w:val="36"/>
        </w:rPr>
        <w:t>第五章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_Toc3572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"_Toc17846" </w:instrText>
      </w:r>
      <w:r>
        <w:rPr>
          <w:rFonts w:hint="eastAsia" w:ascii="仿宋" w:hAnsi="仿宋" w:eastAsia="仿宋" w:cs="仿宋"/>
        </w:rPr>
        <w:fldChar w:fldCharType="separate"/>
      </w:r>
      <w:r>
        <w:rPr>
          <w:rFonts w:hint="eastAsia" w:ascii="仿宋" w:hAnsi="仿宋" w:eastAsia="仿宋" w:cs="仿宋"/>
          <w:szCs w:val="36"/>
        </w:rPr>
        <w:t>第六章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_Toc17846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Cs w:val="28"/>
        </w:rPr>
        <w:fldChar w:fldCharType="end"/>
      </w:r>
    </w:p>
    <w:p>
      <w:pPr>
        <w:rPr>
          <w:rFonts w:hint="eastAsia" w:ascii="仿宋" w:hAnsi="仿宋" w:eastAsia="仿宋" w:cs="仿宋"/>
          <w:szCs w:val="20"/>
        </w:rPr>
      </w:pPr>
      <w:r>
        <w:rPr>
          <w:rFonts w:hint="eastAsia" w:ascii="仿宋" w:hAnsi="仿宋" w:eastAsia="仿宋" w:cs="仿宋"/>
          <w:szCs w:val="20"/>
        </w:rPr>
        <w:br w:type="page"/>
      </w:r>
    </w:p>
    <w:p>
      <w:pPr>
        <w:pStyle w:val="49"/>
        <w:spacing w:line="360" w:lineRule="auto"/>
        <w:rPr>
          <w:rStyle w:val="207"/>
          <w:rFonts w:hint="eastAsia" w:ascii="仿宋" w:hAnsi="仿宋" w:eastAsia="仿宋" w:cs="仿宋"/>
          <w:sz w:val="36"/>
          <w:szCs w:val="36"/>
        </w:rPr>
      </w:pPr>
      <w:bookmarkStart w:id="0" w:name="_Toc415499894"/>
      <w:bookmarkStart w:id="1" w:name="_Toc21755"/>
      <w:bookmarkStart w:id="2" w:name="_Toc58504445"/>
      <w:bookmarkStart w:id="3" w:name="_Toc25827"/>
      <w:bookmarkStart w:id="4" w:name="_Toc496324577"/>
      <w:bookmarkStart w:id="5" w:name="_Toc177817333"/>
      <w:bookmarkStart w:id="6" w:name="_Toc503063420"/>
      <w:bookmarkStart w:id="7" w:name="_Toc176882541"/>
      <w:bookmarkStart w:id="8" w:name="_Toc177189234"/>
      <w:bookmarkStart w:id="9" w:name="_Toc499711882"/>
      <w:bookmarkStart w:id="10" w:name="_Toc500747060"/>
      <w:bookmarkStart w:id="11" w:name="_Toc492955413"/>
      <w:bookmarkStart w:id="12" w:name="_Toc177995472"/>
      <w:bookmarkStart w:id="13" w:name="_Toc70687138"/>
      <w:bookmarkStart w:id="14" w:name="_Toc53722839"/>
      <w:bookmarkStart w:id="15" w:name="_Toc500746964"/>
      <w:bookmarkStart w:id="16" w:name="_Toc500747187"/>
      <w:bookmarkStart w:id="17" w:name="_Toc499711041"/>
      <w:bookmarkStart w:id="18" w:name="_Toc385992325"/>
      <w:bookmarkStart w:id="19" w:name="_Toc385992324"/>
      <w:r>
        <w:rPr>
          <w:rStyle w:val="207"/>
          <w:rFonts w:hint="eastAsia" w:ascii="仿宋" w:hAnsi="仿宋" w:eastAsia="仿宋" w:cs="仿宋"/>
          <w:sz w:val="36"/>
          <w:szCs w:val="36"/>
        </w:rPr>
        <w:t>第一章  磋商公告</w:t>
      </w:r>
      <w:bookmarkEnd w:id="0"/>
      <w:bookmarkEnd w:id="1"/>
      <w:bookmarkEnd w:id="2"/>
      <w:bookmarkEnd w:id="3"/>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铜川市朝阳实验小学多媒体及配套设备采购项目</w:t>
      </w:r>
      <w:r>
        <w:rPr>
          <w:rFonts w:hint="eastAsia" w:ascii="仿宋" w:hAnsi="仿宋" w:eastAsia="仿宋" w:cs="仿宋"/>
          <w:b/>
          <w:sz w:val="28"/>
          <w:szCs w:val="28"/>
        </w:rPr>
        <w:t>竞争性磋商公告</w:t>
      </w:r>
    </w:p>
    <w:p>
      <w:pPr>
        <w:widowControl/>
        <w:snapToGrid w:val="0"/>
        <w:spacing w:line="360" w:lineRule="auto"/>
        <w:ind w:right="-197" w:rightChars="-94" w:firstLine="420" w:firstLineChars="200"/>
        <w:jc w:val="left"/>
        <w:rPr>
          <w:rFonts w:hint="eastAsia" w:ascii="仿宋" w:hAnsi="仿宋" w:eastAsia="仿宋" w:cs="仿宋"/>
          <w:kern w:val="0"/>
          <w:sz w:val="24"/>
        </w:rPr>
      </w:pPr>
      <w:r>
        <w:rPr>
          <w:rFonts w:hint="eastAsia" w:ascii="仿宋" w:hAnsi="仿宋" w:eastAsia="仿宋" w:cs="仿宋"/>
        </w:rPr>
        <w:fldChar w:fldCharType="begin"/>
      </w:r>
      <w:r>
        <w:rPr>
          <w:rFonts w:hint="eastAsia" w:ascii="仿宋" w:hAnsi="仿宋" w:eastAsia="仿宋" w:cs="仿宋"/>
        </w:rPr>
        <w:instrText xml:space="preserve"> HYPERLINK "mailto:2021年西安市畜禽产品质量监测项目潜在的供应商可在西安市高新区高新路88号尚品国际C幢北12804室或邮箱330730271@qq.com获取采购文件，并于2021-" </w:instrText>
      </w:r>
      <w:r>
        <w:rPr>
          <w:rFonts w:hint="eastAsia" w:ascii="仿宋" w:hAnsi="仿宋" w:eastAsia="仿宋" w:cs="仿宋"/>
        </w:rPr>
        <w:fldChar w:fldCharType="separate"/>
      </w:r>
      <w:r>
        <w:rPr>
          <w:rStyle w:val="60"/>
          <w:rFonts w:hint="eastAsia" w:ascii="仿宋" w:hAnsi="仿宋" w:eastAsia="仿宋" w:cs="仿宋"/>
          <w:color w:val="000000" w:themeColor="text1"/>
          <w:kern w:val="0"/>
          <w:sz w:val="24"/>
          <w:u w:val="none"/>
          <w:lang w:eastAsia="zh-CN"/>
          <w14:textFill>
            <w14:solidFill>
              <w14:schemeClr w14:val="tx1"/>
            </w14:solidFill>
          </w14:textFill>
        </w:rPr>
        <w:t>多媒体及配套设备采购项目</w:t>
      </w:r>
      <w:r>
        <w:rPr>
          <w:rStyle w:val="60"/>
          <w:rFonts w:hint="eastAsia" w:ascii="仿宋" w:hAnsi="仿宋" w:eastAsia="仿宋" w:cs="仿宋"/>
          <w:color w:val="000000" w:themeColor="text1"/>
          <w:kern w:val="0"/>
          <w:sz w:val="24"/>
          <w:u w:val="none"/>
          <w14:textFill>
            <w14:solidFill>
              <w14:schemeClr w14:val="tx1"/>
            </w14:solidFill>
          </w14:textFill>
        </w:rPr>
        <w:t>潜在的供应商</w:t>
      </w:r>
      <w:r>
        <w:rPr>
          <w:rStyle w:val="60"/>
          <w:rFonts w:hint="eastAsia" w:ascii="仿宋" w:hAnsi="仿宋" w:eastAsia="仿宋" w:cs="仿宋"/>
          <w:color w:val="000000" w:themeColor="text1"/>
          <w:kern w:val="0"/>
          <w:sz w:val="24"/>
          <w:u w:val="none"/>
          <w:lang w:eastAsia="zh-CN"/>
          <w14:textFill>
            <w14:solidFill>
              <w14:schemeClr w14:val="tx1"/>
            </w14:solidFill>
          </w14:textFill>
        </w:rPr>
        <w:t>应</w:t>
      </w:r>
      <w:r>
        <w:rPr>
          <w:rStyle w:val="60"/>
          <w:rFonts w:hint="eastAsia" w:ascii="仿宋" w:hAnsi="仿宋" w:eastAsia="仿宋" w:cs="仿宋"/>
          <w:color w:val="000000" w:themeColor="text1"/>
          <w:kern w:val="0"/>
          <w:sz w:val="24"/>
          <w:u w:val="none"/>
          <w14:textFill>
            <w14:solidFill>
              <w14:schemeClr w14:val="tx1"/>
            </w14:solidFill>
          </w14:textFill>
        </w:rPr>
        <w:t>在西安市高新区高新路88号尚品国际C幢北28楼1280</w:t>
      </w:r>
      <w:r>
        <w:rPr>
          <w:rStyle w:val="60"/>
          <w:rFonts w:hint="eastAsia" w:ascii="仿宋" w:hAnsi="仿宋" w:eastAsia="仿宋" w:cs="仿宋"/>
          <w:color w:val="000000" w:themeColor="text1"/>
          <w:kern w:val="0"/>
          <w:sz w:val="24"/>
          <w:u w:val="none"/>
          <w:lang w:val="en-US" w:eastAsia="zh-CN"/>
          <w14:textFill>
            <w14:solidFill>
              <w14:schemeClr w14:val="tx1"/>
            </w14:solidFill>
          </w14:textFill>
        </w:rPr>
        <w:t>5</w:t>
      </w:r>
      <w:r>
        <w:rPr>
          <w:rStyle w:val="60"/>
          <w:rFonts w:hint="eastAsia" w:ascii="仿宋" w:hAnsi="仿宋" w:eastAsia="仿宋" w:cs="仿宋"/>
          <w:color w:val="000000" w:themeColor="text1"/>
          <w:kern w:val="0"/>
          <w:sz w:val="24"/>
          <w:u w:val="none"/>
          <w14:textFill>
            <w14:solidFill>
              <w14:schemeClr w14:val="tx1"/>
            </w14:solidFill>
          </w14:textFill>
        </w:rPr>
        <w:t>室或邮箱975240583@qq.com获取采购文件，并于202</w:t>
      </w:r>
      <w:r>
        <w:rPr>
          <w:rStyle w:val="60"/>
          <w:rFonts w:hint="eastAsia" w:ascii="仿宋" w:hAnsi="仿宋" w:eastAsia="仿宋" w:cs="仿宋"/>
          <w:color w:val="000000" w:themeColor="text1"/>
          <w:kern w:val="0"/>
          <w:sz w:val="24"/>
          <w:u w:val="none"/>
          <w:lang w:val="en-US" w:eastAsia="zh-CN"/>
          <w14:textFill>
            <w14:solidFill>
              <w14:schemeClr w14:val="tx1"/>
            </w14:solidFill>
          </w14:textFill>
        </w:rPr>
        <w:t>3</w:t>
      </w:r>
      <w:r>
        <w:rPr>
          <w:rStyle w:val="60"/>
          <w:rFonts w:hint="eastAsia" w:ascii="仿宋" w:hAnsi="仿宋" w:eastAsia="仿宋" w:cs="仿宋"/>
          <w:color w:val="000000" w:themeColor="text1"/>
          <w:kern w:val="0"/>
          <w:sz w:val="24"/>
          <w:u w:val="none"/>
          <w14:textFill>
            <w14:solidFill>
              <w14:schemeClr w14:val="tx1"/>
            </w14:solidFill>
          </w14:textFill>
        </w:rPr>
        <w:fldChar w:fldCharType="end"/>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lang w:val="en-US" w:eastAsia="zh-CN"/>
          <w14:textFill>
            <w14:solidFill>
              <w14:schemeClr w14:val="tx1"/>
            </w14:solidFill>
          </w14:textFill>
        </w:rPr>
        <w:t>10</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lang w:val="en-US" w:eastAsia="zh-CN"/>
          <w14:textFill>
            <w14:solidFill>
              <w14:schemeClr w14:val="tx1"/>
            </w14:solidFill>
          </w14:textFill>
        </w:rPr>
        <w:t>12</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09</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0:00</w:t>
      </w:r>
      <w:r>
        <w:rPr>
          <w:rFonts w:hint="eastAsia" w:ascii="仿宋" w:hAnsi="仿宋" w:eastAsia="仿宋" w:cs="仿宋"/>
          <w:kern w:val="0"/>
          <w:sz w:val="24"/>
          <w:lang w:eastAsia="zh-CN"/>
        </w:rPr>
        <w:t>（北京时间）</w:t>
      </w:r>
      <w:r>
        <w:rPr>
          <w:rFonts w:hint="eastAsia" w:ascii="仿宋" w:hAnsi="仿宋" w:eastAsia="仿宋" w:cs="仿宋"/>
          <w:kern w:val="0"/>
          <w:sz w:val="24"/>
        </w:rPr>
        <w:t>前递交响应文件。</w:t>
      </w:r>
    </w:p>
    <w:p>
      <w:pPr>
        <w:widowControl/>
        <w:snapToGrid w:val="0"/>
        <w:spacing w:line="360" w:lineRule="auto"/>
        <w:ind w:right="-197" w:rightChars="-94" w:firstLine="482" w:firstLineChars="200"/>
        <w:jc w:val="left"/>
        <w:rPr>
          <w:rFonts w:hint="eastAsia" w:ascii="仿宋" w:hAnsi="仿宋" w:eastAsia="仿宋" w:cs="仿宋"/>
          <w:color w:val="222222"/>
          <w:sz w:val="24"/>
        </w:rPr>
      </w:pPr>
      <w:r>
        <w:rPr>
          <w:rStyle w:val="54"/>
          <w:rFonts w:hint="eastAsia" w:ascii="仿宋" w:hAnsi="仿宋" w:eastAsia="仿宋" w:cs="仿宋"/>
          <w:b/>
          <w:bCs/>
          <w:color w:val="222222"/>
          <w:sz w:val="24"/>
          <w:shd w:val="clear" w:color="auto" w:fill="FFFFFF"/>
        </w:rPr>
        <w:t>一、项目基本情况</w:t>
      </w:r>
    </w:p>
    <w:p>
      <w:pPr>
        <w:pStyle w:val="47"/>
        <w:shd w:val="clear" w:color="auto" w:fill="FFFFFF"/>
        <w:spacing w:before="0" w:beforeAutospacing="0" w:after="0" w:afterAutospacing="0" w:line="480" w:lineRule="atLeast"/>
        <w:ind w:firstLine="480"/>
        <w:jc w:val="both"/>
        <w:rPr>
          <w:rFonts w:hint="eastAsia" w:ascii="仿宋" w:hAnsi="仿宋" w:eastAsia="仿宋" w:cs="仿宋"/>
          <w:color w:val="222222"/>
          <w:lang w:eastAsia="zh-CN"/>
        </w:rPr>
      </w:pPr>
      <w:r>
        <w:rPr>
          <w:rFonts w:hint="eastAsia" w:ascii="仿宋" w:hAnsi="仿宋" w:eastAsia="仿宋" w:cs="仿宋"/>
          <w:color w:val="222222"/>
          <w:shd w:val="clear" w:color="auto" w:fill="FFFFFF"/>
        </w:rPr>
        <w:t>项目编号：</w:t>
      </w:r>
      <w:r>
        <w:rPr>
          <w:rFonts w:hint="eastAsia" w:ascii="仿宋" w:hAnsi="仿宋" w:eastAsia="仿宋" w:cs="仿宋"/>
          <w:color w:val="222222"/>
          <w:shd w:val="clear" w:color="auto" w:fill="FFFFFF"/>
          <w:lang w:eastAsia="zh-CN"/>
        </w:rPr>
        <w:t>XHZB2023-CS-024/001</w:t>
      </w:r>
    </w:p>
    <w:p>
      <w:pPr>
        <w:pStyle w:val="47"/>
        <w:shd w:val="clear" w:color="auto" w:fill="FFFFFF"/>
        <w:spacing w:before="0" w:beforeAutospacing="0" w:after="0" w:afterAutospacing="0" w:line="480" w:lineRule="atLeast"/>
        <w:ind w:firstLine="480"/>
        <w:jc w:val="both"/>
        <w:rPr>
          <w:rFonts w:hint="eastAsia" w:ascii="仿宋" w:hAnsi="仿宋" w:eastAsia="仿宋" w:cs="仿宋"/>
          <w:color w:val="222222"/>
        </w:rPr>
      </w:pPr>
      <w:r>
        <w:rPr>
          <w:rFonts w:hint="eastAsia" w:ascii="仿宋" w:hAnsi="仿宋" w:eastAsia="仿宋" w:cs="仿宋"/>
          <w:color w:val="222222"/>
          <w:shd w:val="clear" w:color="auto" w:fill="FFFFFF"/>
        </w:rPr>
        <w:t>项目名称：</w:t>
      </w:r>
      <w:r>
        <w:rPr>
          <w:rFonts w:hint="eastAsia" w:ascii="仿宋" w:hAnsi="仿宋" w:eastAsia="仿宋" w:cs="仿宋"/>
          <w:color w:val="222222"/>
          <w:shd w:val="clear" w:color="auto" w:fill="FFFFFF"/>
          <w:lang w:eastAsia="zh-CN"/>
        </w:rPr>
        <w:t>多媒体及配套设备采购项目</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color w:val="222222"/>
          <w:shd w:val="clear" w:color="auto" w:fill="FFFFFF"/>
        </w:rPr>
        <w:t>采购方</w:t>
      </w:r>
      <w:r>
        <w:rPr>
          <w:rFonts w:hint="eastAsia" w:ascii="仿宋" w:hAnsi="仿宋" w:eastAsia="仿宋" w:cs="仿宋"/>
          <w:shd w:val="clear" w:color="auto" w:fill="FFFFFF"/>
        </w:rPr>
        <w:t>式：竞争性磋商</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预算金额：</w:t>
      </w:r>
      <w:r>
        <w:rPr>
          <w:rFonts w:hint="eastAsia" w:ascii="仿宋" w:hAnsi="仿宋" w:eastAsia="仿宋" w:cs="仿宋"/>
          <w:shd w:val="clear" w:color="auto" w:fill="FFFFFF"/>
          <w:lang w:eastAsia="zh-CN"/>
        </w:rPr>
        <w:t>679920.00</w:t>
      </w:r>
      <w:r>
        <w:rPr>
          <w:rFonts w:hint="eastAsia" w:ascii="仿宋" w:hAnsi="仿宋" w:eastAsia="仿宋" w:cs="仿宋"/>
          <w:shd w:val="clear" w:color="auto" w:fill="FFFFFF"/>
        </w:rPr>
        <w:t>元</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采购需求：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多媒体及配套设备采购项目</w:t>
      </w:r>
      <w:r>
        <w:rPr>
          <w:rFonts w:hint="eastAsia" w:ascii="仿宋" w:hAnsi="仿宋" w:eastAsia="仿宋" w:cs="仿宋"/>
          <w:shd w:val="clear" w:color="auto" w:fill="FFFFFF"/>
        </w:rPr>
        <w:t>):</w:t>
      </w:r>
    </w:p>
    <w:p>
      <w:pPr>
        <w:pStyle w:val="47"/>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合同包预算金额：</w:t>
      </w:r>
      <w:r>
        <w:rPr>
          <w:rFonts w:hint="eastAsia" w:ascii="仿宋" w:hAnsi="仿宋" w:eastAsia="仿宋" w:cs="仿宋"/>
          <w:shd w:val="clear" w:color="auto" w:fill="FFFFFF"/>
          <w:lang w:eastAsia="zh-CN"/>
        </w:rPr>
        <w:t>679920.00</w:t>
      </w:r>
      <w:r>
        <w:rPr>
          <w:rFonts w:hint="eastAsia" w:ascii="仿宋" w:hAnsi="仿宋" w:eastAsia="仿宋" w:cs="仿宋"/>
          <w:shd w:val="clear" w:color="auto" w:fill="FFFFFF"/>
        </w:rPr>
        <w:t>元</w:t>
      </w:r>
    </w:p>
    <w:p>
      <w:pPr>
        <w:pStyle w:val="47"/>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合同包最高限价：</w:t>
      </w:r>
      <w:r>
        <w:rPr>
          <w:rFonts w:hint="eastAsia" w:ascii="仿宋" w:hAnsi="仿宋" w:eastAsia="仿宋" w:cs="仿宋"/>
          <w:shd w:val="clear" w:color="auto" w:fill="FFFFFF"/>
          <w:lang w:eastAsia="zh-CN"/>
        </w:rPr>
        <w:t>679920.00</w:t>
      </w:r>
      <w:r>
        <w:rPr>
          <w:rFonts w:hint="eastAsia" w:ascii="仿宋" w:hAnsi="仿宋" w:eastAsia="仿宋" w:cs="仿宋"/>
          <w:shd w:val="clear" w:color="auto" w:fill="FFFFFF"/>
        </w:rPr>
        <w:t>元</w:t>
      </w:r>
    </w:p>
    <w:tbl>
      <w:tblPr>
        <w:tblStyle w:val="51"/>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83"/>
        <w:gridCol w:w="1710"/>
        <w:gridCol w:w="1798"/>
        <w:gridCol w:w="1223"/>
        <w:gridCol w:w="1185"/>
        <w:gridCol w:w="1628"/>
        <w:gridCol w:w="1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4"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品目号</w:t>
            </w:r>
          </w:p>
        </w:tc>
        <w:tc>
          <w:tcPr>
            <w:tcW w:w="11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品目名称</w:t>
            </w:r>
          </w:p>
        </w:tc>
        <w:tc>
          <w:tcPr>
            <w:tcW w:w="2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采购标的</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数量</w:t>
            </w:r>
          </w:p>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（单位）</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品目预算(元)</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sz w:val="24"/>
                <w:szCs w:val="24"/>
                <w:highlight w:val="none"/>
                <w:lang w:val="en-US" w:eastAsia="zh-CN"/>
              </w:rPr>
              <w:t>其他信息化设备</w:t>
            </w:r>
          </w:p>
        </w:tc>
        <w:tc>
          <w:tcPr>
            <w:tcW w:w="2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lang w:eastAsia="zh-CN"/>
              </w:rPr>
            </w:pPr>
            <w:r>
              <w:rPr>
                <w:rFonts w:hint="eastAsia" w:ascii="仿宋" w:hAnsi="仿宋" w:eastAsia="仿宋" w:cs="仿宋"/>
                <w:sz w:val="24"/>
                <w:lang w:eastAsia="zh-CN"/>
              </w:rPr>
              <w:t>多媒体及配套设备</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1(批)</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lang w:eastAsia="zh-CN"/>
              </w:rPr>
            </w:pPr>
            <w:r>
              <w:rPr>
                <w:rFonts w:hint="eastAsia" w:ascii="仿宋" w:hAnsi="仿宋" w:eastAsia="仿宋" w:cs="仿宋"/>
                <w:kern w:val="0"/>
                <w:sz w:val="24"/>
                <w:lang w:eastAsia="zh-CN" w:bidi="ar"/>
              </w:rPr>
              <w:t>679920.00</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lang w:eastAsia="zh-CN"/>
              </w:rPr>
            </w:pPr>
            <w:r>
              <w:rPr>
                <w:rFonts w:hint="eastAsia" w:ascii="仿宋" w:hAnsi="仿宋" w:eastAsia="仿宋" w:cs="仿宋"/>
                <w:kern w:val="0"/>
                <w:sz w:val="24"/>
                <w:lang w:eastAsia="zh-CN" w:bidi="ar"/>
              </w:rPr>
              <w:t>679920.00</w:t>
            </w:r>
          </w:p>
        </w:tc>
      </w:tr>
    </w:tbl>
    <w:p>
      <w:pPr>
        <w:pStyle w:val="47"/>
        <w:spacing w:before="0" w:beforeAutospacing="0" w:after="0" w:afterAutospacing="0" w:line="480" w:lineRule="atLeast"/>
        <w:ind w:firstLine="630"/>
        <w:jc w:val="both"/>
        <w:rPr>
          <w:rFonts w:hint="eastAsia" w:ascii="仿宋" w:hAnsi="仿宋" w:eastAsia="仿宋" w:cs="仿宋"/>
          <w:highlight w:val="none"/>
        </w:rPr>
      </w:pPr>
      <w:r>
        <w:rPr>
          <w:rFonts w:hint="eastAsia" w:ascii="仿宋" w:hAnsi="仿宋" w:eastAsia="仿宋" w:cs="仿宋"/>
          <w:shd w:val="clear" w:color="auto" w:fill="FFFFFF"/>
        </w:rPr>
        <w:t>本合同包不接</w:t>
      </w:r>
      <w:r>
        <w:rPr>
          <w:rFonts w:hint="eastAsia" w:ascii="仿宋" w:hAnsi="仿宋" w:eastAsia="仿宋" w:cs="仿宋"/>
          <w:highlight w:val="none"/>
          <w:shd w:val="clear" w:color="auto" w:fill="FFFFFF"/>
        </w:rPr>
        <w:t>受联合体投标</w:t>
      </w:r>
    </w:p>
    <w:p>
      <w:pPr>
        <w:pStyle w:val="47"/>
        <w:spacing w:before="0" w:beforeAutospacing="0" w:after="0" w:afterAutospacing="0" w:line="480" w:lineRule="atLeast"/>
        <w:ind w:firstLine="630"/>
        <w:jc w:val="both"/>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合同履行期限：</w:t>
      </w:r>
      <w:r>
        <w:rPr>
          <w:rFonts w:hint="eastAsia" w:ascii="仿宋" w:hAnsi="仿宋" w:eastAsia="仿宋" w:cs="仿宋"/>
          <w:i w:val="0"/>
          <w:iCs w:val="0"/>
          <w:caps w:val="0"/>
          <w:color w:val="222222"/>
          <w:spacing w:val="0"/>
          <w:sz w:val="24"/>
          <w:szCs w:val="24"/>
          <w:highlight w:val="yellow"/>
          <w:lang w:eastAsia="zh-CN"/>
        </w:rPr>
        <w:t>合同签订后10日历天内到货并安装完成</w:t>
      </w:r>
    </w:p>
    <w:p>
      <w:pPr>
        <w:pStyle w:val="47"/>
        <w:spacing w:before="0" w:beforeAutospacing="0" w:after="0" w:afterAutospacing="0" w:line="480" w:lineRule="atLeast"/>
        <w:ind w:firstLine="63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二、申请人的资格要求：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highlight w:val="none"/>
          <w:shd w:val="clear" w:color="auto" w:fill="FFFFFF"/>
        </w:rPr>
        <w:t>1.满足《中华人民共和国政府采购法》第</w:t>
      </w:r>
      <w:r>
        <w:rPr>
          <w:rFonts w:hint="eastAsia" w:ascii="仿宋" w:hAnsi="仿宋" w:eastAsia="仿宋" w:cs="仿宋"/>
          <w:shd w:val="clear" w:color="auto" w:fill="FFFFFF"/>
        </w:rPr>
        <w:t>二十二条规定;</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2.落实政府采购政策需满足的资格要求：</w:t>
      </w:r>
    </w:p>
    <w:p>
      <w:pPr>
        <w:pStyle w:val="47"/>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多媒体及配套设备采购项目</w:t>
      </w:r>
      <w:r>
        <w:rPr>
          <w:rFonts w:hint="eastAsia" w:ascii="仿宋" w:hAnsi="仿宋" w:eastAsia="仿宋" w:cs="仿宋"/>
          <w:shd w:val="clear" w:color="auto" w:fill="FFFFFF"/>
        </w:rPr>
        <w:t>)落实政府采购政策需满足的资格要求如下:</w:t>
      </w:r>
    </w:p>
    <w:p>
      <w:pPr>
        <w:pStyle w:val="47"/>
        <w:spacing w:before="0" w:beforeAutospacing="0" w:after="0" w:afterAutospacing="0" w:line="480" w:lineRule="atLeast"/>
        <w:ind w:firstLine="480"/>
        <w:jc w:val="both"/>
        <w:rPr>
          <w:rFonts w:hint="eastAsia" w:ascii="仿宋" w:hAnsi="仿宋" w:eastAsia="仿宋" w:cs="仿宋"/>
          <w:highlight w:val="none"/>
          <w:lang w:eastAsia="zh-CN"/>
        </w:rPr>
      </w:pPr>
      <w:r>
        <w:rPr>
          <w:rFonts w:hint="eastAsia" w:ascii="仿宋" w:hAnsi="仿宋" w:eastAsia="仿宋" w:cs="仿宋"/>
          <w:highlight w:val="none"/>
          <w:shd w:val="clear" w:color="auto" w:fill="FFFFFF"/>
          <w:lang w:eastAsia="zh-CN"/>
        </w:rPr>
        <w:t>无，不属于专门面向中小企业采购的项目；落实陕西省财政厅关于印发《陕西省中小企业政府采购信用融资办法》（陕财办采〔2018〕23号）等内容。</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3.本项目的特定资格要求：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多媒体及配套设备采购项目</w:t>
      </w:r>
      <w:r>
        <w:rPr>
          <w:rFonts w:hint="eastAsia" w:ascii="仿宋" w:hAnsi="仿宋" w:eastAsia="仿宋" w:cs="仿宋"/>
          <w:shd w:val="clear" w:color="auto" w:fill="FFFFFF"/>
        </w:rPr>
        <w:t>)特定资格要求如下:</w:t>
      </w:r>
    </w:p>
    <w:p>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3.1、</w:t>
      </w:r>
      <w:r>
        <w:rPr>
          <w:rFonts w:hint="eastAsia" w:ascii="仿宋" w:hAnsi="仿宋" w:eastAsia="仿宋" w:cs="仿宋"/>
          <w:i w:val="0"/>
          <w:iCs w:val="0"/>
          <w:caps w:val="0"/>
          <w:color w:val="222222"/>
          <w:spacing w:val="0"/>
          <w:sz w:val="24"/>
          <w:szCs w:val="24"/>
          <w:lang w:eastAsia="zh-CN"/>
        </w:rPr>
        <w:t>供应商在递交投标文件截止时间</w:t>
      </w:r>
      <w:r>
        <w:rPr>
          <w:rFonts w:hint="eastAsia" w:ascii="仿宋" w:hAnsi="仿宋" w:eastAsia="仿宋" w:cs="仿宋"/>
          <w:i w:val="0"/>
          <w:iCs w:val="0"/>
          <w:caps w:val="0"/>
          <w:color w:val="222222"/>
          <w:spacing w:val="0"/>
          <w:sz w:val="24"/>
          <w:szCs w:val="24"/>
        </w:rPr>
        <w:t>前被“信用中国”网站（www.creditchina.gov.cn）和中国政府采购网（www.ccgp.gov.cn）上被列入失信被执行人、重大税收违法案件当事人名单、政府采购严重违法失信行为记录名单的，不得参加投标；</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3.2</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3.3供应商不得存在下列情形之一：</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（1）单位负责人为同一人或者存在直接控股、管理关系的不同供应商，不得参加本次采购活动；</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（2）为本项目提供整体设计、规范编制或者项目管理、监理、检测等服务的供应商，不得再参加本项目的采购活动；</w:t>
      </w:r>
    </w:p>
    <w:p>
      <w:pPr>
        <w:pStyle w:val="47"/>
        <w:spacing w:before="0" w:beforeAutospacing="0" w:after="0" w:afterAutospacing="0" w:line="480" w:lineRule="atLeast"/>
        <w:ind w:left="480"/>
        <w:jc w:val="both"/>
        <w:rPr>
          <w:rFonts w:hint="eastAsia" w:ascii="仿宋" w:hAnsi="仿宋" w:eastAsia="仿宋" w:cs="仿宋"/>
        </w:rPr>
      </w:pPr>
      <w:r>
        <w:rPr>
          <w:rStyle w:val="54"/>
          <w:rFonts w:hint="eastAsia" w:ascii="仿宋" w:hAnsi="仿宋" w:eastAsia="仿宋" w:cs="仿宋"/>
          <w:b/>
          <w:bCs/>
          <w:shd w:val="clear" w:color="auto" w:fill="FFFFFF"/>
        </w:rPr>
        <w:t>三、获取采购文件</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26</w:t>
      </w:r>
      <w:r>
        <w:rPr>
          <w:rFonts w:hint="eastAsia" w:ascii="仿宋" w:hAnsi="仿宋" w:eastAsia="仿宋" w:cs="仿宋"/>
          <w:shd w:val="clear" w:color="auto" w:fill="FFFFFF"/>
        </w:rPr>
        <w:t>日 至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8</w:t>
      </w:r>
      <w:r>
        <w:rPr>
          <w:rFonts w:hint="eastAsia" w:ascii="仿宋" w:hAnsi="仿宋" w:eastAsia="仿宋" w:cs="仿宋"/>
          <w:shd w:val="clear" w:color="auto" w:fill="FFFFFF"/>
        </w:rPr>
        <w:t>日 ，每天上午 08:00:00 至 12:00:00 ，下午 14:00:00 至 18:00:00 （北京时间,法定节假日除外）</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地点：西安市高新区高新路88号尚品国际C幢北28楼1280</w:t>
      </w:r>
      <w:r>
        <w:rPr>
          <w:rFonts w:hint="eastAsia" w:ascii="仿宋" w:hAnsi="仿宋" w:eastAsia="仿宋" w:cs="仿宋"/>
          <w:shd w:val="clear" w:color="auto" w:fill="FFFFFF"/>
          <w:lang w:val="en-US" w:eastAsia="zh-CN"/>
        </w:rPr>
        <w:t>5</w:t>
      </w:r>
      <w:r>
        <w:rPr>
          <w:rFonts w:hint="eastAsia" w:ascii="仿宋" w:hAnsi="仿宋" w:eastAsia="仿宋" w:cs="仿宋"/>
          <w:shd w:val="clear" w:color="auto" w:fill="FFFFFF"/>
        </w:rPr>
        <w:t>室或邮箱975240583@qq.com</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方式：现场获取</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售价：免费获取</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四、响应文件提交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截止时间：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12</w:t>
      </w:r>
      <w:r>
        <w:rPr>
          <w:rFonts w:hint="eastAsia" w:ascii="仿宋" w:hAnsi="仿宋" w:eastAsia="仿宋" w:cs="仿宋"/>
          <w:shd w:val="clear" w:color="auto" w:fill="FFFFFF"/>
        </w:rPr>
        <w:t xml:space="preserve">日 </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时</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0分00秒 （北京时间）</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地点：西安市高新路88号尚品国际C幢北28楼12805室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五、开启</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12</w:t>
      </w:r>
      <w:r>
        <w:rPr>
          <w:rFonts w:hint="eastAsia" w:ascii="仿宋" w:hAnsi="仿宋" w:eastAsia="仿宋" w:cs="仿宋"/>
          <w:shd w:val="clear" w:color="auto" w:fill="FFFFFF"/>
        </w:rPr>
        <w:t>日</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时</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0分00秒 （北京时间）</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地点：西安市高新路88号尚品国际C幢北28楼12805室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六、公告期限</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自本公告发布之日起3个工作日。</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七、其他补充事宜</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1、供应商持单位介绍信及身份证原件复印件领取磋商文件</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供应商可以将相关资料发至项目负责人邮箱 (975240583@qq.com)并在邮件中注明公司名称、联系人、联系电话及邮箱，并附单位介绍信、加盖公章的被授权人身份证扫描件（邮件发送当日招标代理机构项目负责人若未以邮件形式回复，请及时致电联系）。项目负责人确认信息后，将加盖公章的磋商文件电子版发送至单位邮箱。</w:t>
      </w:r>
    </w:p>
    <w:p>
      <w:pPr>
        <w:pStyle w:val="47"/>
        <w:spacing w:before="0" w:beforeAutospacing="0" w:after="0" w:afterAutospacing="0" w:line="480" w:lineRule="atLeast"/>
        <w:ind w:firstLine="480" w:firstLineChars="200"/>
        <w:jc w:val="both"/>
        <w:rPr>
          <w:rFonts w:hint="eastAsia" w:ascii="仿宋" w:hAnsi="仿宋" w:eastAsia="仿宋" w:cs="仿宋"/>
          <w:lang w:eastAsia="zh-CN"/>
        </w:rPr>
      </w:pPr>
      <w:r>
        <w:rPr>
          <w:rFonts w:hint="eastAsia" w:ascii="仿宋" w:hAnsi="仿宋" w:eastAsia="仿宋" w:cs="仿宋"/>
          <w:shd w:val="clear" w:color="auto" w:fill="FFFFFF"/>
        </w:rPr>
        <w:t xml:space="preserve"> 2、供应商务必按照《陕西省财政厅关于政府采购供应商注册登记有关事项的通知》要求，通过陕西省政府采购网（www.ccgp-shaanxi.gov.cn）进行陕西政府采购统一身份认证注册登记</w:t>
      </w:r>
      <w:r>
        <w:rPr>
          <w:rFonts w:hint="eastAsia" w:ascii="仿宋" w:hAnsi="仿宋" w:eastAsia="仿宋" w:cs="仿宋"/>
          <w:shd w:val="clear" w:color="auto" w:fill="FFFFFF"/>
          <w:lang w:eastAsia="zh-CN"/>
        </w:rPr>
        <w:t>。</w:t>
      </w:r>
    </w:p>
    <w:p>
      <w:pPr>
        <w:pStyle w:val="47"/>
        <w:spacing w:before="0" w:beforeAutospacing="0" w:after="0" w:afterAutospacing="0" w:line="480" w:lineRule="atLeast"/>
        <w:ind w:firstLine="480" w:firstLineChars="200"/>
        <w:jc w:val="both"/>
        <w:rPr>
          <w:rFonts w:hint="eastAsia" w:ascii="仿宋" w:hAnsi="仿宋" w:eastAsia="仿宋" w:cs="仿宋"/>
          <w:shd w:val="clear" w:color="auto" w:fill="FFFFFF"/>
          <w:lang w:eastAsia="zh-CN"/>
        </w:rPr>
      </w:pPr>
      <w:r>
        <w:rPr>
          <w:rFonts w:hint="eastAsia" w:ascii="仿宋" w:hAnsi="仿宋" w:eastAsia="仿宋" w:cs="仿宋"/>
          <w:shd w:val="clear" w:color="auto" w:fill="FFFFFF"/>
        </w:rPr>
        <w:t>  3、本项目执行政府强制、优先采购节能产品，优先采购环境标志产品，支持中小企业，支持监狱和戒毒企业、残疾人企业、扶持不发达地区和少数民族地区、支持脱贫攻坚、乡村振兴等相关政策</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详见磋商文件</w:t>
      </w:r>
      <w:r>
        <w:rPr>
          <w:rFonts w:hint="eastAsia" w:ascii="仿宋" w:hAnsi="仿宋" w:eastAsia="仿宋" w:cs="仿宋"/>
          <w:shd w:val="clear" w:color="auto" w:fill="FFFFFF"/>
          <w:lang w:eastAsia="zh-CN"/>
        </w:rPr>
        <w:t>。</w:t>
      </w:r>
    </w:p>
    <w:p>
      <w:pPr>
        <w:pStyle w:val="47"/>
        <w:spacing w:before="0" w:beforeAutospacing="0" w:after="0" w:afterAutospacing="0" w:line="480" w:lineRule="atLeast"/>
        <w:ind w:firstLine="482" w:firstLineChars="200"/>
        <w:jc w:val="both"/>
        <w:rPr>
          <w:rFonts w:hint="eastAsia" w:ascii="仿宋" w:hAnsi="仿宋" w:eastAsia="仿宋" w:cs="仿宋"/>
        </w:rPr>
      </w:pPr>
      <w:r>
        <w:rPr>
          <w:rStyle w:val="54"/>
          <w:rFonts w:hint="eastAsia" w:ascii="仿宋" w:hAnsi="仿宋" w:eastAsia="仿宋" w:cs="仿宋"/>
          <w:b/>
          <w:bCs/>
          <w:shd w:val="clear" w:color="auto" w:fill="FFFFFF"/>
        </w:rPr>
        <w:t>八、凡对本次采购提出询问，请按以下方式联系。</w:t>
      </w:r>
    </w:p>
    <w:p>
      <w:pPr>
        <w:pStyle w:val="12"/>
        <w:keepNext w:val="0"/>
        <w:keepLines w:val="0"/>
        <w:widowControl/>
        <w:spacing w:before="0" w:after="0" w:line="440" w:lineRule="exact"/>
        <w:ind w:left="1169" w:leftChars="159" w:hanging="835" w:hangingChars="3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1.采购人信息</w:t>
      </w:r>
    </w:p>
    <w:p>
      <w:pPr>
        <w:pStyle w:val="47"/>
        <w:spacing w:before="0" w:beforeAutospacing="0" w:after="0" w:afterAutospacing="0" w:line="440" w:lineRule="exact"/>
        <w:ind w:firstLine="480"/>
        <w:jc w:val="both"/>
        <w:rPr>
          <w:rFonts w:hint="eastAsia" w:ascii="仿宋" w:hAnsi="仿宋" w:eastAsia="仿宋" w:cs="仿宋"/>
          <w:lang w:eastAsia="zh-CN"/>
        </w:rPr>
      </w:pPr>
      <w:r>
        <w:rPr>
          <w:rFonts w:hint="eastAsia" w:ascii="仿宋" w:hAnsi="仿宋" w:eastAsia="仿宋" w:cs="仿宋"/>
          <w:shd w:val="clear" w:color="auto" w:fill="FFFFFF"/>
        </w:rPr>
        <w:t>名称：</w:t>
      </w:r>
      <w:r>
        <w:rPr>
          <w:rFonts w:hint="eastAsia" w:ascii="仿宋" w:hAnsi="仿宋" w:eastAsia="仿宋" w:cs="仿宋"/>
          <w:shd w:val="clear" w:color="auto" w:fill="FFFFFF"/>
          <w:lang w:eastAsia="zh-CN"/>
        </w:rPr>
        <w:t>铜川市朝阳实验小学</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地址：</w:t>
      </w:r>
      <w:r>
        <w:rPr>
          <w:rFonts w:hint="eastAsia" w:ascii="仿宋" w:hAnsi="仿宋" w:eastAsia="仿宋" w:cs="仿宋"/>
          <w:i w:val="0"/>
          <w:iCs w:val="0"/>
          <w:caps w:val="0"/>
          <w:color w:val="000000"/>
          <w:spacing w:val="0"/>
          <w:sz w:val="24"/>
          <w:szCs w:val="24"/>
        </w:rPr>
        <w:t>铜川市耀州区正阳路街道光明南路</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联系方式：</w:t>
      </w:r>
      <w:r>
        <w:rPr>
          <w:rFonts w:hint="eastAsia" w:ascii="仿宋" w:hAnsi="仿宋" w:eastAsia="仿宋" w:cs="仿宋"/>
        </w:rPr>
        <w:t>0919-8172008</w:t>
      </w:r>
    </w:p>
    <w:p>
      <w:pPr>
        <w:pStyle w:val="12"/>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2.采购代理机构信息</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名称：陕西星火工程管理有限公司</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地址：西安市高新区高新路88号尚品国际C幢北12804室</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联系方式：029-88852300</w:t>
      </w:r>
    </w:p>
    <w:p>
      <w:pPr>
        <w:pStyle w:val="12"/>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3.项目联系方式</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项目联系人：黄旭</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电话：029-88852300</w:t>
      </w:r>
    </w:p>
    <w:p>
      <w:pPr>
        <w:pStyle w:val="49"/>
        <w:spacing w:line="360" w:lineRule="auto"/>
        <w:rPr>
          <w:rStyle w:val="207"/>
          <w:rFonts w:hint="eastAsia" w:ascii="仿宋" w:hAnsi="仿宋" w:eastAsia="仿宋" w:cs="仿宋"/>
          <w:sz w:val="36"/>
          <w:szCs w:val="36"/>
        </w:rPr>
      </w:pPr>
      <w:r>
        <w:rPr>
          <w:rFonts w:hint="eastAsia" w:ascii="仿宋" w:hAnsi="仿宋" w:eastAsia="仿宋" w:cs="仿宋"/>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56342142"/>
      <w:bookmarkStart w:id="21" w:name="_Toc249525158"/>
      <w:bookmarkStart w:id="22" w:name="_Toc21126"/>
      <w:bookmarkStart w:id="23" w:name="_Toc230013631"/>
      <w:bookmarkStart w:id="24" w:name="_Toc230099796"/>
      <w:bookmarkStart w:id="25" w:name="_Toc415499895"/>
      <w:bookmarkStart w:id="26" w:name="_Toc17110"/>
      <w:bookmarkStart w:id="27" w:name="_Toc232395211"/>
      <w:bookmarkStart w:id="28" w:name="_Toc58504446"/>
      <w:bookmarkStart w:id="29" w:name="_Toc249515277"/>
      <w:bookmarkStart w:id="30" w:name="_Toc232176271"/>
      <w:bookmarkStart w:id="31" w:name="_Toc184043011"/>
      <w:bookmarkStart w:id="32" w:name="_Toc249515389"/>
      <w:bookmarkStart w:id="33" w:name="_Toc230583540"/>
      <w:bookmarkStart w:id="34" w:name="_Toc176882542"/>
      <w:bookmarkStart w:id="35" w:name="_Toc232395212"/>
      <w:bookmarkStart w:id="36" w:name="_Toc177189235"/>
      <w:bookmarkStart w:id="37" w:name="_Toc249515278"/>
      <w:bookmarkStart w:id="38" w:name="_Toc249525159"/>
      <w:bookmarkStart w:id="39" w:name="_Toc499711042"/>
      <w:bookmarkStart w:id="40" w:name="_Toc500746965"/>
      <w:bookmarkStart w:id="41" w:name="_Toc53722840"/>
      <w:bookmarkStart w:id="42" w:name="_Toc249515390"/>
      <w:bookmarkStart w:id="43" w:name="_Toc492955414"/>
      <w:bookmarkStart w:id="44" w:name="_Toc230583541"/>
      <w:bookmarkStart w:id="45" w:name="_Toc177995473"/>
      <w:bookmarkStart w:id="46" w:name="_Toc184043012"/>
      <w:bookmarkStart w:id="47" w:name="_Toc500747061"/>
      <w:bookmarkStart w:id="48" w:name="_Toc499711883"/>
      <w:bookmarkStart w:id="49" w:name="_Toc232176272"/>
      <w:bookmarkStart w:id="50" w:name="_Toc256342143"/>
      <w:bookmarkStart w:id="51" w:name="_Toc496324578"/>
      <w:bookmarkStart w:id="52" w:name="_Toc177817334"/>
      <w:bookmarkStart w:id="53" w:name="_Toc230013632"/>
      <w:bookmarkStart w:id="54" w:name="_Toc70687139"/>
      <w:bookmarkStart w:id="55" w:name="_Toc503063421"/>
      <w:bookmarkStart w:id="56" w:name="_Toc230099797"/>
      <w:bookmarkStart w:id="57" w:name="_Toc500747188"/>
      <w:r>
        <w:rPr>
          <w:rStyle w:val="207"/>
          <w:rFonts w:hint="eastAsia" w:ascii="仿宋" w:hAnsi="仿宋" w:eastAsia="仿宋" w:cs="仿宋"/>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1"/>
        <w:spacing w:before="240" w:beforeLines="100" w:after="24"/>
        <w:jc w:val="center"/>
        <w:rPr>
          <w:rFonts w:hint="eastAsia" w:ascii="仿宋" w:hAnsi="仿宋" w:eastAsia="仿宋" w:cs="仿宋"/>
          <w:sz w:val="28"/>
          <w:szCs w:val="28"/>
        </w:rPr>
      </w:pPr>
      <w:bookmarkStart w:id="58" w:name="_Toc16430"/>
      <w:r>
        <w:rPr>
          <w:rFonts w:hint="eastAsia" w:ascii="仿宋" w:hAnsi="仿宋" w:eastAsia="仿宋" w:cs="仿宋"/>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1"/>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500746967"/>
            <w:bookmarkStart w:id="61" w:name="_Toc496324580"/>
            <w:bookmarkStart w:id="62" w:name="_Toc500747063"/>
            <w:bookmarkStart w:id="63" w:name="_Toc500747190"/>
            <w:bookmarkStart w:id="64" w:name="_Toc499711044"/>
            <w:bookmarkStart w:id="65" w:name="_Toc389620165"/>
            <w:bookmarkStart w:id="66" w:name="_Toc499711885"/>
            <w:bookmarkStart w:id="67" w:name="_Toc492955416"/>
            <w:bookmarkStart w:id="68" w:name="_Toc503063423"/>
            <w:bookmarkStart w:id="69" w:name="_Toc385992326"/>
            <w:r>
              <w:rPr>
                <w:rFonts w:hint="eastAsia" w:ascii="仿宋" w:hAnsi="仿宋" w:eastAsia="仿宋" w:cs="仿宋"/>
                <w:b/>
                <w:sz w:val="24"/>
                <w:szCs w:val="24"/>
              </w:rPr>
              <w:t>条款号</w:t>
            </w:r>
          </w:p>
        </w:tc>
        <w:tc>
          <w:tcPr>
            <w:tcW w:w="7650" w:type="dxa"/>
            <w:vAlign w:val="center"/>
          </w:tcPr>
          <w:p>
            <w:pPr>
              <w:pStyle w:val="31"/>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铜川市朝阳实验小学多媒体及配套设备采购项目</w:t>
            </w:r>
          </w:p>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XHZB2023-CS-024/001</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lang w:eastAsia="zh-CN"/>
              </w:rPr>
              <w:t>679920.00</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铜川市朝阳实验小学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采购代理机构：陕西星火工程管理有限公司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（1）发布磋商公告</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8"/>
              <w:spacing w:line="360" w:lineRule="auto"/>
              <w:rPr>
                <w:rFonts w:hint="eastAsia" w:ascii="仿宋" w:hAnsi="仿宋" w:eastAsia="仿宋" w:cs="仿宋"/>
                <w:color w:val="auto"/>
              </w:rPr>
            </w:pPr>
            <w:r>
              <w:rPr>
                <w:rFonts w:hint="eastAsia" w:ascii="仿宋" w:hAnsi="仿宋" w:eastAsia="仿宋" w:cs="仿宋"/>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8"/>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8"/>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3.8</w:t>
            </w:r>
          </w:p>
        </w:tc>
        <w:tc>
          <w:tcPr>
            <w:tcW w:w="7650" w:type="dxa"/>
            <w:vAlign w:val="center"/>
          </w:tcPr>
          <w:p>
            <w:pPr>
              <w:pStyle w:val="18"/>
              <w:spacing w:line="360" w:lineRule="auto"/>
              <w:rPr>
                <w:rFonts w:hint="eastAsia" w:ascii="仿宋" w:hAnsi="仿宋" w:eastAsia="仿宋" w:cs="仿宋"/>
                <w:color w:val="auto"/>
                <w:kern w:val="2"/>
                <w:highlight w:val="none"/>
                <w:u w:val="none"/>
                <w:lang w:eastAsia="zh-CN"/>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none"/>
                <w:lang w:eastAsia="zh-CN"/>
              </w:rPr>
              <w:t>。本项目所属行业为工业（制造业），中小企业声明函</w:t>
            </w:r>
            <w:r>
              <w:rPr>
                <w:rFonts w:hint="eastAsia" w:ascii="仿宋" w:hAnsi="仿宋" w:eastAsia="仿宋" w:cs="仿宋"/>
                <w:color w:val="auto"/>
                <w:highlight w:val="none"/>
                <w:u w:val="none"/>
                <w:lang w:val="en-US" w:eastAsia="zh-CN"/>
              </w:rPr>
              <w:t>如提供，</w:t>
            </w:r>
            <w:r>
              <w:rPr>
                <w:rFonts w:hint="eastAsia" w:ascii="仿宋" w:hAnsi="仿宋" w:eastAsia="仿宋" w:cs="仿宋"/>
                <w:color w:val="auto"/>
                <w:highlight w:val="none"/>
                <w:u w:val="none"/>
                <w:lang w:eastAsia="zh-CN"/>
              </w:rPr>
              <w:t>须针对采购内容逐一填写制造商企业类型。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成交响应报价为完成本项目并达到磋商文件要求所需要的全部费用，包括但不限于提供项目实施费、人工费、供应商应缴纳的所有税费等。</w:t>
            </w:r>
          </w:p>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p>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31"/>
              <w:adjustRightInd w:val="0"/>
              <w:snapToGrid w:val="0"/>
              <w:spacing w:line="240" w:lineRule="auto"/>
              <w:rPr>
                <w:rFonts w:hint="eastAsia" w:ascii="仿宋" w:hAnsi="仿宋" w:eastAsia="仿宋" w:cs="仿宋"/>
                <w:sz w:val="24"/>
                <w:szCs w:val="24"/>
              </w:rPr>
            </w:pPr>
          </w:p>
        </w:tc>
        <w:tc>
          <w:tcPr>
            <w:tcW w:w="7650" w:type="dxa"/>
            <w:vAlign w:val="center"/>
          </w:tcPr>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本项目收取投标保证金：</w:t>
            </w:r>
            <w:r>
              <w:rPr>
                <w:rFonts w:hint="eastAsia" w:ascii="仿宋" w:hAnsi="仿宋" w:eastAsia="仿宋" w:cs="仿宋"/>
                <w:sz w:val="24"/>
                <w:u w:val="single"/>
              </w:rPr>
              <w:t xml:space="preserve"> 0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磋商有效期：自响应文件递交之日起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正本</w:t>
            </w:r>
            <w:r>
              <w:rPr>
                <w:rFonts w:hint="eastAsia" w:ascii="仿宋" w:hAnsi="仿宋" w:eastAsia="仿宋" w:cs="仿宋"/>
                <w:sz w:val="24"/>
                <w:szCs w:val="24"/>
                <w:u w:val="single"/>
              </w:rPr>
              <w:t>1</w:t>
            </w:r>
            <w:r>
              <w:rPr>
                <w:rFonts w:hint="eastAsia" w:ascii="仿宋" w:hAnsi="仿宋" w:eastAsia="仿宋" w:cs="仿宋"/>
                <w:sz w:val="24"/>
                <w:szCs w:val="24"/>
              </w:rPr>
              <w:t>份，副本</w:t>
            </w:r>
            <w:r>
              <w:rPr>
                <w:rFonts w:hint="eastAsia" w:ascii="仿宋" w:hAnsi="仿宋" w:eastAsia="仿宋" w:cs="仿宋"/>
                <w:sz w:val="24"/>
                <w:szCs w:val="24"/>
                <w:u w:val="single"/>
                <w:lang w:val="en-US" w:eastAsia="zh-CN"/>
              </w:rPr>
              <w:t>1</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31"/>
              <w:adjustRightInd w:val="0"/>
              <w:snapToGrid w:val="0"/>
              <w:spacing w:line="240" w:lineRule="auto"/>
              <w:rPr>
                <w:rFonts w:hint="eastAsia" w:ascii="仿宋" w:hAnsi="仿宋" w:eastAsia="仿宋" w:cs="仿宋"/>
                <w:sz w:val="24"/>
                <w:szCs w:val="24"/>
              </w:rPr>
            </w:pP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（l）采购项目编号：</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pPr>
              <w:pStyle w:val="31"/>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31"/>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  ******（北京时间）之前不得启封</w:t>
            </w:r>
          </w:p>
          <w:p>
            <w:pPr>
              <w:pStyle w:val="31"/>
              <w:adjustRightInd w:val="0"/>
              <w:snapToGrid w:val="0"/>
              <w:spacing w:line="24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31"/>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 本项目不要求提交样品。</w:t>
            </w:r>
          </w:p>
          <w:p>
            <w:pPr>
              <w:pStyle w:val="31"/>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□本项目要求提交样品。样品为响应文件的一部分，随响应文件同时递交。</w:t>
            </w:r>
          </w:p>
          <w:p>
            <w:pPr>
              <w:pStyle w:val="31"/>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（1）样品需标明：项目名称、供应商名称、样品名称等内容。</w:t>
            </w:r>
          </w:p>
          <w:p>
            <w:pPr>
              <w:pStyle w:val="31"/>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w:t>
            </w:r>
            <w:r>
              <w:rPr>
                <w:rFonts w:hint="eastAsia" w:ascii="仿宋" w:hAnsi="仿宋" w:eastAsia="仿宋" w:cs="仿宋"/>
                <w:kern w:val="0"/>
                <w:sz w:val="24"/>
              </w:rPr>
              <w:t>202</w:t>
            </w:r>
            <w:r>
              <w:rPr>
                <w:rFonts w:hint="eastAsia" w:ascii="仿宋" w:hAnsi="仿宋" w:eastAsia="仿宋" w:cs="仿宋"/>
                <w:kern w:val="0"/>
                <w:sz w:val="24"/>
                <w:lang w:val="en-US" w:eastAsia="zh-CN"/>
              </w:rPr>
              <w:t>3</w:t>
            </w:r>
            <w:r>
              <w:rPr>
                <w:rFonts w:hint="eastAsia" w:ascii="仿宋" w:hAnsi="仿宋" w:eastAsia="仿宋" w:cs="仿宋"/>
                <w:kern w:val="0"/>
                <w:sz w:val="24"/>
              </w:rPr>
              <w:t>-</w:t>
            </w:r>
            <w:r>
              <w:rPr>
                <w:rFonts w:hint="eastAsia" w:ascii="仿宋" w:hAnsi="仿宋" w:eastAsia="仿宋" w:cs="仿宋"/>
                <w:kern w:val="0"/>
                <w:sz w:val="24"/>
                <w:lang w:val="en-US" w:eastAsia="zh-CN"/>
              </w:rPr>
              <w:t>10</w:t>
            </w:r>
            <w:r>
              <w:rPr>
                <w:rFonts w:hint="eastAsia" w:ascii="仿宋" w:hAnsi="仿宋" w:eastAsia="仿宋" w:cs="仿宋"/>
                <w:kern w:val="0"/>
                <w:sz w:val="24"/>
              </w:rPr>
              <w:t>-</w:t>
            </w:r>
            <w:r>
              <w:rPr>
                <w:rFonts w:hint="eastAsia" w:ascii="仿宋" w:hAnsi="仿宋" w:eastAsia="仿宋" w:cs="仿宋"/>
                <w:kern w:val="0"/>
                <w:sz w:val="24"/>
                <w:lang w:val="en-US" w:eastAsia="zh-CN"/>
              </w:rPr>
              <w:t>12  09</w:t>
            </w:r>
            <w:bookmarkStart w:id="568" w:name="_GoBack"/>
            <w:bookmarkEnd w:id="568"/>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0:00</w:t>
            </w:r>
            <w:r>
              <w:rPr>
                <w:rFonts w:hint="eastAsia" w:ascii="仿宋" w:hAnsi="仿宋" w:eastAsia="仿宋" w:cs="仿宋"/>
                <w:kern w:val="24"/>
                <w:sz w:val="24"/>
                <w:szCs w:val="21"/>
              </w:rPr>
              <w:t>（北京时间）。</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响应文件递交地点：</w:t>
            </w:r>
            <w:r>
              <w:rPr>
                <w:rFonts w:hint="eastAsia" w:ascii="仿宋" w:hAnsi="仿宋" w:eastAsia="仿宋" w:cs="仿宋"/>
                <w:kern w:val="0"/>
                <w:sz w:val="24"/>
              </w:rPr>
              <w:t>西安市高新路88号尚品国际C幢北28楼12805室</w:t>
            </w:r>
          </w:p>
          <w:p>
            <w:pPr>
              <w:tabs>
                <w:tab w:val="left" w:pos="588"/>
              </w:tabs>
              <w:spacing w:line="360" w:lineRule="auto"/>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lang w:eastAsia="zh-CN"/>
              </w:rPr>
            </w:pPr>
            <w:r>
              <w:rPr>
                <w:rFonts w:hint="eastAsia" w:ascii="仿宋" w:hAnsi="仿宋" w:eastAsia="仿宋" w:cs="仿宋"/>
                <w:sz w:val="24"/>
              </w:rPr>
              <w:t>磋商小组由</w:t>
            </w:r>
            <w:r>
              <w:rPr>
                <w:rFonts w:hint="eastAsia" w:ascii="仿宋" w:hAnsi="仿宋" w:eastAsia="仿宋" w:cs="仿宋"/>
                <w:sz w:val="24"/>
                <w:u w:val="single"/>
              </w:rPr>
              <w:t xml:space="preserve"> 3 </w:t>
            </w:r>
            <w:r>
              <w:rPr>
                <w:rFonts w:hint="eastAsia" w:ascii="仿宋" w:hAnsi="仿宋" w:eastAsia="仿宋" w:cs="仿宋"/>
                <w:sz w:val="24"/>
              </w:rPr>
              <w:t>人组成</w:t>
            </w:r>
            <w:r>
              <w:rPr>
                <w:rFonts w:hint="eastAsia" w:ascii="仿宋" w:hAnsi="仿宋" w:eastAsia="仿宋" w:cs="仿宋"/>
                <w:sz w:val="24"/>
                <w:lang w:eastAsia="zh-CN"/>
              </w:rPr>
              <w:t>，</w:t>
            </w:r>
            <w:r>
              <w:rPr>
                <w:rFonts w:hint="eastAsia" w:ascii="仿宋" w:hAnsi="仿宋" w:eastAsia="仿宋" w:cs="仿宋"/>
                <w:sz w:val="24"/>
              </w:rPr>
              <w:t>其中采购人代表</w:t>
            </w:r>
            <w:r>
              <w:rPr>
                <w:rFonts w:hint="eastAsia" w:ascii="仿宋" w:hAnsi="仿宋" w:eastAsia="仿宋" w:cs="仿宋"/>
                <w:sz w:val="24"/>
                <w:u w:val="single"/>
              </w:rPr>
              <w:t xml:space="preserve"> 1 </w:t>
            </w:r>
            <w:r>
              <w:rPr>
                <w:rFonts w:hint="eastAsia" w:ascii="仿宋" w:hAnsi="仿宋" w:eastAsia="仿宋" w:cs="仿宋"/>
                <w:sz w:val="24"/>
              </w:rPr>
              <w:t>人，在</w:t>
            </w:r>
            <w:r>
              <w:rPr>
                <w:rFonts w:hint="eastAsia" w:ascii="仿宋" w:hAnsi="仿宋" w:eastAsia="仿宋" w:cs="仿宋"/>
                <w:sz w:val="24"/>
                <w:lang w:val="en-US" w:eastAsia="zh-CN"/>
              </w:rPr>
              <w:t>陕西省</w:t>
            </w:r>
            <w:r>
              <w:rPr>
                <w:rFonts w:hint="eastAsia" w:ascii="仿宋" w:hAnsi="仿宋" w:eastAsia="仿宋" w:cs="仿宋"/>
                <w:sz w:val="24"/>
              </w:rPr>
              <w:t>政府采购网专家库中随机抽取，依法组建磋商小组。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sz w:val="24"/>
              </w:rPr>
            </w:pPr>
            <w:r>
              <w:rPr>
                <w:rFonts w:hint="eastAsia" w:ascii="仿宋" w:hAnsi="仿宋" w:eastAsia="仿宋" w:cs="仿宋"/>
                <w:sz w:val="24"/>
              </w:rPr>
              <w:t>□ 本项目要求履约保证金，金额为成交合同金额的</w:t>
            </w:r>
            <w:r>
              <w:rPr>
                <w:rFonts w:hint="eastAsia" w:ascii="仿宋" w:hAnsi="仿宋" w:eastAsia="仿宋" w:cs="仿宋"/>
                <w:b/>
                <w:sz w:val="24"/>
              </w:rPr>
              <w:t xml:space="preserve">10% </w:t>
            </w:r>
          </w:p>
          <w:p>
            <w:pPr>
              <w:jc w:val="left"/>
              <w:rPr>
                <w:rFonts w:hint="eastAsia" w:ascii="仿宋" w:hAnsi="仿宋" w:eastAsia="仿宋" w:cs="仿宋"/>
              </w:rPr>
            </w:pPr>
            <w:r>
              <w:rPr>
                <w:rFonts w:hint="eastAsia" w:ascii="仿宋" w:hAnsi="仿宋" w:eastAsia="仿宋" w:cs="仿宋"/>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jc w:val="center"/>
              <w:rPr>
                <w:rFonts w:hint="eastAsia" w:ascii="仿宋" w:hAnsi="仿宋" w:eastAsia="仿宋" w:cs="仿宋"/>
                <w:sz w:val="24"/>
              </w:rPr>
            </w:pPr>
            <w:bookmarkStart w:id="70" w:name="_Toc249525160"/>
            <w:bookmarkStart w:id="71" w:name="_Toc230013633"/>
            <w:bookmarkStart w:id="72" w:name="_Toc232395213"/>
            <w:bookmarkStart w:id="73" w:name="_Toc176882543"/>
            <w:bookmarkStart w:id="74" w:name="_Toc249515391"/>
            <w:bookmarkStart w:id="75" w:name="_Toc184043013"/>
            <w:bookmarkStart w:id="76" w:name="_Toc177189236"/>
            <w:bookmarkStart w:id="77" w:name="_Toc177995474"/>
            <w:bookmarkStart w:id="78" w:name="_Toc256342144"/>
            <w:bookmarkStart w:id="79" w:name="_Toc232176273"/>
            <w:bookmarkStart w:id="80" w:name="_Toc230583542"/>
            <w:bookmarkStart w:id="81" w:name="_Toc70687140"/>
            <w:bookmarkStart w:id="82" w:name="_Toc249515279"/>
            <w:bookmarkStart w:id="83" w:name="_Toc177817335"/>
            <w:bookmarkStart w:id="84" w:name="_Toc53722841"/>
            <w:bookmarkStart w:id="85" w:name="_Toc230099798"/>
            <w:r>
              <w:rPr>
                <w:rFonts w:hint="eastAsia" w:ascii="仿宋" w:hAnsi="仿宋" w:eastAsia="仿宋" w:cs="仿宋"/>
                <w:sz w:val="24"/>
              </w:rPr>
              <w:t>其他</w:t>
            </w:r>
          </w:p>
        </w:tc>
        <w:tc>
          <w:tcPr>
            <w:tcW w:w="7650" w:type="dxa"/>
            <w:vAlign w:val="center"/>
          </w:tcPr>
          <w:p>
            <w:pPr>
              <w:jc w:val="left"/>
              <w:rPr>
                <w:rFonts w:hint="eastAsia" w:ascii="仿宋" w:hAnsi="仿宋" w:eastAsia="仿宋" w:cs="仿宋"/>
                <w:sz w:val="24"/>
              </w:rPr>
            </w:pPr>
            <w:r>
              <w:rPr>
                <w:rFonts w:hint="eastAsia" w:ascii="仿宋" w:hAnsi="仿宋" w:eastAsia="仿宋" w:cs="仿宋"/>
                <w:b/>
                <w:bCs/>
                <w:sz w:val="24"/>
              </w:rPr>
              <w:t>供应商如不参与项目投标，应在递交响应文件截止时间前一日以书面形式告知采购代理机构。否则，采购代理机构可以向财政部门反映情况并提供相关的佐证。供应商一年内累计出现三次该情形，将被监管部门记录为失信行为。</w:t>
            </w:r>
          </w:p>
        </w:tc>
      </w:tr>
    </w:tbl>
    <w:p>
      <w:pPr>
        <w:rPr>
          <w:rFonts w:hint="eastAsia" w:ascii="仿宋" w:hAnsi="仿宋" w:eastAsia="仿宋" w:cs="仿宋"/>
          <w:sz w:val="30"/>
          <w:szCs w:val="30"/>
        </w:rPr>
      </w:pPr>
      <w:r>
        <w:rPr>
          <w:rFonts w:hint="eastAsia" w:ascii="仿宋" w:hAnsi="仿宋" w:eastAsia="仿宋" w:cs="仿宋"/>
          <w:sz w:val="30"/>
          <w:szCs w:val="30"/>
        </w:rPr>
        <w:br w:type="page"/>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81"/>
        <w:spacing w:before="24" w:after="24"/>
        <w:jc w:val="center"/>
        <w:rPr>
          <w:rFonts w:hint="eastAsia" w:ascii="仿宋" w:hAnsi="仿宋" w:eastAsia="仿宋" w:cs="仿宋"/>
          <w:szCs w:val="32"/>
        </w:rPr>
      </w:pPr>
      <w:bookmarkStart w:id="86" w:name="_Toc29763"/>
      <w:bookmarkStart w:id="87" w:name="_Toc230099802"/>
      <w:bookmarkStart w:id="88" w:name="_Toc184114070"/>
      <w:bookmarkStart w:id="89" w:name="_Toc230013637"/>
      <w:bookmarkStart w:id="90" w:name="_Toc184025279"/>
      <w:r>
        <w:rPr>
          <w:rFonts w:hint="eastAsia" w:ascii="仿宋" w:hAnsi="仿宋" w:eastAsia="仿宋" w:cs="仿宋"/>
          <w:szCs w:val="32"/>
        </w:rPr>
        <w:t>（二）供应商须知</w:t>
      </w:r>
      <w:bookmarkEnd w:id="86"/>
    </w:p>
    <w:p>
      <w:pPr>
        <w:pStyle w:val="81"/>
        <w:spacing w:before="24" w:after="24"/>
        <w:jc w:val="center"/>
        <w:rPr>
          <w:rFonts w:hint="eastAsia" w:ascii="仿宋" w:hAnsi="仿宋" w:eastAsia="仿宋" w:cs="仿宋"/>
          <w:sz w:val="30"/>
          <w:szCs w:val="30"/>
        </w:rPr>
      </w:pPr>
      <w:bookmarkStart w:id="91" w:name="_Toc16024"/>
      <w:r>
        <w:rPr>
          <w:rFonts w:hint="eastAsia" w:ascii="仿宋" w:hAnsi="仿宋" w:eastAsia="仿宋" w:cs="仿宋"/>
          <w:sz w:val="30"/>
          <w:szCs w:val="30"/>
        </w:rPr>
        <w:t>一、总  则</w:t>
      </w:r>
      <w:bookmarkEnd w:id="91"/>
    </w:p>
    <w:p>
      <w:pPr>
        <w:rPr>
          <w:rFonts w:hint="eastAsia" w:ascii="仿宋" w:hAnsi="仿宋" w:eastAsia="仿宋" w:cs="仿宋"/>
        </w:rPr>
      </w:pPr>
    </w:p>
    <w:p>
      <w:pPr>
        <w:pStyle w:val="9"/>
        <w:rPr>
          <w:rFonts w:hint="eastAsia" w:ascii="仿宋" w:hAnsi="仿宋" w:eastAsia="仿宋" w:cs="仿宋"/>
          <w:b/>
          <w:sz w:val="24"/>
          <w:szCs w:val="21"/>
        </w:rPr>
      </w:pPr>
      <w:bookmarkStart w:id="92" w:name="_Hlt14560612"/>
      <w:bookmarkEnd w:id="92"/>
      <w:bookmarkStart w:id="93" w:name="_Toc249515392"/>
      <w:bookmarkStart w:id="94" w:name="_Toc184043014"/>
      <w:bookmarkStart w:id="95" w:name="_Toc249515280"/>
      <w:bookmarkStart w:id="96" w:name="_Toc249525161"/>
      <w:bookmarkStart w:id="97" w:name="_Toc25504"/>
      <w:r>
        <w:rPr>
          <w:rFonts w:hint="eastAsia" w:ascii="仿宋" w:hAnsi="仿宋" w:eastAsia="仿宋" w:cs="仿宋"/>
          <w:b/>
          <w:sz w:val="24"/>
          <w:szCs w:val="21"/>
        </w:rPr>
        <w:t>1.     项目说明</w:t>
      </w:r>
      <w:bookmarkEnd w:id="93"/>
      <w:bookmarkEnd w:id="94"/>
      <w:bookmarkEnd w:id="95"/>
      <w:bookmarkEnd w:id="96"/>
      <w:bookmarkEnd w:id="97"/>
    </w:p>
    <w:p>
      <w:pPr>
        <w:pStyle w:val="67"/>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9"/>
        <w:rPr>
          <w:rFonts w:hint="eastAsia" w:ascii="仿宋" w:hAnsi="仿宋" w:eastAsia="仿宋" w:cs="仿宋"/>
          <w:b/>
          <w:sz w:val="24"/>
          <w:szCs w:val="21"/>
        </w:rPr>
      </w:pPr>
      <w:bookmarkStart w:id="98" w:name="_Toc31509"/>
      <w:bookmarkStart w:id="99" w:name="_Toc70687142"/>
      <w:bookmarkStart w:id="100" w:name="_Toc249525162"/>
      <w:bookmarkStart w:id="101" w:name="_Toc249515393"/>
      <w:bookmarkStart w:id="102" w:name="_Toc249515281"/>
      <w:bookmarkStart w:id="103" w:name="_Toc184043015"/>
      <w:r>
        <w:rPr>
          <w:rFonts w:hint="eastAsia" w:ascii="仿宋" w:hAnsi="仿宋" w:eastAsia="仿宋" w:cs="仿宋"/>
          <w:b/>
          <w:sz w:val="24"/>
          <w:szCs w:val="21"/>
        </w:rPr>
        <w:t>2.     定义</w:t>
      </w:r>
      <w:bookmarkEnd w:id="98"/>
      <w:bookmarkEnd w:id="99"/>
      <w:bookmarkEnd w:id="100"/>
      <w:bookmarkEnd w:id="101"/>
      <w:bookmarkEnd w:id="102"/>
      <w:bookmarkEnd w:id="103"/>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3"/>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pPr>
        <w:pStyle w:val="3"/>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磋商小组：指参照《中华人民共和国政府采购法》和财政部《政府采购竞争性磋商采购方式管理暂行办法》有关规定组建，依法依规履行其职责和义务的机构。</w:t>
      </w:r>
    </w:p>
    <w:p>
      <w:pPr>
        <w:pStyle w:val="9"/>
        <w:rPr>
          <w:rFonts w:hint="eastAsia" w:ascii="仿宋" w:hAnsi="仿宋" w:eastAsia="仿宋" w:cs="仿宋"/>
          <w:b/>
          <w:sz w:val="24"/>
          <w:szCs w:val="21"/>
        </w:rPr>
      </w:pPr>
      <w:bookmarkStart w:id="104" w:name="_Toc389620168"/>
      <w:bookmarkStart w:id="105" w:name="_Toc23705"/>
      <w:bookmarkStart w:id="106" w:name="_Toc184043016"/>
      <w:bookmarkStart w:id="107" w:name="_Toc70687143"/>
      <w:bookmarkStart w:id="108" w:name="_Toc249515282"/>
      <w:bookmarkStart w:id="109" w:name="_Toc385992329"/>
      <w:bookmarkStart w:id="110" w:name="_Toc249515394"/>
      <w:bookmarkStart w:id="111" w:name="_Toc249525163"/>
      <w:r>
        <w:rPr>
          <w:rFonts w:hint="eastAsia" w:ascii="仿宋" w:hAnsi="仿宋" w:eastAsia="仿宋" w:cs="仿宋"/>
          <w:b/>
          <w:sz w:val="24"/>
          <w:szCs w:val="21"/>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供应商应当未被列入失信被执行人、重大税收违法案件当事人名单、政府采购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 xml:space="preserve">       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信用信息查询的时间：响应文件递交截止时间之后至磋商</w:t>
      </w:r>
      <w:r>
        <w:rPr>
          <w:rFonts w:hint="eastAsia" w:ascii="仿宋" w:hAnsi="仿宋" w:eastAsia="仿宋" w:cs="仿宋"/>
          <w:sz w:val="24"/>
        </w:rPr>
        <w:t>资格性检查结束</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3.5    供应商应遵守《中华人民共和国政府采购法》及其它有关的中国法律和法规。</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    若前附表中写明允许采购进口产品，供应商应保证所投产品可履行合法报通关手续进入中国关境内。</w:t>
      </w:r>
    </w:p>
    <w:p>
      <w:pPr>
        <w:pStyle w:val="3"/>
        <w:ind w:firstLine="480" w:firstLineChars="200"/>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    如须知前附表中允许联合体投标，对联合体规定如下：</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3.7.1  两个及以上供应商可以组成一个投标联合体，以一个供应商的身份投标。</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3.7.2  联合体各方均应符合本须知规定。</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3.7.3  采购人根据采购项目对供应商的特殊要求，联合体中至少应当有一方符合相关规定。</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3.7.4  联合体各方应签订共同磋商响应协议，明确约定联合体各方承担的工作和相应的责任，并将共同响应协议作为响应文件的内容提交。</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3.7.7  对联合体磋商的其他资格要求见须知前附表。</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3.8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9"/>
        <w:rPr>
          <w:rFonts w:hint="eastAsia" w:ascii="仿宋" w:hAnsi="仿宋" w:eastAsia="仿宋" w:cs="仿宋"/>
          <w:b/>
          <w:sz w:val="24"/>
          <w:szCs w:val="21"/>
        </w:rPr>
      </w:pPr>
      <w:bookmarkStart w:id="112" w:name="_Toc70687144"/>
      <w:bookmarkStart w:id="113" w:name="_Toc389620169"/>
      <w:bookmarkStart w:id="114" w:name="_Toc249525164"/>
      <w:bookmarkStart w:id="115" w:name="_Toc26580"/>
      <w:bookmarkStart w:id="116" w:name="_Toc249515283"/>
      <w:bookmarkStart w:id="117" w:name="_Toc385992330"/>
      <w:bookmarkStart w:id="118" w:name="_Toc184043017"/>
      <w:bookmarkStart w:id="119" w:name="_Toc249515395"/>
      <w:r>
        <w:rPr>
          <w:rFonts w:hint="eastAsia" w:ascii="仿宋" w:hAnsi="仿宋" w:eastAsia="仿宋" w:cs="仿宋"/>
          <w:b/>
          <w:sz w:val="24"/>
          <w:szCs w:val="21"/>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pPr>
        <w:pStyle w:val="3"/>
        <w:rPr>
          <w:rFonts w:hint="eastAsia" w:ascii="仿宋" w:hAnsi="仿宋" w:eastAsia="仿宋" w:cs="仿宋"/>
        </w:rPr>
      </w:pPr>
    </w:p>
    <w:p>
      <w:pPr>
        <w:pStyle w:val="81"/>
        <w:spacing w:before="24" w:after="24"/>
        <w:ind w:left="3313"/>
        <w:rPr>
          <w:rFonts w:hint="eastAsia" w:ascii="仿宋" w:hAnsi="仿宋" w:eastAsia="仿宋" w:cs="仿宋"/>
          <w:sz w:val="30"/>
          <w:szCs w:val="30"/>
        </w:rPr>
      </w:pPr>
      <w:bookmarkStart w:id="120" w:name="_Toc11015"/>
      <w:r>
        <w:rPr>
          <w:rFonts w:hint="eastAsia" w:ascii="仿宋" w:hAnsi="仿宋" w:eastAsia="仿宋" w:cs="仿宋"/>
          <w:sz w:val="30"/>
          <w:szCs w:val="30"/>
        </w:rPr>
        <w:t>二、磋商文件说明</w:t>
      </w:r>
      <w:bookmarkEnd w:id="120"/>
    </w:p>
    <w:p>
      <w:pPr>
        <w:rPr>
          <w:rFonts w:hint="eastAsia" w:ascii="仿宋" w:hAnsi="仿宋" w:eastAsia="仿宋" w:cs="仿宋"/>
        </w:rPr>
      </w:pPr>
    </w:p>
    <w:p>
      <w:pPr>
        <w:pStyle w:val="9"/>
        <w:numPr>
          <w:ilvl w:val="0"/>
          <w:numId w:val="5"/>
        </w:numPr>
        <w:rPr>
          <w:rFonts w:hint="eastAsia" w:ascii="仿宋" w:hAnsi="仿宋" w:eastAsia="仿宋" w:cs="仿宋"/>
          <w:b/>
          <w:sz w:val="24"/>
          <w:szCs w:val="21"/>
        </w:rPr>
      </w:pPr>
      <w:bookmarkStart w:id="121" w:name="_Toc128"/>
      <w:bookmarkStart w:id="122" w:name="_Toc385992332"/>
      <w:bookmarkStart w:id="123" w:name="_Toc249515285"/>
      <w:bookmarkStart w:id="124" w:name="_Toc389620171"/>
      <w:bookmarkStart w:id="125" w:name="_Toc70687146"/>
      <w:bookmarkStart w:id="126" w:name="_Toc249525166"/>
      <w:bookmarkStart w:id="127" w:name="_Toc249515397"/>
      <w:bookmarkStart w:id="128" w:name="_Toc184043019"/>
      <w:r>
        <w:rPr>
          <w:rFonts w:hint="eastAsia" w:ascii="仿宋" w:hAnsi="仿宋" w:eastAsia="仿宋" w:cs="仿宋"/>
          <w:b/>
          <w:sz w:val="24"/>
          <w:szCs w:val="21"/>
        </w:rPr>
        <w:t xml:space="preserve">    通知</w:t>
      </w:r>
      <w:bookmarkEnd w:id="121"/>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9"/>
        <w:rPr>
          <w:rFonts w:hint="eastAsia" w:ascii="仿宋" w:hAnsi="仿宋" w:eastAsia="仿宋" w:cs="仿宋"/>
          <w:b/>
          <w:sz w:val="24"/>
          <w:szCs w:val="21"/>
        </w:rPr>
      </w:pPr>
      <w:bookmarkStart w:id="129" w:name="_Toc27223"/>
      <w:r>
        <w:rPr>
          <w:rFonts w:hint="eastAsia" w:ascii="仿宋" w:hAnsi="仿宋" w:eastAsia="仿宋" w:cs="仿宋"/>
          <w:b/>
          <w:sz w:val="24"/>
          <w:szCs w:val="21"/>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磋商文件用以阐明供应商所需提供的服务、工程或货物以及其它类似的义务、采购响应程序和合同条款。磋商文件包括如下五章内容：</w:t>
      </w:r>
    </w:p>
    <w:p>
      <w:pPr>
        <w:pStyle w:val="3"/>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pPr>
        <w:pStyle w:val="3"/>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pPr>
        <w:pStyle w:val="3"/>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pPr>
        <w:pStyle w:val="3"/>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pPr>
        <w:pStyle w:val="3"/>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pPr>
        <w:pStyle w:val="3"/>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9"/>
        <w:rPr>
          <w:rFonts w:hint="eastAsia" w:ascii="仿宋" w:hAnsi="仿宋" w:eastAsia="仿宋" w:cs="仿宋"/>
          <w:b/>
          <w:sz w:val="24"/>
          <w:szCs w:val="21"/>
        </w:rPr>
      </w:pPr>
      <w:bookmarkStart w:id="130" w:name="_Toc70687147"/>
      <w:bookmarkStart w:id="131" w:name="_Toc249525167"/>
      <w:bookmarkStart w:id="132" w:name="_Toc184043020"/>
      <w:bookmarkStart w:id="133" w:name="_Toc249515398"/>
      <w:bookmarkStart w:id="134" w:name="_Toc389620172"/>
      <w:bookmarkStart w:id="135" w:name="_Toc249515286"/>
      <w:bookmarkStart w:id="136" w:name="_Toc385992333"/>
      <w:bookmarkStart w:id="137" w:name="_Toc10350"/>
      <w:r>
        <w:rPr>
          <w:rFonts w:hint="eastAsia" w:ascii="仿宋" w:hAnsi="仿宋" w:eastAsia="仿宋" w:cs="仿宋"/>
          <w:b/>
          <w:sz w:val="24"/>
          <w:szCs w:val="21"/>
        </w:rPr>
        <w:t>7.     磋商文件的澄清</w:t>
      </w:r>
      <w:bookmarkEnd w:id="130"/>
      <w:bookmarkEnd w:id="131"/>
      <w:bookmarkEnd w:id="132"/>
      <w:bookmarkEnd w:id="133"/>
      <w:bookmarkEnd w:id="134"/>
      <w:bookmarkEnd w:id="135"/>
      <w:bookmarkEnd w:id="136"/>
      <w:r>
        <w:rPr>
          <w:rFonts w:hint="eastAsia" w:ascii="仿宋" w:hAnsi="仿宋" w:eastAsia="仿宋" w:cs="仿宋"/>
          <w:b/>
          <w:sz w:val="24"/>
          <w:szCs w:val="21"/>
        </w:rPr>
        <w:t>和修改</w:t>
      </w:r>
      <w:bookmarkEnd w:id="137"/>
    </w:p>
    <w:p>
      <w:pPr>
        <w:tabs>
          <w:tab w:val="left" w:pos="588"/>
        </w:tabs>
        <w:spacing w:line="360" w:lineRule="auto"/>
        <w:ind w:left="840" w:hanging="840" w:hangingChars="350"/>
        <w:rPr>
          <w:rFonts w:hint="eastAsia" w:ascii="仿宋" w:hAnsi="仿宋" w:eastAsia="仿宋" w:cs="仿宋"/>
          <w:sz w:val="24"/>
        </w:rPr>
      </w:pPr>
      <w:bookmarkStart w:id="138" w:name="_Toc389620173"/>
      <w:bookmarkStart w:id="139" w:name="_Toc385992334"/>
      <w:bookmarkStart w:id="140" w:name="_Toc70687148"/>
      <w:r>
        <w:rPr>
          <w:rFonts w:hint="eastAsia" w:ascii="仿宋" w:hAnsi="仿宋" w:eastAsia="仿宋" w:cs="仿宋"/>
          <w:sz w:val="24"/>
        </w:rPr>
        <w:t xml:space="preserve">7.1    </w:t>
      </w:r>
      <w:bookmarkEnd w:id="138"/>
      <w:bookmarkEnd w:id="139"/>
      <w:bookmarkEnd w:id="140"/>
      <w:bookmarkStart w:id="141" w:name="_Toc499711046"/>
      <w:bookmarkStart w:id="142" w:name="_Toc53722843"/>
      <w:bookmarkStart w:id="143" w:name="_Toc385992335"/>
      <w:bookmarkStart w:id="144" w:name="_Toc389620174"/>
      <w:bookmarkStart w:id="145" w:name="_Toc503063425"/>
      <w:bookmarkStart w:id="146" w:name="_Toc500747065"/>
      <w:bookmarkStart w:id="147" w:name="_Toc500746969"/>
      <w:bookmarkStart w:id="148" w:name="_Toc492955418"/>
      <w:bookmarkStart w:id="149" w:name="_Toc496324582"/>
      <w:bookmarkStart w:id="150" w:name="_Toc70687149"/>
      <w:bookmarkStart w:id="151" w:name="_Toc500747192"/>
      <w:bookmarkStart w:id="152" w:name="_Toc499711887"/>
      <w:r>
        <w:rPr>
          <w:rFonts w:hint="eastAsia" w:ascii="仿宋" w:hAnsi="仿宋" w:eastAsia="仿宋" w:cs="仿宋"/>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澄清或修改的内容可能影响响应文件编制的，采购人或采购代理机构可适当延长首次响应文件递交截止时间，并以书面形式通知所有领取磋商文件的供应商。</w:t>
      </w:r>
    </w:p>
    <w:p>
      <w:pPr>
        <w:pStyle w:val="81"/>
        <w:spacing w:before="24" w:after="24"/>
        <w:ind w:left="3313"/>
        <w:rPr>
          <w:rFonts w:hint="eastAsia" w:ascii="仿宋" w:hAnsi="仿宋" w:eastAsia="仿宋" w:cs="仿宋"/>
          <w:sz w:val="30"/>
          <w:szCs w:val="30"/>
        </w:rPr>
      </w:pPr>
      <w:bookmarkStart w:id="153" w:name="_Toc256342146"/>
      <w:bookmarkStart w:id="154" w:name="_Toc230013635"/>
      <w:bookmarkStart w:id="155" w:name="_Toc232395215"/>
      <w:bookmarkStart w:id="156" w:name="_Toc249515400"/>
      <w:bookmarkStart w:id="157" w:name="_Toc177995476"/>
      <w:bookmarkStart w:id="158" w:name="_Toc17888"/>
      <w:bookmarkStart w:id="159" w:name="_Toc184043022"/>
      <w:bookmarkStart w:id="160" w:name="_Toc249525169"/>
      <w:bookmarkStart w:id="161" w:name="_Toc249515288"/>
      <w:bookmarkStart w:id="162" w:name="_Toc230099800"/>
      <w:bookmarkStart w:id="163" w:name="_Toc230583544"/>
      <w:bookmarkStart w:id="164" w:name="_Toc176882545"/>
      <w:bookmarkStart w:id="165" w:name="_Toc232176275"/>
      <w:bookmarkStart w:id="166" w:name="_Toc177817337"/>
      <w:bookmarkStart w:id="167" w:name="_Toc177189238"/>
      <w:r>
        <w:rPr>
          <w:rFonts w:hint="eastAsia" w:ascii="仿宋" w:hAnsi="仿宋" w:eastAsia="仿宋" w:cs="仿宋"/>
          <w:sz w:val="30"/>
          <w:szCs w:val="30"/>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9"/>
        <w:rPr>
          <w:rFonts w:hint="eastAsia" w:ascii="仿宋" w:hAnsi="仿宋" w:eastAsia="仿宋" w:cs="仿宋"/>
          <w:b/>
          <w:sz w:val="24"/>
          <w:szCs w:val="21"/>
        </w:rPr>
      </w:pPr>
      <w:bookmarkStart w:id="168" w:name="_Toc70687150"/>
      <w:bookmarkStart w:id="169" w:name="_Toc184043023"/>
      <w:bookmarkStart w:id="170" w:name="_Toc249525170"/>
      <w:bookmarkStart w:id="171" w:name="_Toc30150"/>
      <w:bookmarkStart w:id="172" w:name="_Toc249515401"/>
      <w:bookmarkStart w:id="173" w:name="_Toc249515289"/>
      <w:bookmarkStart w:id="174" w:name="_Toc389620176"/>
      <w:bookmarkStart w:id="175" w:name="_Toc385992337"/>
      <w:r>
        <w:rPr>
          <w:rFonts w:hint="eastAsia" w:ascii="仿宋" w:hAnsi="仿宋" w:eastAsia="仿宋" w:cs="仿宋"/>
          <w:b/>
          <w:sz w:val="24"/>
          <w:szCs w:val="21"/>
        </w:rPr>
        <w:t>8.     响应文件语言</w:t>
      </w:r>
      <w:bookmarkEnd w:id="168"/>
      <w:bookmarkEnd w:id="169"/>
      <w:bookmarkEnd w:id="170"/>
      <w:bookmarkEnd w:id="171"/>
      <w:bookmarkEnd w:id="172"/>
      <w:bookmarkEnd w:id="173"/>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9"/>
        <w:rPr>
          <w:rFonts w:hint="eastAsia" w:ascii="仿宋" w:hAnsi="仿宋" w:eastAsia="仿宋" w:cs="仿宋"/>
          <w:b/>
          <w:sz w:val="24"/>
          <w:szCs w:val="21"/>
        </w:rPr>
      </w:pPr>
      <w:bookmarkStart w:id="176" w:name="_Toc249515290"/>
      <w:bookmarkStart w:id="177" w:name="_Toc18327"/>
      <w:bookmarkStart w:id="178" w:name="_Toc249515402"/>
      <w:bookmarkStart w:id="179" w:name="_Toc184043024"/>
      <w:bookmarkStart w:id="180" w:name="_Toc249525171"/>
      <w:bookmarkStart w:id="181" w:name="_Toc70687151"/>
      <w:r>
        <w:rPr>
          <w:rFonts w:hint="eastAsia" w:ascii="仿宋" w:hAnsi="仿宋" w:eastAsia="仿宋" w:cs="仿宋"/>
          <w:b/>
          <w:sz w:val="24"/>
          <w:szCs w:val="21"/>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pPr>
        <w:pStyle w:val="9"/>
        <w:rPr>
          <w:rFonts w:hint="eastAsia" w:ascii="仿宋" w:hAnsi="仿宋" w:eastAsia="仿宋" w:cs="仿宋"/>
          <w:b/>
          <w:sz w:val="24"/>
          <w:szCs w:val="21"/>
        </w:rPr>
      </w:pPr>
      <w:bookmarkStart w:id="182" w:name="_Toc385992338"/>
      <w:bookmarkStart w:id="183" w:name="_Toc70687152"/>
      <w:bookmarkStart w:id="184" w:name="_Toc249515291"/>
      <w:bookmarkStart w:id="185" w:name="_Toc29318"/>
      <w:bookmarkStart w:id="186" w:name="_Toc184043025"/>
      <w:bookmarkStart w:id="187" w:name="_Toc389620177"/>
      <w:bookmarkStart w:id="188" w:name="_Toc249515403"/>
      <w:bookmarkStart w:id="189" w:name="_Toc249525172"/>
      <w:r>
        <w:rPr>
          <w:rFonts w:hint="eastAsia" w:ascii="仿宋" w:hAnsi="仿宋" w:eastAsia="仿宋" w:cs="仿宋"/>
          <w:b/>
          <w:sz w:val="24"/>
          <w:szCs w:val="21"/>
        </w:rPr>
        <w:t>10.    响应文件的组成</w:t>
      </w:r>
      <w:bookmarkEnd w:id="182"/>
      <w:bookmarkEnd w:id="183"/>
      <w:bookmarkEnd w:id="184"/>
      <w:bookmarkEnd w:id="185"/>
      <w:bookmarkEnd w:id="186"/>
      <w:bookmarkEnd w:id="187"/>
      <w:bookmarkEnd w:id="188"/>
      <w:bookmarkEnd w:id="189"/>
    </w:p>
    <w:p>
      <w:pPr>
        <w:tabs>
          <w:tab w:val="left" w:pos="588"/>
        </w:tabs>
        <w:spacing w:line="360" w:lineRule="auto"/>
        <w:rPr>
          <w:rFonts w:hint="eastAsia" w:ascii="仿宋" w:hAnsi="仿宋" w:eastAsia="仿宋" w:cs="仿宋"/>
          <w:i/>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pPr>
        <w:pStyle w:val="9"/>
        <w:rPr>
          <w:rFonts w:hint="eastAsia" w:ascii="仿宋" w:hAnsi="仿宋" w:eastAsia="仿宋" w:cs="仿宋"/>
          <w:b/>
          <w:sz w:val="24"/>
          <w:szCs w:val="21"/>
        </w:rPr>
      </w:pPr>
      <w:bookmarkStart w:id="190" w:name="_Toc70687153"/>
      <w:bookmarkStart w:id="191" w:name="_Toc184043026"/>
      <w:bookmarkStart w:id="192" w:name="_Toc249525173"/>
      <w:bookmarkStart w:id="193" w:name="_Toc249515292"/>
      <w:bookmarkStart w:id="194" w:name="_Toc389620178"/>
      <w:bookmarkStart w:id="195" w:name="_Toc249515404"/>
      <w:bookmarkStart w:id="196" w:name="_Toc385992339"/>
      <w:bookmarkStart w:id="197" w:name="_Toc26312"/>
      <w:r>
        <w:rPr>
          <w:rFonts w:hint="eastAsia" w:ascii="仿宋" w:hAnsi="仿宋" w:eastAsia="仿宋" w:cs="仿宋"/>
          <w:b/>
          <w:sz w:val="24"/>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pPr>
        <w:pStyle w:val="9"/>
        <w:rPr>
          <w:rFonts w:hint="eastAsia" w:ascii="仿宋" w:hAnsi="仿宋" w:eastAsia="仿宋" w:cs="仿宋"/>
          <w:b/>
          <w:sz w:val="24"/>
          <w:szCs w:val="21"/>
        </w:rPr>
      </w:pPr>
      <w:bookmarkStart w:id="198" w:name="_Toc26688"/>
      <w:r>
        <w:rPr>
          <w:rFonts w:hint="eastAsia" w:ascii="仿宋" w:hAnsi="仿宋" w:eastAsia="仿宋" w:cs="仿宋"/>
          <w:b/>
          <w:sz w:val="24"/>
          <w:szCs w:val="21"/>
        </w:rPr>
        <w:t>12.    响应报价</w:t>
      </w:r>
      <w:bookmarkEnd w:id="198"/>
    </w:p>
    <w:p>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报价类型 </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pPr>
        <w:pStyle w:val="9"/>
        <w:rPr>
          <w:rFonts w:hint="eastAsia" w:ascii="仿宋" w:hAnsi="仿宋" w:eastAsia="仿宋" w:cs="仿宋"/>
          <w:b/>
          <w:sz w:val="24"/>
          <w:szCs w:val="21"/>
        </w:rPr>
      </w:pPr>
      <w:bookmarkStart w:id="199" w:name="_Toc249515294"/>
      <w:bookmarkStart w:id="200" w:name="_Toc385992341"/>
      <w:bookmarkStart w:id="201" w:name="_Toc249525175"/>
      <w:bookmarkStart w:id="202" w:name="_Toc184043028"/>
      <w:bookmarkStart w:id="203" w:name="_Toc20687"/>
      <w:bookmarkStart w:id="204" w:name="_Toc389620180"/>
      <w:bookmarkStart w:id="205" w:name="_Toc70687155"/>
      <w:bookmarkStart w:id="206" w:name="_Toc249515406"/>
      <w:r>
        <w:rPr>
          <w:rFonts w:hint="eastAsia" w:ascii="仿宋" w:hAnsi="仿宋" w:eastAsia="仿宋" w:cs="仿宋"/>
          <w:b/>
          <w:sz w:val="24"/>
          <w:szCs w:val="21"/>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bookmarkStart w:id="207" w:name="_Toc389620181"/>
      <w:bookmarkStart w:id="208" w:name="_Toc385992342"/>
    </w:p>
    <w:bookmarkEnd w:id="207"/>
    <w:bookmarkEnd w:id="208"/>
    <w:p>
      <w:pPr>
        <w:pStyle w:val="9"/>
        <w:rPr>
          <w:rFonts w:hint="eastAsia" w:ascii="仿宋" w:hAnsi="仿宋" w:eastAsia="仿宋" w:cs="仿宋"/>
          <w:b/>
          <w:kern w:val="24"/>
          <w:sz w:val="24"/>
          <w:szCs w:val="21"/>
        </w:rPr>
      </w:pPr>
      <w:bookmarkStart w:id="209" w:name="止观"/>
      <w:bookmarkEnd w:id="209"/>
      <w:r>
        <w:rPr>
          <w:rFonts w:hint="eastAsia" w:ascii="仿宋" w:hAnsi="仿宋" w:eastAsia="仿宋" w:cs="仿宋"/>
          <w:b/>
          <w:sz w:val="24"/>
          <w:szCs w:val="21"/>
        </w:rPr>
        <w:t>14.    磋商保证金</w:t>
      </w:r>
    </w:p>
    <w:p>
      <w:pPr>
        <w:numPr>
          <w:ilvl w:val="0"/>
          <w:numId w:val="0"/>
        </w:numPr>
        <w:tabs>
          <w:tab w:val="left" w:pos="588"/>
        </w:tabs>
        <w:spacing w:line="360" w:lineRule="auto"/>
        <w:ind w:left="840" w:leftChars="0"/>
        <w:rPr>
          <w:rFonts w:hint="eastAsia" w:ascii="仿宋" w:hAnsi="仿宋" w:eastAsia="仿宋" w:cs="仿宋"/>
          <w:kern w:val="24"/>
          <w:sz w:val="24"/>
          <w:szCs w:val="21"/>
        </w:rPr>
      </w:pPr>
      <w:r>
        <w:rPr>
          <w:rFonts w:hint="eastAsia" w:ascii="仿宋" w:hAnsi="仿宋" w:eastAsia="仿宋" w:cs="仿宋"/>
          <w:sz w:val="24"/>
          <w:szCs w:val="21"/>
          <w:lang w:val="en-US" w:eastAsia="zh-CN"/>
        </w:rPr>
        <w:t>本项目不需要提供磋商保证金。</w:t>
      </w:r>
    </w:p>
    <w:p>
      <w:pPr>
        <w:pStyle w:val="9"/>
        <w:rPr>
          <w:rFonts w:hint="eastAsia" w:ascii="仿宋" w:hAnsi="仿宋" w:eastAsia="仿宋" w:cs="仿宋"/>
          <w:b/>
          <w:sz w:val="24"/>
          <w:szCs w:val="21"/>
        </w:rPr>
      </w:pPr>
      <w:bookmarkStart w:id="210" w:name="_Toc7949"/>
      <w:bookmarkStart w:id="211" w:name="_Toc249515408"/>
      <w:bookmarkStart w:id="212" w:name="_Toc249515296"/>
      <w:bookmarkStart w:id="213" w:name="_Toc249525177"/>
      <w:r>
        <w:rPr>
          <w:rFonts w:hint="eastAsia" w:ascii="仿宋" w:hAnsi="仿宋" w:eastAsia="仿宋" w:cs="仿宋"/>
          <w:b/>
          <w:sz w:val="24"/>
          <w:szCs w:val="21"/>
        </w:rPr>
        <w:t>15.    磋商有效期</w:t>
      </w:r>
      <w:bookmarkEnd w:id="210"/>
      <w:bookmarkEnd w:id="211"/>
      <w:bookmarkEnd w:id="212"/>
      <w:bookmarkEnd w:id="213"/>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9"/>
        <w:rPr>
          <w:rFonts w:hint="eastAsia" w:ascii="仿宋" w:hAnsi="仿宋" w:eastAsia="仿宋" w:cs="仿宋"/>
          <w:b/>
          <w:sz w:val="24"/>
          <w:szCs w:val="21"/>
        </w:rPr>
      </w:pPr>
      <w:bookmarkStart w:id="214" w:name="_Toc70687160"/>
      <w:bookmarkStart w:id="215" w:name="_Toc249515297"/>
      <w:bookmarkStart w:id="216" w:name="_Toc385992346"/>
      <w:bookmarkStart w:id="217" w:name="_Toc16612"/>
      <w:bookmarkStart w:id="218" w:name="_Toc249525178"/>
      <w:bookmarkStart w:id="219" w:name="_Toc249515409"/>
      <w:bookmarkStart w:id="220" w:name="_Toc184043033"/>
      <w:bookmarkStart w:id="221" w:name="_Toc389620185"/>
      <w:r>
        <w:rPr>
          <w:rFonts w:hint="eastAsia" w:ascii="仿宋" w:hAnsi="仿宋" w:eastAsia="仿宋" w:cs="仿宋"/>
          <w:b/>
          <w:sz w:val="24"/>
          <w:szCs w:val="21"/>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bookmarkStart w:id="222" w:name="_Hlt491765640"/>
      <w:bookmarkEnd w:id="222"/>
      <w:bookmarkStart w:id="223" w:name="_Toc230099801"/>
      <w:bookmarkStart w:id="224" w:name="_Toc53722844"/>
      <w:bookmarkStart w:id="225" w:name="_Toc249515298"/>
      <w:bookmarkStart w:id="226" w:name="_Toc385992347"/>
      <w:bookmarkStart w:id="227" w:name="_Toc232176276"/>
      <w:bookmarkStart w:id="228" w:name="_Toc500746970"/>
      <w:bookmarkStart w:id="229" w:name="_Toc70687161"/>
      <w:bookmarkStart w:id="230" w:name="_Toc499711047"/>
      <w:bookmarkStart w:id="231" w:name="_Toc177189239"/>
      <w:bookmarkStart w:id="232" w:name="_Toc492955419"/>
      <w:bookmarkStart w:id="233" w:name="_Toc230583545"/>
      <w:bookmarkStart w:id="234" w:name="_Toc176882546"/>
      <w:bookmarkStart w:id="235" w:name="_Toc499711888"/>
      <w:bookmarkStart w:id="236" w:name="_Toc256342147"/>
      <w:bookmarkStart w:id="237" w:name="_Toc503063426"/>
      <w:bookmarkStart w:id="238" w:name="_Toc249515410"/>
      <w:bookmarkStart w:id="239" w:name="_Toc177995477"/>
      <w:bookmarkStart w:id="240" w:name="_Toc177817338"/>
      <w:bookmarkStart w:id="241" w:name="_Toc232395216"/>
      <w:bookmarkStart w:id="242" w:name="_Toc500747066"/>
      <w:bookmarkStart w:id="243" w:name="_Toc249525179"/>
      <w:bookmarkStart w:id="244" w:name="_Toc184043034"/>
      <w:bookmarkStart w:id="245" w:name="_Toc389620186"/>
      <w:bookmarkStart w:id="246" w:name="_Toc500747193"/>
      <w:bookmarkStart w:id="247" w:name="_Toc496324583"/>
      <w:bookmarkStart w:id="248" w:name="_Toc230013636"/>
      <w:r>
        <w:rPr>
          <w:rFonts w:hint="eastAsia" w:ascii="仿宋" w:hAnsi="仿宋" w:eastAsia="仿宋" w:cs="仿宋"/>
          <w:sz w:val="24"/>
        </w:rPr>
        <w:t>16.7   响应文件应按照“资格证明文件”和“商务及技术文件”分成两部分，并用不可拆装的方式分别装订成册。</w:t>
      </w:r>
    </w:p>
    <w:p>
      <w:pPr>
        <w:pStyle w:val="81"/>
        <w:spacing w:before="24" w:after="24"/>
        <w:jc w:val="center"/>
        <w:rPr>
          <w:rFonts w:hint="eastAsia" w:ascii="仿宋" w:hAnsi="仿宋" w:eastAsia="仿宋" w:cs="仿宋"/>
          <w:sz w:val="30"/>
          <w:szCs w:val="30"/>
        </w:rPr>
      </w:pPr>
      <w:bookmarkStart w:id="249" w:name="_Toc19858"/>
      <w:r>
        <w:rPr>
          <w:rFonts w:hint="eastAsia" w:ascii="仿宋" w:hAnsi="仿宋" w:eastAsia="仿宋" w:cs="仿宋"/>
          <w:sz w:val="30"/>
          <w:szCs w:val="30"/>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hint="eastAsia" w:ascii="仿宋" w:hAnsi="仿宋" w:eastAsia="仿宋" w:cs="仿宋"/>
        </w:rPr>
      </w:pPr>
    </w:p>
    <w:p>
      <w:pPr>
        <w:pStyle w:val="9"/>
        <w:rPr>
          <w:rFonts w:hint="eastAsia" w:ascii="仿宋" w:hAnsi="仿宋" w:eastAsia="仿宋" w:cs="仿宋"/>
          <w:b/>
          <w:sz w:val="24"/>
          <w:szCs w:val="21"/>
        </w:rPr>
      </w:pPr>
      <w:bookmarkStart w:id="250" w:name="_Toc249515411"/>
      <w:bookmarkStart w:id="251" w:name="_Toc249525180"/>
      <w:bookmarkStart w:id="252" w:name="_Toc389620187"/>
      <w:bookmarkStart w:id="253" w:name="_Toc4042"/>
      <w:bookmarkStart w:id="254" w:name="_Toc70687162"/>
      <w:bookmarkStart w:id="255" w:name="_Toc249515299"/>
      <w:bookmarkStart w:id="256" w:name="_Toc385992348"/>
      <w:bookmarkStart w:id="257" w:name="_Toc184043035"/>
      <w:r>
        <w:rPr>
          <w:rFonts w:hint="eastAsia" w:ascii="仿宋" w:hAnsi="仿宋" w:eastAsia="仿宋" w:cs="仿宋"/>
          <w:b/>
          <w:sz w:val="24"/>
          <w:szCs w:val="21"/>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hint="eastAsia" w:ascii="仿宋" w:hAnsi="仿宋" w:eastAsia="仿宋" w:cs="仿宋"/>
          <w:color w:val="FF0000"/>
          <w:sz w:val="24"/>
        </w:rPr>
      </w:pPr>
      <w:bookmarkStart w:id="258" w:name="_Toc389620188"/>
      <w:bookmarkStart w:id="259" w:name="_Toc385992349"/>
      <w:bookmarkStart w:id="260" w:name="_Toc70687163"/>
      <w:bookmarkStart w:id="261" w:name="_Toc184043036"/>
      <w:r>
        <w:rPr>
          <w:rFonts w:hint="eastAsia" w:ascii="仿宋" w:hAnsi="仿宋" w:eastAsia="仿宋" w:cs="仿宋"/>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3"/>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58"/>
    <w:bookmarkEnd w:id="259"/>
    <w:p>
      <w:pPr>
        <w:pStyle w:val="9"/>
        <w:rPr>
          <w:rFonts w:hint="eastAsia" w:ascii="仿宋" w:hAnsi="仿宋" w:eastAsia="仿宋" w:cs="仿宋"/>
          <w:b/>
          <w:sz w:val="24"/>
          <w:szCs w:val="21"/>
        </w:rPr>
      </w:pPr>
      <w:bookmarkStart w:id="262" w:name="_Toc249515412"/>
      <w:bookmarkStart w:id="263" w:name="_Toc31171"/>
      <w:bookmarkStart w:id="264" w:name="_Toc249515300"/>
      <w:bookmarkStart w:id="265" w:name="_Toc249525181"/>
      <w:r>
        <w:rPr>
          <w:rFonts w:hint="eastAsia" w:ascii="仿宋" w:hAnsi="仿宋" w:eastAsia="仿宋" w:cs="仿宋"/>
          <w:b/>
          <w:sz w:val="24"/>
          <w:szCs w:val="21"/>
        </w:rPr>
        <w:t>18.    响应文件递交截止时间</w:t>
      </w:r>
      <w:bookmarkEnd w:id="260"/>
      <w:bookmarkEnd w:id="261"/>
      <w:bookmarkEnd w:id="262"/>
      <w:bookmarkEnd w:id="263"/>
      <w:bookmarkEnd w:id="264"/>
      <w:bookmarkEnd w:id="265"/>
    </w:p>
    <w:p>
      <w:pPr>
        <w:tabs>
          <w:tab w:val="left" w:pos="588"/>
        </w:tabs>
        <w:spacing w:line="360" w:lineRule="auto"/>
        <w:rPr>
          <w:rFonts w:hint="eastAsia" w:ascii="仿宋" w:hAnsi="仿宋" w:eastAsia="仿宋" w:cs="仿宋"/>
          <w:sz w:val="24"/>
        </w:rPr>
      </w:pPr>
      <w:bookmarkStart w:id="266" w:name="_Toc70687164"/>
      <w:bookmarkStart w:id="267" w:name="_Toc389620189"/>
      <w:bookmarkStart w:id="268" w:name="_Toc184043037"/>
      <w:bookmarkStart w:id="269" w:name="_Toc385992350"/>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9"/>
        <w:rPr>
          <w:rFonts w:hint="eastAsia" w:ascii="仿宋" w:hAnsi="仿宋" w:eastAsia="仿宋" w:cs="仿宋"/>
          <w:b/>
          <w:sz w:val="24"/>
          <w:szCs w:val="21"/>
        </w:rPr>
      </w:pPr>
      <w:bookmarkStart w:id="270" w:name="_Toc249525182"/>
      <w:bookmarkStart w:id="271" w:name="_Toc249515413"/>
      <w:bookmarkStart w:id="272" w:name="_Toc249515301"/>
      <w:bookmarkStart w:id="273" w:name="_Toc7175"/>
      <w:r>
        <w:rPr>
          <w:rFonts w:hint="eastAsia" w:ascii="仿宋" w:hAnsi="仿宋" w:eastAsia="仿宋" w:cs="仿宋"/>
          <w:b/>
          <w:sz w:val="24"/>
          <w:szCs w:val="21"/>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9"/>
        <w:rPr>
          <w:rFonts w:hint="eastAsia" w:ascii="仿宋" w:hAnsi="仿宋" w:eastAsia="仿宋" w:cs="仿宋"/>
          <w:b/>
          <w:sz w:val="24"/>
          <w:szCs w:val="21"/>
        </w:rPr>
      </w:pPr>
      <w:bookmarkStart w:id="274" w:name="_Toc249525183"/>
      <w:bookmarkStart w:id="275" w:name="_Toc70687165"/>
      <w:bookmarkStart w:id="276" w:name="_Toc10272"/>
      <w:bookmarkStart w:id="277" w:name="_Toc249515414"/>
      <w:bookmarkStart w:id="278" w:name="_Toc249515302"/>
      <w:bookmarkStart w:id="279" w:name="_Toc184043038"/>
      <w:bookmarkStart w:id="280" w:name="_Toc385992351"/>
      <w:bookmarkStart w:id="281" w:name="_Toc389620190"/>
      <w:r>
        <w:rPr>
          <w:rFonts w:hint="eastAsia" w:ascii="仿宋" w:hAnsi="仿宋" w:eastAsia="仿宋" w:cs="仿宋"/>
          <w:b/>
          <w:sz w:val="24"/>
          <w:szCs w:val="21"/>
        </w:rPr>
        <w:t>20.    响应文件的修改和撤</w:t>
      </w:r>
      <w:bookmarkEnd w:id="274"/>
      <w:bookmarkEnd w:id="275"/>
      <w:bookmarkEnd w:id="276"/>
      <w:bookmarkEnd w:id="277"/>
      <w:bookmarkEnd w:id="278"/>
      <w:bookmarkEnd w:id="279"/>
      <w:bookmarkEnd w:id="280"/>
      <w:bookmarkEnd w:id="281"/>
      <w:r>
        <w:rPr>
          <w:rFonts w:hint="eastAsia" w:ascii="仿宋" w:hAnsi="仿宋" w:eastAsia="仿宋" w:cs="仿宋"/>
          <w:b/>
          <w:sz w:val="24"/>
          <w:szCs w:val="21"/>
        </w:rPr>
        <w:t>回</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pPr>
        <w:pStyle w:val="81"/>
        <w:spacing w:before="24" w:after="24"/>
        <w:ind w:left="3313"/>
        <w:rPr>
          <w:rFonts w:hint="eastAsia" w:ascii="仿宋" w:hAnsi="仿宋" w:eastAsia="仿宋" w:cs="仿宋"/>
          <w:sz w:val="30"/>
          <w:szCs w:val="30"/>
        </w:rPr>
      </w:pPr>
      <w:bookmarkStart w:id="282" w:name="_Hlt491765712"/>
      <w:bookmarkEnd w:id="282"/>
      <w:bookmarkStart w:id="283" w:name="_Hlt497729441"/>
      <w:bookmarkEnd w:id="283"/>
      <w:bookmarkStart w:id="284" w:name="_Toc256342148"/>
      <w:bookmarkStart w:id="285" w:name="_Toc249525184"/>
      <w:bookmarkStart w:id="286" w:name="_Toc249515415"/>
      <w:bookmarkStart w:id="287" w:name="_Toc249515303"/>
      <w:bookmarkStart w:id="288" w:name="_Toc951"/>
      <w:bookmarkStart w:id="289" w:name="_Toc496324584"/>
      <w:bookmarkStart w:id="290" w:name="_Toc492955420"/>
      <w:bookmarkStart w:id="291" w:name="_Toc53722845"/>
      <w:bookmarkStart w:id="292" w:name="_Toc177995478"/>
      <w:bookmarkStart w:id="293" w:name="_Toc500746971"/>
      <w:bookmarkStart w:id="294" w:name="_Toc177189240"/>
      <w:bookmarkStart w:id="295" w:name="_Toc177817339"/>
      <w:bookmarkStart w:id="296" w:name="_Toc176882547"/>
      <w:bookmarkStart w:id="297" w:name="_Toc184043039"/>
      <w:bookmarkStart w:id="298" w:name="_Toc500747067"/>
      <w:bookmarkStart w:id="299" w:name="_Toc499711048"/>
      <w:bookmarkStart w:id="300" w:name="_Toc385992352"/>
      <w:bookmarkStart w:id="301" w:name="_Toc70687166"/>
      <w:bookmarkStart w:id="302" w:name="_Toc500747194"/>
      <w:bookmarkStart w:id="303" w:name="_Toc503063427"/>
      <w:bookmarkStart w:id="304" w:name="_Toc389620191"/>
      <w:bookmarkStart w:id="305" w:name="_Toc499711889"/>
      <w:r>
        <w:rPr>
          <w:rFonts w:hint="eastAsia" w:ascii="仿宋" w:hAnsi="仿宋" w:eastAsia="仿宋" w:cs="仿宋"/>
          <w:sz w:val="30"/>
          <w:szCs w:val="30"/>
        </w:rPr>
        <w:t>五、评审与</w:t>
      </w:r>
      <w:bookmarkEnd w:id="284"/>
      <w:bookmarkEnd w:id="285"/>
      <w:bookmarkEnd w:id="286"/>
      <w:bookmarkEnd w:id="287"/>
      <w:r>
        <w:rPr>
          <w:rFonts w:hint="eastAsia" w:ascii="仿宋" w:hAnsi="仿宋" w:eastAsia="仿宋" w:cs="仿宋"/>
          <w:sz w:val="30"/>
          <w:szCs w:val="30"/>
        </w:rPr>
        <w:t>磋商</w:t>
      </w:r>
      <w:bookmarkEnd w:id="288"/>
    </w:p>
    <w:p>
      <w:pPr>
        <w:pStyle w:val="9"/>
        <w:numPr>
          <w:ilvl w:val="0"/>
          <w:numId w:val="6"/>
        </w:numPr>
        <w:rPr>
          <w:rFonts w:hint="eastAsia" w:ascii="仿宋" w:hAnsi="仿宋" w:eastAsia="仿宋" w:cs="仿宋"/>
          <w:b/>
          <w:sz w:val="24"/>
        </w:rPr>
      </w:pPr>
      <w:bookmarkStart w:id="306" w:name="_Toc249525186"/>
      <w:bookmarkStart w:id="307" w:name="_Toc16042"/>
      <w:bookmarkStart w:id="308" w:name="_Toc249515417"/>
      <w:bookmarkStart w:id="309" w:name="_Toc249515305"/>
      <w:r>
        <w:rPr>
          <w:rFonts w:hint="eastAsia" w:ascii="仿宋" w:hAnsi="仿宋" w:eastAsia="仿宋" w:cs="仿宋"/>
          <w:b/>
          <w:sz w:val="24"/>
        </w:rPr>
        <w:t xml:space="preserve">   磋商小组</w:t>
      </w:r>
      <w:bookmarkEnd w:id="306"/>
      <w:bookmarkEnd w:id="307"/>
      <w:bookmarkEnd w:id="308"/>
      <w:bookmarkEnd w:id="309"/>
    </w:p>
    <w:p>
      <w:pPr>
        <w:pStyle w:val="31"/>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31"/>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pPr>
        <w:pStyle w:val="9"/>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pPr>
        <w:pStyle w:val="9"/>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pPr>
        <w:pStyle w:val="9"/>
        <w:rPr>
          <w:rFonts w:hint="eastAsia" w:ascii="仿宋" w:hAnsi="仿宋" w:eastAsia="仿宋" w:cs="仿宋"/>
          <w:b/>
          <w:sz w:val="24"/>
          <w:szCs w:val="21"/>
        </w:rPr>
      </w:pPr>
      <w:bookmarkStart w:id="310" w:name="_Toc249515418"/>
      <w:bookmarkStart w:id="311" w:name="_Toc20608"/>
      <w:bookmarkStart w:id="312" w:name="_Toc249515306"/>
      <w:bookmarkStart w:id="313" w:name="_Toc83547667"/>
      <w:bookmarkStart w:id="314" w:name="_Toc249525187"/>
      <w:r>
        <w:rPr>
          <w:rFonts w:hint="eastAsia" w:ascii="仿宋" w:hAnsi="仿宋" w:eastAsia="仿宋" w:cs="仿宋"/>
          <w:b/>
          <w:sz w:val="24"/>
          <w:szCs w:val="21"/>
        </w:rPr>
        <w:t>23.    磋商程序</w:t>
      </w:r>
    </w:p>
    <w:p>
      <w:pPr>
        <w:pStyle w:val="9"/>
        <w:tabs>
          <w:tab w:val="left" w:pos="360"/>
        </w:tabs>
        <w:rPr>
          <w:rFonts w:hint="eastAsia" w:ascii="仿宋" w:hAnsi="仿宋" w:eastAsia="仿宋" w:cs="仿宋"/>
          <w:b/>
          <w:sz w:val="24"/>
          <w:szCs w:val="21"/>
        </w:rPr>
      </w:pPr>
      <w:bookmarkStart w:id="315" w:name="_Toc58504507"/>
      <w:r>
        <w:rPr>
          <w:rFonts w:hint="eastAsia" w:ascii="仿宋" w:hAnsi="仿宋" w:eastAsia="仿宋" w:cs="仿宋"/>
          <w:b/>
          <w:sz w:val="24"/>
          <w:szCs w:val="21"/>
        </w:rPr>
        <w:t>23.1   磋商会议</w:t>
      </w:r>
      <w:bookmarkEnd w:id="315"/>
    </w:p>
    <w:p>
      <w:pPr>
        <w:pStyle w:val="3"/>
        <w:ind w:left="840" w:leftChars="400"/>
        <w:rPr>
          <w:rFonts w:hint="eastAsia" w:ascii="仿宋" w:hAnsi="仿宋" w:eastAsia="仿宋" w:cs="仿宋"/>
          <w:sz w:val="24"/>
          <w:szCs w:val="32"/>
        </w:rPr>
      </w:pPr>
      <w:bookmarkStart w:id="316" w:name="_Toc58504508"/>
      <w:r>
        <w:rPr>
          <w:rFonts w:hint="eastAsia" w:ascii="仿宋" w:hAnsi="仿宋" w:eastAsia="仿宋" w:cs="仿宋"/>
          <w:sz w:val="24"/>
          <w:szCs w:val="32"/>
        </w:rPr>
        <w:t>（1）在磋商文件规定的时间和地点，由采购代理机构组织磋商工作，供应商须委派代表参加，签名以证明其出席。</w:t>
      </w:r>
      <w:bookmarkEnd w:id="316"/>
    </w:p>
    <w:p>
      <w:pPr>
        <w:pStyle w:val="3"/>
        <w:ind w:left="840" w:leftChars="400"/>
        <w:rPr>
          <w:rFonts w:hint="eastAsia" w:ascii="仿宋" w:hAnsi="仿宋" w:eastAsia="仿宋" w:cs="仿宋"/>
          <w:sz w:val="24"/>
          <w:szCs w:val="32"/>
        </w:rPr>
      </w:pPr>
      <w:bookmarkStart w:id="317" w:name="_Toc58504509"/>
      <w:r>
        <w:rPr>
          <w:rFonts w:hint="eastAsia" w:ascii="仿宋" w:hAnsi="仿宋" w:eastAsia="仿宋" w:cs="仿宋"/>
          <w:sz w:val="24"/>
          <w:szCs w:val="32"/>
        </w:rPr>
        <w:t>（2）各供应商或其推荐的代表与采购监督人共同检查响应文件的密封情况，经检查无误后，签字确认。</w:t>
      </w:r>
      <w:bookmarkEnd w:id="317"/>
    </w:p>
    <w:p>
      <w:pPr>
        <w:pStyle w:val="3"/>
        <w:ind w:left="840" w:leftChars="400"/>
        <w:rPr>
          <w:rFonts w:hint="eastAsia" w:ascii="仿宋" w:hAnsi="仿宋" w:eastAsia="仿宋" w:cs="仿宋"/>
          <w:sz w:val="24"/>
          <w:szCs w:val="32"/>
        </w:rPr>
      </w:pPr>
      <w:bookmarkStart w:id="318" w:name="_Toc58504510"/>
      <w:r>
        <w:rPr>
          <w:rFonts w:hint="eastAsia" w:ascii="仿宋" w:hAnsi="仿宋" w:eastAsia="仿宋" w:cs="仿宋"/>
          <w:sz w:val="24"/>
          <w:szCs w:val="32"/>
        </w:rPr>
        <w:t>（3）采购代理机构工作人员按照顺序，将各供应商首次响应文件的份数等内容公布，无异议后，由供应商法定代表人（或授权代表人）和监督人签字确认。</w:t>
      </w:r>
      <w:bookmarkEnd w:id="318"/>
    </w:p>
    <w:p>
      <w:pPr>
        <w:pStyle w:val="9"/>
        <w:tabs>
          <w:tab w:val="left" w:pos="360"/>
        </w:tabs>
        <w:rPr>
          <w:rFonts w:hint="eastAsia" w:ascii="仿宋" w:hAnsi="仿宋" w:eastAsia="仿宋" w:cs="仿宋"/>
          <w:b/>
          <w:sz w:val="24"/>
          <w:szCs w:val="21"/>
        </w:rPr>
      </w:pPr>
      <w:bookmarkStart w:id="319" w:name="_Toc58504511"/>
      <w:r>
        <w:rPr>
          <w:rFonts w:hint="eastAsia" w:ascii="仿宋" w:hAnsi="仿宋" w:eastAsia="仿宋" w:cs="仿宋"/>
          <w:b/>
          <w:sz w:val="24"/>
          <w:szCs w:val="21"/>
        </w:rPr>
        <w:t>23.2   响应文件</w:t>
      </w:r>
      <w:bookmarkEnd w:id="310"/>
      <w:bookmarkEnd w:id="311"/>
      <w:bookmarkEnd w:id="312"/>
      <w:bookmarkEnd w:id="313"/>
      <w:bookmarkEnd w:id="314"/>
      <w:r>
        <w:rPr>
          <w:rFonts w:hint="eastAsia" w:ascii="仿宋" w:hAnsi="仿宋" w:eastAsia="仿宋" w:cs="仿宋"/>
          <w:b/>
          <w:sz w:val="24"/>
          <w:szCs w:val="21"/>
        </w:rPr>
        <w:t>评审</w:t>
      </w:r>
      <w:bookmarkEnd w:id="319"/>
    </w:p>
    <w:p>
      <w:pPr>
        <w:tabs>
          <w:tab w:val="left" w:pos="360"/>
          <w:tab w:val="left" w:pos="588"/>
        </w:tabs>
        <w:spacing w:line="360" w:lineRule="auto"/>
        <w:ind w:left="843" w:hanging="843" w:hangingChars="350"/>
        <w:rPr>
          <w:rFonts w:hint="eastAsia" w:ascii="仿宋" w:hAnsi="仿宋" w:eastAsia="仿宋" w:cs="仿宋"/>
          <w:sz w:val="24"/>
        </w:rPr>
      </w:pPr>
      <w:bookmarkStart w:id="320" w:name="_Toc83547671"/>
      <w:r>
        <w:rPr>
          <w:rFonts w:hint="eastAsia" w:ascii="仿宋" w:hAnsi="仿宋" w:eastAsia="仿宋" w:cs="仿宋"/>
          <w:b/>
          <w:sz w:val="24"/>
        </w:rPr>
        <w:t>23.2.1</w:t>
      </w:r>
      <w:r>
        <w:rPr>
          <w:rFonts w:hint="eastAsia" w:ascii="仿宋" w:hAnsi="仿宋" w:eastAsia="仿宋" w:cs="仿宋"/>
          <w:b/>
          <w:i/>
          <w:sz w:val="24"/>
        </w:rPr>
        <w:t xml:space="preserve"> </w:t>
      </w:r>
      <w:r>
        <w:rPr>
          <w:rFonts w:hint="eastAsia" w:ascii="仿宋" w:hAnsi="仿宋" w:eastAsia="仿宋" w:cs="仿宋"/>
          <w:b/>
          <w:sz w:val="24"/>
        </w:rPr>
        <w:t>响应文件的资格性审查</w:t>
      </w:r>
      <w:r>
        <w:rPr>
          <w:rFonts w:hint="eastAsia" w:ascii="仿宋" w:hAnsi="仿宋" w:eastAsia="仿宋" w:cs="仿宋"/>
          <w:sz w:val="24"/>
        </w:rPr>
        <w:t>。参照《政府采购法》第二十</w:t>
      </w:r>
      <w:r>
        <w:rPr>
          <w:rFonts w:hint="eastAsia" w:ascii="仿宋" w:hAnsi="仿宋" w:eastAsia="仿宋" w:cs="仿宋"/>
          <w:sz w:val="24"/>
          <w:lang w:val="en-US" w:eastAsia="zh-CN"/>
        </w:rPr>
        <w:t>二</w:t>
      </w:r>
      <w:r>
        <w:rPr>
          <w:rFonts w:hint="eastAsia" w:ascii="仿宋" w:hAnsi="仿宋" w:eastAsia="仿宋" w:cs="仿宋"/>
          <w:sz w:val="24"/>
        </w:rPr>
        <w:t>条和磋商文件的规定，</w:t>
      </w:r>
      <w:r>
        <w:rPr>
          <w:rFonts w:hint="eastAsia" w:ascii="仿宋" w:hAnsi="仿宋" w:eastAsia="仿宋" w:cs="仿宋"/>
          <w:b/>
          <w:sz w:val="24"/>
        </w:rPr>
        <w:t>采购人或采购代理机构负责</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pPr>
        <w:pStyle w:val="3"/>
        <w:ind w:left="840" w:leftChars="400"/>
        <w:rPr>
          <w:rFonts w:hint="eastAsia" w:ascii="仿宋" w:hAnsi="仿宋" w:eastAsia="仿宋" w:cs="仿宋"/>
          <w:sz w:val="24"/>
        </w:rPr>
      </w:pPr>
      <w:r>
        <w:rPr>
          <w:rFonts w:hint="eastAsia" w:ascii="仿宋" w:hAnsi="仿宋" w:eastAsia="仿宋" w:cs="仿宋"/>
          <w:sz w:val="24"/>
        </w:rPr>
        <w:t>（2）供应商没有经过正常渠道购买或免费领取磋商文件或供应商的名称与登记领取磋商文件单位的名称不符。</w:t>
      </w:r>
    </w:p>
    <w:p>
      <w:pPr>
        <w:pStyle w:val="3"/>
        <w:ind w:left="840" w:leftChars="400"/>
        <w:rPr>
          <w:rFonts w:hint="eastAsia" w:ascii="仿宋" w:hAnsi="仿宋" w:eastAsia="仿宋" w:cs="仿宋"/>
          <w:sz w:val="24"/>
        </w:rPr>
      </w:pPr>
      <w:r>
        <w:rPr>
          <w:rFonts w:hint="eastAsia" w:ascii="仿宋" w:hAnsi="仿宋" w:eastAsia="仿宋" w:cs="仿宋"/>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3"/>
        <w:ind w:left="840" w:leftChars="400"/>
        <w:rPr>
          <w:rFonts w:hint="eastAsia" w:ascii="仿宋" w:hAnsi="仿宋" w:eastAsia="仿宋" w:cs="仿宋"/>
          <w:sz w:val="24"/>
        </w:rPr>
      </w:pPr>
      <w:r>
        <w:rPr>
          <w:rFonts w:hint="eastAsia" w:ascii="仿宋" w:hAnsi="仿宋" w:eastAsia="仿宋" w:cs="仿宋"/>
          <w:sz w:val="24"/>
        </w:rPr>
        <w:t>（4）信用查询中列入失信被执行人、重大税收违法案件当事人名单、政府采购严重违法失信行为记录名单及其他不符合《中华人民共和国政府采购法》第二十二条规定条件的供应商。</w:t>
      </w:r>
    </w:p>
    <w:p>
      <w:pPr>
        <w:pStyle w:val="3"/>
        <w:ind w:left="840" w:leftChars="400"/>
        <w:rPr>
          <w:rFonts w:hint="eastAsia" w:ascii="仿宋" w:hAnsi="仿宋" w:eastAsia="仿宋" w:cs="仿宋"/>
          <w:sz w:val="24"/>
        </w:rPr>
      </w:pPr>
      <w:r>
        <w:rPr>
          <w:rFonts w:hint="eastAsia" w:ascii="仿宋" w:hAnsi="仿宋" w:eastAsia="仿宋" w:cs="仿宋"/>
          <w:sz w:val="24"/>
        </w:rPr>
        <w:t>（5）采购人或采购代理机构通过“信用中国”网站(www.creditchina.gov.cn)、中国政府采购网(www.ccgp.gov.cn) 等查询相关主体信用记录，并将查询网页打印、存档备查。</w:t>
      </w:r>
    </w:p>
    <w:p>
      <w:pPr>
        <w:pStyle w:val="3"/>
        <w:ind w:left="840" w:leftChars="400"/>
        <w:rPr>
          <w:rFonts w:hint="eastAsia" w:ascii="仿宋" w:hAnsi="仿宋" w:eastAsia="仿宋" w:cs="仿宋"/>
          <w:sz w:val="24"/>
        </w:rPr>
      </w:pPr>
      <w:r>
        <w:rPr>
          <w:rFonts w:hint="eastAsia" w:ascii="仿宋" w:hAnsi="仿宋" w:eastAsia="仿宋" w:cs="仿宋"/>
          <w:sz w:val="24"/>
        </w:rPr>
        <w:t>（6）查询时间为磋商文件发售期至评审截止时间前，此段时间段外，网站信息发生的任何变更均不作为资格审查依据。</w:t>
      </w:r>
    </w:p>
    <w:p>
      <w:pPr>
        <w:pStyle w:val="3"/>
        <w:ind w:left="840" w:leftChars="400"/>
        <w:rPr>
          <w:rFonts w:hint="eastAsia" w:ascii="仿宋" w:hAnsi="仿宋" w:eastAsia="仿宋" w:cs="仿宋"/>
          <w:sz w:val="24"/>
        </w:rPr>
      </w:pPr>
      <w:r>
        <w:rPr>
          <w:rFonts w:hint="eastAsia" w:ascii="仿宋" w:hAnsi="仿宋" w:eastAsia="仿宋" w:cs="仿宋"/>
          <w:sz w:val="24"/>
        </w:rPr>
        <w:t>供应商不良信用记录以采购人或采购代理机构查询结果为准。供应商自行提供的与网站信息不一致的其他证明材料亦不作为资格审查依据。</w:t>
      </w:r>
    </w:p>
    <w:p>
      <w:pPr>
        <w:pStyle w:val="3"/>
        <w:ind w:left="840" w:leftChars="400"/>
        <w:rPr>
          <w:rFonts w:hint="eastAsia" w:ascii="仿宋" w:hAnsi="仿宋" w:eastAsia="仿宋" w:cs="仿宋"/>
          <w:i/>
          <w:sz w:val="24"/>
        </w:rPr>
      </w:pPr>
      <w:r>
        <w:rPr>
          <w:rFonts w:hint="eastAsia" w:ascii="仿宋" w:hAnsi="仿宋" w:eastAsia="仿宋" w:cs="仿宋"/>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i/>
          <w:sz w:val="24"/>
        </w:rPr>
        <w:t>)</w:t>
      </w:r>
    </w:p>
    <w:p>
      <w:pPr>
        <w:pStyle w:val="3"/>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pPr>
        <w:pStyle w:val="3"/>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（2）磋商响应文件未按磋商文件要求进行法定代表人或其授权代表签字；</w:t>
      </w:r>
    </w:p>
    <w:p>
      <w:pPr>
        <w:pStyle w:val="3"/>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pPr>
        <w:pStyle w:val="3"/>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pPr>
        <w:pStyle w:val="3"/>
        <w:ind w:left="840" w:leftChars="400"/>
        <w:rPr>
          <w:rFonts w:hint="eastAsia" w:ascii="仿宋" w:hAnsi="仿宋" w:eastAsia="仿宋" w:cs="仿宋"/>
          <w:sz w:val="24"/>
        </w:rPr>
      </w:pPr>
      <w:r>
        <w:rPr>
          <w:rFonts w:hint="eastAsia" w:ascii="仿宋" w:hAnsi="仿宋" w:eastAsia="仿宋" w:cs="仿宋"/>
          <w:sz w:val="24"/>
        </w:rPr>
        <w:t>（5）首次磋商报价超出采购预算；</w:t>
      </w:r>
    </w:p>
    <w:p>
      <w:pPr>
        <w:pStyle w:val="3"/>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3"/>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pPr>
        <w:pStyle w:val="3"/>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pPr>
        <w:pStyle w:val="3"/>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pPr>
        <w:pStyle w:val="3"/>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pPr>
        <w:pStyle w:val="9"/>
        <w:tabs>
          <w:tab w:val="left" w:pos="360"/>
        </w:tabs>
        <w:rPr>
          <w:rFonts w:hint="eastAsia" w:ascii="仿宋" w:hAnsi="仿宋" w:eastAsia="仿宋" w:cs="仿宋"/>
          <w:b/>
          <w:sz w:val="24"/>
          <w:szCs w:val="21"/>
        </w:rPr>
      </w:pPr>
      <w:bookmarkStart w:id="321" w:name="_Toc58504512"/>
      <w:r>
        <w:rPr>
          <w:rFonts w:hint="eastAsia" w:ascii="仿宋" w:hAnsi="仿宋" w:eastAsia="仿宋" w:cs="仿宋"/>
          <w:b/>
          <w:sz w:val="24"/>
          <w:szCs w:val="21"/>
        </w:rPr>
        <w:t>23.3   磋商</w:t>
      </w:r>
      <w:bookmarkEnd w:id="321"/>
    </w:p>
    <w:p>
      <w:pPr>
        <w:pStyle w:val="3"/>
        <w:ind w:left="840" w:hanging="840" w:hangingChars="350"/>
        <w:rPr>
          <w:rFonts w:hint="eastAsia" w:ascii="仿宋" w:hAnsi="仿宋" w:eastAsia="仿宋" w:cs="仿宋"/>
          <w:sz w:val="24"/>
        </w:rPr>
      </w:pPr>
      <w:bookmarkStart w:id="322" w:name="_Toc58504513"/>
      <w:r>
        <w:rPr>
          <w:rFonts w:hint="eastAsia" w:ascii="仿宋" w:hAnsi="仿宋" w:eastAsia="仿宋" w:cs="仿宋"/>
          <w:sz w:val="24"/>
        </w:rPr>
        <w:t>23.3.1 磋商小组集中与各供应商分别进行磋商，并给所有参加磋商供应商平等的磋商机会。</w:t>
      </w:r>
      <w:bookmarkEnd w:id="322"/>
    </w:p>
    <w:p>
      <w:pPr>
        <w:pStyle w:val="3"/>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3"/>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3"/>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pPr>
        <w:pStyle w:val="3"/>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pPr>
        <w:pStyle w:val="3"/>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pPr>
        <w:pStyle w:val="3"/>
        <w:rPr>
          <w:rFonts w:hint="eastAsia" w:ascii="仿宋" w:hAnsi="仿宋" w:eastAsia="仿宋" w:cs="仿宋"/>
          <w:b/>
          <w:sz w:val="24"/>
          <w:szCs w:val="21"/>
        </w:rPr>
      </w:pPr>
      <w:r>
        <w:rPr>
          <w:rFonts w:hint="eastAsia" w:ascii="仿宋" w:hAnsi="仿宋" w:eastAsia="仿宋" w:cs="仿宋"/>
          <w:b/>
          <w:sz w:val="24"/>
          <w:szCs w:val="21"/>
        </w:rPr>
        <w:t>23.4   最后报价</w:t>
      </w:r>
    </w:p>
    <w:p>
      <w:pPr>
        <w:pStyle w:val="3"/>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pPr>
        <w:pStyle w:val="3"/>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9"/>
        <w:rPr>
          <w:rFonts w:hint="eastAsia" w:ascii="仿宋" w:hAnsi="仿宋" w:eastAsia="仿宋" w:cs="仿宋"/>
          <w:b/>
          <w:bCs/>
          <w:sz w:val="24"/>
          <w:szCs w:val="21"/>
        </w:rPr>
      </w:pPr>
      <w:bookmarkStart w:id="323" w:name="_Toc249525191"/>
      <w:bookmarkStart w:id="324" w:name="_Toc164351640"/>
      <w:bookmarkStart w:id="325" w:name="_Toc164229241"/>
      <w:bookmarkStart w:id="326" w:name="_Toc195842911"/>
      <w:bookmarkStart w:id="327" w:name="_Toc151193860"/>
      <w:bookmarkStart w:id="328" w:name="_Toc151193644"/>
      <w:bookmarkStart w:id="329" w:name="_Toc151193934"/>
      <w:bookmarkStart w:id="330" w:name="_Toc151193716"/>
      <w:bookmarkStart w:id="331" w:name="_Toc164608815"/>
      <w:bookmarkStart w:id="332" w:name="_Toc150509297"/>
      <w:bookmarkStart w:id="333" w:name="_Toc164229387"/>
      <w:bookmarkStart w:id="334" w:name="_Ref467307010"/>
      <w:bookmarkStart w:id="335" w:name="_Toc520356170"/>
      <w:bookmarkStart w:id="336" w:name="_Toc13753"/>
      <w:bookmarkStart w:id="337" w:name="_Toc164608660"/>
      <w:bookmarkStart w:id="338" w:name="_Toc150774646"/>
      <w:bookmarkStart w:id="339" w:name="_Toc127161460"/>
      <w:bookmarkStart w:id="340" w:name="_Toc127151747"/>
      <w:bookmarkStart w:id="341" w:name="_Toc249515422"/>
      <w:bookmarkStart w:id="342" w:name="_Toc151193788"/>
      <w:bookmarkStart w:id="343" w:name="_Toc149720839"/>
      <w:bookmarkStart w:id="344" w:name="_Toc127151546"/>
      <w:bookmarkStart w:id="345" w:name="_Toc142311048"/>
      <w:bookmarkStart w:id="346" w:name="_Toc249515310"/>
      <w:bookmarkStart w:id="347" w:name="_Toc151190173"/>
      <w:bookmarkStart w:id="348" w:name="_Toc150774751"/>
      <w:bookmarkStart w:id="349" w:name="_Toc150480784"/>
      <w:r>
        <w:rPr>
          <w:rFonts w:hint="eastAsia" w:ascii="仿宋" w:hAnsi="仿宋" w:eastAsia="仿宋" w:cs="仿宋"/>
          <w:b/>
          <w:bCs/>
          <w:sz w:val="24"/>
          <w:szCs w:val="21"/>
        </w:rPr>
        <w:t xml:space="preserve">24.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仿宋" w:hAnsi="仿宋" w:eastAsia="仿宋" w:cs="仿宋"/>
          <w:b/>
          <w:bCs/>
          <w:sz w:val="24"/>
          <w:szCs w:val="21"/>
        </w:rPr>
        <w:t>评审办法及落实政府采购政策，详见第三章。</w:t>
      </w:r>
    </w:p>
    <w:p>
      <w:pPr>
        <w:rPr>
          <w:rFonts w:hint="eastAsia" w:ascii="仿宋" w:hAnsi="仿宋" w:eastAsia="仿宋" w:cs="仿宋"/>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81"/>
        <w:spacing w:before="24" w:after="24"/>
        <w:jc w:val="center"/>
        <w:rPr>
          <w:rFonts w:hint="eastAsia" w:ascii="仿宋" w:hAnsi="仿宋" w:eastAsia="仿宋" w:cs="仿宋"/>
          <w:sz w:val="30"/>
          <w:szCs w:val="30"/>
        </w:rPr>
      </w:pPr>
      <w:bookmarkStart w:id="350" w:name="_Hlt491765714"/>
      <w:bookmarkEnd w:id="350"/>
      <w:bookmarkStart w:id="351" w:name="_Hlt497729446"/>
      <w:bookmarkEnd w:id="351"/>
      <w:bookmarkStart w:id="352" w:name="_Toc256342149"/>
      <w:bookmarkStart w:id="353" w:name="_Toc232395218"/>
      <w:bookmarkStart w:id="354" w:name="_Toc249515423"/>
      <w:bookmarkStart w:id="355" w:name="_Toc14282"/>
      <w:bookmarkStart w:id="356" w:name="_Toc232176278"/>
      <w:bookmarkStart w:id="357" w:name="_Toc249515311"/>
      <w:bookmarkStart w:id="358" w:name="_Toc249525192"/>
      <w:bookmarkStart w:id="359" w:name="_Toc503063428"/>
      <w:bookmarkStart w:id="360" w:name="_Toc492955421"/>
      <w:bookmarkStart w:id="361" w:name="_Toc53722846"/>
      <w:bookmarkStart w:id="362" w:name="_Toc500747195"/>
      <w:bookmarkStart w:id="363" w:name="_Toc70687174"/>
      <w:bookmarkStart w:id="364" w:name="_Toc500747068"/>
      <w:bookmarkStart w:id="365" w:name="_Toc184043047"/>
      <w:bookmarkStart w:id="366" w:name="_Toc176882548"/>
      <w:bookmarkStart w:id="367" w:name="_Toc389620199"/>
      <w:bookmarkStart w:id="368" w:name="_Toc500746972"/>
      <w:bookmarkStart w:id="369" w:name="_Toc177995479"/>
      <w:bookmarkStart w:id="370" w:name="_Toc177189241"/>
      <w:bookmarkStart w:id="371" w:name="_Toc496324585"/>
      <w:bookmarkStart w:id="372" w:name="_Toc385992360"/>
      <w:bookmarkStart w:id="373" w:name="_Toc499711890"/>
      <w:bookmarkStart w:id="374" w:name="_Toc499711049"/>
      <w:bookmarkStart w:id="375" w:name="_Toc177817340"/>
      <w:r>
        <w:rPr>
          <w:rFonts w:hint="eastAsia" w:ascii="仿宋" w:hAnsi="仿宋" w:eastAsia="仿宋" w:cs="仿宋"/>
          <w:sz w:val="30"/>
          <w:szCs w:val="30"/>
        </w:rPr>
        <w:t>六、确定成交单位、授予合同</w:t>
      </w:r>
      <w:bookmarkEnd w:id="352"/>
      <w:bookmarkEnd w:id="353"/>
      <w:bookmarkEnd w:id="354"/>
      <w:bookmarkEnd w:id="355"/>
      <w:bookmarkEnd w:id="356"/>
      <w:bookmarkEnd w:id="357"/>
      <w:bookmarkEnd w:id="358"/>
    </w:p>
    <w:p>
      <w:pPr>
        <w:rPr>
          <w:rFonts w:hint="eastAsia" w:ascii="仿宋" w:hAnsi="仿宋" w:eastAsia="仿宋" w:cs="仿宋"/>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9"/>
        <w:numPr>
          <w:ilvl w:val="0"/>
          <w:numId w:val="7"/>
        </w:numPr>
        <w:rPr>
          <w:rFonts w:hint="eastAsia" w:ascii="仿宋" w:hAnsi="仿宋" w:eastAsia="仿宋" w:cs="仿宋"/>
          <w:b/>
          <w:bCs/>
          <w:sz w:val="24"/>
          <w:szCs w:val="21"/>
        </w:rPr>
      </w:pPr>
      <w:bookmarkStart w:id="376" w:name="_Toc249515424"/>
      <w:bookmarkStart w:id="377" w:name="_Toc27151"/>
      <w:bookmarkStart w:id="378" w:name="_Toc184043048"/>
      <w:bookmarkStart w:id="379" w:name="_Toc249515312"/>
      <w:bookmarkStart w:id="380" w:name="_Toc70687175"/>
      <w:bookmarkStart w:id="381" w:name="_Toc385992361"/>
      <w:bookmarkStart w:id="382" w:name="_Toc389620200"/>
      <w:bookmarkStart w:id="383" w:name="_Toc249525193"/>
      <w:r>
        <w:rPr>
          <w:rFonts w:hint="eastAsia" w:ascii="仿宋" w:hAnsi="仿宋" w:eastAsia="仿宋" w:cs="仿宋"/>
          <w:b/>
          <w:bCs/>
          <w:sz w:val="24"/>
          <w:szCs w:val="21"/>
        </w:rPr>
        <w:t xml:space="preserve">   确定成交</w:t>
      </w:r>
      <w:bookmarkEnd w:id="376"/>
      <w:bookmarkEnd w:id="377"/>
      <w:bookmarkEnd w:id="378"/>
      <w:bookmarkEnd w:id="379"/>
      <w:bookmarkEnd w:id="380"/>
      <w:bookmarkEnd w:id="381"/>
      <w:bookmarkEnd w:id="382"/>
      <w:bookmarkEnd w:id="383"/>
      <w:r>
        <w:rPr>
          <w:rFonts w:hint="eastAsia" w:ascii="仿宋" w:hAnsi="仿宋" w:eastAsia="仿宋" w:cs="仿宋"/>
          <w:b/>
          <w:bCs/>
          <w:sz w:val="24"/>
          <w:szCs w:val="21"/>
        </w:rPr>
        <w:t>单位</w:t>
      </w:r>
    </w:p>
    <w:p>
      <w:pPr>
        <w:tabs>
          <w:tab w:val="left" w:pos="588"/>
        </w:tabs>
        <w:spacing w:line="360" w:lineRule="auto"/>
        <w:rPr>
          <w:rFonts w:hint="eastAsia" w:ascii="仿宋" w:hAnsi="仿宋" w:eastAsia="仿宋" w:cs="仿宋"/>
          <w:sz w:val="24"/>
        </w:rPr>
      </w:pPr>
      <w:bookmarkStart w:id="384" w:name="_Toc389620204"/>
      <w:bookmarkStart w:id="385" w:name="_Toc385992365"/>
      <w:r>
        <w:rPr>
          <w:rFonts w:hint="eastAsia" w:ascii="仿宋" w:hAnsi="仿宋" w:eastAsia="仿宋" w:cs="仿宋"/>
          <w:sz w:val="24"/>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25.3   采购代理机构在接到采购人的成交复函后，发布公告，公告期限为一个工作日，并向成交供应商发出成交通知书。成交通知书是合同文件的组成部分。</w:t>
      </w:r>
    </w:p>
    <w:p>
      <w:pPr>
        <w:pStyle w:val="9"/>
        <w:rPr>
          <w:rFonts w:hint="eastAsia" w:ascii="仿宋" w:hAnsi="仿宋" w:eastAsia="仿宋" w:cs="仿宋"/>
          <w:b/>
          <w:bCs/>
          <w:sz w:val="24"/>
          <w:szCs w:val="21"/>
        </w:rPr>
      </w:pPr>
      <w:r>
        <w:rPr>
          <w:rFonts w:hint="eastAsia" w:ascii="仿宋" w:hAnsi="仿宋" w:eastAsia="仿宋" w:cs="仿宋"/>
          <w:b/>
          <w:bCs/>
          <w:sz w:val="24"/>
          <w:szCs w:val="21"/>
        </w:rPr>
        <w:t>26.    合同</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w:t>
      </w:r>
      <w:r>
        <w:rPr>
          <w:rFonts w:hint="eastAsia" w:ascii="仿宋" w:hAnsi="仿宋" w:eastAsia="仿宋" w:cs="仿宋"/>
          <w:sz w:val="24"/>
          <w:lang w:val="en-US" w:eastAsia="zh-CN"/>
        </w:rPr>
        <w:t>二十五</w:t>
      </w:r>
      <w:r>
        <w:rPr>
          <w:rFonts w:hint="eastAsia" w:ascii="仿宋" w:hAnsi="仿宋" w:eastAsia="仿宋" w:cs="仿宋"/>
          <w:sz w:val="24"/>
        </w:rPr>
        <w:t>日内，按照磋商文件和成交供应商响应文件的约定，采购人与成交供应商洽谈合同条款，并签订合同。磋商文件及成交供应商的响应文件均作为合同的组成部分。</w:t>
      </w:r>
    </w:p>
    <w:p>
      <w:pPr>
        <w:pStyle w:val="9"/>
        <w:rPr>
          <w:rFonts w:hint="eastAsia" w:ascii="仿宋" w:hAnsi="仿宋" w:eastAsia="仿宋" w:cs="仿宋"/>
          <w:b/>
          <w:bCs/>
          <w:sz w:val="24"/>
          <w:szCs w:val="21"/>
        </w:rPr>
      </w:pPr>
      <w:r>
        <w:rPr>
          <w:rFonts w:hint="eastAsia" w:ascii="仿宋" w:hAnsi="仿宋" w:eastAsia="仿宋" w:cs="仿宋"/>
          <w:b/>
          <w:bCs/>
          <w:sz w:val="24"/>
          <w:szCs w:val="21"/>
        </w:rPr>
        <w:t>27.    询问与质疑 </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质疑项目的名称、编号；</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事实依据；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必要的法律依据；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提出质疑的日期。</w:t>
      </w:r>
    </w:p>
    <w:p>
      <w:pPr>
        <w:pStyle w:val="71"/>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联系人：宋培嘉，联系电话：029-88852300</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384"/>
    <w:bookmarkEnd w:id="385"/>
    <w:p>
      <w:pPr>
        <w:pStyle w:val="9"/>
        <w:rPr>
          <w:rFonts w:hint="eastAsia" w:ascii="仿宋" w:hAnsi="仿宋" w:eastAsia="仿宋" w:cs="仿宋"/>
          <w:b/>
          <w:bCs/>
          <w:sz w:val="24"/>
          <w:szCs w:val="21"/>
        </w:rPr>
      </w:pPr>
      <w:bookmarkStart w:id="386" w:name="_Toc25547"/>
      <w:r>
        <w:rPr>
          <w:rFonts w:hint="eastAsia" w:ascii="仿宋" w:hAnsi="仿宋" w:eastAsia="仿宋" w:cs="仿宋"/>
          <w:b/>
          <w:bCs/>
          <w:sz w:val="24"/>
          <w:szCs w:val="21"/>
        </w:rPr>
        <w:t>28.    履约保证金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28.4   履约保证金收取单位名称：</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               联系电话：</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28.5   履约保证金退还的方式、时间、条件：*****</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28.6   履约保证金不予退还的情况：****</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28.7   逾期退还履约保证金的违约责任：****</w:t>
      </w:r>
    </w:p>
    <w:p>
      <w:pPr>
        <w:pStyle w:val="9"/>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86"/>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i/>
          <w:sz w:val="24"/>
        </w:rPr>
      </w:pPr>
      <w:r>
        <w:rPr>
          <w:rFonts w:hint="eastAsia" w:ascii="仿宋" w:hAnsi="仿宋" w:eastAsia="仿宋" w:cs="仿宋"/>
          <w:sz w:val="24"/>
        </w:rPr>
        <w:t>参照原国家计委计价格【2002】1980号文和国家发改委发改办价格【2003】857号文的计算方法收取，由成交人在领取成交通知书前向招标代理机构一次性支付、不足8000元按8000元计取。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银行户名：陕西星火工程管理有限公司</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开户银行：中国银行股份有限公司西安逸翠园支行</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号：102490819083</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联系人：王晨琳   联系电话：029-88852300</w:t>
      </w:r>
    </w:p>
    <w:p>
      <w:pPr>
        <w:pStyle w:val="9"/>
        <w:numPr>
          <w:ilvl w:val="0"/>
          <w:numId w:val="9"/>
        </w:numPr>
        <w:rPr>
          <w:rFonts w:hint="eastAsia" w:ascii="仿宋" w:hAnsi="仿宋" w:eastAsia="仿宋" w:cs="仿宋"/>
          <w:b/>
          <w:bCs/>
          <w:sz w:val="24"/>
          <w:szCs w:val="21"/>
        </w:rPr>
      </w:pPr>
      <w:bookmarkStart w:id="387" w:name="_Toc1585"/>
      <w:r>
        <w:rPr>
          <w:rFonts w:hint="eastAsia" w:ascii="仿宋" w:hAnsi="仿宋" w:eastAsia="仿宋" w:cs="仿宋"/>
          <w:b/>
          <w:bCs/>
          <w:sz w:val="24"/>
          <w:szCs w:val="21"/>
        </w:rPr>
        <w:t xml:space="preserve">  采购人追加采购数量的权力</w:t>
      </w:r>
      <w:bookmarkEnd w:id="387"/>
    </w:p>
    <w:p>
      <w:pPr>
        <w:tabs>
          <w:tab w:val="left" w:pos="588"/>
        </w:tabs>
        <w:spacing w:line="360" w:lineRule="auto"/>
        <w:ind w:left="840" w:leftChars="400"/>
        <w:rPr>
          <w:rFonts w:hint="eastAsia" w:ascii="仿宋" w:hAnsi="仿宋" w:eastAsia="仿宋" w:cs="仿宋"/>
          <w:sz w:val="24"/>
        </w:rPr>
      </w:pPr>
      <w:bookmarkStart w:id="388" w:name="_Toc389620205"/>
      <w:bookmarkStart w:id="389"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bookmarkEnd w:id="388"/>
    <w:bookmarkEnd w:id="389"/>
    <w:p>
      <w:pPr>
        <w:pStyle w:val="3"/>
        <w:ind w:left="840" w:hanging="840" w:hangingChars="350"/>
        <w:rPr>
          <w:rFonts w:hint="eastAsia" w:ascii="仿宋" w:hAnsi="仿宋" w:eastAsia="仿宋" w:cs="仿宋"/>
          <w:sz w:val="24"/>
        </w:rPr>
      </w:pPr>
      <w:r>
        <w:rPr>
          <w:rFonts w:hint="eastAsia" w:ascii="仿宋" w:hAnsi="仿宋" w:eastAsia="仿宋" w:cs="仿宋"/>
          <w:sz w:val="24"/>
        </w:rPr>
        <w:br w:type="page"/>
      </w:r>
    </w:p>
    <w:bookmarkEnd w:id="87"/>
    <w:bookmarkEnd w:id="88"/>
    <w:bookmarkEnd w:id="89"/>
    <w:bookmarkEnd w:id="90"/>
    <w:p>
      <w:pPr>
        <w:pStyle w:val="49"/>
        <w:spacing w:line="360" w:lineRule="auto"/>
        <w:rPr>
          <w:rStyle w:val="207"/>
          <w:rFonts w:hint="eastAsia" w:ascii="仿宋" w:hAnsi="仿宋" w:eastAsia="仿宋" w:cs="仿宋"/>
          <w:sz w:val="36"/>
          <w:szCs w:val="36"/>
        </w:rPr>
      </w:pPr>
      <w:bookmarkStart w:id="390" w:name="_Toc7545"/>
      <w:bookmarkStart w:id="391" w:name="_Toc17469"/>
      <w:bookmarkStart w:id="392" w:name="_Toc58504447"/>
      <w:r>
        <w:rPr>
          <w:rStyle w:val="207"/>
          <w:rFonts w:hint="eastAsia" w:ascii="仿宋" w:hAnsi="仿宋" w:eastAsia="仿宋" w:cs="仿宋"/>
          <w:sz w:val="36"/>
          <w:szCs w:val="36"/>
        </w:rPr>
        <w:t>第三章  评审办法和标准</w:t>
      </w:r>
      <w:bookmarkEnd w:id="390"/>
    </w:p>
    <w:p>
      <w:pPr>
        <w:tabs>
          <w:tab w:val="left" w:pos="360"/>
          <w:tab w:val="left" w:pos="588"/>
        </w:tabs>
        <w:spacing w:line="360" w:lineRule="auto"/>
        <w:ind w:left="840"/>
        <w:rPr>
          <w:rFonts w:hint="eastAsia" w:ascii="仿宋" w:hAnsi="仿宋" w:eastAsia="仿宋" w:cs="仿宋"/>
          <w:sz w:val="24"/>
        </w:rPr>
      </w:pPr>
    </w:p>
    <w:p>
      <w:pPr>
        <w:pStyle w:val="81"/>
        <w:spacing w:before="24" w:after="24"/>
        <w:rPr>
          <w:rFonts w:hint="eastAsia" w:ascii="仿宋" w:hAnsi="仿宋" w:eastAsia="仿宋" w:cs="仿宋"/>
          <w:sz w:val="28"/>
          <w:szCs w:val="28"/>
        </w:rPr>
      </w:pPr>
      <w:bookmarkStart w:id="393" w:name="_Toc7005040"/>
      <w:bookmarkStart w:id="394" w:name="_Toc5732"/>
      <w:r>
        <w:rPr>
          <w:rFonts w:hint="eastAsia" w:ascii="仿宋" w:hAnsi="仿宋" w:eastAsia="仿宋" w:cs="仿宋"/>
          <w:sz w:val="28"/>
          <w:szCs w:val="28"/>
        </w:rPr>
        <w:t>1.评审方法</w:t>
      </w:r>
      <w:bookmarkEnd w:id="393"/>
      <w:bookmarkEnd w:id="394"/>
    </w:p>
    <w:p>
      <w:pPr>
        <w:pStyle w:val="3"/>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1"/>
        <w:spacing w:before="24" w:after="24"/>
        <w:rPr>
          <w:rFonts w:hint="eastAsia" w:ascii="仿宋" w:hAnsi="仿宋" w:eastAsia="仿宋" w:cs="仿宋"/>
          <w:sz w:val="28"/>
          <w:szCs w:val="28"/>
        </w:rPr>
      </w:pPr>
      <w:bookmarkStart w:id="395" w:name="_Toc7005041"/>
      <w:bookmarkStart w:id="396" w:name="_Toc24236"/>
      <w:r>
        <w:rPr>
          <w:rFonts w:hint="eastAsia" w:ascii="仿宋" w:hAnsi="仿宋" w:eastAsia="仿宋" w:cs="仿宋"/>
          <w:sz w:val="28"/>
          <w:szCs w:val="28"/>
        </w:rPr>
        <w:t>2.评审标准</w:t>
      </w:r>
      <w:bookmarkEnd w:id="395"/>
      <w:bookmarkEnd w:id="396"/>
    </w:p>
    <w:p>
      <w:pPr>
        <w:pStyle w:val="3"/>
        <w:rPr>
          <w:rFonts w:hint="eastAsia" w:ascii="仿宋" w:hAnsi="仿宋" w:eastAsia="仿宋" w:cs="仿宋"/>
          <w:sz w:val="24"/>
        </w:rPr>
      </w:pPr>
      <w:r>
        <w:rPr>
          <w:rFonts w:hint="eastAsia" w:ascii="仿宋" w:hAnsi="仿宋" w:eastAsia="仿宋" w:cs="仿宋"/>
          <w:sz w:val="24"/>
        </w:rPr>
        <w:t>2.1 资格审查和符合性评审标准：见附表一和附表二。</w:t>
      </w:r>
    </w:p>
    <w:p>
      <w:pPr>
        <w:pStyle w:val="3"/>
        <w:rPr>
          <w:rFonts w:hint="eastAsia" w:ascii="仿宋" w:hAnsi="仿宋" w:eastAsia="仿宋" w:cs="仿宋"/>
          <w:sz w:val="24"/>
        </w:rPr>
      </w:pPr>
      <w:r>
        <w:rPr>
          <w:rFonts w:hint="eastAsia" w:ascii="仿宋" w:hAnsi="仿宋" w:eastAsia="仿宋" w:cs="仿宋"/>
          <w:sz w:val="24"/>
        </w:rPr>
        <w:t>2.2 分值构成：总分100分。</w:t>
      </w:r>
    </w:p>
    <w:p>
      <w:pPr>
        <w:pStyle w:val="3"/>
        <w:rPr>
          <w:rFonts w:hint="eastAsia" w:ascii="仿宋" w:hAnsi="仿宋" w:eastAsia="仿宋" w:cs="仿宋"/>
          <w:sz w:val="24"/>
        </w:rPr>
      </w:pPr>
      <w:bookmarkStart w:id="397" w:name="_Ref426362114"/>
      <w:r>
        <w:rPr>
          <w:rFonts w:hint="eastAsia" w:ascii="仿宋" w:hAnsi="仿宋" w:eastAsia="仿宋" w:cs="仿宋"/>
          <w:sz w:val="24"/>
        </w:rPr>
        <w:t>2.3 商务和技术评审标准</w:t>
      </w:r>
      <w:bookmarkEnd w:id="397"/>
    </w:p>
    <w:p>
      <w:pPr>
        <w:pStyle w:val="3"/>
        <w:rPr>
          <w:rFonts w:hint="eastAsia" w:ascii="仿宋" w:hAnsi="仿宋" w:eastAsia="仿宋" w:cs="仿宋"/>
          <w:sz w:val="24"/>
        </w:rPr>
      </w:pPr>
      <w:bookmarkStart w:id="398" w:name="_Ref426362140"/>
      <w:r>
        <w:rPr>
          <w:rFonts w:hint="eastAsia" w:ascii="仿宋" w:hAnsi="仿宋" w:eastAsia="仿宋" w:cs="仿宋"/>
          <w:sz w:val="24"/>
        </w:rPr>
        <w:t>2.3.1商务部分评分标准：见附表</w:t>
      </w:r>
      <w:bookmarkEnd w:id="398"/>
      <w:r>
        <w:rPr>
          <w:rFonts w:hint="eastAsia" w:ascii="仿宋" w:hAnsi="仿宋" w:eastAsia="仿宋" w:cs="仿宋"/>
          <w:sz w:val="24"/>
        </w:rPr>
        <w:t>三</w:t>
      </w:r>
    </w:p>
    <w:p>
      <w:pPr>
        <w:pStyle w:val="3"/>
        <w:rPr>
          <w:rFonts w:hint="eastAsia" w:ascii="仿宋" w:hAnsi="仿宋" w:eastAsia="仿宋" w:cs="仿宋"/>
          <w:sz w:val="24"/>
        </w:rPr>
      </w:pPr>
      <w:bookmarkStart w:id="399" w:name="_Ref426362158"/>
      <w:r>
        <w:rPr>
          <w:rFonts w:hint="eastAsia" w:ascii="仿宋" w:hAnsi="仿宋" w:eastAsia="仿宋" w:cs="仿宋"/>
          <w:sz w:val="24"/>
        </w:rPr>
        <w:t>2.3.2技术部分评分标准：见附表</w:t>
      </w:r>
      <w:bookmarkEnd w:id="399"/>
      <w:r>
        <w:rPr>
          <w:rFonts w:hint="eastAsia" w:ascii="仿宋" w:hAnsi="仿宋" w:eastAsia="仿宋" w:cs="仿宋"/>
          <w:sz w:val="24"/>
        </w:rPr>
        <w:t>四</w:t>
      </w:r>
    </w:p>
    <w:p>
      <w:pPr>
        <w:pStyle w:val="3"/>
        <w:rPr>
          <w:rFonts w:hint="eastAsia" w:ascii="仿宋" w:hAnsi="仿宋" w:eastAsia="仿宋" w:cs="仿宋"/>
          <w:sz w:val="24"/>
        </w:rPr>
      </w:pPr>
      <w:bookmarkStart w:id="400" w:name="_Ref426362176"/>
      <w:r>
        <w:rPr>
          <w:rFonts w:hint="eastAsia" w:ascii="仿宋" w:hAnsi="仿宋" w:eastAsia="仿宋" w:cs="仿宋"/>
          <w:sz w:val="24"/>
        </w:rPr>
        <w:t>2.3.3报价评分标准：</w:t>
      </w:r>
      <w:bookmarkEnd w:id="400"/>
      <w:r>
        <w:rPr>
          <w:rFonts w:hint="eastAsia" w:ascii="仿宋" w:hAnsi="仿宋" w:eastAsia="仿宋" w:cs="仿宋"/>
          <w:sz w:val="24"/>
        </w:rPr>
        <w:t>见附表五</w:t>
      </w:r>
    </w:p>
    <w:p>
      <w:pPr>
        <w:pStyle w:val="3"/>
        <w:rPr>
          <w:rFonts w:hint="eastAsia" w:ascii="仿宋" w:hAnsi="仿宋" w:eastAsia="仿宋" w:cs="仿宋"/>
          <w:sz w:val="24"/>
        </w:rPr>
      </w:pPr>
      <w:r>
        <w:rPr>
          <w:rFonts w:hint="eastAsia" w:ascii="仿宋" w:hAnsi="仿宋" w:eastAsia="仿宋" w:cs="仿宋"/>
          <w:sz w:val="24"/>
        </w:rPr>
        <w:t>（1）根据《政府采购促进中小企业发展管理办法》（财库〔2020〕46号）、《财政部关于进一步加大政府采购支持中小企业力度的通知》（财库[2022]19号）调整供应商参与评审的价格。对小型和微型企业产品的价格给予10%（</w:t>
      </w:r>
      <w:r>
        <w:rPr>
          <w:rFonts w:hint="eastAsia" w:ascii="仿宋" w:hAnsi="仿宋" w:eastAsia="仿宋" w:cs="仿宋"/>
          <w:i/>
          <w:sz w:val="24"/>
        </w:rPr>
        <w:t>工程项目为3%</w:t>
      </w:r>
      <w:r>
        <w:rPr>
          <w:rFonts w:hint="eastAsia" w:ascii="仿宋" w:hAnsi="仿宋" w:eastAsia="仿宋" w:cs="仿宋"/>
          <w:sz w:val="24"/>
        </w:rPr>
        <w:t>）的扣除。如允许与小微企业组成联合体或向其分包的，且合同额占总金额30%以上的，给予4%（工程为1%）的扣除。</w:t>
      </w:r>
    </w:p>
    <w:p>
      <w:pPr>
        <w:pStyle w:val="3"/>
        <w:rPr>
          <w:rFonts w:hint="eastAsia" w:ascii="仿宋" w:hAnsi="仿宋" w:eastAsia="仿宋" w:cs="仿宋"/>
          <w:sz w:val="24"/>
        </w:rPr>
      </w:pPr>
      <w:r>
        <w:rPr>
          <w:rFonts w:hint="eastAsia" w:ascii="仿宋" w:hAnsi="仿宋" w:eastAsia="仿宋" w:cs="仿宋"/>
          <w:sz w:val="24"/>
        </w:rPr>
        <w:t>注：监狱企业、残疾人福利性单位视同小微企业；残疾人福利性单位属于小型、微型企业的，不重复享受政策。</w:t>
      </w:r>
    </w:p>
    <w:p>
      <w:pPr>
        <w:pStyle w:val="3"/>
        <w:rPr>
          <w:rFonts w:hint="eastAsia" w:ascii="仿宋" w:hAnsi="仿宋" w:eastAsia="仿宋" w:cs="仿宋"/>
          <w:sz w:val="24"/>
        </w:rPr>
      </w:pPr>
      <w:r>
        <w:rPr>
          <w:rFonts w:hint="eastAsia" w:ascii="仿宋" w:hAnsi="仿宋" w:eastAsia="仿宋" w:cs="仿宋"/>
          <w:sz w:val="24"/>
        </w:rPr>
        <w:t>（2）评审基准价。有效响应文件中的最后报价并按本款（1）和（2）进行调整的最低报价为评审基准价。</w:t>
      </w:r>
    </w:p>
    <w:p>
      <w:pPr>
        <w:pStyle w:val="3"/>
        <w:rPr>
          <w:rFonts w:hint="eastAsia" w:ascii="仿宋" w:hAnsi="仿宋" w:eastAsia="仿宋" w:cs="仿宋"/>
          <w:sz w:val="24"/>
        </w:rPr>
      </w:pPr>
      <w:r>
        <w:rPr>
          <w:rFonts w:hint="eastAsia" w:ascii="仿宋" w:hAnsi="仿宋" w:eastAsia="仿宋" w:cs="仿宋"/>
          <w:sz w:val="24"/>
        </w:rPr>
        <w:t>（3）供应商报价（按本款（1）和（2）进行调整后价格）得分=(评审基准价／最后报价)×价格权值。</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2.3.4 响应文件出现下列情况之一者，磋商小组在评审过程中按以下原则修正：</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p>
      <w:pPr>
        <w:pStyle w:val="81"/>
        <w:spacing w:before="24" w:after="24"/>
        <w:rPr>
          <w:rFonts w:hint="eastAsia" w:ascii="仿宋" w:hAnsi="仿宋" w:eastAsia="仿宋" w:cs="仿宋"/>
          <w:sz w:val="28"/>
          <w:szCs w:val="28"/>
        </w:rPr>
      </w:pPr>
      <w:bookmarkStart w:id="401" w:name="_Toc7005042"/>
      <w:bookmarkStart w:id="402" w:name="_Toc6632"/>
      <w:r>
        <w:rPr>
          <w:rFonts w:hint="eastAsia" w:ascii="仿宋" w:hAnsi="仿宋" w:eastAsia="仿宋" w:cs="仿宋"/>
          <w:sz w:val="28"/>
          <w:szCs w:val="28"/>
        </w:rPr>
        <w:t>3.评审程序</w:t>
      </w:r>
      <w:bookmarkEnd w:id="401"/>
      <w:bookmarkEnd w:id="402"/>
    </w:p>
    <w:p>
      <w:pPr>
        <w:pStyle w:val="3"/>
        <w:rPr>
          <w:rFonts w:hint="eastAsia" w:ascii="仿宋" w:hAnsi="仿宋" w:eastAsia="仿宋" w:cs="仿宋"/>
          <w:b/>
          <w:sz w:val="24"/>
        </w:rPr>
      </w:pPr>
      <w:bookmarkStart w:id="403" w:name="_Toc7005043"/>
      <w:r>
        <w:rPr>
          <w:rFonts w:hint="eastAsia" w:ascii="仿宋" w:hAnsi="仿宋" w:eastAsia="仿宋" w:cs="仿宋"/>
          <w:b/>
          <w:sz w:val="24"/>
        </w:rPr>
        <w:t>3.1资格审查及符合性审查</w:t>
      </w:r>
      <w:bookmarkEnd w:id="403"/>
    </w:p>
    <w:p>
      <w:pPr>
        <w:pStyle w:val="3"/>
        <w:rPr>
          <w:rFonts w:hint="eastAsia" w:ascii="仿宋" w:hAnsi="仿宋" w:eastAsia="仿宋" w:cs="仿宋"/>
          <w:sz w:val="24"/>
        </w:rPr>
      </w:pPr>
      <w:r>
        <w:rPr>
          <w:rFonts w:hint="eastAsia" w:ascii="仿宋" w:hAnsi="仿宋" w:eastAsia="仿宋" w:cs="仿宋"/>
          <w:sz w:val="24"/>
        </w:rPr>
        <w:t>3.1.1 采购人或采购代理机构按附表一所列审查标准对供应商资格进行审查，以确定供应商是否具备磋商资格。</w:t>
      </w:r>
    </w:p>
    <w:p>
      <w:pPr>
        <w:pStyle w:val="3"/>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pPr>
        <w:pStyle w:val="3"/>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3"/>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pPr>
        <w:pStyle w:val="3"/>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pPr>
        <w:pStyle w:val="3"/>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pPr>
        <w:pStyle w:val="3"/>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pPr>
        <w:pStyle w:val="3"/>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pPr>
        <w:pStyle w:val="3"/>
        <w:rPr>
          <w:rFonts w:hint="eastAsia" w:ascii="仿宋" w:hAnsi="仿宋" w:eastAsia="仿宋" w:cs="仿宋"/>
          <w:b/>
          <w:sz w:val="24"/>
        </w:rPr>
      </w:pPr>
      <w:bookmarkStart w:id="404" w:name="_Toc7005044"/>
      <w:r>
        <w:rPr>
          <w:rFonts w:hint="eastAsia" w:ascii="仿宋" w:hAnsi="仿宋" w:eastAsia="仿宋" w:cs="仿宋"/>
          <w:b/>
          <w:sz w:val="24"/>
        </w:rPr>
        <w:t>3.2 磋商</w:t>
      </w:r>
      <w:bookmarkEnd w:id="404"/>
    </w:p>
    <w:p>
      <w:pPr>
        <w:pStyle w:val="3"/>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pPr>
        <w:pStyle w:val="3"/>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3"/>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pPr>
        <w:pStyle w:val="3"/>
        <w:rPr>
          <w:rFonts w:hint="eastAsia" w:ascii="仿宋" w:hAnsi="仿宋" w:eastAsia="仿宋" w:cs="仿宋"/>
          <w:b/>
          <w:sz w:val="24"/>
        </w:rPr>
      </w:pPr>
      <w:bookmarkStart w:id="405" w:name="_Toc7005045"/>
      <w:r>
        <w:rPr>
          <w:rFonts w:hint="eastAsia" w:ascii="仿宋" w:hAnsi="仿宋" w:eastAsia="仿宋" w:cs="仿宋"/>
          <w:b/>
          <w:sz w:val="24"/>
        </w:rPr>
        <w:t>3.3评审</w:t>
      </w:r>
      <w:bookmarkEnd w:id="405"/>
    </w:p>
    <w:p>
      <w:pPr>
        <w:pStyle w:val="3"/>
        <w:rPr>
          <w:rFonts w:hint="eastAsia" w:ascii="仿宋" w:hAnsi="仿宋" w:eastAsia="仿宋" w:cs="仿宋"/>
          <w:sz w:val="24"/>
        </w:rPr>
      </w:pPr>
      <w:r>
        <w:rPr>
          <w:rFonts w:hint="eastAsia" w:ascii="仿宋" w:hAnsi="仿宋" w:eastAsia="仿宋" w:cs="仿宋"/>
          <w:sz w:val="24"/>
        </w:rPr>
        <w:t>3.3.1 比较与评价</w:t>
      </w:r>
    </w:p>
    <w:p>
      <w:pPr>
        <w:pStyle w:val="3"/>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pPr>
        <w:pStyle w:val="3"/>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3"/>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pPr>
        <w:pStyle w:val="3"/>
        <w:rPr>
          <w:rFonts w:hint="eastAsia" w:ascii="仿宋" w:hAnsi="仿宋" w:eastAsia="仿宋" w:cs="仿宋"/>
          <w:sz w:val="24"/>
        </w:rPr>
      </w:pPr>
      <w:r>
        <w:rPr>
          <w:rFonts w:hint="eastAsia" w:ascii="仿宋" w:hAnsi="仿宋" w:eastAsia="仿宋" w:cs="仿宋"/>
          <w:sz w:val="24"/>
        </w:rPr>
        <w:t>（1）按本章第2.3.1项规定的评审因素和分值对商务部分计算出得分A；</w:t>
      </w:r>
    </w:p>
    <w:p>
      <w:pPr>
        <w:pStyle w:val="3"/>
        <w:rPr>
          <w:rFonts w:hint="eastAsia" w:ascii="仿宋" w:hAnsi="仿宋" w:eastAsia="仿宋" w:cs="仿宋"/>
          <w:sz w:val="24"/>
        </w:rPr>
      </w:pPr>
      <w:r>
        <w:rPr>
          <w:rFonts w:hint="eastAsia" w:ascii="仿宋" w:hAnsi="仿宋" w:eastAsia="仿宋" w:cs="仿宋"/>
          <w:sz w:val="24"/>
        </w:rPr>
        <w:t>（2）按本章第2.3.2项规定的评审因素和分值对技术部分计算出得分B；</w:t>
      </w:r>
    </w:p>
    <w:p>
      <w:pPr>
        <w:pStyle w:val="3"/>
        <w:rPr>
          <w:rFonts w:hint="eastAsia" w:ascii="仿宋" w:hAnsi="仿宋" w:eastAsia="仿宋" w:cs="仿宋"/>
          <w:sz w:val="24"/>
        </w:rPr>
      </w:pPr>
      <w:r>
        <w:rPr>
          <w:rFonts w:hint="eastAsia" w:ascii="仿宋" w:hAnsi="仿宋" w:eastAsia="仿宋" w:cs="仿宋"/>
          <w:sz w:val="24"/>
        </w:rPr>
        <w:t>（3）按本章第2.3.3项规定的评审因素和分值对报价部分计算出得分C。</w:t>
      </w:r>
    </w:p>
    <w:p>
      <w:pPr>
        <w:pStyle w:val="3"/>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pPr>
        <w:pStyle w:val="3"/>
        <w:rPr>
          <w:rFonts w:hint="eastAsia" w:ascii="仿宋" w:hAnsi="仿宋" w:eastAsia="仿宋" w:cs="仿宋"/>
          <w:sz w:val="24"/>
        </w:rPr>
      </w:pPr>
      <w:r>
        <w:rPr>
          <w:rFonts w:hint="eastAsia" w:ascii="仿宋" w:hAnsi="仿宋" w:eastAsia="仿宋" w:cs="仿宋"/>
          <w:sz w:val="24"/>
        </w:rPr>
        <w:t>3.3.4供应商得分=A＋B＋C</w:t>
      </w:r>
    </w:p>
    <w:p>
      <w:pPr>
        <w:pStyle w:val="3"/>
        <w:rPr>
          <w:rFonts w:hint="eastAsia" w:ascii="仿宋" w:hAnsi="仿宋" w:eastAsia="仿宋" w:cs="仿宋"/>
          <w:b/>
          <w:sz w:val="24"/>
        </w:rPr>
      </w:pPr>
      <w:r>
        <w:rPr>
          <w:rFonts w:hint="eastAsia" w:ascii="仿宋" w:hAnsi="仿宋" w:eastAsia="仿宋" w:cs="仿宋"/>
          <w:b/>
          <w:sz w:val="24"/>
        </w:rPr>
        <w:t>3.4 评审结果</w:t>
      </w:r>
    </w:p>
    <w:p>
      <w:pPr>
        <w:pStyle w:val="3"/>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pPr>
        <w:pStyle w:val="3"/>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pPr>
        <w:pStyle w:val="3"/>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4677"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评审合格标准</w:t>
            </w:r>
          </w:p>
        </w:tc>
        <w:tc>
          <w:tcPr>
            <w:tcW w:w="1178"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审查结果</w:t>
            </w:r>
          </w:p>
          <w:p>
            <w:pPr>
              <w:snapToGrid w:val="0"/>
              <w:jc w:val="center"/>
              <w:rPr>
                <w:rFonts w:hint="eastAsia" w:ascii="仿宋" w:hAnsi="仿宋" w:eastAsia="仿宋" w:cs="仿宋"/>
                <w:b/>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szCs w:val="21"/>
              </w:rPr>
              <w:t>1</w:t>
            </w:r>
          </w:p>
        </w:tc>
        <w:tc>
          <w:tcPr>
            <w:tcW w:w="2655"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供应商名称</w:t>
            </w:r>
          </w:p>
        </w:tc>
        <w:tc>
          <w:tcPr>
            <w:tcW w:w="4677"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与磋商登记备案、营业执照一致（符合法定工商变更程序除外）；</w:t>
            </w:r>
          </w:p>
        </w:tc>
        <w:tc>
          <w:tcPr>
            <w:tcW w:w="1178" w:type="dxa"/>
            <w:vAlign w:val="center"/>
          </w:tcPr>
          <w:p>
            <w:pPr>
              <w:snapToGrid w:val="0"/>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提供了有效的法人或者其他组织的营业执照等证明文件，自然人的身份证明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具有健全的财务会计制度</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提供上一年度（</w:t>
            </w:r>
            <w:r>
              <w:rPr>
                <w:rFonts w:hint="eastAsia" w:ascii="仿宋" w:hAnsi="仿宋" w:eastAsia="仿宋" w:cs="仿宋"/>
                <w:szCs w:val="21"/>
                <w:lang w:val="en-US" w:eastAsia="zh-CN"/>
              </w:rPr>
              <w:t>2022年度</w:t>
            </w:r>
            <w:r>
              <w:rPr>
                <w:rFonts w:hint="eastAsia" w:ascii="仿宋" w:hAnsi="仿宋" w:eastAsia="仿宋" w:cs="仿宋"/>
                <w:szCs w:val="21"/>
              </w:rPr>
              <w:t>）的经审计的财务报告、或</w:t>
            </w:r>
            <w:r>
              <w:rPr>
                <w:rFonts w:hint="eastAsia" w:ascii="仿宋" w:hAnsi="仿宋" w:eastAsia="仿宋" w:cs="仿宋"/>
                <w:szCs w:val="21"/>
                <w:lang w:val="en-US" w:eastAsia="zh-CN"/>
              </w:rPr>
              <w:t>本年度</w:t>
            </w:r>
            <w:r>
              <w:rPr>
                <w:rFonts w:hint="eastAsia" w:ascii="仿宋" w:hAnsi="仿宋" w:eastAsia="仿宋" w:cs="仿宋"/>
                <w:szCs w:val="21"/>
              </w:rPr>
              <w:t>任意一个月单位内部财务报表、或本年度基本开户银行出具的资信证明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本年度</w:t>
            </w:r>
            <w:r>
              <w:rPr>
                <w:rFonts w:hint="eastAsia" w:ascii="仿宋" w:hAnsi="仿宋" w:eastAsia="仿宋" w:cs="仿宋"/>
                <w:szCs w:val="21"/>
              </w:rPr>
              <w:t>任意一个月缴税凭证或免税证明（复印件加盖公章）。</w:t>
            </w:r>
          </w:p>
          <w:p>
            <w:pPr>
              <w:snapToGrid w:val="0"/>
              <w:jc w:val="left"/>
              <w:rPr>
                <w:rFonts w:hint="eastAsia" w:ascii="仿宋" w:hAnsi="仿宋" w:eastAsia="仿宋" w:cs="仿宋"/>
                <w:szCs w:val="21"/>
              </w:rPr>
            </w:pPr>
            <w:r>
              <w:rPr>
                <w:rFonts w:hint="eastAsia" w:ascii="仿宋" w:hAnsi="仿宋" w:eastAsia="仿宋" w:cs="仿宋"/>
                <w:szCs w:val="21"/>
              </w:rPr>
              <w:t xml:space="preserve">2. </w:t>
            </w:r>
            <w:r>
              <w:rPr>
                <w:rFonts w:hint="eastAsia" w:ascii="仿宋" w:hAnsi="仿宋" w:eastAsia="仿宋" w:cs="仿宋"/>
                <w:szCs w:val="21"/>
                <w:lang w:val="en-US" w:eastAsia="zh-CN"/>
              </w:rPr>
              <w:t>本年度</w:t>
            </w:r>
            <w:r>
              <w:rPr>
                <w:rFonts w:hint="eastAsia" w:ascii="仿宋" w:hAnsi="仿宋" w:eastAsia="仿宋" w:cs="仿宋"/>
                <w:szCs w:val="21"/>
              </w:rPr>
              <w:t>任意一个月社会保障资金缴纳证明或免缴纳证明（复印件加盖公章）</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法律、行政法规规定的其他条件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不存在违反法律、法规的情况</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非联合体</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供应商为非联合体投标</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hint="eastAsia" w:ascii="仿宋" w:hAnsi="仿宋" w:eastAsia="仿宋" w:cs="仿宋"/>
                <w:szCs w:val="21"/>
              </w:rPr>
            </w:pPr>
            <w:r>
              <w:rPr>
                <w:rFonts w:hint="eastAsia" w:ascii="仿宋" w:hAnsi="仿宋" w:eastAsia="仿宋" w:cs="仿宋"/>
                <w:szCs w:val="21"/>
              </w:rPr>
              <w:t>9</w:t>
            </w:r>
          </w:p>
        </w:tc>
        <w:tc>
          <w:tcPr>
            <w:tcW w:w="2655" w:type="dxa"/>
            <w:vMerge w:val="restart"/>
            <w:vAlign w:val="center"/>
          </w:tcPr>
          <w:p>
            <w:pPr>
              <w:snapToGrid w:val="0"/>
              <w:jc w:val="left"/>
              <w:rPr>
                <w:rFonts w:hint="eastAsia" w:ascii="仿宋" w:hAnsi="仿宋" w:eastAsia="仿宋" w:cs="仿宋"/>
                <w:szCs w:val="21"/>
              </w:rPr>
            </w:pPr>
            <w:r>
              <w:rPr>
                <w:rFonts w:hint="eastAsia" w:ascii="仿宋" w:hAnsi="仿宋" w:eastAsia="仿宋" w:cs="仿宋"/>
                <w:szCs w:val="21"/>
              </w:rPr>
              <w:t>供应商特定资格条件</w:t>
            </w: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restart"/>
            <w:vAlign w:val="center"/>
          </w:tcPr>
          <w:p>
            <w:pPr>
              <w:snapToGrid w:val="0"/>
              <w:ind w:left="425"/>
              <w:jc w:val="center"/>
              <w:rPr>
                <w:rFonts w:hint="eastAsia" w:ascii="仿宋" w:hAnsi="仿宋" w:eastAsia="仿宋" w:cs="仿宋"/>
              </w:rPr>
            </w:pPr>
          </w:p>
          <w:p>
            <w:pPr>
              <w:pStyle w:val="66"/>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"http://www.creditchina.gov.cn）中列入失信被执行人和/" </w:instrText>
            </w:r>
            <w:r>
              <w:rPr>
                <w:rFonts w:hint="eastAsia" w:ascii="仿宋" w:hAnsi="仿宋" w:eastAsia="仿宋" w:cs="仿宋"/>
              </w:rPr>
              <w:fldChar w:fldCharType="separate"/>
            </w:r>
            <w:r>
              <w:rPr>
                <w:rFonts w:hint="eastAsia" w:ascii="仿宋" w:hAnsi="仿宋" w:eastAsia="仿宋" w:cs="仿宋"/>
                <w:szCs w:val="21"/>
              </w:rPr>
              <w:t>www.creditchina.gov.cn）中列入失信被执行人和</w:t>
            </w:r>
            <w:r>
              <w:rPr>
                <w:rFonts w:hint="eastAsia" w:ascii="仿宋" w:hAnsi="仿宋" w:eastAsia="仿宋" w:cs="仿宋"/>
                <w:szCs w:val="21"/>
              </w:rPr>
              <w:fldChar w:fldCharType="end"/>
            </w:r>
            <w:r>
              <w:rPr>
                <w:rFonts w:hint="eastAsia" w:ascii="仿宋" w:hAnsi="仿宋" w:eastAsia="仿宋" w:cs="仿宋"/>
                <w:szCs w:val="21"/>
              </w:rPr>
              <w:t>重大税收违法案件当事人名单的供应商、未被中国政府采购网（www.ccgp.gov.cn）列入政府采购严重违法失信行为记录名单中被财政部门禁止参加政府采购活动的供应商</w:t>
            </w:r>
          </w:p>
        </w:tc>
        <w:tc>
          <w:tcPr>
            <w:tcW w:w="1178" w:type="dxa"/>
            <w:vMerge w:val="continue"/>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、供应商不得存在下列情形之一：</w:t>
            </w:r>
          </w:p>
          <w:p>
            <w:pPr>
              <w:snapToGrid w:val="0"/>
              <w:jc w:val="left"/>
              <w:rPr>
                <w:rFonts w:hint="eastAsia" w:ascii="仿宋" w:hAnsi="仿宋" w:eastAsia="仿宋" w:cs="仿宋"/>
                <w:szCs w:val="21"/>
              </w:rPr>
            </w:pPr>
            <w:r>
              <w:rPr>
                <w:rFonts w:hint="eastAsia" w:ascii="仿宋" w:hAnsi="仿宋" w:eastAsia="仿宋" w:cs="仿宋"/>
                <w:szCs w:val="21"/>
              </w:rPr>
              <w:t>（1）单位负责人为同一人或者存在直接控股、管理关系的不同供应商，不得参加本次采购活动；</w:t>
            </w:r>
          </w:p>
          <w:p>
            <w:pPr>
              <w:snapToGrid w:val="0"/>
              <w:jc w:val="left"/>
              <w:rPr>
                <w:rFonts w:hint="eastAsia" w:ascii="仿宋" w:hAnsi="仿宋" w:eastAsia="仿宋" w:cs="仿宋"/>
                <w:szCs w:val="21"/>
              </w:rPr>
            </w:pPr>
            <w:r>
              <w:rPr>
                <w:rFonts w:hint="eastAsia" w:ascii="仿宋" w:hAnsi="仿宋" w:eastAsia="仿宋" w:cs="仿宋"/>
                <w:szCs w:val="21"/>
              </w:rPr>
              <w:t>（2）为本项目提供整体设计、规范编制或者项目管理、监理、检测等服务的供应商，不得再参加本项目的采购活动；</w:t>
            </w:r>
          </w:p>
          <w:p>
            <w:pPr>
              <w:snapToGrid w:val="0"/>
              <w:jc w:val="left"/>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07" w:type="dxa"/>
            <w:gridSpan w:val="2"/>
            <w:vAlign w:val="center"/>
          </w:tcPr>
          <w:p>
            <w:pPr>
              <w:tabs>
                <w:tab w:val="left" w:pos="1260"/>
                <w:tab w:val="left" w:pos="1620"/>
              </w:tabs>
              <w:adjustRightInd w:val="0"/>
              <w:snapToGrid w:val="0"/>
              <w:jc w:val="center"/>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4677" w:type="dxa"/>
          </w:tcPr>
          <w:p>
            <w:pPr>
              <w:snapToGrid w:val="0"/>
              <w:jc w:val="center"/>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bl>
    <w:p>
      <w:pPr>
        <w:spacing w:line="0" w:lineRule="atLeast"/>
        <w:ind w:left="425"/>
        <w:rPr>
          <w:rFonts w:hint="eastAsia" w:ascii="仿宋" w:hAnsi="仿宋" w:eastAsia="仿宋" w:cs="仿宋"/>
          <w:szCs w:val="21"/>
        </w:rPr>
      </w:pPr>
    </w:p>
    <w:p>
      <w:pPr>
        <w:spacing w:line="0" w:lineRule="atLeast"/>
        <w:ind w:left="425"/>
        <w:rPr>
          <w:rFonts w:hint="eastAsia" w:ascii="仿宋" w:hAnsi="仿宋" w:eastAsia="仿宋" w:cs="仿宋"/>
          <w:b/>
          <w:sz w:val="30"/>
          <w:szCs w:val="30"/>
        </w:rPr>
      </w:pPr>
      <w:r>
        <w:rPr>
          <w:rFonts w:hint="eastAsia" w:ascii="仿宋" w:hAnsi="仿宋" w:eastAsia="仿宋" w:cs="仿宋"/>
          <w:szCs w:val="21"/>
        </w:rPr>
        <w:t>注：符合要求用“√”表示，不符合用“×”表示。有一项不符合要求，结论为不合格。</w:t>
      </w:r>
    </w:p>
    <w:p>
      <w:pPr>
        <w:rPr>
          <w:rFonts w:hint="eastAsia" w:ascii="仿宋" w:hAnsi="仿宋" w:eastAsia="仿宋" w:cs="仿宋"/>
          <w:b/>
          <w:sz w:val="30"/>
          <w:szCs w:val="30"/>
        </w:rPr>
      </w:pPr>
      <w:r>
        <w:rPr>
          <w:rFonts w:hint="eastAsia" w:ascii="仿宋" w:hAnsi="仿宋" w:eastAsia="仿宋" w:cs="仿宋"/>
          <w:b/>
          <w:sz w:val="30"/>
          <w:szCs w:val="30"/>
        </w:rPr>
        <w:br w:type="page"/>
      </w:r>
    </w:p>
    <w:p>
      <w:pPr>
        <w:tabs>
          <w:tab w:val="left" w:pos="2300"/>
          <w:tab w:val="center" w:pos="4595"/>
        </w:tabs>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957"/>
        <w:gridCol w:w="516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序号</w:t>
            </w:r>
          </w:p>
        </w:tc>
        <w:tc>
          <w:tcPr>
            <w:tcW w:w="195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评审项目</w:t>
            </w:r>
          </w:p>
        </w:tc>
        <w:tc>
          <w:tcPr>
            <w:tcW w:w="516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评审结论</w:t>
            </w:r>
          </w:p>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响应文件签署盖章</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报价</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附加条件</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公平竞争</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其他无效情形</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响应文件有效期</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响应文件格式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备选方案</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trike/>
                <w:szCs w:val="21"/>
              </w:rPr>
            </w:pPr>
            <w:r>
              <w:rPr>
                <w:rFonts w:hint="eastAsia" w:ascii="仿宋" w:hAnsi="仿宋" w:eastAsia="仿宋" w:cs="仿宋"/>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响应文件内容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供应商提供的货物/服务无实质性遗漏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技术响应</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交货期和交货地点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付款方式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798" w:type="dxa"/>
            <w:gridSpan w:val="2"/>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bl>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（5）其他弄虚作假的行为。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br w:type="page"/>
      </w:r>
    </w:p>
    <w:p>
      <w:pPr>
        <w:jc w:val="center"/>
        <w:rPr>
          <w:rFonts w:hint="eastAsia" w:ascii="仿宋" w:hAnsi="仿宋" w:eastAsia="仿宋" w:cs="仿宋"/>
          <w:b/>
          <w:sz w:val="30"/>
          <w:szCs w:val="30"/>
        </w:rPr>
      </w:pPr>
      <w:bookmarkStart w:id="406" w:name="_Toc410631198"/>
      <w:bookmarkStart w:id="407" w:name="_Toc7005048"/>
      <w:bookmarkStart w:id="408" w:name="_Toc414446034"/>
      <w:r>
        <w:rPr>
          <w:rFonts w:hint="eastAsia" w:ascii="仿宋" w:hAnsi="仿宋" w:eastAsia="仿宋" w:cs="仿宋"/>
          <w:b/>
          <w:sz w:val="30"/>
          <w:szCs w:val="30"/>
        </w:rPr>
        <w:t>附表三 商务评审因素及分值分配表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r>
        <w:rPr>
          <w:rFonts w:hint="eastAsia" w:ascii="仿宋" w:hAnsi="仿宋" w:eastAsia="仿宋" w:cs="仿宋"/>
          <w:b/>
          <w:szCs w:val="21"/>
        </w:rPr>
        <w:t>（满分</w:t>
      </w:r>
      <w:r>
        <w:rPr>
          <w:rFonts w:hint="eastAsia" w:ascii="仿宋" w:hAnsi="仿宋" w:eastAsia="仿宋" w:cs="仿宋"/>
          <w:b/>
          <w:szCs w:val="21"/>
          <w:lang w:val="en-US" w:eastAsia="zh-CN"/>
        </w:rPr>
        <w:t>2</w:t>
      </w:r>
      <w:r>
        <w:rPr>
          <w:rFonts w:hint="eastAsia" w:ascii="仿宋" w:hAnsi="仿宋" w:eastAsia="仿宋" w:cs="仿宋"/>
          <w:b/>
          <w:szCs w:val="21"/>
        </w:rPr>
        <w:t>0分）</w:t>
      </w:r>
    </w:p>
    <w:tbl>
      <w:tblPr>
        <w:tblStyle w:val="5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9"/>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9" w:type="dxa"/>
            <w:vAlign w:val="center"/>
          </w:tcPr>
          <w:p>
            <w:pPr>
              <w:jc w:val="center"/>
              <w:rPr>
                <w:rFonts w:hint="eastAsia" w:ascii="仿宋" w:hAnsi="仿宋" w:eastAsia="仿宋" w:cs="仿宋"/>
              </w:rPr>
            </w:pPr>
            <w:r>
              <w:rPr>
                <w:rFonts w:hint="eastAsia" w:ascii="仿宋" w:hAnsi="仿宋" w:eastAsia="仿宋" w:cs="仿宋"/>
              </w:rPr>
              <w:t>序号</w:t>
            </w:r>
          </w:p>
        </w:tc>
        <w:tc>
          <w:tcPr>
            <w:tcW w:w="1569" w:type="dxa"/>
            <w:vAlign w:val="center"/>
          </w:tcPr>
          <w:p>
            <w:pPr>
              <w:jc w:val="center"/>
              <w:rPr>
                <w:rFonts w:hint="eastAsia" w:ascii="仿宋" w:hAnsi="仿宋" w:eastAsia="仿宋" w:cs="仿宋"/>
              </w:rPr>
            </w:pPr>
            <w:r>
              <w:rPr>
                <w:rFonts w:hint="eastAsia" w:ascii="仿宋" w:hAnsi="仿宋" w:eastAsia="仿宋" w:cs="仿宋"/>
              </w:rPr>
              <w:t>评审内容</w:t>
            </w:r>
          </w:p>
        </w:tc>
        <w:tc>
          <w:tcPr>
            <w:tcW w:w="5306" w:type="dxa"/>
            <w:vAlign w:val="center"/>
          </w:tcPr>
          <w:p>
            <w:pPr>
              <w:jc w:val="center"/>
              <w:rPr>
                <w:rFonts w:hint="eastAsia" w:ascii="仿宋" w:hAnsi="仿宋" w:eastAsia="仿宋" w:cs="仿宋"/>
              </w:rPr>
            </w:pPr>
            <w:r>
              <w:rPr>
                <w:rFonts w:hint="eastAsia" w:ascii="仿宋" w:hAnsi="仿宋" w:eastAsia="仿宋" w:cs="仿宋"/>
              </w:rPr>
              <w:t>评  审  标  准</w:t>
            </w:r>
          </w:p>
        </w:tc>
        <w:tc>
          <w:tcPr>
            <w:tcW w:w="1061" w:type="dxa"/>
            <w:vAlign w:val="center"/>
          </w:tcPr>
          <w:p>
            <w:pPr>
              <w:jc w:val="center"/>
              <w:rPr>
                <w:rFonts w:hint="eastAsia" w:ascii="仿宋" w:hAnsi="仿宋" w:eastAsia="仿宋" w:cs="仿宋"/>
              </w:rPr>
            </w:pPr>
            <w:r>
              <w:rPr>
                <w:rFonts w:hint="eastAsia" w:ascii="仿宋" w:hAnsi="仿宋" w:eastAsia="仿宋" w:cs="仿宋"/>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9" w:type="dxa"/>
            <w:vAlign w:val="center"/>
          </w:tcPr>
          <w:p>
            <w:pPr>
              <w:jc w:val="center"/>
              <w:rPr>
                <w:rFonts w:hint="eastAsia" w:ascii="仿宋" w:hAnsi="仿宋" w:eastAsia="仿宋" w:cs="仿宋"/>
              </w:rPr>
            </w:pPr>
            <w:bookmarkStart w:id="409" w:name="_Toc7005049"/>
            <w:r>
              <w:rPr>
                <w:rFonts w:hint="eastAsia" w:ascii="仿宋" w:hAnsi="仿宋" w:eastAsia="仿宋" w:cs="仿宋"/>
              </w:rPr>
              <w:t>1</w:t>
            </w:r>
            <w:bookmarkEnd w:id="409"/>
          </w:p>
        </w:tc>
        <w:tc>
          <w:tcPr>
            <w:tcW w:w="1569" w:type="dxa"/>
            <w:vAlign w:val="center"/>
          </w:tcPr>
          <w:p>
            <w:pPr>
              <w:jc w:val="center"/>
              <w:rPr>
                <w:rFonts w:hint="eastAsia" w:ascii="仿宋" w:hAnsi="仿宋" w:eastAsia="仿宋" w:cs="仿宋"/>
                <w:bCs/>
              </w:rPr>
            </w:pPr>
            <w:r>
              <w:rPr>
                <w:rFonts w:hint="eastAsia" w:ascii="仿宋" w:hAnsi="仿宋" w:eastAsia="仿宋" w:cs="仿宋"/>
                <w:bCs/>
              </w:rPr>
              <w:t>合同主要条款</w:t>
            </w:r>
          </w:p>
        </w:tc>
        <w:tc>
          <w:tcPr>
            <w:tcW w:w="5306" w:type="dxa"/>
            <w:vAlign w:val="center"/>
          </w:tcPr>
          <w:p>
            <w:pPr>
              <w:jc w:val="left"/>
              <w:rPr>
                <w:rFonts w:hint="eastAsia" w:ascii="仿宋" w:hAnsi="仿宋" w:eastAsia="仿宋" w:cs="仿宋"/>
              </w:rPr>
            </w:pPr>
            <w:r>
              <w:rPr>
                <w:rFonts w:hint="eastAsia" w:ascii="仿宋" w:hAnsi="仿宋" w:eastAsia="仿宋" w:cs="仿宋"/>
              </w:rPr>
              <w:t>经过资格审查合格的供应商，响应文件中对付款、交付内容、服务等方面进行响应说明，按其响应程度计0～5分。无响应说明的不计分。</w:t>
            </w:r>
          </w:p>
        </w:tc>
        <w:tc>
          <w:tcPr>
            <w:tcW w:w="1061" w:type="dxa"/>
            <w:vAlign w:val="center"/>
          </w:tcPr>
          <w:p>
            <w:pPr>
              <w:jc w:val="center"/>
              <w:rPr>
                <w:rFonts w:hint="eastAsia"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rPr>
            </w:pPr>
            <w:r>
              <w:rPr>
                <w:rFonts w:hint="eastAsia" w:ascii="仿宋" w:hAnsi="仿宋" w:eastAsia="仿宋" w:cs="仿宋"/>
              </w:rPr>
              <w:t>2</w:t>
            </w:r>
          </w:p>
        </w:tc>
        <w:tc>
          <w:tcPr>
            <w:tcW w:w="1569" w:type="dxa"/>
            <w:vAlign w:val="center"/>
          </w:tcPr>
          <w:p>
            <w:pPr>
              <w:snapToGrid w:val="0"/>
              <w:jc w:val="center"/>
              <w:rPr>
                <w:rFonts w:hint="eastAsia" w:ascii="仿宋" w:hAnsi="仿宋" w:eastAsia="仿宋" w:cs="仿宋"/>
                <w:bCs/>
              </w:rPr>
            </w:pPr>
            <w:r>
              <w:rPr>
                <w:rFonts w:hint="eastAsia" w:ascii="仿宋" w:hAnsi="仿宋" w:eastAsia="仿宋" w:cs="仿宋"/>
                <w:kern w:val="0"/>
                <w:szCs w:val="21"/>
              </w:rPr>
              <w:t>业绩</w:t>
            </w:r>
          </w:p>
        </w:tc>
        <w:tc>
          <w:tcPr>
            <w:tcW w:w="5306" w:type="dxa"/>
            <w:vAlign w:val="center"/>
          </w:tcPr>
          <w:p>
            <w:pPr>
              <w:snapToGrid w:val="0"/>
              <w:rPr>
                <w:rFonts w:hint="eastAsia" w:ascii="仿宋" w:hAnsi="仿宋" w:eastAsia="仿宋" w:cs="仿宋"/>
              </w:rPr>
            </w:pPr>
            <w:r>
              <w:rPr>
                <w:rFonts w:hint="eastAsia" w:ascii="仿宋" w:hAnsi="仿宋" w:eastAsia="仿宋" w:cs="仿宋"/>
                <w:szCs w:val="21"/>
              </w:rPr>
              <w:t>供应商提供（2020年9月1日至今）同类项目业绩，业绩以合同或中标（成交）通知书为依据，投标文件中附有其证明资料，每提供一个业绩证明计2.5分，满分5分。</w:t>
            </w:r>
          </w:p>
        </w:tc>
        <w:tc>
          <w:tcPr>
            <w:tcW w:w="1061" w:type="dxa"/>
            <w:vAlign w:val="center"/>
          </w:tcPr>
          <w:p>
            <w:pPr>
              <w:jc w:val="center"/>
              <w:rPr>
                <w:rFonts w:hint="eastAsia"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lang w:val="en-US" w:eastAsia="zh-CN"/>
              </w:rPr>
            </w:pPr>
            <w:bookmarkStart w:id="410" w:name="_Toc7005063"/>
            <w:bookmarkStart w:id="411" w:name="_Toc410631199"/>
            <w:bookmarkStart w:id="412" w:name="_Toc414446035"/>
            <w:r>
              <w:rPr>
                <w:rFonts w:hint="eastAsia" w:ascii="仿宋" w:hAnsi="仿宋" w:eastAsia="仿宋" w:cs="仿宋"/>
                <w:lang w:val="en-US" w:eastAsia="zh-CN"/>
              </w:rPr>
              <w:t>3</w:t>
            </w:r>
          </w:p>
        </w:tc>
        <w:tc>
          <w:tcPr>
            <w:tcW w:w="1569" w:type="dxa"/>
            <w:vAlign w:val="center"/>
          </w:tcPr>
          <w:p>
            <w:pPr>
              <w:snapToGrid w:val="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售后服务及服务承诺</w:t>
            </w:r>
          </w:p>
        </w:tc>
        <w:tc>
          <w:tcPr>
            <w:tcW w:w="5306" w:type="dxa"/>
            <w:vAlign w:val="center"/>
          </w:tcPr>
          <w:p>
            <w:pPr>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1、供应商提供的售后服务完整可行，能够及时解决产品使用过程中遇到的质量及维修更换问题。根据其响应程度得0～5分</w:t>
            </w:r>
            <w:r>
              <w:rPr>
                <w:rFonts w:hint="eastAsia" w:ascii="仿宋" w:hAnsi="仿宋" w:eastAsia="仿宋" w:cs="仿宋"/>
              </w:rPr>
              <w:t>。</w:t>
            </w:r>
          </w:p>
          <w:p>
            <w:pPr>
              <w:snapToGrid w:val="0"/>
              <w:rPr>
                <w:rFonts w:hint="eastAsia" w:ascii="仿宋" w:hAnsi="仿宋" w:eastAsia="仿宋" w:cs="仿宋"/>
                <w:szCs w:val="21"/>
              </w:rPr>
            </w:pPr>
            <w:r>
              <w:rPr>
                <w:rFonts w:hint="eastAsia" w:ascii="仿宋" w:hAnsi="仿宋" w:eastAsia="仿宋" w:cs="仿宋"/>
                <w:szCs w:val="21"/>
                <w:lang w:val="en-US" w:eastAsia="zh-CN"/>
              </w:rPr>
              <w:t>2、提供服务承诺、保证服务质量，承诺满足并落实采购人对方案随时提出的修改要求且不得增加相应费用。按其响应程度计0～5分。</w:t>
            </w:r>
          </w:p>
        </w:tc>
        <w:tc>
          <w:tcPr>
            <w:tcW w:w="1061" w:type="dxa"/>
            <w:vAlign w:val="center"/>
          </w:tcPr>
          <w:p>
            <w:pPr>
              <w:jc w:val="center"/>
              <w:rPr>
                <w:rFonts w:hint="eastAsia" w:ascii="仿宋" w:hAnsi="仿宋" w:eastAsia="仿宋" w:cs="仿宋"/>
              </w:rPr>
            </w:pPr>
            <w:r>
              <w:rPr>
                <w:rFonts w:hint="eastAsia" w:ascii="仿宋" w:hAnsi="仿宋" w:eastAsia="仿宋" w:cs="仿宋"/>
                <w:lang w:val="en-US" w:eastAsia="zh-CN"/>
              </w:rPr>
              <w:t>10</w:t>
            </w:r>
          </w:p>
        </w:tc>
      </w:tr>
    </w:tbl>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附件四 技术评审因素及分值分配</w:t>
      </w:r>
      <w:bookmarkEnd w:id="410"/>
      <w:bookmarkEnd w:id="411"/>
      <w:bookmarkEnd w:id="412"/>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r>
        <w:rPr>
          <w:rFonts w:hint="eastAsia" w:ascii="仿宋" w:hAnsi="仿宋" w:eastAsia="仿宋" w:cs="仿宋"/>
          <w:b/>
          <w:szCs w:val="21"/>
        </w:rPr>
        <w:t>（总分</w:t>
      </w:r>
      <w:r>
        <w:rPr>
          <w:rFonts w:hint="eastAsia" w:ascii="仿宋" w:hAnsi="仿宋" w:eastAsia="仿宋" w:cs="仿宋"/>
          <w:b/>
          <w:szCs w:val="21"/>
          <w:lang w:val="en-US" w:eastAsia="zh-CN"/>
        </w:rPr>
        <w:t>5</w:t>
      </w:r>
      <w:r>
        <w:rPr>
          <w:rFonts w:hint="eastAsia" w:ascii="仿宋" w:hAnsi="仿宋" w:eastAsia="仿宋" w:cs="仿宋"/>
          <w:b/>
          <w:szCs w:val="21"/>
        </w:rPr>
        <w:t>0分）</w:t>
      </w:r>
    </w:p>
    <w:tbl>
      <w:tblPr>
        <w:tblStyle w:val="5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216"/>
        <w:gridCol w:w="473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501"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序号</w:t>
            </w:r>
          </w:p>
        </w:tc>
        <w:tc>
          <w:tcPr>
            <w:tcW w:w="2216"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项目</w:t>
            </w:r>
          </w:p>
        </w:tc>
        <w:tc>
          <w:tcPr>
            <w:tcW w:w="4733"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评分参考标准</w:t>
            </w:r>
          </w:p>
        </w:tc>
        <w:tc>
          <w:tcPr>
            <w:tcW w:w="1427"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blHeader/>
          <w:jc w:val="center"/>
        </w:trPr>
        <w:tc>
          <w:tcPr>
            <w:tcW w:w="501"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2216"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产品</w:t>
            </w:r>
          </w:p>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技术</w:t>
            </w:r>
          </w:p>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评审</w:t>
            </w:r>
          </w:p>
        </w:tc>
        <w:tc>
          <w:tcPr>
            <w:tcW w:w="4733" w:type="dxa"/>
            <w:vAlign w:val="center"/>
          </w:tcPr>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1、对本项目的认识和理解程度，结合项目概况和内容，由评标委员会自主赋分，0～5分。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2、产品选型符合文件要求，配置齐全，技术参数清楚、明确，技术资料齐全，功能满足采购需求，按其响应程度计0～5分。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3、相关运输安装组织方案，按照项目实际规模和建设需求，制定详细运输安装组织设计，按其响应程度计0～5分。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4、投标产品质量符合国内相关标准和有关规定，制造厂质量管理体系健全，技术、质量支持有保障，按其响应程度计0～5分。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5、五金件及辅料货源渠道正规，具有较好的使用效果，符合国内相关标准。按其响应程度计0～5分。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6、供应商提供所投产品的环保性，根据其响应程度得0～5分。</w:t>
            </w:r>
          </w:p>
        </w:tc>
        <w:tc>
          <w:tcPr>
            <w:tcW w:w="1427" w:type="dxa"/>
            <w:vAlign w:val="center"/>
          </w:tcPr>
          <w:p>
            <w:pPr>
              <w:snapToGrid w:val="0"/>
              <w:jc w:val="center"/>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blHeader/>
          <w:jc w:val="center"/>
        </w:trPr>
        <w:tc>
          <w:tcPr>
            <w:tcW w:w="501"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2216" w:type="dxa"/>
            <w:vAlign w:val="center"/>
          </w:tcPr>
          <w:p>
            <w:pPr>
              <w:widowControl/>
              <w:snapToGrid w:val="0"/>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保障措施</w:t>
            </w:r>
          </w:p>
        </w:tc>
        <w:tc>
          <w:tcPr>
            <w:tcW w:w="4733" w:type="dxa"/>
            <w:vAlign w:val="center"/>
          </w:tcPr>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1、供应商现场组织方案（包括安装组织计划、人力配置、质量标准、投入工具、成品保护、验收组织）等方面制订具体的实施方案，其内容具体可行，按其响应程度计0～5分。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2、针对项目实施中可能出现的问题有完善可行的应急预案，按其响应程度计0～5分。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3、项目时间周期安排合理，能够在承诺的时间内按期交货，并针对本次采购任务有具体的供货组织安排，详细的人员、财力调配、运输等说明，按其响应程度计0～5分。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4、提供合理的项目管理制度等，充分考虑项目建设风险，并提供合理可行的质量保障措施。按其响应程度计0～5分。</w:t>
            </w:r>
          </w:p>
        </w:tc>
        <w:tc>
          <w:tcPr>
            <w:tcW w:w="1427" w:type="dxa"/>
            <w:vAlign w:val="center"/>
          </w:tcPr>
          <w:p>
            <w:pPr>
              <w:snapToGrid w:val="0"/>
              <w:jc w:val="center"/>
              <w:rPr>
                <w:rFonts w:hint="eastAsia" w:ascii="仿宋" w:hAnsi="仿宋" w:eastAsia="仿宋" w:cs="仿宋"/>
                <w:sz w:val="22"/>
                <w:szCs w:val="22"/>
              </w:rPr>
            </w:pPr>
            <w:r>
              <w:rPr>
                <w:rFonts w:hint="eastAsia" w:ascii="仿宋" w:hAnsi="仿宋" w:eastAsia="仿宋" w:cs="仿宋"/>
                <w:sz w:val="22"/>
                <w:szCs w:val="22"/>
              </w:rPr>
              <w:t>20</w:t>
            </w:r>
          </w:p>
        </w:tc>
      </w:tr>
    </w:tbl>
    <w:p>
      <w:pPr>
        <w:rPr>
          <w:rFonts w:hint="eastAsia" w:ascii="仿宋" w:hAnsi="仿宋" w:eastAsia="仿宋" w:cs="仿宋"/>
          <w:b/>
          <w:sz w:val="30"/>
          <w:szCs w:val="30"/>
        </w:rPr>
      </w:pPr>
      <w:r>
        <w:rPr>
          <w:rFonts w:hint="eastAsia" w:ascii="仿宋" w:hAnsi="仿宋" w:eastAsia="仿宋" w:cs="仿宋"/>
          <w:b/>
          <w:sz w:val="30"/>
          <w:szCs w:val="30"/>
        </w:rPr>
        <w:br w:type="page"/>
      </w:r>
    </w:p>
    <w:p>
      <w:pPr>
        <w:jc w:val="center"/>
        <w:rPr>
          <w:rFonts w:hint="eastAsia" w:ascii="仿宋" w:hAnsi="仿宋" w:eastAsia="仿宋" w:cs="仿宋"/>
          <w:b/>
          <w:sz w:val="30"/>
          <w:szCs w:val="30"/>
        </w:rPr>
      </w:pPr>
      <w:r>
        <w:rPr>
          <w:rFonts w:hint="eastAsia" w:ascii="仿宋" w:hAnsi="仿宋" w:eastAsia="仿宋" w:cs="仿宋"/>
          <w:b/>
          <w:sz w:val="30"/>
          <w:szCs w:val="30"/>
        </w:rPr>
        <w:t>附件五 报价评审因素及分值分配表</w:t>
      </w:r>
    </w:p>
    <w:p>
      <w:pPr>
        <w:rPr>
          <w:rFonts w:hint="eastAsia" w:ascii="仿宋" w:hAnsi="仿宋" w:eastAsia="仿宋" w:cs="仿宋"/>
          <w:b/>
          <w:sz w:val="28"/>
          <w:szCs w:val="28"/>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rPr>
      </w:pPr>
      <w:r>
        <w:rPr>
          <w:rFonts w:hint="eastAsia" w:ascii="仿宋" w:hAnsi="仿宋" w:eastAsia="仿宋" w:cs="仿宋"/>
          <w:b/>
          <w:szCs w:val="21"/>
        </w:rPr>
        <w:t>（总分30分）</w:t>
      </w:r>
    </w:p>
    <w:p>
      <w:pPr>
        <w:rPr>
          <w:rFonts w:hint="eastAsia" w:ascii="仿宋" w:hAnsi="仿宋" w:eastAsia="仿宋" w:cs="仿宋"/>
        </w:rPr>
      </w:pPr>
    </w:p>
    <w:tbl>
      <w:tblPr>
        <w:tblStyle w:val="51"/>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64"/>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4" w:type="dxa"/>
            <w:vAlign w:val="center"/>
          </w:tcPr>
          <w:p>
            <w:pPr>
              <w:jc w:val="center"/>
              <w:rPr>
                <w:rFonts w:hint="eastAsia" w:ascii="仿宋" w:hAnsi="仿宋" w:eastAsia="仿宋" w:cs="仿宋"/>
                <w:bCs/>
                <w:szCs w:val="21"/>
              </w:rPr>
            </w:pPr>
            <w:r>
              <w:rPr>
                <w:rFonts w:hint="eastAsia" w:ascii="仿宋" w:hAnsi="仿宋" w:eastAsia="仿宋" w:cs="仿宋"/>
                <w:bCs/>
                <w:szCs w:val="21"/>
              </w:rPr>
              <w:t>序号</w:t>
            </w:r>
          </w:p>
        </w:tc>
        <w:tc>
          <w:tcPr>
            <w:tcW w:w="2264" w:type="dxa"/>
            <w:vAlign w:val="center"/>
          </w:tcPr>
          <w:p>
            <w:pPr>
              <w:jc w:val="center"/>
              <w:rPr>
                <w:rFonts w:hint="eastAsia" w:ascii="仿宋" w:hAnsi="仿宋" w:eastAsia="仿宋" w:cs="仿宋"/>
                <w:bCs/>
                <w:szCs w:val="21"/>
              </w:rPr>
            </w:pPr>
            <w:r>
              <w:rPr>
                <w:rFonts w:hint="eastAsia" w:ascii="仿宋" w:hAnsi="仿宋" w:eastAsia="仿宋" w:cs="仿宋"/>
                <w:bCs/>
                <w:szCs w:val="21"/>
              </w:rPr>
              <w:t>评审内容</w:t>
            </w:r>
          </w:p>
        </w:tc>
        <w:tc>
          <w:tcPr>
            <w:tcW w:w="4791" w:type="dxa"/>
            <w:vAlign w:val="center"/>
          </w:tcPr>
          <w:p>
            <w:pPr>
              <w:jc w:val="center"/>
              <w:rPr>
                <w:rFonts w:hint="eastAsia" w:ascii="仿宋" w:hAnsi="仿宋" w:eastAsia="仿宋" w:cs="仿宋"/>
                <w:bCs/>
                <w:szCs w:val="21"/>
              </w:rPr>
            </w:pPr>
            <w:r>
              <w:rPr>
                <w:rFonts w:hint="eastAsia" w:ascii="仿宋" w:hAnsi="仿宋" w:eastAsia="仿宋" w:cs="仿宋"/>
                <w:bCs/>
                <w:szCs w:val="21"/>
              </w:rPr>
              <w:t>评审标准</w:t>
            </w:r>
          </w:p>
        </w:tc>
        <w:tc>
          <w:tcPr>
            <w:tcW w:w="1449" w:type="dxa"/>
            <w:vAlign w:val="center"/>
          </w:tcPr>
          <w:p>
            <w:pPr>
              <w:jc w:val="center"/>
              <w:rPr>
                <w:rFonts w:hint="eastAsia" w:ascii="仿宋" w:hAnsi="仿宋" w:eastAsia="仿宋" w:cs="仿宋"/>
                <w:bCs/>
                <w:szCs w:val="21"/>
              </w:rPr>
            </w:pPr>
            <w:r>
              <w:rPr>
                <w:rFonts w:hint="eastAsia" w:ascii="仿宋" w:hAnsi="仿宋" w:eastAsia="仿宋" w:cs="仿宋"/>
                <w:bCs/>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34" w:type="dxa"/>
            <w:vAlign w:val="center"/>
          </w:tcPr>
          <w:p>
            <w:pPr>
              <w:jc w:val="center"/>
              <w:rPr>
                <w:rFonts w:hint="eastAsia" w:ascii="仿宋" w:hAnsi="仿宋" w:eastAsia="仿宋" w:cs="仿宋"/>
              </w:rPr>
            </w:pPr>
            <w:r>
              <w:rPr>
                <w:rFonts w:hint="eastAsia" w:ascii="仿宋" w:hAnsi="仿宋" w:eastAsia="仿宋" w:cs="仿宋"/>
              </w:rPr>
              <w:t>1</w:t>
            </w:r>
          </w:p>
        </w:tc>
        <w:tc>
          <w:tcPr>
            <w:tcW w:w="2264" w:type="dxa"/>
            <w:vAlign w:val="center"/>
          </w:tcPr>
          <w:p>
            <w:pPr>
              <w:jc w:val="center"/>
              <w:rPr>
                <w:rFonts w:hint="eastAsia" w:ascii="仿宋" w:hAnsi="仿宋" w:eastAsia="仿宋" w:cs="仿宋"/>
              </w:rPr>
            </w:pPr>
            <w:r>
              <w:rPr>
                <w:rFonts w:hint="eastAsia" w:ascii="仿宋" w:hAnsi="仿宋" w:eastAsia="仿宋" w:cs="仿宋"/>
              </w:rPr>
              <w:t>报价得分</w:t>
            </w:r>
          </w:p>
        </w:tc>
        <w:tc>
          <w:tcPr>
            <w:tcW w:w="4791" w:type="dxa"/>
            <w:vAlign w:val="center"/>
          </w:tcPr>
          <w:p>
            <w:pPr>
              <w:ind w:firstLine="420" w:firstLineChars="200"/>
              <w:jc w:val="left"/>
              <w:rPr>
                <w:rFonts w:hint="eastAsia" w:ascii="仿宋" w:hAnsi="仿宋" w:eastAsia="仿宋" w:cs="仿宋"/>
              </w:rPr>
            </w:pPr>
            <w:r>
              <w:rPr>
                <w:rFonts w:hint="eastAsia" w:ascii="仿宋" w:hAnsi="仿宋" w:eastAsia="仿宋" w:cs="仿宋"/>
              </w:rPr>
              <w:t>满足磋商文件要求且最后报价最低的供应商的价格为磋商基准价，其价格分为满分。其他供应商的价格分统一按照下列公式计算：磋商报价得分=（磋商基准价/最后磋商报价）×价格权值；</w:t>
            </w:r>
          </w:p>
        </w:tc>
        <w:tc>
          <w:tcPr>
            <w:tcW w:w="1449" w:type="dxa"/>
            <w:vAlign w:val="center"/>
          </w:tcPr>
          <w:p>
            <w:pPr>
              <w:jc w:val="center"/>
              <w:rPr>
                <w:rFonts w:hint="eastAsia" w:ascii="仿宋" w:hAnsi="仿宋" w:eastAsia="仿宋" w:cs="仿宋"/>
              </w:rPr>
            </w:pPr>
            <w:r>
              <w:rPr>
                <w:rFonts w:hint="eastAsia" w:ascii="仿宋" w:hAnsi="仿宋" w:eastAsia="仿宋" w:cs="仿宋"/>
              </w:rPr>
              <w:t>30</w:t>
            </w:r>
          </w:p>
        </w:tc>
      </w:tr>
    </w:tbl>
    <w:p>
      <w:pPr>
        <w:pStyle w:val="3"/>
        <w:rPr>
          <w:rFonts w:hint="eastAsia" w:ascii="仿宋" w:hAnsi="仿宋" w:eastAsia="仿宋" w:cs="仿宋"/>
        </w:rPr>
      </w:pPr>
    </w:p>
    <w:p>
      <w:pPr>
        <w:pStyle w:val="3"/>
        <w:rPr>
          <w:rFonts w:hint="eastAsia" w:ascii="仿宋" w:hAnsi="仿宋" w:eastAsia="仿宋" w:cs="仿宋"/>
        </w:rPr>
      </w:pPr>
    </w:p>
    <w:p>
      <w:pPr>
        <w:jc w:val="center"/>
        <w:rPr>
          <w:rFonts w:hint="eastAsia" w:ascii="仿宋" w:hAnsi="仿宋" w:eastAsia="仿宋" w:cs="仿宋"/>
          <w:b/>
          <w:kern w:val="0"/>
          <w:sz w:val="30"/>
          <w:szCs w:val="30"/>
        </w:rPr>
      </w:pPr>
      <w:r>
        <w:rPr>
          <w:rFonts w:hint="eastAsia" w:ascii="仿宋" w:hAnsi="仿宋" w:eastAsia="仿宋" w:cs="仿宋"/>
          <w:b/>
          <w:kern w:val="0"/>
          <w:sz w:val="30"/>
          <w:szCs w:val="30"/>
        </w:rPr>
        <w:br w:type="page"/>
      </w:r>
    </w:p>
    <w:p>
      <w:pPr>
        <w:pStyle w:val="49"/>
        <w:spacing w:line="360" w:lineRule="auto"/>
        <w:rPr>
          <w:rStyle w:val="207"/>
          <w:rFonts w:hint="eastAsia" w:ascii="仿宋" w:hAnsi="仿宋" w:eastAsia="仿宋" w:cs="仿宋"/>
          <w:sz w:val="36"/>
          <w:szCs w:val="36"/>
        </w:rPr>
        <w:sectPr>
          <w:footerReference r:id="rId7" w:type="first"/>
          <w:footerReference r:id="rId6" w:type="default"/>
          <w:pgSz w:w="11906" w:h="16838"/>
          <w:pgMar w:top="1418" w:right="1418" w:bottom="1418" w:left="1418" w:header="851" w:footer="850" w:gutter="0"/>
          <w:pgNumType w:start="1"/>
          <w:cols w:space="720" w:num="1"/>
          <w:titlePg/>
          <w:docGrid w:linePitch="312" w:charSpace="0"/>
        </w:sectPr>
      </w:pPr>
    </w:p>
    <w:p>
      <w:pPr>
        <w:pStyle w:val="49"/>
        <w:spacing w:line="360" w:lineRule="auto"/>
        <w:rPr>
          <w:rStyle w:val="207"/>
          <w:rFonts w:hint="eastAsia" w:ascii="仿宋" w:hAnsi="仿宋" w:eastAsia="仿宋" w:cs="仿宋"/>
          <w:sz w:val="36"/>
          <w:szCs w:val="36"/>
        </w:rPr>
      </w:pPr>
      <w:bookmarkStart w:id="413" w:name="_Toc25706"/>
      <w:r>
        <w:rPr>
          <w:rStyle w:val="207"/>
          <w:rFonts w:hint="eastAsia" w:ascii="仿宋" w:hAnsi="仿宋" w:eastAsia="仿宋" w:cs="仿宋"/>
          <w:sz w:val="36"/>
          <w:szCs w:val="36"/>
        </w:rPr>
        <w:t>第四章  合同草案条款</w:t>
      </w:r>
      <w:bookmarkEnd w:id="19"/>
      <w:bookmarkEnd w:id="391"/>
      <w:bookmarkEnd w:id="392"/>
      <w:bookmarkEnd w:id="413"/>
      <w:bookmarkStart w:id="414" w:name="_Toc249515482"/>
      <w:bookmarkStart w:id="415" w:name="_Toc230013638"/>
      <w:bookmarkStart w:id="416" w:name="_Toc28450"/>
      <w:bookmarkStart w:id="417" w:name="_Toc499711928"/>
      <w:bookmarkStart w:id="418" w:name="_Toc503063458"/>
      <w:bookmarkStart w:id="419" w:name="_Toc177817344"/>
      <w:bookmarkStart w:id="420" w:name="_Toc230099803"/>
      <w:bookmarkStart w:id="421" w:name="_Toc249525250"/>
      <w:bookmarkStart w:id="422" w:name="_Toc249515369"/>
      <w:bookmarkStart w:id="423" w:name="_Toc500747233"/>
      <w:bookmarkStart w:id="424" w:name="_Toc415499897"/>
      <w:bookmarkStart w:id="425" w:name="_Toc184043058"/>
      <w:bookmarkStart w:id="426" w:name="_Toc492955459"/>
      <w:bookmarkStart w:id="427" w:name="_Toc232395222"/>
      <w:bookmarkStart w:id="428" w:name="_Toc496324623"/>
      <w:bookmarkStart w:id="429" w:name="_Toc230583552"/>
      <w:bookmarkStart w:id="430" w:name="_Toc176882552"/>
      <w:bookmarkStart w:id="431" w:name="_Toc232176282"/>
      <w:bookmarkStart w:id="432" w:name="_Toc70687202"/>
      <w:bookmarkStart w:id="433" w:name="_Toc177995483"/>
      <w:bookmarkStart w:id="434" w:name="_Toc499711087"/>
      <w:bookmarkStart w:id="435" w:name="_Toc177189245"/>
      <w:bookmarkStart w:id="436" w:name="_Toc53722865"/>
      <w:bookmarkStart w:id="437" w:name="_Toc256342152"/>
      <w:bookmarkStart w:id="438" w:name="_Toc500747010"/>
      <w:bookmarkStart w:id="439" w:name="_Toc500747106"/>
    </w:p>
    <w:p>
      <w:pPr>
        <w:pStyle w:val="26"/>
        <w:ind w:left="840" w:hanging="420"/>
        <w:rPr>
          <w:rFonts w:hint="eastAsia" w:ascii="仿宋" w:hAnsi="仿宋" w:eastAsia="仿宋" w:cs="仿宋"/>
        </w:rPr>
      </w:pPr>
    </w:p>
    <w:p>
      <w:pPr>
        <w:tabs>
          <w:tab w:val="left" w:pos="735"/>
        </w:tabs>
        <w:autoSpaceDE w:val="0"/>
        <w:autoSpaceDN w:val="0"/>
        <w:adjustRightInd w:val="0"/>
        <w:snapToGrid w:val="0"/>
        <w:spacing w:before="240" w:beforeLines="100" w:line="360" w:lineRule="auto"/>
        <w:ind w:firstLine="629"/>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甲方：</w:t>
      </w:r>
      <w:r>
        <w:rPr>
          <w:rFonts w:hint="eastAsia" w:ascii="仿宋" w:hAnsi="仿宋" w:eastAsia="仿宋" w:cs="仿宋"/>
          <w:bCs/>
          <w:color w:val="auto"/>
          <w:sz w:val="24"/>
          <w:szCs w:val="24"/>
          <w:lang w:val="zh-CN"/>
        </w:rPr>
        <w:t>（前款所称采购人）</w:t>
      </w:r>
    </w:p>
    <w:p>
      <w:pPr>
        <w:tabs>
          <w:tab w:val="left" w:pos="735"/>
        </w:tabs>
        <w:autoSpaceDE w:val="0"/>
        <w:autoSpaceDN w:val="0"/>
        <w:adjustRightInd w:val="0"/>
        <w:snapToGrid w:val="0"/>
        <w:spacing w:line="360" w:lineRule="auto"/>
        <w:ind w:firstLine="631"/>
        <w:rPr>
          <w:rFonts w:hint="eastAsia" w:ascii="仿宋" w:hAnsi="仿宋" w:eastAsia="仿宋" w:cs="仿宋"/>
          <w:bCs/>
          <w:color w:val="auto"/>
          <w:sz w:val="24"/>
          <w:szCs w:val="24"/>
          <w:lang w:val="zh-CN"/>
        </w:rPr>
      </w:pPr>
      <w:r>
        <w:rPr>
          <w:rFonts w:hint="eastAsia" w:ascii="仿宋" w:hAnsi="仿宋" w:eastAsia="仿宋" w:cs="仿宋"/>
          <w:b/>
          <w:bCs/>
          <w:color w:val="auto"/>
          <w:sz w:val="24"/>
          <w:szCs w:val="24"/>
          <w:lang w:val="zh-CN"/>
        </w:rPr>
        <w:t>乙方：</w:t>
      </w:r>
      <w:r>
        <w:rPr>
          <w:rFonts w:hint="eastAsia" w:ascii="仿宋" w:hAnsi="仿宋" w:eastAsia="仿宋" w:cs="仿宋"/>
          <w:bCs/>
          <w:color w:val="auto"/>
          <w:sz w:val="24"/>
          <w:szCs w:val="24"/>
          <w:lang w:val="zh-CN"/>
        </w:rPr>
        <w:t>（前款所称中标人）</w:t>
      </w:r>
    </w:p>
    <w:p>
      <w:pPr>
        <w:pStyle w:val="7"/>
        <w:snapToGrid w:val="0"/>
        <w:spacing w:line="360" w:lineRule="auto"/>
        <w:ind w:firstLine="482" w:firstLineChars="200"/>
        <w:jc w:val="left"/>
        <w:rPr>
          <w:rFonts w:hint="eastAsia" w:ascii="仿宋" w:hAnsi="仿宋" w:eastAsia="仿宋" w:cs="仿宋"/>
          <w:b/>
          <w:color w:val="auto"/>
          <w:sz w:val="24"/>
          <w:szCs w:val="24"/>
          <w:lang w:val="zh-CN"/>
        </w:rPr>
      </w:pPr>
      <w:bookmarkStart w:id="440" w:name="_Toc16738"/>
      <w:bookmarkStart w:id="441" w:name="_Toc28151"/>
      <w:bookmarkStart w:id="442" w:name="_Toc29576"/>
      <w:bookmarkStart w:id="443" w:name="_Toc25600"/>
      <w:bookmarkStart w:id="444" w:name="_Toc8646"/>
      <w:r>
        <w:rPr>
          <w:rFonts w:hint="eastAsia" w:ascii="仿宋" w:hAnsi="仿宋" w:eastAsia="仿宋" w:cs="仿宋"/>
          <w:b/>
          <w:color w:val="auto"/>
          <w:sz w:val="24"/>
          <w:szCs w:val="24"/>
          <w:lang w:val="zh-CN"/>
        </w:rPr>
        <w:t>一、合同内容:</w:t>
      </w:r>
      <w:bookmarkEnd w:id="440"/>
      <w:bookmarkEnd w:id="441"/>
      <w:bookmarkEnd w:id="442"/>
      <w:bookmarkEnd w:id="443"/>
      <w:r>
        <w:rPr>
          <w:rFonts w:hint="eastAsia" w:ascii="仿宋" w:hAnsi="仿宋" w:eastAsia="仿宋" w:cs="仿宋"/>
          <w:b w:val="0"/>
          <w:bCs/>
          <w:color w:val="auto"/>
          <w:sz w:val="24"/>
          <w:szCs w:val="24"/>
          <w:lang w:val="zh-CN"/>
        </w:rPr>
        <w:t>（标的、数量、质量等）:</w:t>
      </w:r>
      <w:bookmarkEnd w:id="444"/>
    </w:p>
    <w:p>
      <w:pPr>
        <w:pStyle w:val="7"/>
        <w:spacing w:line="360" w:lineRule="auto"/>
        <w:ind w:firstLine="482" w:firstLineChars="200"/>
        <w:jc w:val="left"/>
        <w:rPr>
          <w:rFonts w:hint="eastAsia" w:ascii="仿宋" w:hAnsi="仿宋" w:eastAsia="仿宋" w:cs="仿宋"/>
          <w:b/>
          <w:color w:val="auto"/>
          <w:sz w:val="24"/>
          <w:szCs w:val="24"/>
          <w:lang w:val="zh-CN"/>
        </w:rPr>
      </w:pPr>
      <w:bookmarkStart w:id="445" w:name="_Toc464"/>
      <w:bookmarkStart w:id="446" w:name="_Toc27894"/>
      <w:bookmarkStart w:id="447" w:name="_Toc28732"/>
      <w:bookmarkStart w:id="448" w:name="_Toc7350"/>
      <w:bookmarkStart w:id="449" w:name="_Toc24154"/>
      <w:r>
        <w:rPr>
          <w:rFonts w:hint="eastAsia" w:ascii="仿宋" w:hAnsi="仿宋" w:eastAsia="仿宋" w:cs="仿宋"/>
          <w:b/>
          <w:color w:val="auto"/>
          <w:sz w:val="24"/>
          <w:szCs w:val="24"/>
          <w:lang w:val="zh-CN"/>
        </w:rPr>
        <w:t>二、合同价款</w:t>
      </w:r>
      <w:bookmarkEnd w:id="445"/>
      <w:bookmarkEnd w:id="446"/>
      <w:bookmarkEnd w:id="447"/>
      <w:bookmarkEnd w:id="448"/>
      <w:bookmarkEnd w:id="44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1、合同总价：</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2、合同总价包括：合同总价为</w:t>
      </w:r>
      <w:r>
        <w:rPr>
          <w:rFonts w:hint="eastAsia" w:ascii="仿宋" w:hAnsi="仿宋" w:eastAsia="仿宋" w:cs="仿宋"/>
          <w:color w:val="auto"/>
          <w:sz w:val="24"/>
          <w:szCs w:val="24"/>
          <w:lang w:eastAsia="zh-CN"/>
        </w:rPr>
        <w:t>货物</w:t>
      </w:r>
      <w:r>
        <w:rPr>
          <w:rFonts w:hint="eastAsia" w:ascii="仿宋" w:hAnsi="仿宋" w:eastAsia="仿宋" w:cs="仿宋"/>
          <w:color w:val="auto"/>
          <w:sz w:val="24"/>
          <w:szCs w:val="24"/>
        </w:rPr>
        <w:t>安装调试达到使用条件的价格，包括：</w:t>
      </w:r>
      <w:r>
        <w:rPr>
          <w:rFonts w:hint="eastAsia" w:ascii="仿宋" w:hAnsi="仿宋" w:eastAsia="仿宋" w:cs="仿宋"/>
          <w:color w:val="auto"/>
          <w:sz w:val="24"/>
          <w:szCs w:val="24"/>
          <w:lang w:val="zh-CN"/>
        </w:rPr>
        <w:t>设备及材料供应费、运杂费、系统调试费及其它相关的费用。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3、合同总价一次包死，不受市场价变化的影响。</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50" w:name="_Toc17236"/>
      <w:bookmarkStart w:id="451" w:name="_Toc20596"/>
      <w:bookmarkStart w:id="452" w:name="_Toc14298"/>
      <w:bookmarkStart w:id="453" w:name="_Toc21260"/>
      <w:bookmarkStart w:id="454" w:name="_Toc28260"/>
      <w:r>
        <w:rPr>
          <w:rFonts w:hint="eastAsia" w:ascii="仿宋" w:hAnsi="仿宋" w:eastAsia="仿宋" w:cs="仿宋"/>
          <w:b/>
          <w:color w:val="auto"/>
          <w:sz w:val="24"/>
          <w:szCs w:val="24"/>
          <w:lang w:val="zh-CN"/>
        </w:rPr>
        <w:t>三、合同结算</w:t>
      </w:r>
      <w:bookmarkEnd w:id="450"/>
      <w:bookmarkEnd w:id="451"/>
      <w:bookmarkEnd w:id="452"/>
      <w:bookmarkEnd w:id="453"/>
      <w:bookmarkEnd w:id="454"/>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1、付款比例：</w:t>
      </w:r>
      <w:r>
        <w:rPr>
          <w:rFonts w:hint="eastAsia" w:ascii="仿宋" w:hAnsi="仿宋" w:eastAsia="仿宋" w:cs="仿宋"/>
          <w:sz w:val="24"/>
          <w:highlight w:val="yellow"/>
          <w:lang w:eastAsia="zh-CN"/>
        </w:rPr>
        <w:t>合同签订后支付总价的50%，</w:t>
      </w:r>
      <w:r>
        <w:rPr>
          <w:rFonts w:hint="eastAsia" w:ascii="仿宋" w:hAnsi="仿宋" w:eastAsia="仿宋" w:cs="仿宋"/>
          <w:sz w:val="24"/>
          <w:highlight w:val="yellow"/>
          <w:lang w:val="en-US" w:eastAsia="zh-CN"/>
        </w:rPr>
        <w:t>供货安装完成并通过验收后</w:t>
      </w:r>
      <w:r>
        <w:rPr>
          <w:rFonts w:hint="eastAsia" w:ascii="仿宋" w:hAnsi="仿宋" w:eastAsia="仿宋" w:cs="仿宋"/>
          <w:sz w:val="24"/>
          <w:highlight w:val="yellow"/>
          <w:lang w:eastAsia="zh-CN"/>
        </w:rPr>
        <w:t>的4个月内支付完剩余总价的50%</w:t>
      </w:r>
      <w:r>
        <w:rPr>
          <w:rFonts w:hint="eastAsia" w:ascii="仿宋" w:hAnsi="仿宋" w:eastAsia="仿宋" w:cs="仿宋"/>
          <w:color w:val="auto"/>
          <w:sz w:val="24"/>
          <w:szCs w:val="24"/>
          <w:highlight w:val="yellow"/>
        </w:rPr>
        <w:t>。</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2、结算方式：银行转账。</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3、结算单位：由</w:t>
      </w:r>
      <w:r>
        <w:rPr>
          <w:rFonts w:hint="eastAsia" w:ascii="仿宋" w:hAnsi="仿宋" w:eastAsia="仿宋" w:cs="仿宋"/>
          <w:color w:val="auto"/>
          <w:sz w:val="24"/>
          <w:szCs w:val="24"/>
          <w:highlight w:val="none"/>
          <w:u w:val="single"/>
        </w:rPr>
        <w:t>甲方</w:t>
      </w:r>
      <w:r>
        <w:rPr>
          <w:rFonts w:hint="eastAsia" w:ascii="仿宋" w:hAnsi="仿宋" w:eastAsia="仿宋" w:cs="仿宋"/>
          <w:color w:val="auto"/>
          <w:sz w:val="24"/>
          <w:szCs w:val="24"/>
          <w:highlight w:val="none"/>
        </w:rPr>
        <w:t>负责结算，乙方开具合同总价数的全额发票交采购人。</w:t>
      </w:r>
    </w:p>
    <w:p>
      <w:pPr>
        <w:pStyle w:val="7"/>
        <w:spacing w:line="360" w:lineRule="auto"/>
        <w:ind w:firstLine="482" w:firstLineChars="200"/>
        <w:jc w:val="left"/>
        <w:rPr>
          <w:rFonts w:hint="eastAsia" w:ascii="仿宋" w:hAnsi="仿宋" w:eastAsia="仿宋" w:cs="仿宋"/>
          <w:b/>
          <w:color w:val="auto"/>
          <w:sz w:val="24"/>
          <w:szCs w:val="24"/>
          <w:highlight w:val="none"/>
          <w:lang w:val="zh-CN"/>
        </w:rPr>
      </w:pPr>
      <w:bookmarkStart w:id="455" w:name="_Toc8840"/>
      <w:bookmarkStart w:id="456" w:name="_Toc8644"/>
      <w:bookmarkStart w:id="457" w:name="_Toc14677"/>
      <w:bookmarkStart w:id="458" w:name="_Toc23177"/>
      <w:bookmarkStart w:id="459" w:name="_Toc26651"/>
      <w:r>
        <w:rPr>
          <w:rFonts w:hint="eastAsia" w:ascii="仿宋" w:hAnsi="仿宋" w:eastAsia="仿宋" w:cs="仿宋"/>
          <w:b/>
          <w:color w:val="auto"/>
          <w:sz w:val="24"/>
          <w:szCs w:val="24"/>
          <w:highlight w:val="none"/>
          <w:lang w:val="zh-CN"/>
        </w:rPr>
        <w:t>四、交货条件:</w:t>
      </w:r>
      <w:bookmarkEnd w:id="455"/>
      <w:bookmarkEnd w:id="456"/>
      <w:bookmarkEnd w:id="457"/>
      <w:bookmarkEnd w:id="458"/>
      <w:bookmarkEnd w:id="459"/>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1、交货地点：</w:t>
      </w:r>
      <w:r>
        <w:rPr>
          <w:rFonts w:hint="eastAsia" w:ascii="仿宋" w:hAnsi="仿宋" w:eastAsia="仿宋" w:cs="仿宋"/>
          <w:color w:val="auto"/>
          <w:sz w:val="24"/>
          <w:szCs w:val="24"/>
          <w:highlight w:val="none"/>
          <w:lang w:val="en-US" w:eastAsia="zh-CN"/>
        </w:rPr>
        <w:t>铜川市朝阳实验小学</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2、交货期：</w:t>
      </w:r>
      <w:r>
        <w:rPr>
          <w:rFonts w:hint="eastAsia" w:ascii="仿宋" w:hAnsi="仿宋" w:eastAsia="仿宋" w:cs="仿宋"/>
          <w:color w:val="auto"/>
          <w:sz w:val="24"/>
          <w:szCs w:val="24"/>
          <w:highlight w:val="yellow"/>
          <w:lang w:eastAsia="zh-CN"/>
        </w:rPr>
        <w:t>合同签订后10日历天内到货并安装完成。</w:t>
      </w:r>
    </w:p>
    <w:p>
      <w:pPr>
        <w:pStyle w:val="7"/>
        <w:spacing w:line="360" w:lineRule="auto"/>
        <w:ind w:firstLine="482" w:firstLineChars="200"/>
        <w:jc w:val="left"/>
        <w:rPr>
          <w:rFonts w:hint="eastAsia" w:ascii="仿宋" w:hAnsi="仿宋" w:eastAsia="仿宋" w:cs="仿宋"/>
          <w:b/>
          <w:color w:val="auto"/>
          <w:sz w:val="24"/>
          <w:szCs w:val="24"/>
          <w:highlight w:val="none"/>
          <w:lang w:val="zh-CN"/>
        </w:rPr>
      </w:pPr>
      <w:bookmarkStart w:id="460" w:name="_Toc17456"/>
      <w:bookmarkStart w:id="461" w:name="_Toc23635"/>
      <w:bookmarkStart w:id="462" w:name="_Toc29880"/>
      <w:bookmarkStart w:id="463" w:name="_Toc12952"/>
      <w:bookmarkStart w:id="464" w:name="_Toc21620"/>
      <w:r>
        <w:rPr>
          <w:rFonts w:hint="eastAsia" w:ascii="仿宋" w:hAnsi="仿宋" w:eastAsia="仿宋" w:cs="仿宋"/>
          <w:b/>
          <w:color w:val="auto"/>
          <w:sz w:val="24"/>
          <w:szCs w:val="24"/>
          <w:highlight w:val="none"/>
          <w:lang w:val="zh-CN"/>
        </w:rPr>
        <w:t>五、运输</w:t>
      </w:r>
      <w:bookmarkEnd w:id="460"/>
      <w:bookmarkEnd w:id="461"/>
      <w:bookmarkEnd w:id="462"/>
      <w:bookmarkEnd w:id="463"/>
      <w:bookmarkEnd w:id="46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1、乙方负责所有货物的运输</w:t>
      </w:r>
      <w:r>
        <w:rPr>
          <w:rFonts w:hint="eastAsia" w:ascii="仿宋" w:hAnsi="仿宋" w:eastAsia="仿宋" w:cs="仿宋"/>
          <w:color w:val="auto"/>
          <w:sz w:val="24"/>
          <w:szCs w:val="24"/>
          <w:lang w:val="en-US" w:eastAsia="zh-CN"/>
        </w:rPr>
        <w:t>及安装</w:t>
      </w:r>
      <w:r>
        <w:rPr>
          <w:rFonts w:hint="eastAsia" w:ascii="仿宋" w:hAnsi="仿宋" w:eastAsia="仿宋" w:cs="仿宋"/>
          <w:color w:val="auto"/>
          <w:sz w:val="24"/>
          <w:szCs w:val="24"/>
        </w:rPr>
        <w:t>。确保货物安全、完整到达使用地点</w:t>
      </w:r>
      <w:r>
        <w:rPr>
          <w:rFonts w:hint="eastAsia" w:ascii="仿宋" w:hAnsi="仿宋" w:eastAsia="仿宋" w:cs="仿宋"/>
          <w:color w:val="auto"/>
          <w:sz w:val="24"/>
          <w:szCs w:val="24"/>
          <w:lang w:val="en-US" w:eastAsia="zh-CN"/>
        </w:rPr>
        <w:t>并按甲方要求完成安装</w:t>
      </w:r>
      <w:r>
        <w:rPr>
          <w:rFonts w:hint="eastAsia" w:ascii="仿宋" w:hAnsi="仿宋" w:eastAsia="仿宋" w:cs="仿宋"/>
          <w:color w:val="auto"/>
          <w:sz w:val="24"/>
          <w:szCs w:val="24"/>
        </w:rPr>
        <w:t>，运杂费用包含在总价内，包括货物从供货地点到使用地点的运输费、保险费、搬运费等。</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2、所有货物在运输、搬运、安装的过程中，造成损坏的，由乙方为甲方免费更换或修复。</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65" w:name="_Toc771"/>
      <w:bookmarkStart w:id="466" w:name="_Toc29138"/>
      <w:bookmarkStart w:id="467" w:name="_Toc4782"/>
      <w:bookmarkStart w:id="468" w:name="_Toc5835"/>
      <w:bookmarkStart w:id="469" w:name="_Toc14988"/>
      <w:r>
        <w:rPr>
          <w:rFonts w:hint="eastAsia" w:ascii="仿宋" w:hAnsi="仿宋" w:eastAsia="仿宋" w:cs="仿宋"/>
          <w:b/>
          <w:color w:val="auto"/>
          <w:sz w:val="24"/>
          <w:szCs w:val="24"/>
          <w:lang w:val="zh-CN"/>
        </w:rPr>
        <w:t>六、质量保证</w:t>
      </w:r>
      <w:bookmarkEnd w:id="465"/>
      <w:bookmarkEnd w:id="466"/>
      <w:bookmarkEnd w:id="467"/>
      <w:bookmarkEnd w:id="468"/>
      <w:bookmarkEnd w:id="46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1、乙方提供货物必须是原品牌制造厂制造的产品。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2、所供货物必须是经过办理正常手续的全新产品。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3、所供货物是经过国家法定检验、注册、准许市场销售的合法产品。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4、货物性能稳定、具有较好的使用效果，质量保证措施完善，符合国家相关标准。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5、质保期为验收合格后实际开始运行使用起为保修起始日期，质保不少于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年，终身维护保养，质保期后，只收取成本费用。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6、包装要求</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6-1、除合同另有规定外，乙方提供的全部货物，均应按标准保护措施进行包装，并确保货物安全无损运抵甲方指定地点。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6-2、每一个包装箱内应附一份详细装箱单和质量合格证。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7、乙方应保证甲方在使用该货物或其任何一部分时免受第三方提出侵犯其专利权、商标权或工业设计权的起诉。</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70" w:name="_Toc6016"/>
      <w:bookmarkStart w:id="471" w:name="_Toc18051"/>
      <w:bookmarkStart w:id="472" w:name="_Toc10330"/>
      <w:bookmarkStart w:id="473" w:name="_Toc30514"/>
      <w:bookmarkStart w:id="474" w:name="_Toc24442"/>
      <w:r>
        <w:rPr>
          <w:rFonts w:hint="eastAsia" w:ascii="仿宋" w:hAnsi="仿宋" w:eastAsia="仿宋" w:cs="仿宋"/>
          <w:b/>
          <w:color w:val="auto"/>
          <w:sz w:val="24"/>
          <w:szCs w:val="24"/>
          <w:lang w:val="zh-CN"/>
        </w:rPr>
        <w:t>七、技术服务</w:t>
      </w:r>
      <w:bookmarkEnd w:id="470"/>
      <w:bookmarkEnd w:id="471"/>
      <w:bookmarkEnd w:id="472"/>
      <w:bookmarkEnd w:id="473"/>
      <w:bookmarkEnd w:id="47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1、对技术服务的要求：</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2、技术资料：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2-1、产品合格证及检验报告；</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2-2、产品使用说明书（中文）；</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2-3、中国商品检验局出具的商检合格证明（进口产品）；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2-4、其它资料。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3、技术培训：</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3-1、培训内容：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3-2、培训地点：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3-3、培训时间：</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3-4、培训人数：</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4、售后服务</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4-1、乙方在接到甲方保修电话故障通知后在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小时内派出合格的维修人员到达现场进行维修服务，承担相应费用，若需将产品送回生产厂，乙方应提供备用</w:t>
      </w:r>
      <w:r>
        <w:rPr>
          <w:rFonts w:hint="eastAsia" w:ascii="仿宋" w:hAnsi="仿宋" w:eastAsia="仿宋" w:cs="仿宋"/>
          <w:color w:val="auto"/>
          <w:sz w:val="24"/>
          <w:szCs w:val="24"/>
          <w:lang w:eastAsia="zh-CN"/>
        </w:rPr>
        <w:t>品</w:t>
      </w:r>
      <w:r>
        <w:rPr>
          <w:rFonts w:hint="eastAsia" w:ascii="仿宋" w:hAnsi="仿宋" w:eastAsia="仿宋" w:cs="仿宋"/>
          <w:color w:val="auto"/>
          <w:sz w:val="24"/>
          <w:szCs w:val="24"/>
        </w:rPr>
        <w:t>、承担维修产品所需的往返费用。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4-2、如果乙方在收到通知后两天内没有弥补缺陷，甲方可采取必要的补救措施，但其风险和费用将由乙方承担，甲方根据合同规定对乙方行使的其它权力不受影响。甲方亦可从质保金中扣回索赔金额。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5、伴随服务</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5-1、乙方应随同每套货物提供相应的中文的技术文件。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5-1-1、完整的操作使用手册和维护、修理技术文件，图纸、保修卡等。</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5-1-2、制造厂的检验、测试报告、检验合格证书，计量合格等级证书，质量保证书等文件须随产品装箱提供。</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5-1-3、必须的其它技术资料。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5-2、伴随服务的费用已含在合同价中，不单独进行支付。</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75" w:name="_Toc29212"/>
      <w:bookmarkStart w:id="476" w:name="_Toc2280"/>
      <w:bookmarkStart w:id="477" w:name="_Toc13953"/>
      <w:bookmarkStart w:id="478" w:name="_Toc13822"/>
      <w:bookmarkStart w:id="479" w:name="_Toc30764"/>
      <w:r>
        <w:rPr>
          <w:rFonts w:hint="eastAsia" w:ascii="仿宋" w:hAnsi="仿宋" w:eastAsia="仿宋" w:cs="仿宋"/>
          <w:b/>
          <w:color w:val="auto"/>
          <w:sz w:val="24"/>
          <w:szCs w:val="24"/>
          <w:lang w:val="zh-CN"/>
        </w:rPr>
        <w:t>八、验收</w:t>
      </w:r>
      <w:bookmarkEnd w:id="475"/>
      <w:bookmarkEnd w:id="476"/>
      <w:bookmarkEnd w:id="477"/>
      <w:bookmarkEnd w:id="478"/>
      <w:bookmarkEnd w:id="47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4、质保期满后：由乙方出具质保期运行质量报告，作为质保金支付依据，若存在质量问题，应按相应规定协商处理。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5、验收依据：</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5-1、合同文本、合同附件、招标文件、投标文件。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5-2、国内相应的标准、规范。</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80" w:name="_Toc21371"/>
      <w:bookmarkStart w:id="481" w:name="_Toc22406"/>
      <w:bookmarkStart w:id="482" w:name="_Toc21377"/>
      <w:bookmarkStart w:id="483" w:name="_Toc29473"/>
      <w:bookmarkStart w:id="484" w:name="_Toc16824"/>
      <w:r>
        <w:rPr>
          <w:rFonts w:hint="eastAsia" w:ascii="仿宋" w:hAnsi="仿宋" w:eastAsia="仿宋" w:cs="仿宋"/>
          <w:b/>
          <w:color w:val="auto"/>
          <w:sz w:val="24"/>
          <w:szCs w:val="24"/>
          <w:lang w:val="zh-CN"/>
        </w:rPr>
        <w:t>九、违约责任</w:t>
      </w:r>
      <w:bookmarkEnd w:id="480"/>
      <w:bookmarkEnd w:id="481"/>
      <w:bookmarkEnd w:id="482"/>
      <w:bookmarkEnd w:id="483"/>
      <w:bookmarkEnd w:id="48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1、按《合同法》中的相关条款执行。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2、乙方履约延误</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2-1、如乙方事先未征得甲方同意并得到甲方的谅解而单方面延迟交货，将按违约终止合同。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85" w:name="_Toc6978"/>
      <w:bookmarkStart w:id="486" w:name="_Toc4905"/>
      <w:bookmarkStart w:id="487" w:name="_Toc18248"/>
      <w:bookmarkStart w:id="488" w:name="_Toc1277"/>
      <w:bookmarkStart w:id="489" w:name="_Toc20285"/>
      <w:r>
        <w:rPr>
          <w:rFonts w:hint="eastAsia" w:ascii="仿宋" w:hAnsi="仿宋" w:eastAsia="仿宋" w:cs="仿宋"/>
          <w:b/>
          <w:color w:val="auto"/>
          <w:sz w:val="24"/>
          <w:szCs w:val="24"/>
          <w:lang w:val="zh-CN"/>
        </w:rPr>
        <w:t>十、合同组成</w:t>
      </w:r>
      <w:bookmarkEnd w:id="485"/>
      <w:bookmarkEnd w:id="486"/>
      <w:bookmarkEnd w:id="487"/>
      <w:bookmarkEnd w:id="488"/>
      <w:bookmarkEnd w:id="48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1、中标通知书</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3、国家相关规范及标准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4、供货产品技术规格及参数表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5、招标文件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6、投标文件</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90" w:name="_Toc31481"/>
      <w:bookmarkStart w:id="491" w:name="_Toc6571"/>
      <w:bookmarkStart w:id="492" w:name="_Toc5777"/>
      <w:bookmarkStart w:id="493" w:name="_Toc6439"/>
      <w:bookmarkStart w:id="494" w:name="_Toc24524"/>
      <w:r>
        <w:rPr>
          <w:rFonts w:hint="eastAsia" w:ascii="仿宋" w:hAnsi="仿宋" w:eastAsia="仿宋" w:cs="仿宋"/>
          <w:b/>
          <w:color w:val="auto"/>
          <w:sz w:val="24"/>
          <w:szCs w:val="24"/>
          <w:lang w:val="zh-CN"/>
        </w:rPr>
        <w:t>十一、合同生效及其它</w:t>
      </w:r>
      <w:bookmarkEnd w:id="490"/>
      <w:bookmarkEnd w:id="491"/>
      <w:bookmarkEnd w:id="492"/>
      <w:bookmarkEnd w:id="493"/>
      <w:bookmarkEnd w:id="494"/>
    </w:p>
    <w:p>
      <w:pPr>
        <w:keepNext w:val="0"/>
        <w:keepLines w:val="0"/>
        <w:pageBreakBefore w:val="0"/>
        <w:widowControl/>
        <w:kinsoku/>
        <w:wordWrap/>
        <w:overflowPunct/>
        <w:topLinePunct w:val="0"/>
        <w:autoSpaceDE/>
        <w:autoSpaceDN/>
        <w:bidi w:val="0"/>
        <w:snapToGrid/>
        <w:spacing w:line="560" w:lineRule="exact"/>
        <w:ind w:right="0" w:firstLine="360" w:firstLineChars="150"/>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本合同正本一式</w:t>
      </w:r>
      <w:r>
        <w:rPr>
          <w:rFonts w:hint="eastAsia" w:ascii="仿宋" w:hAnsi="仿宋" w:eastAsia="仿宋" w:cs="仿宋"/>
          <w:color w:val="000000"/>
          <w:kern w:val="0"/>
          <w:sz w:val="24"/>
          <w:szCs w:val="24"/>
          <w:u w:val="single"/>
        </w:rPr>
        <w:t xml:space="preserve"> 捌 </w:t>
      </w:r>
      <w:r>
        <w:rPr>
          <w:rFonts w:hint="eastAsia" w:ascii="仿宋" w:hAnsi="仿宋" w:eastAsia="仿宋" w:cs="仿宋"/>
          <w:color w:val="000000"/>
          <w:kern w:val="0"/>
          <w:sz w:val="24"/>
          <w:szCs w:val="24"/>
        </w:rPr>
        <w:t>份，甲方、乙方双方分别执</w:t>
      </w:r>
      <w:r>
        <w:rPr>
          <w:rFonts w:hint="eastAsia" w:ascii="仿宋" w:hAnsi="仿宋" w:eastAsia="仿宋" w:cs="仿宋"/>
          <w:color w:val="000000"/>
          <w:kern w:val="0"/>
          <w:sz w:val="24"/>
          <w:szCs w:val="24"/>
          <w:u w:val="single"/>
        </w:rPr>
        <w:t xml:space="preserve"> 肆 </w:t>
      </w:r>
      <w:r>
        <w:rPr>
          <w:rFonts w:hint="eastAsia" w:ascii="仿宋" w:hAnsi="仿宋" w:eastAsia="仿宋" w:cs="仿宋"/>
          <w:color w:val="000000"/>
          <w:kern w:val="0"/>
          <w:sz w:val="24"/>
          <w:szCs w:val="24"/>
        </w:rPr>
        <w:t>份，</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备案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份。</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3、合同经甲乙双方盖章、签字后生效，合同签订地点为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铜川市朝阳实验小学</w:t>
      </w:r>
      <w:r>
        <w:rPr>
          <w:rFonts w:hint="eastAsia" w:ascii="仿宋" w:hAnsi="仿宋" w:eastAsia="仿宋" w:cs="仿宋"/>
          <w:color w:val="000000"/>
          <w:kern w:val="0"/>
          <w:sz w:val="24"/>
          <w:szCs w:val="24"/>
        </w:rPr>
        <w:t>。</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4、生效时间：    年  月  日</w:t>
      </w:r>
    </w:p>
    <w:tbl>
      <w:tblPr>
        <w:tblStyle w:val="51"/>
        <w:tblW w:w="0" w:type="auto"/>
        <w:jc w:val="center"/>
        <w:tblLayout w:type="fixed"/>
        <w:tblCellMar>
          <w:top w:w="0" w:type="dxa"/>
          <w:left w:w="108" w:type="dxa"/>
          <w:bottom w:w="0" w:type="dxa"/>
          <w:right w:w="108" w:type="dxa"/>
        </w:tblCellMar>
      </w:tblPr>
      <w:tblGrid>
        <w:gridCol w:w="4535"/>
        <w:gridCol w:w="4549"/>
      </w:tblGrid>
      <w:tr>
        <w:tblPrEx>
          <w:tblCellMar>
            <w:top w:w="0" w:type="dxa"/>
            <w:left w:w="108" w:type="dxa"/>
            <w:bottom w:w="0" w:type="dxa"/>
            <w:right w:w="108" w:type="dxa"/>
          </w:tblCellMar>
        </w:tblPrEx>
        <w:trPr>
          <w:jc w:val="center"/>
        </w:trPr>
        <w:tc>
          <w:tcPr>
            <w:tcW w:w="4535" w:type="dxa"/>
            <w:noWrap w:val="0"/>
            <w:vAlign w:val="top"/>
          </w:tcPr>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甲方名称</w:t>
            </w:r>
            <w:r>
              <w:rPr>
                <w:rFonts w:hint="eastAsia" w:ascii="仿宋" w:hAnsi="仿宋" w:eastAsia="仿宋" w:cs="仿宋"/>
                <w:color w:val="000000"/>
                <w:spacing w:val="-20"/>
                <w:kern w:val="0"/>
                <w:sz w:val="24"/>
                <w:szCs w:val="24"/>
              </w:rPr>
              <w:t>（盖章）</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帐号：</w:t>
            </w:r>
          </w:p>
        </w:tc>
        <w:tc>
          <w:tcPr>
            <w:tcW w:w="4549" w:type="dxa"/>
            <w:noWrap w:val="0"/>
            <w:vAlign w:val="top"/>
          </w:tcPr>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乙方名称</w:t>
            </w:r>
            <w:r>
              <w:rPr>
                <w:rFonts w:hint="eastAsia" w:ascii="仿宋" w:hAnsi="仿宋" w:eastAsia="仿宋" w:cs="仿宋"/>
                <w:color w:val="000000"/>
                <w:spacing w:val="-20"/>
                <w:kern w:val="0"/>
                <w:sz w:val="24"/>
                <w:szCs w:val="24"/>
              </w:rPr>
              <w:t>（盖章）</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帐号：</w:t>
            </w:r>
          </w:p>
        </w:tc>
      </w:tr>
    </w:tbl>
    <w:p>
      <w:pPr>
        <w:pStyle w:val="38"/>
        <w:rPr>
          <w:rFonts w:hint="eastAsia"/>
          <w:lang w:val="en-US" w:eastAsia="zh-CN"/>
        </w:rPr>
      </w:pPr>
    </w:p>
    <w:p>
      <w:pPr>
        <w:rPr>
          <w:rFonts w:hint="eastAsia"/>
          <w:lang w:val="en-US" w:eastAsia="zh-CN"/>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br w:type="page"/>
      </w:r>
    </w:p>
    <w:p>
      <w:pPr>
        <w:spacing w:line="360" w:lineRule="auto"/>
        <w:rPr>
          <w:rFonts w:hint="eastAsia" w:ascii="仿宋" w:hAnsi="仿宋" w:eastAsia="仿宋" w:cs="仿宋"/>
          <w:sz w:val="24"/>
        </w:rPr>
      </w:pPr>
      <w:r>
        <w:rPr>
          <w:rFonts w:hint="eastAsia" w:ascii="仿宋" w:hAnsi="仿宋" w:eastAsia="仿宋" w:cs="仿宋"/>
          <w:sz w:val="24"/>
        </w:rPr>
        <w:t>合同附件：</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000000"/>
                <w:kern w:val="0"/>
                <w:sz w:val="32"/>
                <w:szCs w:val="32"/>
              </w:rPr>
            </w:pPr>
            <w:r>
              <w:rPr>
                <w:rFonts w:hint="eastAsia" w:ascii="仿宋" w:hAnsi="仿宋" w:eastAsia="仿宋" w:cs="仿宋"/>
                <w:color w:val="000000"/>
                <w:kern w:val="0"/>
                <w:sz w:val="28"/>
                <w:szCs w:val="28"/>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color w:val="000000"/>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color w:val="FF0000"/>
                <w:kern w:val="0"/>
                <w:sz w:val="28"/>
                <w:szCs w:val="28"/>
              </w:rPr>
            </w:pPr>
            <w:r>
              <w:rPr>
                <w:rFonts w:hint="eastAsia" w:ascii="仿宋" w:hAnsi="仿宋" w:eastAsia="仿宋" w:cs="仿宋"/>
                <w:b/>
                <w:bCs/>
                <w:color w:val="000000"/>
                <w:kern w:val="0"/>
                <w:sz w:val="28"/>
                <w:szCs w:val="28"/>
              </w:rPr>
              <w:t>采购内容请列明品目、规格、型号、数量、单价、总价</w:t>
            </w:r>
          </w:p>
        </w:tc>
      </w:tr>
    </w:tbl>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adjustRightInd w:val="0"/>
        <w:snapToGrid w:val="0"/>
        <w:spacing w:line="360" w:lineRule="auto"/>
        <w:rPr>
          <w:rFonts w:hint="eastAsia" w:ascii="仿宋" w:hAnsi="仿宋" w:eastAsia="仿宋" w:cs="仿宋"/>
          <w:sz w:val="24"/>
        </w:rPr>
        <w:sectPr>
          <w:pgSz w:w="11906" w:h="16838"/>
          <w:pgMar w:top="1418" w:right="1418" w:bottom="1418" w:left="1418" w:header="851" w:footer="992" w:gutter="0"/>
          <w:cols w:space="720" w:num="1"/>
          <w:docGrid w:linePitch="312" w:charSpace="0"/>
        </w:sectPr>
      </w:pPr>
    </w:p>
    <w:p>
      <w:pPr>
        <w:pStyle w:val="49"/>
        <w:numPr>
          <w:ilvl w:val="0"/>
          <w:numId w:val="12"/>
        </w:numPr>
        <w:spacing w:line="360" w:lineRule="auto"/>
        <w:rPr>
          <w:rStyle w:val="207"/>
          <w:rFonts w:hint="eastAsia" w:ascii="仿宋" w:hAnsi="仿宋" w:eastAsia="仿宋" w:cs="仿宋"/>
          <w:sz w:val="36"/>
          <w:szCs w:val="36"/>
        </w:rPr>
      </w:pPr>
      <w:bookmarkStart w:id="495" w:name="_Toc58504448"/>
      <w:r>
        <w:rPr>
          <w:rStyle w:val="207"/>
          <w:rFonts w:hint="eastAsia" w:ascii="仿宋" w:hAnsi="仿宋" w:eastAsia="仿宋" w:cs="仿宋"/>
          <w:sz w:val="36"/>
          <w:szCs w:val="36"/>
        </w:rPr>
        <w:t xml:space="preserve"> </w:t>
      </w:r>
      <w:bookmarkStart w:id="496" w:name="_Toc3572"/>
      <w:r>
        <w:rPr>
          <w:rStyle w:val="207"/>
          <w:rFonts w:hint="eastAsia" w:ascii="仿宋" w:hAnsi="仿宋" w:eastAsia="仿宋" w:cs="仿宋"/>
          <w:sz w:val="36"/>
          <w:szCs w:val="36"/>
        </w:rPr>
        <w:t>采购内容及要求</w:t>
      </w:r>
      <w:bookmarkEnd w:id="495"/>
      <w:bookmarkEnd w:id="496"/>
    </w:p>
    <w:p>
      <w:pPr>
        <w:rPr>
          <w:rFonts w:hint="eastAsia" w:ascii="仿宋" w:hAnsi="仿宋" w:eastAsia="仿宋" w:cs="仿宋"/>
          <w:b/>
          <w:bCs/>
          <w:sz w:val="28"/>
          <w:szCs w:val="28"/>
        </w:rPr>
      </w:pPr>
      <w:bookmarkStart w:id="497" w:name="_Toc389620241"/>
      <w:bookmarkStart w:id="498" w:name="_Toc385992401"/>
      <w:bookmarkStart w:id="499" w:name="_Toc31008"/>
      <w:bookmarkStart w:id="500" w:name="_Toc58504449"/>
      <w:bookmarkStart w:id="501" w:name="_Toc415499899"/>
      <w:r>
        <w:rPr>
          <w:rFonts w:hint="eastAsia" w:ascii="仿宋" w:hAnsi="仿宋" w:eastAsia="仿宋" w:cs="仿宋"/>
          <w:b/>
          <w:bCs/>
          <w:sz w:val="28"/>
          <w:szCs w:val="28"/>
        </w:rPr>
        <w:t>1、采购需求：</w:t>
      </w:r>
    </w:p>
    <w:p>
      <w:pPr>
        <w:rPr>
          <w:rFonts w:hint="eastAsia" w:ascii="仿宋" w:hAnsi="仿宋" w:eastAsia="仿宋" w:cs="仿宋"/>
          <w:b/>
          <w:bCs/>
          <w:sz w:val="28"/>
          <w:szCs w:val="28"/>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68"/>
        <w:gridCol w:w="5776"/>
        <w:gridCol w:w="704"/>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7" w:type="pct"/>
            <w:noWrap/>
            <w:vAlign w:val="center"/>
          </w:tcPr>
          <w:p>
            <w:pPr>
              <w:widowControl/>
              <w:spacing w:line="276" w:lineRule="auto"/>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683" w:type="pct"/>
            <w:noWrap/>
            <w:vAlign w:val="center"/>
          </w:tcPr>
          <w:p>
            <w:pPr>
              <w:widowControl/>
              <w:spacing w:line="276" w:lineRule="auto"/>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设备名称</w:t>
            </w:r>
          </w:p>
        </w:tc>
        <w:tc>
          <w:tcPr>
            <w:tcW w:w="3110" w:type="pct"/>
            <w:noWrap/>
            <w:vAlign w:val="center"/>
          </w:tcPr>
          <w:p>
            <w:pPr>
              <w:widowControl/>
              <w:spacing w:line="276" w:lineRule="auto"/>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技术参数</w:t>
            </w:r>
          </w:p>
        </w:tc>
        <w:tc>
          <w:tcPr>
            <w:tcW w:w="379" w:type="pct"/>
            <w:noWrap/>
            <w:vAlign w:val="center"/>
          </w:tcPr>
          <w:p>
            <w:pPr>
              <w:widowControl/>
              <w:spacing w:line="276" w:lineRule="auto"/>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数量</w:t>
            </w:r>
          </w:p>
        </w:tc>
        <w:tc>
          <w:tcPr>
            <w:tcW w:w="451" w:type="pct"/>
            <w:noWrap/>
            <w:vAlign w:val="center"/>
          </w:tcPr>
          <w:p>
            <w:pPr>
              <w:widowControl/>
              <w:spacing w:line="276" w:lineRule="auto"/>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7"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683"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智慧黑板</w:t>
            </w:r>
          </w:p>
        </w:tc>
        <w:tc>
          <w:tcPr>
            <w:tcW w:w="3110" w:type="pct"/>
            <w:noWrap w:val="0"/>
            <w:vAlign w:val="top"/>
          </w:tcPr>
          <w:p>
            <w:pPr>
              <w:widowControl/>
              <w:spacing w:line="276" w:lineRule="auto"/>
              <w:jc w:val="left"/>
              <w:rPr>
                <w:rFonts w:hint="eastAsia" w:ascii="仿宋" w:hAnsi="仿宋" w:eastAsia="仿宋" w:cs="仿宋"/>
                <w:kern w:val="0"/>
                <w:szCs w:val="21"/>
              </w:rPr>
            </w:pPr>
            <w:r>
              <w:rPr>
                <w:rFonts w:hint="eastAsia" w:ascii="仿宋" w:hAnsi="仿宋" w:eastAsia="仿宋" w:cs="仿宋"/>
                <w:kern w:val="0"/>
                <w:szCs w:val="21"/>
              </w:rPr>
              <w:t>一、整体设计</w:t>
            </w:r>
            <w:r>
              <w:rPr>
                <w:rFonts w:hint="eastAsia" w:ascii="仿宋" w:hAnsi="仿宋" w:eastAsia="仿宋" w:cs="仿宋"/>
                <w:kern w:val="0"/>
                <w:szCs w:val="21"/>
              </w:rPr>
              <w:br w:type="textWrapping"/>
            </w:r>
            <w:r>
              <w:rPr>
                <w:rFonts w:hint="eastAsia" w:ascii="仿宋" w:hAnsi="仿宋" w:eastAsia="仿宋" w:cs="仿宋"/>
                <w:kern w:val="0"/>
                <w:szCs w:val="21"/>
              </w:rPr>
              <w:t>1. 整机采用全金属外壳，三拼接平面一体化设计，主副屏过渡平滑并在同一平面，中间无单独边框阻隔。整体外观尺寸：宽大于等于4200mm，高大于等于1200mm，厚大于等于98mm。</w:t>
            </w:r>
            <w:r>
              <w:rPr>
                <w:rFonts w:hint="eastAsia" w:ascii="仿宋" w:hAnsi="仿宋" w:eastAsia="仿宋" w:cs="仿宋"/>
                <w:kern w:val="0"/>
                <w:szCs w:val="21"/>
              </w:rPr>
              <w:br w:type="textWrapping"/>
            </w:r>
            <w:r>
              <w:rPr>
                <w:rFonts w:hint="eastAsia" w:ascii="仿宋" w:hAnsi="仿宋" w:eastAsia="仿宋" w:cs="仿宋"/>
                <w:kern w:val="0"/>
                <w:szCs w:val="21"/>
              </w:rPr>
              <w:t>2.整机采用大于等于86寸UHD超高清LED液晶屏，显示比例16:9，分辨率3840×2160。</w:t>
            </w:r>
            <w:r>
              <w:rPr>
                <w:rFonts w:hint="eastAsia" w:ascii="仿宋" w:hAnsi="仿宋" w:eastAsia="仿宋" w:cs="仿宋"/>
                <w:kern w:val="0"/>
                <w:szCs w:val="21"/>
              </w:rPr>
              <w:br w:type="textWrapping"/>
            </w:r>
            <w:r>
              <w:rPr>
                <w:rFonts w:hint="eastAsia" w:ascii="仿宋" w:hAnsi="仿宋" w:eastAsia="仿宋" w:cs="仿宋"/>
                <w:kern w:val="0"/>
                <w:szCs w:val="21"/>
              </w:rPr>
              <w:t>3.整机采用防眩光玻璃，屏幕支持防眩光功能，钢化玻璃表面硬度大于等于9H。</w:t>
            </w:r>
            <w:r>
              <w:rPr>
                <w:rFonts w:hint="eastAsia" w:ascii="仿宋" w:hAnsi="仿宋" w:eastAsia="仿宋" w:cs="仿宋"/>
                <w:kern w:val="0"/>
                <w:szCs w:val="21"/>
                <w:highlight w:val="yellow"/>
              </w:rPr>
              <w:br w:type="textWrapping"/>
            </w:r>
            <w:r>
              <w:rPr>
                <w:rFonts w:hint="eastAsia" w:ascii="仿宋" w:hAnsi="仿宋" w:eastAsia="仿宋" w:cs="仿宋"/>
                <w:kern w:val="0"/>
                <w:szCs w:val="21"/>
              </w:rPr>
              <w:t>4.整机能感应并自动调节屏幕亮度来达到在不同光照环境下的不同亮度显示效果。此功能可自行开启或关闭。</w:t>
            </w:r>
            <w:r>
              <w:rPr>
                <w:rFonts w:hint="eastAsia" w:ascii="仿宋" w:hAnsi="仿宋" w:eastAsia="仿宋" w:cs="仿宋"/>
                <w:kern w:val="0"/>
                <w:szCs w:val="21"/>
              </w:rPr>
              <w:br w:type="textWrapping"/>
            </w:r>
            <w:r>
              <w:rPr>
                <w:rFonts w:hint="eastAsia" w:ascii="仿宋" w:hAnsi="仿宋" w:eastAsia="仿宋" w:cs="仿宋"/>
                <w:kern w:val="0"/>
                <w:szCs w:val="21"/>
              </w:rPr>
              <w:t>5.整机内置2.2声道扬声器，位于设备上边框，顶置朝前发声，前朝向10W高音扬声器2个，上朝向20W中低音扬声器2个，总功率60W。</w:t>
            </w:r>
            <w:r>
              <w:rPr>
                <w:rFonts w:hint="eastAsia" w:ascii="仿宋" w:hAnsi="仿宋" w:eastAsia="仿宋" w:cs="仿宋"/>
                <w:kern w:val="0"/>
                <w:szCs w:val="21"/>
              </w:rPr>
              <w:br w:type="textWrapping"/>
            </w:r>
            <w:r>
              <w:rPr>
                <w:rFonts w:hint="eastAsia" w:ascii="仿宋" w:hAnsi="仿宋" w:eastAsia="仿宋" w:cs="仿宋"/>
                <w:kern w:val="0"/>
                <w:szCs w:val="21"/>
              </w:rPr>
              <w:t>二、接口及按键</w:t>
            </w:r>
            <w:r>
              <w:rPr>
                <w:rFonts w:hint="eastAsia" w:ascii="仿宋" w:hAnsi="仿宋" w:eastAsia="仿宋" w:cs="仿宋"/>
                <w:kern w:val="0"/>
                <w:szCs w:val="21"/>
              </w:rPr>
              <w:br w:type="textWrapping"/>
            </w:r>
            <w:r>
              <w:rPr>
                <w:rFonts w:hint="eastAsia" w:ascii="仿宋" w:hAnsi="仿宋" w:eastAsia="仿宋" w:cs="仿宋"/>
                <w:kern w:val="0"/>
                <w:szCs w:val="21"/>
              </w:rPr>
              <w:t>1. 整机具备至少6个前置按键。支持通过前置按键进行开关机、调出中控菜单、音量+/-、护眼、录屏的操作。</w:t>
            </w:r>
            <w:r>
              <w:rPr>
                <w:rFonts w:hint="eastAsia" w:ascii="仿宋" w:hAnsi="仿宋" w:eastAsia="仿宋" w:cs="仿宋"/>
                <w:kern w:val="0"/>
                <w:szCs w:val="21"/>
              </w:rPr>
              <w:br w:type="textWrapping"/>
            </w:r>
            <w:r>
              <w:rPr>
                <w:rFonts w:hint="eastAsia" w:ascii="仿宋" w:hAnsi="仿宋" w:eastAsia="仿宋" w:cs="仿宋"/>
                <w:kern w:val="0"/>
                <w:szCs w:val="21"/>
              </w:rPr>
              <w:t>2. 支持护眼模式，可通过前置面板物理功能按键一键启用经典护眼模式。</w:t>
            </w:r>
            <w:r>
              <w:rPr>
                <w:rFonts w:hint="eastAsia" w:ascii="仿宋" w:hAnsi="仿宋" w:eastAsia="仿宋" w:cs="仿宋"/>
                <w:kern w:val="0"/>
                <w:szCs w:val="21"/>
              </w:rPr>
              <w:br w:type="textWrapping"/>
            </w:r>
            <w:r>
              <w:rPr>
                <w:rFonts w:hint="eastAsia" w:ascii="仿宋" w:hAnsi="仿宋" w:eastAsia="仿宋" w:cs="仿宋"/>
                <w:kern w:val="0"/>
                <w:szCs w:val="21"/>
              </w:rPr>
              <w:t>3. 支持自定义前置“设置"按键，通过自定义设置实现前置面板功能按键一键启用任一全局小工具（批注、截屏、计时、降半屏、放大镜、倒数日、日历）、快捷开关（节能模式、纸质护眼模式、经典护眼模式、自动亮度模式）。</w:t>
            </w:r>
            <w:r>
              <w:rPr>
                <w:rFonts w:hint="eastAsia" w:ascii="仿宋" w:hAnsi="仿宋" w:eastAsia="仿宋" w:cs="仿宋"/>
                <w:kern w:val="0"/>
                <w:szCs w:val="21"/>
              </w:rPr>
              <w:br w:type="textWrapping"/>
            </w:r>
            <w:r>
              <w:rPr>
                <w:rFonts w:hint="eastAsia" w:ascii="仿宋" w:hAnsi="仿宋" w:eastAsia="仿宋" w:cs="仿宋"/>
                <w:kern w:val="0"/>
                <w:szCs w:val="21"/>
              </w:rPr>
              <w:t>4. 前置Type-C接口，支持通过不带转换转置的外部线缆，实现外接电脑HDMI信号的接入显示。</w:t>
            </w:r>
            <w:r>
              <w:rPr>
                <w:rFonts w:hint="eastAsia" w:ascii="仿宋" w:hAnsi="仿宋" w:eastAsia="仿宋" w:cs="仿宋"/>
                <w:kern w:val="0"/>
                <w:szCs w:val="21"/>
              </w:rPr>
              <w:br w:type="textWrapping"/>
            </w:r>
            <w:r>
              <w:rPr>
                <w:rFonts w:hint="eastAsia" w:ascii="仿宋" w:hAnsi="仿宋" w:eastAsia="仿宋" w:cs="仿宋"/>
                <w:kern w:val="0"/>
                <w:szCs w:val="21"/>
              </w:rPr>
              <w:t>5. 侧置输入接口具备2路HDMI、1路RS232、1路USB。侧置输出接口具备1路音频、1路触控USB。前置输入接口3路USB（包含1路Type-C、2路USB）。</w:t>
            </w:r>
            <w:r>
              <w:rPr>
                <w:rFonts w:hint="eastAsia" w:ascii="仿宋" w:hAnsi="仿宋" w:eastAsia="仿宋" w:cs="仿宋"/>
                <w:kern w:val="0"/>
                <w:szCs w:val="21"/>
              </w:rPr>
              <w:br w:type="textWrapping"/>
            </w:r>
            <w:r>
              <w:rPr>
                <w:rFonts w:hint="eastAsia" w:ascii="仿宋" w:hAnsi="仿宋" w:eastAsia="仿宋" w:cs="仿宋"/>
                <w:kern w:val="0"/>
                <w:szCs w:val="21"/>
              </w:rPr>
              <w:t>三、整机功能</w:t>
            </w:r>
            <w:r>
              <w:rPr>
                <w:rFonts w:hint="eastAsia" w:ascii="仿宋" w:hAnsi="仿宋" w:eastAsia="仿宋" w:cs="仿宋"/>
                <w:kern w:val="0"/>
                <w:szCs w:val="21"/>
              </w:rPr>
              <w:br w:type="textWrapping"/>
            </w:r>
            <w:r>
              <w:rPr>
                <w:rFonts w:hint="eastAsia" w:ascii="仿宋" w:hAnsi="仿宋" w:eastAsia="仿宋" w:cs="仿宋"/>
                <w:kern w:val="0"/>
                <w:szCs w:val="21"/>
              </w:rPr>
              <w:t>1. 整机内置非独立摄像头，可拍摄大于等于1300万像素数的照片，摄像头视场角大于等于135度。具备摄像头工作指示灯，摄像头运行时，有指示灯提示。</w:t>
            </w:r>
            <w:r>
              <w:rPr>
                <w:rFonts w:hint="eastAsia" w:ascii="仿宋" w:hAnsi="仿宋" w:eastAsia="仿宋" w:cs="仿宋"/>
                <w:kern w:val="0"/>
                <w:szCs w:val="21"/>
              </w:rPr>
              <w:br w:type="textWrapping"/>
            </w:r>
            <w:r>
              <w:rPr>
                <w:rFonts w:hint="eastAsia" w:ascii="仿宋" w:hAnsi="仿宋" w:eastAsia="仿宋" w:cs="仿宋"/>
                <w:kern w:val="0"/>
                <w:szCs w:val="21"/>
              </w:rPr>
              <w:t>2. 整机摄像头支持人脸识别、快速点人数、随机抽人，可识别镜头前的所有学生，并显示人脸标记、随机抽选。支持同时显示标记不少于50人。</w:t>
            </w:r>
            <w:r>
              <w:rPr>
                <w:rFonts w:hint="eastAsia" w:ascii="仿宋" w:hAnsi="仿宋" w:eastAsia="仿宋" w:cs="仿宋"/>
                <w:kern w:val="0"/>
                <w:szCs w:val="21"/>
              </w:rPr>
              <w:br w:type="textWrapping"/>
            </w:r>
            <w:r>
              <w:rPr>
                <w:rFonts w:hint="eastAsia" w:ascii="仿宋" w:hAnsi="仿宋" w:eastAsia="仿宋" w:cs="仿宋"/>
                <w:kern w:val="0"/>
                <w:szCs w:val="21"/>
              </w:rPr>
              <w:t>3. 整机支持通过人脸识别进行解锁设备以及人脸识别进行登录账号。</w:t>
            </w:r>
            <w:r>
              <w:rPr>
                <w:rFonts w:hint="eastAsia" w:ascii="仿宋" w:hAnsi="仿宋" w:eastAsia="仿宋" w:cs="仿宋"/>
                <w:kern w:val="0"/>
                <w:szCs w:val="21"/>
              </w:rPr>
              <w:br w:type="textWrapping"/>
            </w:r>
            <w:r>
              <w:rPr>
                <w:rFonts w:hint="eastAsia" w:ascii="仿宋" w:hAnsi="仿宋" w:eastAsia="仿宋" w:cs="仿宋"/>
                <w:kern w:val="0"/>
                <w:szCs w:val="21"/>
              </w:rPr>
              <w:t>4. 整机摄像头支持环境色温判断，根据环境调节合适的显示图像效果。</w:t>
            </w:r>
            <w:r>
              <w:rPr>
                <w:rFonts w:hint="eastAsia" w:ascii="仿宋" w:hAnsi="仿宋" w:eastAsia="仿宋" w:cs="仿宋"/>
                <w:kern w:val="0"/>
                <w:szCs w:val="21"/>
              </w:rPr>
              <w:br w:type="textWrapping"/>
            </w:r>
            <w:r>
              <w:rPr>
                <w:rFonts w:hint="eastAsia" w:ascii="仿宋" w:hAnsi="仿宋" w:eastAsia="仿宋" w:cs="仿宋"/>
                <w:kern w:val="0"/>
                <w:szCs w:val="21"/>
              </w:rPr>
              <w:t>5. 整机采用硬件低蓝光背光技术，在源头减少有害蓝光波段能量，蓝光占比（有害蓝光415～455nm能量综合）/（整体蓝光400～500能量综合）＜50%，低蓝光保护显示不偏色、不泛黄。</w:t>
            </w:r>
            <w:r>
              <w:rPr>
                <w:rFonts w:hint="eastAsia" w:ascii="仿宋" w:hAnsi="仿宋" w:eastAsia="仿宋" w:cs="仿宋"/>
                <w:kern w:val="0"/>
                <w:szCs w:val="21"/>
              </w:rPr>
              <w:br w:type="textWrapping"/>
            </w:r>
            <w:r>
              <w:rPr>
                <w:rFonts w:hint="eastAsia" w:ascii="仿宋" w:hAnsi="仿宋" w:eastAsia="仿宋" w:cs="仿宋"/>
                <w:kern w:val="0"/>
                <w:szCs w:val="21"/>
              </w:rPr>
              <w:t>四、嵌入式系统：</w:t>
            </w:r>
            <w:r>
              <w:rPr>
                <w:rFonts w:hint="eastAsia" w:ascii="仿宋" w:hAnsi="仿宋" w:eastAsia="仿宋" w:cs="仿宋"/>
                <w:kern w:val="0"/>
                <w:szCs w:val="21"/>
              </w:rPr>
              <w:br w:type="textWrapping"/>
            </w:r>
            <w:r>
              <w:rPr>
                <w:rFonts w:hint="eastAsia" w:ascii="仿宋" w:hAnsi="仿宋" w:eastAsia="仿宋" w:cs="仿宋"/>
                <w:kern w:val="0"/>
                <w:szCs w:val="21"/>
              </w:rPr>
              <w:t>1. Android系统下，互动白板支持对已经书写的笔迹和形状的颜色进行更换。</w:t>
            </w:r>
            <w:r>
              <w:rPr>
                <w:rFonts w:hint="eastAsia" w:ascii="仿宋" w:hAnsi="仿宋" w:eastAsia="仿宋" w:cs="仿宋"/>
                <w:kern w:val="0"/>
                <w:szCs w:val="21"/>
              </w:rPr>
              <w:br w:type="textWrapping"/>
            </w:r>
            <w:r>
              <w:rPr>
                <w:rFonts w:hint="eastAsia" w:ascii="仿宋" w:hAnsi="仿宋" w:eastAsia="仿宋" w:cs="仿宋"/>
                <w:kern w:val="0"/>
                <w:szCs w:val="21"/>
              </w:rPr>
              <w:t>2. 无PC状态下，Android系统内置白板支持十笔书写及手掌擦除，手掌擦除的面积根据手掌与屏幕的接触面大小自动调整，白板书写内容可以PDF、IWB和SVG格式导出。支持10种以上平面图形工具。支持8种以上立体图形工具。</w:t>
            </w:r>
            <w:r>
              <w:rPr>
                <w:rFonts w:hint="eastAsia" w:ascii="仿宋" w:hAnsi="仿宋" w:eastAsia="仿宋" w:cs="仿宋"/>
                <w:kern w:val="0"/>
                <w:szCs w:val="21"/>
              </w:rPr>
              <w:br w:type="textWrapping"/>
            </w:r>
            <w:r>
              <w:rPr>
                <w:rFonts w:hint="eastAsia" w:ascii="仿宋" w:hAnsi="仿宋" w:eastAsia="仿宋" w:cs="仿宋"/>
                <w:kern w:val="0"/>
                <w:szCs w:val="21"/>
              </w:rPr>
              <w:t>3. 嵌入式系统版本不低于Android 10。</w:t>
            </w:r>
            <w:r>
              <w:rPr>
                <w:rFonts w:hint="eastAsia" w:ascii="仿宋" w:hAnsi="仿宋" w:eastAsia="仿宋" w:cs="仿宋"/>
                <w:kern w:val="0"/>
                <w:szCs w:val="21"/>
              </w:rPr>
              <w:br w:type="textWrapping"/>
            </w:r>
            <w:r>
              <w:rPr>
                <w:rFonts w:hint="eastAsia" w:ascii="仿宋" w:hAnsi="仿宋" w:eastAsia="仿宋" w:cs="仿宋"/>
                <w:kern w:val="0"/>
                <w:szCs w:val="21"/>
              </w:rPr>
              <w:t>五、OPS模块</w:t>
            </w:r>
            <w:r>
              <w:rPr>
                <w:rFonts w:hint="eastAsia" w:ascii="仿宋" w:hAnsi="仿宋" w:eastAsia="仿宋" w:cs="仿宋"/>
                <w:kern w:val="0"/>
                <w:szCs w:val="21"/>
              </w:rPr>
              <w:br w:type="textWrapping"/>
            </w:r>
            <w:r>
              <w:rPr>
                <w:rFonts w:hint="eastAsia" w:ascii="仿宋" w:hAnsi="仿宋" w:eastAsia="仿宋" w:cs="仿宋"/>
                <w:kern w:val="0"/>
                <w:szCs w:val="21"/>
              </w:rPr>
              <w:t>1. 主板采用H410或H510芯片组，搭载Intel酷睿系列不低于i5 十一代CPU内存：8GB DDR4笔记本内存或以上配置，硬盘：128GB或以上SSD固态硬盘，具有独立非外扩展的视频输出接口：大于等于1路HDMI， 大于等于3路USB。</w:t>
            </w:r>
            <w:r>
              <w:rPr>
                <w:rFonts w:hint="eastAsia" w:ascii="仿宋" w:hAnsi="仿宋" w:eastAsia="仿宋" w:cs="仿宋"/>
                <w:kern w:val="0"/>
                <w:szCs w:val="21"/>
              </w:rPr>
              <w:br w:type="textWrapping"/>
            </w:r>
            <w:r>
              <w:rPr>
                <w:rFonts w:hint="eastAsia" w:ascii="仿宋" w:hAnsi="仿宋" w:eastAsia="仿宋" w:cs="仿宋"/>
                <w:kern w:val="0"/>
                <w:szCs w:val="21"/>
              </w:rPr>
              <w:t>六、白板软件</w:t>
            </w:r>
            <w:r>
              <w:rPr>
                <w:rFonts w:hint="eastAsia" w:ascii="仿宋" w:hAnsi="仿宋" w:eastAsia="仿宋" w:cs="仿宋"/>
                <w:kern w:val="0"/>
                <w:szCs w:val="21"/>
              </w:rPr>
              <w:br w:type="textWrapping"/>
            </w:r>
            <w:r>
              <w:rPr>
                <w:rFonts w:hint="eastAsia" w:ascii="仿宋" w:hAnsi="仿宋" w:eastAsia="仿宋" w:cs="仿宋"/>
                <w:kern w:val="0"/>
                <w:szCs w:val="21"/>
              </w:rPr>
              <w:t>1.教学软件为全校教师提供可扩展，易于学校管理，安全可靠的云存储空间，根据每名教师使用时长与教学资料制作频率提供可扩展升级至不小于200G的个人云空间。</w:t>
            </w:r>
            <w:r>
              <w:rPr>
                <w:rFonts w:hint="eastAsia" w:ascii="仿宋" w:hAnsi="仿宋" w:eastAsia="仿宋" w:cs="仿宋"/>
                <w:kern w:val="0"/>
                <w:szCs w:val="21"/>
              </w:rPr>
              <w:br w:type="textWrapping"/>
            </w:r>
            <w:r>
              <w:rPr>
                <w:rFonts w:hint="eastAsia" w:ascii="仿宋" w:hAnsi="仿宋" w:eastAsia="仿宋" w:cs="仿宋"/>
                <w:kern w:val="0"/>
                <w:szCs w:val="21"/>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仿宋" w:hAnsi="仿宋" w:eastAsia="仿宋" w:cs="仿宋"/>
                <w:kern w:val="0"/>
                <w:szCs w:val="21"/>
              </w:rPr>
              <w:br w:type="textWrapping"/>
            </w:r>
            <w:r>
              <w:rPr>
                <w:rFonts w:hint="eastAsia" w:ascii="仿宋" w:hAnsi="仿宋" w:eastAsia="仿宋" w:cs="仿宋"/>
                <w:kern w:val="0"/>
                <w:szCs w:val="21"/>
              </w:rPr>
              <w:t>3.互动教学课件支持分享至学校校本资源库，学段学科根据教师个人信息自动匹配，分享后课件全校教师可见，并可直接下载使用。校本资源库支持按学科、学段进行快速查找，同时支持关键词精准检索。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kern w:val="0"/>
                <w:szCs w:val="21"/>
              </w:rPr>
              <w:br w:type="textWrapping"/>
            </w:r>
            <w:r>
              <w:rPr>
                <w:rFonts w:hint="eastAsia" w:ascii="仿宋" w:hAnsi="仿宋" w:eastAsia="仿宋" w:cs="仿宋"/>
                <w:kern w:val="0"/>
                <w:szCs w:val="21"/>
              </w:rPr>
              <w:t>4.提供至少30种应用于文本、形状、图片等课件元素的触发动画，可对动画的设置触发条件、动画声效、动画时长、动画延迟和动画方向进行自定义设置。</w:t>
            </w:r>
            <w:r>
              <w:rPr>
                <w:rFonts w:hint="eastAsia" w:ascii="仿宋" w:hAnsi="仿宋" w:eastAsia="仿宋" w:cs="仿宋"/>
                <w:kern w:val="0"/>
                <w:szCs w:val="21"/>
              </w:rPr>
              <w:br w:type="textWrapping"/>
            </w:r>
            <w:r>
              <w:rPr>
                <w:rFonts w:hint="eastAsia" w:ascii="仿宋" w:hAnsi="仿宋" w:eastAsia="仿宋" w:cs="仿宋"/>
                <w:kern w:val="0"/>
                <w:szCs w:val="21"/>
              </w:rPr>
              <w:t>5.内置不少于30种符合教学需要的课件背景供教师直接使用，且教师可自定义课件背景。</w:t>
            </w:r>
            <w:r>
              <w:rPr>
                <w:rFonts w:hint="eastAsia" w:ascii="仿宋" w:hAnsi="仿宋" w:eastAsia="仿宋" w:cs="仿宋"/>
                <w:kern w:val="0"/>
                <w:szCs w:val="21"/>
              </w:rPr>
              <w:br w:type="textWrapping"/>
            </w:r>
            <w:r>
              <w:rPr>
                <w:rFonts w:hint="eastAsia" w:ascii="仿宋" w:hAnsi="仿宋" w:eastAsia="仿宋" w:cs="仿宋"/>
                <w:kern w:val="0"/>
                <w:szCs w:val="21"/>
              </w:rPr>
              <w:t>6.支持课件内所有的元素对象创建超链接，可链接到对象所在课件的相关页面、网页、文档等。</w:t>
            </w:r>
            <w:r>
              <w:rPr>
                <w:rFonts w:hint="eastAsia" w:ascii="仿宋" w:hAnsi="仿宋" w:eastAsia="仿宋" w:cs="仿宋"/>
                <w:kern w:val="0"/>
                <w:szCs w:val="21"/>
              </w:rPr>
              <w:br w:type="textWrapping"/>
            </w:r>
            <w:r>
              <w:rPr>
                <w:rFonts w:hint="eastAsia" w:ascii="仿宋" w:hAnsi="仿宋" w:eastAsia="仿宋" w:cs="仿宋"/>
                <w:kern w:val="0"/>
                <w:szCs w:val="21"/>
              </w:rPr>
              <w:t>7.为方便老时间课件的传阅，软件需支持互动教学课件支持定向精准分享：分享者可将互动课件、课件组精准推送至指定接收方账号云空间，接收方可在云空间接收并打开分享课件；</w:t>
            </w:r>
            <w:r>
              <w:rPr>
                <w:rFonts w:hint="eastAsia" w:ascii="仿宋" w:hAnsi="仿宋" w:eastAsia="仿宋" w:cs="仿宋"/>
                <w:kern w:val="0"/>
                <w:szCs w:val="21"/>
              </w:rPr>
              <w:br w:type="textWrapping"/>
            </w:r>
            <w:r>
              <w:rPr>
                <w:rFonts w:hint="eastAsia" w:ascii="仿宋" w:hAnsi="仿宋" w:eastAsia="仿宋" w:cs="仿宋"/>
                <w:kern w:val="0"/>
                <w:szCs w:val="21"/>
              </w:rPr>
              <w:t>8.为方便老师快速处理图片素材，需支持快捷抠图，无需借助专业图片处理软件，即可在白板软件中对导入的图片进行快捷抠图、去背景，处理后的图片主体边缘没有明显毛边，可导出保存成PNG格式。方便老师制作课件。</w:t>
            </w:r>
            <w:r>
              <w:rPr>
                <w:rFonts w:hint="eastAsia" w:ascii="仿宋" w:hAnsi="仿宋" w:eastAsia="仿宋" w:cs="仿宋"/>
                <w:kern w:val="0"/>
                <w:szCs w:val="21"/>
              </w:rPr>
              <w:br w:type="textWrapping"/>
            </w:r>
            <w:r>
              <w:rPr>
                <w:rFonts w:hint="eastAsia" w:ascii="仿宋" w:hAnsi="仿宋" w:eastAsia="仿宋" w:cs="仿宋"/>
                <w:kern w:val="0"/>
                <w:szCs w:val="21"/>
              </w:rPr>
              <w:t>9.为更好的提升课堂互动性做到寓教于乐，软件需支持创建判断题竞赛游戏，教师可设置正确项／干扰项，让两组学生进行判断对错游戏竞争。提供简单、中等、困难难度及多种预设游戏背景模版，模版样式支持自定义修改。</w:t>
            </w:r>
            <w:r>
              <w:rPr>
                <w:rFonts w:hint="eastAsia" w:ascii="仿宋" w:hAnsi="仿宋" w:eastAsia="仿宋" w:cs="仿宋"/>
                <w:kern w:val="0"/>
                <w:szCs w:val="21"/>
              </w:rPr>
              <w:br w:type="textWrapping"/>
            </w:r>
            <w:r>
              <w:rPr>
                <w:rFonts w:hint="eastAsia" w:ascii="仿宋" w:hAnsi="仿宋" w:eastAsia="仿宋" w:cs="仿宋"/>
                <w:kern w:val="0"/>
                <w:szCs w:val="21"/>
              </w:rPr>
              <w:t>10.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仿宋" w:hAnsi="仿宋" w:eastAsia="仿宋" w:cs="仿宋"/>
                <w:kern w:val="0"/>
                <w:szCs w:val="21"/>
              </w:rPr>
              <w:br w:type="textWrapping"/>
            </w:r>
            <w:r>
              <w:rPr>
                <w:rFonts w:hint="eastAsia" w:ascii="仿宋" w:hAnsi="仿宋" w:eastAsia="仿宋" w:cs="仿宋"/>
                <w:kern w:val="0"/>
                <w:szCs w:val="21"/>
              </w:rPr>
              <w:t>为保证软件稳定性，需与智慧黑板为同一品牌。</w:t>
            </w:r>
          </w:p>
        </w:tc>
        <w:tc>
          <w:tcPr>
            <w:tcW w:w="379"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9</w:t>
            </w:r>
          </w:p>
        </w:tc>
        <w:tc>
          <w:tcPr>
            <w:tcW w:w="451"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7"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683" w:type="pct"/>
            <w:noWrap/>
            <w:vAlign w:val="center"/>
          </w:tcPr>
          <w:p>
            <w:pPr>
              <w:widowControl/>
              <w:spacing w:line="276" w:lineRule="auto"/>
              <w:jc w:val="center"/>
              <w:rPr>
                <w:rFonts w:hint="eastAsia" w:ascii="仿宋" w:hAnsi="仿宋" w:eastAsia="仿宋" w:cs="仿宋"/>
                <w:color w:val="000000"/>
                <w:kern w:val="0"/>
                <w:szCs w:val="21"/>
                <w:highlight w:val="red"/>
              </w:rPr>
            </w:pPr>
            <w:r>
              <w:rPr>
                <w:rFonts w:hint="eastAsia" w:ascii="仿宋" w:hAnsi="仿宋" w:eastAsia="仿宋" w:cs="仿宋"/>
                <w:color w:val="000000"/>
                <w:kern w:val="0"/>
                <w:szCs w:val="21"/>
              </w:rPr>
              <w:t>空调</w:t>
            </w:r>
          </w:p>
        </w:tc>
        <w:tc>
          <w:tcPr>
            <w:tcW w:w="3110" w:type="pct"/>
            <w:noWrap w:val="0"/>
            <w:vAlign w:val="center"/>
          </w:tcPr>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控制方式：遥控式</w:t>
            </w:r>
          </w:p>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变频/定频：变频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制冷量：</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3510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能效等级：</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三级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电源电压：</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220V</w:t>
            </w:r>
          </w:p>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额定制冷功率（W）：</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975</w:t>
            </w:r>
          </w:p>
          <w:p>
            <w:pPr>
              <w:widowControl/>
              <w:spacing w:line="276" w:lineRule="auto"/>
              <w:jc w:val="left"/>
              <w:rPr>
                <w:rFonts w:hint="eastAsia" w:ascii="仿宋" w:hAnsi="仿宋" w:eastAsia="仿宋" w:cs="仿宋"/>
                <w:color w:val="666666"/>
                <w:sz w:val="20"/>
                <w:szCs w:val="20"/>
                <w:shd w:val="clear" w:color="auto" w:fill="FFFFFF"/>
              </w:rPr>
            </w:pPr>
            <w:r>
              <w:rPr>
                <w:rFonts w:hint="eastAsia" w:ascii="仿宋" w:hAnsi="仿宋" w:eastAsia="仿宋" w:cs="仿宋"/>
                <w:color w:val="000000"/>
                <w:kern w:val="0"/>
                <w:szCs w:val="21"/>
              </w:rPr>
              <w:t>额定制热功率（W）：</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1300</w:t>
            </w:r>
          </w:p>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变频机能效比（APF）：</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于4.29</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匹数：</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1.5P</w:t>
            </w:r>
          </w:p>
        </w:tc>
        <w:tc>
          <w:tcPr>
            <w:tcW w:w="379"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451"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77"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83" w:type="pct"/>
            <w:noWrap/>
            <w:vAlign w:val="center"/>
          </w:tcPr>
          <w:p>
            <w:pPr>
              <w:widowControl/>
              <w:spacing w:line="276" w:lineRule="auto"/>
              <w:jc w:val="center"/>
              <w:rPr>
                <w:rFonts w:hint="eastAsia" w:ascii="仿宋" w:hAnsi="仿宋" w:eastAsia="仿宋" w:cs="仿宋"/>
                <w:color w:val="000000"/>
                <w:kern w:val="0"/>
                <w:szCs w:val="21"/>
                <w:highlight w:val="red"/>
              </w:rPr>
            </w:pPr>
            <w:r>
              <w:rPr>
                <w:rFonts w:hint="eastAsia" w:ascii="仿宋" w:hAnsi="仿宋" w:eastAsia="仿宋" w:cs="仿宋"/>
                <w:color w:val="000000"/>
                <w:kern w:val="0"/>
                <w:szCs w:val="21"/>
              </w:rPr>
              <w:t>空调</w:t>
            </w:r>
          </w:p>
        </w:tc>
        <w:tc>
          <w:tcPr>
            <w:tcW w:w="3110" w:type="pct"/>
            <w:noWrap w:val="0"/>
            <w:vAlign w:val="center"/>
          </w:tcPr>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控制方式:遥控式</w:t>
            </w:r>
          </w:p>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变频/定频:变频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制冷量:</w:t>
            </w:r>
            <w:r>
              <w:rPr>
                <w:rFonts w:hint="eastAsia" w:ascii="仿宋" w:hAnsi="仿宋" w:eastAsia="仿宋" w:cs="仿宋"/>
                <w:kern w:val="0"/>
                <w:szCs w:val="21"/>
              </w:rPr>
              <w:t xml:space="preserve"> </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7290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能效等级:</w:t>
            </w:r>
            <w:r>
              <w:rPr>
                <w:rFonts w:hint="eastAsia" w:ascii="仿宋" w:hAnsi="仿宋" w:eastAsia="仿宋" w:cs="仿宋"/>
                <w:kern w:val="0"/>
                <w:szCs w:val="21"/>
              </w:rPr>
              <w:t xml:space="preserve"> </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三级</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 xml:space="preserve">电源电压: </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220V</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额定制冷功率（W）：</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7200</w:t>
            </w:r>
          </w:p>
          <w:p>
            <w:pPr>
              <w:widowControl/>
              <w:spacing w:line="276" w:lineRule="auto"/>
              <w:jc w:val="left"/>
              <w:rPr>
                <w:rFonts w:hint="eastAsia" w:ascii="仿宋" w:hAnsi="仿宋" w:eastAsia="仿宋" w:cs="仿宋"/>
                <w:color w:val="666666"/>
                <w:sz w:val="20"/>
                <w:szCs w:val="20"/>
                <w:shd w:val="clear" w:color="auto" w:fill="FFFFFF"/>
              </w:rPr>
            </w:pPr>
            <w:r>
              <w:rPr>
                <w:rFonts w:hint="eastAsia" w:ascii="仿宋" w:hAnsi="仿宋" w:eastAsia="仿宋" w:cs="仿宋"/>
                <w:color w:val="000000"/>
                <w:kern w:val="0"/>
                <w:szCs w:val="21"/>
              </w:rPr>
              <w:t>额定制热功率（W）：</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9210</w:t>
            </w:r>
          </w:p>
          <w:p>
            <w:pPr>
              <w:widowControl/>
              <w:spacing w:line="276"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能效比（APF）：</w:t>
            </w:r>
            <w:r>
              <w:rPr>
                <w:rFonts w:hint="eastAsia" w:ascii="仿宋" w:hAnsi="仿宋" w:eastAsia="仿宋" w:cs="仿宋"/>
                <w:kern w:val="0"/>
                <w:szCs w:val="21"/>
                <w:lang w:val="en-US" w:eastAsia="zh-CN"/>
              </w:rPr>
              <w:t>≥</w:t>
            </w:r>
            <w:r>
              <w:rPr>
                <w:rFonts w:hint="eastAsia" w:ascii="仿宋" w:hAnsi="仿宋" w:eastAsia="仿宋" w:cs="仿宋"/>
                <w:color w:val="000000"/>
                <w:kern w:val="0"/>
                <w:szCs w:val="21"/>
              </w:rPr>
              <w:t>3.51</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匹数：3P</w:t>
            </w:r>
          </w:p>
        </w:tc>
        <w:tc>
          <w:tcPr>
            <w:tcW w:w="379"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451"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77"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683" w:type="pct"/>
            <w:noWrap/>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LED教室灯</w:t>
            </w:r>
          </w:p>
        </w:tc>
        <w:tc>
          <w:tcPr>
            <w:tcW w:w="3110" w:type="pct"/>
            <w:noWrap w:val="0"/>
            <w:vAlign w:val="top"/>
          </w:tcPr>
          <w:p>
            <w:pPr>
              <w:widowControl/>
              <w:spacing w:line="276" w:lineRule="auto"/>
              <w:jc w:val="left"/>
              <w:rPr>
                <w:rFonts w:hint="eastAsia" w:ascii="仿宋" w:hAnsi="仿宋" w:eastAsia="仿宋" w:cs="仿宋"/>
                <w:kern w:val="0"/>
                <w:szCs w:val="21"/>
              </w:rPr>
            </w:pPr>
            <w:r>
              <w:rPr>
                <w:rFonts w:hint="eastAsia" w:ascii="仿宋" w:hAnsi="仿宋" w:eastAsia="仿宋" w:cs="仿宋"/>
                <w:kern w:val="0"/>
                <w:szCs w:val="21"/>
              </w:rPr>
              <w:t xml:space="preserve">额定功率:45±5W </w:t>
            </w:r>
            <w:r>
              <w:rPr>
                <w:rFonts w:hint="eastAsia" w:ascii="仿宋" w:hAnsi="仿宋" w:eastAsia="仿宋" w:cs="仿宋"/>
                <w:kern w:val="0"/>
                <w:szCs w:val="21"/>
              </w:rPr>
              <w:br w:type="textWrapping"/>
            </w:r>
            <w:r>
              <w:rPr>
                <w:rFonts w:hint="eastAsia" w:ascii="仿宋" w:hAnsi="仿宋" w:eastAsia="仿宋" w:cs="仿宋"/>
                <w:kern w:val="0"/>
                <w:szCs w:val="21"/>
              </w:rPr>
              <w:t>额定电压:220V</w:t>
            </w:r>
            <w:r>
              <w:rPr>
                <w:rFonts w:hint="eastAsia" w:ascii="仿宋" w:hAnsi="仿宋" w:eastAsia="仿宋" w:cs="仿宋"/>
                <w:kern w:val="0"/>
                <w:szCs w:val="21"/>
              </w:rPr>
              <w:br w:type="textWrapping"/>
            </w:r>
            <w:r>
              <w:rPr>
                <w:rFonts w:hint="eastAsia" w:ascii="仿宋" w:hAnsi="仿宋" w:eastAsia="仿宋" w:cs="仿宋"/>
                <w:kern w:val="0"/>
                <w:szCs w:val="21"/>
              </w:rPr>
              <w:t>额定频率:50Hz</w:t>
            </w:r>
            <w:r>
              <w:rPr>
                <w:rFonts w:hint="eastAsia" w:ascii="仿宋" w:hAnsi="仿宋" w:eastAsia="仿宋" w:cs="仿宋"/>
                <w:kern w:val="0"/>
                <w:szCs w:val="21"/>
              </w:rPr>
              <w:br w:type="textWrapping"/>
            </w:r>
            <w:r>
              <w:rPr>
                <w:rFonts w:hint="eastAsia" w:ascii="仿宋" w:hAnsi="仿宋" w:eastAsia="仿宋" w:cs="仿宋"/>
                <w:kern w:val="0"/>
                <w:szCs w:val="21"/>
              </w:rPr>
              <w:t>额定电流:0.24A</w:t>
            </w:r>
            <w:r>
              <w:rPr>
                <w:rFonts w:hint="eastAsia" w:ascii="仿宋" w:hAnsi="仿宋" w:eastAsia="仿宋" w:cs="仿宋"/>
                <w:kern w:val="0"/>
                <w:szCs w:val="21"/>
              </w:rPr>
              <w:br w:type="textWrapping"/>
            </w:r>
            <w:r>
              <w:rPr>
                <w:rFonts w:hint="eastAsia" w:ascii="仿宋" w:hAnsi="仿宋" w:eastAsia="仿宋" w:cs="仿宋"/>
                <w:kern w:val="0"/>
                <w:szCs w:val="21"/>
              </w:rPr>
              <w:t>功率因数:</w:t>
            </w:r>
            <w:r>
              <w:rPr>
                <w:rFonts w:hint="eastAsia" w:ascii="仿宋" w:hAnsi="仿宋" w:eastAsia="仿宋" w:cs="仿宋"/>
                <w:kern w:val="0"/>
                <w:szCs w:val="21"/>
                <w:lang w:val="en-US" w:eastAsia="zh-CN"/>
              </w:rPr>
              <w:t>≥</w:t>
            </w:r>
            <w:r>
              <w:rPr>
                <w:rFonts w:hint="eastAsia" w:ascii="仿宋" w:hAnsi="仿宋" w:eastAsia="仿宋" w:cs="仿宋"/>
                <w:kern w:val="0"/>
                <w:szCs w:val="21"/>
              </w:rPr>
              <w:t>0.95</w:t>
            </w:r>
            <w:r>
              <w:rPr>
                <w:rFonts w:hint="eastAsia" w:ascii="仿宋" w:hAnsi="仿宋" w:eastAsia="仿宋" w:cs="仿宋"/>
                <w:kern w:val="0"/>
                <w:szCs w:val="21"/>
              </w:rPr>
              <w:br w:type="textWrapping"/>
            </w:r>
            <w:r>
              <w:rPr>
                <w:rFonts w:hint="eastAsia" w:ascii="仿宋" w:hAnsi="仿宋" w:eastAsia="仿宋" w:cs="仿宋"/>
                <w:kern w:val="0"/>
                <w:szCs w:val="21"/>
              </w:rPr>
              <w:t>可选色温:</w:t>
            </w:r>
            <w:r>
              <w:rPr>
                <w:rFonts w:hint="eastAsia" w:ascii="仿宋" w:hAnsi="仿宋" w:eastAsia="仿宋" w:cs="仿宋"/>
              </w:rPr>
              <w:t xml:space="preserve"> </w:t>
            </w:r>
            <w:r>
              <w:rPr>
                <w:rFonts w:hint="eastAsia" w:ascii="仿宋" w:hAnsi="仿宋" w:eastAsia="仿宋" w:cs="仿宋"/>
                <w:kern w:val="0"/>
                <w:szCs w:val="21"/>
              </w:rPr>
              <w:t>5000±250K</w:t>
            </w:r>
            <w:r>
              <w:rPr>
                <w:rFonts w:hint="eastAsia" w:ascii="仿宋" w:hAnsi="仿宋" w:eastAsia="仿宋" w:cs="仿宋"/>
                <w:kern w:val="0"/>
                <w:szCs w:val="21"/>
              </w:rPr>
              <w:br w:type="textWrapping"/>
            </w:r>
            <w:r>
              <w:rPr>
                <w:rFonts w:hint="eastAsia" w:ascii="仿宋" w:hAnsi="仿宋" w:eastAsia="仿宋" w:cs="仿宋"/>
                <w:kern w:val="0"/>
                <w:szCs w:val="21"/>
              </w:rPr>
              <w:t>防眩指数:UGR</w:t>
            </w:r>
            <w:r>
              <w:rPr>
                <w:rFonts w:hint="eastAsia" w:ascii="仿宋" w:hAnsi="仿宋" w:eastAsia="仿宋" w:cs="仿宋"/>
                <w:kern w:val="0"/>
                <w:szCs w:val="21"/>
                <w:lang w:val="en-US" w:eastAsia="zh-CN"/>
              </w:rPr>
              <w:t>≤</w:t>
            </w:r>
            <w:r>
              <w:rPr>
                <w:rFonts w:hint="eastAsia" w:ascii="仿宋" w:hAnsi="仿宋" w:eastAsia="仿宋" w:cs="仿宋"/>
                <w:kern w:val="0"/>
                <w:szCs w:val="21"/>
              </w:rPr>
              <w:t>16</w:t>
            </w:r>
            <w:r>
              <w:rPr>
                <w:rFonts w:hint="eastAsia" w:ascii="仿宋" w:hAnsi="仿宋" w:eastAsia="仿宋" w:cs="仿宋"/>
                <w:kern w:val="0"/>
                <w:szCs w:val="21"/>
              </w:rPr>
              <w:br w:type="textWrapping"/>
            </w:r>
            <w:r>
              <w:rPr>
                <w:rFonts w:hint="eastAsia" w:ascii="仿宋" w:hAnsi="仿宋" w:eastAsia="仿宋" w:cs="仿宋"/>
                <w:kern w:val="0"/>
                <w:szCs w:val="21"/>
              </w:rPr>
              <w:t>显色指数:CRI</w:t>
            </w:r>
            <w:r>
              <w:rPr>
                <w:rFonts w:hint="eastAsia" w:ascii="仿宋" w:hAnsi="仿宋" w:eastAsia="仿宋" w:cs="仿宋"/>
                <w:kern w:val="0"/>
                <w:szCs w:val="21"/>
                <w:lang w:val="en-US" w:eastAsia="zh-CN"/>
              </w:rPr>
              <w:t>≥</w:t>
            </w:r>
            <w:r>
              <w:rPr>
                <w:rFonts w:hint="eastAsia" w:ascii="仿宋" w:hAnsi="仿宋" w:eastAsia="仿宋" w:cs="仿宋"/>
                <w:kern w:val="0"/>
                <w:szCs w:val="21"/>
              </w:rPr>
              <w:t>95</w:t>
            </w:r>
            <w:r>
              <w:rPr>
                <w:rFonts w:hint="eastAsia" w:ascii="仿宋" w:hAnsi="仿宋" w:eastAsia="仿宋" w:cs="仿宋"/>
                <w:kern w:val="0"/>
                <w:szCs w:val="21"/>
              </w:rPr>
              <w:br w:type="textWrapping"/>
            </w:r>
            <w:r>
              <w:rPr>
                <w:rFonts w:hint="eastAsia" w:ascii="仿宋" w:hAnsi="仿宋" w:eastAsia="仿宋" w:cs="仿宋"/>
                <w:kern w:val="0"/>
                <w:szCs w:val="21"/>
              </w:rPr>
              <w:t>灯体材质:铁</w:t>
            </w:r>
            <w:r>
              <w:rPr>
                <w:rFonts w:hint="eastAsia" w:ascii="仿宋" w:hAnsi="仿宋" w:eastAsia="仿宋" w:cs="仿宋"/>
                <w:kern w:val="0"/>
                <w:szCs w:val="21"/>
              </w:rPr>
              <w:br w:type="textWrapping"/>
            </w:r>
            <w:r>
              <w:rPr>
                <w:rFonts w:hint="eastAsia" w:ascii="仿宋" w:hAnsi="仿宋" w:eastAsia="仿宋" w:cs="仿宋"/>
                <w:kern w:val="0"/>
                <w:szCs w:val="21"/>
              </w:rPr>
              <w:t>安装方式:吊装</w:t>
            </w:r>
          </w:p>
        </w:tc>
        <w:tc>
          <w:tcPr>
            <w:tcW w:w="379" w:type="pct"/>
            <w:noWrap/>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120</w:t>
            </w:r>
          </w:p>
        </w:tc>
        <w:tc>
          <w:tcPr>
            <w:tcW w:w="451" w:type="pct"/>
            <w:noWrap/>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77" w:type="pct"/>
            <w:noWrap/>
            <w:vAlign w:val="center"/>
          </w:tcPr>
          <w:p>
            <w:pPr>
              <w:widowControl/>
              <w:spacing w:line="276"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83" w:type="pct"/>
            <w:noWrap w:val="0"/>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LED书写板灯</w:t>
            </w:r>
          </w:p>
        </w:tc>
        <w:tc>
          <w:tcPr>
            <w:tcW w:w="3110" w:type="pct"/>
            <w:noWrap w:val="0"/>
            <w:vAlign w:val="top"/>
          </w:tcPr>
          <w:p>
            <w:pPr>
              <w:widowControl/>
              <w:spacing w:line="276" w:lineRule="auto"/>
              <w:jc w:val="left"/>
              <w:rPr>
                <w:rFonts w:hint="eastAsia" w:ascii="仿宋" w:hAnsi="仿宋" w:eastAsia="仿宋" w:cs="仿宋"/>
                <w:kern w:val="0"/>
                <w:szCs w:val="21"/>
              </w:rPr>
            </w:pPr>
            <w:r>
              <w:rPr>
                <w:rFonts w:hint="eastAsia" w:ascii="仿宋" w:hAnsi="仿宋" w:eastAsia="仿宋" w:cs="仿宋"/>
                <w:kern w:val="0"/>
                <w:szCs w:val="21"/>
              </w:rPr>
              <w:t>额定功率: 36±3W</w:t>
            </w:r>
            <w:r>
              <w:rPr>
                <w:rFonts w:hint="eastAsia" w:ascii="仿宋" w:hAnsi="仿宋" w:eastAsia="仿宋" w:cs="仿宋"/>
                <w:kern w:val="0"/>
                <w:szCs w:val="21"/>
              </w:rPr>
              <w:br w:type="textWrapping"/>
            </w:r>
            <w:r>
              <w:rPr>
                <w:rFonts w:hint="eastAsia" w:ascii="仿宋" w:hAnsi="仿宋" w:eastAsia="仿宋" w:cs="仿宋"/>
                <w:kern w:val="0"/>
                <w:szCs w:val="21"/>
              </w:rPr>
              <w:t>额定电压:220V</w:t>
            </w:r>
            <w:r>
              <w:rPr>
                <w:rFonts w:hint="eastAsia" w:ascii="仿宋" w:hAnsi="仿宋" w:eastAsia="仿宋" w:cs="仿宋"/>
                <w:kern w:val="0"/>
                <w:szCs w:val="21"/>
              </w:rPr>
              <w:br w:type="textWrapping"/>
            </w:r>
            <w:r>
              <w:rPr>
                <w:rFonts w:hint="eastAsia" w:ascii="仿宋" w:hAnsi="仿宋" w:eastAsia="仿宋" w:cs="仿宋"/>
                <w:kern w:val="0"/>
                <w:szCs w:val="21"/>
              </w:rPr>
              <w:t>额定频率:50Hz</w:t>
            </w:r>
            <w:r>
              <w:rPr>
                <w:rFonts w:hint="eastAsia" w:ascii="仿宋" w:hAnsi="仿宋" w:eastAsia="仿宋" w:cs="仿宋"/>
                <w:kern w:val="0"/>
                <w:szCs w:val="21"/>
              </w:rPr>
              <w:br w:type="textWrapping"/>
            </w:r>
            <w:r>
              <w:rPr>
                <w:rFonts w:hint="eastAsia" w:ascii="仿宋" w:hAnsi="仿宋" w:eastAsia="仿宋" w:cs="仿宋"/>
                <w:kern w:val="0"/>
                <w:szCs w:val="21"/>
              </w:rPr>
              <w:t>额定电流:0.2A</w:t>
            </w:r>
            <w:r>
              <w:rPr>
                <w:rFonts w:hint="eastAsia" w:ascii="仿宋" w:hAnsi="仿宋" w:eastAsia="仿宋" w:cs="仿宋"/>
                <w:kern w:val="0"/>
                <w:szCs w:val="21"/>
              </w:rPr>
              <w:br w:type="textWrapping"/>
            </w:r>
            <w:r>
              <w:rPr>
                <w:rFonts w:hint="eastAsia" w:ascii="仿宋" w:hAnsi="仿宋" w:eastAsia="仿宋" w:cs="仿宋"/>
                <w:kern w:val="0"/>
                <w:szCs w:val="21"/>
              </w:rPr>
              <w:t xml:space="preserve">功率因数: </w:t>
            </w:r>
            <w:r>
              <w:rPr>
                <w:rFonts w:hint="eastAsia" w:ascii="仿宋" w:hAnsi="仿宋" w:eastAsia="仿宋" w:cs="仿宋"/>
                <w:kern w:val="0"/>
                <w:szCs w:val="21"/>
                <w:lang w:val="en-US" w:eastAsia="zh-CN"/>
              </w:rPr>
              <w:t>≥</w:t>
            </w:r>
            <w:r>
              <w:rPr>
                <w:rFonts w:hint="eastAsia" w:ascii="仿宋" w:hAnsi="仿宋" w:eastAsia="仿宋" w:cs="仿宋"/>
                <w:kern w:val="0"/>
                <w:szCs w:val="21"/>
              </w:rPr>
              <w:t>0.95</w:t>
            </w:r>
            <w:r>
              <w:rPr>
                <w:rFonts w:hint="eastAsia" w:ascii="仿宋" w:hAnsi="仿宋" w:eastAsia="仿宋" w:cs="仿宋"/>
                <w:kern w:val="0"/>
                <w:szCs w:val="21"/>
              </w:rPr>
              <w:br w:type="textWrapping"/>
            </w:r>
            <w:r>
              <w:rPr>
                <w:rFonts w:hint="eastAsia" w:ascii="仿宋" w:hAnsi="仿宋" w:eastAsia="仿宋" w:cs="仿宋"/>
                <w:kern w:val="0"/>
                <w:szCs w:val="21"/>
              </w:rPr>
              <w:t>可选色温:</w:t>
            </w:r>
            <w:r>
              <w:rPr>
                <w:rFonts w:hint="eastAsia" w:ascii="仿宋" w:hAnsi="仿宋" w:eastAsia="仿宋" w:cs="仿宋"/>
              </w:rPr>
              <w:t xml:space="preserve"> </w:t>
            </w:r>
            <w:r>
              <w:rPr>
                <w:rFonts w:hint="eastAsia" w:ascii="仿宋" w:hAnsi="仿宋" w:eastAsia="仿宋" w:cs="仿宋"/>
                <w:kern w:val="0"/>
                <w:szCs w:val="21"/>
              </w:rPr>
              <w:t>5000±250K</w:t>
            </w:r>
            <w:r>
              <w:rPr>
                <w:rFonts w:hint="eastAsia" w:ascii="仿宋" w:hAnsi="仿宋" w:eastAsia="仿宋" w:cs="仿宋"/>
                <w:kern w:val="0"/>
                <w:szCs w:val="21"/>
              </w:rPr>
              <w:br w:type="textWrapping"/>
            </w:r>
            <w:r>
              <w:rPr>
                <w:rFonts w:hint="eastAsia" w:ascii="仿宋" w:hAnsi="仿宋" w:eastAsia="仿宋" w:cs="仿宋"/>
                <w:kern w:val="0"/>
                <w:szCs w:val="21"/>
              </w:rPr>
              <w:t>防眩指数:UGR</w:t>
            </w:r>
            <w:r>
              <w:rPr>
                <w:rFonts w:hint="eastAsia" w:ascii="仿宋" w:hAnsi="仿宋" w:eastAsia="仿宋" w:cs="仿宋"/>
                <w:kern w:val="0"/>
                <w:szCs w:val="21"/>
                <w:lang w:val="en-US" w:eastAsia="zh-CN"/>
              </w:rPr>
              <w:t>≤</w:t>
            </w:r>
            <w:r>
              <w:rPr>
                <w:rFonts w:hint="eastAsia" w:ascii="仿宋" w:hAnsi="仿宋" w:eastAsia="仿宋" w:cs="仿宋"/>
                <w:kern w:val="0"/>
                <w:szCs w:val="21"/>
              </w:rPr>
              <w:t>19</w:t>
            </w:r>
            <w:r>
              <w:rPr>
                <w:rFonts w:hint="eastAsia" w:ascii="仿宋" w:hAnsi="仿宋" w:eastAsia="仿宋" w:cs="仿宋"/>
                <w:kern w:val="0"/>
                <w:szCs w:val="21"/>
              </w:rPr>
              <w:br w:type="textWrapping"/>
            </w:r>
            <w:r>
              <w:rPr>
                <w:rFonts w:hint="eastAsia" w:ascii="仿宋" w:hAnsi="仿宋" w:eastAsia="仿宋" w:cs="仿宋"/>
                <w:kern w:val="0"/>
                <w:szCs w:val="21"/>
              </w:rPr>
              <w:t>显色指数:CRI</w:t>
            </w:r>
            <w:r>
              <w:rPr>
                <w:rFonts w:hint="eastAsia" w:ascii="仿宋" w:hAnsi="仿宋" w:eastAsia="仿宋" w:cs="仿宋"/>
                <w:kern w:val="0"/>
                <w:szCs w:val="21"/>
                <w:lang w:val="en-US" w:eastAsia="zh-CN"/>
              </w:rPr>
              <w:t>≥</w:t>
            </w:r>
            <w:r>
              <w:rPr>
                <w:rFonts w:hint="eastAsia" w:ascii="仿宋" w:hAnsi="仿宋" w:eastAsia="仿宋" w:cs="仿宋"/>
                <w:kern w:val="0"/>
                <w:szCs w:val="21"/>
              </w:rPr>
              <w:t>95</w:t>
            </w:r>
            <w:r>
              <w:rPr>
                <w:rFonts w:hint="eastAsia" w:ascii="仿宋" w:hAnsi="仿宋" w:eastAsia="仿宋" w:cs="仿宋"/>
                <w:kern w:val="0"/>
                <w:szCs w:val="21"/>
              </w:rPr>
              <w:br w:type="textWrapping"/>
            </w:r>
            <w:r>
              <w:rPr>
                <w:rFonts w:hint="eastAsia" w:ascii="仿宋" w:hAnsi="仿宋" w:eastAsia="仿宋" w:cs="仿宋"/>
                <w:kern w:val="0"/>
                <w:szCs w:val="21"/>
              </w:rPr>
              <w:t>灯体材质:铝</w:t>
            </w:r>
          </w:p>
        </w:tc>
        <w:tc>
          <w:tcPr>
            <w:tcW w:w="379" w:type="pct"/>
            <w:noWrap/>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36</w:t>
            </w:r>
          </w:p>
        </w:tc>
        <w:tc>
          <w:tcPr>
            <w:tcW w:w="451" w:type="pct"/>
            <w:noWrap/>
            <w:vAlign w:val="center"/>
          </w:tcPr>
          <w:p>
            <w:pPr>
              <w:widowControl/>
              <w:spacing w:line="276" w:lineRule="auto"/>
              <w:jc w:val="center"/>
              <w:rPr>
                <w:rFonts w:hint="eastAsia" w:ascii="仿宋" w:hAnsi="仿宋" w:eastAsia="仿宋" w:cs="仿宋"/>
                <w:kern w:val="0"/>
                <w:szCs w:val="21"/>
              </w:rPr>
            </w:pPr>
            <w:r>
              <w:rPr>
                <w:rFonts w:hint="eastAsia" w:ascii="仿宋" w:hAnsi="仿宋" w:eastAsia="仿宋" w:cs="仿宋"/>
                <w:kern w:val="0"/>
                <w:szCs w:val="21"/>
              </w:rPr>
              <w:t>个</w:t>
            </w:r>
          </w:p>
        </w:tc>
      </w:tr>
    </w:tbl>
    <w:p>
      <w:pPr>
        <w:rPr>
          <w:rFonts w:hint="eastAsia"/>
          <w:lang w:val="en-US" w:eastAsia="zh-CN"/>
        </w:rPr>
      </w:pPr>
    </w:p>
    <w:p>
      <w:pPr>
        <w:numPr>
          <w:ilvl w:val="0"/>
          <w:numId w:val="0"/>
        </w:numPr>
        <w:ind w:leftChars="0"/>
        <w:rPr>
          <w:rFonts w:hint="eastAsia" w:ascii="华文仿宋" w:hAnsi="华文仿宋" w:eastAsia="华文仿宋" w:cs="Times New Roman"/>
          <w:b/>
          <w:bCs/>
          <w:sz w:val="28"/>
          <w:szCs w:val="28"/>
          <w:lang w:val="en-US" w:eastAsia="zh-CN"/>
        </w:rPr>
      </w:pPr>
      <w:r>
        <w:rPr>
          <w:rFonts w:hint="eastAsia" w:ascii="华文仿宋" w:hAnsi="华文仿宋" w:eastAsia="华文仿宋" w:cs="Times New Roman"/>
          <w:b/>
          <w:bCs/>
          <w:sz w:val="28"/>
          <w:szCs w:val="28"/>
          <w:lang w:val="en-US" w:eastAsia="zh-CN"/>
        </w:rPr>
        <w:t>2、商务要求：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2-1、合同结算：</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2-1-1、</w:t>
      </w:r>
      <w:r>
        <w:rPr>
          <w:rFonts w:hint="eastAsia" w:ascii="仿宋_GB2312" w:hAnsi="仿宋_GB2312" w:eastAsia="仿宋_GB2312" w:cs="仿宋_GB2312"/>
          <w:b w:val="0"/>
          <w:bCs w:val="0"/>
          <w:sz w:val="24"/>
          <w:szCs w:val="24"/>
        </w:rPr>
        <w:t>付款比例：</w:t>
      </w:r>
      <w:r>
        <w:rPr>
          <w:rFonts w:hint="eastAsia" w:ascii="仿宋" w:hAnsi="仿宋" w:eastAsia="仿宋" w:cs="仿宋"/>
          <w:sz w:val="24"/>
          <w:highlight w:val="yellow"/>
          <w:lang w:eastAsia="zh-CN"/>
        </w:rPr>
        <w:t>合同签订后支付总价的50%，</w:t>
      </w:r>
      <w:r>
        <w:rPr>
          <w:rFonts w:hint="eastAsia" w:ascii="仿宋" w:hAnsi="仿宋" w:eastAsia="仿宋" w:cs="仿宋"/>
          <w:sz w:val="24"/>
          <w:highlight w:val="yellow"/>
          <w:lang w:val="en-US" w:eastAsia="zh-CN"/>
        </w:rPr>
        <w:t>供货安装完成并通过验收后</w:t>
      </w:r>
      <w:r>
        <w:rPr>
          <w:rFonts w:hint="eastAsia" w:ascii="仿宋" w:hAnsi="仿宋" w:eastAsia="仿宋" w:cs="仿宋"/>
          <w:sz w:val="24"/>
          <w:highlight w:val="yellow"/>
          <w:lang w:eastAsia="zh-CN"/>
        </w:rPr>
        <w:t>的4个月内支付完剩余总价的50%</w:t>
      </w:r>
      <w:r>
        <w:rPr>
          <w:rFonts w:hint="eastAsia" w:ascii="仿宋_GB2312" w:hAnsi="仿宋_GB2312" w:eastAsia="仿宋_GB2312" w:cs="仿宋_GB2312"/>
          <w:b w:val="0"/>
          <w:bCs w:val="0"/>
          <w:sz w:val="24"/>
          <w:szCs w:val="24"/>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2-1-</w:t>
      </w:r>
      <w:r>
        <w:rPr>
          <w:rFonts w:hint="eastAsia" w:ascii="仿宋_GB2312" w:hAnsi="仿宋_GB2312" w:eastAsia="仿宋_GB2312" w:cs="仿宋_GB2312"/>
          <w:b w:val="0"/>
          <w:bCs w:val="0"/>
          <w:sz w:val="24"/>
          <w:szCs w:val="24"/>
        </w:rPr>
        <w:t>2、结算方式：银行转账。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2-1-3</w:t>
      </w:r>
      <w:r>
        <w:rPr>
          <w:rFonts w:hint="eastAsia" w:ascii="仿宋_GB2312" w:hAnsi="仿宋_GB2312" w:eastAsia="仿宋_GB2312" w:cs="仿宋_GB2312"/>
          <w:b w:val="0"/>
          <w:bCs w:val="0"/>
          <w:sz w:val="24"/>
          <w:szCs w:val="24"/>
        </w:rPr>
        <w:t>、结算单位：由</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eastAsia="zh-CN"/>
        </w:rPr>
        <w:t>采购人</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负责结算，乙方开具</w:t>
      </w:r>
      <w:r>
        <w:rPr>
          <w:rFonts w:hint="eastAsia" w:ascii="仿宋_GB2312" w:hAnsi="仿宋_GB2312" w:eastAsia="仿宋_GB2312" w:cs="仿宋_GB2312"/>
          <w:b w:val="0"/>
          <w:bCs w:val="0"/>
          <w:sz w:val="24"/>
          <w:szCs w:val="24"/>
          <w:lang w:eastAsia="zh-CN"/>
        </w:rPr>
        <w:t>等</w:t>
      </w:r>
      <w:r>
        <w:rPr>
          <w:rFonts w:hint="eastAsia" w:ascii="仿宋_GB2312" w:hAnsi="仿宋_GB2312" w:eastAsia="仿宋_GB2312" w:cs="仿宋_GB2312"/>
          <w:b w:val="0"/>
          <w:bCs w:val="0"/>
          <w:sz w:val="24"/>
          <w:szCs w:val="24"/>
        </w:rPr>
        <w:t>额发票交采购人。</w:t>
      </w:r>
    </w:p>
    <w:p>
      <w:pPr>
        <w:pStyle w:val="8"/>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2-2、交货条件</w:t>
      </w:r>
    </w:p>
    <w:p>
      <w:pPr>
        <w:pStyle w:val="8"/>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2-2-1、</w:t>
      </w:r>
      <w:r>
        <w:rPr>
          <w:rFonts w:hint="eastAsia" w:ascii="仿宋" w:hAnsi="仿宋" w:eastAsia="仿宋" w:cs="仿宋"/>
          <w:color w:val="auto"/>
          <w:sz w:val="24"/>
          <w:szCs w:val="24"/>
          <w:highlight w:val="none"/>
        </w:rPr>
        <w:t>交货地点</w:t>
      </w:r>
      <w:r>
        <w:rPr>
          <w:rFonts w:hint="eastAsia" w:ascii="仿宋_GB2312" w:hAnsi="仿宋_GB2312" w:eastAsia="仿宋_GB2312" w:cs="仿宋_GB2312"/>
          <w:b w:val="0"/>
          <w:bCs w:val="0"/>
          <w:sz w:val="24"/>
          <w:szCs w:val="24"/>
          <w:lang w:val="en-US" w:eastAsia="zh-CN"/>
        </w:rPr>
        <w:t>：铜川市朝阳实验小学。</w:t>
      </w:r>
    </w:p>
    <w:p>
      <w:pPr>
        <w:pStyle w:val="49"/>
        <w:spacing w:line="360" w:lineRule="auto"/>
        <w:jc w:val="both"/>
        <w:rPr>
          <w:rStyle w:val="207"/>
          <w:rFonts w:hint="eastAsia" w:ascii="仿宋" w:hAnsi="仿宋" w:eastAsia="仿宋" w:cs="仿宋"/>
          <w:sz w:val="36"/>
          <w:szCs w:val="36"/>
        </w:rPr>
      </w:pPr>
      <w:r>
        <w:rPr>
          <w:rFonts w:hint="eastAsia" w:ascii="仿宋_GB2312" w:hAnsi="仿宋_GB2312" w:eastAsia="仿宋_GB2312" w:cs="仿宋_GB2312"/>
          <w:b w:val="0"/>
          <w:bCs w:val="0"/>
          <w:sz w:val="24"/>
          <w:szCs w:val="24"/>
          <w:lang w:val="en-US" w:eastAsia="zh-CN"/>
        </w:rPr>
        <w:t>2-2-2、交货</w:t>
      </w:r>
      <w:r>
        <w:rPr>
          <w:rFonts w:hint="eastAsia" w:ascii="仿宋_GB2312" w:hAnsi="仿宋_GB2312" w:eastAsia="仿宋_GB2312" w:cs="仿宋_GB2312"/>
          <w:b w:val="0"/>
          <w:bCs w:val="0"/>
          <w:sz w:val="24"/>
          <w:szCs w:val="24"/>
          <w:highlight w:val="none"/>
          <w:lang w:val="en-US" w:eastAsia="zh-CN"/>
        </w:rPr>
        <w:t>期：</w:t>
      </w:r>
      <w:r>
        <w:rPr>
          <w:rFonts w:hint="eastAsia" w:ascii="仿宋_GB2312" w:hAnsi="仿宋_GB2312" w:eastAsia="仿宋_GB2312" w:cs="仿宋_GB2312"/>
          <w:b w:val="0"/>
          <w:bCs w:val="0"/>
          <w:sz w:val="24"/>
          <w:szCs w:val="24"/>
          <w:highlight w:val="yellow"/>
          <w:lang w:val="en-US" w:eastAsia="zh-CN"/>
        </w:rPr>
        <w:t>合同签订后10日历天内到货并安装完成。</w:t>
      </w:r>
    </w:p>
    <w:p>
      <w:pPr>
        <w:rPr>
          <w:rStyle w:val="207"/>
          <w:rFonts w:hint="eastAsia" w:ascii="仿宋" w:hAnsi="仿宋" w:eastAsia="仿宋" w:cs="仿宋"/>
          <w:sz w:val="36"/>
          <w:szCs w:val="36"/>
        </w:rPr>
      </w:pPr>
      <w:r>
        <w:rPr>
          <w:rStyle w:val="207"/>
          <w:rFonts w:hint="eastAsia" w:ascii="仿宋" w:hAnsi="仿宋" w:eastAsia="仿宋" w:cs="仿宋"/>
          <w:sz w:val="36"/>
          <w:szCs w:val="36"/>
        </w:rPr>
        <w:br w:type="page"/>
      </w:r>
    </w:p>
    <w:p>
      <w:pPr>
        <w:pStyle w:val="49"/>
        <w:spacing w:line="360" w:lineRule="auto"/>
        <w:rPr>
          <w:rFonts w:hint="eastAsia" w:ascii="仿宋" w:hAnsi="仿宋" w:eastAsia="仿宋" w:cs="仿宋"/>
        </w:rPr>
      </w:pPr>
      <w:bookmarkStart w:id="502" w:name="_Toc17846"/>
      <w:r>
        <w:rPr>
          <w:rStyle w:val="207"/>
          <w:rFonts w:hint="eastAsia" w:ascii="仿宋" w:hAnsi="仿宋" w:eastAsia="仿宋" w:cs="仿宋"/>
          <w:sz w:val="36"/>
          <w:szCs w:val="36"/>
        </w:rPr>
        <w:t>第六章  磋商响应文件格式</w:t>
      </w:r>
      <w:bookmarkEnd w:id="497"/>
      <w:bookmarkEnd w:id="498"/>
      <w:bookmarkEnd w:id="499"/>
      <w:bookmarkEnd w:id="500"/>
      <w:bookmarkEnd w:id="501"/>
      <w:bookmarkEnd w:id="502"/>
      <w:r>
        <w:rPr>
          <w:rFonts w:hint="eastAsia" w:ascii="仿宋" w:hAnsi="仿宋" w:eastAsia="仿宋" w:cs="仿宋"/>
        </w:rPr>
        <w:t xml:space="preserve"> </w:t>
      </w:r>
    </w:p>
    <w:p>
      <w:pPr>
        <w:pStyle w:val="49"/>
        <w:spacing w:line="360" w:lineRule="auto"/>
        <w:rPr>
          <w:rFonts w:hint="eastAsia" w:ascii="仿宋" w:hAnsi="仿宋" w:eastAsia="仿宋" w:cs="仿宋"/>
        </w:rPr>
      </w:pPr>
      <w:r>
        <w:rPr>
          <w:rFonts w:hint="eastAsia" w:ascii="仿宋" w:hAnsi="仿宋" w:eastAsia="仿宋" w:cs="仿宋"/>
        </w:rPr>
        <w:t xml:space="preserve">                                </w:t>
      </w:r>
    </w:p>
    <w:p>
      <w:pPr>
        <w:pStyle w:val="162"/>
        <w:ind w:firstLine="6586" w:firstLineChars="2050"/>
        <w:rPr>
          <w:rFonts w:hint="eastAsia" w:ascii="仿宋" w:hAnsi="仿宋" w:eastAsia="仿宋" w:cs="仿宋"/>
          <w:bCs/>
          <w:lang w:val="zh-CN"/>
        </w:rPr>
      </w:pPr>
      <w:bookmarkStart w:id="503" w:name="_Toc62196433"/>
      <w:r>
        <w:rPr>
          <w:rFonts w:hint="eastAsia" w:ascii="仿宋" w:hAnsi="仿宋" w:eastAsia="仿宋" w:cs="仿宋"/>
          <w:lang w:val="zh-CN"/>
        </w:rPr>
        <w:t>正本/副本</w:t>
      </w:r>
      <w:bookmarkEnd w:id="503"/>
    </w:p>
    <w:p>
      <w:pPr>
        <w:autoSpaceDE w:val="0"/>
        <w:autoSpaceDN w:val="0"/>
        <w:adjustRightInd w:val="0"/>
        <w:snapToGrid w:val="0"/>
        <w:spacing w:line="360" w:lineRule="auto"/>
        <w:jc w:val="left"/>
        <w:rPr>
          <w:rFonts w:hint="eastAsia" w:ascii="仿宋" w:hAnsi="仿宋" w:eastAsia="仿宋" w:cs="仿宋"/>
          <w:b/>
          <w:bCs/>
          <w:sz w:val="32"/>
          <w:szCs w:val="32"/>
          <w:lang w:val="zh-CN"/>
        </w:rPr>
      </w:pPr>
    </w:p>
    <w:p>
      <w:pPr>
        <w:autoSpaceDE w:val="0"/>
        <w:autoSpaceDN w:val="0"/>
        <w:adjustRightInd w:val="0"/>
        <w:snapToGrid w:val="0"/>
        <w:spacing w:line="360" w:lineRule="auto"/>
        <w:jc w:val="left"/>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rPr>
        <w:t>采购项目编号：</w:t>
      </w:r>
      <w:r>
        <w:rPr>
          <w:rFonts w:hint="eastAsia" w:ascii="仿宋" w:hAnsi="仿宋" w:eastAsia="仿宋" w:cs="仿宋"/>
          <w:b/>
          <w:bCs/>
          <w:sz w:val="30"/>
          <w:szCs w:val="30"/>
          <w:lang w:eastAsia="zh-CN"/>
        </w:rPr>
        <w:t>XHZB2023-CS-024/001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铜川市朝阳实验小学多媒体及配套设备</w:t>
      </w:r>
    </w:p>
    <w:p>
      <w:pPr>
        <w:tabs>
          <w:tab w:val="left" w:pos="5670"/>
        </w:tabs>
        <w:autoSpaceDE w:val="0"/>
        <w:autoSpaceDN w:val="0"/>
        <w:adjustRightInd w:val="0"/>
        <w:snapToGrid w:val="0"/>
        <w:spacing w:line="360" w:lineRule="auto"/>
        <w:jc w:val="center"/>
        <w:rPr>
          <w:rFonts w:hint="eastAsia" w:ascii="仿宋" w:hAnsi="仿宋" w:eastAsia="仿宋" w:cs="仿宋"/>
          <w:lang w:val="zh-CN" w:eastAsia="zh-CN"/>
        </w:rPr>
      </w:pPr>
      <w:r>
        <w:rPr>
          <w:rFonts w:hint="eastAsia" w:ascii="仿宋" w:hAnsi="仿宋" w:eastAsia="仿宋" w:cs="仿宋"/>
          <w:b/>
          <w:bCs/>
          <w:sz w:val="44"/>
          <w:szCs w:val="44"/>
          <w:lang w:eastAsia="zh-CN"/>
        </w:rPr>
        <w:t>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pStyle w:val="199"/>
        <w:ind w:firstLine="2891" w:firstLineChars="1200"/>
        <w:rPr>
          <w:rFonts w:hint="eastAsia" w:ascii="仿宋" w:hAnsi="仿宋" w:eastAsia="仿宋" w:cs="仿宋"/>
          <w:b/>
          <w:sz w:val="30"/>
          <w:szCs w:val="30"/>
        </w:rPr>
      </w:pPr>
      <w:r>
        <w:rPr>
          <w:rFonts w:hint="eastAsia" w:ascii="仿宋" w:hAnsi="仿宋" w:eastAsia="仿宋" w:cs="仿宋"/>
          <w:b/>
          <w:bCs/>
          <w:lang w:val="zh-CN"/>
        </w:rPr>
        <w:t xml:space="preserve"> </w:t>
      </w:r>
      <w:r>
        <w:rPr>
          <w:rFonts w:hint="eastAsia" w:ascii="仿宋" w:hAnsi="仿宋" w:eastAsia="仿宋" w:cs="仿宋"/>
          <w:b/>
          <w:sz w:val="30"/>
          <w:szCs w:val="30"/>
        </w:rPr>
        <w:t>（资格证明文件）</w:t>
      </w:r>
    </w:p>
    <w:p>
      <w:pPr>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lang w:val="zh-CN"/>
        </w:rPr>
        <w:t xml:space="preserve">                  </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3"/>
        <w:rPr>
          <w:rFonts w:hint="eastAsia" w:ascii="仿宋" w:hAnsi="仿宋" w:eastAsia="仿宋" w:cs="仿宋"/>
        </w:rPr>
      </w:pPr>
      <w:r>
        <w:rPr>
          <w:rFonts w:hint="eastAsia" w:ascii="仿宋" w:hAnsi="仿宋" w:eastAsia="仿宋" w:cs="仿宋"/>
        </w:rPr>
        <w:br w:type="page"/>
      </w:r>
    </w:p>
    <w:p>
      <w:pPr>
        <w:pStyle w:val="199"/>
        <w:ind w:firstLine="0"/>
        <w:jc w:val="center"/>
        <w:rPr>
          <w:rFonts w:hint="eastAsia" w:ascii="仿宋" w:hAnsi="仿宋" w:eastAsia="仿宋" w:cs="仿宋"/>
          <w:b/>
          <w:sz w:val="32"/>
          <w:szCs w:val="32"/>
        </w:rPr>
      </w:pPr>
      <w:r>
        <w:rPr>
          <w:rFonts w:hint="eastAsia" w:ascii="仿宋" w:hAnsi="仿宋" w:eastAsia="仿宋" w:cs="仿宋"/>
          <w:b/>
          <w:sz w:val="32"/>
          <w:szCs w:val="32"/>
        </w:rPr>
        <w:t>第一部分  身份证明文件</w:t>
      </w:r>
    </w:p>
    <w:p>
      <w:pPr>
        <w:spacing w:after="120"/>
        <w:rPr>
          <w:rFonts w:hint="eastAsia" w:ascii="仿宋" w:hAnsi="仿宋" w:eastAsia="仿宋" w:cs="仿宋"/>
        </w:rPr>
      </w:pPr>
    </w:p>
    <w:p>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陕西星火工程管理有限公司：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pPr>
        <w:snapToGrid w:val="0"/>
        <w:spacing w:line="360" w:lineRule="auto"/>
        <w:ind w:firstLine="480" w:firstLineChars="200"/>
        <w:rPr>
          <w:rFonts w:ascii="仿宋" w:hAnsi="仿宋" w:eastAsia="仿宋" w:cs="仿宋"/>
          <w:b/>
          <w:bCs/>
          <w:sz w:val="24"/>
          <w:lang w:val="zh-CN"/>
        </w:rPr>
      </w:pPr>
      <w:r>
        <w:rPr>
          <w:rFonts w:hint="eastAsia" w:ascii="仿宋" w:hAnsi="仿宋" w:eastAsia="仿宋" w:cs="仿宋"/>
          <w:sz w:val="24"/>
          <w:lang w:val="zh-CN"/>
        </w:rPr>
        <w:t>本授权</w:t>
      </w:r>
      <w:r>
        <w:rPr>
          <w:rFonts w:hint="eastAsia" w:ascii="仿宋" w:hAnsi="仿宋" w:eastAsia="仿宋" w:cs="仿宋"/>
          <w:sz w:val="24"/>
          <w:lang w:val="en-US" w:eastAsia="zh-CN"/>
        </w:rPr>
        <w:t>自磋商之日起生效，有效期60天</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b/>
          <w:bCs/>
          <w:sz w:val="24"/>
          <w:u w:val="single"/>
        </w:rPr>
        <w:t>（签字）</w:t>
      </w:r>
      <w:r>
        <w:rPr>
          <w:rFonts w:hint="eastAsia" w:ascii="仿宋" w:hAnsi="仿宋" w:eastAsia="仿宋" w:cs="仿宋"/>
          <w:b/>
          <w:bCs/>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1320" w:firstLineChars="550"/>
        <w:rPr>
          <w:rFonts w:hint="eastAsia" w:ascii="仿宋" w:hAnsi="仿宋" w:eastAsia="仿宋" w:cs="仿宋"/>
          <w:sz w:val="24"/>
        </w:rPr>
      </w:pPr>
      <w:r>
        <w:rPr>
          <w:rFonts w:hint="eastAsia" w:ascii="仿宋" w:hAnsi="仿宋" w:eastAsia="仿宋" w:cs="仿宋"/>
          <w:sz w:val="24"/>
        </w:rPr>
        <w:t>供应商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after="120"/>
        <w:rPr>
          <w:rFonts w:hint="eastAsia" w:ascii="仿宋" w:hAnsi="仿宋" w:eastAsia="仿宋" w:cs="仿宋"/>
        </w:rPr>
      </w:pPr>
      <w:r>
        <w:rPr>
          <w:rFonts w:hint="eastAsia" w:ascii="仿宋" w:hAnsi="仿宋" w:eastAsia="仿宋" w:cs="仿宋"/>
        </w:rPr>
        <w:br w:type="page"/>
      </w:r>
    </w:p>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供应商：           （公章）</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spacing w:after="120"/>
        <w:rPr>
          <w:rFonts w:hint="eastAsia" w:ascii="仿宋" w:hAnsi="仿宋" w:eastAsia="仿宋" w:cs="仿宋"/>
        </w:rPr>
      </w:pPr>
      <w:r>
        <w:rPr>
          <w:rFonts w:hint="eastAsia" w:ascii="仿宋" w:hAnsi="仿宋" w:eastAsia="仿宋" w:cs="仿宋"/>
        </w:rPr>
        <w:br w:type="page"/>
      </w:r>
    </w:p>
    <w:p>
      <w:pPr>
        <w:widowControl/>
        <w:ind w:firstLine="141" w:firstLineChars="50"/>
        <w:jc w:val="center"/>
        <w:rPr>
          <w:rFonts w:hint="eastAsia" w:ascii="仿宋" w:hAnsi="仿宋" w:eastAsia="仿宋" w:cs="仿宋"/>
          <w:b/>
          <w:kern w:val="0"/>
          <w:sz w:val="28"/>
          <w:szCs w:val="28"/>
        </w:rPr>
      </w:pPr>
      <w:r>
        <w:rPr>
          <w:rFonts w:hint="eastAsia" w:ascii="仿宋" w:hAnsi="仿宋" w:eastAsia="仿宋" w:cs="仿宋"/>
          <w:b/>
          <w:kern w:val="0"/>
          <w:sz w:val="28"/>
          <w:szCs w:val="28"/>
        </w:rPr>
        <w:t>3、授权代表本单位证明</w:t>
      </w:r>
    </w:p>
    <w:p>
      <w:pPr>
        <w:spacing w:after="120"/>
        <w:rPr>
          <w:rFonts w:hint="eastAsia" w:ascii="仿宋" w:hAnsi="仿宋" w:eastAsia="仿宋" w:cs="仿宋"/>
        </w:rPr>
      </w:pPr>
    </w:p>
    <w:p>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养老保险缴纳证明或劳动合同复印件</w:t>
      </w:r>
      <w:r>
        <w:rPr>
          <w:rFonts w:hint="eastAsia" w:ascii="仿宋" w:hAnsi="仿宋" w:eastAsia="仿宋" w:cs="仿宋"/>
          <w:sz w:val="28"/>
          <w:szCs w:val="28"/>
          <w:lang w:val="zh-CN"/>
        </w:rPr>
        <w:t>）</w:t>
      </w: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r>
        <w:rPr>
          <w:rFonts w:hint="eastAsia" w:ascii="仿宋" w:hAnsi="仿宋" w:eastAsia="仿宋" w:cs="仿宋"/>
          <w:lang w:val="zh-CN"/>
        </w:rPr>
        <w:br w:type="page"/>
      </w:r>
    </w:p>
    <w:p>
      <w:pPr>
        <w:pStyle w:val="199"/>
        <w:ind w:firstLine="2570" w:firstLineChars="800"/>
        <w:rPr>
          <w:rFonts w:hint="eastAsia" w:ascii="仿宋" w:hAnsi="仿宋" w:eastAsia="仿宋" w:cs="仿宋"/>
          <w:b/>
          <w:sz w:val="32"/>
          <w:szCs w:val="32"/>
        </w:rPr>
      </w:pPr>
      <w:r>
        <w:rPr>
          <w:rFonts w:hint="eastAsia" w:ascii="仿宋" w:hAnsi="仿宋" w:eastAsia="仿宋" w:cs="仿宋"/>
          <w:b/>
          <w:sz w:val="32"/>
          <w:szCs w:val="32"/>
        </w:rPr>
        <w:t>第二部分  资格证明文件</w:t>
      </w:r>
    </w:p>
    <w:p>
      <w:pPr>
        <w:spacing w:after="120"/>
        <w:rPr>
          <w:rFonts w:hint="eastAsia" w:ascii="仿宋" w:hAnsi="仿宋" w:eastAsia="仿宋" w:cs="仿宋"/>
        </w:rPr>
      </w:pPr>
    </w:p>
    <w:p>
      <w:pPr>
        <w:numPr>
          <w:ilvl w:val="1"/>
          <w:numId w:val="13"/>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供应商上一年度（</w:t>
      </w:r>
      <w:r>
        <w:rPr>
          <w:rFonts w:hint="eastAsia" w:ascii="仿宋" w:hAnsi="仿宋" w:eastAsia="仿宋" w:cs="仿宋"/>
          <w:sz w:val="24"/>
          <w:lang w:val="en-US" w:eastAsia="zh-CN"/>
        </w:rPr>
        <w:t>2022年度</w:t>
      </w:r>
      <w:r>
        <w:rPr>
          <w:rFonts w:hint="eastAsia" w:ascii="仿宋" w:hAnsi="仿宋" w:eastAsia="仿宋" w:cs="仿宋"/>
          <w:sz w:val="24"/>
        </w:rPr>
        <w:t>）的经审计的财务报告、或</w:t>
      </w:r>
      <w:r>
        <w:rPr>
          <w:rFonts w:hint="eastAsia" w:ascii="仿宋" w:hAnsi="仿宋" w:eastAsia="仿宋" w:cs="仿宋"/>
          <w:sz w:val="24"/>
          <w:lang w:val="en-US" w:eastAsia="zh-CN"/>
        </w:rPr>
        <w:t>本年度</w:t>
      </w:r>
      <w:r>
        <w:rPr>
          <w:rFonts w:hint="eastAsia" w:ascii="仿宋" w:hAnsi="仿宋" w:eastAsia="仿宋" w:cs="仿宋"/>
          <w:sz w:val="24"/>
        </w:rPr>
        <w:t>任意一个月单位内部财务报表、或本年度基本开户银行出具的资信证明（格式要求见附件6-2）；</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依法缴纳税收和社会保障资金的证明材料复印件（格式见附件6-3、6-4）</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具备履行合同所必需的设备和专业技术能力的承诺（格式见附件6-5）；</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供应商参加政府采购活动前3年内在经营活动中没有重大违法记录的书面声明（格式见附件6-6）</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供应商是否属于为本项目提供整体设计、规范编制或者项目管理、监理、检测等服务的供应商声明（格式见附件6-8)</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_GB2312" w:hAnsi="宋体" w:eastAsia="仿宋_GB2312"/>
          <w:sz w:val="24"/>
        </w:rPr>
        <w:t>证明供应商符合特定资格条件的证明材料</w:t>
      </w:r>
    </w:p>
    <w:p>
      <w:pPr>
        <w:spacing w:after="120"/>
        <w:ind w:left="780"/>
        <w:rPr>
          <w:rFonts w:hint="eastAsia" w:ascii="仿宋" w:hAnsi="仿宋" w:eastAsia="仿宋" w:cs="仿宋"/>
        </w:rPr>
      </w:pPr>
    </w:p>
    <w:p>
      <w:pPr>
        <w:adjustRightInd w:val="0"/>
        <w:spacing w:line="360" w:lineRule="auto"/>
        <w:ind w:firstLine="482" w:firstLineChars="200"/>
        <w:jc w:val="left"/>
        <w:textAlignment w:val="baseline"/>
        <w:rPr>
          <w:rFonts w:hint="eastAsia" w:ascii="仿宋" w:hAnsi="仿宋" w:eastAsia="仿宋" w:cs="仿宋"/>
          <w:b/>
          <w:sz w:val="24"/>
        </w:rPr>
      </w:pPr>
      <w:r>
        <w:rPr>
          <w:rFonts w:hint="eastAsia" w:ascii="仿宋" w:hAnsi="仿宋" w:eastAsia="仿宋" w:cs="仿宋"/>
          <w:b/>
          <w:sz w:val="24"/>
        </w:rPr>
        <w:t>以上提供的扫描件、复印件必须加盖供应商公章。</w:t>
      </w:r>
    </w:p>
    <w:p>
      <w:pPr>
        <w:spacing w:after="120"/>
        <w:rPr>
          <w:rFonts w:hint="eastAsia" w:ascii="仿宋" w:hAnsi="仿宋" w:eastAsia="仿宋" w:cs="仿宋"/>
        </w:rPr>
      </w:pPr>
      <w:r>
        <w:rPr>
          <w:rFonts w:hint="eastAsia" w:ascii="仿宋" w:hAnsi="仿宋" w:eastAsia="仿宋" w:cs="仿宋"/>
        </w:rPr>
        <w:br w:type="page"/>
      </w:r>
    </w:p>
    <w:p>
      <w:pPr>
        <w:jc w:val="left"/>
        <w:outlineLvl w:val="2"/>
        <w:rPr>
          <w:rFonts w:hint="eastAsia" w:ascii="仿宋" w:hAnsi="仿宋" w:eastAsia="仿宋" w:cs="仿宋"/>
          <w:b/>
          <w:sz w:val="24"/>
        </w:rPr>
      </w:pPr>
      <w:bookmarkStart w:id="504" w:name="_Toc7005120"/>
      <w:r>
        <w:rPr>
          <w:rFonts w:hint="eastAsia" w:ascii="仿宋" w:hAnsi="仿宋" w:eastAsia="仿宋" w:cs="仿宋"/>
          <w:b/>
          <w:sz w:val="24"/>
        </w:rPr>
        <w:t>6-1  供应商的企业法人营业执照副本复印件（加盖公章）</w:t>
      </w:r>
      <w:bookmarkEnd w:id="504"/>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505" w:name="_Ref527015333"/>
      <w:bookmarkStart w:id="506" w:name="_Toc7005121"/>
      <w:r>
        <w:rPr>
          <w:rFonts w:hint="eastAsia" w:ascii="仿宋" w:hAnsi="仿宋" w:eastAsia="仿宋" w:cs="仿宋"/>
          <w:b/>
          <w:sz w:val="24"/>
        </w:rPr>
        <w:t xml:space="preserve">6-2  </w:t>
      </w:r>
      <w:bookmarkEnd w:id="505"/>
      <w:bookmarkEnd w:id="506"/>
      <w:r>
        <w:rPr>
          <w:rFonts w:hint="eastAsia" w:ascii="仿宋" w:hAnsi="仿宋" w:eastAsia="仿宋" w:cs="仿宋"/>
          <w:b/>
          <w:sz w:val="24"/>
        </w:rPr>
        <w:t>健全的财务会计制度</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Cs w:val="21"/>
        </w:rPr>
      </w:pPr>
      <w:r>
        <w:rPr>
          <w:rFonts w:hint="eastAsia" w:ascii="仿宋" w:hAnsi="仿宋" w:eastAsia="仿宋" w:cs="仿宋"/>
          <w:sz w:val="24"/>
        </w:rPr>
        <w:t>提供上一年度（</w:t>
      </w:r>
      <w:r>
        <w:rPr>
          <w:rFonts w:hint="eastAsia" w:ascii="仿宋" w:hAnsi="仿宋" w:eastAsia="仿宋" w:cs="仿宋"/>
          <w:sz w:val="24"/>
          <w:lang w:val="en-US" w:eastAsia="zh-CN"/>
        </w:rPr>
        <w:t>2022年度</w:t>
      </w:r>
      <w:r>
        <w:rPr>
          <w:rFonts w:hint="eastAsia" w:ascii="仿宋" w:hAnsi="仿宋" w:eastAsia="仿宋" w:cs="仿宋"/>
          <w:sz w:val="24"/>
        </w:rPr>
        <w:t>）的经审计的财务报告、或</w:t>
      </w:r>
      <w:r>
        <w:rPr>
          <w:rFonts w:hint="eastAsia" w:ascii="仿宋" w:hAnsi="仿宋" w:eastAsia="仿宋" w:cs="仿宋"/>
          <w:sz w:val="24"/>
          <w:lang w:val="en-US" w:eastAsia="zh-CN"/>
        </w:rPr>
        <w:t>本年度</w:t>
      </w:r>
      <w:r>
        <w:rPr>
          <w:rFonts w:hint="eastAsia" w:ascii="仿宋" w:hAnsi="仿宋" w:eastAsia="仿宋" w:cs="仿宋"/>
          <w:sz w:val="24"/>
        </w:rPr>
        <w:t>任意一个月单位内部财务报表、或本年度基本开户银行出具的资信证明复印件或扫描件、所有复印件或扫描件需加盖单位公章。</w:t>
      </w: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507" w:name="_Toc7005123"/>
      <w:r>
        <w:rPr>
          <w:rFonts w:hint="eastAsia" w:ascii="仿宋" w:hAnsi="仿宋" w:eastAsia="仿宋" w:cs="仿宋"/>
          <w:b/>
          <w:sz w:val="24"/>
        </w:rPr>
        <w:t>6-3 依法缴纳税收的证明</w:t>
      </w:r>
      <w:bookmarkEnd w:id="507"/>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1、供应商应提供</w:t>
      </w:r>
      <w:r>
        <w:rPr>
          <w:rFonts w:hint="eastAsia" w:ascii="仿宋" w:hAnsi="仿宋" w:eastAsia="仿宋" w:cs="仿宋"/>
          <w:sz w:val="24"/>
          <w:lang w:val="en-US" w:eastAsia="zh-CN"/>
        </w:rPr>
        <w:t>本年度</w:t>
      </w:r>
      <w:r>
        <w:rPr>
          <w:rFonts w:hint="eastAsia" w:ascii="仿宋" w:hAnsi="仿宋" w:eastAsia="仿宋" w:cs="仿宋"/>
          <w:sz w:val="24"/>
        </w:rPr>
        <w:t>任意一个月缴税的凭证；</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spacing w:after="120"/>
        <w:rPr>
          <w:rFonts w:hint="eastAsia" w:ascii="仿宋" w:hAnsi="仿宋" w:eastAsia="仿宋" w:cs="仿宋"/>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508" w:name="_Toc7005124"/>
      <w:r>
        <w:rPr>
          <w:rFonts w:hint="eastAsia" w:ascii="仿宋" w:hAnsi="仿宋" w:eastAsia="仿宋" w:cs="仿宋"/>
          <w:b/>
          <w:sz w:val="24"/>
        </w:rPr>
        <w:t>6-4社会保障资金缴纳记录</w:t>
      </w:r>
      <w:bookmarkEnd w:id="508"/>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4"/>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w:t>
      </w:r>
      <w:r>
        <w:rPr>
          <w:rFonts w:hint="eastAsia" w:ascii="仿宋" w:hAnsi="仿宋" w:eastAsia="仿宋" w:cs="仿宋"/>
          <w:sz w:val="24"/>
          <w:lang w:val="en-US" w:eastAsia="zh-CN"/>
        </w:rPr>
        <w:t>本年度</w:t>
      </w:r>
      <w:r>
        <w:rPr>
          <w:rFonts w:hint="eastAsia" w:ascii="仿宋" w:hAnsi="仿宋" w:eastAsia="仿宋" w:cs="仿宋"/>
          <w:sz w:val="24"/>
        </w:rPr>
        <w:t>任意一个月缴纳社会保险的凭证。</w:t>
      </w:r>
    </w:p>
    <w:p>
      <w:pPr>
        <w:numPr>
          <w:ilvl w:val="0"/>
          <w:numId w:val="14"/>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pStyle w:val="3"/>
        <w:rPr>
          <w:rFonts w:hint="eastAsia" w:ascii="仿宋" w:hAnsi="仿宋" w:eastAsia="仿宋" w:cs="仿宋"/>
        </w:rPr>
      </w:pPr>
    </w:p>
    <w:p>
      <w:pPr>
        <w:widowControl/>
        <w:jc w:val="left"/>
        <w:rPr>
          <w:rFonts w:hint="eastAsia" w:ascii="仿宋" w:hAnsi="仿宋" w:eastAsia="仿宋" w:cs="仿宋"/>
          <w:sz w:val="24"/>
        </w:rPr>
      </w:pPr>
      <w:bookmarkStart w:id="509" w:name="_Toc7005125"/>
      <w:r>
        <w:rPr>
          <w:rFonts w:hint="eastAsia" w:ascii="仿宋" w:hAnsi="仿宋" w:eastAsia="仿宋" w:cs="仿宋"/>
          <w:sz w:val="24"/>
        </w:rPr>
        <w:br w:type="page"/>
      </w:r>
    </w:p>
    <w:p>
      <w:pPr>
        <w:jc w:val="left"/>
        <w:outlineLvl w:val="2"/>
        <w:rPr>
          <w:rFonts w:hint="eastAsia" w:ascii="仿宋" w:hAnsi="仿宋" w:eastAsia="仿宋" w:cs="仿宋"/>
          <w:b/>
          <w:sz w:val="24"/>
        </w:rPr>
      </w:pPr>
      <w:r>
        <w:rPr>
          <w:rFonts w:hint="eastAsia" w:ascii="仿宋" w:hAnsi="仿宋" w:eastAsia="仿宋" w:cs="仿宋"/>
          <w:sz w:val="24"/>
        </w:rPr>
        <w:t xml:space="preserve">6-5 </w:t>
      </w:r>
      <w:r>
        <w:rPr>
          <w:rFonts w:hint="eastAsia" w:ascii="仿宋" w:hAnsi="仿宋" w:eastAsia="仿宋" w:cs="仿宋"/>
          <w:b/>
          <w:sz w:val="24"/>
        </w:rPr>
        <w:t>具备履行合同所必需的设备和专业技术能力承诺书</w:t>
      </w:r>
      <w:bookmarkEnd w:id="509"/>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u w:val="single"/>
        </w:rPr>
        <w:t xml:space="preserve">陕西星火工程管理有限公司：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widowControl/>
        <w:jc w:val="left"/>
        <w:rPr>
          <w:rFonts w:hint="eastAsia" w:ascii="仿宋" w:hAnsi="仿宋" w:eastAsia="仿宋" w:cs="仿宋"/>
          <w:b/>
          <w:sz w:val="24"/>
        </w:rPr>
      </w:pPr>
    </w:p>
    <w:p>
      <w:pPr>
        <w:numPr>
          <w:ilvl w:val="1"/>
          <w:numId w:val="15"/>
        </w:numPr>
        <w:jc w:val="left"/>
        <w:outlineLvl w:val="2"/>
        <w:rPr>
          <w:rFonts w:hint="eastAsia" w:ascii="仿宋" w:hAnsi="仿宋" w:eastAsia="仿宋" w:cs="仿宋"/>
          <w:b/>
          <w:sz w:val="24"/>
          <w:szCs w:val="22"/>
        </w:rPr>
      </w:pPr>
      <w:bookmarkStart w:id="510" w:name="_Toc7005126"/>
      <w:r>
        <w:rPr>
          <w:rFonts w:hint="eastAsia" w:ascii="仿宋" w:hAnsi="仿宋" w:eastAsia="仿宋" w:cs="仿宋"/>
          <w:b/>
          <w:sz w:val="24"/>
          <w:szCs w:val="22"/>
        </w:rPr>
        <w:t>供应商参加政府采购活动前3年内在经营活动中没有重大违法记录的书面声明（格式）</w:t>
      </w:r>
      <w:bookmarkEnd w:id="510"/>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xml:space="preserve">   </w:t>
      </w:r>
      <w:r>
        <w:rPr>
          <w:rFonts w:hint="eastAsia" w:ascii="仿宋" w:hAnsi="仿宋" w:eastAsia="仿宋" w:cs="仿宋"/>
          <w:kern w:val="0"/>
          <w:sz w:val="24"/>
          <w:u w:val="single"/>
        </w:rPr>
        <w:t>陕西星火工程管理有限公司</w:t>
      </w:r>
      <w:r>
        <w:rPr>
          <w:rFonts w:hint="eastAsia" w:ascii="仿宋" w:hAnsi="仿宋" w:eastAsia="仿宋" w:cs="仿宋"/>
          <w:sz w:val="24"/>
          <w:u w:val="single"/>
        </w:rPr>
        <w:t xml:space="preserve">  </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rPr>
      </w:pPr>
    </w:p>
    <w:p>
      <w:pPr>
        <w:pStyle w:val="2"/>
        <w:rPr>
          <w:rFonts w:hint="eastAsia"/>
        </w:rPr>
      </w:pPr>
    </w:p>
    <w:p>
      <w:pPr>
        <w:numPr>
          <w:ilvl w:val="1"/>
          <w:numId w:val="16"/>
        </w:numPr>
        <w:jc w:val="left"/>
        <w:outlineLvl w:val="2"/>
        <w:rPr>
          <w:rFonts w:hint="eastAsia" w:ascii="仿宋" w:hAnsi="仿宋" w:eastAsia="仿宋" w:cs="仿宋"/>
          <w:b/>
          <w:sz w:val="24"/>
          <w:szCs w:val="22"/>
        </w:rPr>
      </w:pPr>
      <w:bookmarkStart w:id="511" w:name="_Toc7005127"/>
      <w:r>
        <w:rPr>
          <w:rFonts w:hint="eastAsia" w:ascii="仿宋" w:hAnsi="仿宋" w:eastAsia="仿宋" w:cs="仿宋"/>
          <w:b/>
          <w:sz w:val="24"/>
          <w:szCs w:val="22"/>
        </w:rPr>
        <w:t>供应商控股股东名称、控股公司的名称和存在管理、被管理关系的单位名称说明</w:t>
      </w:r>
      <w:bookmarkEnd w:id="511"/>
    </w:p>
    <w:p>
      <w:pPr>
        <w:ind w:firstLine="420"/>
        <w:rPr>
          <w:rFonts w:hint="eastAsia" w:ascii="仿宋" w:hAnsi="仿宋" w:eastAsia="仿宋" w:cs="仿宋"/>
          <w:szCs w:val="21"/>
        </w:rPr>
      </w:pPr>
    </w:p>
    <w:p>
      <w:pPr>
        <w:rPr>
          <w:rFonts w:hint="eastAsia" w:ascii="仿宋" w:hAnsi="仿宋" w:eastAsia="仿宋" w:cs="仿宋"/>
          <w:sz w:val="24"/>
        </w:rPr>
      </w:pPr>
      <w:r>
        <w:rPr>
          <w:rFonts w:hint="eastAsia" w:ascii="仿宋" w:hAnsi="仿宋" w:eastAsia="仿宋" w:cs="仿宋"/>
          <w:sz w:val="24"/>
        </w:rPr>
        <w:t>致：陕西星火工程管理有限公司</w:t>
      </w:r>
    </w:p>
    <w:p>
      <w:pPr>
        <w:spacing w:after="120"/>
        <w:rPr>
          <w:rFonts w:hint="eastAsia" w:ascii="仿宋" w:hAnsi="仿宋" w:eastAsia="仿宋" w:cs="仿宋"/>
        </w:rPr>
      </w:pPr>
    </w:p>
    <w:p>
      <w:pPr>
        <w:ind w:firstLine="426"/>
        <w:rPr>
          <w:rFonts w:hint="default" w:ascii="仿宋" w:hAnsi="仿宋" w:eastAsia="仿宋" w:cs="仿宋"/>
          <w:sz w:val="24"/>
          <w:lang w:val="en-US" w:eastAsia="zh-CN"/>
        </w:rPr>
      </w:pPr>
      <w:r>
        <w:rPr>
          <w:rFonts w:hint="eastAsia" w:ascii="仿宋" w:hAnsi="仿宋" w:eastAsia="仿宋" w:cs="仿宋"/>
          <w:sz w:val="24"/>
        </w:rPr>
        <w:t>与我方的法定代表人（单位负责人）为同一人的企业如下：</w:t>
      </w:r>
      <w:r>
        <w:rPr>
          <w:rFonts w:hint="eastAsia" w:ascii="仿宋" w:hAnsi="仿宋" w:eastAsia="仿宋" w:cs="仿宋"/>
          <w:sz w:val="24"/>
          <w:u w:val="single"/>
          <w:lang w:val="en-US" w:eastAsia="zh-CN"/>
        </w:rPr>
        <w:t xml:space="preserve">     </w:t>
      </w:r>
    </w:p>
    <w:p>
      <w:pPr>
        <w:ind w:firstLine="426"/>
        <w:rPr>
          <w:rFonts w:hint="eastAsia" w:ascii="仿宋" w:hAnsi="仿宋" w:eastAsia="仿宋" w:cs="仿宋"/>
          <w:sz w:val="24"/>
        </w:rPr>
      </w:pPr>
    </w:p>
    <w:p>
      <w:pPr>
        <w:ind w:firstLine="426"/>
        <w:rPr>
          <w:rFonts w:hint="default" w:ascii="仿宋" w:hAnsi="仿宋" w:eastAsia="仿宋" w:cs="仿宋"/>
          <w:sz w:val="24"/>
          <w:lang w:val="en-US" w:eastAsia="zh-CN"/>
        </w:rPr>
      </w:pPr>
      <w:r>
        <w:rPr>
          <w:rFonts w:hint="eastAsia" w:ascii="仿宋" w:hAnsi="仿宋" w:eastAsia="仿宋" w:cs="仿宋"/>
          <w:sz w:val="24"/>
        </w:rPr>
        <w:t>我方的控股股东如下：</w:t>
      </w:r>
      <w:r>
        <w:rPr>
          <w:rFonts w:hint="eastAsia" w:ascii="仿宋" w:hAnsi="仿宋" w:eastAsia="仿宋" w:cs="仿宋"/>
          <w:sz w:val="24"/>
          <w:u w:val="single"/>
          <w:lang w:val="en-US" w:eastAsia="zh-CN"/>
        </w:rPr>
        <w:t xml:space="preserve">     </w:t>
      </w:r>
    </w:p>
    <w:p>
      <w:pPr>
        <w:ind w:firstLine="426"/>
        <w:rPr>
          <w:rFonts w:hint="eastAsia" w:ascii="仿宋" w:hAnsi="仿宋" w:eastAsia="仿宋" w:cs="仿宋"/>
          <w:sz w:val="24"/>
        </w:rPr>
      </w:pPr>
    </w:p>
    <w:p>
      <w:pPr>
        <w:ind w:firstLine="426"/>
        <w:rPr>
          <w:rFonts w:hint="default" w:ascii="仿宋" w:hAnsi="仿宋" w:eastAsia="仿宋" w:cs="仿宋"/>
          <w:sz w:val="24"/>
          <w:u w:val="single"/>
          <w:lang w:val="en-US" w:eastAsia="zh-CN"/>
        </w:rPr>
      </w:pPr>
      <w:r>
        <w:rPr>
          <w:rFonts w:hint="eastAsia" w:ascii="仿宋" w:hAnsi="仿宋" w:eastAsia="仿宋" w:cs="仿宋"/>
          <w:sz w:val="24"/>
        </w:rPr>
        <w:t>我方直接控股的企业如下：</w:t>
      </w:r>
      <w:r>
        <w:rPr>
          <w:rFonts w:hint="eastAsia" w:ascii="仿宋" w:hAnsi="仿宋" w:eastAsia="仿宋" w:cs="仿宋"/>
          <w:sz w:val="24"/>
          <w:u w:val="single"/>
          <w:lang w:val="en-US" w:eastAsia="zh-CN"/>
        </w:rPr>
        <w:t xml:space="preserve">      </w:t>
      </w:r>
    </w:p>
    <w:p>
      <w:pPr>
        <w:ind w:firstLine="426"/>
        <w:rPr>
          <w:rFonts w:ascii="仿宋" w:hAnsi="仿宋" w:eastAsia="仿宋" w:cs="仿宋"/>
          <w:sz w:val="24"/>
        </w:rPr>
      </w:pPr>
    </w:p>
    <w:p>
      <w:pPr>
        <w:ind w:firstLine="426"/>
        <w:rPr>
          <w:rFonts w:hint="default" w:ascii="仿宋" w:hAnsi="仿宋" w:eastAsia="仿宋" w:cs="仿宋"/>
          <w:sz w:val="24"/>
          <w:u w:val="single"/>
          <w:lang w:val="en-US" w:eastAsia="zh-CN"/>
        </w:rPr>
      </w:pPr>
      <w:r>
        <w:rPr>
          <w:rFonts w:hint="eastAsia" w:ascii="仿宋" w:hAnsi="仿宋" w:eastAsia="仿宋" w:cs="仿宋"/>
          <w:sz w:val="24"/>
        </w:rPr>
        <w:t>与我方存在管理、被管理关系的单位名称如下：</w:t>
      </w:r>
      <w:r>
        <w:rPr>
          <w:rFonts w:hint="eastAsia" w:ascii="仿宋" w:hAnsi="仿宋" w:eastAsia="仿宋" w:cs="仿宋"/>
          <w:sz w:val="24"/>
          <w:u w:val="single"/>
          <w:lang w:val="en-US" w:eastAsia="zh-CN"/>
        </w:rPr>
        <w:t xml:space="preserve">     </w:t>
      </w:r>
    </w:p>
    <w:p>
      <w:pPr>
        <w:ind w:firstLine="426"/>
        <w:rPr>
          <w:rFonts w:ascii="仿宋" w:hAnsi="仿宋" w:eastAsia="仿宋" w:cs="仿宋"/>
          <w:sz w:val="24"/>
        </w:rPr>
      </w:pPr>
    </w:p>
    <w:p>
      <w:pPr>
        <w:ind w:firstLine="426"/>
        <w:rPr>
          <w:rFonts w:ascii="仿宋" w:hAnsi="仿宋" w:eastAsia="仿宋" w:cs="仿宋"/>
          <w:szCs w:val="21"/>
        </w:rPr>
      </w:pPr>
    </w:p>
    <w:p>
      <w:pPr>
        <w:spacing w:before="120" w:after="120" w:line="360" w:lineRule="auto"/>
        <w:ind w:firstLine="480" w:firstLineChars="200"/>
        <w:rPr>
          <w:rFonts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numPr>
          <w:ilvl w:val="1"/>
          <w:numId w:val="16"/>
        </w:numPr>
        <w:jc w:val="left"/>
        <w:outlineLvl w:val="2"/>
        <w:rPr>
          <w:rFonts w:hint="eastAsia" w:ascii="仿宋" w:hAnsi="仿宋" w:eastAsia="仿宋" w:cs="仿宋"/>
          <w:b/>
          <w:sz w:val="24"/>
          <w:szCs w:val="22"/>
        </w:rPr>
      </w:pPr>
      <w:bookmarkStart w:id="512" w:name="_Toc7005128"/>
      <w:r>
        <w:rPr>
          <w:rFonts w:hint="eastAsia" w:ascii="仿宋" w:hAnsi="仿宋" w:eastAsia="仿宋" w:cs="仿宋"/>
          <w:b/>
          <w:sz w:val="24"/>
          <w:szCs w:val="22"/>
        </w:rPr>
        <w:t>供应商是否属于为本项目提供整体设计、规范编制或者项目管理、监理、检测等服务的供应商声明</w:t>
      </w:r>
      <w:bookmarkEnd w:id="512"/>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r>
        <w:rPr>
          <w:rFonts w:hint="eastAsia" w:ascii="仿宋" w:hAnsi="仿宋" w:eastAsia="仿宋" w:cs="仿宋"/>
          <w:szCs w:val="21"/>
        </w:rPr>
        <w:t>致：陕西星火工程管理有限公司</w:t>
      </w:r>
    </w:p>
    <w:p>
      <w:pPr>
        <w:ind w:firstLine="426"/>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lang w:eastAsia="zh-CN"/>
        </w:rPr>
        <w:t>（</w:t>
      </w:r>
      <w:r>
        <w:rPr>
          <w:rFonts w:hint="eastAsia" w:ascii="仿宋" w:hAnsi="仿宋" w:eastAsia="仿宋" w:cs="仿宋"/>
          <w:i/>
          <w:iCs/>
          <w:sz w:val="24"/>
        </w:rPr>
        <w:t>不属于</w:t>
      </w:r>
      <w:r>
        <w:rPr>
          <w:rFonts w:hint="eastAsia" w:ascii="仿宋" w:hAnsi="仿宋" w:eastAsia="仿宋" w:cs="仿宋"/>
          <w:sz w:val="24"/>
          <w:lang w:eastAsia="zh-CN"/>
        </w:rPr>
        <w:t>）</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b/>
          <w:sz w:val="24"/>
        </w:rPr>
      </w:pPr>
      <w:bookmarkStart w:id="513" w:name="_Toc7005129"/>
      <w:r>
        <w:rPr>
          <w:rFonts w:hint="eastAsia" w:ascii="仿宋" w:hAnsi="仿宋" w:eastAsia="仿宋" w:cs="仿宋"/>
          <w:b/>
          <w:sz w:val="24"/>
        </w:rPr>
        <w:t>6-9证明供应商符合特定资格条件的证明材料</w:t>
      </w:r>
      <w:bookmarkEnd w:id="513"/>
      <w:r>
        <w:rPr>
          <w:rFonts w:hint="eastAsia" w:ascii="仿宋" w:hAnsi="仿宋" w:eastAsia="仿宋" w:cs="仿宋"/>
          <w:b/>
          <w:sz w:val="24"/>
        </w:rPr>
        <w:t>：</w:t>
      </w:r>
    </w:p>
    <w:p>
      <w:pPr>
        <w:pStyle w:val="3"/>
        <w:rPr>
          <w:rFonts w:hint="eastAsia" w:ascii="仿宋" w:hAnsi="仿宋" w:eastAsia="仿宋" w:cs="仿宋"/>
          <w:sz w:val="24"/>
        </w:rPr>
      </w:pPr>
    </w:p>
    <w:p>
      <w:pPr>
        <w:spacing w:line="480" w:lineRule="auto"/>
        <w:ind w:firstLine="425"/>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 xml:space="preserve">、供应商在递交响应文件截止时间前被信用中国网站（www.creditchina.gov.cn）和中国政府采购网（www.ccgp.gov.cn）上被列入失信被执行人、重大税收违法案件当事人名单、政府采购严重违法失信行为记录名单的，不得参加磋商；  </w:t>
      </w:r>
    </w:p>
    <w:p>
      <w:pPr>
        <w:rPr>
          <w:rFonts w:hint="eastAsia" w:ascii="仿宋" w:hAnsi="仿宋" w:eastAsia="仿宋" w:cs="仿宋"/>
          <w:b/>
          <w:sz w:val="30"/>
          <w:szCs w:val="30"/>
          <w:lang w:val="zh-CN"/>
        </w:rPr>
      </w:pPr>
    </w:p>
    <w:p>
      <w:pPr>
        <w:pStyle w:val="199"/>
        <w:ind w:firstLine="6927" w:firstLineChars="2300"/>
        <w:rPr>
          <w:rFonts w:hint="eastAsia" w:ascii="仿宋" w:hAnsi="仿宋" w:eastAsia="仿宋" w:cs="仿宋"/>
          <w:b/>
          <w:sz w:val="30"/>
          <w:szCs w:val="30"/>
          <w:lang w:val="zh-CN"/>
        </w:rPr>
      </w:pPr>
      <w:r>
        <w:rPr>
          <w:rFonts w:hint="eastAsia" w:ascii="仿宋" w:hAnsi="仿宋" w:eastAsia="仿宋" w:cs="仿宋"/>
          <w:b/>
          <w:sz w:val="30"/>
          <w:szCs w:val="30"/>
          <w:lang w:val="zh-CN"/>
        </w:rPr>
        <w:t>正本/副本</w:t>
      </w:r>
    </w:p>
    <w:p>
      <w:pPr>
        <w:autoSpaceDE w:val="0"/>
        <w:autoSpaceDN w:val="0"/>
        <w:adjustRightInd w:val="0"/>
        <w:snapToGrid w:val="0"/>
        <w:spacing w:line="360" w:lineRule="auto"/>
        <w:jc w:val="left"/>
        <w:rPr>
          <w:rFonts w:hint="eastAsia" w:ascii="仿宋" w:hAnsi="仿宋" w:eastAsia="仿宋" w:cs="仿宋"/>
          <w:b/>
          <w:bCs/>
          <w:sz w:val="32"/>
          <w:szCs w:val="32"/>
          <w:lang w:val="zh-CN"/>
        </w:rPr>
      </w:pPr>
    </w:p>
    <w:p>
      <w:pPr>
        <w:autoSpaceDE w:val="0"/>
        <w:autoSpaceDN w:val="0"/>
        <w:adjustRightInd w:val="0"/>
        <w:snapToGrid w:val="0"/>
        <w:spacing w:line="360" w:lineRule="auto"/>
        <w:jc w:val="left"/>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rPr>
        <w:t>采购项目编号：</w:t>
      </w:r>
      <w:r>
        <w:rPr>
          <w:rFonts w:hint="eastAsia" w:ascii="仿宋" w:hAnsi="仿宋" w:eastAsia="仿宋" w:cs="仿宋"/>
          <w:b/>
          <w:bCs/>
          <w:sz w:val="30"/>
          <w:szCs w:val="30"/>
          <w:lang w:eastAsia="zh-CN"/>
        </w:rPr>
        <w:t>XHZB2023-CS-024/001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铜川市朝阳实验小学多媒体及配套设备</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eastAsia="zh-CN"/>
        </w:rPr>
      </w:pPr>
      <w:r>
        <w:rPr>
          <w:rFonts w:hint="eastAsia" w:ascii="仿宋" w:hAnsi="仿宋" w:eastAsia="仿宋" w:cs="仿宋"/>
          <w:b/>
          <w:bCs/>
          <w:sz w:val="44"/>
          <w:szCs w:val="44"/>
          <w:lang w:eastAsia="zh-CN"/>
        </w:rPr>
        <w:t>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Fonts w:hint="eastAsia" w:ascii="仿宋" w:hAnsi="仿宋" w:eastAsia="仿宋" w:cs="仿宋"/>
          <w:b/>
          <w:bCs/>
          <w:sz w:val="44"/>
          <w:szCs w:val="44"/>
          <w:lang w:val="zh-CN"/>
        </w:rPr>
        <w:t xml:space="preserve">  （</w:t>
      </w:r>
      <w:r>
        <w:rPr>
          <w:rStyle w:val="98"/>
          <w:rFonts w:hint="eastAsia" w:ascii="仿宋" w:hAnsi="仿宋" w:eastAsia="仿宋" w:cs="仿宋"/>
          <w:sz w:val="28"/>
          <w:szCs w:val="36"/>
        </w:rPr>
        <w:t>商务及技术文件</w:t>
      </w:r>
      <w:r>
        <w:rPr>
          <w:rFonts w:hint="eastAsia" w:ascii="仿宋" w:hAnsi="仿宋" w:eastAsia="仿宋" w:cs="仿宋"/>
          <w:b/>
          <w:bCs/>
          <w:sz w:val="44"/>
          <w:szCs w:val="44"/>
          <w:lang w:val="zh-CN"/>
        </w:rPr>
        <w:t>）</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pStyle w:val="3"/>
        <w:rPr>
          <w:rFonts w:hint="eastAsia" w:ascii="仿宋" w:hAnsi="仿宋" w:eastAsia="仿宋" w:cs="仿宋"/>
        </w:rPr>
      </w:pPr>
    </w:p>
    <w:p>
      <w:pPr>
        <w:pStyle w:val="3"/>
        <w:rPr>
          <w:rFonts w:hint="eastAsia" w:ascii="仿宋" w:hAnsi="仿宋" w:eastAsia="仿宋" w:cs="仿宋"/>
        </w:rPr>
      </w:pPr>
    </w:p>
    <w:p>
      <w:pPr>
        <w:autoSpaceDE w:val="0"/>
        <w:autoSpaceDN w:val="0"/>
        <w:adjustRightInd w:val="0"/>
        <w:snapToGrid w:val="0"/>
        <w:spacing w:line="360" w:lineRule="auto"/>
        <w:ind w:firstLine="1800" w:firstLineChars="60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lang w:val="zh-CN"/>
        </w:rPr>
        <w:t xml:space="preserve">                  </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ind w:firstLine="2088" w:firstLineChars="650"/>
        <w:rPr>
          <w:rFonts w:hint="eastAsia" w:ascii="仿宋" w:hAnsi="仿宋" w:eastAsia="仿宋" w:cs="仿宋"/>
          <w:b/>
          <w:bCs/>
          <w:sz w:val="32"/>
          <w:szCs w:val="32"/>
          <w:u w:val="single"/>
        </w:rPr>
      </w:pPr>
    </w:p>
    <w:p>
      <w:pPr>
        <w:pStyle w:val="3"/>
        <w:rPr>
          <w:rFonts w:hint="eastAsia" w:ascii="仿宋" w:hAnsi="仿宋" w:eastAsia="仿宋" w:cs="仿宋"/>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p>
    <w:p>
      <w:pPr>
        <w:pStyle w:val="3"/>
        <w:rPr>
          <w:rFonts w:hint="eastAsia" w:ascii="仿宋" w:hAnsi="仿宋" w:eastAsia="仿宋" w:cs="仿宋"/>
        </w:rPr>
      </w:pPr>
    </w:p>
    <w:p>
      <w:pPr>
        <w:autoSpaceDE w:val="0"/>
        <w:autoSpaceDN w:val="0"/>
        <w:adjustRightInd w:val="0"/>
        <w:snapToGrid w:val="0"/>
        <w:spacing w:line="360" w:lineRule="auto"/>
        <w:ind w:firstLine="3534" w:firstLineChars="1100"/>
        <w:rPr>
          <w:rFonts w:hint="eastAsia" w:ascii="仿宋" w:hAnsi="仿宋" w:eastAsia="仿宋" w:cs="仿宋"/>
          <w:b/>
          <w:bCs/>
          <w:sz w:val="32"/>
          <w:szCs w:val="32"/>
        </w:rPr>
      </w:pPr>
      <w:r>
        <w:rPr>
          <w:rFonts w:hint="eastAsia" w:ascii="仿宋" w:hAnsi="仿宋" w:eastAsia="仿宋" w:cs="仿宋"/>
          <w:b/>
          <w:bCs/>
          <w:sz w:val="32"/>
          <w:szCs w:val="32"/>
        </w:rPr>
        <w:t>目  录</w:t>
      </w:r>
    </w:p>
    <w:p>
      <w:pPr>
        <w:spacing w:after="120"/>
        <w:ind w:firstLine="315" w:firstLineChars="150"/>
        <w:rPr>
          <w:rFonts w:hint="eastAsia" w:ascii="仿宋" w:hAnsi="仿宋" w:eastAsia="仿宋" w:cs="仿宋"/>
        </w:rPr>
      </w:pP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第一部分   磋商响应函</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第二部分   磋商响应报价表 </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第三部分   偏离表</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第四部分   响应方案说明</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第五部分   小微企业、监狱企业、残疾人福利单位声明函或证明</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第六部分   保证金支付凭证或担保函（复印件）</w:t>
      </w:r>
    </w:p>
    <w:p>
      <w:pPr>
        <w:pStyle w:val="3"/>
        <w:ind w:firstLine="480"/>
        <w:rPr>
          <w:rFonts w:hint="eastAsia" w:ascii="仿宋" w:hAnsi="仿宋" w:eastAsia="仿宋" w:cs="仿宋"/>
          <w:sz w:val="24"/>
        </w:rPr>
      </w:pPr>
    </w:p>
    <w:p>
      <w:pPr>
        <w:pStyle w:val="3"/>
        <w:ind w:firstLine="480"/>
        <w:rPr>
          <w:rFonts w:hint="eastAsia" w:ascii="仿宋" w:hAnsi="仿宋" w:eastAsia="仿宋" w:cs="仿宋"/>
          <w:sz w:val="24"/>
        </w:rPr>
      </w:pPr>
    </w:p>
    <w:p>
      <w:pPr>
        <w:widowControl/>
        <w:jc w:val="left"/>
        <w:rPr>
          <w:rFonts w:hint="eastAsia" w:ascii="仿宋" w:hAnsi="仿宋" w:eastAsia="仿宋" w:cs="仿宋"/>
        </w:rPr>
      </w:pPr>
      <w:r>
        <w:rPr>
          <w:rFonts w:hint="eastAsia" w:ascii="仿宋" w:hAnsi="仿宋" w:eastAsia="仿宋" w:cs="仿宋"/>
        </w:rPr>
        <w:br w:type="page"/>
      </w:r>
    </w:p>
    <w:p>
      <w:pPr>
        <w:pStyle w:val="199"/>
        <w:ind w:firstLine="2731" w:firstLineChars="850"/>
        <w:rPr>
          <w:rFonts w:hint="eastAsia" w:ascii="仿宋" w:hAnsi="仿宋" w:eastAsia="仿宋" w:cs="仿宋"/>
          <w:b/>
          <w:sz w:val="32"/>
          <w:szCs w:val="32"/>
        </w:rPr>
      </w:pPr>
      <w:r>
        <w:rPr>
          <w:rFonts w:hint="eastAsia" w:ascii="仿宋" w:hAnsi="仿宋" w:eastAsia="仿宋" w:cs="仿宋"/>
          <w:b/>
          <w:sz w:val="32"/>
          <w:szCs w:val="32"/>
          <w:lang w:val="zh-CN"/>
        </w:rPr>
        <w:t>第一部分</w:t>
      </w:r>
      <w:r>
        <w:rPr>
          <w:rFonts w:hint="eastAsia" w:ascii="仿宋" w:hAnsi="仿宋" w:eastAsia="仿宋" w:cs="仿宋"/>
          <w:b/>
          <w:sz w:val="32"/>
          <w:szCs w:val="32"/>
        </w:rPr>
        <w:t xml:space="preserve">  </w:t>
      </w:r>
      <w:r>
        <w:rPr>
          <w:rFonts w:hint="eastAsia" w:ascii="仿宋" w:hAnsi="仿宋" w:eastAsia="仿宋" w:cs="仿宋"/>
          <w:b/>
          <w:sz w:val="32"/>
          <w:szCs w:val="32"/>
          <w:lang w:val="zh-CN"/>
        </w:rPr>
        <w:t>磋商响应函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陕西星火工程管理有限公司：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（项目名称）</w:t>
      </w:r>
      <w:r>
        <w:rPr>
          <w:rFonts w:hint="eastAsia" w:ascii="仿宋" w:hAnsi="仿宋" w:eastAsia="仿宋" w:cs="仿宋"/>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、按竞争性磋商文件的规定，我公司的首次磋商响应报价为人民币（大写：</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w:t>
      </w:r>
      <w:r>
        <w:rPr>
          <w:rFonts w:hint="eastAsia" w:ascii="仿宋" w:hAnsi="仿宋" w:eastAsia="仿宋" w:cs="仿宋"/>
          <w:sz w:val="24"/>
          <w:u w:val="single"/>
        </w:rPr>
        <w:t xml:space="preserve">   </w:t>
      </w:r>
      <w:r>
        <w:rPr>
          <w:rFonts w:hint="eastAsia" w:ascii="仿宋" w:hAnsi="仿宋" w:eastAsia="仿宋" w:cs="仿宋"/>
          <w:sz w:val="24"/>
          <w:lang w:val="zh-CN"/>
        </w:rPr>
        <w:t>元），并对其后的磋商报价负法律责任。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w:t>
      </w:r>
      <w:r>
        <w:rPr>
          <w:rFonts w:hint="eastAsia" w:ascii="仿宋" w:hAnsi="仿宋" w:eastAsia="仿宋" w:cs="仿宋"/>
          <w:sz w:val="24"/>
          <w:u w:val="single"/>
          <w:lang w:val="zh-CN"/>
        </w:rPr>
        <w:t xml:space="preserve">    </w:t>
      </w:r>
      <w:r>
        <w:rPr>
          <w:rFonts w:hint="eastAsia" w:ascii="仿宋" w:hAnsi="仿宋" w:eastAsia="仿宋" w:cs="仿宋"/>
          <w:sz w:val="24"/>
          <w:lang w:val="zh-CN"/>
        </w:rPr>
        <w:t>份、副本</w:t>
      </w:r>
      <w:r>
        <w:rPr>
          <w:rFonts w:hint="eastAsia" w:ascii="仿宋" w:hAnsi="仿宋" w:eastAsia="仿宋" w:cs="仿宋"/>
          <w:sz w:val="24"/>
          <w:u w:val="single"/>
          <w:lang w:val="zh-CN"/>
        </w:rPr>
        <w:t xml:space="preserve">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3"/>
        <w:rPr>
          <w:rFonts w:hint="eastAsia" w:ascii="仿宋" w:hAnsi="仿宋" w:eastAsia="仿宋" w:cs="仿宋"/>
        </w:rPr>
      </w:pPr>
    </w:p>
    <w:p>
      <w:pPr>
        <w:autoSpaceDE w:val="0"/>
        <w:autoSpaceDN w:val="0"/>
        <w:adjustRightInd w:val="0"/>
        <w:snapToGrid w:val="0"/>
        <w:spacing w:line="312" w:lineRule="auto"/>
        <w:rPr>
          <w:rFonts w:hint="eastAsia" w:ascii="仿宋" w:hAnsi="仿宋" w:eastAsia="仿宋" w:cs="仿宋"/>
          <w:sz w:val="24"/>
          <w:lang w:val="zh-CN"/>
        </w:rPr>
      </w:pPr>
      <w:r>
        <w:rPr>
          <w:rFonts w:hint="eastAsia" w:ascii="仿宋" w:hAnsi="仿宋" w:eastAsia="仿宋" w:cs="仿宋"/>
          <w:sz w:val="24"/>
          <w:lang w:val="zh-CN"/>
        </w:rPr>
        <w:t>供应商全称（公章）：</w:t>
      </w:r>
    </w:p>
    <w:p>
      <w:pPr>
        <w:pStyle w:val="3"/>
        <w:rPr>
          <w:rFonts w:hint="eastAsia" w:ascii="仿宋" w:hAnsi="仿宋" w:eastAsia="仿宋" w:cs="仿宋"/>
          <w:lang w:val="zh-CN"/>
        </w:rPr>
      </w:pP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lang w:val="zh-CN"/>
        </w:rPr>
        <w:t>）：</w:t>
      </w:r>
      <w:r>
        <w:rPr>
          <w:rFonts w:hint="eastAsia" w:ascii="仿宋" w:hAnsi="仿宋" w:eastAsia="仿宋" w:cs="仿宋"/>
          <w:sz w:val="24"/>
        </w:rPr>
        <w:t>______________________________</w:t>
      </w:r>
    </w:p>
    <w:p>
      <w:pPr>
        <w:pStyle w:val="3"/>
        <w:rPr>
          <w:rFonts w:hint="eastAsia" w:ascii="仿宋" w:hAnsi="仿宋" w:eastAsia="仿宋" w:cs="仿宋"/>
          <w:sz w:val="24"/>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p>
    <w:p>
      <w:pPr>
        <w:pStyle w:val="3"/>
        <w:rPr>
          <w:rFonts w:hint="eastAsia" w:ascii="仿宋" w:hAnsi="仿宋" w:eastAsia="仿宋" w:cs="仿宋"/>
        </w:rPr>
      </w:pPr>
    </w:p>
    <w:p>
      <w:pPr>
        <w:pStyle w:val="199"/>
        <w:ind w:firstLine="2640" w:firstLineChars="1100"/>
        <w:rPr>
          <w:rFonts w:hint="eastAsia" w:ascii="仿宋" w:hAnsi="仿宋" w:eastAsia="仿宋" w:cs="仿宋"/>
          <w:b/>
          <w:bCs/>
          <w:sz w:val="32"/>
          <w:szCs w:val="32"/>
        </w:rPr>
      </w:pPr>
      <w:bookmarkStart w:id="514" w:name="_Hlt520356241"/>
      <w:bookmarkEnd w:id="514"/>
      <w:r>
        <w:rPr>
          <w:rFonts w:hint="eastAsia" w:ascii="仿宋" w:hAnsi="仿宋" w:eastAsia="仿宋" w:cs="仿宋"/>
        </w:rPr>
        <w:br w:type="page"/>
      </w:r>
      <w:bookmarkStart w:id="515" w:name="_Toc256342154"/>
      <w:bookmarkStart w:id="516" w:name="_Toc230583554"/>
      <w:bookmarkStart w:id="517" w:name="_Toc8496"/>
      <w:bookmarkStart w:id="518" w:name="_Toc230013640"/>
      <w:bookmarkStart w:id="519" w:name="_Toc249515371"/>
      <w:bookmarkStart w:id="520" w:name="_Toc415499901"/>
      <w:bookmarkStart w:id="521" w:name="_Toc230099805"/>
      <w:bookmarkStart w:id="522" w:name="_Toc232176284"/>
      <w:bookmarkStart w:id="523" w:name="_Toc249525252"/>
      <w:bookmarkStart w:id="524" w:name="_Toc232395224"/>
      <w:r>
        <w:rPr>
          <w:rFonts w:hint="eastAsia" w:ascii="仿宋" w:hAnsi="仿宋" w:eastAsia="仿宋" w:cs="仿宋"/>
          <w:b/>
          <w:sz w:val="32"/>
          <w:szCs w:val="32"/>
          <w:lang w:val="zh-CN"/>
        </w:rPr>
        <w:t>第二部分  磋商响应报价表</w:t>
      </w: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首次响应</w:t>
      </w:r>
      <w:r>
        <w:rPr>
          <w:rFonts w:hint="eastAsia" w:ascii="仿宋" w:hAnsi="仿宋" w:eastAsia="仿宋" w:cs="仿宋"/>
          <w:b/>
          <w:bCs/>
          <w:sz w:val="28"/>
          <w:szCs w:val="28"/>
          <w:lang w:val="zh-CN"/>
        </w:rPr>
        <w:t>报价表</w:t>
      </w:r>
    </w:p>
    <w:p>
      <w:pPr>
        <w:autoSpaceDE w:val="0"/>
        <w:autoSpaceDN w:val="0"/>
        <w:adjustRightInd w:val="0"/>
        <w:snapToGrid w:val="0"/>
        <w:spacing w:line="360" w:lineRule="auto"/>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w:t>
            </w:r>
          </w:p>
          <w:p>
            <w:pPr>
              <w:pStyle w:val="3"/>
              <w:jc w:val="center"/>
              <w:rPr>
                <w:rFonts w:hint="eastAsia" w:ascii="仿宋" w:hAnsi="仿宋" w:eastAsia="仿宋" w:cs="仿宋"/>
                <w:b/>
                <w:sz w:val="24"/>
              </w:rPr>
            </w:pPr>
            <w:r>
              <w:rPr>
                <w:rFonts w:hint="eastAsia" w:ascii="仿宋" w:hAnsi="仿宋" w:eastAsia="仿宋" w:cs="仿宋"/>
                <w:b/>
                <w:sz w:val="24"/>
              </w:rPr>
              <w:t>项目名称</w:t>
            </w:r>
          </w:p>
        </w:tc>
        <w:tc>
          <w:tcPr>
            <w:tcW w:w="6981" w:type="dxa"/>
            <w:vAlign w:val="center"/>
          </w:tcPr>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响应总价</w:t>
            </w:r>
          </w:p>
        </w:tc>
        <w:tc>
          <w:tcPr>
            <w:tcW w:w="6981" w:type="dxa"/>
            <w:vAlign w:val="center"/>
          </w:tcPr>
          <w:p>
            <w:pPr>
              <w:pStyle w:val="3"/>
              <w:ind w:firstLine="720" w:firstLineChars="300"/>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人民币             </w:t>
            </w:r>
            <w:r>
              <w:rPr>
                <w:rFonts w:hint="eastAsia" w:ascii="仿宋" w:hAnsi="仿宋" w:eastAsia="仿宋" w:cs="仿宋"/>
                <w:sz w:val="24"/>
              </w:rPr>
              <w:t xml:space="preserve"> </w:t>
            </w:r>
          </w:p>
          <w:p>
            <w:pPr>
              <w:pStyle w:val="3"/>
              <w:ind w:firstLine="720" w:firstLineChars="300"/>
              <w:rPr>
                <w:rFonts w:hint="eastAsia" w:ascii="仿宋" w:hAnsi="仿宋" w:eastAsia="仿宋" w:cs="仿宋"/>
                <w:i/>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pStyle w:val="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pStyle w:val="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pStyle w:val="3"/>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b/>
          <w:sz w:val="24"/>
          <w:lang w:val="en-US" w:eastAsia="zh-CN"/>
        </w:rPr>
        <w:t>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sectPr>
          <w:pgSz w:w="11906" w:h="16838"/>
          <w:pgMar w:top="1418" w:right="1418" w:bottom="1418" w:left="1418" w:header="851" w:footer="992" w:gutter="0"/>
          <w:cols w:space="720" w:num="1"/>
          <w:docGrid w:linePitch="312" w:charSpace="0"/>
        </w:sect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（首次）分项报价表</w:t>
      </w:r>
    </w:p>
    <w:p>
      <w:pPr>
        <w:autoSpaceDE w:val="0"/>
        <w:autoSpaceDN w:val="0"/>
        <w:adjustRightInd w:val="0"/>
        <w:snapToGrid w:val="0"/>
        <w:spacing w:before="120" w:line="360" w:lineRule="auto"/>
        <w:ind w:left="-206" w:leftChars="-98"/>
        <w:jc w:val="center"/>
        <w:rPr>
          <w:rFonts w:hint="eastAsia" w:ascii="仿宋" w:hAnsi="仿宋" w:eastAsia="仿宋" w:cs="仿宋"/>
          <w:kern w:val="0"/>
          <w:sz w:val="24"/>
          <w:szCs w:val="28"/>
        </w:rPr>
      </w:pPr>
      <w:r>
        <w:rPr>
          <w:rFonts w:hint="eastAsia" w:ascii="仿宋" w:hAnsi="仿宋" w:eastAsia="仿宋" w:cs="仿宋"/>
          <w:kern w:val="0"/>
          <w:sz w:val="24"/>
          <w:szCs w:val="28"/>
        </w:rPr>
        <w:t>（格式自拟，分项报价总和须与最终投标总价一致）</w:t>
      </w:r>
    </w:p>
    <w:tbl>
      <w:tblPr>
        <w:tblStyle w:val="51"/>
        <w:tblW w:w="10035" w:type="dxa"/>
        <w:jc w:val="center"/>
        <w:tblLayout w:type="fixed"/>
        <w:tblCellMar>
          <w:top w:w="0" w:type="dxa"/>
          <w:left w:w="0" w:type="dxa"/>
          <w:bottom w:w="0" w:type="dxa"/>
          <w:right w:w="0" w:type="dxa"/>
        </w:tblCellMar>
      </w:tblPr>
      <w:tblGrid>
        <w:gridCol w:w="2031"/>
        <w:gridCol w:w="2307"/>
        <w:gridCol w:w="762"/>
        <w:gridCol w:w="688"/>
        <w:gridCol w:w="1495"/>
        <w:gridCol w:w="1555"/>
        <w:gridCol w:w="1197"/>
      </w:tblGrid>
      <w:tr>
        <w:tblPrEx>
          <w:tblCellMar>
            <w:top w:w="0" w:type="dxa"/>
            <w:left w:w="0" w:type="dxa"/>
            <w:bottom w:w="0" w:type="dxa"/>
            <w:right w:w="0" w:type="dxa"/>
          </w:tblCellMar>
        </w:tblPrEx>
        <w:trPr>
          <w:trHeight w:val="839" w:hRule="atLeast"/>
          <w:jc w:val="center"/>
        </w:trPr>
        <w:tc>
          <w:tcPr>
            <w:tcW w:w="203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uto"/>
              <w:ind w:right="-199"/>
              <w:jc w:val="center"/>
              <w:rPr>
                <w:rFonts w:hint="eastAsia" w:ascii="仿宋" w:hAnsi="仿宋" w:eastAsia="仿宋" w:cs="仿宋"/>
                <w:sz w:val="24"/>
                <w:lang w:val="en-US" w:eastAsia="zh-CN"/>
              </w:rPr>
            </w:pPr>
            <w:r>
              <w:rPr>
                <w:rFonts w:hint="eastAsia" w:ascii="仿宋" w:hAnsi="仿宋" w:eastAsia="仿宋" w:cs="仿宋"/>
                <w:sz w:val="24"/>
                <w:lang w:eastAsia="zh-CN"/>
              </w:rPr>
              <w:t>产品名称</w:t>
            </w:r>
          </w:p>
        </w:tc>
        <w:tc>
          <w:tcPr>
            <w:tcW w:w="230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uto"/>
              <w:jc w:val="center"/>
              <w:rPr>
                <w:rFonts w:hint="default" w:ascii="仿宋" w:hAnsi="仿宋" w:eastAsia="仿宋" w:cs="仿宋"/>
                <w:sz w:val="24"/>
                <w:lang w:val="en-US" w:eastAsia="zh-CN"/>
              </w:rPr>
            </w:pPr>
            <w:r>
              <w:rPr>
                <w:rFonts w:hint="eastAsia" w:ascii="仿宋" w:hAnsi="仿宋" w:eastAsia="仿宋" w:cs="仿宋"/>
                <w:sz w:val="24"/>
                <w:lang w:eastAsia="zh-CN"/>
              </w:rPr>
              <w:t>品牌</w:t>
            </w:r>
            <w:r>
              <w:rPr>
                <w:rFonts w:hint="eastAsia" w:ascii="仿宋" w:hAnsi="仿宋" w:eastAsia="仿宋" w:cs="仿宋"/>
                <w:sz w:val="24"/>
                <w:lang w:val="en-US" w:eastAsia="zh-CN"/>
              </w:rPr>
              <w:t>型号</w:t>
            </w: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数量</w:t>
            </w: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单位</w:t>
            </w: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单价（元）</w:t>
            </w: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合计（元）</w:t>
            </w: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备注</w:t>
            </w:r>
          </w:p>
        </w:tc>
      </w:tr>
      <w:tr>
        <w:tblPrEx>
          <w:tblCellMar>
            <w:top w:w="0" w:type="dxa"/>
            <w:left w:w="0" w:type="dxa"/>
            <w:bottom w:w="0" w:type="dxa"/>
            <w:right w:w="0" w:type="dxa"/>
          </w:tblCellMar>
        </w:tblPrEx>
        <w:trPr>
          <w:cantSplit/>
          <w:trHeight w:val="722" w:hRule="atLeast"/>
          <w:jc w:val="center"/>
        </w:trPr>
        <w:tc>
          <w:tcPr>
            <w:tcW w:w="203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智慧黑板</w:t>
            </w:r>
          </w:p>
        </w:tc>
        <w:tc>
          <w:tcPr>
            <w:tcW w:w="2307"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22" w:hRule="atLeast"/>
          <w:jc w:val="center"/>
        </w:trPr>
        <w:tc>
          <w:tcPr>
            <w:tcW w:w="203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空调</w:t>
            </w:r>
          </w:p>
        </w:tc>
        <w:tc>
          <w:tcPr>
            <w:tcW w:w="2307"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22" w:hRule="atLeast"/>
          <w:jc w:val="center"/>
        </w:trPr>
        <w:tc>
          <w:tcPr>
            <w:tcW w:w="203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空调</w:t>
            </w:r>
          </w:p>
        </w:tc>
        <w:tc>
          <w:tcPr>
            <w:tcW w:w="2307"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22" w:hRule="atLeast"/>
          <w:jc w:val="center"/>
        </w:trPr>
        <w:tc>
          <w:tcPr>
            <w:tcW w:w="203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LED教室灯</w:t>
            </w:r>
          </w:p>
        </w:tc>
        <w:tc>
          <w:tcPr>
            <w:tcW w:w="2307"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22" w:hRule="atLeast"/>
          <w:jc w:val="center"/>
        </w:trPr>
        <w:tc>
          <w:tcPr>
            <w:tcW w:w="203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LED书写板灯</w:t>
            </w:r>
          </w:p>
        </w:tc>
        <w:tc>
          <w:tcPr>
            <w:tcW w:w="2307"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62"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88"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4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55"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35" w:hRule="atLeast"/>
          <w:jc w:val="center"/>
        </w:trPr>
        <w:tc>
          <w:tcPr>
            <w:tcW w:w="203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总计（元）</w:t>
            </w:r>
          </w:p>
        </w:tc>
        <w:tc>
          <w:tcPr>
            <w:tcW w:w="6807" w:type="dxa"/>
            <w:gridSpan w:val="5"/>
            <w:tcBorders>
              <w:top w:val="single" w:color="auto" w:sz="8" w:space="0"/>
              <w:left w:val="single" w:color="auto" w:sz="8" w:space="0"/>
              <w:bottom w:val="single" w:color="auto" w:sz="4"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197"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bl>
    <w:p>
      <w:pPr>
        <w:spacing w:line="360" w:lineRule="auto"/>
        <w:ind w:firstLine="436" w:firstLineChars="200"/>
        <w:rPr>
          <w:rFonts w:hint="eastAsia" w:ascii="仿宋" w:hAnsi="仿宋" w:eastAsia="仿宋" w:cs="仿宋"/>
          <w:spacing w:val="4"/>
          <w:szCs w:val="21"/>
          <w:lang w:val="zh-CN"/>
        </w:rPr>
      </w:pPr>
    </w:p>
    <w:p>
      <w:pPr>
        <w:spacing w:line="360" w:lineRule="auto"/>
        <w:ind w:firstLine="436" w:firstLineChars="200"/>
        <w:rPr>
          <w:rFonts w:hint="eastAsia" w:ascii="仿宋" w:hAnsi="仿宋" w:eastAsia="仿宋" w:cs="仿宋"/>
          <w:spacing w:val="4"/>
          <w:szCs w:val="21"/>
          <w:lang w:val="zh-CN"/>
        </w:rPr>
      </w:pPr>
      <w:r>
        <w:rPr>
          <w:rFonts w:hint="eastAsia" w:ascii="仿宋" w:hAnsi="仿宋" w:eastAsia="仿宋" w:cs="仿宋"/>
          <w:spacing w:val="4"/>
          <w:szCs w:val="21"/>
          <w:lang w:val="zh-CN"/>
        </w:rPr>
        <w:t>说明：1、此表由</w:t>
      </w:r>
      <w:r>
        <w:rPr>
          <w:rFonts w:hint="eastAsia" w:ascii="仿宋" w:hAnsi="仿宋" w:eastAsia="仿宋" w:cs="仿宋"/>
          <w:spacing w:val="4"/>
          <w:szCs w:val="21"/>
          <w:lang w:val="en-US" w:eastAsia="zh-CN"/>
        </w:rPr>
        <w:t>供应商</w:t>
      </w:r>
      <w:r>
        <w:rPr>
          <w:rFonts w:hint="eastAsia" w:ascii="仿宋" w:hAnsi="仿宋" w:eastAsia="仿宋" w:cs="仿宋"/>
          <w:spacing w:val="4"/>
          <w:szCs w:val="21"/>
          <w:lang w:val="zh-CN"/>
        </w:rPr>
        <w:t>商按项目情况自行列支。</w:t>
      </w:r>
    </w:p>
    <w:p>
      <w:pPr>
        <w:spacing w:line="360" w:lineRule="auto"/>
        <w:ind w:firstLine="436" w:firstLineChars="200"/>
        <w:rPr>
          <w:rFonts w:hint="eastAsia" w:ascii="仿宋" w:hAnsi="仿宋" w:eastAsia="仿宋" w:cs="仿宋"/>
        </w:rPr>
      </w:pPr>
      <w:r>
        <w:rPr>
          <w:rFonts w:hint="eastAsia" w:ascii="仿宋" w:hAnsi="仿宋" w:eastAsia="仿宋" w:cs="仿宋"/>
          <w:spacing w:val="4"/>
          <w:szCs w:val="21"/>
          <w:lang w:val="zh-CN"/>
        </w:rPr>
        <w:t>2、表格空间不足时，可自行扩展。</w:t>
      </w:r>
    </w:p>
    <w:p>
      <w:pPr>
        <w:pStyle w:val="3"/>
        <w:rPr>
          <w:rFonts w:hint="eastAsia" w:ascii="仿宋" w:hAnsi="仿宋" w:eastAsia="仿宋" w:cs="仿宋"/>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left="-525" w:leftChars="-250" w:firstLine="960" w:firstLineChars="400"/>
        <w:rPr>
          <w:rFonts w:hint="eastAsia" w:ascii="仿宋" w:hAnsi="仿宋" w:eastAsia="仿宋" w:cs="仿宋"/>
          <w:sz w:val="24"/>
        </w:rPr>
      </w:pPr>
      <w:r>
        <w:rPr>
          <w:rFonts w:hint="eastAsia" w:ascii="仿宋" w:hAnsi="仿宋" w:eastAsia="仿宋" w:cs="仿宋"/>
          <w:sz w:val="24"/>
        </w:rPr>
        <w:t>（公章）：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line="288" w:lineRule="auto"/>
        <w:ind w:left="424" w:leftChars="202"/>
        <w:rPr>
          <w:rFonts w:hint="eastAsia" w:ascii="仿宋" w:hAnsi="仿宋" w:eastAsia="仿宋" w:cs="仿宋"/>
          <w:bCs/>
          <w:sz w:val="24"/>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515"/>
    <w:bookmarkEnd w:id="516"/>
    <w:bookmarkEnd w:id="517"/>
    <w:bookmarkEnd w:id="518"/>
    <w:bookmarkEnd w:id="519"/>
    <w:bookmarkEnd w:id="520"/>
    <w:bookmarkEnd w:id="521"/>
    <w:bookmarkEnd w:id="522"/>
    <w:bookmarkEnd w:id="523"/>
    <w:bookmarkEnd w:id="524"/>
    <w:p>
      <w:pPr>
        <w:rPr>
          <w:rFonts w:hint="eastAsia" w:ascii="仿宋" w:hAnsi="仿宋" w:eastAsia="仿宋" w:cs="仿宋"/>
          <w:b/>
          <w:sz w:val="32"/>
          <w:szCs w:val="32"/>
        </w:rPr>
      </w:pPr>
      <w:bookmarkStart w:id="525" w:name="_Toc496324624"/>
      <w:bookmarkStart w:id="526" w:name="_Toc184043059"/>
      <w:bookmarkStart w:id="527" w:name="_Toc177995484"/>
      <w:bookmarkStart w:id="528" w:name="_Toc389620242"/>
      <w:bookmarkStart w:id="529" w:name="_Toc53722866"/>
      <w:bookmarkStart w:id="530" w:name="_Toc176882553"/>
      <w:bookmarkStart w:id="531" w:name="_Toc177189246"/>
      <w:bookmarkStart w:id="532" w:name="_Toc385992402"/>
      <w:bookmarkStart w:id="533" w:name="_Toc230099806"/>
      <w:bookmarkStart w:id="534" w:name="_Toc232176285"/>
      <w:bookmarkStart w:id="535" w:name="_Toc70687203"/>
      <w:bookmarkStart w:id="536" w:name="_Toc232395225"/>
      <w:bookmarkStart w:id="537" w:name="_Toc415499902"/>
      <w:bookmarkStart w:id="538" w:name="_Toc177817345"/>
      <w:bookmarkStart w:id="539" w:name="_Toc249515372"/>
      <w:bookmarkStart w:id="540" w:name="_Toc503063459"/>
      <w:bookmarkStart w:id="541" w:name="_Toc500747107"/>
      <w:bookmarkStart w:id="542" w:name="_Toc500747234"/>
      <w:bookmarkStart w:id="543" w:name="_Toc249525253"/>
      <w:bookmarkStart w:id="544" w:name="_Toc83547687"/>
      <w:bookmarkStart w:id="545" w:name="_Toc492955460"/>
      <w:bookmarkStart w:id="546" w:name="_Toc500747011"/>
      <w:bookmarkStart w:id="547" w:name="_Toc225933091"/>
      <w:bookmarkStart w:id="548" w:name="_Toc230013641"/>
      <w:bookmarkStart w:id="549" w:name="_Toc499711088"/>
      <w:bookmarkStart w:id="550" w:name="_Toc230583555"/>
      <w:bookmarkStart w:id="551" w:name="_Toc499711929"/>
      <w:bookmarkStart w:id="552" w:name="_Toc256342155"/>
      <w:r>
        <w:rPr>
          <w:rFonts w:hint="eastAsia" w:ascii="仿宋" w:hAnsi="仿宋" w:eastAsia="仿宋" w:cs="仿宋"/>
          <w:b/>
          <w:sz w:val="32"/>
          <w:szCs w:val="32"/>
        </w:rPr>
        <w:br w:type="page"/>
      </w:r>
    </w:p>
    <w:p>
      <w:pPr>
        <w:pStyle w:val="199"/>
        <w:ind w:firstLine="3052" w:firstLineChars="950"/>
        <w:rPr>
          <w:rFonts w:hint="eastAsia" w:ascii="仿宋" w:hAnsi="仿宋" w:eastAsia="仿宋" w:cs="仿宋"/>
          <w:b/>
          <w:sz w:val="32"/>
          <w:szCs w:val="32"/>
        </w:rPr>
      </w:pPr>
      <w:r>
        <w:rPr>
          <w:rFonts w:hint="eastAsia" w:ascii="仿宋" w:hAnsi="仿宋" w:eastAsia="仿宋" w:cs="仿宋"/>
          <w:b/>
          <w:sz w:val="32"/>
          <w:szCs w:val="32"/>
        </w:rPr>
        <w:t>第三部分  偏离表</w:t>
      </w:r>
    </w:p>
    <w:p>
      <w:pPr>
        <w:rPr>
          <w:rFonts w:hint="eastAsia" w:ascii="仿宋" w:hAnsi="仿宋" w:eastAsia="仿宋" w:cs="仿宋"/>
        </w:rPr>
      </w:pPr>
    </w:p>
    <w:p>
      <w:pPr>
        <w:autoSpaceDE w:val="0"/>
        <w:autoSpaceDN w:val="0"/>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一、商务、合同条款偏离表</w:t>
      </w:r>
    </w:p>
    <w:p>
      <w:pPr>
        <w:pStyle w:val="31"/>
        <w:ind w:left="645" w:leftChars="307" w:right="560" w:firstLine="120" w:firstLineChars="50"/>
        <w:rPr>
          <w:rFonts w:hint="eastAsia" w:ascii="仿宋" w:hAnsi="仿宋" w:eastAsia="仿宋" w:cs="仿宋"/>
          <w:sz w:val="24"/>
          <w:szCs w:val="24"/>
        </w:rPr>
      </w:pPr>
      <w:r>
        <w:rPr>
          <w:rFonts w:hint="eastAsia" w:ascii="仿宋" w:hAnsi="仿宋" w:eastAsia="仿宋" w:cs="仿宋"/>
          <w:sz w:val="24"/>
          <w:szCs w:val="24"/>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3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磋商文件商务、合同条款</w:t>
            </w:r>
          </w:p>
        </w:tc>
        <w:tc>
          <w:tcPr>
            <w:tcW w:w="1701"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完全响应</w:t>
            </w:r>
          </w:p>
        </w:tc>
        <w:tc>
          <w:tcPr>
            <w:tcW w:w="1417"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有偏离</w:t>
            </w:r>
          </w:p>
        </w:tc>
        <w:tc>
          <w:tcPr>
            <w:tcW w:w="219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jc w:val="center"/>
              <w:rPr>
                <w:rFonts w:hint="eastAsia" w:ascii="仿宋" w:hAnsi="仿宋" w:eastAsia="仿宋" w:cs="仿宋"/>
                <w:sz w:val="24"/>
                <w:szCs w:val="24"/>
              </w:rPr>
            </w:pPr>
          </w:p>
        </w:tc>
        <w:tc>
          <w:tcPr>
            <w:tcW w:w="283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(交货/服务地点)</w:t>
            </w:r>
          </w:p>
        </w:tc>
        <w:tc>
          <w:tcPr>
            <w:tcW w:w="1701" w:type="dxa"/>
          </w:tcPr>
          <w:p>
            <w:pPr>
              <w:pStyle w:val="31"/>
              <w:jc w:val="center"/>
              <w:rPr>
                <w:rFonts w:hint="eastAsia" w:ascii="仿宋" w:hAnsi="仿宋" w:eastAsia="仿宋" w:cs="仿宋"/>
                <w:sz w:val="24"/>
                <w:szCs w:val="24"/>
              </w:rPr>
            </w:pPr>
          </w:p>
        </w:tc>
        <w:tc>
          <w:tcPr>
            <w:tcW w:w="1417" w:type="dxa"/>
          </w:tcPr>
          <w:p>
            <w:pPr>
              <w:pStyle w:val="31"/>
              <w:jc w:val="center"/>
              <w:rPr>
                <w:rFonts w:hint="eastAsia" w:ascii="仿宋" w:hAnsi="仿宋" w:eastAsia="仿宋" w:cs="仿宋"/>
                <w:sz w:val="24"/>
                <w:szCs w:val="24"/>
              </w:rPr>
            </w:pPr>
          </w:p>
        </w:tc>
        <w:tc>
          <w:tcPr>
            <w:tcW w:w="2195" w:type="dxa"/>
          </w:tcPr>
          <w:p>
            <w:pPr>
              <w:pStyle w:val="31"/>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sz w:val="24"/>
              </w:rPr>
              <w:t>交货/服务</w:t>
            </w:r>
            <w:r>
              <w:rPr>
                <w:rFonts w:hint="eastAsia" w:ascii="仿宋" w:hAnsi="仿宋" w:eastAsia="仿宋" w:cs="仿宋"/>
                <w:bCs/>
                <w:sz w:val="24"/>
              </w:rPr>
              <w:t>期)</w:t>
            </w:r>
          </w:p>
        </w:tc>
        <w:tc>
          <w:tcPr>
            <w:tcW w:w="1701" w:type="dxa"/>
          </w:tcPr>
          <w:p>
            <w:pPr>
              <w:pStyle w:val="31"/>
              <w:ind w:left="1080" w:leftChars="257" w:hanging="540"/>
              <w:jc w:val="center"/>
              <w:rPr>
                <w:rFonts w:hint="eastAsia" w:ascii="仿宋" w:hAnsi="仿宋" w:eastAsia="仿宋" w:cs="仿宋"/>
                <w:sz w:val="24"/>
                <w:szCs w:val="24"/>
              </w:rPr>
            </w:pPr>
          </w:p>
        </w:tc>
        <w:tc>
          <w:tcPr>
            <w:tcW w:w="1417" w:type="dxa"/>
          </w:tcPr>
          <w:p>
            <w:pPr>
              <w:pStyle w:val="31"/>
              <w:ind w:left="1080" w:leftChars="257" w:hanging="540"/>
              <w:jc w:val="center"/>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(付款方式)</w:t>
            </w: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w:t>
            </w: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bl>
    <w:p>
      <w:pPr>
        <w:pStyle w:val="31"/>
        <w:ind w:left="1080" w:leftChars="257" w:hanging="540"/>
        <w:rPr>
          <w:rFonts w:hint="eastAsia" w:ascii="仿宋" w:hAnsi="仿宋" w:eastAsia="仿宋" w:cs="仿宋"/>
          <w:sz w:val="24"/>
          <w:szCs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after="120" w:afterLines="50"/>
        <w:ind w:left="910" w:leftChars="203" w:hanging="484" w:hangingChars="202"/>
        <w:rPr>
          <w:rFonts w:hint="eastAsia" w:ascii="仿宋" w:hAnsi="仿宋" w:eastAsia="仿宋" w:cs="仿宋"/>
        </w:rPr>
      </w:pPr>
      <w:r>
        <w:rPr>
          <w:rFonts w:hint="eastAsia" w:ascii="仿宋" w:hAnsi="仿宋" w:eastAsia="仿宋" w:cs="仿宋"/>
          <w:sz w:val="24"/>
        </w:rPr>
        <w:t>注：</w:t>
      </w:r>
      <w:r>
        <w:rPr>
          <w:rFonts w:hint="eastAsia" w:ascii="仿宋" w:hAnsi="仿宋" w:eastAsia="仿宋" w:cs="仿宋"/>
        </w:rPr>
        <w:tab/>
      </w:r>
      <w:r>
        <w:rPr>
          <w:rFonts w:hint="eastAsia" w:ascii="仿宋" w:hAnsi="仿宋" w:eastAsia="仿宋" w:cs="仿宋"/>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1"/>
        <w:ind w:left="1080" w:leftChars="257" w:hanging="540"/>
        <w:rPr>
          <w:rFonts w:hint="eastAsia" w:ascii="仿宋" w:hAnsi="仿宋" w:eastAsia="仿宋" w:cs="仿宋"/>
          <w:sz w:val="24"/>
          <w:szCs w:val="24"/>
        </w:rPr>
      </w:pPr>
    </w:p>
    <w:p>
      <w:pPr>
        <w:rPr>
          <w:rFonts w:hint="eastAsia" w:ascii="仿宋" w:hAnsi="仿宋" w:eastAsia="仿宋" w:cs="仿宋"/>
          <w:b/>
          <w:sz w:val="28"/>
          <w:szCs w:val="28"/>
        </w:rPr>
      </w:pPr>
      <w:bookmarkStart w:id="553" w:name="_Toc416103825"/>
      <w:bookmarkStart w:id="554" w:name="_Toc414445775"/>
      <w:bookmarkStart w:id="555" w:name="_Toc7005136"/>
      <w:bookmarkStart w:id="556" w:name="_Toc410631184"/>
      <w:r>
        <w:rPr>
          <w:rFonts w:hint="eastAsia" w:ascii="仿宋" w:hAnsi="仿宋" w:eastAsia="仿宋" w:cs="仿宋"/>
          <w:b/>
          <w:sz w:val="28"/>
          <w:szCs w:val="28"/>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二、技术偏离表</w:t>
      </w:r>
      <w:bookmarkEnd w:id="553"/>
      <w:bookmarkEnd w:id="554"/>
      <w:bookmarkEnd w:id="555"/>
      <w:bookmarkEnd w:id="556"/>
    </w:p>
    <w:p>
      <w:pPr>
        <w:spacing w:after="240"/>
        <w:ind w:hanging="119"/>
        <w:rPr>
          <w:rFonts w:hint="eastAsia" w:ascii="仿宋" w:hAnsi="仿宋" w:eastAsia="仿宋" w:cs="仿宋"/>
        </w:rPr>
      </w:pPr>
    </w:p>
    <w:p>
      <w:pPr>
        <w:spacing w:after="240"/>
        <w:ind w:left="105" w:leftChars="50" w:firstLine="360" w:firstLineChars="150"/>
        <w:rPr>
          <w:rFonts w:hint="eastAsia" w:ascii="仿宋" w:hAnsi="仿宋" w:eastAsia="仿宋" w:cs="仿宋"/>
          <w:sz w:val="24"/>
        </w:rPr>
      </w:pPr>
      <w:r>
        <w:rPr>
          <w:rFonts w:hint="eastAsia" w:ascii="仿宋" w:hAnsi="仿宋" w:eastAsia="仿宋" w:cs="仿宋"/>
          <w:sz w:val="24"/>
        </w:rPr>
        <w:t>项目编号:</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pPr>
        <w:pStyle w:val="199"/>
        <w:ind w:firstLine="2570" w:firstLineChars="800"/>
        <w:rPr>
          <w:rFonts w:hint="eastAsia" w:ascii="仿宋" w:hAnsi="仿宋" w:eastAsia="仿宋" w:cs="仿宋"/>
          <w:b/>
          <w:sz w:val="32"/>
          <w:szCs w:val="32"/>
        </w:rPr>
      </w:pPr>
      <w:r>
        <w:rPr>
          <w:rFonts w:hint="eastAsia" w:ascii="仿宋" w:hAnsi="仿宋" w:eastAsia="仿宋" w:cs="仿宋"/>
          <w:b/>
          <w:sz w:val="32"/>
          <w:szCs w:val="32"/>
        </w:rPr>
        <w:t>第四部分  响应方案说明</w:t>
      </w:r>
    </w:p>
    <w:p>
      <w:pPr>
        <w:pStyle w:val="3"/>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3"/>
        <w:rPr>
          <w:rFonts w:hint="eastAsia" w:ascii="仿宋" w:hAnsi="仿宋" w:eastAsia="仿宋" w:cs="仿宋"/>
          <w:lang w:val="zh-CN"/>
        </w:rPr>
      </w:pPr>
      <w:r>
        <w:rPr>
          <w:rFonts w:hint="eastAsia" w:ascii="仿宋" w:hAnsi="仿宋" w:eastAsia="仿宋" w:cs="仿宋"/>
          <w:lang w:val="zh-CN"/>
        </w:rPr>
        <w:br w:type="page"/>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pStyle w:val="199"/>
        <w:ind w:firstLine="0"/>
        <w:rPr>
          <w:rFonts w:hint="eastAsia" w:ascii="仿宋" w:hAnsi="仿宋" w:eastAsia="仿宋" w:cs="仿宋"/>
          <w:b/>
          <w:sz w:val="32"/>
          <w:szCs w:val="32"/>
        </w:rPr>
      </w:pPr>
      <w:r>
        <w:rPr>
          <w:rFonts w:hint="eastAsia" w:ascii="仿宋" w:hAnsi="仿宋" w:eastAsia="仿宋" w:cs="仿宋"/>
          <w:b/>
          <w:sz w:val="32"/>
          <w:szCs w:val="32"/>
        </w:rPr>
        <w:t>第五部分 小微企业、监狱企业、残疾人福利单位声明函或证明</w:t>
      </w:r>
    </w:p>
    <w:p>
      <w:pPr>
        <w:pStyle w:val="199"/>
        <w:rPr>
          <w:rFonts w:hint="eastAsia" w:ascii="仿宋" w:hAnsi="仿宋" w:eastAsia="仿宋" w:cs="仿宋"/>
          <w:b/>
          <w:bCs/>
          <w:sz w:val="32"/>
          <w:szCs w:val="32"/>
        </w:rPr>
      </w:pPr>
    </w:p>
    <w:p>
      <w:pPr>
        <w:jc w:val="center"/>
        <w:rPr>
          <w:rFonts w:hint="eastAsia" w:ascii="仿宋" w:hAnsi="仿宋" w:eastAsia="仿宋" w:cs="仿宋"/>
          <w:b/>
          <w:kern w:val="0"/>
          <w:sz w:val="28"/>
          <w:szCs w:val="28"/>
        </w:rPr>
      </w:pPr>
      <w:bookmarkStart w:id="557" w:name="_Toc7005133"/>
      <w:r>
        <w:rPr>
          <w:rFonts w:hint="eastAsia" w:ascii="仿宋" w:hAnsi="仿宋" w:eastAsia="仿宋" w:cs="仿宋"/>
          <w:b/>
          <w:kern w:val="0"/>
          <w:sz w:val="28"/>
          <w:szCs w:val="28"/>
        </w:rPr>
        <w:t>一、中小企业声明函(货物)</w:t>
      </w:r>
    </w:p>
    <w:p>
      <w:pPr>
        <w:rPr>
          <w:rFonts w:hint="eastAsia" w:ascii="仿宋" w:hAnsi="仿宋" w:eastAsia="仿宋" w:cs="仿宋"/>
          <w:kern w:val="0"/>
          <w:sz w:val="30"/>
          <w:szCs w:val="30"/>
        </w:rPr>
      </w:pPr>
    </w:p>
    <w:p>
      <w:pPr>
        <w:snapToGrid w:val="0"/>
        <w:spacing w:before="120" w:beforeLines="50"/>
        <w:ind w:firstLine="480" w:firstLineChars="200"/>
        <w:rPr>
          <w:rFonts w:hint="eastAsia" w:ascii="仿宋" w:hAnsi="仿宋" w:eastAsia="仿宋" w:cs="仿宋"/>
          <w:sz w:val="24"/>
          <w:szCs w:val="22"/>
        </w:rPr>
      </w:pP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本公司(联合体)郑重声明，根据《政府采购促进中小企业发展管理办法》(财库(2020)46号)的规定，本公司(联合体)参加</w:t>
      </w:r>
      <w:r>
        <w:rPr>
          <w:rFonts w:hint="eastAsia" w:ascii="仿宋" w:hAnsi="仿宋" w:eastAsia="仿宋" w:cs="仿宋"/>
          <w:color w:val="333333"/>
          <w:kern w:val="0"/>
          <w:sz w:val="24"/>
          <w:u w:val="single"/>
        </w:rPr>
        <w:t xml:space="preserve">  (单</w:t>
      </w:r>
      <w:r>
        <w:rPr>
          <w:rFonts w:hint="eastAsia" w:ascii="仿宋" w:hAnsi="仿宋" w:eastAsia="仿宋" w:cs="仿宋"/>
          <w:i/>
          <w:color w:val="333333"/>
          <w:kern w:val="0"/>
          <w:sz w:val="24"/>
          <w:u w:val="single"/>
        </w:rPr>
        <w:t>位名称)</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 xml:space="preserve"> 的</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(项目名称)</w:t>
      </w:r>
      <w:r>
        <w:rPr>
          <w:rFonts w:hint="eastAsia" w:ascii="仿宋" w:hAnsi="仿宋" w:eastAsia="仿宋" w:cs="仿宋"/>
          <w:color w:val="333333"/>
          <w:kern w:val="0"/>
          <w:sz w:val="24"/>
          <w:u w:val="single"/>
        </w:rPr>
        <w:t xml:space="preserve"> 采购</w:t>
      </w:r>
      <w:r>
        <w:rPr>
          <w:rFonts w:hint="eastAsia" w:ascii="仿宋" w:hAnsi="仿宋" w:eastAsia="仿宋" w:cs="仿宋"/>
          <w:color w:val="333333"/>
          <w:kern w:val="0"/>
          <w:sz w:val="24"/>
        </w:rPr>
        <w:t>活动，提供的货物全部由符合政策要求的中小企业制造。相关企业(含联合体中的中小企业、签订分包意向协议的中小企业)的具体情况如下：</w:t>
      </w:r>
    </w:p>
    <w:p>
      <w:pPr>
        <w:numPr>
          <w:ilvl w:val="0"/>
          <w:numId w:val="17"/>
        </w:numPr>
        <w:spacing w:line="560" w:lineRule="exact"/>
        <w:ind w:left="720" w:hanging="720" w:hangingChars="300"/>
        <w:rPr>
          <w:rFonts w:hint="eastAsia" w:ascii="仿宋" w:hAnsi="仿宋" w:eastAsia="仿宋" w:cs="仿宋"/>
          <w:color w:val="333333"/>
          <w:kern w:val="0"/>
          <w:sz w:val="24"/>
        </w:rPr>
      </w:pP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工业（制造业） </w:t>
      </w:r>
      <w:r>
        <w:rPr>
          <w:rFonts w:hint="eastAsia" w:ascii="仿宋" w:hAnsi="仿宋" w:eastAsia="仿宋" w:cs="仿宋"/>
          <w:color w:val="333333"/>
          <w:kern w:val="0"/>
          <w:sz w:val="24"/>
          <w:u w:val="single"/>
        </w:rPr>
        <w:t>行业</w:t>
      </w:r>
      <w:r>
        <w:rPr>
          <w:rFonts w:hint="eastAsia" w:ascii="仿宋" w:hAnsi="仿宋" w:eastAsia="仿宋" w:cs="仿宋"/>
          <w:color w:val="333333"/>
          <w:kern w:val="0"/>
          <w:sz w:val="24"/>
        </w:rPr>
        <w:t xml:space="preserve"> ；制造商为</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(企业名称)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 xml:space="preserve">万元，属于 </w:t>
      </w:r>
      <w:r>
        <w:rPr>
          <w:rFonts w:hint="eastAsia" w:ascii="仿宋" w:hAnsi="仿宋" w:eastAsia="仿宋" w:cs="仿宋"/>
          <w:i/>
          <w:color w:val="333333"/>
          <w:kern w:val="0"/>
          <w:sz w:val="24"/>
          <w:u w:val="single"/>
        </w:rPr>
        <w:t>(中型企业、小型企业、微型企业）</w:t>
      </w:r>
      <w:r>
        <w:rPr>
          <w:rFonts w:hint="eastAsia" w:ascii="仿宋" w:hAnsi="仿宋" w:eastAsia="仿宋" w:cs="仿宋"/>
          <w:color w:val="333333"/>
          <w:kern w:val="0"/>
          <w:sz w:val="24"/>
        </w:rPr>
        <w:t>；</w:t>
      </w:r>
    </w:p>
    <w:p>
      <w:pPr>
        <w:numPr>
          <w:ilvl w:val="0"/>
          <w:numId w:val="17"/>
        </w:numPr>
        <w:spacing w:line="560" w:lineRule="exact"/>
        <w:ind w:left="720" w:hanging="720" w:hangingChars="300"/>
        <w:rPr>
          <w:rFonts w:hint="eastAsia" w:ascii="仿宋" w:hAnsi="仿宋" w:eastAsia="仿宋" w:cs="仿宋"/>
          <w:color w:val="333333"/>
          <w:kern w:val="0"/>
          <w:sz w:val="24"/>
        </w:rPr>
      </w:pP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 工业（制造业） </w:t>
      </w:r>
      <w:r>
        <w:rPr>
          <w:rFonts w:hint="eastAsia" w:ascii="仿宋" w:hAnsi="仿宋" w:eastAsia="仿宋" w:cs="仿宋"/>
          <w:color w:val="333333"/>
          <w:kern w:val="0"/>
          <w:sz w:val="24"/>
          <w:u w:val="single"/>
        </w:rPr>
        <w:t>行业</w:t>
      </w:r>
      <w:r>
        <w:rPr>
          <w:rFonts w:hint="eastAsia" w:ascii="仿宋" w:hAnsi="仿宋" w:eastAsia="仿宋" w:cs="仿宋"/>
          <w:color w:val="333333"/>
          <w:kern w:val="0"/>
          <w:sz w:val="24"/>
        </w:rPr>
        <w:t xml:space="preserve"> ；制造商为</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(企业名称)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万元，属于</w:t>
      </w:r>
      <w:r>
        <w:rPr>
          <w:rFonts w:hint="eastAsia" w:ascii="仿宋" w:hAnsi="仿宋" w:eastAsia="仿宋" w:cs="仿宋"/>
          <w:i/>
          <w:color w:val="333333"/>
          <w:kern w:val="0"/>
          <w:sz w:val="24"/>
        </w:rPr>
        <w:t xml:space="preserve"> </w:t>
      </w:r>
      <w:r>
        <w:rPr>
          <w:rFonts w:hint="eastAsia" w:ascii="仿宋" w:hAnsi="仿宋" w:eastAsia="仿宋" w:cs="仿宋"/>
          <w:i/>
          <w:color w:val="333333"/>
          <w:kern w:val="0"/>
          <w:sz w:val="24"/>
          <w:u w:val="single"/>
        </w:rPr>
        <w:t>(中型企业、小型企业、微型企业）</w:t>
      </w: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本企业对上述声明内容的真实性负责。如有虚假，将依法承担相应责任。</w:t>
      </w:r>
    </w:p>
    <w:p>
      <w:pPr>
        <w:spacing w:line="560" w:lineRule="exact"/>
        <w:ind w:firstLine="3480" w:firstLineChars="1450"/>
        <w:rPr>
          <w:rFonts w:hint="eastAsia" w:ascii="仿宋" w:hAnsi="仿宋" w:eastAsia="仿宋" w:cs="仿宋"/>
          <w:color w:val="333333"/>
          <w:kern w:val="0"/>
          <w:sz w:val="24"/>
        </w:rPr>
      </w:pPr>
    </w:p>
    <w:p>
      <w:pPr>
        <w:spacing w:line="560" w:lineRule="exact"/>
        <w:ind w:firstLine="3480" w:firstLineChars="1450"/>
        <w:rPr>
          <w:rFonts w:hint="eastAsia" w:ascii="仿宋" w:hAnsi="仿宋" w:eastAsia="仿宋" w:cs="仿宋"/>
          <w:color w:val="333333"/>
          <w:kern w:val="0"/>
          <w:sz w:val="24"/>
        </w:rPr>
      </w:pPr>
    </w:p>
    <w:p>
      <w:pPr>
        <w:spacing w:line="560" w:lineRule="exact"/>
        <w:ind w:firstLine="3480" w:firstLineChars="1450"/>
        <w:rPr>
          <w:rFonts w:hint="eastAsia" w:ascii="仿宋" w:hAnsi="仿宋" w:eastAsia="仿宋" w:cs="仿宋"/>
          <w:color w:val="333333"/>
          <w:kern w:val="0"/>
          <w:sz w:val="24"/>
        </w:rPr>
      </w:pPr>
      <w:r>
        <w:rPr>
          <w:rFonts w:hint="eastAsia" w:ascii="仿宋" w:hAnsi="仿宋" w:eastAsia="仿宋" w:cs="仿宋"/>
          <w:color w:val="333333"/>
          <w:kern w:val="0"/>
          <w:sz w:val="24"/>
        </w:rPr>
        <w:t>企业名称(盖章)：</w:t>
      </w:r>
    </w:p>
    <w:p>
      <w:pPr>
        <w:spacing w:line="560" w:lineRule="exact"/>
        <w:ind w:firstLine="3480" w:firstLineChars="1450"/>
        <w:rPr>
          <w:rFonts w:hint="eastAsia" w:ascii="仿宋" w:hAnsi="仿宋" w:eastAsia="仿宋" w:cs="仿宋"/>
          <w:color w:val="333333"/>
          <w:kern w:val="0"/>
          <w:sz w:val="24"/>
          <w:szCs w:val="22"/>
        </w:rPr>
      </w:pPr>
      <w:r>
        <w:rPr>
          <w:rFonts w:hint="eastAsia" w:ascii="仿宋" w:hAnsi="仿宋" w:eastAsia="仿宋" w:cs="仿宋"/>
          <w:color w:val="333333"/>
          <w:kern w:val="0"/>
          <w:sz w:val="24"/>
        </w:rPr>
        <w:t>日期：</w:t>
      </w:r>
    </w:p>
    <w:p>
      <w:pPr>
        <w:spacing w:line="360" w:lineRule="auto"/>
        <w:rPr>
          <w:rFonts w:hint="eastAsia" w:ascii="仿宋" w:hAnsi="仿宋" w:eastAsia="仿宋" w:cs="仿宋"/>
        </w:rPr>
      </w:pPr>
    </w:p>
    <w:p>
      <w:pPr>
        <w:ind w:left="450" w:hanging="450" w:hangingChars="150"/>
        <w:rPr>
          <w:rFonts w:hint="eastAsia" w:ascii="仿宋" w:hAnsi="仿宋" w:eastAsia="仿宋" w:cs="仿宋"/>
          <w:color w:val="333333"/>
          <w:kern w:val="0"/>
          <w:sz w:val="18"/>
          <w:szCs w:val="18"/>
        </w:rPr>
      </w:pP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u w:val="single"/>
        </w:rPr>
        <w:t xml:space="preserve">                                                     </w:t>
      </w: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18"/>
          <w:szCs w:val="18"/>
        </w:rPr>
        <w:t xml:space="preserve"> </w:t>
      </w:r>
    </w:p>
    <w:p>
      <w:pPr>
        <w:ind w:left="315" w:leftChars="150" w:firstLine="270" w:firstLineChars="150"/>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（从业人员、营业收入、资产总额填报上一年度数据，无上一年度数据的新成立企业可不填报）</w:t>
      </w:r>
    </w:p>
    <w:p>
      <w:pPr>
        <w:ind w:firstLine="90" w:firstLineChars="50"/>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xml:space="preserve"> </w:t>
      </w:r>
    </w:p>
    <w:p>
      <w:pPr>
        <w:ind w:firstLine="105" w:firstLineChars="50"/>
        <w:rPr>
          <w:rFonts w:hint="eastAsia" w:ascii="仿宋" w:hAnsi="仿宋" w:eastAsia="仿宋" w:cs="仿宋"/>
          <w:kern w:val="0"/>
          <w:szCs w:val="21"/>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jc w:val="center"/>
        <w:outlineLvl w:val="2"/>
        <w:rPr>
          <w:rFonts w:hint="eastAsia" w:ascii="仿宋" w:hAnsi="仿宋" w:eastAsia="仿宋" w:cs="仿宋"/>
          <w:b/>
          <w:sz w:val="28"/>
          <w:szCs w:val="28"/>
        </w:rPr>
      </w:pPr>
      <w:r>
        <w:rPr>
          <w:rFonts w:hint="eastAsia" w:ascii="仿宋" w:hAnsi="仿宋" w:eastAsia="仿宋" w:cs="仿宋"/>
          <w:b/>
          <w:sz w:val="28"/>
          <w:szCs w:val="28"/>
        </w:rPr>
        <w:t>二、监狱企业证明</w:t>
      </w:r>
      <w:bookmarkEnd w:id="557"/>
    </w:p>
    <w:p>
      <w:pPr>
        <w:spacing w:after="120"/>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 w:val="24"/>
        </w:rPr>
        <w:t>（注：符合条件的监狱企业请提供本函，不符合的不提供本函）</w:t>
      </w:r>
    </w:p>
    <w:p>
      <w:pPr>
        <w:snapToGrid w:val="0"/>
        <w:spacing w:before="120" w:beforeLines="50"/>
        <w:rPr>
          <w:rFonts w:hint="eastAsia" w:ascii="仿宋" w:hAnsi="仿宋" w:eastAsia="仿宋" w:cs="仿宋"/>
          <w:sz w:val="24"/>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w:t>
      </w:r>
    </w:p>
    <w:p>
      <w:pPr>
        <w:spacing w:line="360" w:lineRule="auto"/>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供应商（盖公章）：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w:t>
      </w:r>
      <w:r>
        <w:rPr>
          <w:rFonts w:hint="eastAsia" w:ascii="仿宋" w:hAnsi="仿宋" w:eastAsia="仿宋" w:cs="仿宋"/>
          <w:sz w:val="24"/>
        </w:rPr>
        <w:t>或盖章</w:t>
      </w: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snapToGrid w:val="0"/>
        <w:spacing w:before="120" w:beforeLines="50"/>
        <w:rPr>
          <w:rFonts w:hint="eastAsia" w:ascii="仿宋" w:hAnsi="仿宋" w:eastAsia="仿宋" w:cs="仿宋"/>
          <w:sz w:val="24"/>
        </w:rPr>
      </w:pPr>
      <w:r>
        <w:rPr>
          <w:rFonts w:hint="eastAsia" w:ascii="仿宋" w:hAnsi="仿宋" w:eastAsia="仿宋" w:cs="仿宋"/>
          <w:kern w:val="0"/>
          <w:sz w:val="24"/>
          <w:u w:val="single"/>
        </w:rPr>
        <w:t>注：符合《关于政府采购支持监狱企业发展有关问题的通知》价格扣减条件的供应商须提交。</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outlineLvl w:val="2"/>
        <w:rPr>
          <w:rFonts w:hint="eastAsia" w:ascii="仿宋" w:hAnsi="仿宋" w:eastAsia="仿宋" w:cs="仿宋"/>
          <w:b/>
          <w:sz w:val="32"/>
          <w:szCs w:val="32"/>
        </w:rPr>
      </w:pPr>
      <w:bookmarkStart w:id="558" w:name="_Toc7005134"/>
      <w:r>
        <w:rPr>
          <w:rFonts w:hint="eastAsia" w:ascii="仿宋" w:hAnsi="仿宋" w:eastAsia="仿宋" w:cs="仿宋"/>
          <w:sz w:val="32"/>
          <w:szCs w:val="32"/>
        </w:rPr>
        <w:br w:type="page"/>
      </w:r>
      <w:r>
        <w:rPr>
          <w:rFonts w:hint="eastAsia" w:ascii="仿宋" w:hAnsi="仿宋" w:eastAsia="仿宋" w:cs="仿宋"/>
          <w:b/>
          <w:sz w:val="28"/>
          <w:szCs w:val="28"/>
        </w:rPr>
        <w:t>三、残疾人福利性单位声明函</w:t>
      </w:r>
      <w:bookmarkEnd w:id="558"/>
    </w:p>
    <w:p>
      <w:pPr>
        <w:spacing w:after="120"/>
        <w:rPr>
          <w:rFonts w:hint="eastAsia" w:ascii="仿宋" w:hAnsi="仿宋" w:eastAsia="仿宋" w:cs="仿宋"/>
        </w:rPr>
      </w:pPr>
    </w:p>
    <w:p>
      <w:pPr>
        <w:spacing w:line="360" w:lineRule="auto"/>
        <w:ind w:left="1080" w:leftChars="257" w:hanging="540"/>
        <w:jc w:val="center"/>
        <w:rPr>
          <w:rFonts w:hint="eastAsia" w:ascii="仿宋" w:hAnsi="仿宋" w:eastAsia="仿宋" w:cs="仿宋"/>
          <w:kern w:val="0"/>
          <w:sz w:val="24"/>
          <w:szCs w:val="20"/>
        </w:rPr>
      </w:pPr>
      <w:r>
        <w:rPr>
          <w:rFonts w:hint="eastAsia" w:ascii="仿宋" w:hAnsi="仿宋" w:eastAsia="仿宋" w:cs="仿宋"/>
          <w:sz w:val="24"/>
        </w:rPr>
        <w:t>（注：符合条件的残疾人福利性单位请提供本函，不符合的不提供本函）</w:t>
      </w:r>
    </w:p>
    <w:p>
      <w:pPr>
        <w:spacing w:line="360" w:lineRule="auto"/>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rPr>
        <w:t>（由本单位承担提供服务）</w:t>
      </w:r>
      <w:r>
        <w:rPr>
          <w:rFonts w:hint="eastAsia" w:ascii="仿宋" w:hAnsi="仿宋" w:eastAsia="仿宋" w:cs="仿宋"/>
          <w:kern w:val="0"/>
          <w:sz w:val="24"/>
          <w:szCs w:val="20"/>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rPr>
          <w:rFonts w:hint="eastAsia" w:ascii="仿宋" w:hAnsi="仿宋" w:eastAsia="仿宋" w:cs="仿宋"/>
          <w:kern w:val="0"/>
          <w:sz w:val="24"/>
          <w:szCs w:val="20"/>
          <w:u w:val="single"/>
        </w:rPr>
      </w:pPr>
      <w:r>
        <w:rPr>
          <w:rFonts w:hint="eastAsia" w:ascii="仿宋" w:hAnsi="仿宋" w:eastAsia="仿宋" w:cs="仿宋"/>
          <w:kern w:val="0"/>
          <w:sz w:val="24"/>
          <w:szCs w:val="20"/>
        </w:rPr>
        <w:t>残疾人福利性单位（盖公章）：</w:t>
      </w:r>
      <w:r>
        <w:rPr>
          <w:rFonts w:hint="eastAsia" w:ascii="仿宋" w:hAnsi="仿宋" w:eastAsia="仿宋" w:cs="仿宋"/>
          <w:kern w:val="0"/>
          <w:sz w:val="24"/>
          <w:szCs w:val="20"/>
          <w:u w:val="single"/>
        </w:rPr>
        <w:t xml:space="preserve">                  </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rPr>
        <w:t>法定代表人或授权代表（签字</w:t>
      </w:r>
      <w:r>
        <w:rPr>
          <w:rFonts w:hint="eastAsia" w:ascii="仿宋" w:hAnsi="仿宋" w:eastAsia="仿宋" w:cs="仿宋"/>
          <w:sz w:val="24"/>
        </w:rPr>
        <w:t>或盖章</w:t>
      </w:r>
      <w:r>
        <w:rPr>
          <w:rFonts w:hint="eastAsia" w:ascii="仿宋" w:hAnsi="仿宋" w:eastAsia="仿宋" w:cs="仿宋"/>
          <w:kern w:val="0"/>
          <w:sz w:val="24"/>
        </w:rPr>
        <w:t xml:space="preserve">）:  </w:t>
      </w:r>
      <w:r>
        <w:rPr>
          <w:rFonts w:hint="eastAsia" w:ascii="仿宋" w:hAnsi="仿宋" w:eastAsia="仿宋" w:cs="仿宋"/>
          <w:kern w:val="0"/>
          <w:sz w:val="24"/>
          <w:szCs w:val="20"/>
          <w:u w:val="single"/>
        </w:rPr>
        <w:t xml:space="preserve">             </w:t>
      </w:r>
      <w:r>
        <w:rPr>
          <w:rFonts w:hint="eastAsia" w:ascii="仿宋" w:hAnsi="仿宋" w:eastAsia="仿宋" w:cs="仿宋"/>
          <w:kern w:val="0"/>
          <w:sz w:val="24"/>
        </w:rPr>
        <w:t xml:space="preserve">         </w:t>
      </w:r>
    </w:p>
    <w:p>
      <w:pPr>
        <w:spacing w:line="360" w:lineRule="auto"/>
        <w:ind w:firstLine="600" w:firstLineChars="250"/>
        <w:rPr>
          <w:rFonts w:hint="eastAsia" w:ascii="仿宋" w:hAnsi="仿宋" w:eastAsia="仿宋" w:cs="仿宋"/>
          <w:kern w:val="0"/>
          <w:sz w:val="24"/>
          <w:szCs w:val="20"/>
          <w:u w:val="single"/>
        </w:rPr>
      </w:pPr>
      <w:r>
        <w:rPr>
          <w:rFonts w:hint="eastAsia" w:ascii="仿宋" w:hAnsi="仿宋" w:eastAsia="仿宋" w:cs="仿宋"/>
          <w:kern w:val="0"/>
          <w:sz w:val="24"/>
          <w:szCs w:val="20"/>
        </w:rPr>
        <w:t>日  期：</w:t>
      </w:r>
      <w:r>
        <w:rPr>
          <w:rFonts w:hint="eastAsia" w:ascii="仿宋" w:hAnsi="仿宋" w:eastAsia="仿宋" w:cs="仿宋"/>
          <w:kern w:val="0"/>
          <w:sz w:val="24"/>
          <w:szCs w:val="20"/>
          <w:u w:val="single"/>
        </w:rPr>
        <w:t xml:space="preserve">                             </w:t>
      </w: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rPr>
          <w:rFonts w:hint="eastAsia" w:ascii="仿宋" w:hAnsi="仿宋" w:eastAsia="仿宋" w:cs="仿宋"/>
          <w:kern w:val="0"/>
          <w:sz w:val="24"/>
          <w:szCs w:val="20"/>
          <w:u w:val="single"/>
        </w:rPr>
      </w:pPr>
      <w:r>
        <w:rPr>
          <w:rFonts w:hint="eastAsia" w:ascii="仿宋" w:hAnsi="仿宋" w:eastAsia="仿宋" w:cs="仿宋"/>
          <w:kern w:val="0"/>
          <w:sz w:val="24"/>
          <w:szCs w:val="20"/>
          <w:u w:val="single"/>
        </w:rPr>
        <w:t>注：符合《三部门联合发布关于促进残疾人就业政府采购政策的通知》价格扣减条件的供应商须提交。</w:t>
      </w:r>
    </w:p>
    <w:p>
      <w:pPr>
        <w:rPr>
          <w:rFonts w:hint="eastAsia" w:ascii="仿宋" w:hAnsi="仿宋" w:eastAsia="仿宋" w:cs="仿宋"/>
          <w:sz w:val="24"/>
        </w:rPr>
      </w:pP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jc w:val="center"/>
        <w:outlineLvl w:val="2"/>
        <w:rPr>
          <w:rFonts w:hint="eastAsia" w:ascii="仿宋" w:hAnsi="仿宋" w:eastAsia="仿宋" w:cs="仿宋"/>
          <w:b/>
          <w:sz w:val="28"/>
          <w:szCs w:val="28"/>
        </w:rPr>
      </w:pPr>
      <w:r>
        <w:rPr>
          <w:rFonts w:hint="eastAsia" w:ascii="仿宋" w:hAnsi="仿宋" w:eastAsia="仿宋" w:cs="仿宋"/>
          <w:b/>
          <w:sz w:val="28"/>
          <w:szCs w:val="28"/>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致：陕西星火工程管理有限公司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在本次磋商中我公司无与其他供应商相互串通，或与采购人串通的行为；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上述承诺内容如有不实，我公司愿意承担由此造成的一切法律责任，并承诺以磋商保证金赔偿给采购人造成的损失。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
        <w:rPr>
          <w:rFonts w:hint="eastAsia" w:ascii="仿宋" w:hAnsi="仿宋" w:eastAsia="仿宋" w:cs="仿宋"/>
        </w:rPr>
      </w:pPr>
      <w:r>
        <w:rPr>
          <w:rFonts w:hint="eastAsia" w:ascii="仿宋" w:hAnsi="仿宋" w:eastAsia="仿宋" w:cs="仿宋"/>
        </w:rPr>
        <w:br w:type="page"/>
      </w:r>
    </w:p>
    <w:p>
      <w:pPr>
        <w:pStyle w:val="199"/>
        <w:ind w:firstLine="0"/>
        <w:jc w:val="center"/>
        <w:rPr>
          <w:rFonts w:hint="eastAsia" w:ascii="仿宋" w:hAnsi="仿宋" w:eastAsia="仿宋" w:cs="仿宋"/>
          <w:b/>
          <w:sz w:val="32"/>
          <w:szCs w:val="32"/>
        </w:rPr>
      </w:pPr>
      <w:r>
        <w:rPr>
          <w:rFonts w:hint="eastAsia" w:ascii="仿宋" w:hAnsi="仿宋" w:eastAsia="仿宋" w:cs="仿宋"/>
          <w:b/>
          <w:sz w:val="32"/>
          <w:szCs w:val="32"/>
        </w:rPr>
        <w:t>第六部分  保证金支付凭证或担保函（复印件）</w:t>
      </w:r>
    </w:p>
    <w:p>
      <w:pPr>
        <w:pStyle w:val="199"/>
        <w:rPr>
          <w:rFonts w:hint="eastAsia" w:ascii="仿宋" w:hAnsi="仿宋" w:eastAsia="仿宋" w:cs="仿宋"/>
          <w:b/>
          <w:sz w:val="32"/>
          <w:szCs w:val="32"/>
        </w:rPr>
      </w:pPr>
    </w:p>
    <w:p>
      <w:pPr>
        <w:rPr>
          <w:rFonts w:hint="eastAsia" w:ascii="仿宋" w:hAnsi="仿宋" w:eastAsia="仿宋" w:cs="仿宋"/>
          <w:sz w:val="24"/>
        </w:rPr>
      </w:pPr>
    </w:p>
    <w:p>
      <w:pPr>
        <w:spacing w:after="120"/>
        <w:rPr>
          <w:rFonts w:hint="eastAsia" w:ascii="仿宋" w:hAnsi="仿宋" w:eastAsia="仿宋" w:cs="仿宋"/>
        </w:rPr>
      </w:pPr>
      <w:r>
        <w:rPr>
          <w:rFonts w:hint="eastAsia" w:ascii="仿宋" w:hAnsi="仿宋" w:eastAsia="仿宋" w:cs="仿宋"/>
        </w:rPr>
        <w:t>本项目不要求提供保证金</w:t>
      </w: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autoSpaceDE w:val="0"/>
        <w:autoSpaceDN w:val="0"/>
        <w:adjustRightInd w:val="0"/>
        <w:spacing w:line="360" w:lineRule="auto"/>
        <w:jc w:val="center"/>
        <w:rPr>
          <w:rFonts w:hint="eastAsia" w:ascii="仿宋" w:hAnsi="仿宋" w:eastAsia="仿宋" w:cs="仿宋"/>
          <w:b/>
          <w:bCs/>
          <w:sz w:val="44"/>
          <w:szCs w:val="44"/>
          <w:lang w:val="zh-CN"/>
        </w:rPr>
      </w:pPr>
    </w:p>
    <w:p>
      <w:pPr>
        <w:autoSpaceDE w:val="0"/>
        <w:autoSpaceDN w:val="0"/>
        <w:adjustRightInd w:val="0"/>
        <w:snapToGrid w:val="0"/>
        <w:spacing w:line="288" w:lineRule="auto"/>
        <w:jc w:val="left"/>
        <w:rPr>
          <w:rFonts w:hint="eastAsia" w:ascii="仿宋" w:hAnsi="仿宋" w:eastAsia="仿宋" w:cs="仿宋"/>
          <w:bCs/>
          <w:sz w:val="44"/>
          <w:szCs w:val="44"/>
        </w:rPr>
        <w:sectPr>
          <w:pgSz w:w="11906" w:h="16838"/>
          <w:pgMar w:top="1418" w:right="1418" w:bottom="1418" w:left="1418" w:header="851" w:footer="992" w:gutter="0"/>
          <w:cols w:space="720" w:num="1"/>
          <w:docGrid w:linePitch="312" w:charSpace="0"/>
        </w:sectPr>
      </w:pPr>
    </w:p>
    <w:p>
      <w:pPr>
        <w:widowControl/>
        <w:snapToGrid w:val="0"/>
        <w:spacing w:before="100" w:beforeAutospacing="1" w:after="100" w:afterAutospacing="1"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附件1</w:t>
      </w:r>
    </w:p>
    <w:p>
      <w:pPr>
        <w:widowControl/>
        <w:snapToGrid w:val="0"/>
        <w:spacing w:before="100" w:beforeAutospacing="1" w:after="100" w:afterAutospacing="1" w:line="36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磋商响应担保函</w:t>
      </w:r>
    </w:p>
    <w:p>
      <w:pPr>
        <w:snapToGrid w:val="0"/>
        <w:spacing w:line="360" w:lineRule="exact"/>
        <w:ind w:firstLine="3360" w:firstLineChars="1400"/>
        <w:rPr>
          <w:rFonts w:hint="eastAsia" w:ascii="仿宋" w:hAnsi="仿宋" w:eastAsia="仿宋" w:cs="仿宋"/>
          <w:sz w:val="24"/>
        </w:rPr>
      </w:pPr>
      <w:r>
        <w:rPr>
          <w:rFonts w:hint="eastAsia" w:ascii="仿宋" w:hAnsi="仿宋" w:eastAsia="仿宋" w:cs="仿宋"/>
          <w:bCs/>
          <w:sz w:val="24"/>
        </w:rPr>
        <w:t>（适用于保证金保函，本项目不必提供）</w:t>
      </w:r>
    </w:p>
    <w:p>
      <w:pPr>
        <w:snapToGrid w:val="0"/>
        <w:spacing w:line="360" w:lineRule="exact"/>
        <w:ind w:right="480"/>
        <w:jc w:val="center"/>
        <w:rPr>
          <w:rFonts w:hint="eastAsia" w:ascii="仿宋" w:hAnsi="仿宋" w:eastAsia="仿宋" w:cs="仿宋"/>
          <w:sz w:val="24"/>
        </w:rPr>
      </w:pPr>
      <w:r>
        <w:rPr>
          <w:rFonts w:hint="eastAsia" w:ascii="仿宋" w:hAnsi="仿宋" w:eastAsia="仿宋" w:cs="仿宋"/>
          <w:sz w:val="24"/>
        </w:rPr>
        <w:t xml:space="preserve">                                             保函编号:</w:t>
      </w:r>
    </w:p>
    <w:p>
      <w:pPr>
        <w:snapToGrid w:val="0"/>
        <w:spacing w:line="360" w:lineRule="exact"/>
        <w:jc w:val="left"/>
        <w:rPr>
          <w:rFonts w:hint="eastAsia" w:ascii="仿宋" w:hAnsi="仿宋" w:eastAsia="仿宋" w:cs="仿宋"/>
          <w:sz w:val="24"/>
          <w:lang w:eastAsia="zh-CN"/>
        </w:rPr>
      </w:pPr>
    </w:p>
    <w:p>
      <w:pPr>
        <w:snapToGrid w:val="0"/>
        <w:spacing w:line="360" w:lineRule="exact"/>
        <w:jc w:val="lef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kern w:val="0"/>
          <w:sz w:val="24"/>
          <w:u w:val="single"/>
        </w:rPr>
        <w:t>陕西星火工程管理有限公司</w:t>
      </w:r>
      <w:r>
        <w:rPr>
          <w:rFonts w:hint="eastAsia" w:ascii="仿宋" w:hAnsi="仿宋" w:eastAsia="仿宋" w:cs="仿宋"/>
          <w:sz w:val="24"/>
        </w:rPr>
        <w:t>(下称受益人)</w:t>
      </w:r>
    </w:p>
    <w:p>
      <w:pPr>
        <w:snapToGrid w:val="0"/>
        <w:spacing w:line="360" w:lineRule="exact"/>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rPr>
        <w:t>(下称被保证人)将于</w:t>
      </w:r>
      <w:r>
        <w:rPr>
          <w:rFonts w:hint="eastAsia" w:ascii="仿宋" w:hAnsi="仿宋" w:eastAsia="仿宋" w:cs="仿宋"/>
          <w:sz w:val="24"/>
          <w:u w:val="single"/>
        </w:rPr>
        <w:t>    年 月 日</w:t>
      </w:r>
      <w:r>
        <w:rPr>
          <w:rFonts w:hint="eastAsia" w:ascii="仿宋" w:hAnsi="仿宋" w:eastAsia="仿宋" w:cs="仿宋"/>
          <w:sz w:val="24"/>
        </w:rPr>
        <w:t>参加贵方竞争性磋商文件编号为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的竞争性磋商,我方接受被保证人的委托,在此向受益人提供不可撤销的磋商保证：</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rPr>
        <w:t>(币种</w:t>
      </w:r>
      <w:r>
        <w:rPr>
          <w:rFonts w:hint="eastAsia" w:ascii="仿宋" w:hAnsi="仿宋" w:eastAsia="仿宋" w:cs="仿宋"/>
          <w:sz w:val="24"/>
          <w:u w:val="single"/>
        </w:rPr>
        <w:t>)     </w:t>
      </w:r>
      <w:r>
        <w:rPr>
          <w:rFonts w:hint="eastAsia" w:ascii="仿宋" w:hAnsi="仿宋" w:eastAsia="仿宋" w:cs="仿宋"/>
          <w:sz w:val="24"/>
        </w:rPr>
        <w:t>元(小写)</w:t>
      </w:r>
      <w:r>
        <w:rPr>
          <w:rFonts w:hint="eastAsia" w:ascii="仿宋" w:hAnsi="仿宋" w:eastAsia="仿宋" w:cs="仿宋"/>
          <w:sz w:val="24"/>
          <w:u w:val="single"/>
        </w:rPr>
        <w:t xml:space="preserve">     元整</w:t>
      </w:r>
      <w:r>
        <w:rPr>
          <w:rFonts w:hint="eastAsia" w:ascii="仿宋" w:hAnsi="仿宋" w:eastAsia="仿宋" w:cs="仿宋"/>
          <w:sz w:val="24"/>
        </w:rPr>
        <w:t>(大写）。</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二、本保证担保的保证期间为响应文件的有效期(或延长的有效期),延长有效期无须通知我方。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三、在本保证担保的保证期间内,如果被保证人出现下列情形之一,受益人可以向我方提起索赔：</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1.被保证人在响应文件有效期内撤回其响应文件；</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2.被保证人在响应文件有效期内收到受益人发出的成交通知书后,不能或拒绝按竞争性磋商文件的要求签署合同；</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3.被保证人在有效期内收到受益人发出的成交通知书后,不能或拒绝按竞争性磋商文件的规定提交履约担保；</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4.被保证人成交后未按照竞争性磋商文件规定交纳代理服务费。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五、受益人的索赔通知应当说明索赔理由,并必须在本保证担保的保证期间内送达我方。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六、本保证担保项下的权利不得转让。</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七、本保证担保的保证期间届满,或我方已向受益人支付本保证担保的担保金额,我方的保证责任免除。</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八、本保证担保适用中华人民共和国法律。</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九、本保证担保以中文文本为准,涂改无效。</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保证人(盖章):</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法定代表人或其授权委托代理人(签字或盖章）： </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单位地址:</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日期:</w:t>
      </w:r>
      <w:r>
        <w:rPr>
          <w:rFonts w:hint="eastAsia" w:ascii="仿宋" w:hAnsi="仿宋" w:eastAsia="仿宋" w:cs="仿宋"/>
          <w:kern w:val="0"/>
          <w:sz w:val="24"/>
          <w:u w:val="single"/>
        </w:rPr>
        <w:t xml:space="preserve">     年    月    日</w:t>
      </w:r>
    </w:p>
    <w:p>
      <w:pPr>
        <w:widowControl/>
        <w:snapToGrid w:val="0"/>
        <w:spacing w:before="100" w:beforeAutospacing="1" w:after="100" w:afterAutospacing="1" w:line="360" w:lineRule="auto"/>
        <w:rPr>
          <w:rFonts w:hint="eastAsia" w:ascii="仿宋" w:hAnsi="仿宋" w:eastAsia="仿宋" w:cs="仿宋"/>
          <w:b/>
          <w:bCs/>
          <w:kern w:val="0"/>
          <w:sz w:val="32"/>
          <w:szCs w:val="32"/>
        </w:rPr>
      </w:pPr>
      <w:bookmarkStart w:id="559" w:name="_Toc515647799"/>
      <w:bookmarkStart w:id="560" w:name="_Toc16186"/>
      <w:bookmarkStart w:id="561" w:name="_Toc532473491"/>
      <w:bookmarkStart w:id="562" w:name="_Toc21748"/>
      <w:r>
        <w:rPr>
          <w:rFonts w:hint="eastAsia" w:ascii="仿宋" w:hAnsi="仿宋" w:eastAsia="仿宋" w:cs="仿宋"/>
          <w:kern w:val="0"/>
          <w:sz w:val="24"/>
        </w:rPr>
        <w:br w:type="page"/>
      </w:r>
      <w:bookmarkEnd w:id="559"/>
      <w:bookmarkEnd w:id="560"/>
      <w:bookmarkEnd w:id="561"/>
      <w:bookmarkEnd w:id="562"/>
      <w:bookmarkStart w:id="563" w:name="_Toc20660404"/>
      <w:bookmarkStart w:id="564" w:name="_Toc10951"/>
      <w:bookmarkStart w:id="565" w:name="_Toc515647800"/>
      <w:bookmarkStart w:id="566" w:name="_Toc532473492"/>
      <w:bookmarkStart w:id="567" w:name="_Toc6548"/>
      <w:r>
        <w:rPr>
          <w:rFonts w:hint="eastAsia" w:ascii="仿宋" w:hAnsi="仿宋" w:eastAsia="仿宋" w:cs="仿宋"/>
          <w:b/>
          <w:bCs/>
          <w:kern w:val="0"/>
          <w:sz w:val="28"/>
          <w:szCs w:val="28"/>
        </w:rPr>
        <w:t>附件2</w:t>
      </w:r>
    </w:p>
    <w:p>
      <w:pPr>
        <w:widowControl/>
        <w:snapToGrid w:val="0"/>
        <w:spacing w:before="100" w:beforeAutospacing="1" w:after="100" w:afterAutospacing="1"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履约担保函格式</w:t>
      </w:r>
      <w:bookmarkEnd w:id="563"/>
      <w:bookmarkEnd w:id="564"/>
      <w:bookmarkEnd w:id="565"/>
      <w:bookmarkEnd w:id="566"/>
      <w:bookmarkEnd w:id="567"/>
    </w:p>
    <w:p>
      <w:pPr>
        <w:pStyle w:val="2"/>
        <w:ind w:firstLine="240"/>
        <w:jc w:val="center"/>
        <w:rPr>
          <w:rFonts w:hint="eastAsia" w:ascii="仿宋" w:hAnsi="仿宋" w:eastAsia="仿宋" w:cs="仿宋"/>
          <w:bCs/>
          <w:sz w:val="24"/>
        </w:rPr>
      </w:pPr>
      <w:r>
        <w:rPr>
          <w:rFonts w:hint="eastAsia" w:ascii="仿宋" w:hAnsi="仿宋" w:eastAsia="仿宋" w:cs="仿宋"/>
          <w:bCs/>
          <w:sz w:val="24"/>
        </w:rPr>
        <w:t>（本项目不必提供）</w:t>
      </w:r>
    </w:p>
    <w:p>
      <w:pPr>
        <w:snapToGrid w:val="0"/>
        <w:spacing w:line="336" w:lineRule="auto"/>
        <w:jc w:val="center"/>
        <w:rPr>
          <w:rFonts w:hint="eastAsia" w:ascii="仿宋" w:hAnsi="仿宋" w:eastAsia="仿宋" w:cs="仿宋"/>
          <w:sz w:val="28"/>
          <w:szCs w:val="28"/>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1．将成交项目转让给他人，或者在磋商响应文件中未说明，且未经采购人同意，将成交项目分包给他人的；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出具保函单位名称（盖公章）：</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8"/>
          <w:szCs w:val="28"/>
          <w:u w:val="single"/>
        </w:rPr>
      </w:pPr>
      <w:r>
        <w:rPr>
          <w:rFonts w:hint="eastAsia" w:ascii="仿宋" w:hAnsi="仿宋" w:eastAsia="仿宋" w:cs="仿宋"/>
          <w:sz w:val="24"/>
        </w:rPr>
        <w:t>时间：</w:t>
      </w:r>
      <w:r>
        <w:rPr>
          <w:rFonts w:hint="eastAsia" w:ascii="仿宋" w:hAnsi="仿宋" w:eastAsia="仿宋" w:cs="仿宋"/>
          <w:sz w:val="24"/>
          <w:u w:val="single"/>
        </w:rPr>
        <w:t xml:space="preserve">         年      月      日    </w:t>
      </w:r>
      <w:r>
        <w:rPr>
          <w:rFonts w:hint="eastAsia" w:ascii="仿宋" w:hAnsi="仿宋" w:eastAsia="仿宋" w:cs="仿宋"/>
          <w:sz w:val="28"/>
          <w:szCs w:val="28"/>
          <w:u w:val="single"/>
        </w:rPr>
        <w:t xml:space="preserve">                </w:t>
      </w:r>
    </w:p>
    <w:p>
      <w:pPr>
        <w:spacing w:after="120"/>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 xml:space="preserve"> （最后）磋商响应报价表</w:t>
      </w:r>
    </w:p>
    <w:p>
      <w:pPr>
        <w:spacing w:after="120"/>
        <w:rPr>
          <w:rFonts w:hint="eastAsia" w:ascii="仿宋" w:hAnsi="仿宋" w:eastAsia="仿宋" w:cs="仿宋"/>
          <w:b/>
          <w:bCs/>
          <w:lang w:val="zh-CN"/>
        </w:rPr>
      </w:pPr>
      <w:r>
        <w:rPr>
          <w:rFonts w:hint="eastAsia" w:ascii="仿宋" w:hAnsi="仿宋" w:eastAsia="仿宋" w:cs="仿宋"/>
        </w:rPr>
        <w:t xml:space="preserve">                </w:t>
      </w:r>
      <w:r>
        <w:rPr>
          <w:rFonts w:hint="eastAsia" w:ascii="仿宋" w:hAnsi="仿宋" w:eastAsia="仿宋" w:cs="仿宋"/>
          <w:b/>
          <w:bCs/>
        </w:rPr>
        <w:t xml:space="preserve">      </w:t>
      </w:r>
      <w:r>
        <w:rPr>
          <w:rFonts w:hint="eastAsia" w:ascii="仿宋" w:hAnsi="仿宋" w:eastAsia="仿宋" w:cs="仿宋"/>
          <w:b/>
          <w:bCs/>
          <w:lang w:val="zh-CN"/>
        </w:rPr>
        <w:t>（随身携带，单独提供，无需装订在响应文件中）</w:t>
      </w:r>
    </w:p>
    <w:p>
      <w:pPr>
        <w:pStyle w:val="3"/>
        <w:rPr>
          <w:rFonts w:hint="eastAsia" w:ascii="仿宋" w:hAnsi="仿宋" w:eastAsia="仿宋" w:cs="仿宋"/>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rPr>
            </w:pPr>
            <w:r>
              <w:rPr>
                <w:rFonts w:hint="eastAsia" w:ascii="仿宋" w:hAnsi="仿宋" w:eastAsia="仿宋" w:cs="仿宋"/>
                <w:b/>
                <w:sz w:val="24"/>
              </w:rPr>
              <w:t>项目编号及项目名称</w:t>
            </w:r>
          </w:p>
        </w:tc>
        <w:tc>
          <w:tcPr>
            <w:tcW w:w="6981" w:type="dxa"/>
            <w:vAlign w:val="center"/>
          </w:tcPr>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响应总价</w:t>
            </w:r>
          </w:p>
        </w:tc>
        <w:tc>
          <w:tcPr>
            <w:tcW w:w="6981" w:type="dxa"/>
            <w:vAlign w:val="center"/>
          </w:tcPr>
          <w:p>
            <w:pPr>
              <w:pStyle w:val="3"/>
              <w:ind w:firstLine="720" w:firstLineChars="300"/>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人民币             </w:t>
            </w:r>
            <w:r>
              <w:rPr>
                <w:rFonts w:hint="eastAsia" w:ascii="仿宋" w:hAnsi="仿宋" w:eastAsia="仿宋" w:cs="仿宋"/>
                <w:sz w:val="24"/>
              </w:rPr>
              <w:t xml:space="preserve"> </w:t>
            </w:r>
          </w:p>
          <w:p>
            <w:pPr>
              <w:pStyle w:val="3"/>
              <w:ind w:firstLine="720" w:firstLineChars="300"/>
              <w:rPr>
                <w:rFonts w:hint="eastAsia" w:ascii="仿宋" w:hAnsi="仿宋" w:eastAsia="仿宋" w:cs="仿宋"/>
                <w:i/>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spacing w:after="120"/>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b/>
          <w:sz w:val="24"/>
          <w:lang w:val="en-US" w:eastAsia="zh-CN"/>
        </w:rPr>
        <w:t>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spacing w:after="120"/>
        <w:rPr>
          <w:rFonts w:hint="eastAsia" w:ascii="仿宋" w:hAnsi="仿宋" w:eastAsia="仿宋" w:cs="仿宋"/>
          <w:b/>
          <w:bCs/>
          <w:sz w:val="30"/>
          <w:szCs w:val="30"/>
        </w:rPr>
        <w:sectPr>
          <w:footerReference r:id="rId10" w:type="first"/>
          <w:headerReference r:id="rId8" w:type="default"/>
          <w:footerReference r:id="rId9" w:type="default"/>
          <w:pgSz w:w="11906" w:h="16838"/>
          <w:pgMar w:top="1418" w:right="1418" w:bottom="1418" w:left="1418" w:header="851" w:footer="992" w:gutter="0"/>
          <w:cols w:space="720" w:num="1"/>
          <w:docGrid w:linePitch="312" w:charSpace="0"/>
        </w:sectPr>
      </w:pPr>
      <w:r>
        <w:rPr>
          <w:rFonts w:hint="eastAsia" w:ascii="仿宋" w:hAnsi="仿宋" w:eastAsia="仿宋" w:cs="仿宋"/>
          <w:lang w:val="zh-CN"/>
        </w:rPr>
        <w:br w:type="page"/>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（最后）分项报价表</w:t>
      </w:r>
    </w:p>
    <w:p>
      <w:pPr>
        <w:autoSpaceDE w:val="0"/>
        <w:autoSpaceDN w:val="0"/>
        <w:adjustRightInd w:val="0"/>
        <w:snapToGrid w:val="0"/>
        <w:spacing w:before="120" w:line="360" w:lineRule="auto"/>
        <w:ind w:left="-206" w:leftChars="-98"/>
        <w:jc w:val="center"/>
        <w:rPr>
          <w:rFonts w:hint="eastAsia" w:ascii="仿宋" w:hAnsi="仿宋" w:eastAsia="仿宋" w:cs="仿宋"/>
          <w:sz w:val="24"/>
        </w:rPr>
      </w:pPr>
      <w:r>
        <w:rPr>
          <w:rFonts w:hint="eastAsia" w:ascii="仿宋" w:hAnsi="仿宋" w:eastAsia="仿宋" w:cs="仿宋"/>
          <w:sz w:val="24"/>
        </w:rPr>
        <w:t xml:space="preserve">    （随身携带，单独提供，无需装订在响应文件中，</w:t>
      </w:r>
      <w:r>
        <w:rPr>
          <w:rFonts w:hint="eastAsia" w:ascii="仿宋" w:hAnsi="仿宋" w:eastAsia="仿宋" w:cs="仿宋"/>
          <w:kern w:val="0"/>
          <w:sz w:val="24"/>
          <w:szCs w:val="28"/>
        </w:rPr>
        <w:t>格式自拟，分项报价总和须与最终投标总价一致）</w:t>
      </w:r>
    </w:p>
    <w:tbl>
      <w:tblPr>
        <w:tblStyle w:val="51"/>
        <w:tblW w:w="10136" w:type="dxa"/>
        <w:jc w:val="center"/>
        <w:tblLayout w:type="fixed"/>
        <w:tblCellMar>
          <w:top w:w="0" w:type="dxa"/>
          <w:left w:w="0" w:type="dxa"/>
          <w:bottom w:w="0" w:type="dxa"/>
          <w:right w:w="0" w:type="dxa"/>
        </w:tblCellMar>
      </w:tblPr>
      <w:tblGrid>
        <w:gridCol w:w="2051"/>
        <w:gridCol w:w="2330"/>
        <w:gridCol w:w="770"/>
        <w:gridCol w:w="695"/>
        <w:gridCol w:w="1510"/>
        <w:gridCol w:w="1571"/>
        <w:gridCol w:w="1209"/>
      </w:tblGrid>
      <w:tr>
        <w:tblPrEx>
          <w:tblCellMar>
            <w:top w:w="0" w:type="dxa"/>
            <w:left w:w="0" w:type="dxa"/>
            <w:bottom w:w="0" w:type="dxa"/>
            <w:right w:w="0" w:type="dxa"/>
          </w:tblCellMar>
        </w:tblPrEx>
        <w:trPr>
          <w:trHeight w:val="810" w:hRule="atLeast"/>
          <w:jc w:val="center"/>
        </w:trPr>
        <w:tc>
          <w:tcPr>
            <w:tcW w:w="205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uto"/>
              <w:ind w:right="-199"/>
              <w:jc w:val="center"/>
              <w:rPr>
                <w:rFonts w:hint="eastAsia" w:ascii="仿宋" w:hAnsi="仿宋" w:eastAsia="仿宋" w:cs="仿宋"/>
                <w:sz w:val="24"/>
                <w:lang w:val="en-US" w:eastAsia="zh-CN"/>
              </w:rPr>
            </w:pPr>
            <w:r>
              <w:rPr>
                <w:rFonts w:hint="eastAsia" w:ascii="仿宋" w:hAnsi="仿宋" w:eastAsia="仿宋" w:cs="仿宋"/>
                <w:sz w:val="24"/>
                <w:lang w:eastAsia="zh-CN"/>
              </w:rPr>
              <w:t>产品名称</w:t>
            </w:r>
          </w:p>
        </w:tc>
        <w:tc>
          <w:tcPr>
            <w:tcW w:w="233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uto"/>
              <w:jc w:val="center"/>
              <w:rPr>
                <w:rFonts w:hint="default" w:ascii="仿宋" w:hAnsi="仿宋" w:eastAsia="仿宋" w:cs="仿宋"/>
                <w:sz w:val="24"/>
                <w:lang w:val="en-US" w:eastAsia="zh-CN"/>
              </w:rPr>
            </w:pPr>
            <w:r>
              <w:rPr>
                <w:rFonts w:hint="eastAsia" w:ascii="仿宋" w:hAnsi="仿宋" w:eastAsia="仿宋" w:cs="仿宋"/>
                <w:sz w:val="24"/>
                <w:lang w:eastAsia="zh-CN"/>
              </w:rPr>
              <w:t>品牌</w:t>
            </w:r>
            <w:r>
              <w:rPr>
                <w:rFonts w:hint="eastAsia" w:ascii="仿宋" w:hAnsi="仿宋" w:eastAsia="仿宋" w:cs="仿宋"/>
                <w:sz w:val="24"/>
                <w:lang w:val="en-US" w:eastAsia="zh-CN"/>
              </w:rPr>
              <w:t>型号</w:t>
            </w: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数量</w:t>
            </w: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单位</w:t>
            </w: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单价（元）</w:t>
            </w: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合计（元）</w:t>
            </w: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备注</w:t>
            </w:r>
          </w:p>
        </w:tc>
      </w:tr>
      <w:tr>
        <w:tblPrEx>
          <w:tblCellMar>
            <w:top w:w="0" w:type="dxa"/>
            <w:left w:w="0" w:type="dxa"/>
            <w:bottom w:w="0" w:type="dxa"/>
            <w:right w:w="0" w:type="dxa"/>
          </w:tblCellMar>
        </w:tblPrEx>
        <w:trPr>
          <w:cantSplit/>
          <w:trHeight w:val="697" w:hRule="atLeast"/>
          <w:jc w:val="center"/>
        </w:trPr>
        <w:tc>
          <w:tcPr>
            <w:tcW w:w="205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智慧黑板</w:t>
            </w:r>
          </w:p>
        </w:tc>
        <w:tc>
          <w:tcPr>
            <w:tcW w:w="2330"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697" w:hRule="atLeast"/>
          <w:jc w:val="center"/>
        </w:trPr>
        <w:tc>
          <w:tcPr>
            <w:tcW w:w="205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空调</w:t>
            </w:r>
          </w:p>
        </w:tc>
        <w:tc>
          <w:tcPr>
            <w:tcW w:w="2330"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697" w:hRule="atLeast"/>
          <w:jc w:val="center"/>
        </w:trPr>
        <w:tc>
          <w:tcPr>
            <w:tcW w:w="205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空调</w:t>
            </w:r>
          </w:p>
        </w:tc>
        <w:tc>
          <w:tcPr>
            <w:tcW w:w="2330"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697" w:hRule="atLeast"/>
          <w:jc w:val="center"/>
        </w:trPr>
        <w:tc>
          <w:tcPr>
            <w:tcW w:w="205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LED教室灯</w:t>
            </w:r>
          </w:p>
        </w:tc>
        <w:tc>
          <w:tcPr>
            <w:tcW w:w="2330"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697" w:hRule="atLeast"/>
          <w:jc w:val="center"/>
        </w:trPr>
        <w:tc>
          <w:tcPr>
            <w:tcW w:w="2051"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rPr>
            </w:pPr>
            <w:r>
              <w:rPr>
                <w:rFonts w:hint="eastAsia" w:ascii="仿宋" w:hAnsi="仿宋" w:eastAsia="仿宋" w:cs="仿宋"/>
                <w:sz w:val="24"/>
              </w:rPr>
              <w:t>LED书写板灯</w:t>
            </w:r>
          </w:p>
        </w:tc>
        <w:tc>
          <w:tcPr>
            <w:tcW w:w="2330" w:type="dxa"/>
            <w:tcBorders>
              <w:top w:val="single" w:color="auto" w:sz="8" w:space="0"/>
              <w:left w:val="single" w:color="auto" w:sz="8" w:space="0"/>
              <w:bottom w:val="single" w:color="auto" w:sz="8" w:space="0"/>
              <w:right w:val="single" w:color="auto" w:sz="4" w:space="0"/>
            </w:tcBorders>
            <w:noWrap w:val="0"/>
            <w:vAlign w:val="center"/>
          </w:tcPr>
          <w:p>
            <w:pPr>
              <w:tabs>
                <w:tab w:val="left" w:pos="5580"/>
              </w:tabs>
              <w:spacing w:line="360" w:lineRule="auto"/>
              <w:jc w:val="left"/>
              <w:rPr>
                <w:rFonts w:hint="eastAsia" w:ascii="仿宋" w:hAnsi="仿宋" w:eastAsia="仿宋" w:cs="仿宋"/>
                <w:sz w:val="24"/>
              </w:rPr>
            </w:pPr>
          </w:p>
        </w:tc>
        <w:tc>
          <w:tcPr>
            <w:tcW w:w="77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69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10"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571"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r>
        <w:tblPrEx>
          <w:tblCellMar>
            <w:top w:w="0" w:type="dxa"/>
            <w:left w:w="0" w:type="dxa"/>
            <w:bottom w:w="0" w:type="dxa"/>
            <w:right w:w="0" w:type="dxa"/>
          </w:tblCellMar>
        </w:tblPrEx>
        <w:trPr>
          <w:cantSplit/>
          <w:trHeight w:val="709" w:hRule="atLeast"/>
          <w:jc w:val="center"/>
        </w:trPr>
        <w:tc>
          <w:tcPr>
            <w:tcW w:w="205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uto"/>
              <w:jc w:val="center"/>
              <w:rPr>
                <w:rFonts w:hint="eastAsia" w:ascii="仿宋" w:hAnsi="仿宋" w:eastAsia="仿宋" w:cs="仿宋"/>
                <w:sz w:val="24"/>
                <w:lang w:eastAsia="zh-CN"/>
              </w:rPr>
            </w:pPr>
            <w:r>
              <w:rPr>
                <w:rFonts w:hint="eastAsia" w:ascii="仿宋" w:hAnsi="仿宋" w:eastAsia="仿宋" w:cs="仿宋"/>
                <w:sz w:val="24"/>
                <w:lang w:eastAsia="zh-CN"/>
              </w:rPr>
              <w:t>总计（元）</w:t>
            </w:r>
          </w:p>
        </w:tc>
        <w:tc>
          <w:tcPr>
            <w:tcW w:w="6876" w:type="dxa"/>
            <w:gridSpan w:val="5"/>
            <w:tcBorders>
              <w:top w:val="single" w:color="auto" w:sz="8" w:space="0"/>
              <w:left w:val="single" w:color="auto" w:sz="8" w:space="0"/>
              <w:bottom w:val="single" w:color="auto" w:sz="4"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c>
          <w:tcPr>
            <w:tcW w:w="120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360" w:lineRule="auto"/>
              <w:ind w:left="1080" w:leftChars="257" w:hanging="540"/>
              <w:jc w:val="center"/>
              <w:rPr>
                <w:rFonts w:hint="eastAsia" w:ascii="仿宋" w:hAnsi="仿宋" w:eastAsia="仿宋" w:cs="仿宋"/>
                <w:sz w:val="24"/>
              </w:rPr>
            </w:pPr>
          </w:p>
        </w:tc>
      </w:tr>
    </w:tbl>
    <w:p>
      <w:pPr>
        <w:spacing w:line="360" w:lineRule="auto"/>
        <w:ind w:firstLine="436" w:firstLineChars="200"/>
        <w:rPr>
          <w:rFonts w:hint="eastAsia" w:ascii="仿宋" w:hAnsi="仿宋" w:eastAsia="仿宋" w:cs="仿宋"/>
          <w:spacing w:val="4"/>
          <w:szCs w:val="21"/>
          <w:lang w:val="zh-CN"/>
        </w:rPr>
      </w:pPr>
    </w:p>
    <w:p>
      <w:pPr>
        <w:spacing w:line="360" w:lineRule="auto"/>
        <w:ind w:firstLine="436" w:firstLineChars="200"/>
        <w:rPr>
          <w:rFonts w:hint="eastAsia" w:ascii="仿宋" w:hAnsi="仿宋" w:eastAsia="仿宋" w:cs="仿宋"/>
          <w:spacing w:val="4"/>
          <w:szCs w:val="21"/>
          <w:lang w:val="zh-CN"/>
        </w:rPr>
      </w:pPr>
      <w:r>
        <w:rPr>
          <w:rFonts w:hint="eastAsia" w:ascii="仿宋" w:hAnsi="仿宋" w:eastAsia="仿宋" w:cs="仿宋"/>
          <w:spacing w:val="4"/>
          <w:szCs w:val="21"/>
          <w:lang w:val="zh-CN"/>
        </w:rPr>
        <w:t>说明：1、此表由</w:t>
      </w:r>
      <w:r>
        <w:rPr>
          <w:rFonts w:hint="eastAsia" w:ascii="仿宋" w:hAnsi="仿宋" w:eastAsia="仿宋" w:cs="仿宋"/>
          <w:spacing w:val="4"/>
          <w:szCs w:val="21"/>
          <w:lang w:val="en-US" w:eastAsia="zh-CN"/>
        </w:rPr>
        <w:t>供应商</w:t>
      </w:r>
      <w:r>
        <w:rPr>
          <w:rFonts w:hint="eastAsia" w:ascii="仿宋" w:hAnsi="仿宋" w:eastAsia="仿宋" w:cs="仿宋"/>
          <w:spacing w:val="4"/>
          <w:szCs w:val="21"/>
          <w:lang w:val="zh-CN"/>
        </w:rPr>
        <w:t>商按项目情况自行列支。</w:t>
      </w:r>
    </w:p>
    <w:p>
      <w:pPr>
        <w:autoSpaceDE w:val="0"/>
        <w:autoSpaceDN w:val="0"/>
        <w:adjustRightInd w:val="0"/>
        <w:snapToGrid w:val="0"/>
        <w:spacing w:before="120" w:line="360" w:lineRule="auto"/>
        <w:ind w:left="-206" w:leftChars="-98" w:firstLine="1308" w:firstLineChars="600"/>
        <w:jc w:val="left"/>
        <w:rPr>
          <w:rFonts w:hint="eastAsia" w:ascii="仿宋" w:hAnsi="仿宋" w:eastAsia="仿宋" w:cs="仿宋"/>
          <w:kern w:val="0"/>
          <w:sz w:val="24"/>
          <w:szCs w:val="28"/>
        </w:rPr>
      </w:pPr>
      <w:r>
        <w:rPr>
          <w:rFonts w:hint="eastAsia" w:ascii="仿宋" w:hAnsi="仿宋" w:eastAsia="仿宋" w:cs="仿宋"/>
          <w:spacing w:val="4"/>
          <w:szCs w:val="21"/>
          <w:lang w:val="zh-CN"/>
        </w:rPr>
        <w:t>2、表格空间不足时，可自行扩展。</w:t>
      </w:r>
    </w:p>
    <w:p>
      <w:pPr>
        <w:pStyle w:val="3"/>
        <w:rPr>
          <w:rFonts w:hint="eastAsia" w:ascii="仿宋" w:hAnsi="仿宋" w:eastAsia="仿宋" w:cs="仿宋"/>
        </w:rPr>
      </w:pPr>
    </w:p>
    <w:p>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left="-525" w:leftChars="-250" w:firstLine="720" w:firstLineChars="300"/>
        <w:rPr>
          <w:rFonts w:hint="eastAsia" w:ascii="仿宋" w:hAnsi="仿宋" w:eastAsia="仿宋" w:cs="仿宋"/>
          <w:b/>
          <w:sz w:val="28"/>
          <w:szCs w:val="28"/>
        </w:rPr>
      </w:pPr>
      <w:r>
        <w:rPr>
          <w:rFonts w:hint="eastAsia" w:ascii="仿宋" w:hAnsi="仿宋" w:eastAsia="仿宋" w:cs="仿宋"/>
          <w:sz w:val="24"/>
        </w:rPr>
        <w:t>（公章）：                                     （签字</w:t>
      </w:r>
      <w:r>
        <w:rPr>
          <w:rFonts w:hint="eastAsia" w:ascii="仿宋" w:hAnsi="仿宋" w:eastAsia="仿宋" w:cs="仿宋"/>
          <w:sz w:val="24"/>
          <w:lang w:val="en-US" w:eastAsia="zh-CN"/>
        </w:rPr>
        <w:t>或盖章</w:t>
      </w:r>
      <w:r>
        <w:rPr>
          <w:rFonts w:hint="eastAsia" w:ascii="仿宋" w:hAnsi="仿宋" w:eastAsia="仿宋" w:cs="仿宋"/>
          <w:sz w:val="24"/>
        </w:rPr>
        <w:t>）：</w:t>
      </w:r>
    </w:p>
    <w:sectPr>
      <w:footerReference r:id="rId12" w:type="first"/>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AwE5G1AQIAABIEAAAOAAAAAAAAAAEAIAAAAB8BAABkcnMvZTJvRG9j&#10;LnhtbFBLBQYAAAAABgAGAFkBAACS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62</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7052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WB10cA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mTeDMCkMDf1JDYB9hYEW+XEeDeudLynt0&#10;lBkGuonJUax3DyB/embhvhX2qO4QoW+VqIlgESuzZ6Ujjo8gh/4L1NRJnAIkoKFBEwHJD0boNJzL&#10;dTiRjYwtV6sPN2vOJF0V61W+StwyUc7FDn34pMCwGFQcafYJXJwffIhkRDmnxF4W9rrr0vw7+9cB&#10;JY4nKi3QVB2lRPajjjAchsmaA9QXEoUwLhc9LQpawF+c9bRYFbf0jjjrPluyJe7gHOAcHOZAWEmF&#10;FQ+cjeF9GHf15FAfW8Kdjb8j6/Y6yYrERg6T4bQqSe201nEXn/+nrD9Pe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LWB10cAAgAAEgQAAA4AAAAAAAAAAQAgAAAAHwEAAGRycy9lMm9Eb2Mu&#10;eG1sUEsFBgAAAAAGAAYAWQEAAJEFA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62</w:t>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1552" behindDoc="0" locked="0" layoutInCell="1" allowOverlap="1">
              <wp:simplePos x="0" y="0"/>
              <wp:positionH relativeFrom="margin">
                <wp:posOffset>2414905</wp:posOffset>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90.15pt;margin-top:0pt;height:12.05pt;width:10.55pt;mso-position-horizontal-relative:margin;mso-wrap-style:none;z-index:251671552;mso-width-relative:page;mso-height-relative:page;" filled="f" stroked="f" coordsize="21600,21600" o:gfxdata="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FehvTAAAABwEAAA8AAAAAAAAAAQAgAAAAIgAAAGRycy9kb3ducmV2&#10;LnhtbFBLAQIUABQAAAAIAIdO4kDtOcOBAQIAABIEAAAOAAAAAAAAAAEAIAAAACIBAABkcnMvZTJv&#10;RG9jLnhtbFBLBQYAAAAABgAGAFkBAACV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v:textbox>
            </v:shape>
          </w:pict>
        </mc:Fallback>
      </mc:AlternateContent>
    </w:r>
    <w:r>
      <w:rPr>
        <w:rFonts w:hint="eastAsia" w:eastAsia="宋体"/>
        <w:b/>
        <w:bCs/>
        <w:i/>
        <w:iCs/>
      </w:rPr>
      <w:t>陕西星火工程管理有限公司                                        西安市高新路尚品国际C幢北12804室</w:t>
    </w: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pPr>
    <w:r>
      <w:rPr>
        <w:b/>
        <w:bCs/>
        <w:i/>
        <w:iCs/>
      </w:rPr>
      <mc:AlternateContent>
        <mc:Choice Requires="wps">
          <w:drawing>
            <wp:anchor distT="0" distB="0" distL="114300" distR="114300" simplePos="0" relativeHeight="251664384"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91</w:t>
                          </w:r>
                          <w:r>
                            <w:fldChar w:fldCharType="end"/>
                          </w:r>
                          <w:r>
                            <w:t xml:space="preserve"> 页 共 </w:t>
                          </w:r>
                          <w:r>
                            <w:rPr>
                              <w:rFonts w:hint="eastAsia"/>
                              <w:lang w:val="en-US" w:eastAsia="zh-CN"/>
                            </w:rPr>
                            <w:t>62</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4384;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jWYjGAA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LIEisM3fiTGgL7CAMr8uU6OtQ7&#10;X1Ljo6PWMNAOdSe13j2A/OmZhftW2KO6Q4S+VaImhkU8mT07OuL4CHLov0BNk8QpQAIaGjTRPjKE&#10;ETpRuVxvJ7KRceRq9eFmzZmkrWK9yleJWybK+bBDHz4pMCwWFUe6/AQuzg8+RDKinFviLAt73XUp&#10;AJ39a4EaxxWVEjSdjlIi+1FHGA7DZM0B6guJQhjTRW+LihbwF2c9Javilh4SZ91nS7bEEM4FzsVh&#10;LoSVdLDigbOxvA9jWE8O9bEl3Nn4O7Jur5OsSGzkMBlOWUlqp1zHMD7/T11/3vL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FNjQTUAAAABwEAAA8AAAAAAAAAAQAgAAAAIgAAAGRycy9kb3ducmV2&#10;LnhtbFBLAQIUABQAAAAIAIdO4kDjWYjGAAIAABMEAAAOAAAAAAAAAAEAIAAAACMBAABkcnMvZTJv&#10;RG9jLnhtbFBLBQYAAAAABgAGAFkBAACV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91</w:t>
                    </w:r>
                    <w:r>
                      <w:fldChar w:fldCharType="end"/>
                    </w:r>
                    <w:r>
                      <w:t xml:space="preserve"> 页 共 </w:t>
                    </w:r>
                    <w:r>
                      <w:rPr>
                        <w:rFonts w:hint="eastAsia"/>
                        <w:lang w:val="en-US" w:eastAsia="zh-CN"/>
                      </w:rPr>
                      <w:t>62</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1ubIkTcCAABh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NbmyJE3AgAAYQQAAA4AAAAAAAAAAQAgAAAAIQEAAGRycy9lMm9Eb2Mu&#10;eG1sUEsFBgAAAAAGAAYAWQEAAMoFAAAAAA==&#10;">
              <v:fill on="f" focussize="0,0"/>
              <v:stroke on="f" weight="0.5pt"/>
              <v:imagedata o:title=""/>
              <o:lock v:ext="edit" aspectratio="f"/>
              <v:textbox inset="0mm,0mm,0mm,0mm" style="mso-fit-shape-to-text:t;">
                <w:txbxContent>
                  <w:p>
                    <w:pPr>
                      <w:pStyle w:val="3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pPr>
    <w: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165100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13pt;height:12pt;width:9.85pt;mso-position-horizontal-relative:margin;mso-wrap-style:none;z-index:251659264;mso-width-relative:page;mso-height-relative:page;" filled="f" stroked="f" coordsize="21600,21600" o:gfxdata="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s6ID1wAAAAkBAAAPAAAAAAAAAAEAIAAAACIAAABkcnMvZG93bnJl&#10;di54bWxQSwECFAAUAAAACACHTuJAlGvKIDcCAABjBAAADgAAAAAAAAABACAAAAAmAQAAZHJzL2Uy&#10;b0RvYy54bWxQSwUGAAAAAAYABgBZAQAAzwUAAAAA&#10;">
              <v:fill on="f" focussize="0,0"/>
              <v:stroke on="f" weight="0.5pt"/>
              <v:imagedata o:title=""/>
              <o:lock v:ext="edit" aspectratio="f"/>
              <v:textbox inset="0mm,0mm,0mm,0mm" style="mso-fit-shape-to-text:t;">
                <w:txbxContent>
                  <w:p>
                    <w:pPr>
                      <w:pStyle w:val="36"/>
                    </w:pPr>
                  </w:p>
                </w:txbxContent>
              </v:textbox>
            </v:shape>
          </w:pict>
        </mc:Fallback>
      </mc:AlternateContent>
    </w:r>
    <w:r>
      <w:rPr>
        <w:b/>
        <w:bCs/>
        <w:i/>
        <w:iCs/>
      </w:rPr>
      <mc:AlternateContent>
        <mc:Choice Requires="wps">
          <w:drawing>
            <wp:anchor distT="0" distB="0" distL="114300" distR="114300" simplePos="0" relativeHeight="251666432"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62</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6432;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PBYKlAQ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IKzqwwdONPagjsIwysyJfr6FDv&#10;fEmNj45aw0A71J3UevcA8qdnFu5bYY/qDhH6VomaGBbxZPbs6IjjI8ih/wI1TRKnAAloaNBE+8gQ&#10;Ruh0O5fr7UQ2Mo5crT7crDmTtFWsV/kqcctEOR926MMnBYbFouJIl5/AxfnBh0hGlHNLnGVhr7su&#10;BaCzfy1Q47iiUoKm01FKZD/qCMNhmKw5QH0hUQhjuuhtUdEC/uKsp2RV3NJD4qz7bMmWGMK5wLk4&#10;zIWwkg5WPHA2lvdhDOvJoT62hDsbf0fW7XWSFYmNHCbDKStJ7ZTrGMbn/6nrz1v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TY0E1AAAAAcBAAAPAAAAAAAAAAEAIAAAACIAAABkcnMvZG93bnJl&#10;di54bWxQSwECFAAUAAAACACHTuJAzwWCpQECAAATBAAADgAAAAAAAAABACAAAAAjAQAAZHJzL2Uy&#10;b0RvYy54bWxQSwUGAAAAAAYABgBZAQAAlgU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62</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25095"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95pt;margin-top:0pt;height:12pt;width:9.85pt;mso-position-horizontal-relative:margin;mso-wrap-style:none;z-index:251665408;mso-width-relative:page;mso-height-relative:page;" filled="f" stroked="f" coordsize="21600,21600" o:gfxdata="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Oiwe1QAAAAcBAAAPAAAAAAAAAAEAIAAAACIAAABkcnMvZG93bnJldi54&#10;bWxQSwECFAAUAAAACACHTuJAf1R/HjYCAABiBAAADgAAAAAAAAABACAAAAAkAQAAZHJzL2Uyb0Rv&#10;Yy54bWxQSwUGAAAAAAYABgBZAQAAzAUAAAAA&#10;">
              <v:fill on="f" focussize="0,0"/>
              <v:stroke on="f" weight="0.5pt"/>
              <v:imagedata o:title=""/>
              <o:lock v:ext="edit" aspectratio="f"/>
              <v:textbox inset="0mm,0mm,0mm,0mm" style="mso-fit-shape-to-text:t;">
                <w:txbxContent>
                  <w:p>
                    <w:pPr>
                      <w:pStyle w:val="3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8306"/>
      </w:tabs>
      <w:jc w:val="right"/>
      <w:rPr>
        <w:b/>
        <w:bCs/>
        <w:i/>
        <w:iCs/>
      </w:rPr>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5237480"/>
          <wp:effectExtent l="0" t="0" r="2540" b="1270"/>
          <wp:wrapNone/>
          <wp:docPr id="2"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b/>
        <w:bCs/>
        <w:i/>
        <w:iCs/>
        <w:lang w:eastAsia="zh-CN"/>
      </w:rPr>
      <w:t>铜川市朝阳实验小学多媒体及配套设备采购项目</w:t>
    </w:r>
    <w:r>
      <w:rPr>
        <w:rFonts w:hint="eastAsia" w:eastAsia="宋体"/>
        <w:b/>
        <w:bCs/>
        <w:i/>
        <w:i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5237480"/>
          <wp:effectExtent l="0" t="0" r="2540" b="1270"/>
          <wp:wrapNone/>
          <wp:docPr id="7"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8306"/>
      </w:tabs>
      <w:jc w:val="right"/>
      <w:rPr>
        <w:b/>
        <w:bCs/>
        <w:i/>
        <w:iCs/>
      </w:rPr>
    </w:pPr>
    <w:r>
      <w:rPr>
        <w:rFonts w:hint="eastAsia" w:eastAsia="宋体"/>
        <w:b/>
        <w:bCs/>
        <w:i/>
        <w:iCs/>
        <w:lang w:eastAsia="zh-CN"/>
      </w:rPr>
      <w:t>铜川市朝阳实验小学多媒体及配套设备采购项目</w:t>
    </w:r>
    <w:r>
      <w:rPr>
        <w:rFonts w:hint="eastAsia" w:eastAsia="宋体"/>
        <w:b/>
        <w:bCs/>
        <w:i/>
        <w:iCs/>
      </w:rPr>
      <w:t>竞争性磋商文件</w:t>
    </w:r>
  </w:p>
  <w:p/>
  <w:p>
    <w:pPr>
      <w:pStyle w:val="37"/>
      <w:pBdr>
        <w:bottom w:val="none" w:color="auto" w:sz="0" w:space="0"/>
      </w:pBdr>
      <w:jc w:val="both"/>
    </w:pPr>
    <w: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5237480"/>
          <wp:effectExtent l="0" t="0" r="2540" b="1270"/>
          <wp:wrapNone/>
          <wp:docPr id="8"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FA2D3D5B"/>
    <w:multiLevelType w:val="singleLevel"/>
    <w:tmpl w:val="FA2D3D5B"/>
    <w:lvl w:ilvl="0" w:tentative="0">
      <w:start w:val="30"/>
      <w:numFmt w:val="decimal"/>
      <w:suff w:val="space"/>
      <w:lvlText w:val="%1."/>
      <w:lvlJc w:val="left"/>
    </w:lvl>
  </w:abstractNum>
  <w:abstractNum w:abstractNumId="1">
    <w:nsid w:val="FBA534B8"/>
    <w:multiLevelType w:val="singleLevel"/>
    <w:tmpl w:val="FBA534B8"/>
    <w:lvl w:ilvl="0" w:tentative="0">
      <w:start w:val="5"/>
      <w:numFmt w:val="chineseCounting"/>
      <w:suff w:val="space"/>
      <w:lvlText w:val="第%1章"/>
      <w:lvlJc w:val="left"/>
      <w:rPr>
        <w:rFonts w:hint="eastAsia"/>
      </w:rPr>
    </w:lvl>
  </w:abstractNum>
  <w:abstractNum w:abstractNumId="2">
    <w:nsid w:val="0000000E"/>
    <w:multiLevelType w:val="multilevel"/>
    <w:tmpl w:val="0000000E"/>
    <w:lvl w:ilvl="0" w:tentative="0">
      <w:start w:val="1"/>
      <w:numFmt w:val="decimal"/>
      <w:pStyle w:val="95"/>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8"/>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5"/>
  </w:num>
  <w:num w:numId="4">
    <w:abstractNumId w:val="17"/>
  </w:num>
  <w:num w:numId="5">
    <w:abstractNumId w:val="6"/>
  </w:num>
  <w:num w:numId="6">
    <w:abstractNumId w:val="10"/>
  </w:num>
  <w:num w:numId="7">
    <w:abstractNumId w:val="14"/>
  </w:num>
  <w:num w:numId="8">
    <w:abstractNumId w:val="5"/>
  </w:num>
  <w:num w:numId="9">
    <w:abstractNumId w:val="0"/>
  </w:num>
  <w:num w:numId="10">
    <w:abstractNumId w:val="12"/>
  </w:num>
  <w:num w:numId="11">
    <w:abstractNumId w:val="13"/>
  </w:num>
  <w:num w:numId="12">
    <w:abstractNumId w:val="1"/>
  </w:num>
  <w:num w:numId="13">
    <w:abstractNumId w:val="4"/>
  </w:num>
  <w:num w:numId="14">
    <w:abstractNumId w:val="11"/>
  </w:num>
  <w:num w:numId="15">
    <w:abstractNumId w:val="7"/>
  </w:num>
  <w:num w:numId="16">
    <w:abstractNumId w:val="1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172A27"/>
    <w:rsid w:val="000076EB"/>
    <w:rsid w:val="00010824"/>
    <w:rsid w:val="00011C69"/>
    <w:rsid w:val="00013C37"/>
    <w:rsid w:val="00017F4A"/>
    <w:rsid w:val="00020B18"/>
    <w:rsid w:val="0003167F"/>
    <w:rsid w:val="00035C01"/>
    <w:rsid w:val="000360A4"/>
    <w:rsid w:val="000432ED"/>
    <w:rsid w:val="00043EA6"/>
    <w:rsid w:val="000449A9"/>
    <w:rsid w:val="00047D64"/>
    <w:rsid w:val="00051DDB"/>
    <w:rsid w:val="000524DF"/>
    <w:rsid w:val="00055849"/>
    <w:rsid w:val="000571A6"/>
    <w:rsid w:val="0005764F"/>
    <w:rsid w:val="00060BDF"/>
    <w:rsid w:val="00064E49"/>
    <w:rsid w:val="00065875"/>
    <w:rsid w:val="000739EC"/>
    <w:rsid w:val="000864F6"/>
    <w:rsid w:val="00090E0B"/>
    <w:rsid w:val="00091EC9"/>
    <w:rsid w:val="0009361A"/>
    <w:rsid w:val="00093935"/>
    <w:rsid w:val="0009799D"/>
    <w:rsid w:val="000A0E4D"/>
    <w:rsid w:val="000A15A6"/>
    <w:rsid w:val="000A2D28"/>
    <w:rsid w:val="000A4338"/>
    <w:rsid w:val="000A4FE6"/>
    <w:rsid w:val="000B08BC"/>
    <w:rsid w:val="000B192F"/>
    <w:rsid w:val="000B5CCC"/>
    <w:rsid w:val="000B7C67"/>
    <w:rsid w:val="000C092F"/>
    <w:rsid w:val="000C135C"/>
    <w:rsid w:val="000C1775"/>
    <w:rsid w:val="000C3906"/>
    <w:rsid w:val="000C5BB6"/>
    <w:rsid w:val="000D231B"/>
    <w:rsid w:val="000D4A95"/>
    <w:rsid w:val="000D6BDC"/>
    <w:rsid w:val="000E103E"/>
    <w:rsid w:val="000E1212"/>
    <w:rsid w:val="000E2D1B"/>
    <w:rsid w:val="000E5101"/>
    <w:rsid w:val="000E638B"/>
    <w:rsid w:val="000F2AFE"/>
    <w:rsid w:val="000F3A5B"/>
    <w:rsid w:val="000F62CA"/>
    <w:rsid w:val="001019AA"/>
    <w:rsid w:val="001027AD"/>
    <w:rsid w:val="00103D1E"/>
    <w:rsid w:val="00106BC6"/>
    <w:rsid w:val="00112F6D"/>
    <w:rsid w:val="0011313B"/>
    <w:rsid w:val="00115A53"/>
    <w:rsid w:val="00122E2E"/>
    <w:rsid w:val="0012603F"/>
    <w:rsid w:val="00130EAA"/>
    <w:rsid w:val="00134EE0"/>
    <w:rsid w:val="00136E83"/>
    <w:rsid w:val="0014401B"/>
    <w:rsid w:val="00145E81"/>
    <w:rsid w:val="00145EC3"/>
    <w:rsid w:val="001500A1"/>
    <w:rsid w:val="0015108F"/>
    <w:rsid w:val="0015361A"/>
    <w:rsid w:val="00153D2A"/>
    <w:rsid w:val="00160DB0"/>
    <w:rsid w:val="001618BA"/>
    <w:rsid w:val="00162B16"/>
    <w:rsid w:val="001633CE"/>
    <w:rsid w:val="00167244"/>
    <w:rsid w:val="00170E92"/>
    <w:rsid w:val="00172A27"/>
    <w:rsid w:val="00173C23"/>
    <w:rsid w:val="00174431"/>
    <w:rsid w:val="00175AAF"/>
    <w:rsid w:val="00183796"/>
    <w:rsid w:val="00185079"/>
    <w:rsid w:val="00187220"/>
    <w:rsid w:val="00194AEF"/>
    <w:rsid w:val="001A31AB"/>
    <w:rsid w:val="001B104E"/>
    <w:rsid w:val="001B1FDC"/>
    <w:rsid w:val="001B2823"/>
    <w:rsid w:val="001B354A"/>
    <w:rsid w:val="001B3620"/>
    <w:rsid w:val="001B388E"/>
    <w:rsid w:val="001B3B0E"/>
    <w:rsid w:val="001B7144"/>
    <w:rsid w:val="001C1032"/>
    <w:rsid w:val="001C180D"/>
    <w:rsid w:val="001C2CD0"/>
    <w:rsid w:val="001C3B26"/>
    <w:rsid w:val="001D0DA4"/>
    <w:rsid w:val="001D3446"/>
    <w:rsid w:val="001D4132"/>
    <w:rsid w:val="001D5293"/>
    <w:rsid w:val="001D5FDA"/>
    <w:rsid w:val="001E0BCB"/>
    <w:rsid w:val="001E13CC"/>
    <w:rsid w:val="001E5ACA"/>
    <w:rsid w:val="001E5C84"/>
    <w:rsid w:val="001E6E32"/>
    <w:rsid w:val="001F2DA3"/>
    <w:rsid w:val="001F642F"/>
    <w:rsid w:val="00200AA2"/>
    <w:rsid w:val="00210A41"/>
    <w:rsid w:val="0021263B"/>
    <w:rsid w:val="0021351E"/>
    <w:rsid w:val="002156D3"/>
    <w:rsid w:val="0021692D"/>
    <w:rsid w:val="00220BE5"/>
    <w:rsid w:val="00220CFA"/>
    <w:rsid w:val="00220DD5"/>
    <w:rsid w:val="00222276"/>
    <w:rsid w:val="0022779B"/>
    <w:rsid w:val="00237812"/>
    <w:rsid w:val="00240C69"/>
    <w:rsid w:val="00244DA2"/>
    <w:rsid w:val="00246479"/>
    <w:rsid w:val="00247D31"/>
    <w:rsid w:val="00250DCF"/>
    <w:rsid w:val="002525F5"/>
    <w:rsid w:val="002527EC"/>
    <w:rsid w:val="00260505"/>
    <w:rsid w:val="0026051F"/>
    <w:rsid w:val="00262E9E"/>
    <w:rsid w:val="0026552B"/>
    <w:rsid w:val="002713C4"/>
    <w:rsid w:val="0027169F"/>
    <w:rsid w:val="0027314A"/>
    <w:rsid w:val="00276156"/>
    <w:rsid w:val="0028153C"/>
    <w:rsid w:val="00283254"/>
    <w:rsid w:val="0028435C"/>
    <w:rsid w:val="00286881"/>
    <w:rsid w:val="00290692"/>
    <w:rsid w:val="00290B93"/>
    <w:rsid w:val="00293DE8"/>
    <w:rsid w:val="0029438A"/>
    <w:rsid w:val="00294F2B"/>
    <w:rsid w:val="002957B2"/>
    <w:rsid w:val="002A0C69"/>
    <w:rsid w:val="002A0D21"/>
    <w:rsid w:val="002A5A2C"/>
    <w:rsid w:val="002B1655"/>
    <w:rsid w:val="002B1779"/>
    <w:rsid w:val="002B1CDB"/>
    <w:rsid w:val="002B28F2"/>
    <w:rsid w:val="002B3A00"/>
    <w:rsid w:val="002B4680"/>
    <w:rsid w:val="002B46E7"/>
    <w:rsid w:val="002B5FA1"/>
    <w:rsid w:val="002B646E"/>
    <w:rsid w:val="002B68F2"/>
    <w:rsid w:val="002B7042"/>
    <w:rsid w:val="002C20D3"/>
    <w:rsid w:val="002C2DC0"/>
    <w:rsid w:val="002C4263"/>
    <w:rsid w:val="002C5AAA"/>
    <w:rsid w:val="002D1DB2"/>
    <w:rsid w:val="002D224B"/>
    <w:rsid w:val="002D225D"/>
    <w:rsid w:val="002D4A13"/>
    <w:rsid w:val="002D6B36"/>
    <w:rsid w:val="002E321E"/>
    <w:rsid w:val="002E32E8"/>
    <w:rsid w:val="002E392A"/>
    <w:rsid w:val="002E43AF"/>
    <w:rsid w:val="002E51FD"/>
    <w:rsid w:val="002E5A17"/>
    <w:rsid w:val="002E601A"/>
    <w:rsid w:val="002E651A"/>
    <w:rsid w:val="002F1770"/>
    <w:rsid w:val="002F2F49"/>
    <w:rsid w:val="002F2FB6"/>
    <w:rsid w:val="002F32FC"/>
    <w:rsid w:val="002F582D"/>
    <w:rsid w:val="002F5F72"/>
    <w:rsid w:val="002F6981"/>
    <w:rsid w:val="003033B6"/>
    <w:rsid w:val="00304929"/>
    <w:rsid w:val="003060E8"/>
    <w:rsid w:val="00310A20"/>
    <w:rsid w:val="00313060"/>
    <w:rsid w:val="00314149"/>
    <w:rsid w:val="00316B8B"/>
    <w:rsid w:val="003204AC"/>
    <w:rsid w:val="00326D08"/>
    <w:rsid w:val="00333D4C"/>
    <w:rsid w:val="00334EF7"/>
    <w:rsid w:val="003455EC"/>
    <w:rsid w:val="00355C44"/>
    <w:rsid w:val="00367444"/>
    <w:rsid w:val="003703B4"/>
    <w:rsid w:val="00370E73"/>
    <w:rsid w:val="0037250B"/>
    <w:rsid w:val="00373E63"/>
    <w:rsid w:val="0037458F"/>
    <w:rsid w:val="003778AA"/>
    <w:rsid w:val="003803CD"/>
    <w:rsid w:val="003816EF"/>
    <w:rsid w:val="00383DEC"/>
    <w:rsid w:val="0038577F"/>
    <w:rsid w:val="00387748"/>
    <w:rsid w:val="0039011E"/>
    <w:rsid w:val="00394350"/>
    <w:rsid w:val="003964C0"/>
    <w:rsid w:val="003A02D7"/>
    <w:rsid w:val="003A0A59"/>
    <w:rsid w:val="003A20D1"/>
    <w:rsid w:val="003C1B37"/>
    <w:rsid w:val="003C5F20"/>
    <w:rsid w:val="003C6B65"/>
    <w:rsid w:val="003D08D2"/>
    <w:rsid w:val="003D1432"/>
    <w:rsid w:val="003D33D5"/>
    <w:rsid w:val="003D378B"/>
    <w:rsid w:val="003D6CC0"/>
    <w:rsid w:val="003D6F83"/>
    <w:rsid w:val="003E0455"/>
    <w:rsid w:val="003E26F5"/>
    <w:rsid w:val="003E6091"/>
    <w:rsid w:val="003E6268"/>
    <w:rsid w:val="003F1B58"/>
    <w:rsid w:val="003F1C98"/>
    <w:rsid w:val="00400609"/>
    <w:rsid w:val="00402745"/>
    <w:rsid w:val="0040289E"/>
    <w:rsid w:val="004035B3"/>
    <w:rsid w:val="00410849"/>
    <w:rsid w:val="004133E2"/>
    <w:rsid w:val="00421C0B"/>
    <w:rsid w:val="00422365"/>
    <w:rsid w:val="004247BB"/>
    <w:rsid w:val="00424FDA"/>
    <w:rsid w:val="00424FED"/>
    <w:rsid w:val="00425851"/>
    <w:rsid w:val="00425E9F"/>
    <w:rsid w:val="00427494"/>
    <w:rsid w:val="0043286E"/>
    <w:rsid w:val="004329AD"/>
    <w:rsid w:val="00432EDC"/>
    <w:rsid w:val="00433488"/>
    <w:rsid w:val="00441E37"/>
    <w:rsid w:val="00442A84"/>
    <w:rsid w:val="00443C15"/>
    <w:rsid w:val="004453D7"/>
    <w:rsid w:val="004507F1"/>
    <w:rsid w:val="004541CB"/>
    <w:rsid w:val="00463ED9"/>
    <w:rsid w:val="00465B46"/>
    <w:rsid w:val="00467B48"/>
    <w:rsid w:val="00475CD3"/>
    <w:rsid w:val="004803E2"/>
    <w:rsid w:val="0048136C"/>
    <w:rsid w:val="00494A82"/>
    <w:rsid w:val="004A0A68"/>
    <w:rsid w:val="004A4BC1"/>
    <w:rsid w:val="004A6CB2"/>
    <w:rsid w:val="004B012C"/>
    <w:rsid w:val="004B4658"/>
    <w:rsid w:val="004B498E"/>
    <w:rsid w:val="004B631E"/>
    <w:rsid w:val="004B635B"/>
    <w:rsid w:val="004C2993"/>
    <w:rsid w:val="004D1511"/>
    <w:rsid w:val="004D3A80"/>
    <w:rsid w:val="004D430A"/>
    <w:rsid w:val="004D5228"/>
    <w:rsid w:val="004E0461"/>
    <w:rsid w:val="004E069A"/>
    <w:rsid w:val="004F4B90"/>
    <w:rsid w:val="00500014"/>
    <w:rsid w:val="0050046A"/>
    <w:rsid w:val="0050087F"/>
    <w:rsid w:val="0050340C"/>
    <w:rsid w:val="00504579"/>
    <w:rsid w:val="00504DD9"/>
    <w:rsid w:val="00505D0E"/>
    <w:rsid w:val="00510173"/>
    <w:rsid w:val="005118AC"/>
    <w:rsid w:val="005120B4"/>
    <w:rsid w:val="00520A9F"/>
    <w:rsid w:val="00521994"/>
    <w:rsid w:val="00530F9A"/>
    <w:rsid w:val="00531619"/>
    <w:rsid w:val="00533DBA"/>
    <w:rsid w:val="005349DD"/>
    <w:rsid w:val="00543323"/>
    <w:rsid w:val="005449CD"/>
    <w:rsid w:val="00553423"/>
    <w:rsid w:val="00562743"/>
    <w:rsid w:val="00562C82"/>
    <w:rsid w:val="00566AC7"/>
    <w:rsid w:val="0057296E"/>
    <w:rsid w:val="00572DA7"/>
    <w:rsid w:val="00573153"/>
    <w:rsid w:val="00573C62"/>
    <w:rsid w:val="00574517"/>
    <w:rsid w:val="00591502"/>
    <w:rsid w:val="005923C5"/>
    <w:rsid w:val="00594BFB"/>
    <w:rsid w:val="005979FF"/>
    <w:rsid w:val="005A3176"/>
    <w:rsid w:val="005A3911"/>
    <w:rsid w:val="005A4131"/>
    <w:rsid w:val="005B0EE1"/>
    <w:rsid w:val="005B21FF"/>
    <w:rsid w:val="005B4961"/>
    <w:rsid w:val="005C1347"/>
    <w:rsid w:val="005C2FC9"/>
    <w:rsid w:val="005C32D0"/>
    <w:rsid w:val="005C75CD"/>
    <w:rsid w:val="005D0DAD"/>
    <w:rsid w:val="005D3236"/>
    <w:rsid w:val="005D391F"/>
    <w:rsid w:val="005D42BE"/>
    <w:rsid w:val="005D4608"/>
    <w:rsid w:val="005D5632"/>
    <w:rsid w:val="005D5C6A"/>
    <w:rsid w:val="005D626C"/>
    <w:rsid w:val="005E226F"/>
    <w:rsid w:val="005E4289"/>
    <w:rsid w:val="005E62A2"/>
    <w:rsid w:val="005E725B"/>
    <w:rsid w:val="005F2153"/>
    <w:rsid w:val="005F3A97"/>
    <w:rsid w:val="005F5F4A"/>
    <w:rsid w:val="005F65DF"/>
    <w:rsid w:val="005F7683"/>
    <w:rsid w:val="00610176"/>
    <w:rsid w:val="0061186A"/>
    <w:rsid w:val="0061200D"/>
    <w:rsid w:val="00614987"/>
    <w:rsid w:val="00621B74"/>
    <w:rsid w:val="00626052"/>
    <w:rsid w:val="0062765A"/>
    <w:rsid w:val="0063060A"/>
    <w:rsid w:val="00630C07"/>
    <w:rsid w:val="00630C0C"/>
    <w:rsid w:val="00632305"/>
    <w:rsid w:val="0064266B"/>
    <w:rsid w:val="00643C14"/>
    <w:rsid w:val="006511C3"/>
    <w:rsid w:val="00651B51"/>
    <w:rsid w:val="0065448D"/>
    <w:rsid w:val="006561CA"/>
    <w:rsid w:val="0065724B"/>
    <w:rsid w:val="00660AD9"/>
    <w:rsid w:val="00661C43"/>
    <w:rsid w:val="0066575C"/>
    <w:rsid w:val="00670409"/>
    <w:rsid w:val="0067503A"/>
    <w:rsid w:val="00675BB2"/>
    <w:rsid w:val="006760B5"/>
    <w:rsid w:val="00681DCA"/>
    <w:rsid w:val="00682569"/>
    <w:rsid w:val="00684CC0"/>
    <w:rsid w:val="00685847"/>
    <w:rsid w:val="006859E8"/>
    <w:rsid w:val="0068654C"/>
    <w:rsid w:val="00691990"/>
    <w:rsid w:val="00694AD5"/>
    <w:rsid w:val="006A30E7"/>
    <w:rsid w:val="006A352F"/>
    <w:rsid w:val="006A414E"/>
    <w:rsid w:val="006A5F7C"/>
    <w:rsid w:val="006A6858"/>
    <w:rsid w:val="006A7003"/>
    <w:rsid w:val="006B00F6"/>
    <w:rsid w:val="006C0DD3"/>
    <w:rsid w:val="006C20DF"/>
    <w:rsid w:val="006C27D4"/>
    <w:rsid w:val="006C3F78"/>
    <w:rsid w:val="006C44FE"/>
    <w:rsid w:val="006C6120"/>
    <w:rsid w:val="006C7DB2"/>
    <w:rsid w:val="006D02B6"/>
    <w:rsid w:val="006D063F"/>
    <w:rsid w:val="006D2517"/>
    <w:rsid w:val="006D48E1"/>
    <w:rsid w:val="006D5FD5"/>
    <w:rsid w:val="006D6999"/>
    <w:rsid w:val="006D6FA9"/>
    <w:rsid w:val="006E165D"/>
    <w:rsid w:val="006E4B98"/>
    <w:rsid w:val="006E4E35"/>
    <w:rsid w:val="006E6E80"/>
    <w:rsid w:val="006E7CAF"/>
    <w:rsid w:val="006F1B11"/>
    <w:rsid w:val="006F1E2E"/>
    <w:rsid w:val="006F70E2"/>
    <w:rsid w:val="006F72F9"/>
    <w:rsid w:val="006F7DCD"/>
    <w:rsid w:val="0070043D"/>
    <w:rsid w:val="00705212"/>
    <w:rsid w:val="007079A5"/>
    <w:rsid w:val="007108A1"/>
    <w:rsid w:val="00711EA4"/>
    <w:rsid w:val="00715177"/>
    <w:rsid w:val="00716957"/>
    <w:rsid w:val="00720269"/>
    <w:rsid w:val="007219AF"/>
    <w:rsid w:val="007247E7"/>
    <w:rsid w:val="00724892"/>
    <w:rsid w:val="007249D9"/>
    <w:rsid w:val="00724A04"/>
    <w:rsid w:val="00724FFF"/>
    <w:rsid w:val="0073224F"/>
    <w:rsid w:val="007335C1"/>
    <w:rsid w:val="00735AA2"/>
    <w:rsid w:val="00735EA4"/>
    <w:rsid w:val="00736001"/>
    <w:rsid w:val="00740059"/>
    <w:rsid w:val="00740FB3"/>
    <w:rsid w:val="00741351"/>
    <w:rsid w:val="00741789"/>
    <w:rsid w:val="00743DDF"/>
    <w:rsid w:val="00744A89"/>
    <w:rsid w:val="00745687"/>
    <w:rsid w:val="00747962"/>
    <w:rsid w:val="0075070D"/>
    <w:rsid w:val="00751324"/>
    <w:rsid w:val="00752C78"/>
    <w:rsid w:val="007603C6"/>
    <w:rsid w:val="00762641"/>
    <w:rsid w:val="007636F4"/>
    <w:rsid w:val="007657DA"/>
    <w:rsid w:val="00767EB5"/>
    <w:rsid w:val="0077123A"/>
    <w:rsid w:val="00772B56"/>
    <w:rsid w:val="0077391F"/>
    <w:rsid w:val="00777AD6"/>
    <w:rsid w:val="00781479"/>
    <w:rsid w:val="007820A4"/>
    <w:rsid w:val="00783303"/>
    <w:rsid w:val="007847E9"/>
    <w:rsid w:val="00787F49"/>
    <w:rsid w:val="00790A08"/>
    <w:rsid w:val="007925D2"/>
    <w:rsid w:val="007971F8"/>
    <w:rsid w:val="00797C0F"/>
    <w:rsid w:val="007A5B87"/>
    <w:rsid w:val="007A6464"/>
    <w:rsid w:val="007B3285"/>
    <w:rsid w:val="007B5519"/>
    <w:rsid w:val="007C4C08"/>
    <w:rsid w:val="007C6A3F"/>
    <w:rsid w:val="007C6E10"/>
    <w:rsid w:val="007D2F26"/>
    <w:rsid w:val="007D47D5"/>
    <w:rsid w:val="007D6387"/>
    <w:rsid w:val="007E0CEB"/>
    <w:rsid w:val="007E1E5B"/>
    <w:rsid w:val="007E5F14"/>
    <w:rsid w:val="007E5F62"/>
    <w:rsid w:val="007E6A43"/>
    <w:rsid w:val="007E71F5"/>
    <w:rsid w:val="007E73B0"/>
    <w:rsid w:val="007F4D32"/>
    <w:rsid w:val="007F7ABB"/>
    <w:rsid w:val="008000B0"/>
    <w:rsid w:val="00801DEF"/>
    <w:rsid w:val="0080217E"/>
    <w:rsid w:val="008028FB"/>
    <w:rsid w:val="008031F1"/>
    <w:rsid w:val="00804A4E"/>
    <w:rsid w:val="0080614C"/>
    <w:rsid w:val="00807872"/>
    <w:rsid w:val="0081281C"/>
    <w:rsid w:val="00817CCC"/>
    <w:rsid w:val="00826B74"/>
    <w:rsid w:val="00831006"/>
    <w:rsid w:val="008357E9"/>
    <w:rsid w:val="00845769"/>
    <w:rsid w:val="0084595F"/>
    <w:rsid w:val="00855B04"/>
    <w:rsid w:val="00856F9A"/>
    <w:rsid w:val="00865539"/>
    <w:rsid w:val="00867C65"/>
    <w:rsid w:val="00867F3C"/>
    <w:rsid w:val="00870955"/>
    <w:rsid w:val="00872B82"/>
    <w:rsid w:val="00874426"/>
    <w:rsid w:val="00875640"/>
    <w:rsid w:val="008761AB"/>
    <w:rsid w:val="00876312"/>
    <w:rsid w:val="00881621"/>
    <w:rsid w:val="008830AC"/>
    <w:rsid w:val="008855E4"/>
    <w:rsid w:val="008861AE"/>
    <w:rsid w:val="0089328E"/>
    <w:rsid w:val="00897C23"/>
    <w:rsid w:val="008A594E"/>
    <w:rsid w:val="008B3660"/>
    <w:rsid w:val="008B4671"/>
    <w:rsid w:val="008B5C32"/>
    <w:rsid w:val="008B6E33"/>
    <w:rsid w:val="008B7216"/>
    <w:rsid w:val="008C000B"/>
    <w:rsid w:val="008C3554"/>
    <w:rsid w:val="008C4E5C"/>
    <w:rsid w:val="008C633E"/>
    <w:rsid w:val="008D2BB6"/>
    <w:rsid w:val="008D47E6"/>
    <w:rsid w:val="008E1587"/>
    <w:rsid w:val="008E64B8"/>
    <w:rsid w:val="008F2A45"/>
    <w:rsid w:val="008F42F1"/>
    <w:rsid w:val="008F5042"/>
    <w:rsid w:val="008F5272"/>
    <w:rsid w:val="00900464"/>
    <w:rsid w:val="00902DE7"/>
    <w:rsid w:val="00904AE8"/>
    <w:rsid w:val="0091049B"/>
    <w:rsid w:val="00912229"/>
    <w:rsid w:val="00913726"/>
    <w:rsid w:val="00914D91"/>
    <w:rsid w:val="00915E8C"/>
    <w:rsid w:val="00921008"/>
    <w:rsid w:val="00921EB2"/>
    <w:rsid w:val="009224A5"/>
    <w:rsid w:val="009238F5"/>
    <w:rsid w:val="009312FA"/>
    <w:rsid w:val="00935CDF"/>
    <w:rsid w:val="0093690A"/>
    <w:rsid w:val="00936A59"/>
    <w:rsid w:val="0094157C"/>
    <w:rsid w:val="00941691"/>
    <w:rsid w:val="00945555"/>
    <w:rsid w:val="009523E8"/>
    <w:rsid w:val="0095414E"/>
    <w:rsid w:val="00954420"/>
    <w:rsid w:val="0095654C"/>
    <w:rsid w:val="00957118"/>
    <w:rsid w:val="00961697"/>
    <w:rsid w:val="009633A0"/>
    <w:rsid w:val="00972AD9"/>
    <w:rsid w:val="00972D74"/>
    <w:rsid w:val="0097394C"/>
    <w:rsid w:val="009741CE"/>
    <w:rsid w:val="00976333"/>
    <w:rsid w:val="00976425"/>
    <w:rsid w:val="009808B4"/>
    <w:rsid w:val="009864F9"/>
    <w:rsid w:val="0099054D"/>
    <w:rsid w:val="00991C2E"/>
    <w:rsid w:val="00992349"/>
    <w:rsid w:val="00992AA1"/>
    <w:rsid w:val="00993CCF"/>
    <w:rsid w:val="00994A20"/>
    <w:rsid w:val="009954FA"/>
    <w:rsid w:val="009A00B0"/>
    <w:rsid w:val="009A10A6"/>
    <w:rsid w:val="009A6024"/>
    <w:rsid w:val="009B42B8"/>
    <w:rsid w:val="009B5A9E"/>
    <w:rsid w:val="009B5AAB"/>
    <w:rsid w:val="009B5D0A"/>
    <w:rsid w:val="009B5E2B"/>
    <w:rsid w:val="009C08A6"/>
    <w:rsid w:val="009C0994"/>
    <w:rsid w:val="009C339F"/>
    <w:rsid w:val="009C401D"/>
    <w:rsid w:val="009C49D8"/>
    <w:rsid w:val="009C7C3E"/>
    <w:rsid w:val="009D1A82"/>
    <w:rsid w:val="009D1BC2"/>
    <w:rsid w:val="009D4E57"/>
    <w:rsid w:val="009E531A"/>
    <w:rsid w:val="009E6071"/>
    <w:rsid w:val="009E695E"/>
    <w:rsid w:val="009E70C8"/>
    <w:rsid w:val="009E7612"/>
    <w:rsid w:val="009F19A2"/>
    <w:rsid w:val="009F56F2"/>
    <w:rsid w:val="009F61CC"/>
    <w:rsid w:val="009F76D9"/>
    <w:rsid w:val="00A10700"/>
    <w:rsid w:val="00A120E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5AF"/>
    <w:rsid w:val="00A52C70"/>
    <w:rsid w:val="00A556AC"/>
    <w:rsid w:val="00A60B1F"/>
    <w:rsid w:val="00A62048"/>
    <w:rsid w:val="00A627F3"/>
    <w:rsid w:val="00A673E1"/>
    <w:rsid w:val="00A75608"/>
    <w:rsid w:val="00A77387"/>
    <w:rsid w:val="00A80309"/>
    <w:rsid w:val="00A805A4"/>
    <w:rsid w:val="00A80EE8"/>
    <w:rsid w:val="00A85050"/>
    <w:rsid w:val="00A85AED"/>
    <w:rsid w:val="00A9033A"/>
    <w:rsid w:val="00A91861"/>
    <w:rsid w:val="00AA24F4"/>
    <w:rsid w:val="00AB0C96"/>
    <w:rsid w:val="00AB3A97"/>
    <w:rsid w:val="00AB4466"/>
    <w:rsid w:val="00AB5D9E"/>
    <w:rsid w:val="00AB762D"/>
    <w:rsid w:val="00AB7CB0"/>
    <w:rsid w:val="00AC3C7D"/>
    <w:rsid w:val="00AC5E2A"/>
    <w:rsid w:val="00AD2213"/>
    <w:rsid w:val="00AE504D"/>
    <w:rsid w:val="00AF0FAA"/>
    <w:rsid w:val="00AF1C97"/>
    <w:rsid w:val="00AF28CD"/>
    <w:rsid w:val="00AF7370"/>
    <w:rsid w:val="00B0185A"/>
    <w:rsid w:val="00B02899"/>
    <w:rsid w:val="00B02F52"/>
    <w:rsid w:val="00B05E3A"/>
    <w:rsid w:val="00B15DFE"/>
    <w:rsid w:val="00B168B4"/>
    <w:rsid w:val="00B20110"/>
    <w:rsid w:val="00B21407"/>
    <w:rsid w:val="00B310FE"/>
    <w:rsid w:val="00B31F50"/>
    <w:rsid w:val="00B32028"/>
    <w:rsid w:val="00B335B1"/>
    <w:rsid w:val="00B35514"/>
    <w:rsid w:val="00B36EA2"/>
    <w:rsid w:val="00B3701C"/>
    <w:rsid w:val="00B3729D"/>
    <w:rsid w:val="00B43BF5"/>
    <w:rsid w:val="00B44EC4"/>
    <w:rsid w:val="00B46D0B"/>
    <w:rsid w:val="00B4746D"/>
    <w:rsid w:val="00B50AA3"/>
    <w:rsid w:val="00B51A48"/>
    <w:rsid w:val="00B5212F"/>
    <w:rsid w:val="00B52AF4"/>
    <w:rsid w:val="00B537AA"/>
    <w:rsid w:val="00B56FF2"/>
    <w:rsid w:val="00B73F29"/>
    <w:rsid w:val="00B73F43"/>
    <w:rsid w:val="00B76FB5"/>
    <w:rsid w:val="00B8179D"/>
    <w:rsid w:val="00B84903"/>
    <w:rsid w:val="00B92025"/>
    <w:rsid w:val="00B92CAF"/>
    <w:rsid w:val="00B94BAC"/>
    <w:rsid w:val="00B967ED"/>
    <w:rsid w:val="00BA17CC"/>
    <w:rsid w:val="00BA6742"/>
    <w:rsid w:val="00BA72A5"/>
    <w:rsid w:val="00BA7DCB"/>
    <w:rsid w:val="00BB4DB3"/>
    <w:rsid w:val="00BC231E"/>
    <w:rsid w:val="00BC4FE1"/>
    <w:rsid w:val="00BC5F50"/>
    <w:rsid w:val="00BC6972"/>
    <w:rsid w:val="00BD2C47"/>
    <w:rsid w:val="00BD3EA2"/>
    <w:rsid w:val="00BD4D76"/>
    <w:rsid w:val="00BD4E36"/>
    <w:rsid w:val="00BD65F8"/>
    <w:rsid w:val="00BD763B"/>
    <w:rsid w:val="00BD79DA"/>
    <w:rsid w:val="00BE0BD0"/>
    <w:rsid w:val="00BE0C40"/>
    <w:rsid w:val="00BE20C3"/>
    <w:rsid w:val="00BE4C8A"/>
    <w:rsid w:val="00BE7176"/>
    <w:rsid w:val="00BF03E2"/>
    <w:rsid w:val="00BF19D3"/>
    <w:rsid w:val="00BF233E"/>
    <w:rsid w:val="00BF3315"/>
    <w:rsid w:val="00BF63A3"/>
    <w:rsid w:val="00BF6944"/>
    <w:rsid w:val="00BF6BEA"/>
    <w:rsid w:val="00C00D16"/>
    <w:rsid w:val="00C0192D"/>
    <w:rsid w:val="00C053B5"/>
    <w:rsid w:val="00C05BD3"/>
    <w:rsid w:val="00C06780"/>
    <w:rsid w:val="00C06B71"/>
    <w:rsid w:val="00C13BB9"/>
    <w:rsid w:val="00C17134"/>
    <w:rsid w:val="00C20ACB"/>
    <w:rsid w:val="00C22317"/>
    <w:rsid w:val="00C224CF"/>
    <w:rsid w:val="00C34B36"/>
    <w:rsid w:val="00C362FD"/>
    <w:rsid w:val="00C36656"/>
    <w:rsid w:val="00C37AD7"/>
    <w:rsid w:val="00C424B3"/>
    <w:rsid w:val="00C5104C"/>
    <w:rsid w:val="00C52136"/>
    <w:rsid w:val="00C53775"/>
    <w:rsid w:val="00C57033"/>
    <w:rsid w:val="00C6149A"/>
    <w:rsid w:val="00C61A4D"/>
    <w:rsid w:val="00C63FF4"/>
    <w:rsid w:val="00C650C0"/>
    <w:rsid w:val="00C67192"/>
    <w:rsid w:val="00C72612"/>
    <w:rsid w:val="00C77BFA"/>
    <w:rsid w:val="00C94EED"/>
    <w:rsid w:val="00C9738A"/>
    <w:rsid w:val="00CA5206"/>
    <w:rsid w:val="00CA6B7F"/>
    <w:rsid w:val="00CB450A"/>
    <w:rsid w:val="00CB5439"/>
    <w:rsid w:val="00CB689E"/>
    <w:rsid w:val="00CB694A"/>
    <w:rsid w:val="00CC0844"/>
    <w:rsid w:val="00CC0E95"/>
    <w:rsid w:val="00CC2D24"/>
    <w:rsid w:val="00CC3041"/>
    <w:rsid w:val="00CD1978"/>
    <w:rsid w:val="00CD26A8"/>
    <w:rsid w:val="00CD3EB4"/>
    <w:rsid w:val="00CD68B8"/>
    <w:rsid w:val="00CE1EC9"/>
    <w:rsid w:val="00CE68B4"/>
    <w:rsid w:val="00CE768C"/>
    <w:rsid w:val="00CF003B"/>
    <w:rsid w:val="00D01379"/>
    <w:rsid w:val="00D01D0F"/>
    <w:rsid w:val="00D0569E"/>
    <w:rsid w:val="00D168F3"/>
    <w:rsid w:val="00D23560"/>
    <w:rsid w:val="00D25854"/>
    <w:rsid w:val="00D27402"/>
    <w:rsid w:val="00D30536"/>
    <w:rsid w:val="00D306E0"/>
    <w:rsid w:val="00D31E4B"/>
    <w:rsid w:val="00D325EA"/>
    <w:rsid w:val="00D32FD8"/>
    <w:rsid w:val="00D33906"/>
    <w:rsid w:val="00D3565A"/>
    <w:rsid w:val="00D411BC"/>
    <w:rsid w:val="00D41306"/>
    <w:rsid w:val="00D41637"/>
    <w:rsid w:val="00D45F64"/>
    <w:rsid w:val="00D506F5"/>
    <w:rsid w:val="00D51A3F"/>
    <w:rsid w:val="00D536F9"/>
    <w:rsid w:val="00D54273"/>
    <w:rsid w:val="00D55ADC"/>
    <w:rsid w:val="00D56B5D"/>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B2AED"/>
    <w:rsid w:val="00DC0934"/>
    <w:rsid w:val="00DC31B2"/>
    <w:rsid w:val="00DD10CD"/>
    <w:rsid w:val="00DD656B"/>
    <w:rsid w:val="00DE4818"/>
    <w:rsid w:val="00DF2F86"/>
    <w:rsid w:val="00DF4D97"/>
    <w:rsid w:val="00DF780E"/>
    <w:rsid w:val="00E04115"/>
    <w:rsid w:val="00E047D0"/>
    <w:rsid w:val="00E05A25"/>
    <w:rsid w:val="00E06BE5"/>
    <w:rsid w:val="00E114E0"/>
    <w:rsid w:val="00E11E65"/>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1029"/>
    <w:rsid w:val="00E66313"/>
    <w:rsid w:val="00E71EEB"/>
    <w:rsid w:val="00E774AB"/>
    <w:rsid w:val="00E80D1E"/>
    <w:rsid w:val="00E81B72"/>
    <w:rsid w:val="00E8331E"/>
    <w:rsid w:val="00E9002F"/>
    <w:rsid w:val="00E90FA3"/>
    <w:rsid w:val="00E950EE"/>
    <w:rsid w:val="00E972E9"/>
    <w:rsid w:val="00E977CD"/>
    <w:rsid w:val="00EA13AB"/>
    <w:rsid w:val="00EA4AF9"/>
    <w:rsid w:val="00EB1478"/>
    <w:rsid w:val="00EB17A4"/>
    <w:rsid w:val="00EB3115"/>
    <w:rsid w:val="00EB330A"/>
    <w:rsid w:val="00EB556C"/>
    <w:rsid w:val="00EB5B56"/>
    <w:rsid w:val="00EB75AB"/>
    <w:rsid w:val="00EC0D7D"/>
    <w:rsid w:val="00EC4AB3"/>
    <w:rsid w:val="00EC603D"/>
    <w:rsid w:val="00EC618E"/>
    <w:rsid w:val="00ED12D4"/>
    <w:rsid w:val="00ED4E89"/>
    <w:rsid w:val="00EE20B7"/>
    <w:rsid w:val="00EF36D1"/>
    <w:rsid w:val="00F00998"/>
    <w:rsid w:val="00F04BDB"/>
    <w:rsid w:val="00F06D26"/>
    <w:rsid w:val="00F0784F"/>
    <w:rsid w:val="00F150BD"/>
    <w:rsid w:val="00F204B5"/>
    <w:rsid w:val="00F2464A"/>
    <w:rsid w:val="00F25E73"/>
    <w:rsid w:val="00F26088"/>
    <w:rsid w:val="00F30245"/>
    <w:rsid w:val="00F342F0"/>
    <w:rsid w:val="00F41DAF"/>
    <w:rsid w:val="00F4619F"/>
    <w:rsid w:val="00F50398"/>
    <w:rsid w:val="00F52936"/>
    <w:rsid w:val="00F52B8C"/>
    <w:rsid w:val="00F602DF"/>
    <w:rsid w:val="00F612E5"/>
    <w:rsid w:val="00F67C33"/>
    <w:rsid w:val="00F7008C"/>
    <w:rsid w:val="00F74506"/>
    <w:rsid w:val="00F77351"/>
    <w:rsid w:val="00F81A9D"/>
    <w:rsid w:val="00F83C5D"/>
    <w:rsid w:val="00F83DAA"/>
    <w:rsid w:val="00F85027"/>
    <w:rsid w:val="00F854CB"/>
    <w:rsid w:val="00F90A09"/>
    <w:rsid w:val="00F91DAA"/>
    <w:rsid w:val="00F92E18"/>
    <w:rsid w:val="00F95CCB"/>
    <w:rsid w:val="00F97559"/>
    <w:rsid w:val="00F977A0"/>
    <w:rsid w:val="00FA1D2C"/>
    <w:rsid w:val="00FA1F1A"/>
    <w:rsid w:val="00FA2237"/>
    <w:rsid w:val="00FA2C5D"/>
    <w:rsid w:val="00FA5FF9"/>
    <w:rsid w:val="00FA6595"/>
    <w:rsid w:val="00FB49E3"/>
    <w:rsid w:val="00FB64AE"/>
    <w:rsid w:val="00FB79F6"/>
    <w:rsid w:val="00FB7DA7"/>
    <w:rsid w:val="00FC2897"/>
    <w:rsid w:val="00FD2F77"/>
    <w:rsid w:val="00FD2F93"/>
    <w:rsid w:val="00FD71F3"/>
    <w:rsid w:val="00FD7204"/>
    <w:rsid w:val="00FE1AC4"/>
    <w:rsid w:val="00FE5D68"/>
    <w:rsid w:val="00FE7373"/>
    <w:rsid w:val="00FF1ECD"/>
    <w:rsid w:val="00FF6AE6"/>
    <w:rsid w:val="01276CE6"/>
    <w:rsid w:val="01391AF7"/>
    <w:rsid w:val="01A56820"/>
    <w:rsid w:val="01B73196"/>
    <w:rsid w:val="01DB0F21"/>
    <w:rsid w:val="01F85948"/>
    <w:rsid w:val="027D1EDC"/>
    <w:rsid w:val="02AA6F17"/>
    <w:rsid w:val="02E6429D"/>
    <w:rsid w:val="032E5AB3"/>
    <w:rsid w:val="0380752A"/>
    <w:rsid w:val="04874841"/>
    <w:rsid w:val="04AF0DC0"/>
    <w:rsid w:val="04E35F2C"/>
    <w:rsid w:val="051A29E5"/>
    <w:rsid w:val="05722226"/>
    <w:rsid w:val="05CA3B1B"/>
    <w:rsid w:val="05D40F8A"/>
    <w:rsid w:val="05E97CB2"/>
    <w:rsid w:val="060D6A3B"/>
    <w:rsid w:val="06193B1E"/>
    <w:rsid w:val="06383C8B"/>
    <w:rsid w:val="06C6067E"/>
    <w:rsid w:val="06DF18E2"/>
    <w:rsid w:val="0707497A"/>
    <w:rsid w:val="07394A3D"/>
    <w:rsid w:val="07416329"/>
    <w:rsid w:val="07501B9E"/>
    <w:rsid w:val="0838785B"/>
    <w:rsid w:val="087D0B78"/>
    <w:rsid w:val="08892006"/>
    <w:rsid w:val="0920129B"/>
    <w:rsid w:val="09823E4D"/>
    <w:rsid w:val="098852A8"/>
    <w:rsid w:val="09E910E9"/>
    <w:rsid w:val="0A4B18CE"/>
    <w:rsid w:val="0A695711"/>
    <w:rsid w:val="0A8A4B12"/>
    <w:rsid w:val="0AC800D5"/>
    <w:rsid w:val="0AFA19A7"/>
    <w:rsid w:val="0B181252"/>
    <w:rsid w:val="0B2543AA"/>
    <w:rsid w:val="0B651CEF"/>
    <w:rsid w:val="0C275A89"/>
    <w:rsid w:val="0CBB5882"/>
    <w:rsid w:val="0D531CDF"/>
    <w:rsid w:val="0D544B00"/>
    <w:rsid w:val="0DCA3125"/>
    <w:rsid w:val="0E416A77"/>
    <w:rsid w:val="0E5C2657"/>
    <w:rsid w:val="0EA34036"/>
    <w:rsid w:val="0EB049DF"/>
    <w:rsid w:val="0EB63F9D"/>
    <w:rsid w:val="0F245037"/>
    <w:rsid w:val="0F54794B"/>
    <w:rsid w:val="0F6A354E"/>
    <w:rsid w:val="0F88478D"/>
    <w:rsid w:val="0FB73DA5"/>
    <w:rsid w:val="0FDE2587"/>
    <w:rsid w:val="10142A07"/>
    <w:rsid w:val="103649EC"/>
    <w:rsid w:val="10480E2B"/>
    <w:rsid w:val="10507757"/>
    <w:rsid w:val="107A1082"/>
    <w:rsid w:val="109E7189"/>
    <w:rsid w:val="10C72BB3"/>
    <w:rsid w:val="11010E3B"/>
    <w:rsid w:val="115206FB"/>
    <w:rsid w:val="11531DCE"/>
    <w:rsid w:val="11B40613"/>
    <w:rsid w:val="11BE2022"/>
    <w:rsid w:val="11D83EA2"/>
    <w:rsid w:val="122510EE"/>
    <w:rsid w:val="12405481"/>
    <w:rsid w:val="125631F0"/>
    <w:rsid w:val="12853CE2"/>
    <w:rsid w:val="128D1331"/>
    <w:rsid w:val="12C1355D"/>
    <w:rsid w:val="12CF59C6"/>
    <w:rsid w:val="12EA1EE6"/>
    <w:rsid w:val="12EF7289"/>
    <w:rsid w:val="13166D7B"/>
    <w:rsid w:val="133D7CD4"/>
    <w:rsid w:val="134B6B77"/>
    <w:rsid w:val="134D5A81"/>
    <w:rsid w:val="13BF6991"/>
    <w:rsid w:val="13F03DED"/>
    <w:rsid w:val="13F95DC4"/>
    <w:rsid w:val="142A3E2D"/>
    <w:rsid w:val="144A7973"/>
    <w:rsid w:val="14DE5371"/>
    <w:rsid w:val="14E5758A"/>
    <w:rsid w:val="14FB7DA2"/>
    <w:rsid w:val="158710F3"/>
    <w:rsid w:val="15C772F3"/>
    <w:rsid w:val="15CE4C34"/>
    <w:rsid w:val="15F0775C"/>
    <w:rsid w:val="160A0AD0"/>
    <w:rsid w:val="16401732"/>
    <w:rsid w:val="165B6F79"/>
    <w:rsid w:val="166E5EB0"/>
    <w:rsid w:val="16AE3AE2"/>
    <w:rsid w:val="16F50974"/>
    <w:rsid w:val="177A195D"/>
    <w:rsid w:val="177E328B"/>
    <w:rsid w:val="1820060E"/>
    <w:rsid w:val="18205BA9"/>
    <w:rsid w:val="18370FAA"/>
    <w:rsid w:val="188D7D42"/>
    <w:rsid w:val="18C45643"/>
    <w:rsid w:val="19575882"/>
    <w:rsid w:val="195E155B"/>
    <w:rsid w:val="19AD08FD"/>
    <w:rsid w:val="19AE515D"/>
    <w:rsid w:val="19B31ECF"/>
    <w:rsid w:val="1A0C41D1"/>
    <w:rsid w:val="1A161388"/>
    <w:rsid w:val="1A336BE7"/>
    <w:rsid w:val="1A612D7C"/>
    <w:rsid w:val="1A807E72"/>
    <w:rsid w:val="1A8A2A47"/>
    <w:rsid w:val="1B16166A"/>
    <w:rsid w:val="1B66237D"/>
    <w:rsid w:val="1BB93E83"/>
    <w:rsid w:val="1BC644B6"/>
    <w:rsid w:val="1C1A733A"/>
    <w:rsid w:val="1C613AB1"/>
    <w:rsid w:val="1C8C0466"/>
    <w:rsid w:val="1CC854C2"/>
    <w:rsid w:val="1D0121D0"/>
    <w:rsid w:val="1D5B524F"/>
    <w:rsid w:val="1D6D3522"/>
    <w:rsid w:val="1DAB5588"/>
    <w:rsid w:val="1DD72694"/>
    <w:rsid w:val="1DDE1DE9"/>
    <w:rsid w:val="1DFA7416"/>
    <w:rsid w:val="1F44012B"/>
    <w:rsid w:val="1F474868"/>
    <w:rsid w:val="1F883C9F"/>
    <w:rsid w:val="1F971592"/>
    <w:rsid w:val="1FB94E27"/>
    <w:rsid w:val="1FF41576"/>
    <w:rsid w:val="20AF20C5"/>
    <w:rsid w:val="20ED7306"/>
    <w:rsid w:val="20F96916"/>
    <w:rsid w:val="211106C5"/>
    <w:rsid w:val="21431785"/>
    <w:rsid w:val="219E251A"/>
    <w:rsid w:val="21C24F4B"/>
    <w:rsid w:val="21D3334D"/>
    <w:rsid w:val="22071464"/>
    <w:rsid w:val="2232235C"/>
    <w:rsid w:val="227174F6"/>
    <w:rsid w:val="23291785"/>
    <w:rsid w:val="23710488"/>
    <w:rsid w:val="2381304A"/>
    <w:rsid w:val="23BB002C"/>
    <w:rsid w:val="23C33515"/>
    <w:rsid w:val="23F1680C"/>
    <w:rsid w:val="243E15D5"/>
    <w:rsid w:val="24551238"/>
    <w:rsid w:val="248E2DBA"/>
    <w:rsid w:val="25224672"/>
    <w:rsid w:val="25250089"/>
    <w:rsid w:val="25252A8D"/>
    <w:rsid w:val="25A67057"/>
    <w:rsid w:val="25D54115"/>
    <w:rsid w:val="25EC2E0C"/>
    <w:rsid w:val="25F72F27"/>
    <w:rsid w:val="260F4C55"/>
    <w:rsid w:val="26291B1A"/>
    <w:rsid w:val="26763E6F"/>
    <w:rsid w:val="267C3983"/>
    <w:rsid w:val="26BA6684"/>
    <w:rsid w:val="26D82BDE"/>
    <w:rsid w:val="26E84656"/>
    <w:rsid w:val="26EB0757"/>
    <w:rsid w:val="270101AC"/>
    <w:rsid w:val="274D71B2"/>
    <w:rsid w:val="2751147F"/>
    <w:rsid w:val="27724E6B"/>
    <w:rsid w:val="279C6957"/>
    <w:rsid w:val="27D32B77"/>
    <w:rsid w:val="27DE5929"/>
    <w:rsid w:val="27E14C4C"/>
    <w:rsid w:val="286C62A1"/>
    <w:rsid w:val="28A069B8"/>
    <w:rsid w:val="28F72971"/>
    <w:rsid w:val="2A3073E0"/>
    <w:rsid w:val="2AE35535"/>
    <w:rsid w:val="2B496FA3"/>
    <w:rsid w:val="2B532BFE"/>
    <w:rsid w:val="2BB024B4"/>
    <w:rsid w:val="2BC60F98"/>
    <w:rsid w:val="2BCB45F0"/>
    <w:rsid w:val="2C066A1A"/>
    <w:rsid w:val="2C0B4AE6"/>
    <w:rsid w:val="2C8165FA"/>
    <w:rsid w:val="2CAC7CBD"/>
    <w:rsid w:val="2CCC08A3"/>
    <w:rsid w:val="2D0A514C"/>
    <w:rsid w:val="2DB235BF"/>
    <w:rsid w:val="2E577392"/>
    <w:rsid w:val="2E6E3B00"/>
    <w:rsid w:val="2E8B1B62"/>
    <w:rsid w:val="2E970AE4"/>
    <w:rsid w:val="2EB227A5"/>
    <w:rsid w:val="2EE85916"/>
    <w:rsid w:val="2F822BAC"/>
    <w:rsid w:val="2F96630B"/>
    <w:rsid w:val="301F6139"/>
    <w:rsid w:val="30641E74"/>
    <w:rsid w:val="30810E1D"/>
    <w:rsid w:val="30830964"/>
    <w:rsid w:val="30F97581"/>
    <w:rsid w:val="314256C4"/>
    <w:rsid w:val="31947CF5"/>
    <w:rsid w:val="329F04E5"/>
    <w:rsid w:val="32F9755F"/>
    <w:rsid w:val="331B2806"/>
    <w:rsid w:val="333214D1"/>
    <w:rsid w:val="3370495E"/>
    <w:rsid w:val="33CC0FC6"/>
    <w:rsid w:val="33DD0EAC"/>
    <w:rsid w:val="34143D51"/>
    <w:rsid w:val="34302898"/>
    <w:rsid w:val="345B460B"/>
    <w:rsid w:val="348E2B4F"/>
    <w:rsid w:val="34BB4966"/>
    <w:rsid w:val="34BF0228"/>
    <w:rsid w:val="35C97D56"/>
    <w:rsid w:val="35EE5D6B"/>
    <w:rsid w:val="36292A82"/>
    <w:rsid w:val="3637765B"/>
    <w:rsid w:val="363A3F05"/>
    <w:rsid w:val="365311E6"/>
    <w:rsid w:val="367112A8"/>
    <w:rsid w:val="375445E4"/>
    <w:rsid w:val="376964D6"/>
    <w:rsid w:val="379C3619"/>
    <w:rsid w:val="37EC06FA"/>
    <w:rsid w:val="384A2F51"/>
    <w:rsid w:val="38CC73F3"/>
    <w:rsid w:val="395B66C1"/>
    <w:rsid w:val="395E3B0F"/>
    <w:rsid w:val="39930022"/>
    <w:rsid w:val="39AE15AC"/>
    <w:rsid w:val="39E83FB4"/>
    <w:rsid w:val="3A153790"/>
    <w:rsid w:val="3A1F11A7"/>
    <w:rsid w:val="3A86575A"/>
    <w:rsid w:val="3B115AB0"/>
    <w:rsid w:val="3B341FC1"/>
    <w:rsid w:val="3B6F11E8"/>
    <w:rsid w:val="3B732683"/>
    <w:rsid w:val="3B851216"/>
    <w:rsid w:val="3C9D50BD"/>
    <w:rsid w:val="3D0B4A9A"/>
    <w:rsid w:val="3D434C03"/>
    <w:rsid w:val="3D517AA3"/>
    <w:rsid w:val="3DA349DC"/>
    <w:rsid w:val="3DFB61B2"/>
    <w:rsid w:val="3E0A423B"/>
    <w:rsid w:val="3E2D22B3"/>
    <w:rsid w:val="3E3457B0"/>
    <w:rsid w:val="3E76679B"/>
    <w:rsid w:val="3E9753EA"/>
    <w:rsid w:val="3E9948D1"/>
    <w:rsid w:val="3ED67F0A"/>
    <w:rsid w:val="3EE41CB3"/>
    <w:rsid w:val="3F43088C"/>
    <w:rsid w:val="3F5E71A0"/>
    <w:rsid w:val="3F7F3F6B"/>
    <w:rsid w:val="3FAA346A"/>
    <w:rsid w:val="3FAB317E"/>
    <w:rsid w:val="40444749"/>
    <w:rsid w:val="40602185"/>
    <w:rsid w:val="406D3C7A"/>
    <w:rsid w:val="408D0A8F"/>
    <w:rsid w:val="409B1042"/>
    <w:rsid w:val="40DD4529"/>
    <w:rsid w:val="414920DE"/>
    <w:rsid w:val="41550B18"/>
    <w:rsid w:val="41695A82"/>
    <w:rsid w:val="41E371A6"/>
    <w:rsid w:val="4206324A"/>
    <w:rsid w:val="421F1FE8"/>
    <w:rsid w:val="42251528"/>
    <w:rsid w:val="426F6833"/>
    <w:rsid w:val="42B01A80"/>
    <w:rsid w:val="42B540C6"/>
    <w:rsid w:val="42C9215A"/>
    <w:rsid w:val="43124DBF"/>
    <w:rsid w:val="43267EE9"/>
    <w:rsid w:val="43411BCB"/>
    <w:rsid w:val="435C4BA0"/>
    <w:rsid w:val="4373005F"/>
    <w:rsid w:val="442418FE"/>
    <w:rsid w:val="444B78EE"/>
    <w:rsid w:val="44781DAA"/>
    <w:rsid w:val="44CA357E"/>
    <w:rsid w:val="45CF460B"/>
    <w:rsid w:val="45E27E1E"/>
    <w:rsid w:val="465A1068"/>
    <w:rsid w:val="466E7E2E"/>
    <w:rsid w:val="46A20BD3"/>
    <w:rsid w:val="46B03985"/>
    <w:rsid w:val="470316C4"/>
    <w:rsid w:val="470E368E"/>
    <w:rsid w:val="47411909"/>
    <w:rsid w:val="47AC7367"/>
    <w:rsid w:val="47BA5BC1"/>
    <w:rsid w:val="47C7285C"/>
    <w:rsid w:val="480C69CA"/>
    <w:rsid w:val="487519F9"/>
    <w:rsid w:val="492B18CC"/>
    <w:rsid w:val="497F756E"/>
    <w:rsid w:val="4A0A5885"/>
    <w:rsid w:val="4A8A160A"/>
    <w:rsid w:val="4A9B5A20"/>
    <w:rsid w:val="4B073A5C"/>
    <w:rsid w:val="4B10036B"/>
    <w:rsid w:val="4B44760D"/>
    <w:rsid w:val="4B5C5D27"/>
    <w:rsid w:val="4B5E326D"/>
    <w:rsid w:val="4B840ACD"/>
    <w:rsid w:val="4B8C42AD"/>
    <w:rsid w:val="4BD6391C"/>
    <w:rsid w:val="4BF63668"/>
    <w:rsid w:val="4BF72474"/>
    <w:rsid w:val="4C2E5AE5"/>
    <w:rsid w:val="4C4F0B45"/>
    <w:rsid w:val="4DA969FC"/>
    <w:rsid w:val="4DB73FDD"/>
    <w:rsid w:val="4F066320"/>
    <w:rsid w:val="4F0C4606"/>
    <w:rsid w:val="4F4E6EBF"/>
    <w:rsid w:val="4F7D4C71"/>
    <w:rsid w:val="4FCA7073"/>
    <w:rsid w:val="4FE259E9"/>
    <w:rsid w:val="501D7C2E"/>
    <w:rsid w:val="50963550"/>
    <w:rsid w:val="512C7508"/>
    <w:rsid w:val="518175D9"/>
    <w:rsid w:val="52321D93"/>
    <w:rsid w:val="52420452"/>
    <w:rsid w:val="52533FC1"/>
    <w:rsid w:val="53AE541F"/>
    <w:rsid w:val="53BB70AD"/>
    <w:rsid w:val="53DA43C4"/>
    <w:rsid w:val="53E267AB"/>
    <w:rsid w:val="544D0128"/>
    <w:rsid w:val="54D02C4B"/>
    <w:rsid w:val="55112B45"/>
    <w:rsid w:val="55351206"/>
    <w:rsid w:val="553E2C5C"/>
    <w:rsid w:val="55653C63"/>
    <w:rsid w:val="558F79BB"/>
    <w:rsid w:val="55A649AE"/>
    <w:rsid w:val="55D93627"/>
    <w:rsid w:val="56602AF8"/>
    <w:rsid w:val="569D1848"/>
    <w:rsid w:val="56B13A64"/>
    <w:rsid w:val="56BA3AA0"/>
    <w:rsid w:val="56CF6D97"/>
    <w:rsid w:val="56D66689"/>
    <w:rsid w:val="56F715A2"/>
    <w:rsid w:val="570E46A2"/>
    <w:rsid w:val="57847C36"/>
    <w:rsid w:val="586A742C"/>
    <w:rsid w:val="5881039C"/>
    <w:rsid w:val="58C134D7"/>
    <w:rsid w:val="58C94C3F"/>
    <w:rsid w:val="591E42EB"/>
    <w:rsid w:val="592A1676"/>
    <w:rsid w:val="59E71DDE"/>
    <w:rsid w:val="5A064D2E"/>
    <w:rsid w:val="5A53496E"/>
    <w:rsid w:val="5A7756D8"/>
    <w:rsid w:val="5A812E8C"/>
    <w:rsid w:val="5A96078C"/>
    <w:rsid w:val="5ABB0552"/>
    <w:rsid w:val="5AC87CD6"/>
    <w:rsid w:val="5AE85A5C"/>
    <w:rsid w:val="5B0251DD"/>
    <w:rsid w:val="5B18744E"/>
    <w:rsid w:val="5BE477F5"/>
    <w:rsid w:val="5C4A2BD7"/>
    <w:rsid w:val="5CAF68F6"/>
    <w:rsid w:val="5CF84E92"/>
    <w:rsid w:val="5D213D72"/>
    <w:rsid w:val="5D584C6D"/>
    <w:rsid w:val="5D63632E"/>
    <w:rsid w:val="5E2775BD"/>
    <w:rsid w:val="5E326512"/>
    <w:rsid w:val="5E504C73"/>
    <w:rsid w:val="5E985E8A"/>
    <w:rsid w:val="5EA92630"/>
    <w:rsid w:val="5ED41266"/>
    <w:rsid w:val="5EE54D87"/>
    <w:rsid w:val="5FB455AB"/>
    <w:rsid w:val="5FD8479E"/>
    <w:rsid w:val="5FEF4FD0"/>
    <w:rsid w:val="5FF11588"/>
    <w:rsid w:val="5FF7262C"/>
    <w:rsid w:val="60585DBB"/>
    <w:rsid w:val="609F50E9"/>
    <w:rsid w:val="61394E2C"/>
    <w:rsid w:val="61FE7898"/>
    <w:rsid w:val="621C7A8F"/>
    <w:rsid w:val="62F475B6"/>
    <w:rsid w:val="630C6A64"/>
    <w:rsid w:val="631F7E44"/>
    <w:rsid w:val="63376FCF"/>
    <w:rsid w:val="637C04DD"/>
    <w:rsid w:val="63964CCA"/>
    <w:rsid w:val="63B3451B"/>
    <w:rsid w:val="64486C1E"/>
    <w:rsid w:val="652A2E44"/>
    <w:rsid w:val="654E4849"/>
    <w:rsid w:val="65686657"/>
    <w:rsid w:val="65BD69EB"/>
    <w:rsid w:val="664977CF"/>
    <w:rsid w:val="66CA0AD7"/>
    <w:rsid w:val="66EC4975"/>
    <w:rsid w:val="67016B09"/>
    <w:rsid w:val="67EF63AA"/>
    <w:rsid w:val="681B27B3"/>
    <w:rsid w:val="683116BC"/>
    <w:rsid w:val="688F3871"/>
    <w:rsid w:val="68984C05"/>
    <w:rsid w:val="68DC76F5"/>
    <w:rsid w:val="68E74072"/>
    <w:rsid w:val="69173BDC"/>
    <w:rsid w:val="69BD4674"/>
    <w:rsid w:val="6A036769"/>
    <w:rsid w:val="6A325674"/>
    <w:rsid w:val="6A52291B"/>
    <w:rsid w:val="6A7B10E5"/>
    <w:rsid w:val="6A817F02"/>
    <w:rsid w:val="6B351E6F"/>
    <w:rsid w:val="6B7A4051"/>
    <w:rsid w:val="6BA26EA6"/>
    <w:rsid w:val="6BE14999"/>
    <w:rsid w:val="6BFB5FD1"/>
    <w:rsid w:val="6C764C95"/>
    <w:rsid w:val="6C8829C3"/>
    <w:rsid w:val="6D12175F"/>
    <w:rsid w:val="6D1F5AF0"/>
    <w:rsid w:val="6E1D76E4"/>
    <w:rsid w:val="6E67178A"/>
    <w:rsid w:val="6E876B43"/>
    <w:rsid w:val="6EB00CB6"/>
    <w:rsid w:val="6ED54165"/>
    <w:rsid w:val="6F3657AD"/>
    <w:rsid w:val="6F974373"/>
    <w:rsid w:val="6FC74058"/>
    <w:rsid w:val="6FCA3615"/>
    <w:rsid w:val="70040E87"/>
    <w:rsid w:val="704871A4"/>
    <w:rsid w:val="704D79FB"/>
    <w:rsid w:val="70592DFA"/>
    <w:rsid w:val="70694F36"/>
    <w:rsid w:val="70880C5C"/>
    <w:rsid w:val="70B523D0"/>
    <w:rsid w:val="70C927BC"/>
    <w:rsid w:val="70DD3906"/>
    <w:rsid w:val="7109479F"/>
    <w:rsid w:val="719B076B"/>
    <w:rsid w:val="71DC2403"/>
    <w:rsid w:val="722A411D"/>
    <w:rsid w:val="73393BC2"/>
    <w:rsid w:val="737B44DB"/>
    <w:rsid w:val="73CF483E"/>
    <w:rsid w:val="74262B1B"/>
    <w:rsid w:val="74A6094A"/>
    <w:rsid w:val="74CC21DF"/>
    <w:rsid w:val="74E16F35"/>
    <w:rsid w:val="75532D3D"/>
    <w:rsid w:val="758805C2"/>
    <w:rsid w:val="761F2330"/>
    <w:rsid w:val="763F26D5"/>
    <w:rsid w:val="764D0528"/>
    <w:rsid w:val="76C82F19"/>
    <w:rsid w:val="77045A49"/>
    <w:rsid w:val="77266E5A"/>
    <w:rsid w:val="77291B31"/>
    <w:rsid w:val="77467B77"/>
    <w:rsid w:val="775C7088"/>
    <w:rsid w:val="77701354"/>
    <w:rsid w:val="77750DFA"/>
    <w:rsid w:val="77902D8C"/>
    <w:rsid w:val="779A189F"/>
    <w:rsid w:val="781F51BA"/>
    <w:rsid w:val="783F4A1D"/>
    <w:rsid w:val="78494544"/>
    <w:rsid w:val="78E431C4"/>
    <w:rsid w:val="78EB4A40"/>
    <w:rsid w:val="79175F2F"/>
    <w:rsid w:val="79F944AF"/>
    <w:rsid w:val="7A2F69EB"/>
    <w:rsid w:val="7A4413F9"/>
    <w:rsid w:val="7A5711E4"/>
    <w:rsid w:val="7AA40F95"/>
    <w:rsid w:val="7AAE01C5"/>
    <w:rsid w:val="7AEA0E27"/>
    <w:rsid w:val="7BAF6112"/>
    <w:rsid w:val="7C735E4E"/>
    <w:rsid w:val="7CFF5CFD"/>
    <w:rsid w:val="7D071AF5"/>
    <w:rsid w:val="7D7E7646"/>
    <w:rsid w:val="7DC26738"/>
    <w:rsid w:val="7E972C19"/>
    <w:rsid w:val="7EBB2BFC"/>
    <w:rsid w:val="7F6E4E40"/>
    <w:rsid w:val="7F7E2419"/>
    <w:rsid w:val="7F856BE9"/>
    <w:rsid w:val="7FFF1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6">
    <w:name w:val="heading 1"/>
    <w:basedOn w:val="1"/>
    <w:next w:val="1"/>
    <w:link w:val="124"/>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7">
    <w:name w:val="heading 2"/>
    <w:basedOn w:val="1"/>
    <w:next w:val="8"/>
    <w:link w:val="106"/>
    <w:qFormat/>
    <w:uiPriority w:val="99"/>
    <w:pPr>
      <w:spacing w:before="260" w:after="260" w:line="416" w:lineRule="atLeast"/>
      <w:outlineLvl w:val="1"/>
    </w:pPr>
    <w:rPr>
      <w:rFonts w:ascii="Cambria" w:hAnsi="Cambria"/>
      <w:sz w:val="32"/>
      <w:szCs w:val="32"/>
    </w:rPr>
  </w:style>
  <w:style w:type="paragraph" w:styleId="9">
    <w:name w:val="heading 3"/>
    <w:basedOn w:val="1"/>
    <w:next w:val="8"/>
    <w:link w:val="116"/>
    <w:qFormat/>
    <w:uiPriority w:val="99"/>
    <w:pPr>
      <w:tabs>
        <w:tab w:val="left" w:pos="588"/>
      </w:tabs>
      <w:spacing w:line="360" w:lineRule="auto"/>
      <w:outlineLvl w:val="2"/>
    </w:pPr>
    <w:rPr>
      <w:rFonts w:ascii="Tahoma" w:hAnsi="Tahoma"/>
    </w:rPr>
  </w:style>
  <w:style w:type="paragraph" w:styleId="10">
    <w:name w:val="heading 4"/>
    <w:basedOn w:val="1"/>
    <w:next w:val="1"/>
    <w:link w:val="143"/>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11">
    <w:name w:val="heading 5"/>
    <w:basedOn w:val="1"/>
    <w:next w:val="1"/>
    <w:link w:val="105"/>
    <w:qFormat/>
    <w:uiPriority w:val="99"/>
    <w:pPr>
      <w:keepNext/>
      <w:keepLines/>
      <w:spacing w:before="280" w:after="290" w:line="376" w:lineRule="auto"/>
      <w:ind w:left="1008" w:hanging="1008"/>
      <w:outlineLvl w:val="4"/>
    </w:pPr>
    <w:rPr>
      <w:b/>
      <w:bCs/>
      <w:sz w:val="24"/>
      <w:szCs w:val="28"/>
    </w:rPr>
  </w:style>
  <w:style w:type="paragraph" w:styleId="12">
    <w:name w:val="heading 6"/>
    <w:basedOn w:val="1"/>
    <w:next w:val="1"/>
    <w:link w:val="13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3">
    <w:name w:val="heading 7"/>
    <w:basedOn w:val="1"/>
    <w:next w:val="1"/>
    <w:link w:val="126"/>
    <w:qFormat/>
    <w:uiPriority w:val="99"/>
    <w:pPr>
      <w:keepNext/>
      <w:keepLines/>
      <w:spacing w:before="240" w:after="64" w:line="320" w:lineRule="auto"/>
      <w:ind w:left="1296" w:hanging="1296"/>
      <w:outlineLvl w:val="6"/>
    </w:pPr>
    <w:rPr>
      <w:b/>
      <w:bCs/>
      <w:sz w:val="24"/>
      <w:szCs w:val="28"/>
    </w:rPr>
  </w:style>
  <w:style w:type="paragraph" w:styleId="14">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5">
    <w:name w:val="heading 9"/>
    <w:basedOn w:val="1"/>
    <w:next w:val="1"/>
    <w:link w:val="128"/>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34"/>
    <w:qFormat/>
    <w:uiPriority w:val="0"/>
    <w:pPr>
      <w:spacing w:after="120" w:line="240" w:lineRule="auto"/>
      <w:ind w:firstLine="100" w:firstLineChars="100"/>
    </w:pPr>
  </w:style>
  <w:style w:type="paragraph" w:styleId="3">
    <w:name w:val="Body Text"/>
    <w:basedOn w:val="1"/>
    <w:next w:val="1"/>
    <w:link w:val="137"/>
    <w:qFormat/>
    <w:uiPriority w:val="99"/>
    <w:pPr>
      <w:spacing w:line="360" w:lineRule="auto"/>
    </w:pPr>
    <w:rPr>
      <w:rFonts w:ascii="Tahoma" w:hAnsi="Tahoma"/>
    </w:rPr>
  </w:style>
  <w:style w:type="paragraph" w:styleId="4">
    <w:name w:val="Body Text First Indent 2"/>
    <w:basedOn w:val="5"/>
    <w:next w:val="1"/>
    <w:link w:val="170"/>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5">
    <w:name w:val="Body Text Indent"/>
    <w:basedOn w:val="1"/>
    <w:next w:val="1"/>
    <w:link w:val="169"/>
    <w:qFormat/>
    <w:uiPriority w:val="99"/>
    <w:pPr>
      <w:widowControl/>
      <w:spacing w:line="360" w:lineRule="auto"/>
      <w:ind w:firstLine="709"/>
      <w:jc w:val="left"/>
    </w:pPr>
    <w:rPr>
      <w:rFonts w:ascii="Tahoma" w:hAnsi="Tahoma"/>
    </w:rPr>
  </w:style>
  <w:style w:type="paragraph" w:styleId="8">
    <w:name w:val="Normal Indent"/>
    <w:basedOn w:val="1"/>
    <w:link w:val="139"/>
    <w:qFormat/>
    <w:uiPriority w:val="0"/>
    <w:pPr>
      <w:spacing w:line="360" w:lineRule="auto"/>
      <w:ind w:firstLine="200" w:firstLineChars="200"/>
    </w:pPr>
    <w:rPr>
      <w:sz w:val="24"/>
      <w:szCs w:val="20"/>
    </w:rPr>
  </w:style>
  <w:style w:type="paragraph" w:styleId="16">
    <w:name w:val="toc 7"/>
    <w:basedOn w:val="1"/>
    <w:next w:val="1"/>
    <w:qFormat/>
    <w:uiPriority w:val="39"/>
    <w:pPr>
      <w:spacing w:line="440" w:lineRule="exact"/>
      <w:ind w:left="1680"/>
      <w:jc w:val="left"/>
    </w:pPr>
    <w:rPr>
      <w:rFonts w:ascii="Calibri" w:hAnsi="Calibri"/>
      <w:sz w:val="18"/>
      <w:szCs w:val="18"/>
    </w:rPr>
  </w:style>
  <w:style w:type="paragraph" w:styleId="17">
    <w:name w:val="Note Heading"/>
    <w:basedOn w:val="18"/>
    <w:next w:val="18"/>
    <w:link w:val="203"/>
    <w:qFormat/>
    <w:uiPriority w:val="0"/>
    <w:rPr>
      <w:rFonts w:ascii="..ì." w:eastAsia="..ì." w:cs="Times New Roman"/>
      <w:color w:val="auto"/>
      <w:szCs w:val="20"/>
    </w:rPr>
  </w:style>
  <w:style w:type="paragraph" w:customStyle="1" w:styleId="18">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9">
    <w:name w:val="caption"/>
    <w:basedOn w:val="1"/>
    <w:next w:val="1"/>
    <w:link w:val="97"/>
    <w:qFormat/>
    <w:uiPriority w:val="0"/>
    <w:pPr>
      <w:spacing w:line="480" w:lineRule="auto"/>
    </w:pPr>
    <w:rPr>
      <w:rFonts w:ascii="华文中宋" w:eastAsia="华文中宋"/>
      <w:sz w:val="36"/>
      <w:szCs w:val="20"/>
    </w:rPr>
  </w:style>
  <w:style w:type="paragraph" w:styleId="20">
    <w:name w:val="index 5"/>
    <w:basedOn w:val="1"/>
    <w:next w:val="1"/>
    <w:qFormat/>
    <w:uiPriority w:val="99"/>
    <w:pPr>
      <w:ind w:left="800" w:leftChars="800"/>
    </w:pPr>
    <w:rPr>
      <w:rFonts w:eastAsia="宋体"/>
    </w:rPr>
  </w:style>
  <w:style w:type="paragraph" w:styleId="21">
    <w:name w:val="Document Map"/>
    <w:basedOn w:val="1"/>
    <w:link w:val="133"/>
    <w:qFormat/>
    <w:uiPriority w:val="99"/>
    <w:pPr>
      <w:spacing w:line="440" w:lineRule="exact"/>
    </w:pPr>
    <w:rPr>
      <w:rFonts w:ascii="宋体"/>
      <w:sz w:val="18"/>
      <w:szCs w:val="18"/>
    </w:rPr>
  </w:style>
  <w:style w:type="paragraph" w:styleId="22">
    <w:name w:val="toa heading"/>
    <w:basedOn w:val="1"/>
    <w:next w:val="1"/>
    <w:unhideWhenUsed/>
    <w:qFormat/>
    <w:uiPriority w:val="99"/>
    <w:pPr>
      <w:spacing w:before="120"/>
    </w:pPr>
    <w:rPr>
      <w:rFonts w:ascii="Cambria" w:hAnsi="Cambria" w:eastAsia="宋体"/>
      <w:sz w:val="24"/>
    </w:rPr>
  </w:style>
  <w:style w:type="paragraph" w:styleId="23">
    <w:name w:val="annotation text"/>
    <w:basedOn w:val="1"/>
    <w:link w:val="103"/>
    <w:qFormat/>
    <w:uiPriority w:val="0"/>
    <w:pPr>
      <w:jc w:val="left"/>
    </w:pPr>
    <w:rPr>
      <w:rFonts w:ascii="Tahoma" w:hAnsi="Tahoma"/>
    </w:rPr>
  </w:style>
  <w:style w:type="paragraph" w:styleId="24">
    <w:name w:val="Salutation"/>
    <w:basedOn w:val="18"/>
    <w:next w:val="18"/>
    <w:link w:val="202"/>
    <w:qFormat/>
    <w:uiPriority w:val="0"/>
    <w:rPr>
      <w:rFonts w:ascii="..ì." w:eastAsia="..ì." w:cs="Times New Roman"/>
      <w:color w:val="auto"/>
      <w:szCs w:val="20"/>
    </w:rPr>
  </w:style>
  <w:style w:type="paragraph" w:styleId="25">
    <w:name w:val="Body Text 3"/>
    <w:basedOn w:val="1"/>
    <w:link w:val="210"/>
    <w:qFormat/>
    <w:uiPriority w:val="99"/>
    <w:pPr>
      <w:spacing w:after="120"/>
    </w:pPr>
    <w:rPr>
      <w:rFonts w:eastAsia="宋体"/>
      <w:sz w:val="16"/>
      <w:szCs w:val="16"/>
    </w:rPr>
  </w:style>
  <w:style w:type="paragraph" w:styleId="26">
    <w:name w:val="List 2"/>
    <w:basedOn w:val="1"/>
    <w:unhideWhenUsed/>
    <w:qFormat/>
    <w:uiPriority w:val="99"/>
    <w:pPr>
      <w:ind w:left="100" w:leftChars="200" w:hanging="200" w:hangingChars="200"/>
      <w:contextualSpacing/>
    </w:pPr>
  </w:style>
  <w:style w:type="paragraph" w:styleId="27">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8">
    <w:name w:val="List Bullet 2"/>
    <w:basedOn w:val="1"/>
    <w:qFormat/>
    <w:uiPriority w:val="0"/>
    <w:pPr>
      <w:numPr>
        <w:ilvl w:val="1"/>
        <w:numId w:val="1"/>
      </w:numPr>
      <w:spacing w:line="360" w:lineRule="auto"/>
    </w:pPr>
    <w:rPr>
      <w:sz w:val="24"/>
      <w:szCs w:val="28"/>
    </w:rPr>
  </w:style>
  <w:style w:type="paragraph" w:styleId="29">
    <w:name w:val="toc 5"/>
    <w:basedOn w:val="1"/>
    <w:next w:val="1"/>
    <w:qFormat/>
    <w:uiPriority w:val="39"/>
    <w:pPr>
      <w:spacing w:line="440" w:lineRule="exact"/>
      <w:ind w:left="1120"/>
      <w:jc w:val="left"/>
    </w:pPr>
    <w:rPr>
      <w:rFonts w:ascii="Calibri" w:hAnsi="Calibri"/>
      <w:sz w:val="18"/>
      <w:szCs w:val="18"/>
    </w:rPr>
  </w:style>
  <w:style w:type="paragraph" w:styleId="30">
    <w:name w:val="toc 3"/>
    <w:basedOn w:val="1"/>
    <w:next w:val="1"/>
    <w:qFormat/>
    <w:uiPriority w:val="39"/>
    <w:pPr>
      <w:tabs>
        <w:tab w:val="right" w:leader="dot" w:pos="8302"/>
      </w:tabs>
      <w:ind w:left="561"/>
      <w:jc w:val="left"/>
    </w:pPr>
    <w:rPr>
      <w:rFonts w:ascii="Calibri" w:hAnsi="Calibri"/>
      <w:iCs/>
      <w:sz w:val="20"/>
      <w:szCs w:val="20"/>
    </w:rPr>
  </w:style>
  <w:style w:type="paragraph" w:styleId="31">
    <w:name w:val="Plain Text"/>
    <w:basedOn w:val="1"/>
    <w:link w:val="224"/>
    <w:qFormat/>
    <w:uiPriority w:val="0"/>
    <w:pPr>
      <w:spacing w:line="360" w:lineRule="auto"/>
    </w:pPr>
    <w:rPr>
      <w:rFonts w:ascii="宋体" w:hAnsi="Courier New"/>
      <w:szCs w:val="21"/>
    </w:rPr>
  </w:style>
  <w:style w:type="paragraph" w:styleId="32">
    <w:name w:val="toc 8"/>
    <w:basedOn w:val="1"/>
    <w:next w:val="1"/>
    <w:qFormat/>
    <w:uiPriority w:val="39"/>
    <w:pPr>
      <w:spacing w:line="440" w:lineRule="exact"/>
      <w:ind w:left="1960"/>
      <w:jc w:val="left"/>
    </w:pPr>
    <w:rPr>
      <w:rFonts w:ascii="Calibri" w:hAnsi="Calibri"/>
      <w:sz w:val="18"/>
      <w:szCs w:val="18"/>
    </w:rPr>
  </w:style>
  <w:style w:type="paragraph" w:styleId="33">
    <w:name w:val="Date"/>
    <w:basedOn w:val="1"/>
    <w:next w:val="1"/>
    <w:link w:val="200"/>
    <w:qFormat/>
    <w:uiPriority w:val="99"/>
    <w:pPr>
      <w:spacing w:line="360" w:lineRule="auto"/>
      <w:ind w:left="2500" w:leftChars="2500"/>
    </w:pPr>
    <w:rPr>
      <w:rFonts w:ascii="Tahoma" w:hAnsi="Tahoma"/>
    </w:rPr>
  </w:style>
  <w:style w:type="paragraph" w:styleId="34">
    <w:name w:val="Body Text Indent 2"/>
    <w:basedOn w:val="1"/>
    <w:link w:val="165"/>
    <w:qFormat/>
    <w:uiPriority w:val="99"/>
    <w:pPr>
      <w:adjustRightInd w:val="0"/>
      <w:snapToGrid w:val="0"/>
      <w:spacing w:afterLines="25" w:line="420" w:lineRule="exact"/>
      <w:ind w:left="778" w:leftChars="378"/>
    </w:pPr>
    <w:rPr>
      <w:rFonts w:eastAsia="宋体"/>
      <w:sz w:val="24"/>
      <w:szCs w:val="30"/>
    </w:rPr>
  </w:style>
  <w:style w:type="paragraph" w:styleId="35">
    <w:name w:val="Balloon Text"/>
    <w:basedOn w:val="1"/>
    <w:link w:val="99"/>
    <w:qFormat/>
    <w:uiPriority w:val="0"/>
    <w:rPr>
      <w:sz w:val="18"/>
      <w:szCs w:val="18"/>
    </w:rPr>
  </w:style>
  <w:style w:type="paragraph" w:styleId="36">
    <w:name w:val="footer"/>
    <w:basedOn w:val="1"/>
    <w:link w:val="140"/>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7">
    <w:name w:val="header"/>
    <w:basedOn w:val="1"/>
    <w:link w:val="125"/>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8">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9">
    <w:name w:val="toc 4"/>
    <w:basedOn w:val="1"/>
    <w:next w:val="1"/>
    <w:qFormat/>
    <w:uiPriority w:val="39"/>
    <w:pPr>
      <w:spacing w:line="440" w:lineRule="exact"/>
      <w:ind w:left="840"/>
      <w:jc w:val="left"/>
    </w:pPr>
    <w:rPr>
      <w:rFonts w:ascii="Calibri" w:hAnsi="Calibri"/>
      <w:sz w:val="18"/>
      <w:szCs w:val="18"/>
    </w:rPr>
  </w:style>
  <w:style w:type="paragraph" w:styleId="40">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41">
    <w:name w:val="toc 6"/>
    <w:basedOn w:val="1"/>
    <w:next w:val="1"/>
    <w:qFormat/>
    <w:uiPriority w:val="39"/>
    <w:pPr>
      <w:spacing w:line="440" w:lineRule="exact"/>
      <w:ind w:left="1400"/>
      <w:jc w:val="left"/>
    </w:pPr>
    <w:rPr>
      <w:rFonts w:ascii="Calibri" w:hAnsi="Calibri"/>
      <w:sz w:val="18"/>
      <w:szCs w:val="18"/>
    </w:rPr>
  </w:style>
  <w:style w:type="paragraph" w:styleId="42">
    <w:name w:val="Body Text Indent 3"/>
    <w:basedOn w:val="1"/>
    <w:link w:val="213"/>
    <w:qFormat/>
    <w:uiPriority w:val="99"/>
    <w:pPr>
      <w:spacing w:after="120"/>
      <w:ind w:left="420" w:leftChars="200"/>
    </w:pPr>
    <w:rPr>
      <w:sz w:val="16"/>
      <w:szCs w:val="16"/>
    </w:rPr>
  </w:style>
  <w:style w:type="paragraph" w:styleId="43">
    <w:name w:val="toc 2"/>
    <w:basedOn w:val="1"/>
    <w:next w:val="1"/>
    <w:qFormat/>
    <w:uiPriority w:val="39"/>
    <w:pPr>
      <w:widowControl/>
      <w:adjustRightInd w:val="0"/>
      <w:spacing w:line="300" w:lineRule="auto"/>
      <w:jc w:val="center"/>
    </w:pPr>
    <w:rPr>
      <w:rFonts w:eastAsia="黑体"/>
      <w:smallCaps/>
      <w:kern w:val="0"/>
      <w:sz w:val="24"/>
    </w:rPr>
  </w:style>
  <w:style w:type="paragraph" w:styleId="44">
    <w:name w:val="toc 9"/>
    <w:basedOn w:val="1"/>
    <w:next w:val="1"/>
    <w:qFormat/>
    <w:uiPriority w:val="39"/>
    <w:pPr>
      <w:spacing w:line="440" w:lineRule="exact"/>
      <w:ind w:left="2240"/>
      <w:jc w:val="left"/>
    </w:pPr>
    <w:rPr>
      <w:rFonts w:ascii="Calibri" w:hAnsi="Calibri"/>
      <w:sz w:val="18"/>
      <w:szCs w:val="18"/>
    </w:rPr>
  </w:style>
  <w:style w:type="paragraph" w:styleId="45">
    <w:name w:val="Body Text 2"/>
    <w:basedOn w:val="1"/>
    <w:link w:val="171"/>
    <w:qFormat/>
    <w:uiPriority w:val="99"/>
    <w:pPr>
      <w:spacing w:line="360" w:lineRule="auto"/>
      <w:ind w:right="26"/>
    </w:pPr>
    <w:rPr>
      <w:rFonts w:ascii="宋体" w:eastAsia="宋体"/>
      <w:szCs w:val="20"/>
    </w:rPr>
  </w:style>
  <w:style w:type="paragraph" w:styleId="4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pPr>
      <w:spacing w:line="220" w:lineRule="exact"/>
      <w:jc w:val="center"/>
    </w:pPr>
    <w:rPr>
      <w:rFonts w:ascii="仿宋_GB2312" w:eastAsia="仿宋_GB2312"/>
      <w:szCs w:val="21"/>
    </w:rPr>
  </w:style>
  <w:style w:type="paragraph" w:styleId="49">
    <w:name w:val="Title"/>
    <w:basedOn w:val="1"/>
    <w:next w:val="1"/>
    <w:link w:val="127"/>
    <w:qFormat/>
    <w:uiPriority w:val="0"/>
    <w:pPr>
      <w:spacing w:before="240" w:after="60" w:line="440" w:lineRule="exact"/>
      <w:jc w:val="center"/>
      <w:outlineLvl w:val="0"/>
    </w:pPr>
    <w:rPr>
      <w:rFonts w:ascii="Cambria" w:hAnsi="Cambria"/>
      <w:b/>
      <w:bCs/>
      <w:sz w:val="32"/>
      <w:szCs w:val="32"/>
    </w:rPr>
  </w:style>
  <w:style w:type="paragraph" w:styleId="50">
    <w:name w:val="annotation subject"/>
    <w:basedOn w:val="23"/>
    <w:next w:val="23"/>
    <w:link w:val="131"/>
    <w:unhideWhenUsed/>
    <w:qFormat/>
    <w:uiPriority w:val="99"/>
    <w:pPr>
      <w:spacing w:line="440" w:lineRule="exact"/>
    </w:pPr>
    <w:rPr>
      <w:b/>
      <w:bCs/>
      <w:sz w:val="24"/>
      <w:szCs w:val="28"/>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basedOn w:val="53"/>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BodyText1I"/>
    <w:basedOn w:val="65"/>
    <w:qFormat/>
    <w:uiPriority w:val="0"/>
    <w:pPr>
      <w:spacing w:before="120" w:line="240" w:lineRule="atLeast"/>
      <w:ind w:firstLine="420" w:firstLineChars="100"/>
      <w:jc w:val="both"/>
      <w:textAlignment w:val="baseline"/>
    </w:pPr>
  </w:style>
  <w:style w:type="paragraph" w:customStyle="1" w:styleId="65">
    <w:name w:val="BodyText"/>
    <w:basedOn w:val="1"/>
    <w:next w:val="1"/>
    <w:qFormat/>
    <w:uiPriority w:val="0"/>
    <w:pPr>
      <w:spacing w:before="120" w:line="240" w:lineRule="atLeast"/>
      <w:jc w:val="both"/>
      <w:textAlignment w:val="baseline"/>
    </w:pPr>
    <w:rPr>
      <w:rFonts w:ascii="宋体" w:hAnsi="宋体"/>
      <w:kern w:val="2"/>
      <w:sz w:val="24"/>
      <w:szCs w:val="24"/>
      <w:lang w:val="en-US" w:eastAsia="zh-CN" w:bidi="ar-SA"/>
    </w:rPr>
  </w:style>
  <w:style w:type="paragraph" w:customStyle="1" w:styleId="66">
    <w:name w:val="TOC 标题1"/>
    <w:basedOn w:val="6"/>
    <w:next w:val="1"/>
    <w:qFormat/>
    <w:uiPriority w:val="39"/>
    <w:pPr>
      <w:widowControl/>
      <w:spacing w:line="259" w:lineRule="auto"/>
      <w:jc w:val="left"/>
      <w:outlineLvl w:val="9"/>
    </w:pPr>
    <w:rPr>
      <w:rFonts w:ascii="Calibri Light" w:hAnsi="Calibri Light" w:eastAsia="宋体"/>
      <w:color w:val="2E74B5"/>
      <w:kern w:val="0"/>
      <w:sz w:val="32"/>
      <w:szCs w:val="32"/>
    </w:rPr>
  </w:style>
  <w:style w:type="paragraph" w:customStyle="1" w:styleId="6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8">
    <w:name w:val="列出段落2"/>
    <w:basedOn w:val="1"/>
    <w:unhideWhenUsed/>
    <w:qFormat/>
    <w:uiPriority w:val="0"/>
    <w:pPr>
      <w:ind w:firstLine="420" w:firstLineChars="200"/>
    </w:pPr>
  </w:style>
  <w:style w:type="paragraph" w:customStyle="1" w:styleId="69">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0">
    <w:name w:val="_Style 67"/>
    <w:basedOn w:val="1"/>
    <w:next w:val="71"/>
    <w:qFormat/>
    <w:uiPriority w:val="99"/>
    <w:pPr>
      <w:ind w:firstLine="420" w:firstLineChars="200"/>
    </w:pPr>
    <w:rPr>
      <w:rFonts w:ascii="Calibri" w:hAnsi="Calibri"/>
      <w:szCs w:val="22"/>
    </w:rPr>
  </w:style>
  <w:style w:type="paragraph" w:styleId="71">
    <w:name w:val="List Paragraph"/>
    <w:basedOn w:val="1"/>
    <w:qFormat/>
    <w:uiPriority w:val="34"/>
    <w:pPr>
      <w:ind w:firstLine="420" w:firstLineChars="200"/>
    </w:pPr>
    <w:rPr>
      <w:rFonts w:ascii="Calibri" w:hAnsi="Calibri" w:eastAsia="宋体"/>
      <w:szCs w:val="22"/>
    </w:rPr>
  </w:style>
  <w:style w:type="paragraph" w:customStyle="1" w:styleId="72">
    <w:name w:val="_Style 2"/>
    <w:basedOn w:val="1"/>
    <w:qFormat/>
    <w:uiPriority w:val="34"/>
    <w:pPr>
      <w:ind w:firstLine="420" w:firstLineChars="200"/>
    </w:pPr>
    <w:rPr>
      <w:rFonts w:ascii="Calibri" w:hAnsi="Calibri"/>
      <w:szCs w:val="22"/>
    </w:rPr>
  </w:style>
  <w:style w:type="paragraph" w:customStyle="1" w:styleId="7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4">
    <w:name w:val="TOC 标题11"/>
    <w:basedOn w:val="6"/>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5">
    <w:name w:val="封面落款"/>
    <w:basedOn w:val="1"/>
    <w:qFormat/>
    <w:uiPriority w:val="0"/>
    <w:pPr>
      <w:spacing w:line="360" w:lineRule="auto"/>
      <w:jc w:val="center"/>
    </w:pPr>
    <w:rPr>
      <w:rFonts w:ascii="Arial" w:hAnsi="Arial" w:eastAsia="黑体"/>
      <w:sz w:val="32"/>
      <w:szCs w:val="28"/>
    </w:rPr>
  </w:style>
  <w:style w:type="paragraph" w:customStyle="1" w:styleId="76">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7">
    <w:name w:val="表格字体小四"/>
    <w:link w:val="107"/>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8">
    <w:name w:val="样式 标题 5 + 小四"/>
    <w:basedOn w:val="11"/>
    <w:qFormat/>
    <w:uiPriority w:val="0"/>
    <w:pPr>
      <w:tabs>
        <w:tab w:val="left" w:pos="567"/>
      </w:tabs>
      <w:wordWrap w:val="0"/>
      <w:spacing w:line="377" w:lineRule="auto"/>
      <w:ind w:left="567" w:hanging="567"/>
      <w:jc w:val="left"/>
    </w:pPr>
  </w:style>
  <w:style w:type="paragraph" w:customStyle="1" w:styleId="79">
    <w:name w:val="表格格式"/>
    <w:basedOn w:val="1"/>
    <w:qFormat/>
    <w:uiPriority w:val="0"/>
    <w:pPr>
      <w:adjustRightInd w:val="0"/>
      <w:snapToGrid w:val="0"/>
      <w:jc w:val="left"/>
      <w:textAlignment w:val="baseline"/>
    </w:pPr>
    <w:rPr>
      <w:rFonts w:ascii="宋体"/>
      <w:kern w:val="0"/>
      <w:szCs w:val="20"/>
    </w:rPr>
  </w:style>
  <w:style w:type="paragraph" w:customStyle="1" w:styleId="80">
    <w:name w:val="样式5"/>
    <w:basedOn w:val="8"/>
    <w:qFormat/>
    <w:uiPriority w:val="0"/>
    <w:pPr>
      <w:ind w:firstLine="420"/>
    </w:pPr>
    <w:rPr>
      <w:sz w:val="21"/>
      <w:szCs w:val="21"/>
    </w:rPr>
  </w:style>
  <w:style w:type="paragraph" w:customStyle="1" w:styleId="81">
    <w:name w:val="标题2"/>
    <w:basedOn w:val="7"/>
    <w:next w:val="1"/>
    <w:link w:val="98"/>
    <w:qFormat/>
    <w:uiPriority w:val="0"/>
    <w:pPr>
      <w:widowControl/>
      <w:spacing w:before="0" w:after="0" w:line="240" w:lineRule="auto"/>
      <w:jc w:val="left"/>
    </w:pPr>
    <w:rPr>
      <w:rFonts w:ascii="Times New Roman" w:hAnsi="Times New Roman" w:eastAsia="宋体"/>
      <w:b/>
      <w:bCs/>
      <w:sz w:val="21"/>
      <w:szCs w:val="24"/>
    </w:rPr>
  </w:style>
  <w:style w:type="paragraph" w:customStyle="1" w:styleId="82">
    <w:name w:val="三级"/>
    <w:basedOn w:val="7"/>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3">
    <w:name w:val="样式2"/>
    <w:basedOn w:val="1"/>
    <w:link w:val="121"/>
    <w:qFormat/>
    <w:uiPriority w:val="0"/>
    <w:pPr>
      <w:spacing w:line="300" w:lineRule="auto"/>
      <w:jc w:val="center"/>
      <w:outlineLvl w:val="0"/>
    </w:pPr>
    <w:rPr>
      <w:b/>
      <w:sz w:val="24"/>
    </w:rPr>
  </w:style>
  <w:style w:type="paragraph" w:customStyle="1" w:styleId="84">
    <w:name w:val="Char1"/>
    <w:basedOn w:val="1"/>
    <w:qFormat/>
    <w:uiPriority w:val="0"/>
    <w:pPr>
      <w:adjustRightInd w:val="0"/>
      <w:spacing w:line="360" w:lineRule="auto"/>
    </w:pPr>
    <w:rPr>
      <w:kern w:val="0"/>
      <w:sz w:val="24"/>
      <w:szCs w:val="20"/>
    </w:rPr>
  </w:style>
  <w:style w:type="paragraph" w:customStyle="1" w:styleId="85">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6">
    <w:name w:val="标题3"/>
    <w:basedOn w:val="9"/>
    <w:next w:val="1"/>
    <w:link w:val="142"/>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7">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8">
    <w:name w:val="表格标题"/>
    <w:basedOn w:val="19"/>
    <w:link w:val="135"/>
    <w:qFormat/>
    <w:uiPriority w:val="0"/>
    <w:pPr>
      <w:spacing w:before="152" w:after="160" w:line="420" w:lineRule="exact"/>
      <w:ind w:firstLine="480" w:firstLineChars="200"/>
      <w:jc w:val="center"/>
    </w:pPr>
    <w:rPr>
      <w:rFonts w:ascii="Arial" w:hAnsi="Arial" w:eastAsia="宋体"/>
      <w:sz w:val="24"/>
      <w:szCs w:val="24"/>
    </w:rPr>
  </w:style>
  <w:style w:type="paragraph" w:customStyle="1" w:styleId="89">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0">
    <w:name w:val="图片"/>
    <w:basedOn w:val="1"/>
    <w:link w:val="123"/>
    <w:qFormat/>
    <w:uiPriority w:val="0"/>
    <w:pPr>
      <w:jc w:val="center"/>
    </w:pPr>
    <w:rPr>
      <w:sz w:val="28"/>
      <w:szCs w:val="28"/>
    </w:rPr>
  </w:style>
  <w:style w:type="paragraph" w:customStyle="1" w:styleId="91">
    <w:name w:val="正文首行缩进1"/>
    <w:basedOn w:val="3"/>
    <w:qFormat/>
    <w:uiPriority w:val="0"/>
    <w:pPr>
      <w:suppressAutoHyphens/>
      <w:spacing w:line="300" w:lineRule="auto"/>
      <w:ind w:left="426"/>
    </w:pPr>
    <w:rPr>
      <w:rFonts w:ascii="宋体" w:hAnsi="宋体"/>
      <w:szCs w:val="20"/>
    </w:rPr>
  </w:style>
  <w:style w:type="paragraph" w:customStyle="1" w:styleId="92">
    <w:name w:val="纯文本1"/>
    <w:basedOn w:val="1"/>
    <w:qFormat/>
    <w:uiPriority w:val="0"/>
    <w:rPr>
      <w:rFonts w:ascii="宋体" w:hAnsi="Courier New"/>
    </w:rPr>
  </w:style>
  <w:style w:type="paragraph" w:customStyle="1" w:styleId="93">
    <w:name w:val="样式 首行不缩进"/>
    <w:basedOn w:val="1"/>
    <w:qFormat/>
    <w:uiPriority w:val="0"/>
    <w:pPr>
      <w:spacing w:before="120" w:after="120" w:line="360" w:lineRule="auto"/>
      <w:jc w:val="center"/>
    </w:pPr>
    <w:rPr>
      <w:rFonts w:cs="宋体"/>
      <w:sz w:val="24"/>
      <w:szCs w:val="20"/>
    </w:rPr>
  </w:style>
  <w:style w:type="paragraph" w:customStyle="1" w:styleId="94">
    <w:name w:val="图题"/>
    <w:link w:val="117"/>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5">
    <w:name w:val="小列表"/>
    <w:basedOn w:val="1"/>
    <w:link w:val="101"/>
    <w:qFormat/>
    <w:uiPriority w:val="0"/>
    <w:pPr>
      <w:numPr>
        <w:ilvl w:val="0"/>
        <w:numId w:val="2"/>
      </w:numPr>
      <w:autoSpaceDE w:val="0"/>
      <w:autoSpaceDN w:val="0"/>
      <w:spacing w:line="440" w:lineRule="exact"/>
      <w:ind w:firstLine="0"/>
    </w:pPr>
    <w:rPr>
      <w:sz w:val="24"/>
      <w:szCs w:val="28"/>
    </w:rPr>
  </w:style>
  <w:style w:type="paragraph" w:customStyle="1" w:styleId="96">
    <w:name w:val="表格正文"/>
    <w:basedOn w:val="1"/>
    <w:qFormat/>
    <w:uiPriority w:val="0"/>
    <w:pPr>
      <w:widowControl/>
      <w:snapToGrid w:val="0"/>
      <w:spacing w:before="60" w:after="60"/>
      <w:ind w:left="11"/>
      <w:jc w:val="center"/>
    </w:pPr>
    <w:rPr>
      <w:kern w:val="0"/>
      <w:szCs w:val="21"/>
    </w:rPr>
  </w:style>
  <w:style w:type="character" w:customStyle="1" w:styleId="97">
    <w:name w:val="题注 Char"/>
    <w:link w:val="19"/>
    <w:qFormat/>
    <w:uiPriority w:val="0"/>
    <w:rPr>
      <w:rFonts w:ascii="华文中宋" w:eastAsia="华文中宋"/>
      <w:kern w:val="2"/>
      <w:sz w:val="36"/>
    </w:rPr>
  </w:style>
  <w:style w:type="character" w:customStyle="1" w:styleId="98">
    <w:name w:val="标题2 Char Char"/>
    <w:link w:val="81"/>
    <w:qFormat/>
    <w:uiPriority w:val="0"/>
    <w:rPr>
      <w:b/>
      <w:bCs/>
      <w:kern w:val="2"/>
      <w:sz w:val="21"/>
      <w:szCs w:val="24"/>
    </w:rPr>
  </w:style>
  <w:style w:type="character" w:customStyle="1" w:styleId="99">
    <w:name w:val="批注框文本 Char"/>
    <w:link w:val="35"/>
    <w:qFormat/>
    <w:uiPriority w:val="0"/>
    <w:rPr>
      <w:kern w:val="2"/>
      <w:sz w:val="18"/>
      <w:szCs w:val="18"/>
    </w:rPr>
  </w:style>
  <w:style w:type="character" w:customStyle="1" w:styleId="100">
    <w:name w:val="refresh"/>
    <w:basedOn w:val="53"/>
    <w:qFormat/>
    <w:uiPriority w:val="0"/>
  </w:style>
  <w:style w:type="character" w:customStyle="1" w:styleId="101">
    <w:name w:val="小列表 Char Char"/>
    <w:link w:val="95"/>
    <w:qFormat/>
    <w:uiPriority w:val="0"/>
    <w:rPr>
      <w:rFonts w:eastAsia="Arial Unicode MS"/>
      <w:kern w:val="2"/>
      <w:sz w:val="24"/>
      <w:szCs w:val="28"/>
    </w:rPr>
  </w:style>
  <w:style w:type="character" w:customStyle="1" w:styleId="102">
    <w:name w:val="del"/>
    <w:basedOn w:val="53"/>
    <w:qFormat/>
    <w:uiPriority w:val="0"/>
  </w:style>
  <w:style w:type="character" w:customStyle="1" w:styleId="103">
    <w:name w:val="批注文字 Char1"/>
    <w:link w:val="23"/>
    <w:qFormat/>
    <w:uiPriority w:val="0"/>
    <w:rPr>
      <w:rFonts w:ascii="Tahoma" w:hAnsi="Tahoma"/>
      <w:kern w:val="2"/>
      <w:sz w:val="21"/>
      <w:szCs w:val="24"/>
    </w:rPr>
  </w:style>
  <w:style w:type="character" w:customStyle="1" w:styleId="104">
    <w:name w:val="正文缩进 Char1"/>
    <w:qFormat/>
    <w:uiPriority w:val="0"/>
    <w:rPr>
      <w:rFonts w:eastAsia="宋体"/>
      <w:kern w:val="2"/>
      <w:sz w:val="21"/>
      <w:szCs w:val="24"/>
      <w:lang w:val="en-US" w:eastAsia="zh-CN" w:bidi="ar-SA"/>
    </w:rPr>
  </w:style>
  <w:style w:type="character" w:customStyle="1" w:styleId="105">
    <w:name w:val="标题 5 Char"/>
    <w:link w:val="11"/>
    <w:qFormat/>
    <w:uiPriority w:val="99"/>
    <w:rPr>
      <w:b/>
      <w:bCs/>
      <w:kern w:val="2"/>
      <w:sz w:val="24"/>
      <w:szCs w:val="28"/>
    </w:rPr>
  </w:style>
  <w:style w:type="character" w:customStyle="1" w:styleId="106">
    <w:name w:val="标题 2 Char"/>
    <w:link w:val="7"/>
    <w:qFormat/>
    <w:uiPriority w:val="99"/>
    <w:rPr>
      <w:rFonts w:ascii="Cambria" w:hAnsi="Cambria"/>
      <w:b/>
      <w:bCs/>
      <w:kern w:val="2"/>
      <w:sz w:val="32"/>
      <w:szCs w:val="32"/>
    </w:rPr>
  </w:style>
  <w:style w:type="character" w:customStyle="1" w:styleId="107">
    <w:name w:val="表格字体小四 Char Char"/>
    <w:link w:val="77"/>
    <w:qFormat/>
    <w:uiPriority w:val="0"/>
    <w:rPr>
      <w:kern w:val="2"/>
      <w:sz w:val="24"/>
      <w:szCs w:val="24"/>
      <w:lang w:val="en-US" w:eastAsia="zh-CN" w:bidi="ar-SA"/>
    </w:rPr>
  </w:style>
  <w:style w:type="character" w:customStyle="1" w:styleId="108">
    <w:name w:val="目录 Char Char"/>
    <w:link w:val="76"/>
    <w:qFormat/>
    <w:uiPriority w:val="0"/>
    <w:rPr>
      <w:rFonts w:ascii="仿宋_GB2312" w:hAnsi="宋体" w:eastAsia="仿宋_GB2312"/>
      <w:sz w:val="28"/>
      <w:szCs w:val="28"/>
      <w:lang w:val="en-US" w:eastAsia="zh-CN" w:bidi="ar-SA"/>
    </w:rPr>
  </w:style>
  <w:style w:type="character" w:customStyle="1" w:styleId="109">
    <w:name w:val="三级 Char Char"/>
    <w:link w:val="82"/>
    <w:qFormat/>
    <w:uiPriority w:val="0"/>
    <w:rPr>
      <w:rFonts w:eastAsia="黑体"/>
      <w:bCs/>
      <w:kern w:val="2"/>
      <w:sz w:val="30"/>
      <w:szCs w:val="24"/>
    </w:rPr>
  </w:style>
  <w:style w:type="character" w:customStyle="1" w:styleId="110">
    <w:name w:val="label"/>
    <w:basedOn w:val="53"/>
    <w:qFormat/>
    <w:uiPriority w:val="0"/>
  </w:style>
  <w:style w:type="character" w:customStyle="1" w:styleId="111">
    <w:name w:val="标题 8 Char"/>
    <w:link w:val="14"/>
    <w:qFormat/>
    <w:uiPriority w:val="99"/>
    <w:rPr>
      <w:rFonts w:ascii="Arial" w:hAnsi="Arial" w:eastAsia="黑体"/>
      <w:kern w:val="2"/>
      <w:sz w:val="24"/>
      <w:szCs w:val="28"/>
    </w:rPr>
  </w:style>
  <w:style w:type="character" w:customStyle="1" w:styleId="112">
    <w:name w:val="open2"/>
    <w:basedOn w:val="53"/>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3"/>
    <w:qFormat/>
    <w:uiPriority w:val="0"/>
  </w:style>
  <w:style w:type="character" w:customStyle="1" w:styleId="115">
    <w:name w:val="del2"/>
    <w:basedOn w:val="53"/>
    <w:qFormat/>
    <w:uiPriority w:val="0"/>
  </w:style>
  <w:style w:type="character" w:customStyle="1" w:styleId="116">
    <w:name w:val="标题 3 Char"/>
    <w:link w:val="9"/>
    <w:qFormat/>
    <w:uiPriority w:val="99"/>
    <w:rPr>
      <w:rFonts w:ascii="Tahoma" w:hAnsi="Tahoma"/>
      <w:b/>
      <w:bCs/>
      <w:kern w:val="2"/>
      <w:sz w:val="32"/>
      <w:szCs w:val="32"/>
    </w:rPr>
  </w:style>
  <w:style w:type="character" w:customStyle="1" w:styleId="117">
    <w:name w:val="图题 Char Char"/>
    <w:link w:val="94"/>
    <w:qFormat/>
    <w:uiPriority w:val="0"/>
    <w:rPr>
      <w:kern w:val="2"/>
      <w:sz w:val="24"/>
      <w:szCs w:val="24"/>
      <w:lang w:val="en-US" w:eastAsia="zh-CN" w:bidi="ar-SA"/>
    </w:rPr>
  </w:style>
  <w:style w:type="character" w:customStyle="1" w:styleId="118">
    <w:name w:val="pagelinks"/>
    <w:basedOn w:val="53"/>
    <w:qFormat/>
    <w:uiPriority w:val="0"/>
  </w:style>
  <w:style w:type="character" w:customStyle="1" w:styleId="119">
    <w:name w:val="morewin"/>
    <w:basedOn w:val="53"/>
    <w:qFormat/>
    <w:uiPriority w:val="0"/>
  </w:style>
  <w:style w:type="character" w:customStyle="1" w:styleId="120">
    <w:name w:val="open"/>
    <w:basedOn w:val="53"/>
    <w:qFormat/>
    <w:uiPriority w:val="0"/>
  </w:style>
  <w:style w:type="character" w:customStyle="1" w:styleId="121">
    <w:name w:val="样式2 Char Char"/>
    <w:link w:val="83"/>
    <w:qFormat/>
    <w:uiPriority w:val="0"/>
    <w:rPr>
      <w:b/>
      <w:kern w:val="2"/>
      <w:sz w:val="24"/>
      <w:szCs w:val="24"/>
    </w:rPr>
  </w:style>
  <w:style w:type="character" w:customStyle="1" w:styleId="122">
    <w:name w:val="批注文字 Char"/>
    <w:qFormat/>
    <w:uiPriority w:val="99"/>
    <w:rPr>
      <w:kern w:val="2"/>
      <w:sz w:val="24"/>
      <w:szCs w:val="28"/>
    </w:rPr>
  </w:style>
  <w:style w:type="character" w:customStyle="1" w:styleId="123">
    <w:name w:val="图片 Char Char"/>
    <w:link w:val="90"/>
    <w:qFormat/>
    <w:uiPriority w:val="0"/>
    <w:rPr>
      <w:kern w:val="2"/>
      <w:sz w:val="28"/>
      <w:szCs w:val="28"/>
    </w:rPr>
  </w:style>
  <w:style w:type="character" w:customStyle="1" w:styleId="124">
    <w:name w:val="标题 1 Char"/>
    <w:link w:val="6"/>
    <w:qFormat/>
    <w:uiPriority w:val="99"/>
    <w:rPr>
      <w:rFonts w:ascii="Tahoma" w:hAnsi="Tahoma"/>
      <w:b/>
      <w:bCs/>
      <w:kern w:val="44"/>
      <w:sz w:val="24"/>
      <w:szCs w:val="44"/>
    </w:rPr>
  </w:style>
  <w:style w:type="character" w:customStyle="1" w:styleId="125">
    <w:name w:val="页眉 Char"/>
    <w:link w:val="37"/>
    <w:qFormat/>
    <w:uiPriority w:val="99"/>
    <w:rPr>
      <w:rFonts w:ascii="Tahoma" w:hAnsi="Tahoma"/>
      <w:kern w:val="2"/>
      <w:sz w:val="18"/>
      <w:szCs w:val="18"/>
    </w:rPr>
  </w:style>
  <w:style w:type="character" w:customStyle="1" w:styleId="126">
    <w:name w:val="标题 7 Char"/>
    <w:link w:val="13"/>
    <w:qFormat/>
    <w:uiPriority w:val="99"/>
    <w:rPr>
      <w:b/>
      <w:bCs/>
      <w:kern w:val="2"/>
      <w:sz w:val="24"/>
      <w:szCs w:val="28"/>
    </w:rPr>
  </w:style>
  <w:style w:type="character" w:customStyle="1" w:styleId="127">
    <w:name w:val="标题 Char"/>
    <w:link w:val="49"/>
    <w:qFormat/>
    <w:uiPriority w:val="0"/>
    <w:rPr>
      <w:rFonts w:ascii="Cambria" w:hAnsi="Cambria"/>
      <w:b/>
      <w:bCs/>
      <w:kern w:val="2"/>
      <w:sz w:val="32"/>
      <w:szCs w:val="32"/>
    </w:rPr>
  </w:style>
  <w:style w:type="character" w:customStyle="1" w:styleId="128">
    <w:name w:val="标题 9 Char"/>
    <w:link w:val="15"/>
    <w:qFormat/>
    <w:uiPriority w:val="99"/>
    <w:rPr>
      <w:rFonts w:ascii="Arial" w:hAnsi="Arial" w:eastAsia="黑体"/>
      <w:kern w:val="2"/>
      <w:sz w:val="24"/>
      <w:szCs w:val="21"/>
    </w:rPr>
  </w:style>
  <w:style w:type="character" w:customStyle="1" w:styleId="129">
    <w:name w:val="error"/>
    <w:qFormat/>
    <w:uiPriority w:val="0"/>
    <w:rPr>
      <w:color w:val="CC0000"/>
    </w:rPr>
  </w:style>
  <w:style w:type="character" w:customStyle="1" w:styleId="130">
    <w:name w:val="add"/>
    <w:basedOn w:val="53"/>
    <w:qFormat/>
    <w:uiPriority w:val="0"/>
  </w:style>
  <w:style w:type="character" w:customStyle="1" w:styleId="131">
    <w:name w:val="批注主题 Char"/>
    <w:link w:val="50"/>
    <w:qFormat/>
    <w:uiPriority w:val="99"/>
    <w:rPr>
      <w:rFonts w:ascii="Tahoma" w:hAnsi="Tahoma"/>
      <w:b/>
      <w:bCs/>
      <w:kern w:val="2"/>
      <w:sz w:val="24"/>
      <w:szCs w:val="28"/>
    </w:rPr>
  </w:style>
  <w:style w:type="character" w:customStyle="1" w:styleId="132">
    <w:name w:val="pagebanner"/>
    <w:basedOn w:val="53"/>
    <w:qFormat/>
    <w:uiPriority w:val="0"/>
  </w:style>
  <w:style w:type="character" w:customStyle="1" w:styleId="133">
    <w:name w:val="文档结构图 Char"/>
    <w:link w:val="21"/>
    <w:qFormat/>
    <w:uiPriority w:val="99"/>
    <w:rPr>
      <w:rFonts w:ascii="宋体"/>
      <w:kern w:val="2"/>
      <w:sz w:val="18"/>
      <w:szCs w:val="18"/>
    </w:rPr>
  </w:style>
  <w:style w:type="character" w:customStyle="1" w:styleId="134">
    <w:name w:val="正文首行缩进 Char"/>
    <w:link w:val="2"/>
    <w:qFormat/>
    <w:uiPriority w:val="0"/>
    <w:rPr>
      <w:rFonts w:ascii="Tahoma" w:hAnsi="Tahoma"/>
      <w:kern w:val="2"/>
      <w:sz w:val="21"/>
      <w:szCs w:val="24"/>
    </w:rPr>
  </w:style>
  <w:style w:type="character" w:customStyle="1" w:styleId="135">
    <w:name w:val="表格标题 Char Char"/>
    <w:link w:val="88"/>
    <w:qFormat/>
    <w:uiPriority w:val="0"/>
    <w:rPr>
      <w:rFonts w:ascii="Arial" w:hAnsi="Arial" w:cs="Arial"/>
      <w:kern w:val="2"/>
      <w:sz w:val="24"/>
      <w:szCs w:val="24"/>
    </w:rPr>
  </w:style>
  <w:style w:type="character" w:customStyle="1" w:styleId="136">
    <w:name w:val="标题 6 Char"/>
    <w:link w:val="12"/>
    <w:qFormat/>
    <w:uiPriority w:val="99"/>
    <w:rPr>
      <w:rFonts w:ascii="Arial" w:hAnsi="Arial" w:eastAsia="黑体"/>
      <w:b/>
      <w:bCs/>
      <w:kern w:val="2"/>
      <w:sz w:val="24"/>
      <w:szCs w:val="28"/>
    </w:rPr>
  </w:style>
  <w:style w:type="character" w:customStyle="1" w:styleId="137">
    <w:name w:val="正文文本 Char"/>
    <w:link w:val="3"/>
    <w:qFormat/>
    <w:uiPriority w:val="99"/>
    <w:rPr>
      <w:rFonts w:ascii="Tahoma" w:hAnsi="Tahoma"/>
      <w:kern w:val="2"/>
      <w:sz w:val="21"/>
      <w:szCs w:val="24"/>
    </w:rPr>
  </w:style>
  <w:style w:type="character" w:customStyle="1" w:styleId="138">
    <w:name w:val="10"/>
    <w:qFormat/>
    <w:uiPriority w:val="0"/>
    <w:rPr>
      <w:rFonts w:hint="default" w:ascii="Calibri" w:hAnsi="Calibri" w:cs="Calibri"/>
    </w:rPr>
  </w:style>
  <w:style w:type="character" w:customStyle="1" w:styleId="139">
    <w:name w:val="正文缩进 Char"/>
    <w:link w:val="8"/>
    <w:qFormat/>
    <w:uiPriority w:val="0"/>
    <w:rPr>
      <w:kern w:val="2"/>
      <w:sz w:val="24"/>
    </w:rPr>
  </w:style>
  <w:style w:type="character" w:customStyle="1" w:styleId="140">
    <w:name w:val="页脚 Char"/>
    <w:link w:val="36"/>
    <w:qFormat/>
    <w:uiPriority w:val="99"/>
    <w:rPr>
      <w:rFonts w:ascii="Tahoma" w:hAnsi="Tahoma"/>
      <w:kern w:val="2"/>
      <w:sz w:val="18"/>
      <w:szCs w:val="18"/>
    </w:rPr>
  </w:style>
  <w:style w:type="character" w:customStyle="1" w:styleId="141">
    <w:name w:val="mod"/>
    <w:basedOn w:val="53"/>
    <w:qFormat/>
    <w:uiPriority w:val="0"/>
  </w:style>
  <w:style w:type="character" w:customStyle="1" w:styleId="142">
    <w:name w:val="标题3 Char Char"/>
    <w:link w:val="86"/>
    <w:qFormat/>
    <w:uiPriority w:val="0"/>
    <w:rPr>
      <w:rFonts w:eastAsia="黑体"/>
      <w:kern w:val="2"/>
      <w:sz w:val="28"/>
      <w:szCs w:val="32"/>
    </w:rPr>
  </w:style>
  <w:style w:type="character" w:customStyle="1" w:styleId="143">
    <w:name w:val="标题 4 Char"/>
    <w:link w:val="10"/>
    <w:qFormat/>
    <w:uiPriority w:val="99"/>
    <w:rPr>
      <w:b/>
      <w:sz w:val="24"/>
      <w:szCs w:val="24"/>
    </w:rPr>
  </w:style>
  <w:style w:type="paragraph" w:customStyle="1" w:styleId="144">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3"/>
    <w:qFormat/>
    <w:uiPriority w:val="0"/>
    <w:rPr>
      <w:color w:val="BA2636"/>
      <w:sz w:val="12"/>
      <w:szCs w:val="12"/>
    </w:rPr>
  </w:style>
  <w:style w:type="character" w:customStyle="1" w:styleId="146">
    <w:name w:val="gjfg"/>
    <w:basedOn w:val="53"/>
    <w:qFormat/>
    <w:uiPriority w:val="0"/>
  </w:style>
  <w:style w:type="character" w:customStyle="1" w:styleId="147">
    <w:name w:val="redfilenumber"/>
    <w:basedOn w:val="53"/>
    <w:qFormat/>
    <w:uiPriority w:val="0"/>
    <w:rPr>
      <w:color w:val="BA2636"/>
      <w:sz w:val="12"/>
      <w:szCs w:val="12"/>
    </w:rPr>
  </w:style>
  <w:style w:type="character" w:customStyle="1" w:styleId="148">
    <w:name w:val="qxdate"/>
    <w:basedOn w:val="53"/>
    <w:qFormat/>
    <w:uiPriority w:val="0"/>
    <w:rPr>
      <w:color w:val="333333"/>
      <w:sz w:val="12"/>
      <w:szCs w:val="12"/>
    </w:rPr>
  </w:style>
  <w:style w:type="character" w:customStyle="1" w:styleId="149">
    <w:name w:val="prev"/>
    <w:basedOn w:val="53"/>
    <w:qFormat/>
    <w:uiPriority w:val="0"/>
    <w:rPr>
      <w:rFonts w:ascii="微软雅黑" w:hAnsi="微软雅黑" w:eastAsia="微软雅黑" w:cs="微软雅黑"/>
      <w:sz w:val="14"/>
      <w:szCs w:val="14"/>
    </w:rPr>
  </w:style>
  <w:style w:type="character" w:customStyle="1" w:styleId="150">
    <w:name w:val="cfdate"/>
    <w:basedOn w:val="53"/>
    <w:qFormat/>
    <w:uiPriority w:val="0"/>
    <w:rPr>
      <w:color w:val="333333"/>
      <w:sz w:val="12"/>
      <w:szCs w:val="12"/>
    </w:rPr>
  </w:style>
  <w:style w:type="character" w:customStyle="1" w:styleId="151">
    <w:name w:val="displayarti"/>
    <w:basedOn w:val="53"/>
    <w:qFormat/>
    <w:uiPriority w:val="0"/>
    <w:rPr>
      <w:color w:val="FFFFFF"/>
      <w:shd w:val="clear" w:color="auto" w:fill="A00000"/>
    </w:rPr>
  </w:style>
  <w:style w:type="character" w:customStyle="1" w:styleId="152">
    <w:name w:val="next2"/>
    <w:basedOn w:val="53"/>
    <w:qFormat/>
    <w:uiPriority w:val="0"/>
    <w:rPr>
      <w:rFonts w:hint="eastAsia" w:ascii="微软雅黑" w:hAnsi="微软雅黑" w:eastAsia="微软雅黑" w:cs="微软雅黑"/>
      <w:sz w:val="14"/>
      <w:szCs w:val="14"/>
    </w:rPr>
  </w:style>
  <w:style w:type="character" w:customStyle="1" w:styleId="153">
    <w:name w:val="next3"/>
    <w:basedOn w:val="53"/>
    <w:qFormat/>
    <w:uiPriority w:val="0"/>
    <w:rPr>
      <w:color w:val="888888"/>
    </w:rPr>
  </w:style>
  <w:style w:type="character" w:customStyle="1" w:styleId="154">
    <w:name w:val="next"/>
    <w:basedOn w:val="53"/>
    <w:qFormat/>
    <w:uiPriority w:val="0"/>
    <w:rPr>
      <w:rFonts w:ascii="微软雅黑" w:hAnsi="微软雅黑" w:eastAsia="微软雅黑" w:cs="微软雅黑"/>
      <w:sz w:val="14"/>
      <w:szCs w:val="14"/>
    </w:rPr>
  </w:style>
  <w:style w:type="character" w:customStyle="1" w:styleId="155">
    <w:name w:val="prev1"/>
    <w:basedOn w:val="53"/>
    <w:qFormat/>
    <w:uiPriority w:val="0"/>
    <w:rPr>
      <w:color w:val="888888"/>
    </w:rPr>
  </w:style>
  <w:style w:type="paragraph" w:customStyle="1" w:styleId="156">
    <w:name w:val="Body text|21"/>
    <w:basedOn w:val="1"/>
    <w:link w:val="158"/>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3"/>
    <w:link w:val="156"/>
    <w:qFormat/>
    <w:uiPriority w:val="0"/>
    <w:rPr>
      <w:rFonts w:ascii="PMingLiU" w:hAnsi="PMingLiU" w:eastAsia="PMingLiU" w:cs="PMingLiU"/>
      <w:spacing w:val="30"/>
    </w:rPr>
  </w:style>
  <w:style w:type="character" w:customStyle="1" w:styleId="159">
    <w:name w:val="Body text|2 + Spacing 3 pt"/>
    <w:basedOn w:val="158"/>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qFormat/>
    <w:uiPriority w:val="0"/>
    <w:rPr>
      <w:rFonts w:ascii="仿宋_GB2312" w:eastAsia="仿宋_GB2312"/>
      <w:b/>
      <w:sz w:val="32"/>
      <w:szCs w:val="32"/>
    </w:rPr>
  </w:style>
  <w:style w:type="paragraph" w:customStyle="1" w:styleId="163">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5"/>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Char"/>
    <w:basedOn w:val="53"/>
    <w:link w:val="34"/>
    <w:qFormat/>
    <w:uiPriority w:val="99"/>
    <w:rPr>
      <w:rFonts w:ascii="Times New Roman" w:hAnsi="Times New Roman" w:eastAsia="宋体" w:cs="Times New Roman"/>
      <w:kern w:val="2"/>
      <w:sz w:val="24"/>
      <w:szCs w:val="30"/>
    </w:rPr>
  </w:style>
  <w:style w:type="paragraph" w:customStyle="1" w:styleId="1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Char"/>
    <w:basedOn w:val="53"/>
    <w:link w:val="5"/>
    <w:qFormat/>
    <w:uiPriority w:val="99"/>
    <w:rPr>
      <w:rFonts w:ascii="Tahoma" w:hAnsi="Tahoma" w:eastAsia="Arial Unicode MS" w:cs="Times New Roman"/>
      <w:kern w:val="2"/>
      <w:sz w:val="21"/>
      <w:szCs w:val="24"/>
    </w:rPr>
  </w:style>
  <w:style w:type="character" w:customStyle="1" w:styleId="170">
    <w:name w:val="正文首行缩进 2 Char"/>
    <w:basedOn w:val="169"/>
    <w:link w:val="4"/>
    <w:qFormat/>
    <w:uiPriority w:val="0"/>
    <w:rPr>
      <w:rFonts w:ascii="Times New Roman" w:hAnsi="Times New Roman" w:eastAsia="宋体" w:cs="Times New Roman"/>
      <w:kern w:val="2"/>
      <w:sz w:val="21"/>
      <w:szCs w:val="24"/>
    </w:rPr>
  </w:style>
  <w:style w:type="character" w:customStyle="1" w:styleId="171">
    <w:name w:val="正文文本 2 Char"/>
    <w:basedOn w:val="53"/>
    <w:link w:val="45"/>
    <w:qFormat/>
    <w:uiPriority w:val="99"/>
    <w:rPr>
      <w:rFonts w:ascii="宋体" w:hAnsi="Times New Roman" w:eastAsia="宋体" w:cs="Times New Roman"/>
      <w:kern w:val="2"/>
      <w:sz w:val="21"/>
    </w:rPr>
  </w:style>
  <w:style w:type="paragraph" w:customStyle="1" w:styleId="172">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7"/>
    <w:qFormat/>
    <w:uiPriority w:val="0"/>
    <w:pPr>
      <w:keepNext/>
      <w:keepLines/>
      <w:spacing w:line="416" w:lineRule="auto"/>
    </w:pPr>
    <w:rPr>
      <w:rFonts w:ascii="Arial" w:hAnsi="Arial" w:eastAsia="宋体"/>
      <w:bCs/>
      <w:sz w:val="24"/>
    </w:rPr>
  </w:style>
  <w:style w:type="character" w:customStyle="1" w:styleId="174">
    <w:name w:val="Char2"/>
    <w:qFormat/>
    <w:uiPriority w:val="0"/>
    <w:rPr>
      <w:rFonts w:ascii="Arial" w:hAnsi="Arial" w:eastAsia="黑体"/>
      <w:b/>
      <w:bCs/>
      <w:kern w:val="2"/>
      <w:sz w:val="32"/>
      <w:szCs w:val="32"/>
      <w:lang w:val="en-US" w:eastAsia="zh-CN" w:bidi="ar-SA"/>
    </w:rPr>
  </w:style>
  <w:style w:type="character" w:customStyle="1" w:styleId="175">
    <w:name w:val="样式 标题 2 + (符号) 宋体 小四 Char"/>
    <w:qFormat/>
    <w:uiPriority w:val="0"/>
    <w:rPr>
      <w:rFonts w:ascii="Arial" w:hAnsi="Arial" w:eastAsia="宋体"/>
      <w:b/>
      <w:bCs/>
      <w:kern w:val="2"/>
      <w:sz w:val="24"/>
      <w:szCs w:val="32"/>
      <w:lang w:val="en-US" w:eastAsia="zh-CN" w:bidi="ar-SA"/>
    </w:rPr>
  </w:style>
  <w:style w:type="paragraph" w:customStyle="1" w:styleId="176">
    <w:name w:val="样式1"/>
    <w:basedOn w:val="1"/>
    <w:next w:val="9"/>
    <w:qFormat/>
    <w:uiPriority w:val="99"/>
    <w:rPr>
      <w:rFonts w:eastAsia="宋体"/>
      <w:sz w:val="24"/>
      <w:szCs w:val="20"/>
    </w:rPr>
  </w:style>
  <w:style w:type="paragraph" w:customStyle="1" w:styleId="177">
    <w:name w:val="默认段落字体 Para Char Char Char Char Char Char Char Char Char Char"/>
    <w:basedOn w:val="21"/>
    <w:qFormat/>
    <w:uiPriority w:val="0"/>
    <w:pPr>
      <w:shd w:val="clear" w:color="auto" w:fill="000080"/>
      <w:spacing w:line="240" w:lineRule="auto"/>
    </w:pPr>
    <w:rPr>
      <w:rFonts w:ascii="Tahoma" w:hAnsi="Tahoma" w:eastAsia="宋体"/>
      <w:sz w:val="24"/>
      <w:szCs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Char"/>
    <w:link w:val="33"/>
    <w:qFormat/>
    <w:uiPriority w:val="99"/>
    <w:rPr>
      <w:rFonts w:ascii="Tahoma" w:hAnsi="Tahoma" w:eastAsia="Arial Unicode MS" w:cs="Times New Roman"/>
      <w:kern w:val="2"/>
      <w:sz w:val="21"/>
      <w:szCs w:val="24"/>
    </w:rPr>
  </w:style>
  <w:style w:type="character" w:customStyle="1" w:styleId="201">
    <w:name w:val="Char Char"/>
    <w:qFormat/>
    <w:uiPriority w:val="0"/>
    <w:rPr>
      <w:rFonts w:eastAsia="宋体"/>
      <w:kern w:val="2"/>
      <w:sz w:val="24"/>
      <w:lang w:val="en-US" w:eastAsia="zh-CN" w:bidi="ar-SA"/>
    </w:rPr>
  </w:style>
  <w:style w:type="character" w:customStyle="1" w:styleId="202">
    <w:name w:val="称呼 Char"/>
    <w:basedOn w:val="53"/>
    <w:link w:val="24"/>
    <w:qFormat/>
    <w:uiPriority w:val="0"/>
    <w:rPr>
      <w:rFonts w:ascii="..ì." w:hAnsi="Times New Roman" w:eastAsia="..ì." w:cs="Times New Roman"/>
      <w:sz w:val="24"/>
    </w:rPr>
  </w:style>
  <w:style w:type="character" w:customStyle="1" w:styleId="203">
    <w:name w:val="注释标题 Char"/>
    <w:basedOn w:val="53"/>
    <w:link w:val="17"/>
    <w:qFormat/>
    <w:uiPriority w:val="0"/>
    <w:rPr>
      <w:rFonts w:ascii="..ì." w:hAnsi="Times New Roman" w:eastAsia="..ì." w:cs="Times New Roman"/>
      <w:sz w:val="24"/>
    </w:rPr>
  </w:style>
  <w:style w:type="paragraph" w:customStyle="1" w:styleId="204">
    <w:name w:val="1 Char Char Char Char"/>
    <w:basedOn w:val="1"/>
    <w:qFormat/>
    <w:uiPriority w:val="0"/>
    <w:rPr>
      <w:rFonts w:ascii="Tahoma" w:hAnsi="Tahoma" w:eastAsia="宋体"/>
      <w:sz w:val="24"/>
      <w:szCs w:val="20"/>
    </w:rPr>
  </w:style>
  <w:style w:type="paragraph" w:customStyle="1" w:styleId="20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6"/>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qFormat/>
    <w:uiPriority w:val="99"/>
    <w:rPr>
      <w:rFonts w:ascii="黑体" w:eastAsia="黑体"/>
      <w:sz w:val="52"/>
      <w:lang w:bidi="ar-SA"/>
    </w:rPr>
  </w:style>
  <w:style w:type="paragraph" w:customStyle="1" w:styleId="208">
    <w:name w:val="样式 标题 2 + Times New Roman 四号 非加粗 段前: 5 磅 段后: 0 磅 行距: 固定值 20..."/>
    <w:basedOn w:val="7"/>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5"/>
    <w:qFormat/>
    <w:uiPriority w:val="99"/>
    <w:rPr>
      <w:rFonts w:ascii="宋体" w:eastAsia="宋体"/>
      <w:sz w:val="24"/>
      <w:szCs w:val="20"/>
    </w:rPr>
  </w:style>
  <w:style w:type="character" w:customStyle="1" w:styleId="210">
    <w:name w:val="正文文本 3 Char"/>
    <w:basedOn w:val="53"/>
    <w:link w:val="25"/>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9"/>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5"/>
    <w:qFormat/>
    <w:uiPriority w:val="99"/>
    <w:pPr>
      <w:ind w:left="432"/>
    </w:pPr>
    <w:rPr>
      <w:rFonts w:eastAsia="宋体"/>
      <w:szCs w:val="20"/>
    </w:rPr>
  </w:style>
  <w:style w:type="character" w:customStyle="1" w:styleId="213">
    <w:name w:val="正文文本缩进 3 Char"/>
    <w:link w:val="42"/>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6"/>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qFormat/>
    <w:uiPriority w:val="0"/>
    <w:rPr>
      <w:rFonts w:ascii="Tahoma" w:hAnsi="Tahoma" w:eastAsia="宋体"/>
      <w:sz w:val="24"/>
      <w:szCs w:val="20"/>
    </w:rPr>
  </w:style>
  <w:style w:type="character" w:customStyle="1" w:styleId="216">
    <w:name w:val="font161"/>
    <w:qFormat/>
    <w:uiPriority w:val="99"/>
    <w:rPr>
      <w:b/>
      <w:bCs/>
      <w:sz w:val="32"/>
      <w:szCs w:val="32"/>
    </w:rPr>
  </w:style>
  <w:style w:type="paragraph" w:customStyle="1" w:styleId="217">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qFormat/>
    <w:uiPriority w:val="99"/>
    <w:pPr>
      <w:jc w:val="center"/>
      <w:textAlignment w:val="center"/>
    </w:pPr>
    <w:rPr>
      <w:rFonts w:ascii="华文细黑" w:hAnsi="华文细黑" w:eastAsia="宋体"/>
      <w:kern w:val="0"/>
      <w:szCs w:val="20"/>
    </w:rPr>
  </w:style>
  <w:style w:type="paragraph" w:customStyle="1" w:styleId="219">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5"/>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5"/>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qFormat/>
    <w:uiPriority w:val="99"/>
    <w:rPr>
      <w:color w:val="auto"/>
      <w:u w:val="none"/>
    </w:rPr>
  </w:style>
  <w:style w:type="character" w:customStyle="1" w:styleId="223">
    <w:name w:val="Char Char1"/>
    <w:qFormat/>
    <w:uiPriority w:val="0"/>
    <w:rPr>
      <w:rFonts w:eastAsia="宋体"/>
      <w:kern w:val="2"/>
      <w:sz w:val="24"/>
      <w:lang w:val="en-US" w:eastAsia="zh-CN" w:bidi="ar-SA"/>
    </w:rPr>
  </w:style>
  <w:style w:type="character" w:customStyle="1" w:styleId="224">
    <w:name w:val="纯文本 Char"/>
    <w:link w:val="31"/>
    <w:qFormat/>
    <w:uiPriority w:val="0"/>
    <w:rPr>
      <w:rFonts w:ascii="宋体" w:hAnsi="Courier New" w:eastAsia="Arial Unicode MS" w:cs="Times New Roman"/>
      <w:kern w:val="2"/>
      <w:sz w:val="21"/>
      <w:szCs w:val="21"/>
    </w:rPr>
  </w:style>
  <w:style w:type="paragraph" w:customStyle="1" w:styleId="225">
    <w:name w:val="Char Char Char Char"/>
    <w:basedOn w:val="1"/>
    <w:qFormat/>
    <w:uiPriority w:val="0"/>
    <w:pPr>
      <w:widowControl/>
      <w:spacing w:after="160" w:line="240" w:lineRule="exact"/>
      <w:jc w:val="left"/>
    </w:pPr>
    <w:rPr>
      <w:rFonts w:eastAsia="宋体"/>
      <w:szCs w:val="20"/>
    </w:rPr>
  </w:style>
  <w:style w:type="paragraph" w:customStyle="1" w:styleId="226">
    <w:name w:val="p17"/>
    <w:basedOn w:val="1"/>
    <w:qFormat/>
    <w:uiPriority w:val="99"/>
    <w:pPr>
      <w:widowControl/>
    </w:pPr>
    <w:rPr>
      <w:rFonts w:eastAsia="宋体"/>
      <w:kern w:val="0"/>
      <w:szCs w:val="21"/>
    </w:rPr>
  </w:style>
  <w:style w:type="character" w:customStyle="1" w:styleId="227">
    <w:name w:val="H4 Char"/>
    <w:qFormat/>
    <w:uiPriority w:val="0"/>
    <w:rPr>
      <w:b/>
      <w:sz w:val="28"/>
    </w:rPr>
  </w:style>
  <w:style w:type="character" w:customStyle="1" w:styleId="228">
    <w:name w:val="Char Char2"/>
    <w:qFormat/>
    <w:uiPriority w:val="0"/>
    <w:rPr>
      <w:rFonts w:eastAsia="宋体"/>
      <w:kern w:val="2"/>
      <w:sz w:val="24"/>
      <w:lang w:val="en-US" w:eastAsia="zh-CN" w:bidi="ar-SA"/>
    </w:rPr>
  </w:style>
  <w:style w:type="character" w:customStyle="1" w:styleId="229">
    <w:name w:val="Char Char111"/>
    <w:qFormat/>
    <w:uiPriority w:val="99"/>
    <w:rPr>
      <w:rFonts w:eastAsia="宋体"/>
      <w:kern w:val="2"/>
      <w:sz w:val="24"/>
      <w:lang w:val="en-US" w:eastAsia="zh-CN" w:bidi="ar-SA"/>
    </w:rPr>
  </w:style>
  <w:style w:type="paragraph" w:customStyle="1" w:styleId="230">
    <w:name w:val="Char Char Char Char111"/>
    <w:basedOn w:val="1"/>
    <w:qFormat/>
    <w:uiPriority w:val="0"/>
    <w:pPr>
      <w:widowControl/>
      <w:spacing w:after="160" w:line="240" w:lineRule="exact"/>
      <w:jc w:val="left"/>
    </w:pPr>
    <w:rPr>
      <w:rFonts w:eastAsia="宋体"/>
      <w:szCs w:val="20"/>
    </w:rPr>
  </w:style>
  <w:style w:type="paragraph" w:customStyle="1" w:styleId="231">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qFormat/>
    <w:uiPriority w:val="0"/>
    <w:pPr>
      <w:numPr>
        <w:ilvl w:val="3"/>
      </w:numPr>
      <w:ind w:left="315"/>
      <w:outlineLvl w:val="3"/>
    </w:pPr>
  </w:style>
  <w:style w:type="paragraph" w:customStyle="1" w:styleId="247">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qFormat/>
    <w:uiPriority w:val="0"/>
    <w:pPr>
      <w:numPr>
        <w:ilvl w:val="4"/>
      </w:numPr>
      <w:tabs>
        <w:tab w:val="left" w:pos="1680"/>
        <w:tab w:val="left" w:pos="2100"/>
      </w:tabs>
      <w:ind w:left="2100" w:hanging="420"/>
      <w:outlineLvl w:val="4"/>
    </w:pPr>
  </w:style>
  <w:style w:type="paragraph" w:customStyle="1" w:styleId="249">
    <w:name w:val="四级条标题"/>
    <w:basedOn w:val="248"/>
    <w:next w:val="1"/>
    <w:qFormat/>
    <w:uiPriority w:val="0"/>
    <w:pPr>
      <w:numPr>
        <w:ilvl w:val="5"/>
      </w:numPr>
      <w:tabs>
        <w:tab w:val="left" w:pos="2520"/>
      </w:tabs>
      <w:ind w:left="2520" w:hanging="420"/>
      <w:outlineLvl w:val="5"/>
    </w:pPr>
  </w:style>
  <w:style w:type="paragraph" w:customStyle="1" w:styleId="250">
    <w:name w:val="五级条标题"/>
    <w:basedOn w:val="249"/>
    <w:next w:val="1"/>
    <w:qFormat/>
    <w:uiPriority w:val="0"/>
    <w:pPr>
      <w:numPr>
        <w:ilvl w:val="6"/>
      </w:numPr>
      <w:tabs>
        <w:tab w:val="left" w:pos="2940"/>
      </w:tabs>
      <w:ind w:left="2940" w:hanging="420"/>
      <w:outlineLvl w:val="6"/>
    </w:pPr>
  </w:style>
  <w:style w:type="character" w:customStyle="1" w:styleId="251">
    <w:name w:val="章标题 Char"/>
    <w:link w:val="244"/>
    <w:qFormat/>
    <w:uiPriority w:val="0"/>
    <w:rPr>
      <w:rFonts w:ascii="黑体" w:eastAsia="黑体"/>
      <w:sz w:val="21"/>
    </w:rPr>
  </w:style>
  <w:style w:type="character" w:customStyle="1" w:styleId="252">
    <w:name w:val="一级条标题 Char"/>
    <w:link w:val="245"/>
    <w:qFormat/>
    <w:uiPriority w:val="0"/>
    <w:rPr>
      <w:rFonts w:ascii="黑体" w:eastAsia="黑体"/>
      <w:sz w:val="21"/>
    </w:rPr>
  </w:style>
  <w:style w:type="character" w:customStyle="1" w:styleId="253">
    <w:name w:val="二级条标题 Char"/>
    <w:link w:val="246"/>
    <w:qFormat/>
    <w:uiPriority w:val="0"/>
    <w:rPr>
      <w:rFonts w:ascii="黑体" w:eastAsia="黑体"/>
      <w:sz w:val="21"/>
    </w:rPr>
  </w:style>
  <w:style w:type="character" w:customStyle="1" w:styleId="254">
    <w:name w:val="Heading 1 Char"/>
    <w:qFormat/>
    <w:locked/>
    <w:uiPriority w:val="0"/>
    <w:rPr>
      <w:rFonts w:ascii="黑体" w:hAnsi="Times New Roman" w:eastAsia="黑体" w:cs="Times New Roman"/>
      <w:kern w:val="0"/>
      <w:sz w:val="20"/>
      <w:szCs w:val="20"/>
    </w:rPr>
  </w:style>
  <w:style w:type="character" w:customStyle="1" w:styleId="255">
    <w:name w:val="Heading 2 Char"/>
    <w:qFormat/>
    <w:locked/>
    <w:uiPriority w:val="0"/>
    <w:rPr>
      <w:rFonts w:ascii="Times New Roman" w:hAnsi="Times New Roman" w:eastAsia="宋体" w:cs="Times New Roman"/>
      <w:b/>
      <w:kern w:val="0"/>
      <w:sz w:val="32"/>
      <w:szCs w:val="32"/>
    </w:rPr>
  </w:style>
  <w:style w:type="character" w:customStyle="1" w:styleId="256">
    <w:name w:val="标题 3 Char1"/>
    <w:qFormat/>
    <w:locked/>
    <w:uiPriority w:val="99"/>
    <w:rPr>
      <w:rFonts w:eastAsia="宋体"/>
      <w:b/>
      <w:sz w:val="32"/>
      <w:lang w:val="en-US" w:eastAsia="zh-CN" w:bidi="ar-SA"/>
    </w:rPr>
  </w:style>
  <w:style w:type="character" w:customStyle="1" w:styleId="257">
    <w:name w:val="Heading 4 Char"/>
    <w:qFormat/>
    <w:locked/>
    <w:uiPriority w:val="0"/>
    <w:rPr>
      <w:rFonts w:ascii="Times New Roman" w:hAnsi="Times New Roman" w:eastAsia="宋体" w:cs="Times New Roman"/>
      <w:b/>
      <w:kern w:val="0"/>
      <w:sz w:val="20"/>
      <w:szCs w:val="20"/>
    </w:rPr>
  </w:style>
  <w:style w:type="character" w:customStyle="1" w:styleId="258">
    <w:name w:val="Heading 5 Char"/>
    <w:qFormat/>
    <w:locked/>
    <w:uiPriority w:val="0"/>
    <w:rPr>
      <w:rFonts w:ascii="Times New Roman" w:hAnsi="Times New Roman" w:eastAsia="宋体" w:cs="Times New Roman"/>
      <w:b/>
      <w:bCs/>
      <w:sz w:val="28"/>
      <w:szCs w:val="28"/>
    </w:rPr>
  </w:style>
  <w:style w:type="character" w:customStyle="1" w:styleId="259">
    <w:name w:val="Heading 6 Char"/>
    <w:qFormat/>
    <w:locked/>
    <w:uiPriority w:val="0"/>
    <w:rPr>
      <w:rFonts w:ascii="Arial" w:hAnsi="Arial" w:eastAsia="黑体" w:cs="Times New Roman"/>
      <w:b/>
      <w:bCs/>
      <w:kern w:val="0"/>
      <w:sz w:val="24"/>
      <w:szCs w:val="24"/>
    </w:rPr>
  </w:style>
  <w:style w:type="character" w:customStyle="1" w:styleId="260">
    <w:name w:val="Heading 7 Char"/>
    <w:qFormat/>
    <w:locked/>
    <w:uiPriority w:val="0"/>
    <w:rPr>
      <w:rFonts w:ascii="Times New Roman" w:hAnsi="Times New Roman" w:eastAsia="宋体" w:cs="Times New Roman"/>
      <w:b/>
      <w:bCs/>
      <w:kern w:val="0"/>
      <w:sz w:val="24"/>
      <w:szCs w:val="24"/>
    </w:rPr>
  </w:style>
  <w:style w:type="character" w:customStyle="1" w:styleId="261">
    <w:name w:val="Heading 8 Char"/>
    <w:qFormat/>
    <w:locked/>
    <w:uiPriority w:val="0"/>
    <w:rPr>
      <w:rFonts w:ascii="Arial" w:hAnsi="Arial" w:eastAsia="黑体" w:cs="Times New Roman"/>
      <w:kern w:val="0"/>
      <w:sz w:val="24"/>
      <w:szCs w:val="24"/>
    </w:rPr>
  </w:style>
  <w:style w:type="character" w:customStyle="1" w:styleId="262">
    <w:name w:val="Heading 9 Char"/>
    <w:qFormat/>
    <w:locked/>
    <w:uiPriority w:val="0"/>
    <w:rPr>
      <w:rFonts w:ascii="Arial" w:hAnsi="Arial" w:eastAsia="黑体" w:cs="Times New Roman"/>
      <w:kern w:val="0"/>
      <w:sz w:val="21"/>
      <w:szCs w:val="21"/>
    </w:rPr>
  </w:style>
  <w:style w:type="character" w:customStyle="1" w:styleId="263">
    <w:name w:val="Document Map Char"/>
    <w:qFormat/>
    <w:locked/>
    <w:uiPriority w:val="0"/>
    <w:rPr>
      <w:rFonts w:ascii="Times New Roman" w:hAnsi="Times New Roman" w:eastAsia="宋体" w:cs="Times New Roman"/>
      <w:sz w:val="24"/>
      <w:szCs w:val="24"/>
      <w:shd w:val="clear" w:color="auto" w:fill="000080"/>
    </w:rPr>
  </w:style>
  <w:style w:type="character" w:customStyle="1" w:styleId="264">
    <w:name w:val="Date Char"/>
    <w:qFormat/>
    <w:locked/>
    <w:uiPriority w:val="0"/>
    <w:rPr>
      <w:rFonts w:ascii="Times New Roman" w:hAnsi="Times New Roman" w:eastAsia="宋体" w:cs="Times New Roman"/>
      <w:sz w:val="20"/>
      <w:szCs w:val="20"/>
    </w:rPr>
  </w:style>
  <w:style w:type="character" w:customStyle="1" w:styleId="265">
    <w:name w:val="Header Char"/>
    <w:qFormat/>
    <w:locked/>
    <w:uiPriority w:val="0"/>
    <w:rPr>
      <w:rFonts w:ascii="Times New Roman" w:hAnsi="Times New Roman" w:eastAsia="宋体" w:cs="Times New Roman"/>
      <w:kern w:val="0"/>
      <w:sz w:val="20"/>
      <w:szCs w:val="20"/>
    </w:rPr>
  </w:style>
  <w:style w:type="character" w:customStyle="1" w:styleId="266">
    <w:name w:val="Footer Char"/>
    <w:qFormat/>
    <w:locked/>
    <w:uiPriority w:val="0"/>
    <w:rPr>
      <w:rFonts w:ascii="Times New Roman" w:hAnsi="Times New Roman" w:eastAsia="宋体" w:cs="Times New Roman"/>
      <w:kern w:val="0"/>
      <w:sz w:val="20"/>
      <w:szCs w:val="20"/>
    </w:rPr>
  </w:style>
  <w:style w:type="character" w:customStyle="1" w:styleId="267">
    <w:name w:val="Plain Text Char"/>
    <w:qFormat/>
    <w:locked/>
    <w:uiPriority w:val="0"/>
    <w:rPr>
      <w:rFonts w:ascii="宋体" w:hAnsi="Courier New" w:eastAsia="宋体" w:cs="Times New Roman"/>
      <w:sz w:val="20"/>
      <w:szCs w:val="20"/>
    </w:rPr>
  </w:style>
  <w:style w:type="character" w:customStyle="1" w:styleId="268">
    <w:name w:val="Body Text Indent 2 Char"/>
    <w:qFormat/>
    <w:locked/>
    <w:uiPriority w:val="0"/>
    <w:rPr>
      <w:rFonts w:ascii="Times New Roman" w:hAnsi="Times New Roman" w:eastAsia="宋体" w:cs="Times New Roman"/>
      <w:sz w:val="30"/>
      <w:szCs w:val="30"/>
    </w:rPr>
  </w:style>
  <w:style w:type="character" w:customStyle="1" w:styleId="269">
    <w:name w:val="Body Text Indent 3 Char"/>
    <w:qFormat/>
    <w:locked/>
    <w:uiPriority w:val="0"/>
    <w:rPr>
      <w:rFonts w:ascii="Times New Roman" w:hAnsi="Times New Roman" w:eastAsia="宋体" w:cs="Times New Roman"/>
      <w:sz w:val="30"/>
      <w:szCs w:val="30"/>
    </w:rPr>
  </w:style>
  <w:style w:type="character" w:customStyle="1" w:styleId="270">
    <w:name w:val="Body Text First Indent 2 Char"/>
    <w:qFormat/>
    <w:locked/>
    <w:uiPriority w:val="0"/>
    <w:rPr>
      <w:rFonts w:ascii="Times New Roman" w:hAnsi="Times New Roman" w:eastAsia="宋体" w:cs="Times New Roman"/>
      <w:kern w:val="2"/>
      <w:sz w:val="24"/>
      <w:szCs w:val="24"/>
    </w:rPr>
  </w:style>
  <w:style w:type="character" w:customStyle="1" w:styleId="271">
    <w:name w:val="Body Text 2 Char"/>
    <w:qFormat/>
    <w:locked/>
    <w:uiPriority w:val="0"/>
    <w:rPr>
      <w:rFonts w:ascii="宋体" w:hAnsi="Times New Roman" w:eastAsia="宋体" w:cs="Times New Roman"/>
      <w:sz w:val="20"/>
      <w:szCs w:val="20"/>
    </w:rPr>
  </w:style>
  <w:style w:type="character" w:customStyle="1" w:styleId="272">
    <w:name w:val="Balloon Text Char"/>
    <w:qFormat/>
    <w:locked/>
    <w:uiPriority w:val="0"/>
    <w:rPr>
      <w:rFonts w:ascii="Times New Roman" w:hAnsi="Times New Roman" w:eastAsia="宋体" w:cs="Times New Roman"/>
      <w:sz w:val="18"/>
      <w:szCs w:val="18"/>
    </w:rPr>
  </w:style>
  <w:style w:type="character" w:customStyle="1" w:styleId="273">
    <w:name w:val="Salutation Char"/>
    <w:qFormat/>
    <w:locked/>
    <w:uiPriority w:val="0"/>
    <w:rPr>
      <w:rFonts w:ascii="..ì." w:hAnsi="Times New Roman" w:eastAsia="..ì." w:cs="Times New Roman"/>
      <w:kern w:val="0"/>
      <w:sz w:val="20"/>
      <w:szCs w:val="20"/>
    </w:rPr>
  </w:style>
  <w:style w:type="character" w:customStyle="1" w:styleId="274">
    <w:name w:val="Note Heading Char"/>
    <w:qFormat/>
    <w:locked/>
    <w:uiPriority w:val="0"/>
    <w:rPr>
      <w:rFonts w:ascii="..ì." w:hAnsi="Times New Roman" w:eastAsia="..ì." w:cs="Times New Roman"/>
      <w:kern w:val="0"/>
      <w:sz w:val="20"/>
      <w:szCs w:val="20"/>
    </w:rPr>
  </w:style>
  <w:style w:type="paragraph" w:customStyle="1" w:styleId="275">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6"/>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qFormat/>
    <w:locked/>
    <w:uiPriority w:val="0"/>
    <w:rPr>
      <w:rFonts w:ascii="Times New Roman" w:hAnsi="Times New Roman" w:eastAsia="宋体" w:cs="Times New Roman"/>
      <w:sz w:val="16"/>
      <w:szCs w:val="16"/>
    </w:rPr>
  </w:style>
  <w:style w:type="character" w:customStyle="1" w:styleId="278">
    <w:name w:val="Title Char"/>
    <w:qFormat/>
    <w:locked/>
    <w:uiPriority w:val="0"/>
    <w:rPr>
      <w:rFonts w:ascii="Arial" w:hAnsi="Arial" w:eastAsia="宋体" w:cs="Times New Roman"/>
      <w:b/>
      <w:kern w:val="0"/>
      <w:sz w:val="20"/>
      <w:szCs w:val="20"/>
    </w:rPr>
  </w:style>
  <w:style w:type="character" w:customStyle="1" w:styleId="279">
    <w:name w:val="Comment Subject Char"/>
    <w:qFormat/>
    <w:locked/>
    <w:uiPriority w:val="0"/>
    <w:rPr>
      <w:rFonts w:ascii="Times New Roman" w:hAnsi="Times New Roman" w:eastAsia="宋体" w:cs="Times New Roman"/>
      <w:b/>
      <w:bCs/>
      <w:sz w:val="24"/>
      <w:szCs w:val="24"/>
    </w:rPr>
  </w:style>
  <w:style w:type="character" w:customStyle="1" w:styleId="280">
    <w:name w:val="Comment Text Char"/>
    <w:qFormat/>
    <w:locked/>
    <w:uiPriority w:val="0"/>
    <w:rPr>
      <w:rFonts w:ascii="Times New Roman" w:hAnsi="Times New Roman" w:eastAsia="宋体"/>
      <w:sz w:val="24"/>
    </w:rPr>
  </w:style>
  <w:style w:type="paragraph" w:customStyle="1" w:styleId="281">
    <w:name w:val="List Paragraph1"/>
    <w:basedOn w:val="1"/>
    <w:qFormat/>
    <w:uiPriority w:val="0"/>
    <w:pPr>
      <w:ind w:firstLine="420" w:firstLineChars="200"/>
    </w:pPr>
    <w:rPr>
      <w:rFonts w:eastAsia="宋体"/>
    </w:rPr>
  </w:style>
  <w:style w:type="paragraph" w:customStyle="1" w:styleId="282">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unhideWhenUsed/>
    <w:qFormat/>
    <w:uiPriority w:val="99"/>
    <w:rPr>
      <w:color w:val="605E5C"/>
      <w:shd w:val="clear" w:color="auto" w:fill="E1DFDD"/>
    </w:rPr>
  </w:style>
  <w:style w:type="character" w:customStyle="1" w:styleId="284">
    <w:name w:val="Char Char11"/>
    <w:qFormat/>
    <w:uiPriority w:val="99"/>
    <w:rPr>
      <w:rFonts w:eastAsia="宋体"/>
      <w:kern w:val="2"/>
      <w:sz w:val="24"/>
      <w:lang w:val="en-US" w:eastAsia="zh-CN"/>
    </w:rPr>
  </w:style>
  <w:style w:type="character" w:customStyle="1" w:styleId="285">
    <w:name w:val="正文文本 Char1"/>
    <w:semiHidden/>
    <w:qFormat/>
    <w:uiPriority w:val="0"/>
    <w:rPr>
      <w:rFonts w:ascii="Times New Roman" w:hAnsi="Times New Roman" w:eastAsia="宋体" w:cs="Times New Roman"/>
      <w:szCs w:val="24"/>
    </w:rPr>
  </w:style>
  <w:style w:type="paragraph" w:customStyle="1" w:styleId="28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qFormat/>
    <w:uiPriority w:val="99"/>
    <w:rPr>
      <w:rFonts w:ascii="Tahoma" w:hAnsi="Tahoma" w:eastAsia="宋体"/>
      <w:sz w:val="24"/>
      <w:szCs w:val="20"/>
    </w:rPr>
  </w:style>
  <w:style w:type="paragraph" w:customStyle="1" w:styleId="288">
    <w:name w:val="Char Char Char Char1"/>
    <w:basedOn w:val="1"/>
    <w:qFormat/>
    <w:uiPriority w:val="99"/>
    <w:pPr>
      <w:widowControl/>
      <w:spacing w:after="160" w:line="240" w:lineRule="exact"/>
      <w:jc w:val="left"/>
    </w:pPr>
    <w:rPr>
      <w:rFonts w:eastAsia="宋体"/>
      <w:szCs w:val="20"/>
    </w:rPr>
  </w:style>
  <w:style w:type="paragraph" w:customStyle="1" w:styleId="289">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qFormat/>
    <w:uiPriority w:val="99"/>
    <w:pPr>
      <w:widowControl/>
      <w:spacing w:after="160" w:line="240" w:lineRule="exact"/>
      <w:jc w:val="left"/>
    </w:pPr>
    <w:rPr>
      <w:rFonts w:eastAsia="宋体"/>
      <w:szCs w:val="20"/>
    </w:rPr>
  </w:style>
  <w:style w:type="paragraph" w:customStyle="1" w:styleId="292">
    <w:name w:val="Char12"/>
    <w:basedOn w:val="1"/>
    <w:qFormat/>
    <w:uiPriority w:val="99"/>
    <w:rPr>
      <w:rFonts w:ascii="Tahoma" w:hAnsi="Tahoma" w:eastAsia="宋体"/>
      <w:sz w:val="24"/>
      <w:szCs w:val="20"/>
    </w:rPr>
  </w:style>
  <w:style w:type="paragraph" w:customStyle="1" w:styleId="293">
    <w:name w:val="Char111"/>
    <w:basedOn w:val="1"/>
    <w:qFormat/>
    <w:uiPriority w:val="99"/>
    <w:rPr>
      <w:rFonts w:ascii="Tahoma" w:hAnsi="Tahoma" w:eastAsia="宋体"/>
      <w:sz w:val="24"/>
      <w:szCs w:val="20"/>
    </w:rPr>
  </w:style>
  <w:style w:type="paragraph" w:customStyle="1" w:styleId="294">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qFormat/>
    <w:uiPriority w:val="99"/>
    <w:pPr>
      <w:widowControl/>
      <w:spacing w:after="160" w:line="240" w:lineRule="exact"/>
      <w:jc w:val="left"/>
    </w:pPr>
    <w:rPr>
      <w:rFonts w:eastAsia="宋体"/>
      <w:szCs w:val="20"/>
    </w:rPr>
  </w:style>
  <w:style w:type="character" w:customStyle="1" w:styleId="296">
    <w:name w:val="正文文本 字符"/>
    <w:qFormat/>
    <w:uiPriority w:val="0"/>
    <w:rPr>
      <w:b/>
      <w:i/>
      <w:szCs w:val="24"/>
    </w:rPr>
  </w:style>
  <w:style w:type="paragraph" w:customStyle="1" w:styleId="297">
    <w:name w:val="纯文本2"/>
    <w:basedOn w:val="1"/>
    <w:qFormat/>
    <w:uiPriority w:val="0"/>
    <w:rPr>
      <w:rFonts w:ascii="宋体" w:hAnsi="Courier New" w:cs="Courier New"/>
      <w:szCs w:val="21"/>
    </w:rPr>
  </w:style>
  <w:style w:type="paragraph" w:customStyle="1" w:styleId="298">
    <w:name w:val="TOC 标题3"/>
    <w:basedOn w:val="6"/>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Char"/>
    <w:basedOn w:val="53"/>
    <w:link w:val="46"/>
    <w:qFormat/>
    <w:uiPriority w:val="0"/>
    <w:rPr>
      <w:rFonts w:ascii="黑体" w:hAnsi="Courier New" w:eastAsia="黑体"/>
    </w:rPr>
  </w:style>
  <w:style w:type="character" w:customStyle="1" w:styleId="300">
    <w:name w:val="active6"/>
    <w:basedOn w:val="53"/>
    <w:qFormat/>
    <w:uiPriority w:val="0"/>
    <w:rPr>
      <w:color w:val="00FF00"/>
      <w:shd w:val="clear" w:color="auto" w:fill="000000"/>
    </w:rPr>
  </w:style>
  <w:style w:type="character" w:customStyle="1" w:styleId="301">
    <w:name w:val="hilite6"/>
    <w:basedOn w:val="53"/>
    <w:qFormat/>
    <w:uiPriority w:val="0"/>
    <w:rPr>
      <w:color w:val="FFFFFF"/>
      <w:shd w:val="clear" w:color="auto" w:fill="666677"/>
    </w:rPr>
  </w:style>
  <w:style w:type="character" w:customStyle="1" w:styleId="302">
    <w:name w:val="input-direction"/>
    <w:basedOn w:val="53"/>
    <w:qFormat/>
    <w:uiPriority w:val="0"/>
    <w:rPr>
      <w:color w:val="FF6600"/>
    </w:rPr>
  </w:style>
  <w:style w:type="character" w:customStyle="1" w:styleId="303">
    <w:name w:val="span-long"/>
    <w:basedOn w:val="53"/>
    <w:qFormat/>
    <w:uiPriority w:val="0"/>
  </w:style>
  <w:style w:type="character" w:customStyle="1" w:styleId="304">
    <w:name w:val="proollist"/>
    <w:basedOn w:val="53"/>
    <w:qFormat/>
    <w:uiPriority w:val="0"/>
  </w:style>
  <w:style w:type="character" w:customStyle="1" w:styleId="305">
    <w:name w:val="beforeinfotext"/>
    <w:basedOn w:val="53"/>
    <w:qFormat/>
    <w:uiPriority w:val="0"/>
    <w:rPr>
      <w:color w:val="666666"/>
    </w:rPr>
  </w:style>
  <w:style w:type="character" w:customStyle="1" w:styleId="306">
    <w:name w:val="stclosebtn"/>
    <w:basedOn w:val="53"/>
    <w:qFormat/>
    <w:uiPriority w:val="0"/>
  </w:style>
  <w:style w:type="character" w:customStyle="1" w:styleId="307">
    <w:name w:val="tmpztreemove_arrow"/>
    <w:basedOn w:val="53"/>
    <w:qFormat/>
    <w:uiPriority w:val="0"/>
  </w:style>
  <w:style w:type="character" w:customStyle="1" w:styleId="308">
    <w:name w:val="number"/>
    <w:basedOn w:val="53"/>
    <w:qFormat/>
    <w:uiPriority w:val="0"/>
    <w:rPr>
      <w:color w:val="FF8833"/>
      <w:sz w:val="18"/>
      <w:szCs w:val="18"/>
    </w:rPr>
  </w:style>
  <w:style w:type="character" w:customStyle="1" w:styleId="309">
    <w:name w:val="phone"/>
    <w:basedOn w:val="53"/>
    <w:qFormat/>
    <w:uiPriority w:val="0"/>
    <w:rPr>
      <w:color w:val="FF8833"/>
      <w:sz w:val="18"/>
      <w:szCs w:val="18"/>
    </w:rPr>
  </w:style>
  <w:style w:type="character" w:customStyle="1" w:styleId="310">
    <w:name w:val="button2"/>
    <w:basedOn w:val="53"/>
    <w:qFormat/>
    <w:uiPriority w:val="0"/>
  </w:style>
  <w:style w:type="character" w:customStyle="1" w:styleId="311">
    <w:name w:val="underline1"/>
    <w:basedOn w:val="53"/>
    <w:qFormat/>
    <w:uiPriority w:val="0"/>
    <w:rPr>
      <w:u w:val="single"/>
    </w:rPr>
  </w:style>
  <w:style w:type="character" w:customStyle="1" w:styleId="312">
    <w:name w:val="font21"/>
    <w:basedOn w:val="53"/>
    <w:qFormat/>
    <w:uiPriority w:val="0"/>
    <w:rPr>
      <w:rFonts w:hint="default" w:ascii="Times New Roman" w:hAnsi="Times New Roman" w:cs="Times New Roman"/>
      <w:color w:val="000000"/>
      <w:sz w:val="22"/>
      <w:szCs w:val="22"/>
      <w:u w:val="none"/>
    </w:rPr>
  </w:style>
  <w:style w:type="character" w:customStyle="1" w:styleId="313">
    <w:name w:val="font11"/>
    <w:basedOn w:val="53"/>
    <w:qFormat/>
    <w:uiPriority w:val="0"/>
    <w:rPr>
      <w:rFonts w:hint="eastAsia" w:ascii="宋体" w:hAnsi="宋体" w:eastAsia="宋体" w:cs="宋体"/>
      <w:color w:val="000000"/>
      <w:sz w:val="22"/>
      <w:szCs w:val="22"/>
      <w:u w:val="none"/>
    </w:rPr>
  </w:style>
  <w:style w:type="character" w:customStyle="1" w:styleId="314">
    <w:name w:val="font01"/>
    <w:basedOn w:val="53"/>
    <w:qFormat/>
    <w:uiPriority w:val="0"/>
    <w:rPr>
      <w:rFonts w:hint="eastAsia" w:ascii="宋体" w:hAnsi="宋体" w:eastAsia="宋体" w:cs="宋体"/>
      <w:color w:val="000000"/>
      <w:sz w:val="22"/>
      <w:szCs w:val="22"/>
      <w:u w:val="none"/>
    </w:rPr>
  </w:style>
  <w:style w:type="paragraph" w:customStyle="1" w:styleId="315">
    <w:name w:val="_Style 3"/>
    <w:basedOn w:val="6"/>
    <w:next w:val="1"/>
    <w:qFormat/>
    <w:uiPriority w:val="0"/>
    <w:pPr>
      <w:keepLines w:val="0"/>
      <w:widowControl/>
      <w:spacing w:after="0" w:line="256" w:lineRule="auto"/>
      <w:jc w:val="left"/>
    </w:pPr>
    <w:rPr>
      <w:rFonts w:ascii="Calibri Light" w:hAnsi="Calibri Light" w:eastAsia="宋体"/>
      <w:color w:val="2E74B5"/>
      <w:kern w:val="0"/>
      <w:sz w:val="32"/>
      <w:szCs w:val="32"/>
    </w:rPr>
  </w:style>
  <w:style w:type="paragraph" w:customStyle="1" w:styleId="316">
    <w:name w:val="正文 New"/>
    <w:basedOn w:val="1"/>
    <w:qFormat/>
    <w:uiPriority w:val="0"/>
    <w:rPr>
      <w:rFonts w:ascii="Calibri" w:hAnsi="Calibri" w:eastAsia="宋体"/>
    </w:rPr>
  </w:style>
  <w:style w:type="character" w:customStyle="1" w:styleId="317">
    <w:name w:val="font41"/>
    <w:basedOn w:val="53"/>
    <w:qFormat/>
    <w:uiPriority w:val="0"/>
    <w:rPr>
      <w:rFonts w:hint="eastAsia" w:ascii="宋体" w:hAnsi="宋体" w:eastAsia="宋体" w:cs="宋体"/>
      <w:b/>
      <w:bCs/>
      <w:color w:val="000000"/>
      <w:sz w:val="20"/>
      <w:szCs w:val="20"/>
      <w:u w:val="none"/>
    </w:rPr>
  </w:style>
  <w:style w:type="character" w:customStyle="1" w:styleId="318">
    <w:name w:val="font31"/>
    <w:basedOn w:val="53"/>
    <w:qFormat/>
    <w:uiPriority w:val="0"/>
    <w:rPr>
      <w:rFonts w:hint="eastAsia" w:ascii="宋体" w:hAnsi="宋体" w:eastAsia="宋体" w:cs="宋体"/>
      <w:color w:val="000000"/>
      <w:sz w:val="20"/>
      <w:szCs w:val="20"/>
      <w:u w:val="none"/>
    </w:rPr>
  </w:style>
  <w:style w:type="character" w:customStyle="1" w:styleId="319">
    <w:name w:val="font71"/>
    <w:basedOn w:val="5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D5CCC-ED27-464C-AFDE-66F90E4CFAF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26548</Words>
  <Characters>28380</Characters>
  <Lines>554</Lines>
  <Paragraphs>156</Paragraphs>
  <TotalTime>4</TotalTime>
  <ScaleCrop>false</ScaleCrop>
  <LinksUpToDate>false</LinksUpToDate>
  <CharactersWithSpaces>32270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登高望远方</cp:lastModifiedBy>
  <cp:lastPrinted>2022-06-17T01:43:00Z</cp:lastPrinted>
  <dcterms:modified xsi:type="dcterms:W3CDTF">2023-09-25T08:20:10Z</dcterms:modified>
  <dc:title>_x0001_</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B445D95F0F3B4E6D8EC55E8F0CE31715_13</vt:lpwstr>
  </property>
</Properties>
</file>