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004"/>
        <w:gridCol w:w="5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4" w:type="dxa"/>
            <w:vAlign w:val="top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主核心交换设备（1台）</w:t>
            </w:r>
          </w:p>
        </w:tc>
        <w:tc>
          <w:tcPr>
            <w:tcW w:w="588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主控交换容量≥5.9Tbit/s，每业务槽位最大带宽≥450Gbit/s；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2.主控引擎模块≥2，满足1+1冗余，业务插槽数≥6，最大OLT PON口数≥144；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3.要求支持电源模块冗余，主控引擎、电源、接口模块、风扇等关键部件可热插拔；</w:t>
            </w:r>
          </w:p>
          <w:p>
            <w:pPr>
              <w:pStyle w:val="2"/>
              <w:widowControl w:val="0"/>
              <w:jc w:val="both"/>
            </w:pPr>
            <w:r>
              <w:rPr>
                <w:rFonts w:hint="eastAsia" w:ascii="宋体" w:hAnsi="宋体"/>
                <w:sz w:val="24"/>
              </w:rPr>
              <w:t>4.接入要求：提供PON、10G PON、以太网接入能力；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5.MAC表项 ≥1M，学习速率≥128K/S，IPv4 FIB ≥3M，IPv6 FIB ≥1M，ARP表项 ≥256K；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6.OLT应支持IGMP Snooping或IGMP Proxy功能；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7.OLT应支持对广播帧和组播帧的抑制功能；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8.OLT帧过滤功能：OLT应支持基于端口或MAC地址的数据帧过滤功能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9.组播：OLT应支持对广播帧和组播帧的抑制功能；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10.PON功能：支持DBA功能、QoS功能、FEC前向纠错、流氓ONU检测等PON功能；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11.单台实配双主控、双电源，千兆电口≥48，千兆光口≥48，万兆光口≥32，万兆PON OLT光接口≥48；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千兆单模光模块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48，万兆单模光模块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24，</w:t>
            </w:r>
            <w:r>
              <w:rPr>
                <w:rFonts w:hint="eastAsia"/>
                <w:sz w:val="24"/>
              </w:rPr>
              <w:t>万兆堆叠线缆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（3M）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8，OLT光模块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48，光纤固定衰减器（5dB）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84，2:16分光器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42。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4"/>
                <w:szCs w:val="24"/>
                <w:shd w:val="clear" w:fill="FFFF00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12.资质要求：提供入网证和检测报告。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4" w:type="dxa"/>
            <w:vAlign w:val="top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备核心交换机（1台）</w:t>
            </w:r>
          </w:p>
        </w:tc>
        <w:tc>
          <w:tcPr>
            <w:tcW w:w="588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主控交换容量≥5.9Tbit/s，每业务槽位最大带宽≥450Gbit/s；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2.主控引擎模块≥2，满足1+1冗余，业务插槽数≥6，最大OLT PON口数≥144；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3.要求支持电源模块冗余，主控引擎、电源、接口模块、风扇等关键部件可热插拔；</w:t>
            </w:r>
          </w:p>
          <w:p>
            <w:pPr>
              <w:pStyle w:val="2"/>
              <w:widowControl w:val="0"/>
              <w:jc w:val="both"/>
            </w:pPr>
            <w:r>
              <w:rPr>
                <w:rFonts w:hint="eastAsia" w:ascii="宋体" w:hAnsi="宋体"/>
                <w:sz w:val="24"/>
              </w:rPr>
              <w:t>4.接入要求：提供PON、10G PON、以太网接入能力；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5.MAC表项 ≥1M，学习速率≥128K/S，IPv4 FIB ≥3M，IPv6 FIB ≥1M，ARP表项 ≥256K；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6.OLT应支持IGMP Snooping或IGMP Proxy功能；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7.OLT应支持对广播帧和组播帧的抑制功能；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8.OLT帧过滤功能：OLT应支持基于端口或MAC地址的数据帧过滤功能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9.组播：OLT应支持对广播帧和组播帧的抑制功能；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10.PON功能：支持DBA功能、QoS功能、FEC前向纠错、流氓ONU检测等PON功能；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11.单台实配双主控、双电源，千兆电口≥48，千兆光口≥48，万兆光口≥32，万兆PON OLT光接口≥48；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千兆单模光模块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48，万兆单模光模块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24，</w:t>
            </w:r>
            <w:r>
              <w:rPr>
                <w:rFonts w:hint="eastAsia"/>
                <w:sz w:val="24"/>
              </w:rPr>
              <w:t>万兆堆叠线缆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（3M）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8，OLT光模块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48。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4"/>
                <w:szCs w:val="24"/>
                <w:shd w:val="clear" w:fill="FFFF00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12.资质要求：提供入网证和检测报告。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04" w:type="dxa"/>
            <w:vAlign w:val="top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西院核心交换机（1台）</w:t>
            </w:r>
          </w:p>
        </w:tc>
        <w:tc>
          <w:tcPr>
            <w:tcW w:w="5887" w:type="dxa"/>
          </w:tcPr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1.主控交换容量≥5.9Tbit/s，每业务槽位最大带宽≥450Gbit/s；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2.主控引擎模块≥2，满足1+1冗余，业务插槽数≥6，最大OLT PON口数≥144；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3.要求支持电源模块冗余，主控引擎、电源、接口模块、风扇等关键部件可热插拔；</w:t>
            </w:r>
          </w:p>
          <w:p>
            <w:pPr>
              <w:pStyle w:val="2"/>
              <w:widowControl w:val="0"/>
              <w:jc w:val="both"/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4.接入要求：提供PON、10G PON、以太网接入能力；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5.MAC表项 ≥1M，学习速率≥128K/S，IPv4 FIB ≥3M，IPv6 FIB ≥1M，ARP表项 ≥256K；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6.OLT应支持IGMP Snooping或IGMP Proxy功能；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7.OLT应支持对广播帧和组播帧的抑制功能；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8.OLT帧过滤功能：OLT应支持基于端口或MAC地址的数据帧过滤功能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9.组播：OLT应支持对广播帧和组播帧的抑制功能；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10.PON功能：支持DBA功能、QoS功能、FEC前向纠错、流氓ONU检测等PON功能；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4"/>
                <w:szCs w:val="24"/>
                <w:shd w:val="clear" w:fill="FFFF00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11.单台实配双主控、双电源，千兆电口≥48，千兆光口≥48，万兆光口≥16，万兆PON OLT光接口≥24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千兆单模光模块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48，万兆单模光模块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12，</w:t>
            </w:r>
            <w:r>
              <w:rPr>
                <w:rFonts w:hint="eastAsia"/>
                <w:sz w:val="24"/>
              </w:rPr>
              <w:t>万兆堆叠线缆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（3M）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4，OLT光模块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24，光纤固定衰减器（5dB）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16，1:16分光器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04" w:type="dxa"/>
            <w:vAlign w:val="top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4口ONU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00台）</w:t>
            </w:r>
          </w:p>
        </w:tc>
        <w:tc>
          <w:tcPr>
            <w:tcW w:w="5887" w:type="dxa"/>
          </w:tcPr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1.网络侧接口:XGSPON/10G EPON端口≥1；用户侧接口:GE电口≥4,POTS接口≥1，支持无线WIFI6功能。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2.功能特性：支持动态带宽分配（DBA），包括SR和NSR方式；支持前向纠错功能（FEC）；支持ONU光功率检测；支持流氓ONU检测。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3.组播：支持IGMP-Snooping组播功能；支持组播VLAN。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4.VLAN功能：ONU应支持通过VLAN实现用户隔离和业务隔离，并支持对不信任的VLAN ID进行丢弃或切换处理。ONU应支持根据物理端口和以太网封装协议划分VLAN。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5.帧过滤功能：ONU支持根据物理端口、以太网帧封装协议、源/目MAC地址、以太网优先级对上下行以太网数据帧进行过滤。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4"/>
                <w:szCs w:val="24"/>
                <w:shd w:val="clear" w:fill="FFFF00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6.智能运维：支持远程关闭开启PON口光模块光发射机电源，支持PON口光模块参数告警。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04" w:type="dxa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/>
                <w:lang w:val="en-US" w:eastAsia="zh-CN"/>
              </w:rPr>
              <w:t>8口ONU</w:t>
            </w:r>
            <w:r>
              <w:rPr>
                <w:sz w:val="24"/>
              </w:rPr>
              <w:t>（POE）</w:t>
            </w:r>
            <w:r>
              <w:rPr>
                <w:rFonts w:hint="eastAsia" w:ascii="宋体" w:hAnsi="宋体"/>
                <w:sz w:val="24"/>
              </w:rPr>
              <w:t>（120台）</w:t>
            </w:r>
          </w:p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887" w:type="dxa"/>
          </w:tcPr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1.网络侧接口:10G EPON/XGS-PON自适应接口≥1；用户侧接口:GE电口≥8，其中至少8个接口支持POE供电，每个PoE接口最大支持≥30W，总功率≥120W。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2.功能特性：支持动态带宽分配（DBA），包括SR和NSR方式；支持前向纠错功能（FEC）；支持ONU光功率检测；支持流氓ONU检测。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3.组播：支持IGMP-Snooping组播功能；支持组播VLAN。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4.VLAN功能：ONU应支持通过VLAN实现用户隔离和业务隔离，并支持对不信任的VLAN ID进行丢弃或切换处理。ONU应支持根据物理端口和以太网封装协议划分VLAN。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5.帧过滤功能：ONU支持根据物理端口、以太网帧封装协议、源/目MAC地址、以太网优先级对上下行以太网数据帧进行过滤。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6.支持用户环网检测功能：ONU应支持对用户侧端口是否成环的检测，防止环网形成。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4"/>
                <w:szCs w:val="24"/>
                <w:shd w:val="clear" w:fill="FFFF00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7.智能运维：支持远程关闭开启PON口光模块光发射机电源，支持PON口光模块参数告警。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04" w:type="dxa"/>
            <w:vAlign w:val="top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网管软件</w:t>
            </w:r>
            <w:r>
              <w:rPr>
                <w:rFonts w:hint="eastAsia" w:ascii="宋体" w:hAnsi="宋体"/>
                <w:sz w:val="24"/>
              </w:rPr>
              <w:t>（1套）</w:t>
            </w:r>
          </w:p>
        </w:tc>
        <w:tc>
          <w:tcPr>
            <w:tcW w:w="5887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管理能力：PON节点最大管理能力可以达到8W以上，支持对大型PON网络业务运维监控。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2.分权管理：针对不同用户分配EPON设备、功能管理权限。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3.自定义首页：支持在默认视图首页定制展示PON网络信息，目前包含ONU设备状态概览。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4.EPON业务拓扑：自动发现PON网络拓扑。支持分层展示，可以查看EPON设备全局拓扑和OLT下的局部拓扑信息。</w:t>
            </w:r>
          </w:p>
          <w:p>
            <w:pPr>
              <w:widowControl w:val="0"/>
              <w:spacing w:line="360" w:lineRule="auto"/>
              <w:jc w:val="both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5.故障管理：支持ONU断电告警、静默告警、UNI链路告警等丰富的业务告警指标，全面覆盖对设备运行状态告警和操作变更告警。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6.EPON设备管理：支持查看网络中OLT设备、接口列表，并且能够对其进行组播业务配置。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7.ONU设备管理：设备列表展示全网ONU信息，提供选中ONU同步、导出、导出UNI配置等功能。支持配置管理ONU下UNI的VLAN信息。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8.性能管理：支持EPON设备多种指标监控，包括OLT光功率、各种接口速率、错包率等指标。</w:t>
            </w:r>
          </w:p>
          <w:p>
            <w:pPr>
              <w:widowControl w:val="0"/>
              <w:spacing w:line="360" w:lineRule="auto"/>
              <w:jc w:val="both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9.批量配置功能：支持批量配置OLT设备组播信息，批量配置OLT单板的OAM发现功能以及三重搅动模式，支持预配置OLT设备上ONU相关配置。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4"/>
                <w:szCs w:val="24"/>
                <w:shd w:val="clear" w:fill="FFFF00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10.配置要求：本次实配以太网络管理授权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100个，EPON网络管理授权</w:t>
            </w:r>
            <w:r>
              <w:rPr>
                <w:rFonts w:hint="eastAsia" w:ascii="宋体" w:hAnsi="宋体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04" w:type="dxa"/>
            <w:vAlign w:val="top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网管服务器</w:t>
            </w:r>
            <w:r>
              <w:rPr>
                <w:rFonts w:hint="eastAsia" w:ascii="宋体" w:hAnsi="宋体"/>
                <w:sz w:val="24"/>
              </w:rPr>
              <w:t>（1台）</w:t>
            </w:r>
          </w:p>
        </w:tc>
        <w:tc>
          <w:tcPr>
            <w:tcW w:w="5887" w:type="dxa"/>
          </w:tcPr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1、基本要求：机架式，≥2U，标配原厂导轨；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2、CPU：配置2颗CPU性能不低于2.4GHz/16核/24MB/135W)；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3、内存：≥4*32GB DDR4-3200内存；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4、本地硬盘：配置不少于2块480GB SSD硬盘，配置不少于2块6TB SATA硬盘；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5、阵列卡：≥1个标配SAS RAID阵列卡，支持RAID0/1/10/5/6/50等；≥2GB缓存，支持缓存数据保护；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6、网络：配置不少于4端口千兆GE接口；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4"/>
                <w:szCs w:val="24"/>
                <w:shd w:val="clear" w:fill="FFFF00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7、电源：配置≥2块800w冗余电源，支持电源热插拔，需满足满配运行状态需求。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04" w:type="dxa"/>
            <w:vAlign w:val="top"/>
          </w:tcPr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集成费</w:t>
            </w:r>
          </w:p>
        </w:tc>
        <w:tc>
          <w:tcPr>
            <w:tcW w:w="5887" w:type="dxa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六类国标网线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光纤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多模光纤及熔接、跳线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线槽及辅材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3.9*1.9国标点线槽及辅材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技术实施规范要求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1.内外网网络线路使用不同颜色的网线区分；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2.每个楼层预留适当数量的备用点位;（光缆一主一备）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膨胀螺丝或挂钩固定牢靠，不允许有松动的现象。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 PVC线槽有固定点，横平竖直，接头、弯角处用接插件，地槽对接处缝隙小于2mm。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5.所有接插件必须连接牢靠，无接触不良。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A82E5"/>
                <w:spacing w:val="0"/>
                <w:sz w:val="24"/>
                <w:szCs w:val="24"/>
                <w:shd w:val="clear" w:fill="FFFF0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6.所有线材捆扎好，打标签。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TMzNDA1OTNhMzk1M2Y3YTkxYWEwODFlM2YzOTcifQ=="/>
  </w:docVars>
  <w:rsids>
    <w:rsidRoot w:val="6B2A5D6F"/>
    <w:rsid w:val="5E221508"/>
    <w:rsid w:val="6B2A5D6F"/>
    <w:rsid w:val="7D86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cs="Times New Roman" w:asciiTheme="minorAscii" w:hAnsiTheme="minorAsci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after="120" w:line="480" w:lineRule="auto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2024-01-11T08:12:00Z</dcterms:created>
  <dc:creator>小葵</dc:creator>
  <cp:lastModifiedBy>小葵</cp:lastModifiedBy>
  <dcterms:modified xsi:type="dcterms:W3CDTF">2024-01-15T09:22:11Z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BF240583379342E3A2FDD3F2EA4403AB_13</vt:lpwstr>
  </property>
</Properties>
</file>