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="仿宋" w:hAnsi="仿宋" w:eastAsia="仿宋" w:cs="仿宋"/>
          <w:b/>
          <w:sz w:val="24"/>
          <w:lang w:val="en-GB"/>
        </w:rPr>
      </w:pPr>
      <w:r>
        <w:rPr>
          <w:rFonts w:hint="eastAsia" w:ascii="仿宋" w:hAnsi="仿宋" w:eastAsia="仿宋" w:cs="仿宋"/>
          <w:b/>
          <w:sz w:val="24"/>
          <w:lang w:val="en-GB"/>
        </w:rPr>
        <w:t>印台区周陵至三里洞区域生态综合治理养护管理项目</w:t>
      </w:r>
    </w:p>
    <w:p>
      <w:pPr>
        <w:spacing w:line="360" w:lineRule="auto"/>
        <w:jc w:val="center"/>
        <w:rPr>
          <w:rFonts w:hint="eastAsia" w:ascii="仿宋" w:hAnsi="仿宋" w:eastAsia="仿宋" w:cs="仿宋"/>
          <w:b/>
          <w:sz w:val="24"/>
        </w:rPr>
      </w:pPr>
      <w:r>
        <w:rPr>
          <w:rFonts w:hint="eastAsia" w:ascii="仿宋" w:hAnsi="仿宋" w:eastAsia="仿宋" w:cs="仿宋"/>
          <w:b/>
          <w:sz w:val="24"/>
          <w:lang w:val="en-GB"/>
        </w:rPr>
        <w:t>（2023-2026）养护</w:t>
      </w:r>
      <w:r>
        <w:rPr>
          <w:rFonts w:hint="eastAsia" w:ascii="仿宋" w:hAnsi="仿宋" w:eastAsia="仿宋" w:cs="仿宋"/>
          <w:b/>
          <w:sz w:val="24"/>
        </w:rPr>
        <w:t>管理服务现场考核评分标准</w:t>
      </w:r>
    </w:p>
    <w:p>
      <w:pPr>
        <w:spacing w:line="360" w:lineRule="auto"/>
        <w:rPr>
          <w:rFonts w:ascii="仿宋" w:hAnsi="仿宋" w:eastAsia="仿宋" w:cs="仿宋"/>
          <w:b/>
          <w:color w:val="auto"/>
          <w:szCs w:val="21"/>
        </w:rPr>
      </w:pPr>
      <w:r>
        <w:rPr>
          <w:rFonts w:hint="eastAsia" w:ascii="仿宋" w:hAnsi="仿宋" w:eastAsia="仿宋" w:cs="仿宋"/>
          <w:color w:val="FF0000"/>
          <w:szCs w:val="21"/>
        </w:rPr>
        <w:t xml:space="preserve">                                                     </w:t>
      </w:r>
      <w:r>
        <w:rPr>
          <w:rFonts w:hint="eastAsia" w:ascii="仿宋" w:hAnsi="仿宋" w:eastAsia="仿宋" w:cs="仿宋"/>
          <w:color w:val="auto"/>
          <w:szCs w:val="21"/>
        </w:rPr>
        <w:t xml:space="preserve">  时间：    年    月   日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28"/>
        <w:gridCol w:w="792"/>
        <w:gridCol w:w="629"/>
        <w:gridCol w:w="2190"/>
        <w:gridCol w:w="2179"/>
        <w:gridCol w:w="1048"/>
        <w:gridCol w:w="180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28" w:type="dxa"/>
            <w:vMerge w:val="restart"/>
            <w:vAlign w:val="center"/>
          </w:tcPr>
          <w:p>
            <w:pPr>
              <w:widowControl/>
              <w:spacing w:line="276" w:lineRule="auto"/>
              <w:jc w:val="center"/>
              <w:rPr>
                <w:rFonts w:ascii="仿宋" w:hAnsi="仿宋" w:eastAsia="仿宋" w:cs="仿宋"/>
                <w:color w:val="auto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Cs w:val="21"/>
              </w:rPr>
              <w:t>项目名称</w:t>
            </w:r>
          </w:p>
        </w:tc>
        <w:tc>
          <w:tcPr>
            <w:tcW w:w="3611" w:type="dxa"/>
            <w:gridSpan w:val="3"/>
            <w:vAlign w:val="center"/>
          </w:tcPr>
          <w:p>
            <w:pPr>
              <w:widowControl/>
              <w:spacing w:line="276" w:lineRule="auto"/>
              <w:jc w:val="center"/>
              <w:rPr>
                <w:rFonts w:ascii="仿宋" w:hAnsi="仿宋" w:eastAsia="仿宋" w:cs="仿宋"/>
                <w:color w:val="auto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Cs w:val="21"/>
              </w:rPr>
              <w:t>现场考核</w:t>
            </w:r>
          </w:p>
        </w:tc>
        <w:tc>
          <w:tcPr>
            <w:tcW w:w="2179" w:type="dxa"/>
            <w:vMerge w:val="restart"/>
            <w:vAlign w:val="center"/>
          </w:tcPr>
          <w:p>
            <w:pPr>
              <w:widowControl/>
              <w:spacing w:line="276" w:lineRule="auto"/>
              <w:jc w:val="center"/>
              <w:rPr>
                <w:rFonts w:ascii="仿宋" w:hAnsi="仿宋" w:eastAsia="仿宋" w:cs="仿宋"/>
                <w:color w:val="auto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Cs w:val="21"/>
              </w:rPr>
              <w:t>扣分办法</w:t>
            </w:r>
          </w:p>
        </w:tc>
        <w:tc>
          <w:tcPr>
            <w:tcW w:w="1048" w:type="dxa"/>
            <w:vMerge w:val="restart"/>
            <w:vAlign w:val="center"/>
          </w:tcPr>
          <w:p>
            <w:pPr>
              <w:widowControl/>
              <w:spacing w:line="276" w:lineRule="auto"/>
              <w:jc w:val="center"/>
              <w:rPr>
                <w:rFonts w:ascii="仿宋" w:hAnsi="仿宋" w:eastAsia="仿宋" w:cs="仿宋"/>
                <w:color w:val="auto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Cs w:val="21"/>
              </w:rPr>
              <w:t>应得分</w:t>
            </w:r>
          </w:p>
        </w:tc>
        <w:tc>
          <w:tcPr>
            <w:tcW w:w="1806" w:type="dxa"/>
            <w:vMerge w:val="restart"/>
            <w:vAlign w:val="center"/>
          </w:tcPr>
          <w:p>
            <w:pPr>
              <w:widowControl/>
              <w:spacing w:line="276" w:lineRule="auto"/>
              <w:jc w:val="center"/>
              <w:rPr>
                <w:rFonts w:ascii="仿宋" w:hAnsi="仿宋" w:eastAsia="仿宋" w:cs="仿宋"/>
                <w:color w:val="auto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Cs w:val="21"/>
              </w:rPr>
              <w:t>现场检查扣分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7" w:hRule="atLeast"/>
        </w:trPr>
        <w:tc>
          <w:tcPr>
            <w:tcW w:w="628" w:type="dxa"/>
            <w:vMerge w:val="continue"/>
            <w:vAlign w:val="center"/>
          </w:tcPr>
          <w:p>
            <w:pPr>
              <w:widowControl/>
              <w:spacing w:line="276" w:lineRule="auto"/>
              <w:jc w:val="left"/>
              <w:rPr>
                <w:rFonts w:ascii="仿宋" w:hAnsi="仿宋" w:eastAsia="仿宋" w:cs="仿宋"/>
                <w:color w:val="auto"/>
                <w:kern w:val="0"/>
                <w:szCs w:val="21"/>
              </w:rPr>
            </w:pPr>
          </w:p>
        </w:tc>
        <w:tc>
          <w:tcPr>
            <w:tcW w:w="792" w:type="dxa"/>
            <w:textDirection w:val="tbRlV"/>
            <w:vAlign w:val="center"/>
          </w:tcPr>
          <w:p>
            <w:pPr>
              <w:widowControl/>
              <w:spacing w:line="276" w:lineRule="auto"/>
              <w:jc w:val="center"/>
              <w:rPr>
                <w:rFonts w:ascii="仿宋" w:hAnsi="仿宋" w:eastAsia="仿宋" w:cs="仿宋"/>
                <w:color w:val="auto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Cs w:val="21"/>
              </w:rPr>
              <w:t>总分</w:t>
            </w:r>
          </w:p>
        </w:tc>
        <w:tc>
          <w:tcPr>
            <w:tcW w:w="629" w:type="dxa"/>
            <w:textDirection w:val="tbRlV"/>
            <w:vAlign w:val="center"/>
          </w:tcPr>
          <w:p>
            <w:pPr>
              <w:widowControl/>
              <w:spacing w:line="276" w:lineRule="auto"/>
              <w:jc w:val="center"/>
              <w:rPr>
                <w:rFonts w:hint="default" w:ascii="仿宋" w:hAnsi="仿宋" w:eastAsia="仿宋" w:cs="仿宋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Cs w:val="21"/>
                <w:lang w:val="en-US" w:eastAsia="zh-CN"/>
              </w:rPr>
              <w:t>服务内容</w:t>
            </w:r>
          </w:p>
        </w:tc>
        <w:tc>
          <w:tcPr>
            <w:tcW w:w="2190" w:type="dxa"/>
            <w:vAlign w:val="center"/>
          </w:tcPr>
          <w:p>
            <w:pPr>
              <w:widowControl/>
              <w:spacing w:line="276" w:lineRule="auto"/>
              <w:jc w:val="center"/>
              <w:rPr>
                <w:rFonts w:ascii="仿宋" w:hAnsi="仿宋" w:eastAsia="仿宋" w:cs="仿宋"/>
                <w:color w:val="auto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Cs w:val="21"/>
              </w:rPr>
              <w:t>检查方法及评价依据</w:t>
            </w:r>
          </w:p>
        </w:tc>
        <w:tc>
          <w:tcPr>
            <w:tcW w:w="2179" w:type="dxa"/>
            <w:vMerge w:val="continue"/>
            <w:vAlign w:val="center"/>
          </w:tcPr>
          <w:p>
            <w:pPr>
              <w:widowControl/>
              <w:spacing w:line="276" w:lineRule="auto"/>
              <w:jc w:val="left"/>
              <w:rPr>
                <w:rFonts w:ascii="仿宋" w:hAnsi="仿宋" w:eastAsia="仿宋" w:cs="仿宋"/>
                <w:color w:val="auto"/>
                <w:kern w:val="0"/>
                <w:szCs w:val="21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widowControl/>
              <w:spacing w:line="276" w:lineRule="auto"/>
              <w:jc w:val="left"/>
              <w:rPr>
                <w:rFonts w:ascii="仿宋" w:hAnsi="仿宋" w:eastAsia="仿宋" w:cs="仿宋"/>
                <w:color w:val="auto"/>
                <w:kern w:val="0"/>
                <w:szCs w:val="21"/>
              </w:rPr>
            </w:pPr>
          </w:p>
        </w:tc>
        <w:tc>
          <w:tcPr>
            <w:tcW w:w="1806" w:type="dxa"/>
            <w:vMerge w:val="continue"/>
            <w:vAlign w:val="center"/>
          </w:tcPr>
          <w:p>
            <w:pPr>
              <w:widowControl/>
              <w:spacing w:line="276" w:lineRule="auto"/>
              <w:jc w:val="left"/>
              <w:rPr>
                <w:rFonts w:ascii="仿宋" w:hAnsi="仿宋" w:eastAsia="仿宋" w:cs="仿宋"/>
                <w:color w:val="auto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5" w:hRule="atLeast"/>
        </w:trPr>
        <w:tc>
          <w:tcPr>
            <w:tcW w:w="628" w:type="dxa"/>
            <w:vMerge w:val="restart"/>
            <w:textDirection w:val="tbRlV"/>
            <w:vAlign w:val="center"/>
          </w:tcPr>
          <w:p>
            <w:pPr>
              <w:widowControl/>
              <w:spacing w:line="276" w:lineRule="auto"/>
              <w:jc w:val="center"/>
              <w:rPr>
                <w:rFonts w:ascii="仿宋" w:hAnsi="仿宋" w:eastAsia="仿宋" w:cs="仿宋"/>
                <w:color w:val="auto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Cs w:val="21"/>
              </w:rPr>
              <w:t>绿化养护</w:t>
            </w:r>
          </w:p>
        </w:tc>
        <w:tc>
          <w:tcPr>
            <w:tcW w:w="792" w:type="dxa"/>
            <w:vMerge w:val="restart"/>
            <w:vAlign w:val="center"/>
          </w:tcPr>
          <w:p>
            <w:pPr>
              <w:widowControl/>
              <w:spacing w:line="276" w:lineRule="auto"/>
              <w:jc w:val="center"/>
              <w:rPr>
                <w:rFonts w:ascii="仿宋" w:hAnsi="仿宋" w:eastAsia="仿宋" w:cs="仿宋"/>
                <w:color w:val="auto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Cs w:val="21"/>
              </w:rPr>
              <w:t>100</w:t>
            </w:r>
          </w:p>
        </w:tc>
        <w:tc>
          <w:tcPr>
            <w:tcW w:w="629" w:type="dxa"/>
            <w:vMerge w:val="restart"/>
            <w:textDirection w:val="tbRlV"/>
            <w:vAlign w:val="center"/>
          </w:tcPr>
          <w:p>
            <w:pPr>
              <w:widowControl/>
              <w:spacing w:line="276" w:lineRule="auto"/>
              <w:jc w:val="center"/>
              <w:rPr>
                <w:rFonts w:ascii="仿宋" w:hAnsi="仿宋" w:eastAsia="仿宋" w:cs="仿宋"/>
                <w:color w:val="auto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Cs w:val="21"/>
              </w:rPr>
              <w:t>坡面养护</w:t>
            </w:r>
          </w:p>
        </w:tc>
        <w:tc>
          <w:tcPr>
            <w:tcW w:w="2190" w:type="dxa"/>
            <w:vAlign w:val="center"/>
          </w:tcPr>
          <w:p>
            <w:pPr>
              <w:widowControl/>
              <w:spacing w:line="276" w:lineRule="auto"/>
              <w:rPr>
                <w:rFonts w:ascii="仿宋" w:hAnsi="仿宋" w:eastAsia="仿宋" w:cs="仿宋"/>
                <w:color w:val="auto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Cs w:val="21"/>
              </w:rPr>
              <w:t>1、随机抽查20平方米绿化地，每平方米绿化地植物不少于</w:t>
            </w:r>
            <w:r>
              <w:rPr>
                <w:rFonts w:ascii="仿宋" w:hAnsi="仿宋" w:eastAsia="仿宋" w:cs="仿宋"/>
                <w:color w:val="auto"/>
                <w:kern w:val="0"/>
                <w:szCs w:val="21"/>
              </w:rPr>
              <w:t>5</w:t>
            </w:r>
            <w:r>
              <w:rPr>
                <w:rFonts w:hint="eastAsia" w:ascii="仿宋" w:hAnsi="仿宋" w:eastAsia="仿宋" w:cs="仿宋"/>
                <w:color w:val="auto"/>
                <w:kern w:val="0"/>
                <w:szCs w:val="21"/>
              </w:rPr>
              <w:t>0株；</w:t>
            </w:r>
          </w:p>
        </w:tc>
        <w:tc>
          <w:tcPr>
            <w:tcW w:w="2179" w:type="dxa"/>
            <w:vAlign w:val="center"/>
          </w:tcPr>
          <w:p>
            <w:pPr>
              <w:widowControl/>
              <w:spacing w:line="276" w:lineRule="auto"/>
              <w:rPr>
                <w:rFonts w:ascii="仿宋" w:hAnsi="仿宋" w:eastAsia="仿宋" w:cs="仿宋"/>
                <w:color w:val="auto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Cs w:val="21"/>
              </w:rPr>
              <w:t>1、每平方米少于50株的，每少于1株扣0</w:t>
            </w:r>
            <w:r>
              <w:rPr>
                <w:rFonts w:ascii="仿宋" w:hAnsi="仿宋" w:eastAsia="仿宋" w:cs="仿宋"/>
                <w:color w:val="auto"/>
                <w:kern w:val="0"/>
                <w:szCs w:val="21"/>
              </w:rPr>
              <w:t>.</w:t>
            </w:r>
            <w:r>
              <w:rPr>
                <w:rFonts w:hint="eastAsia" w:ascii="仿宋" w:hAnsi="仿宋" w:eastAsia="仿宋" w:cs="仿宋"/>
                <w:color w:val="auto"/>
                <w:kern w:val="0"/>
                <w:szCs w:val="21"/>
              </w:rPr>
              <w:t>1分，扣完为止；</w:t>
            </w:r>
          </w:p>
        </w:tc>
        <w:tc>
          <w:tcPr>
            <w:tcW w:w="1048" w:type="dxa"/>
            <w:vAlign w:val="center"/>
          </w:tcPr>
          <w:p>
            <w:pPr>
              <w:widowControl/>
              <w:spacing w:line="276" w:lineRule="auto"/>
              <w:jc w:val="center"/>
              <w:rPr>
                <w:rFonts w:ascii="仿宋" w:hAnsi="仿宋" w:eastAsia="仿宋" w:cs="仿宋"/>
                <w:color w:val="auto"/>
                <w:kern w:val="0"/>
                <w:szCs w:val="21"/>
              </w:rPr>
            </w:pPr>
            <w:r>
              <w:rPr>
                <w:rFonts w:ascii="仿宋" w:hAnsi="仿宋" w:eastAsia="仿宋" w:cs="仿宋"/>
                <w:color w:val="auto"/>
                <w:kern w:val="0"/>
                <w:szCs w:val="21"/>
              </w:rPr>
              <w:t>10</w:t>
            </w:r>
          </w:p>
        </w:tc>
        <w:tc>
          <w:tcPr>
            <w:tcW w:w="1806" w:type="dxa"/>
            <w:vMerge w:val="restart"/>
            <w:vAlign w:val="center"/>
          </w:tcPr>
          <w:p>
            <w:pPr>
              <w:widowControl/>
              <w:spacing w:line="276" w:lineRule="auto"/>
              <w:jc w:val="center"/>
              <w:rPr>
                <w:rFonts w:ascii="仿宋" w:hAnsi="仿宋" w:eastAsia="仿宋" w:cs="仿宋"/>
                <w:color w:val="auto"/>
                <w:kern w:val="0"/>
                <w:szCs w:val="21"/>
              </w:rPr>
            </w:pP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5" w:hRule="atLeast"/>
        </w:trPr>
        <w:tc>
          <w:tcPr>
            <w:tcW w:w="628" w:type="dxa"/>
            <w:vMerge w:val="continue"/>
            <w:vAlign w:val="center"/>
          </w:tcPr>
          <w:p>
            <w:pPr>
              <w:widowControl/>
              <w:spacing w:line="276" w:lineRule="auto"/>
              <w:jc w:val="left"/>
              <w:rPr>
                <w:rFonts w:ascii="仿宋" w:hAnsi="仿宋" w:eastAsia="仿宋" w:cs="仿宋"/>
                <w:color w:val="auto"/>
                <w:kern w:val="0"/>
                <w:szCs w:val="21"/>
              </w:rPr>
            </w:pPr>
          </w:p>
        </w:tc>
        <w:tc>
          <w:tcPr>
            <w:tcW w:w="792" w:type="dxa"/>
            <w:vMerge w:val="continue"/>
            <w:vAlign w:val="center"/>
          </w:tcPr>
          <w:p>
            <w:pPr>
              <w:widowControl/>
              <w:spacing w:line="276" w:lineRule="auto"/>
              <w:jc w:val="left"/>
              <w:rPr>
                <w:rFonts w:ascii="仿宋" w:hAnsi="仿宋" w:eastAsia="仿宋" w:cs="仿宋"/>
                <w:color w:val="auto"/>
                <w:kern w:val="0"/>
                <w:szCs w:val="21"/>
              </w:rPr>
            </w:pPr>
          </w:p>
        </w:tc>
        <w:tc>
          <w:tcPr>
            <w:tcW w:w="629" w:type="dxa"/>
            <w:vMerge w:val="continue"/>
            <w:vAlign w:val="center"/>
          </w:tcPr>
          <w:p>
            <w:pPr>
              <w:widowControl/>
              <w:spacing w:line="276" w:lineRule="auto"/>
              <w:jc w:val="left"/>
              <w:rPr>
                <w:rFonts w:ascii="仿宋" w:hAnsi="仿宋" w:eastAsia="仿宋" w:cs="仿宋"/>
                <w:color w:val="auto"/>
                <w:kern w:val="0"/>
                <w:szCs w:val="21"/>
              </w:rPr>
            </w:pPr>
          </w:p>
        </w:tc>
        <w:tc>
          <w:tcPr>
            <w:tcW w:w="2190" w:type="dxa"/>
            <w:vAlign w:val="center"/>
          </w:tcPr>
          <w:p>
            <w:pPr>
              <w:widowControl/>
              <w:spacing w:line="276" w:lineRule="auto"/>
              <w:rPr>
                <w:rFonts w:hint="eastAsia" w:ascii="仿宋" w:hAnsi="仿宋" w:eastAsia="仿宋" w:cs="仿宋"/>
                <w:color w:val="auto"/>
                <w:kern w:val="0"/>
                <w:szCs w:val="21"/>
              </w:rPr>
            </w:pPr>
            <w:r>
              <w:rPr>
                <w:rFonts w:ascii="仿宋" w:hAnsi="仿宋" w:eastAsia="仿宋" w:cs="仿宋"/>
                <w:color w:val="auto"/>
                <w:kern w:val="0"/>
                <w:szCs w:val="21"/>
              </w:rPr>
              <w:t>2</w:t>
            </w:r>
            <w:r>
              <w:rPr>
                <w:rFonts w:hint="eastAsia" w:ascii="仿宋" w:hAnsi="仿宋" w:eastAsia="仿宋" w:cs="仿宋"/>
                <w:color w:val="auto"/>
                <w:kern w:val="0"/>
                <w:szCs w:val="21"/>
              </w:rPr>
              <w:t>、坡面灌木及时修剪，不能高于2米；</w:t>
            </w:r>
          </w:p>
        </w:tc>
        <w:tc>
          <w:tcPr>
            <w:tcW w:w="2179" w:type="dxa"/>
            <w:vAlign w:val="center"/>
          </w:tcPr>
          <w:p>
            <w:pPr>
              <w:widowControl/>
              <w:spacing w:line="276" w:lineRule="auto"/>
              <w:rPr>
                <w:rFonts w:hint="eastAsia" w:ascii="仿宋" w:hAnsi="仿宋" w:eastAsia="仿宋" w:cs="仿宋"/>
                <w:color w:val="auto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Cs w:val="21"/>
              </w:rPr>
              <w:t>1、坡面灌木未能及时修剪，</w:t>
            </w:r>
            <w:r>
              <w:rPr>
                <w:rFonts w:ascii="仿宋" w:hAnsi="仿宋" w:eastAsia="仿宋" w:cs="仿宋"/>
                <w:color w:val="auto"/>
                <w:kern w:val="0"/>
                <w:szCs w:val="21"/>
              </w:rPr>
              <w:t>10</w:t>
            </w:r>
            <w:r>
              <w:rPr>
                <w:rFonts w:hint="eastAsia" w:ascii="仿宋" w:hAnsi="仿宋" w:eastAsia="仿宋" w:cs="仿宋"/>
                <w:color w:val="auto"/>
                <w:kern w:val="0"/>
                <w:szCs w:val="21"/>
              </w:rPr>
              <w:t>平方范围内株高2米以上不超过</w:t>
            </w:r>
            <w:r>
              <w:rPr>
                <w:rFonts w:ascii="仿宋" w:hAnsi="仿宋" w:eastAsia="仿宋" w:cs="仿宋"/>
                <w:color w:val="auto"/>
                <w:kern w:val="0"/>
                <w:szCs w:val="21"/>
              </w:rPr>
              <w:t>2</w:t>
            </w:r>
            <w:r>
              <w:rPr>
                <w:rFonts w:hint="eastAsia" w:ascii="仿宋" w:hAnsi="仿宋" w:eastAsia="仿宋" w:cs="仿宋"/>
                <w:color w:val="auto"/>
                <w:kern w:val="0"/>
                <w:szCs w:val="21"/>
              </w:rPr>
              <w:t>株，超过1株扣0</w:t>
            </w:r>
            <w:r>
              <w:rPr>
                <w:rFonts w:ascii="仿宋" w:hAnsi="仿宋" w:eastAsia="仿宋" w:cs="仿宋"/>
                <w:color w:val="auto"/>
                <w:kern w:val="0"/>
                <w:szCs w:val="21"/>
              </w:rPr>
              <w:t>.</w:t>
            </w:r>
            <w:r>
              <w:rPr>
                <w:rFonts w:hint="eastAsia" w:ascii="仿宋" w:hAnsi="仿宋" w:eastAsia="仿宋" w:cs="仿宋"/>
                <w:color w:val="auto"/>
                <w:kern w:val="0"/>
                <w:szCs w:val="21"/>
              </w:rPr>
              <w:t>1分，扣完为止；</w:t>
            </w:r>
          </w:p>
        </w:tc>
        <w:tc>
          <w:tcPr>
            <w:tcW w:w="1048" w:type="dxa"/>
            <w:vAlign w:val="center"/>
          </w:tcPr>
          <w:p>
            <w:pPr>
              <w:widowControl/>
              <w:spacing w:line="276" w:lineRule="auto"/>
              <w:jc w:val="center"/>
              <w:rPr>
                <w:rFonts w:ascii="仿宋" w:hAnsi="仿宋" w:eastAsia="仿宋" w:cs="仿宋"/>
                <w:color w:val="auto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Cs w:val="21"/>
              </w:rPr>
              <w:t>8</w:t>
            </w:r>
          </w:p>
        </w:tc>
        <w:tc>
          <w:tcPr>
            <w:tcW w:w="1806" w:type="dxa"/>
            <w:vMerge w:val="continue"/>
            <w:vAlign w:val="center"/>
          </w:tcPr>
          <w:p>
            <w:pPr>
              <w:widowControl/>
              <w:spacing w:line="276" w:lineRule="auto"/>
              <w:jc w:val="center"/>
              <w:rPr>
                <w:rFonts w:ascii="仿宋" w:hAnsi="仿宋" w:eastAsia="仿宋" w:cs="仿宋"/>
                <w:color w:val="auto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0" w:hRule="atLeast"/>
        </w:trPr>
        <w:tc>
          <w:tcPr>
            <w:tcW w:w="628" w:type="dxa"/>
            <w:vMerge w:val="continue"/>
            <w:vAlign w:val="center"/>
          </w:tcPr>
          <w:p>
            <w:pPr>
              <w:widowControl/>
              <w:spacing w:line="276" w:lineRule="auto"/>
              <w:jc w:val="left"/>
              <w:rPr>
                <w:rFonts w:ascii="仿宋" w:hAnsi="仿宋" w:eastAsia="仿宋" w:cs="仿宋"/>
                <w:color w:val="auto"/>
                <w:kern w:val="0"/>
                <w:szCs w:val="21"/>
              </w:rPr>
            </w:pPr>
          </w:p>
        </w:tc>
        <w:tc>
          <w:tcPr>
            <w:tcW w:w="792" w:type="dxa"/>
            <w:vMerge w:val="continue"/>
            <w:vAlign w:val="center"/>
          </w:tcPr>
          <w:p>
            <w:pPr>
              <w:widowControl/>
              <w:spacing w:line="276" w:lineRule="auto"/>
              <w:jc w:val="left"/>
              <w:rPr>
                <w:rFonts w:ascii="仿宋" w:hAnsi="仿宋" w:eastAsia="仿宋" w:cs="仿宋"/>
                <w:color w:val="auto"/>
                <w:kern w:val="0"/>
                <w:szCs w:val="21"/>
              </w:rPr>
            </w:pPr>
          </w:p>
        </w:tc>
        <w:tc>
          <w:tcPr>
            <w:tcW w:w="629" w:type="dxa"/>
            <w:textDirection w:val="tbRlV"/>
            <w:vAlign w:val="center"/>
          </w:tcPr>
          <w:p>
            <w:pPr>
              <w:widowControl/>
              <w:spacing w:line="276" w:lineRule="auto"/>
              <w:jc w:val="center"/>
              <w:rPr>
                <w:rFonts w:ascii="仿宋" w:hAnsi="仿宋" w:eastAsia="仿宋" w:cs="仿宋"/>
                <w:color w:val="auto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Cs w:val="21"/>
              </w:rPr>
              <w:t>修剪造型</w:t>
            </w:r>
          </w:p>
        </w:tc>
        <w:tc>
          <w:tcPr>
            <w:tcW w:w="2190" w:type="dxa"/>
            <w:vAlign w:val="center"/>
          </w:tcPr>
          <w:p>
            <w:pPr>
              <w:widowControl/>
              <w:spacing w:line="276" w:lineRule="auto"/>
              <w:rPr>
                <w:rFonts w:ascii="仿宋" w:hAnsi="仿宋" w:eastAsia="仿宋" w:cs="仿宋"/>
                <w:color w:val="auto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Cs w:val="21"/>
              </w:rPr>
              <w:t>1、乔木因枝条过密、过低、有枯枝、残枝头不超过4厘米；</w:t>
            </w:r>
          </w:p>
        </w:tc>
        <w:tc>
          <w:tcPr>
            <w:tcW w:w="2179" w:type="dxa"/>
            <w:vAlign w:val="center"/>
          </w:tcPr>
          <w:p>
            <w:pPr>
              <w:widowControl/>
              <w:spacing w:line="276" w:lineRule="auto"/>
              <w:rPr>
                <w:rFonts w:ascii="仿宋" w:hAnsi="仿宋" w:eastAsia="仿宋" w:cs="仿宋"/>
                <w:color w:val="auto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Cs w:val="21"/>
              </w:rPr>
              <w:t>1、超过4厘米的，每棵扣0</w:t>
            </w:r>
            <w:r>
              <w:rPr>
                <w:rFonts w:ascii="仿宋" w:hAnsi="仿宋" w:eastAsia="仿宋" w:cs="仿宋"/>
                <w:color w:val="auto"/>
                <w:kern w:val="0"/>
                <w:szCs w:val="21"/>
              </w:rPr>
              <w:t>.</w:t>
            </w:r>
            <w:r>
              <w:rPr>
                <w:rFonts w:hint="eastAsia" w:ascii="仿宋" w:hAnsi="仿宋" w:eastAsia="仿宋" w:cs="仿宋"/>
                <w:color w:val="auto"/>
                <w:kern w:val="0"/>
                <w:szCs w:val="21"/>
              </w:rPr>
              <w:t>1分，扣完为止；</w:t>
            </w:r>
          </w:p>
        </w:tc>
        <w:tc>
          <w:tcPr>
            <w:tcW w:w="1048" w:type="dxa"/>
            <w:vAlign w:val="center"/>
          </w:tcPr>
          <w:p>
            <w:pPr>
              <w:widowControl/>
              <w:spacing w:line="276" w:lineRule="auto"/>
              <w:jc w:val="center"/>
              <w:rPr>
                <w:rFonts w:ascii="仿宋" w:hAnsi="仿宋" w:eastAsia="仿宋" w:cs="仿宋"/>
                <w:color w:val="auto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Cs w:val="21"/>
              </w:rPr>
              <w:t>8</w:t>
            </w:r>
          </w:p>
        </w:tc>
        <w:tc>
          <w:tcPr>
            <w:tcW w:w="1806" w:type="dxa"/>
            <w:vMerge w:val="restart"/>
            <w:vAlign w:val="center"/>
          </w:tcPr>
          <w:p>
            <w:pPr>
              <w:widowControl/>
              <w:spacing w:line="276" w:lineRule="auto"/>
              <w:jc w:val="center"/>
              <w:rPr>
                <w:rFonts w:ascii="仿宋" w:hAnsi="仿宋" w:eastAsia="仿宋" w:cs="仿宋"/>
                <w:color w:val="auto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0" w:hRule="atLeast"/>
        </w:trPr>
        <w:tc>
          <w:tcPr>
            <w:tcW w:w="628" w:type="dxa"/>
            <w:vMerge w:val="continue"/>
            <w:vAlign w:val="center"/>
          </w:tcPr>
          <w:p>
            <w:pPr>
              <w:widowControl/>
              <w:spacing w:line="276" w:lineRule="auto"/>
              <w:jc w:val="left"/>
              <w:rPr>
                <w:rFonts w:ascii="仿宋" w:hAnsi="仿宋" w:eastAsia="仿宋" w:cs="仿宋"/>
                <w:color w:val="auto"/>
                <w:kern w:val="0"/>
                <w:szCs w:val="21"/>
              </w:rPr>
            </w:pPr>
          </w:p>
        </w:tc>
        <w:tc>
          <w:tcPr>
            <w:tcW w:w="792" w:type="dxa"/>
            <w:vMerge w:val="continue"/>
            <w:vAlign w:val="center"/>
          </w:tcPr>
          <w:p>
            <w:pPr>
              <w:widowControl/>
              <w:spacing w:line="276" w:lineRule="auto"/>
              <w:jc w:val="left"/>
              <w:rPr>
                <w:rFonts w:ascii="仿宋" w:hAnsi="仿宋" w:eastAsia="仿宋" w:cs="仿宋"/>
                <w:color w:val="auto"/>
                <w:kern w:val="0"/>
                <w:szCs w:val="21"/>
              </w:rPr>
            </w:pPr>
          </w:p>
        </w:tc>
        <w:tc>
          <w:tcPr>
            <w:tcW w:w="629" w:type="dxa"/>
            <w:textDirection w:val="tbRlV"/>
            <w:vAlign w:val="center"/>
          </w:tcPr>
          <w:p>
            <w:pPr>
              <w:widowControl/>
              <w:spacing w:line="276" w:lineRule="auto"/>
              <w:jc w:val="center"/>
              <w:rPr>
                <w:rFonts w:ascii="仿宋" w:hAnsi="仿宋" w:eastAsia="仿宋" w:cs="仿宋"/>
                <w:color w:val="auto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Cs w:val="21"/>
              </w:rPr>
              <w:t>乔木灌木</w:t>
            </w:r>
          </w:p>
        </w:tc>
        <w:tc>
          <w:tcPr>
            <w:tcW w:w="2190" w:type="dxa"/>
            <w:vAlign w:val="center"/>
          </w:tcPr>
          <w:p>
            <w:pPr>
              <w:widowControl/>
              <w:spacing w:line="276" w:lineRule="auto"/>
              <w:rPr>
                <w:rFonts w:ascii="仿宋" w:hAnsi="仿宋" w:eastAsia="仿宋" w:cs="仿宋"/>
                <w:color w:val="auto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Cs w:val="21"/>
              </w:rPr>
              <w:t>2、灌木或绿篱能及时修剪不影响美观（见说明）；</w:t>
            </w:r>
          </w:p>
        </w:tc>
        <w:tc>
          <w:tcPr>
            <w:tcW w:w="2179" w:type="dxa"/>
            <w:vAlign w:val="center"/>
          </w:tcPr>
          <w:p>
            <w:pPr>
              <w:widowControl/>
              <w:spacing w:line="276" w:lineRule="auto"/>
              <w:rPr>
                <w:rFonts w:ascii="仿宋" w:hAnsi="仿宋" w:eastAsia="仿宋" w:cs="仿宋"/>
                <w:color w:val="auto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Cs w:val="21"/>
              </w:rPr>
              <w:t>2、因修剪不当或不修剪，影响美观的，每处扣0</w:t>
            </w:r>
            <w:r>
              <w:rPr>
                <w:rFonts w:ascii="仿宋" w:hAnsi="仿宋" w:eastAsia="仿宋" w:cs="仿宋"/>
                <w:color w:val="auto"/>
                <w:kern w:val="0"/>
                <w:szCs w:val="21"/>
              </w:rPr>
              <w:t>.</w:t>
            </w:r>
            <w:r>
              <w:rPr>
                <w:rFonts w:hint="eastAsia" w:ascii="仿宋" w:hAnsi="仿宋" w:eastAsia="仿宋" w:cs="仿宋"/>
                <w:color w:val="auto"/>
                <w:kern w:val="0"/>
                <w:szCs w:val="21"/>
              </w:rPr>
              <w:t>1分扣完为止；</w:t>
            </w:r>
          </w:p>
        </w:tc>
        <w:tc>
          <w:tcPr>
            <w:tcW w:w="1048" w:type="dxa"/>
            <w:vAlign w:val="center"/>
          </w:tcPr>
          <w:p>
            <w:pPr>
              <w:widowControl/>
              <w:spacing w:line="276" w:lineRule="auto"/>
              <w:jc w:val="center"/>
              <w:rPr>
                <w:rFonts w:ascii="仿宋" w:hAnsi="仿宋" w:eastAsia="仿宋" w:cs="仿宋"/>
                <w:color w:val="auto"/>
                <w:kern w:val="0"/>
                <w:szCs w:val="21"/>
              </w:rPr>
            </w:pPr>
            <w:r>
              <w:rPr>
                <w:rFonts w:ascii="仿宋" w:hAnsi="仿宋" w:eastAsia="仿宋" w:cs="仿宋"/>
                <w:color w:val="auto"/>
                <w:kern w:val="0"/>
                <w:szCs w:val="21"/>
              </w:rPr>
              <w:t>10</w:t>
            </w:r>
          </w:p>
        </w:tc>
        <w:tc>
          <w:tcPr>
            <w:tcW w:w="1806" w:type="dxa"/>
            <w:vMerge w:val="continue"/>
            <w:vAlign w:val="center"/>
          </w:tcPr>
          <w:p>
            <w:pPr>
              <w:widowControl/>
              <w:spacing w:line="276" w:lineRule="auto"/>
              <w:jc w:val="center"/>
              <w:rPr>
                <w:rFonts w:ascii="仿宋" w:hAnsi="仿宋" w:eastAsia="仿宋" w:cs="仿宋"/>
                <w:color w:val="auto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628" w:type="dxa"/>
            <w:vMerge w:val="continue"/>
            <w:vAlign w:val="center"/>
          </w:tcPr>
          <w:p>
            <w:pPr>
              <w:widowControl/>
              <w:spacing w:line="276" w:lineRule="auto"/>
              <w:jc w:val="left"/>
              <w:rPr>
                <w:rFonts w:ascii="仿宋" w:hAnsi="仿宋" w:eastAsia="仿宋" w:cs="仿宋"/>
                <w:color w:val="auto"/>
                <w:kern w:val="0"/>
                <w:szCs w:val="21"/>
              </w:rPr>
            </w:pPr>
          </w:p>
        </w:tc>
        <w:tc>
          <w:tcPr>
            <w:tcW w:w="792" w:type="dxa"/>
            <w:vMerge w:val="continue"/>
            <w:vAlign w:val="center"/>
          </w:tcPr>
          <w:p>
            <w:pPr>
              <w:widowControl/>
              <w:spacing w:line="276" w:lineRule="auto"/>
              <w:jc w:val="left"/>
              <w:rPr>
                <w:rFonts w:ascii="仿宋" w:hAnsi="仿宋" w:eastAsia="仿宋" w:cs="仿宋"/>
                <w:color w:val="auto"/>
                <w:kern w:val="0"/>
                <w:szCs w:val="21"/>
              </w:rPr>
            </w:pPr>
          </w:p>
        </w:tc>
        <w:tc>
          <w:tcPr>
            <w:tcW w:w="629" w:type="dxa"/>
            <w:vMerge w:val="restart"/>
            <w:textDirection w:val="tbRlV"/>
            <w:vAlign w:val="center"/>
          </w:tcPr>
          <w:p>
            <w:pPr>
              <w:widowControl/>
              <w:spacing w:line="276" w:lineRule="auto"/>
              <w:jc w:val="center"/>
              <w:rPr>
                <w:rFonts w:ascii="仿宋" w:hAnsi="仿宋" w:eastAsia="仿宋" w:cs="仿宋"/>
                <w:color w:val="auto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Cs w:val="21"/>
              </w:rPr>
              <w:t>绿地清洁卫生</w:t>
            </w:r>
          </w:p>
        </w:tc>
        <w:tc>
          <w:tcPr>
            <w:tcW w:w="2190" w:type="dxa"/>
            <w:vAlign w:val="center"/>
          </w:tcPr>
          <w:p>
            <w:pPr>
              <w:widowControl/>
              <w:spacing w:line="276" w:lineRule="auto"/>
              <w:rPr>
                <w:rFonts w:ascii="仿宋" w:hAnsi="仿宋" w:eastAsia="仿宋" w:cs="仿宋"/>
                <w:color w:val="auto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Cs w:val="21"/>
              </w:rPr>
              <w:t>1、未发现绿化垃圾连片的地方；</w:t>
            </w:r>
          </w:p>
        </w:tc>
        <w:tc>
          <w:tcPr>
            <w:tcW w:w="2179" w:type="dxa"/>
            <w:vAlign w:val="center"/>
          </w:tcPr>
          <w:p>
            <w:pPr>
              <w:widowControl/>
              <w:spacing w:line="276" w:lineRule="auto"/>
              <w:rPr>
                <w:rFonts w:ascii="仿宋" w:hAnsi="仿宋" w:eastAsia="仿宋" w:cs="仿宋"/>
                <w:color w:val="auto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Cs w:val="21"/>
              </w:rPr>
              <w:t>1、垃圾连片（面积3米×3米）扣0</w:t>
            </w:r>
            <w:r>
              <w:rPr>
                <w:rFonts w:ascii="仿宋" w:hAnsi="仿宋" w:eastAsia="仿宋" w:cs="仿宋"/>
                <w:color w:val="auto"/>
                <w:kern w:val="0"/>
                <w:szCs w:val="21"/>
              </w:rPr>
              <w:t>.</w:t>
            </w:r>
            <w:r>
              <w:rPr>
                <w:rFonts w:hint="eastAsia" w:ascii="仿宋" w:hAnsi="仿宋" w:eastAsia="仿宋" w:cs="仿宋"/>
                <w:color w:val="auto"/>
                <w:kern w:val="0"/>
                <w:szCs w:val="21"/>
              </w:rPr>
              <w:t>2分，扣完为止；</w:t>
            </w:r>
          </w:p>
        </w:tc>
        <w:tc>
          <w:tcPr>
            <w:tcW w:w="1048" w:type="dxa"/>
            <w:vAlign w:val="center"/>
          </w:tcPr>
          <w:p>
            <w:pPr>
              <w:widowControl/>
              <w:spacing w:line="276" w:lineRule="auto"/>
              <w:jc w:val="center"/>
              <w:rPr>
                <w:rFonts w:ascii="仿宋" w:hAnsi="仿宋" w:eastAsia="仿宋" w:cs="仿宋"/>
                <w:color w:val="auto"/>
                <w:kern w:val="0"/>
                <w:szCs w:val="21"/>
              </w:rPr>
            </w:pPr>
            <w:r>
              <w:rPr>
                <w:rFonts w:ascii="仿宋" w:hAnsi="仿宋" w:eastAsia="仿宋" w:cs="仿宋"/>
                <w:color w:val="auto"/>
                <w:kern w:val="0"/>
                <w:szCs w:val="21"/>
              </w:rPr>
              <w:t>6</w:t>
            </w:r>
          </w:p>
        </w:tc>
        <w:tc>
          <w:tcPr>
            <w:tcW w:w="1806" w:type="dxa"/>
            <w:vMerge w:val="restart"/>
            <w:vAlign w:val="center"/>
          </w:tcPr>
          <w:p>
            <w:pPr>
              <w:widowControl/>
              <w:spacing w:line="276" w:lineRule="auto"/>
              <w:jc w:val="center"/>
              <w:rPr>
                <w:rFonts w:ascii="仿宋" w:hAnsi="仿宋" w:eastAsia="仿宋" w:cs="仿宋"/>
                <w:color w:val="auto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628" w:type="dxa"/>
            <w:vMerge w:val="continue"/>
            <w:vAlign w:val="center"/>
          </w:tcPr>
          <w:p>
            <w:pPr>
              <w:widowControl/>
              <w:spacing w:line="276" w:lineRule="auto"/>
              <w:jc w:val="left"/>
              <w:rPr>
                <w:rFonts w:ascii="仿宋" w:hAnsi="仿宋" w:eastAsia="仿宋" w:cs="仿宋"/>
                <w:color w:val="auto"/>
                <w:kern w:val="0"/>
                <w:szCs w:val="21"/>
              </w:rPr>
            </w:pPr>
          </w:p>
        </w:tc>
        <w:tc>
          <w:tcPr>
            <w:tcW w:w="792" w:type="dxa"/>
            <w:vMerge w:val="continue"/>
            <w:vAlign w:val="center"/>
          </w:tcPr>
          <w:p>
            <w:pPr>
              <w:widowControl/>
              <w:spacing w:line="276" w:lineRule="auto"/>
              <w:jc w:val="left"/>
              <w:rPr>
                <w:rFonts w:ascii="仿宋" w:hAnsi="仿宋" w:eastAsia="仿宋" w:cs="仿宋"/>
                <w:color w:val="auto"/>
                <w:kern w:val="0"/>
                <w:szCs w:val="21"/>
              </w:rPr>
            </w:pPr>
          </w:p>
        </w:tc>
        <w:tc>
          <w:tcPr>
            <w:tcW w:w="629" w:type="dxa"/>
            <w:vMerge w:val="continue"/>
            <w:vAlign w:val="center"/>
          </w:tcPr>
          <w:p>
            <w:pPr>
              <w:widowControl/>
              <w:spacing w:line="276" w:lineRule="auto"/>
              <w:jc w:val="left"/>
              <w:rPr>
                <w:rFonts w:ascii="仿宋" w:hAnsi="仿宋" w:eastAsia="仿宋" w:cs="仿宋"/>
                <w:color w:val="auto"/>
                <w:kern w:val="0"/>
                <w:szCs w:val="21"/>
              </w:rPr>
            </w:pPr>
          </w:p>
        </w:tc>
        <w:tc>
          <w:tcPr>
            <w:tcW w:w="2190" w:type="dxa"/>
            <w:vAlign w:val="center"/>
          </w:tcPr>
          <w:p>
            <w:pPr>
              <w:widowControl/>
              <w:spacing w:line="276" w:lineRule="auto"/>
              <w:rPr>
                <w:rFonts w:ascii="仿宋" w:hAnsi="仿宋" w:eastAsia="仿宋" w:cs="仿宋"/>
                <w:color w:val="auto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Cs w:val="21"/>
              </w:rPr>
              <w:t>2、在绿地区内未发生焚烧杂物；</w:t>
            </w:r>
          </w:p>
        </w:tc>
        <w:tc>
          <w:tcPr>
            <w:tcW w:w="2179" w:type="dxa"/>
            <w:vAlign w:val="center"/>
          </w:tcPr>
          <w:p>
            <w:pPr>
              <w:widowControl/>
              <w:spacing w:line="276" w:lineRule="auto"/>
              <w:rPr>
                <w:rFonts w:ascii="仿宋" w:hAnsi="仿宋" w:eastAsia="仿宋" w:cs="仿宋"/>
                <w:color w:val="auto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Cs w:val="21"/>
              </w:rPr>
              <w:t>2、绿地发生焚烧杂物的，每处扣0</w:t>
            </w:r>
            <w:r>
              <w:rPr>
                <w:rFonts w:ascii="仿宋" w:hAnsi="仿宋" w:eastAsia="仿宋" w:cs="仿宋"/>
                <w:color w:val="auto"/>
                <w:kern w:val="0"/>
                <w:szCs w:val="21"/>
              </w:rPr>
              <w:t>.</w:t>
            </w:r>
            <w:r>
              <w:rPr>
                <w:rFonts w:hint="eastAsia" w:ascii="仿宋" w:hAnsi="仿宋" w:eastAsia="仿宋" w:cs="仿宋"/>
                <w:color w:val="auto"/>
                <w:kern w:val="0"/>
                <w:szCs w:val="21"/>
              </w:rPr>
              <w:t>2分，扣完为止；</w:t>
            </w:r>
          </w:p>
        </w:tc>
        <w:tc>
          <w:tcPr>
            <w:tcW w:w="1048" w:type="dxa"/>
            <w:vAlign w:val="center"/>
          </w:tcPr>
          <w:p>
            <w:pPr>
              <w:widowControl/>
              <w:spacing w:line="276" w:lineRule="auto"/>
              <w:jc w:val="center"/>
              <w:rPr>
                <w:rFonts w:ascii="仿宋" w:hAnsi="仿宋" w:eastAsia="仿宋" w:cs="仿宋"/>
                <w:color w:val="auto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Cs w:val="21"/>
              </w:rPr>
              <w:t>6</w:t>
            </w:r>
          </w:p>
        </w:tc>
        <w:tc>
          <w:tcPr>
            <w:tcW w:w="1806" w:type="dxa"/>
            <w:vMerge w:val="continue"/>
            <w:vAlign w:val="center"/>
          </w:tcPr>
          <w:p>
            <w:pPr>
              <w:widowControl/>
              <w:spacing w:line="276" w:lineRule="auto"/>
              <w:jc w:val="center"/>
              <w:rPr>
                <w:rFonts w:ascii="仿宋" w:hAnsi="仿宋" w:eastAsia="仿宋" w:cs="仿宋"/>
                <w:color w:val="auto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</w:trPr>
        <w:tc>
          <w:tcPr>
            <w:tcW w:w="628" w:type="dxa"/>
            <w:vMerge w:val="continue"/>
            <w:vAlign w:val="center"/>
          </w:tcPr>
          <w:p>
            <w:pPr>
              <w:widowControl/>
              <w:spacing w:line="276" w:lineRule="auto"/>
              <w:jc w:val="left"/>
              <w:rPr>
                <w:rFonts w:ascii="仿宋" w:hAnsi="仿宋" w:eastAsia="仿宋" w:cs="仿宋"/>
                <w:color w:val="auto"/>
                <w:kern w:val="0"/>
                <w:szCs w:val="21"/>
              </w:rPr>
            </w:pPr>
          </w:p>
        </w:tc>
        <w:tc>
          <w:tcPr>
            <w:tcW w:w="792" w:type="dxa"/>
            <w:vMerge w:val="continue"/>
            <w:vAlign w:val="center"/>
          </w:tcPr>
          <w:p>
            <w:pPr>
              <w:widowControl/>
              <w:spacing w:line="276" w:lineRule="auto"/>
              <w:jc w:val="left"/>
              <w:rPr>
                <w:rFonts w:ascii="仿宋" w:hAnsi="仿宋" w:eastAsia="仿宋" w:cs="仿宋"/>
                <w:color w:val="auto"/>
                <w:kern w:val="0"/>
                <w:szCs w:val="21"/>
              </w:rPr>
            </w:pPr>
          </w:p>
        </w:tc>
        <w:tc>
          <w:tcPr>
            <w:tcW w:w="629" w:type="dxa"/>
            <w:vMerge w:val="continue"/>
            <w:vAlign w:val="center"/>
          </w:tcPr>
          <w:p>
            <w:pPr>
              <w:widowControl/>
              <w:spacing w:line="276" w:lineRule="auto"/>
              <w:jc w:val="left"/>
              <w:rPr>
                <w:rFonts w:ascii="仿宋" w:hAnsi="仿宋" w:eastAsia="仿宋" w:cs="仿宋"/>
                <w:color w:val="auto"/>
                <w:kern w:val="0"/>
                <w:szCs w:val="21"/>
              </w:rPr>
            </w:pPr>
          </w:p>
        </w:tc>
        <w:tc>
          <w:tcPr>
            <w:tcW w:w="2190" w:type="dxa"/>
            <w:vAlign w:val="center"/>
          </w:tcPr>
          <w:p>
            <w:pPr>
              <w:widowControl/>
              <w:spacing w:line="276" w:lineRule="auto"/>
              <w:rPr>
                <w:rFonts w:ascii="仿宋" w:hAnsi="仿宋" w:eastAsia="仿宋" w:cs="仿宋"/>
                <w:color w:val="auto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Cs w:val="21"/>
              </w:rPr>
              <w:t>3、绿化修剪后的枯枝干叶等，在修剪当天及时清理运走；苗木落叶地能及时清扫保洁；</w:t>
            </w:r>
          </w:p>
        </w:tc>
        <w:tc>
          <w:tcPr>
            <w:tcW w:w="2179" w:type="dxa"/>
            <w:vAlign w:val="center"/>
          </w:tcPr>
          <w:p>
            <w:pPr>
              <w:widowControl/>
              <w:spacing w:line="276" w:lineRule="auto"/>
              <w:rPr>
                <w:rFonts w:ascii="仿宋" w:hAnsi="仿宋" w:eastAsia="仿宋" w:cs="仿宋"/>
                <w:color w:val="auto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Cs w:val="21"/>
              </w:rPr>
              <w:t>3、未能及时运走和清扫保洁的，以10米为单位，每单位扣0</w:t>
            </w:r>
            <w:r>
              <w:rPr>
                <w:rFonts w:ascii="仿宋" w:hAnsi="仿宋" w:eastAsia="仿宋" w:cs="仿宋"/>
                <w:color w:val="auto"/>
                <w:kern w:val="0"/>
                <w:szCs w:val="21"/>
              </w:rPr>
              <w:t>.</w:t>
            </w:r>
            <w:r>
              <w:rPr>
                <w:rFonts w:hint="eastAsia" w:ascii="仿宋" w:hAnsi="仿宋" w:eastAsia="仿宋" w:cs="仿宋"/>
                <w:color w:val="auto"/>
                <w:kern w:val="0"/>
                <w:szCs w:val="21"/>
              </w:rPr>
              <w:t>2分，扣完为止；</w:t>
            </w:r>
          </w:p>
        </w:tc>
        <w:tc>
          <w:tcPr>
            <w:tcW w:w="1048" w:type="dxa"/>
            <w:vAlign w:val="center"/>
          </w:tcPr>
          <w:p>
            <w:pPr>
              <w:widowControl/>
              <w:spacing w:line="276" w:lineRule="auto"/>
              <w:jc w:val="center"/>
              <w:rPr>
                <w:rFonts w:ascii="仿宋" w:hAnsi="仿宋" w:eastAsia="仿宋" w:cs="仿宋"/>
                <w:color w:val="auto"/>
                <w:kern w:val="0"/>
                <w:szCs w:val="21"/>
              </w:rPr>
            </w:pPr>
            <w:r>
              <w:rPr>
                <w:rFonts w:ascii="仿宋" w:hAnsi="仿宋" w:eastAsia="仿宋" w:cs="仿宋"/>
                <w:color w:val="auto"/>
                <w:kern w:val="0"/>
                <w:szCs w:val="21"/>
              </w:rPr>
              <w:t>6</w:t>
            </w:r>
          </w:p>
        </w:tc>
        <w:tc>
          <w:tcPr>
            <w:tcW w:w="1806" w:type="dxa"/>
            <w:vMerge w:val="continue"/>
            <w:vAlign w:val="center"/>
          </w:tcPr>
          <w:p>
            <w:pPr>
              <w:widowControl/>
              <w:spacing w:line="276" w:lineRule="auto"/>
              <w:jc w:val="center"/>
              <w:rPr>
                <w:rFonts w:ascii="仿宋" w:hAnsi="仿宋" w:eastAsia="仿宋" w:cs="仿宋"/>
                <w:color w:val="auto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9" w:hRule="atLeast"/>
        </w:trPr>
        <w:tc>
          <w:tcPr>
            <w:tcW w:w="628" w:type="dxa"/>
            <w:vMerge w:val="continue"/>
            <w:vAlign w:val="center"/>
          </w:tcPr>
          <w:p>
            <w:pPr>
              <w:widowControl/>
              <w:spacing w:line="276" w:lineRule="auto"/>
              <w:jc w:val="left"/>
              <w:rPr>
                <w:rFonts w:ascii="仿宋" w:hAnsi="仿宋" w:eastAsia="仿宋" w:cs="仿宋"/>
                <w:color w:val="auto"/>
                <w:kern w:val="0"/>
                <w:szCs w:val="21"/>
              </w:rPr>
            </w:pPr>
          </w:p>
        </w:tc>
        <w:tc>
          <w:tcPr>
            <w:tcW w:w="792" w:type="dxa"/>
            <w:vMerge w:val="continue"/>
            <w:vAlign w:val="center"/>
          </w:tcPr>
          <w:p>
            <w:pPr>
              <w:widowControl/>
              <w:spacing w:line="276" w:lineRule="auto"/>
              <w:jc w:val="left"/>
              <w:rPr>
                <w:rFonts w:ascii="仿宋" w:hAnsi="仿宋" w:eastAsia="仿宋" w:cs="仿宋"/>
                <w:color w:val="auto"/>
                <w:kern w:val="0"/>
                <w:szCs w:val="21"/>
              </w:rPr>
            </w:pPr>
          </w:p>
        </w:tc>
        <w:tc>
          <w:tcPr>
            <w:tcW w:w="629" w:type="dxa"/>
            <w:vMerge w:val="restart"/>
            <w:textDirection w:val="tbRlV"/>
            <w:vAlign w:val="center"/>
          </w:tcPr>
          <w:p>
            <w:pPr>
              <w:widowControl/>
              <w:spacing w:line="276" w:lineRule="auto"/>
              <w:jc w:val="center"/>
              <w:rPr>
                <w:rFonts w:ascii="仿宋" w:hAnsi="仿宋" w:eastAsia="仿宋" w:cs="仿宋"/>
                <w:color w:val="auto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Cs w:val="21"/>
              </w:rPr>
              <w:t>苗木草地的生长养护</w:t>
            </w:r>
          </w:p>
        </w:tc>
        <w:tc>
          <w:tcPr>
            <w:tcW w:w="2190" w:type="dxa"/>
            <w:vAlign w:val="center"/>
          </w:tcPr>
          <w:p>
            <w:pPr>
              <w:widowControl/>
              <w:spacing w:line="276" w:lineRule="auto"/>
              <w:rPr>
                <w:rFonts w:ascii="仿宋" w:hAnsi="仿宋" w:eastAsia="仿宋" w:cs="仿宋"/>
                <w:color w:val="auto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Cs w:val="21"/>
              </w:rPr>
              <w:t>1、 管理、养护（能及时淋水、施肥、松土、除杂等）得当未有病虫害发生，苗木长势茂盛；</w:t>
            </w:r>
          </w:p>
        </w:tc>
        <w:tc>
          <w:tcPr>
            <w:tcW w:w="2179" w:type="dxa"/>
            <w:vAlign w:val="center"/>
          </w:tcPr>
          <w:p>
            <w:pPr>
              <w:widowControl/>
              <w:spacing w:line="276" w:lineRule="auto"/>
              <w:rPr>
                <w:rFonts w:ascii="仿宋" w:hAnsi="仿宋" w:eastAsia="仿宋" w:cs="仿宋"/>
                <w:color w:val="auto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Cs w:val="21"/>
              </w:rPr>
              <w:t>1、因管理、养护不当及病虫害而导致苗木长势太弱，不够茂盛的，每处乔、灌木（指单株成形的）扣0</w:t>
            </w:r>
            <w:r>
              <w:rPr>
                <w:rFonts w:ascii="仿宋" w:hAnsi="仿宋" w:eastAsia="仿宋" w:cs="仿宋"/>
                <w:color w:val="auto"/>
                <w:kern w:val="0"/>
                <w:szCs w:val="21"/>
              </w:rPr>
              <w:t>.</w:t>
            </w:r>
            <w:r>
              <w:rPr>
                <w:rFonts w:hint="eastAsia" w:ascii="仿宋" w:hAnsi="仿宋" w:eastAsia="仿宋" w:cs="仿宋"/>
                <w:color w:val="auto"/>
                <w:kern w:val="0"/>
                <w:szCs w:val="21"/>
              </w:rPr>
              <w:t>2分，扣完为止；</w:t>
            </w:r>
          </w:p>
        </w:tc>
        <w:tc>
          <w:tcPr>
            <w:tcW w:w="1048" w:type="dxa"/>
            <w:vAlign w:val="center"/>
          </w:tcPr>
          <w:p>
            <w:pPr>
              <w:widowControl/>
              <w:spacing w:line="276" w:lineRule="auto"/>
              <w:jc w:val="center"/>
              <w:rPr>
                <w:rFonts w:ascii="仿宋" w:hAnsi="仿宋" w:eastAsia="仿宋" w:cs="仿宋"/>
                <w:color w:val="auto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Cs w:val="21"/>
              </w:rPr>
              <w:t>8</w:t>
            </w:r>
          </w:p>
        </w:tc>
        <w:tc>
          <w:tcPr>
            <w:tcW w:w="1806" w:type="dxa"/>
            <w:vMerge w:val="restart"/>
            <w:vAlign w:val="center"/>
          </w:tcPr>
          <w:p>
            <w:pPr>
              <w:widowControl/>
              <w:spacing w:line="276" w:lineRule="auto"/>
              <w:jc w:val="center"/>
              <w:rPr>
                <w:rFonts w:ascii="仿宋" w:hAnsi="仿宋" w:eastAsia="仿宋" w:cs="仿宋"/>
                <w:color w:val="auto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</w:trPr>
        <w:tc>
          <w:tcPr>
            <w:tcW w:w="628" w:type="dxa"/>
            <w:vMerge w:val="continue"/>
            <w:vAlign w:val="center"/>
          </w:tcPr>
          <w:p>
            <w:pPr>
              <w:widowControl/>
              <w:spacing w:line="276" w:lineRule="auto"/>
              <w:jc w:val="left"/>
              <w:rPr>
                <w:rFonts w:ascii="仿宋" w:hAnsi="仿宋" w:eastAsia="仿宋" w:cs="仿宋"/>
                <w:color w:val="auto"/>
                <w:kern w:val="0"/>
                <w:szCs w:val="21"/>
              </w:rPr>
            </w:pPr>
          </w:p>
        </w:tc>
        <w:tc>
          <w:tcPr>
            <w:tcW w:w="792" w:type="dxa"/>
            <w:vMerge w:val="continue"/>
            <w:vAlign w:val="center"/>
          </w:tcPr>
          <w:p>
            <w:pPr>
              <w:widowControl/>
              <w:spacing w:line="276" w:lineRule="auto"/>
              <w:jc w:val="left"/>
              <w:rPr>
                <w:rFonts w:ascii="仿宋" w:hAnsi="仿宋" w:eastAsia="仿宋" w:cs="仿宋"/>
                <w:color w:val="auto"/>
                <w:kern w:val="0"/>
                <w:szCs w:val="21"/>
              </w:rPr>
            </w:pPr>
          </w:p>
        </w:tc>
        <w:tc>
          <w:tcPr>
            <w:tcW w:w="629" w:type="dxa"/>
            <w:vMerge w:val="continue"/>
            <w:vAlign w:val="center"/>
          </w:tcPr>
          <w:p>
            <w:pPr>
              <w:widowControl/>
              <w:spacing w:line="276" w:lineRule="auto"/>
              <w:jc w:val="left"/>
              <w:rPr>
                <w:rFonts w:ascii="仿宋" w:hAnsi="仿宋" w:eastAsia="仿宋" w:cs="仿宋"/>
                <w:color w:val="auto"/>
                <w:kern w:val="0"/>
                <w:szCs w:val="21"/>
              </w:rPr>
            </w:pPr>
          </w:p>
        </w:tc>
        <w:tc>
          <w:tcPr>
            <w:tcW w:w="2190" w:type="dxa"/>
            <w:vAlign w:val="center"/>
          </w:tcPr>
          <w:p>
            <w:pPr>
              <w:widowControl/>
              <w:spacing w:line="276" w:lineRule="auto"/>
              <w:rPr>
                <w:rFonts w:ascii="仿宋" w:hAnsi="仿宋" w:eastAsia="仿宋" w:cs="仿宋"/>
                <w:color w:val="auto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Cs w:val="21"/>
              </w:rPr>
              <w:t>2、管理、养护（能及时淋水、施肥、松土、除杂等）得当未有病虫害发生，草地长势茂盛；</w:t>
            </w:r>
          </w:p>
        </w:tc>
        <w:tc>
          <w:tcPr>
            <w:tcW w:w="2179" w:type="dxa"/>
            <w:vAlign w:val="center"/>
          </w:tcPr>
          <w:p>
            <w:pPr>
              <w:widowControl/>
              <w:spacing w:line="276" w:lineRule="auto"/>
              <w:rPr>
                <w:rFonts w:ascii="仿宋" w:hAnsi="仿宋" w:eastAsia="仿宋" w:cs="仿宋"/>
                <w:color w:val="auto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Cs w:val="21"/>
              </w:rPr>
              <w:t>2、因管理、养护不当及病虫害而导致草地长势太弱，不够茂盛的，草地或绿篱，每平方米扣0</w:t>
            </w:r>
            <w:r>
              <w:rPr>
                <w:rFonts w:ascii="仿宋" w:hAnsi="仿宋" w:eastAsia="仿宋" w:cs="仿宋"/>
                <w:color w:val="auto"/>
                <w:kern w:val="0"/>
                <w:szCs w:val="21"/>
              </w:rPr>
              <w:t>.</w:t>
            </w:r>
            <w:r>
              <w:rPr>
                <w:rFonts w:hint="eastAsia" w:ascii="仿宋" w:hAnsi="仿宋" w:eastAsia="仿宋" w:cs="仿宋"/>
                <w:color w:val="auto"/>
                <w:kern w:val="0"/>
                <w:szCs w:val="21"/>
              </w:rPr>
              <w:t>2分，扣完为止；</w:t>
            </w:r>
          </w:p>
        </w:tc>
        <w:tc>
          <w:tcPr>
            <w:tcW w:w="1048" w:type="dxa"/>
            <w:vAlign w:val="center"/>
          </w:tcPr>
          <w:p>
            <w:pPr>
              <w:widowControl/>
              <w:spacing w:line="276" w:lineRule="auto"/>
              <w:jc w:val="center"/>
              <w:rPr>
                <w:rFonts w:ascii="仿宋" w:hAnsi="仿宋" w:eastAsia="仿宋" w:cs="仿宋"/>
                <w:color w:val="auto"/>
                <w:kern w:val="0"/>
                <w:szCs w:val="21"/>
              </w:rPr>
            </w:pPr>
            <w:r>
              <w:rPr>
                <w:rFonts w:ascii="仿宋" w:hAnsi="仿宋" w:eastAsia="仿宋" w:cs="仿宋"/>
                <w:color w:val="auto"/>
                <w:kern w:val="0"/>
                <w:szCs w:val="21"/>
              </w:rPr>
              <w:t>6</w:t>
            </w:r>
          </w:p>
        </w:tc>
        <w:tc>
          <w:tcPr>
            <w:tcW w:w="1806" w:type="dxa"/>
            <w:vMerge w:val="continue"/>
            <w:vAlign w:val="center"/>
          </w:tcPr>
          <w:p>
            <w:pPr>
              <w:widowControl/>
              <w:spacing w:line="276" w:lineRule="auto"/>
              <w:jc w:val="center"/>
              <w:rPr>
                <w:rFonts w:ascii="仿宋" w:hAnsi="仿宋" w:eastAsia="仿宋" w:cs="仿宋"/>
                <w:color w:val="auto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</w:trPr>
        <w:tc>
          <w:tcPr>
            <w:tcW w:w="628" w:type="dxa"/>
            <w:vMerge w:val="continue"/>
            <w:vAlign w:val="center"/>
          </w:tcPr>
          <w:p>
            <w:pPr>
              <w:widowControl/>
              <w:spacing w:line="276" w:lineRule="auto"/>
              <w:jc w:val="left"/>
              <w:rPr>
                <w:rFonts w:ascii="仿宋" w:hAnsi="仿宋" w:eastAsia="仿宋" w:cs="仿宋"/>
                <w:color w:val="auto"/>
                <w:kern w:val="0"/>
                <w:szCs w:val="21"/>
              </w:rPr>
            </w:pPr>
          </w:p>
        </w:tc>
        <w:tc>
          <w:tcPr>
            <w:tcW w:w="792" w:type="dxa"/>
            <w:vMerge w:val="continue"/>
            <w:vAlign w:val="center"/>
          </w:tcPr>
          <w:p>
            <w:pPr>
              <w:widowControl/>
              <w:spacing w:line="276" w:lineRule="auto"/>
              <w:jc w:val="left"/>
              <w:rPr>
                <w:rFonts w:ascii="仿宋" w:hAnsi="仿宋" w:eastAsia="仿宋" w:cs="仿宋"/>
                <w:color w:val="auto"/>
                <w:kern w:val="0"/>
                <w:szCs w:val="21"/>
              </w:rPr>
            </w:pPr>
          </w:p>
        </w:tc>
        <w:tc>
          <w:tcPr>
            <w:tcW w:w="629" w:type="dxa"/>
            <w:vMerge w:val="continue"/>
            <w:vAlign w:val="center"/>
          </w:tcPr>
          <w:p>
            <w:pPr>
              <w:widowControl/>
              <w:spacing w:line="276" w:lineRule="auto"/>
              <w:jc w:val="left"/>
              <w:rPr>
                <w:rFonts w:ascii="仿宋" w:hAnsi="仿宋" w:eastAsia="仿宋" w:cs="仿宋"/>
                <w:color w:val="auto"/>
                <w:kern w:val="0"/>
                <w:szCs w:val="21"/>
              </w:rPr>
            </w:pPr>
          </w:p>
        </w:tc>
        <w:tc>
          <w:tcPr>
            <w:tcW w:w="2190" w:type="dxa"/>
            <w:vAlign w:val="center"/>
          </w:tcPr>
          <w:p>
            <w:pPr>
              <w:widowControl/>
              <w:spacing w:line="276" w:lineRule="auto"/>
              <w:rPr>
                <w:rFonts w:ascii="仿宋" w:hAnsi="仿宋" w:eastAsia="仿宋" w:cs="仿宋"/>
                <w:color w:val="auto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Cs w:val="21"/>
              </w:rPr>
              <w:t>3、苗木缺损能及时采取补救措施；</w:t>
            </w:r>
          </w:p>
        </w:tc>
        <w:tc>
          <w:tcPr>
            <w:tcW w:w="2179" w:type="dxa"/>
            <w:vAlign w:val="center"/>
          </w:tcPr>
          <w:p>
            <w:pPr>
              <w:widowControl/>
              <w:spacing w:line="276" w:lineRule="auto"/>
              <w:rPr>
                <w:rFonts w:ascii="仿宋" w:hAnsi="仿宋" w:eastAsia="仿宋" w:cs="仿宋"/>
                <w:color w:val="auto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Cs w:val="21"/>
              </w:rPr>
              <w:t>3、未能及时采用补救措施的，行道树每处扣</w:t>
            </w:r>
            <w:r>
              <w:rPr>
                <w:rFonts w:ascii="仿宋" w:hAnsi="仿宋" w:eastAsia="仿宋" w:cs="仿宋"/>
                <w:color w:val="auto"/>
                <w:kern w:val="0"/>
                <w:szCs w:val="21"/>
              </w:rPr>
              <w:t>0.2</w:t>
            </w:r>
            <w:r>
              <w:rPr>
                <w:rFonts w:hint="eastAsia" w:ascii="仿宋" w:hAnsi="仿宋" w:eastAsia="仿宋" w:cs="仿宋"/>
                <w:color w:val="auto"/>
                <w:kern w:val="0"/>
                <w:szCs w:val="21"/>
              </w:rPr>
              <w:t>分，乔、灌木每处扣0</w:t>
            </w:r>
            <w:r>
              <w:rPr>
                <w:rFonts w:ascii="仿宋" w:hAnsi="仿宋" w:eastAsia="仿宋" w:cs="仿宋"/>
                <w:color w:val="auto"/>
                <w:kern w:val="0"/>
                <w:szCs w:val="21"/>
              </w:rPr>
              <w:t>.</w:t>
            </w:r>
            <w:r>
              <w:rPr>
                <w:rFonts w:hint="eastAsia" w:ascii="仿宋" w:hAnsi="仿宋" w:eastAsia="仿宋" w:cs="仿宋"/>
                <w:color w:val="auto"/>
                <w:kern w:val="0"/>
                <w:szCs w:val="21"/>
              </w:rPr>
              <w:t>1分，草地或绿篱，每处扣0</w:t>
            </w:r>
            <w:r>
              <w:rPr>
                <w:rFonts w:ascii="仿宋" w:hAnsi="仿宋" w:eastAsia="仿宋" w:cs="仿宋"/>
                <w:color w:val="auto"/>
                <w:kern w:val="0"/>
                <w:szCs w:val="21"/>
              </w:rPr>
              <w:t>.</w:t>
            </w:r>
            <w:r>
              <w:rPr>
                <w:rFonts w:hint="eastAsia" w:ascii="仿宋" w:hAnsi="仿宋" w:eastAsia="仿宋" w:cs="仿宋"/>
                <w:color w:val="auto"/>
                <w:kern w:val="0"/>
                <w:szCs w:val="21"/>
              </w:rPr>
              <w:t>2分，扣完为止；</w:t>
            </w:r>
          </w:p>
        </w:tc>
        <w:tc>
          <w:tcPr>
            <w:tcW w:w="1048" w:type="dxa"/>
            <w:vAlign w:val="center"/>
          </w:tcPr>
          <w:p>
            <w:pPr>
              <w:widowControl/>
              <w:spacing w:line="276" w:lineRule="auto"/>
              <w:jc w:val="center"/>
              <w:rPr>
                <w:rFonts w:ascii="仿宋" w:hAnsi="仿宋" w:eastAsia="仿宋" w:cs="仿宋"/>
                <w:color w:val="auto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Cs w:val="21"/>
              </w:rPr>
              <w:t>10</w:t>
            </w:r>
          </w:p>
        </w:tc>
        <w:tc>
          <w:tcPr>
            <w:tcW w:w="1806" w:type="dxa"/>
            <w:vMerge w:val="continue"/>
            <w:vAlign w:val="center"/>
          </w:tcPr>
          <w:p>
            <w:pPr>
              <w:widowControl/>
              <w:spacing w:line="276" w:lineRule="auto"/>
              <w:jc w:val="center"/>
              <w:rPr>
                <w:rFonts w:ascii="仿宋" w:hAnsi="仿宋" w:eastAsia="仿宋" w:cs="仿宋"/>
                <w:color w:val="auto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</w:trPr>
        <w:tc>
          <w:tcPr>
            <w:tcW w:w="628" w:type="dxa"/>
            <w:vMerge w:val="continue"/>
            <w:vAlign w:val="center"/>
          </w:tcPr>
          <w:p>
            <w:pPr>
              <w:widowControl/>
              <w:spacing w:line="276" w:lineRule="auto"/>
              <w:jc w:val="left"/>
              <w:rPr>
                <w:rFonts w:ascii="仿宋" w:hAnsi="仿宋" w:eastAsia="仿宋" w:cs="仿宋"/>
                <w:color w:val="auto"/>
                <w:kern w:val="0"/>
                <w:szCs w:val="21"/>
              </w:rPr>
            </w:pPr>
          </w:p>
        </w:tc>
        <w:tc>
          <w:tcPr>
            <w:tcW w:w="792" w:type="dxa"/>
            <w:vMerge w:val="continue"/>
            <w:vAlign w:val="center"/>
          </w:tcPr>
          <w:p>
            <w:pPr>
              <w:widowControl/>
              <w:spacing w:line="276" w:lineRule="auto"/>
              <w:jc w:val="left"/>
              <w:rPr>
                <w:rFonts w:ascii="仿宋" w:hAnsi="仿宋" w:eastAsia="仿宋" w:cs="仿宋"/>
                <w:color w:val="auto"/>
                <w:kern w:val="0"/>
                <w:szCs w:val="21"/>
              </w:rPr>
            </w:pPr>
          </w:p>
        </w:tc>
        <w:tc>
          <w:tcPr>
            <w:tcW w:w="629" w:type="dxa"/>
            <w:vMerge w:val="restart"/>
            <w:textDirection w:val="tbRlV"/>
            <w:vAlign w:val="center"/>
          </w:tcPr>
          <w:p>
            <w:pPr>
              <w:widowControl/>
              <w:spacing w:line="276" w:lineRule="auto"/>
              <w:jc w:val="center"/>
              <w:rPr>
                <w:rFonts w:ascii="仿宋" w:hAnsi="仿宋" w:eastAsia="仿宋" w:cs="仿宋"/>
                <w:color w:val="auto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Cs w:val="21"/>
              </w:rPr>
              <w:t>绿化设施</w:t>
            </w:r>
          </w:p>
        </w:tc>
        <w:tc>
          <w:tcPr>
            <w:tcW w:w="2190" w:type="dxa"/>
            <w:vAlign w:val="center"/>
          </w:tcPr>
          <w:p>
            <w:pPr>
              <w:widowControl/>
              <w:spacing w:line="276" w:lineRule="auto"/>
              <w:rPr>
                <w:rFonts w:ascii="仿宋" w:hAnsi="仿宋" w:eastAsia="仿宋" w:cs="仿宋"/>
                <w:color w:val="auto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Cs w:val="21"/>
              </w:rPr>
              <w:t>1、花基有污迹，能及时清理；</w:t>
            </w:r>
          </w:p>
        </w:tc>
        <w:tc>
          <w:tcPr>
            <w:tcW w:w="2179" w:type="dxa"/>
            <w:vAlign w:val="center"/>
          </w:tcPr>
          <w:p>
            <w:pPr>
              <w:widowControl/>
              <w:spacing w:line="276" w:lineRule="auto"/>
              <w:rPr>
                <w:rFonts w:ascii="仿宋" w:hAnsi="仿宋" w:eastAsia="仿宋" w:cs="仿宋"/>
                <w:color w:val="auto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Cs w:val="21"/>
              </w:rPr>
              <w:t>1、未及时清理的，每10厘米×10厘米（不足的按10厘米×10厘米）的面积扣0</w:t>
            </w:r>
            <w:r>
              <w:rPr>
                <w:rFonts w:ascii="仿宋" w:hAnsi="仿宋" w:eastAsia="仿宋" w:cs="仿宋"/>
                <w:color w:val="auto"/>
                <w:kern w:val="0"/>
                <w:szCs w:val="21"/>
              </w:rPr>
              <w:t>.</w:t>
            </w:r>
            <w:r>
              <w:rPr>
                <w:rFonts w:hint="eastAsia" w:ascii="仿宋" w:hAnsi="仿宋" w:eastAsia="仿宋" w:cs="仿宋"/>
                <w:color w:val="auto"/>
                <w:kern w:val="0"/>
                <w:szCs w:val="21"/>
              </w:rPr>
              <w:t>1分，扣完为止；</w:t>
            </w:r>
          </w:p>
        </w:tc>
        <w:tc>
          <w:tcPr>
            <w:tcW w:w="1048" w:type="dxa"/>
            <w:vAlign w:val="center"/>
          </w:tcPr>
          <w:p>
            <w:pPr>
              <w:widowControl/>
              <w:spacing w:line="276" w:lineRule="auto"/>
              <w:jc w:val="center"/>
              <w:rPr>
                <w:rFonts w:ascii="仿宋" w:hAnsi="仿宋" w:eastAsia="仿宋" w:cs="仿宋"/>
                <w:color w:val="auto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Cs w:val="21"/>
              </w:rPr>
              <w:t>2</w:t>
            </w:r>
          </w:p>
        </w:tc>
        <w:tc>
          <w:tcPr>
            <w:tcW w:w="1806" w:type="dxa"/>
            <w:vMerge w:val="restart"/>
            <w:vAlign w:val="center"/>
          </w:tcPr>
          <w:p>
            <w:pPr>
              <w:widowControl/>
              <w:spacing w:line="276" w:lineRule="auto"/>
              <w:jc w:val="center"/>
              <w:rPr>
                <w:rFonts w:ascii="仿宋" w:hAnsi="仿宋" w:eastAsia="仿宋" w:cs="仿宋"/>
                <w:color w:val="auto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628" w:type="dxa"/>
            <w:vMerge w:val="continue"/>
            <w:vAlign w:val="center"/>
          </w:tcPr>
          <w:p>
            <w:pPr>
              <w:widowControl/>
              <w:spacing w:line="276" w:lineRule="auto"/>
              <w:jc w:val="left"/>
              <w:rPr>
                <w:rFonts w:ascii="仿宋" w:hAnsi="仿宋" w:eastAsia="仿宋" w:cs="仿宋"/>
                <w:color w:val="auto"/>
                <w:kern w:val="0"/>
                <w:szCs w:val="21"/>
              </w:rPr>
            </w:pPr>
          </w:p>
        </w:tc>
        <w:tc>
          <w:tcPr>
            <w:tcW w:w="792" w:type="dxa"/>
            <w:vMerge w:val="continue"/>
            <w:vAlign w:val="center"/>
          </w:tcPr>
          <w:p>
            <w:pPr>
              <w:widowControl/>
              <w:spacing w:line="276" w:lineRule="auto"/>
              <w:jc w:val="left"/>
              <w:rPr>
                <w:rFonts w:ascii="仿宋" w:hAnsi="仿宋" w:eastAsia="仿宋" w:cs="仿宋"/>
                <w:color w:val="auto"/>
                <w:kern w:val="0"/>
                <w:szCs w:val="21"/>
              </w:rPr>
            </w:pPr>
          </w:p>
        </w:tc>
        <w:tc>
          <w:tcPr>
            <w:tcW w:w="629" w:type="dxa"/>
            <w:vMerge w:val="continue"/>
            <w:vAlign w:val="center"/>
          </w:tcPr>
          <w:p>
            <w:pPr>
              <w:widowControl/>
              <w:spacing w:line="276" w:lineRule="auto"/>
              <w:jc w:val="left"/>
              <w:rPr>
                <w:rFonts w:ascii="仿宋" w:hAnsi="仿宋" w:eastAsia="仿宋" w:cs="仿宋"/>
                <w:color w:val="auto"/>
                <w:kern w:val="0"/>
                <w:szCs w:val="21"/>
              </w:rPr>
            </w:pPr>
          </w:p>
        </w:tc>
        <w:tc>
          <w:tcPr>
            <w:tcW w:w="2190" w:type="dxa"/>
            <w:vAlign w:val="center"/>
          </w:tcPr>
          <w:p>
            <w:pPr>
              <w:widowControl/>
              <w:spacing w:line="276" w:lineRule="auto"/>
              <w:rPr>
                <w:rFonts w:ascii="仿宋" w:hAnsi="仿宋" w:eastAsia="仿宋" w:cs="仿宋"/>
                <w:color w:val="auto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Cs w:val="21"/>
              </w:rPr>
              <w:t>2、喷淋系统和照明灯具能及时检修，使用正常，未发生管道漏水，灭灯等；</w:t>
            </w:r>
          </w:p>
        </w:tc>
        <w:tc>
          <w:tcPr>
            <w:tcW w:w="2179" w:type="dxa"/>
            <w:vAlign w:val="center"/>
          </w:tcPr>
          <w:p>
            <w:pPr>
              <w:widowControl/>
              <w:spacing w:line="276" w:lineRule="auto"/>
              <w:rPr>
                <w:rFonts w:ascii="仿宋" w:hAnsi="仿宋" w:eastAsia="仿宋" w:cs="仿宋"/>
                <w:color w:val="auto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Cs w:val="21"/>
              </w:rPr>
              <w:t>2、喷头、照明灯未正常喷水和发生管道漏水以及灭灯的，每处扣0</w:t>
            </w:r>
            <w:r>
              <w:rPr>
                <w:rFonts w:ascii="仿宋" w:hAnsi="仿宋" w:eastAsia="仿宋" w:cs="仿宋"/>
                <w:color w:val="auto"/>
                <w:kern w:val="0"/>
                <w:szCs w:val="21"/>
              </w:rPr>
              <w:t>.</w:t>
            </w:r>
            <w:r>
              <w:rPr>
                <w:rFonts w:hint="eastAsia" w:ascii="仿宋" w:hAnsi="仿宋" w:eastAsia="仿宋" w:cs="仿宋"/>
                <w:color w:val="auto"/>
                <w:kern w:val="0"/>
                <w:szCs w:val="21"/>
              </w:rPr>
              <w:t>1分，扣完为止；</w:t>
            </w:r>
          </w:p>
        </w:tc>
        <w:tc>
          <w:tcPr>
            <w:tcW w:w="1048" w:type="dxa"/>
            <w:vAlign w:val="center"/>
          </w:tcPr>
          <w:p>
            <w:pPr>
              <w:widowControl/>
              <w:spacing w:line="276" w:lineRule="auto"/>
              <w:jc w:val="center"/>
              <w:rPr>
                <w:rFonts w:ascii="仿宋" w:hAnsi="仿宋" w:eastAsia="仿宋" w:cs="仿宋"/>
                <w:color w:val="auto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Cs w:val="21"/>
              </w:rPr>
              <w:t>4</w:t>
            </w:r>
          </w:p>
        </w:tc>
        <w:tc>
          <w:tcPr>
            <w:tcW w:w="1806" w:type="dxa"/>
            <w:vMerge w:val="continue"/>
            <w:vAlign w:val="center"/>
          </w:tcPr>
          <w:p>
            <w:pPr>
              <w:widowControl/>
              <w:spacing w:line="276" w:lineRule="auto"/>
              <w:jc w:val="center"/>
              <w:rPr>
                <w:rFonts w:ascii="仿宋" w:hAnsi="仿宋" w:eastAsia="仿宋" w:cs="仿宋"/>
                <w:color w:val="auto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</w:trPr>
        <w:tc>
          <w:tcPr>
            <w:tcW w:w="628" w:type="dxa"/>
            <w:vMerge w:val="continue"/>
            <w:vAlign w:val="center"/>
          </w:tcPr>
          <w:p>
            <w:pPr>
              <w:widowControl/>
              <w:spacing w:line="276" w:lineRule="auto"/>
              <w:jc w:val="left"/>
              <w:rPr>
                <w:rFonts w:ascii="仿宋" w:hAnsi="仿宋" w:eastAsia="仿宋" w:cs="仿宋"/>
                <w:color w:val="auto"/>
                <w:kern w:val="0"/>
                <w:szCs w:val="21"/>
              </w:rPr>
            </w:pPr>
          </w:p>
        </w:tc>
        <w:tc>
          <w:tcPr>
            <w:tcW w:w="792" w:type="dxa"/>
            <w:vMerge w:val="continue"/>
            <w:vAlign w:val="center"/>
          </w:tcPr>
          <w:p>
            <w:pPr>
              <w:widowControl/>
              <w:spacing w:line="276" w:lineRule="auto"/>
              <w:jc w:val="left"/>
              <w:rPr>
                <w:rFonts w:ascii="仿宋" w:hAnsi="仿宋" w:eastAsia="仿宋" w:cs="仿宋"/>
                <w:color w:val="auto"/>
                <w:kern w:val="0"/>
                <w:szCs w:val="21"/>
              </w:rPr>
            </w:pPr>
          </w:p>
        </w:tc>
        <w:tc>
          <w:tcPr>
            <w:tcW w:w="629" w:type="dxa"/>
            <w:vMerge w:val="continue"/>
            <w:vAlign w:val="center"/>
          </w:tcPr>
          <w:p>
            <w:pPr>
              <w:widowControl/>
              <w:spacing w:line="276" w:lineRule="auto"/>
              <w:jc w:val="left"/>
              <w:rPr>
                <w:rFonts w:ascii="仿宋" w:hAnsi="仿宋" w:eastAsia="仿宋" w:cs="仿宋"/>
                <w:color w:val="auto"/>
                <w:kern w:val="0"/>
                <w:szCs w:val="21"/>
              </w:rPr>
            </w:pPr>
          </w:p>
        </w:tc>
        <w:tc>
          <w:tcPr>
            <w:tcW w:w="2190" w:type="dxa"/>
            <w:vAlign w:val="center"/>
          </w:tcPr>
          <w:p>
            <w:pPr>
              <w:widowControl/>
              <w:spacing w:line="276" w:lineRule="auto"/>
              <w:rPr>
                <w:rFonts w:ascii="仿宋" w:hAnsi="仿宋" w:eastAsia="仿宋" w:cs="仿宋"/>
                <w:color w:val="auto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Cs w:val="21"/>
              </w:rPr>
              <w:t>3、建筑物、设备、步道等设施定期维护，及时修理破损。</w:t>
            </w:r>
          </w:p>
        </w:tc>
        <w:tc>
          <w:tcPr>
            <w:tcW w:w="2179" w:type="dxa"/>
            <w:vAlign w:val="center"/>
          </w:tcPr>
          <w:p>
            <w:pPr>
              <w:widowControl/>
              <w:spacing w:line="276" w:lineRule="auto"/>
              <w:rPr>
                <w:rFonts w:ascii="仿宋" w:hAnsi="仿宋" w:eastAsia="仿宋" w:cs="仿宋"/>
                <w:color w:val="auto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Cs w:val="21"/>
              </w:rPr>
              <w:t>3、破损未及时修复，每处扣0</w:t>
            </w:r>
            <w:r>
              <w:rPr>
                <w:rFonts w:ascii="仿宋" w:hAnsi="仿宋" w:eastAsia="仿宋" w:cs="仿宋"/>
                <w:color w:val="auto"/>
                <w:kern w:val="0"/>
                <w:szCs w:val="21"/>
              </w:rPr>
              <w:t>.</w:t>
            </w:r>
            <w:r>
              <w:rPr>
                <w:rFonts w:hint="eastAsia" w:ascii="仿宋" w:hAnsi="仿宋" w:eastAsia="仿宋" w:cs="仿宋"/>
                <w:color w:val="auto"/>
                <w:kern w:val="0"/>
                <w:szCs w:val="21"/>
              </w:rPr>
              <w:t>1分，扣完为止；</w:t>
            </w:r>
          </w:p>
        </w:tc>
        <w:tc>
          <w:tcPr>
            <w:tcW w:w="1048" w:type="dxa"/>
            <w:vAlign w:val="center"/>
          </w:tcPr>
          <w:p>
            <w:pPr>
              <w:widowControl/>
              <w:spacing w:line="276" w:lineRule="auto"/>
              <w:jc w:val="center"/>
              <w:rPr>
                <w:rFonts w:ascii="仿宋" w:hAnsi="仿宋" w:eastAsia="仿宋" w:cs="仿宋"/>
                <w:color w:val="auto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Cs w:val="21"/>
              </w:rPr>
              <w:t>4</w:t>
            </w:r>
          </w:p>
        </w:tc>
        <w:tc>
          <w:tcPr>
            <w:tcW w:w="1806" w:type="dxa"/>
            <w:vMerge w:val="continue"/>
            <w:vAlign w:val="center"/>
          </w:tcPr>
          <w:p>
            <w:pPr>
              <w:widowControl/>
              <w:spacing w:line="276" w:lineRule="auto"/>
              <w:jc w:val="center"/>
              <w:rPr>
                <w:rFonts w:ascii="仿宋" w:hAnsi="仿宋" w:eastAsia="仿宋" w:cs="仿宋"/>
                <w:color w:val="auto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628" w:type="dxa"/>
            <w:vMerge w:val="continue"/>
            <w:vAlign w:val="center"/>
          </w:tcPr>
          <w:p>
            <w:pPr>
              <w:widowControl/>
              <w:spacing w:line="276" w:lineRule="auto"/>
              <w:jc w:val="left"/>
              <w:rPr>
                <w:rFonts w:ascii="仿宋" w:hAnsi="仿宋" w:eastAsia="仿宋" w:cs="仿宋"/>
                <w:color w:val="auto"/>
                <w:kern w:val="0"/>
                <w:szCs w:val="21"/>
              </w:rPr>
            </w:pPr>
          </w:p>
        </w:tc>
        <w:tc>
          <w:tcPr>
            <w:tcW w:w="792" w:type="dxa"/>
            <w:vMerge w:val="continue"/>
            <w:vAlign w:val="center"/>
          </w:tcPr>
          <w:p>
            <w:pPr>
              <w:widowControl/>
              <w:spacing w:line="276" w:lineRule="auto"/>
              <w:jc w:val="left"/>
              <w:rPr>
                <w:rFonts w:ascii="仿宋" w:hAnsi="仿宋" w:eastAsia="仿宋" w:cs="仿宋"/>
                <w:color w:val="auto"/>
                <w:kern w:val="0"/>
                <w:szCs w:val="21"/>
              </w:rPr>
            </w:pPr>
          </w:p>
        </w:tc>
        <w:tc>
          <w:tcPr>
            <w:tcW w:w="629" w:type="dxa"/>
            <w:vMerge w:val="continue"/>
            <w:vAlign w:val="center"/>
          </w:tcPr>
          <w:p>
            <w:pPr>
              <w:widowControl/>
              <w:spacing w:line="276" w:lineRule="auto"/>
              <w:jc w:val="left"/>
              <w:rPr>
                <w:rFonts w:ascii="仿宋" w:hAnsi="仿宋" w:eastAsia="仿宋" w:cs="仿宋"/>
                <w:color w:val="auto"/>
                <w:kern w:val="0"/>
                <w:szCs w:val="21"/>
              </w:rPr>
            </w:pPr>
          </w:p>
        </w:tc>
        <w:tc>
          <w:tcPr>
            <w:tcW w:w="2190" w:type="dxa"/>
            <w:vAlign w:val="center"/>
          </w:tcPr>
          <w:p>
            <w:pPr>
              <w:widowControl/>
              <w:spacing w:line="276" w:lineRule="auto"/>
              <w:rPr>
                <w:rFonts w:ascii="仿宋" w:hAnsi="仿宋" w:eastAsia="仿宋" w:cs="仿宋"/>
                <w:color w:val="auto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Cs w:val="21"/>
              </w:rPr>
              <w:t>4、乔木树身树干需干净整洁，无木板、铁钉、包裹物等杂物；</w:t>
            </w:r>
          </w:p>
        </w:tc>
        <w:tc>
          <w:tcPr>
            <w:tcW w:w="2179" w:type="dxa"/>
            <w:vAlign w:val="center"/>
          </w:tcPr>
          <w:p>
            <w:pPr>
              <w:widowControl/>
              <w:spacing w:line="276" w:lineRule="auto"/>
              <w:rPr>
                <w:rFonts w:ascii="仿宋" w:hAnsi="仿宋" w:eastAsia="仿宋" w:cs="仿宋"/>
                <w:color w:val="auto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Cs w:val="21"/>
              </w:rPr>
              <w:t>4、乔木树干上有杂物的，每株扣0</w:t>
            </w:r>
            <w:r>
              <w:rPr>
                <w:rFonts w:ascii="仿宋" w:hAnsi="仿宋" w:eastAsia="仿宋" w:cs="仿宋"/>
                <w:color w:val="auto"/>
                <w:kern w:val="0"/>
                <w:szCs w:val="21"/>
              </w:rPr>
              <w:t>.</w:t>
            </w:r>
            <w:r>
              <w:rPr>
                <w:rFonts w:hint="eastAsia" w:ascii="仿宋" w:hAnsi="仿宋" w:eastAsia="仿宋" w:cs="仿宋"/>
                <w:color w:val="auto"/>
                <w:kern w:val="0"/>
                <w:szCs w:val="21"/>
              </w:rPr>
              <w:t>1分，扣完为止；</w:t>
            </w:r>
          </w:p>
        </w:tc>
        <w:tc>
          <w:tcPr>
            <w:tcW w:w="1048" w:type="dxa"/>
            <w:vAlign w:val="center"/>
          </w:tcPr>
          <w:p>
            <w:pPr>
              <w:widowControl/>
              <w:spacing w:line="276" w:lineRule="auto"/>
              <w:jc w:val="center"/>
              <w:rPr>
                <w:rFonts w:ascii="仿宋" w:hAnsi="仿宋" w:eastAsia="仿宋" w:cs="仿宋"/>
                <w:color w:val="auto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Cs w:val="21"/>
              </w:rPr>
              <w:t>2</w:t>
            </w:r>
          </w:p>
        </w:tc>
        <w:tc>
          <w:tcPr>
            <w:tcW w:w="1806" w:type="dxa"/>
            <w:vMerge w:val="continue"/>
            <w:vAlign w:val="center"/>
          </w:tcPr>
          <w:p>
            <w:pPr>
              <w:widowControl/>
              <w:spacing w:line="276" w:lineRule="auto"/>
              <w:jc w:val="center"/>
              <w:rPr>
                <w:rFonts w:ascii="仿宋" w:hAnsi="仿宋" w:eastAsia="仿宋" w:cs="仿宋"/>
                <w:color w:val="auto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628" w:type="dxa"/>
            <w:vMerge w:val="restart"/>
            <w:vAlign w:val="center"/>
          </w:tcPr>
          <w:p>
            <w:pPr>
              <w:widowControl/>
              <w:spacing w:line="276" w:lineRule="auto"/>
              <w:rPr>
                <w:rFonts w:ascii="仿宋" w:hAnsi="仿宋" w:eastAsia="仿宋" w:cs="仿宋"/>
                <w:color w:val="auto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Cs w:val="21"/>
              </w:rPr>
              <w:t>绿化养护</w:t>
            </w:r>
          </w:p>
        </w:tc>
        <w:tc>
          <w:tcPr>
            <w:tcW w:w="792" w:type="dxa"/>
            <w:vMerge w:val="continue"/>
            <w:vAlign w:val="center"/>
          </w:tcPr>
          <w:p>
            <w:pPr>
              <w:widowControl/>
              <w:spacing w:line="276" w:lineRule="auto"/>
              <w:rPr>
                <w:rFonts w:ascii="仿宋" w:hAnsi="仿宋" w:eastAsia="仿宋" w:cs="仿宋"/>
                <w:color w:val="auto"/>
                <w:kern w:val="0"/>
                <w:szCs w:val="21"/>
              </w:rPr>
            </w:pPr>
          </w:p>
        </w:tc>
        <w:tc>
          <w:tcPr>
            <w:tcW w:w="629" w:type="dxa"/>
            <w:vMerge w:val="restart"/>
            <w:textDirection w:val="tbRlV"/>
            <w:vAlign w:val="center"/>
          </w:tcPr>
          <w:p>
            <w:pPr>
              <w:widowControl/>
              <w:spacing w:line="276" w:lineRule="auto"/>
              <w:jc w:val="center"/>
              <w:rPr>
                <w:rFonts w:ascii="仿宋" w:hAnsi="仿宋" w:eastAsia="仿宋" w:cs="仿宋"/>
                <w:color w:val="auto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Cs w:val="21"/>
              </w:rPr>
              <w:t>其它</w:t>
            </w:r>
          </w:p>
        </w:tc>
        <w:tc>
          <w:tcPr>
            <w:tcW w:w="2190" w:type="dxa"/>
            <w:vAlign w:val="center"/>
          </w:tcPr>
          <w:p>
            <w:pPr>
              <w:widowControl/>
              <w:spacing w:line="276" w:lineRule="auto"/>
              <w:rPr>
                <w:rFonts w:ascii="仿宋" w:hAnsi="仿宋" w:eastAsia="仿宋" w:cs="仿宋"/>
                <w:color w:val="auto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Cs w:val="21"/>
              </w:rPr>
              <w:t>1、未发现乱张贴、乱拉挂、涂鸦等现象，无垃圾和堆积物；</w:t>
            </w:r>
          </w:p>
        </w:tc>
        <w:tc>
          <w:tcPr>
            <w:tcW w:w="2179" w:type="dxa"/>
            <w:vAlign w:val="center"/>
          </w:tcPr>
          <w:p>
            <w:pPr>
              <w:widowControl/>
              <w:spacing w:line="276" w:lineRule="auto"/>
              <w:rPr>
                <w:rFonts w:ascii="仿宋" w:hAnsi="仿宋" w:eastAsia="仿宋" w:cs="仿宋"/>
                <w:color w:val="auto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Cs w:val="21"/>
              </w:rPr>
              <w:t>1、发现乱张贴、乱拉挂、涂鸦等现象或垃圾和堆积物的，每次扣0</w:t>
            </w:r>
            <w:r>
              <w:rPr>
                <w:rFonts w:ascii="仿宋" w:hAnsi="仿宋" w:eastAsia="仿宋" w:cs="仿宋"/>
                <w:color w:val="auto"/>
                <w:kern w:val="0"/>
                <w:szCs w:val="21"/>
              </w:rPr>
              <w:t>.</w:t>
            </w:r>
            <w:r>
              <w:rPr>
                <w:rFonts w:hint="eastAsia" w:ascii="仿宋" w:hAnsi="仿宋" w:eastAsia="仿宋" w:cs="仿宋"/>
                <w:color w:val="auto"/>
                <w:kern w:val="0"/>
                <w:szCs w:val="21"/>
              </w:rPr>
              <w:t>1分；</w:t>
            </w:r>
          </w:p>
        </w:tc>
        <w:tc>
          <w:tcPr>
            <w:tcW w:w="1048" w:type="dxa"/>
            <w:vAlign w:val="center"/>
          </w:tcPr>
          <w:p>
            <w:pPr>
              <w:widowControl/>
              <w:spacing w:line="276" w:lineRule="auto"/>
              <w:jc w:val="center"/>
              <w:rPr>
                <w:rFonts w:ascii="仿宋" w:hAnsi="仿宋" w:eastAsia="仿宋" w:cs="仿宋"/>
                <w:color w:val="auto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Cs w:val="21"/>
              </w:rPr>
              <w:t>2</w:t>
            </w:r>
          </w:p>
        </w:tc>
        <w:tc>
          <w:tcPr>
            <w:tcW w:w="1806" w:type="dxa"/>
            <w:vMerge w:val="restart"/>
            <w:vAlign w:val="center"/>
          </w:tcPr>
          <w:p>
            <w:pPr>
              <w:widowControl/>
              <w:spacing w:line="276" w:lineRule="auto"/>
              <w:jc w:val="center"/>
              <w:rPr>
                <w:rFonts w:ascii="仿宋" w:hAnsi="仿宋" w:eastAsia="仿宋" w:cs="仿宋"/>
                <w:color w:val="auto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628" w:type="dxa"/>
            <w:vMerge w:val="continue"/>
            <w:vAlign w:val="center"/>
          </w:tcPr>
          <w:p>
            <w:pPr>
              <w:widowControl/>
              <w:spacing w:line="276" w:lineRule="auto"/>
              <w:jc w:val="left"/>
              <w:rPr>
                <w:rFonts w:ascii="仿宋" w:hAnsi="仿宋" w:eastAsia="仿宋" w:cs="仿宋"/>
                <w:color w:val="auto"/>
                <w:kern w:val="0"/>
                <w:szCs w:val="21"/>
              </w:rPr>
            </w:pPr>
          </w:p>
        </w:tc>
        <w:tc>
          <w:tcPr>
            <w:tcW w:w="792" w:type="dxa"/>
            <w:vMerge w:val="continue"/>
            <w:vAlign w:val="center"/>
          </w:tcPr>
          <w:p>
            <w:pPr>
              <w:widowControl/>
              <w:spacing w:line="276" w:lineRule="auto"/>
              <w:jc w:val="left"/>
              <w:rPr>
                <w:rFonts w:ascii="仿宋" w:hAnsi="仿宋" w:eastAsia="仿宋" w:cs="仿宋"/>
                <w:color w:val="auto"/>
                <w:kern w:val="0"/>
                <w:szCs w:val="21"/>
              </w:rPr>
            </w:pPr>
          </w:p>
        </w:tc>
        <w:tc>
          <w:tcPr>
            <w:tcW w:w="629" w:type="dxa"/>
            <w:vMerge w:val="continue"/>
            <w:vAlign w:val="center"/>
          </w:tcPr>
          <w:p>
            <w:pPr>
              <w:widowControl/>
              <w:spacing w:line="276" w:lineRule="auto"/>
              <w:jc w:val="left"/>
              <w:rPr>
                <w:rFonts w:ascii="仿宋" w:hAnsi="仿宋" w:eastAsia="仿宋" w:cs="仿宋"/>
                <w:color w:val="auto"/>
                <w:kern w:val="0"/>
                <w:szCs w:val="21"/>
              </w:rPr>
            </w:pPr>
          </w:p>
        </w:tc>
        <w:tc>
          <w:tcPr>
            <w:tcW w:w="2190" w:type="dxa"/>
            <w:vAlign w:val="center"/>
          </w:tcPr>
          <w:p>
            <w:pPr>
              <w:widowControl/>
              <w:spacing w:line="276" w:lineRule="auto"/>
              <w:rPr>
                <w:rFonts w:ascii="仿宋" w:hAnsi="仿宋" w:eastAsia="仿宋" w:cs="仿宋"/>
                <w:color w:val="auto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Cs w:val="21"/>
              </w:rPr>
              <w:t>2、突击性的检查任务，能按时、按标准、按要求完成所分配的工作</w:t>
            </w:r>
          </w:p>
        </w:tc>
        <w:tc>
          <w:tcPr>
            <w:tcW w:w="2179" w:type="dxa"/>
            <w:vAlign w:val="center"/>
          </w:tcPr>
          <w:p>
            <w:pPr>
              <w:widowControl/>
              <w:spacing w:line="276" w:lineRule="auto"/>
              <w:rPr>
                <w:rFonts w:ascii="仿宋" w:hAnsi="仿宋" w:eastAsia="仿宋" w:cs="仿宋"/>
                <w:color w:val="auto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Cs w:val="21"/>
              </w:rPr>
              <w:t>2、未按时按要求完成的，每次扣0</w:t>
            </w:r>
            <w:r>
              <w:rPr>
                <w:rFonts w:ascii="仿宋" w:hAnsi="仿宋" w:eastAsia="仿宋" w:cs="仿宋"/>
                <w:color w:val="auto"/>
                <w:kern w:val="0"/>
                <w:szCs w:val="21"/>
              </w:rPr>
              <w:t>.2</w:t>
            </w:r>
            <w:r>
              <w:rPr>
                <w:rFonts w:hint="eastAsia" w:ascii="仿宋" w:hAnsi="仿宋" w:eastAsia="仿宋" w:cs="仿宋"/>
                <w:color w:val="auto"/>
                <w:kern w:val="0"/>
                <w:szCs w:val="21"/>
              </w:rPr>
              <w:t>分；</w:t>
            </w:r>
          </w:p>
        </w:tc>
        <w:tc>
          <w:tcPr>
            <w:tcW w:w="1048" w:type="dxa"/>
            <w:vAlign w:val="center"/>
          </w:tcPr>
          <w:p>
            <w:pPr>
              <w:widowControl/>
              <w:spacing w:line="276" w:lineRule="auto"/>
              <w:jc w:val="center"/>
              <w:rPr>
                <w:rFonts w:ascii="仿宋" w:hAnsi="仿宋" w:eastAsia="仿宋" w:cs="仿宋"/>
                <w:color w:val="auto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Cs w:val="21"/>
              </w:rPr>
              <w:t>2</w:t>
            </w:r>
          </w:p>
        </w:tc>
        <w:tc>
          <w:tcPr>
            <w:tcW w:w="1806" w:type="dxa"/>
            <w:vMerge w:val="continue"/>
            <w:vAlign w:val="center"/>
          </w:tcPr>
          <w:p>
            <w:pPr>
              <w:widowControl/>
              <w:spacing w:line="276" w:lineRule="auto"/>
              <w:jc w:val="center"/>
              <w:rPr>
                <w:rFonts w:ascii="仿宋" w:hAnsi="仿宋" w:eastAsia="仿宋" w:cs="仿宋"/>
                <w:color w:val="auto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628" w:type="dxa"/>
            <w:vMerge w:val="continue"/>
            <w:vAlign w:val="center"/>
          </w:tcPr>
          <w:p>
            <w:pPr>
              <w:widowControl/>
              <w:spacing w:line="276" w:lineRule="auto"/>
              <w:jc w:val="left"/>
              <w:rPr>
                <w:rFonts w:ascii="仿宋" w:hAnsi="仿宋" w:eastAsia="仿宋" w:cs="仿宋"/>
                <w:color w:val="auto"/>
                <w:kern w:val="0"/>
                <w:szCs w:val="21"/>
              </w:rPr>
            </w:pPr>
          </w:p>
        </w:tc>
        <w:tc>
          <w:tcPr>
            <w:tcW w:w="792" w:type="dxa"/>
            <w:vMerge w:val="continue"/>
            <w:vAlign w:val="center"/>
          </w:tcPr>
          <w:p>
            <w:pPr>
              <w:widowControl/>
              <w:spacing w:line="276" w:lineRule="auto"/>
              <w:jc w:val="left"/>
              <w:rPr>
                <w:rFonts w:ascii="仿宋" w:hAnsi="仿宋" w:eastAsia="仿宋" w:cs="仿宋"/>
                <w:color w:val="auto"/>
                <w:kern w:val="0"/>
                <w:szCs w:val="21"/>
              </w:rPr>
            </w:pPr>
          </w:p>
        </w:tc>
        <w:tc>
          <w:tcPr>
            <w:tcW w:w="629" w:type="dxa"/>
            <w:vMerge w:val="continue"/>
            <w:vAlign w:val="center"/>
          </w:tcPr>
          <w:p>
            <w:pPr>
              <w:widowControl/>
              <w:spacing w:line="276" w:lineRule="auto"/>
              <w:jc w:val="left"/>
              <w:rPr>
                <w:rFonts w:ascii="仿宋" w:hAnsi="仿宋" w:eastAsia="仿宋" w:cs="仿宋"/>
                <w:color w:val="auto"/>
                <w:kern w:val="0"/>
                <w:szCs w:val="21"/>
              </w:rPr>
            </w:pPr>
          </w:p>
        </w:tc>
        <w:tc>
          <w:tcPr>
            <w:tcW w:w="2190" w:type="dxa"/>
            <w:vAlign w:val="center"/>
          </w:tcPr>
          <w:p>
            <w:pPr>
              <w:widowControl/>
              <w:spacing w:line="276" w:lineRule="auto"/>
              <w:rPr>
                <w:rFonts w:ascii="仿宋" w:hAnsi="仿宋" w:eastAsia="仿宋" w:cs="仿宋"/>
                <w:color w:val="auto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Cs w:val="21"/>
              </w:rPr>
              <w:t>3、每月召开安全生产及文明施工会议并做好文字及相片记录；</w:t>
            </w:r>
          </w:p>
        </w:tc>
        <w:tc>
          <w:tcPr>
            <w:tcW w:w="2179" w:type="dxa"/>
            <w:vAlign w:val="center"/>
          </w:tcPr>
          <w:p>
            <w:pPr>
              <w:widowControl/>
              <w:spacing w:line="276" w:lineRule="auto"/>
              <w:rPr>
                <w:rFonts w:ascii="仿宋" w:hAnsi="仿宋" w:eastAsia="仿宋" w:cs="仿宋"/>
                <w:color w:val="auto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Cs w:val="21"/>
              </w:rPr>
              <w:t>3、未达到要求的，每项每处扣1分，扣完为止；</w:t>
            </w:r>
          </w:p>
        </w:tc>
        <w:tc>
          <w:tcPr>
            <w:tcW w:w="1048" w:type="dxa"/>
            <w:vAlign w:val="center"/>
          </w:tcPr>
          <w:p>
            <w:pPr>
              <w:widowControl/>
              <w:spacing w:line="276" w:lineRule="auto"/>
              <w:jc w:val="center"/>
              <w:rPr>
                <w:rFonts w:ascii="仿宋" w:hAnsi="仿宋" w:eastAsia="仿宋" w:cs="仿宋"/>
                <w:color w:val="auto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Cs w:val="21"/>
              </w:rPr>
              <w:t>2</w:t>
            </w:r>
          </w:p>
        </w:tc>
        <w:tc>
          <w:tcPr>
            <w:tcW w:w="1806" w:type="dxa"/>
            <w:vMerge w:val="continue"/>
            <w:vAlign w:val="center"/>
          </w:tcPr>
          <w:p>
            <w:pPr>
              <w:widowControl/>
              <w:spacing w:line="276" w:lineRule="auto"/>
              <w:jc w:val="center"/>
              <w:rPr>
                <w:rFonts w:ascii="仿宋" w:hAnsi="仿宋" w:eastAsia="仿宋" w:cs="仿宋"/>
                <w:color w:val="auto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5" w:hRule="atLeast"/>
        </w:trPr>
        <w:tc>
          <w:tcPr>
            <w:tcW w:w="628" w:type="dxa"/>
            <w:vMerge w:val="continue"/>
            <w:vAlign w:val="center"/>
          </w:tcPr>
          <w:p>
            <w:pPr>
              <w:widowControl/>
              <w:spacing w:line="276" w:lineRule="auto"/>
              <w:jc w:val="left"/>
              <w:rPr>
                <w:rFonts w:ascii="仿宋" w:hAnsi="仿宋" w:eastAsia="仿宋" w:cs="仿宋"/>
                <w:color w:val="auto"/>
                <w:kern w:val="0"/>
                <w:szCs w:val="21"/>
              </w:rPr>
            </w:pPr>
          </w:p>
        </w:tc>
        <w:tc>
          <w:tcPr>
            <w:tcW w:w="792" w:type="dxa"/>
            <w:vMerge w:val="continue"/>
            <w:vAlign w:val="center"/>
          </w:tcPr>
          <w:p>
            <w:pPr>
              <w:widowControl/>
              <w:spacing w:line="276" w:lineRule="auto"/>
              <w:jc w:val="left"/>
              <w:rPr>
                <w:rFonts w:ascii="仿宋" w:hAnsi="仿宋" w:eastAsia="仿宋" w:cs="仿宋"/>
                <w:color w:val="auto"/>
                <w:kern w:val="0"/>
                <w:szCs w:val="21"/>
              </w:rPr>
            </w:pPr>
          </w:p>
        </w:tc>
        <w:tc>
          <w:tcPr>
            <w:tcW w:w="629" w:type="dxa"/>
            <w:vMerge w:val="continue"/>
            <w:vAlign w:val="center"/>
          </w:tcPr>
          <w:p>
            <w:pPr>
              <w:widowControl/>
              <w:spacing w:line="276" w:lineRule="auto"/>
              <w:jc w:val="left"/>
              <w:rPr>
                <w:rFonts w:ascii="仿宋" w:hAnsi="仿宋" w:eastAsia="仿宋" w:cs="仿宋"/>
                <w:color w:val="auto"/>
                <w:kern w:val="0"/>
                <w:szCs w:val="21"/>
              </w:rPr>
            </w:pPr>
          </w:p>
        </w:tc>
        <w:tc>
          <w:tcPr>
            <w:tcW w:w="2190" w:type="dxa"/>
            <w:vAlign w:val="center"/>
          </w:tcPr>
          <w:p>
            <w:pPr>
              <w:widowControl/>
              <w:spacing w:line="276" w:lineRule="auto"/>
              <w:rPr>
                <w:rFonts w:ascii="仿宋" w:hAnsi="仿宋" w:eastAsia="仿宋" w:cs="仿宋"/>
                <w:color w:val="auto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Cs w:val="21"/>
              </w:rPr>
              <w:t>4、工作人员要穿着工装制服，作业时及往返途中要佩戴工牌；工作人员与路人接触或交流要举止文明、礼貌；与作业无关的工具不得进入养护工地，而有关的工具，如单车、箩筐、雨衣等属较大物件的，在工地放置时必须隐蔽，不得过于暴露，妨碍景观；</w:t>
            </w:r>
          </w:p>
        </w:tc>
        <w:tc>
          <w:tcPr>
            <w:tcW w:w="2179" w:type="dxa"/>
            <w:vAlign w:val="center"/>
          </w:tcPr>
          <w:p>
            <w:pPr>
              <w:widowControl/>
              <w:spacing w:line="276" w:lineRule="auto"/>
              <w:rPr>
                <w:rFonts w:ascii="仿宋" w:hAnsi="仿宋" w:eastAsia="仿宋" w:cs="仿宋"/>
                <w:color w:val="auto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Cs w:val="21"/>
              </w:rPr>
              <w:t>4、未达到要求的，每项每处扣</w:t>
            </w:r>
            <w:r>
              <w:rPr>
                <w:rFonts w:ascii="仿宋" w:hAnsi="仿宋" w:eastAsia="仿宋" w:cs="仿宋"/>
                <w:color w:val="auto"/>
                <w:kern w:val="0"/>
                <w:szCs w:val="21"/>
              </w:rPr>
              <w:t>0.2</w:t>
            </w:r>
            <w:r>
              <w:rPr>
                <w:rFonts w:hint="eastAsia" w:ascii="仿宋" w:hAnsi="仿宋" w:eastAsia="仿宋" w:cs="仿宋"/>
                <w:color w:val="auto"/>
                <w:kern w:val="0"/>
                <w:szCs w:val="21"/>
              </w:rPr>
              <w:t>分，扣完为止；</w:t>
            </w:r>
          </w:p>
        </w:tc>
        <w:tc>
          <w:tcPr>
            <w:tcW w:w="1048" w:type="dxa"/>
            <w:vAlign w:val="center"/>
          </w:tcPr>
          <w:p>
            <w:pPr>
              <w:widowControl/>
              <w:spacing w:line="276" w:lineRule="auto"/>
              <w:jc w:val="center"/>
              <w:rPr>
                <w:rFonts w:ascii="仿宋" w:hAnsi="仿宋" w:eastAsia="仿宋" w:cs="仿宋"/>
                <w:color w:val="auto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Cs w:val="21"/>
              </w:rPr>
              <w:t>2</w:t>
            </w:r>
          </w:p>
        </w:tc>
        <w:tc>
          <w:tcPr>
            <w:tcW w:w="1806" w:type="dxa"/>
            <w:vMerge w:val="continue"/>
            <w:vAlign w:val="center"/>
          </w:tcPr>
          <w:p>
            <w:pPr>
              <w:widowControl/>
              <w:spacing w:line="276" w:lineRule="auto"/>
              <w:jc w:val="center"/>
              <w:rPr>
                <w:rFonts w:ascii="仿宋" w:hAnsi="仿宋" w:eastAsia="仿宋" w:cs="仿宋"/>
                <w:color w:val="auto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28" w:type="dxa"/>
            <w:vMerge w:val="continue"/>
            <w:vAlign w:val="center"/>
          </w:tcPr>
          <w:p>
            <w:pPr>
              <w:widowControl/>
              <w:spacing w:line="276" w:lineRule="auto"/>
              <w:jc w:val="left"/>
              <w:rPr>
                <w:rFonts w:ascii="仿宋" w:hAnsi="仿宋" w:eastAsia="仿宋" w:cs="仿宋"/>
                <w:color w:val="auto"/>
                <w:kern w:val="0"/>
                <w:szCs w:val="21"/>
              </w:rPr>
            </w:pPr>
          </w:p>
        </w:tc>
        <w:tc>
          <w:tcPr>
            <w:tcW w:w="792" w:type="dxa"/>
            <w:vMerge w:val="continue"/>
            <w:vAlign w:val="center"/>
          </w:tcPr>
          <w:p>
            <w:pPr>
              <w:widowControl/>
              <w:spacing w:line="276" w:lineRule="auto"/>
              <w:jc w:val="left"/>
              <w:rPr>
                <w:rFonts w:ascii="仿宋" w:hAnsi="仿宋" w:eastAsia="仿宋" w:cs="仿宋"/>
                <w:color w:val="auto"/>
                <w:kern w:val="0"/>
                <w:szCs w:val="21"/>
              </w:rPr>
            </w:pPr>
          </w:p>
        </w:tc>
        <w:tc>
          <w:tcPr>
            <w:tcW w:w="629" w:type="dxa"/>
            <w:vMerge w:val="continue"/>
            <w:vAlign w:val="center"/>
          </w:tcPr>
          <w:p>
            <w:pPr>
              <w:widowControl/>
              <w:spacing w:line="276" w:lineRule="auto"/>
              <w:jc w:val="left"/>
              <w:rPr>
                <w:rFonts w:ascii="仿宋" w:hAnsi="仿宋" w:eastAsia="仿宋" w:cs="仿宋"/>
                <w:color w:val="auto"/>
                <w:kern w:val="0"/>
                <w:szCs w:val="21"/>
              </w:rPr>
            </w:pPr>
          </w:p>
        </w:tc>
        <w:tc>
          <w:tcPr>
            <w:tcW w:w="2190" w:type="dxa"/>
            <w:vAlign w:val="center"/>
          </w:tcPr>
          <w:p>
            <w:pPr>
              <w:widowControl/>
              <w:spacing w:line="276" w:lineRule="auto"/>
              <w:rPr>
                <w:rFonts w:ascii="仿宋" w:hAnsi="仿宋" w:eastAsia="仿宋" w:cs="仿宋"/>
                <w:color w:val="auto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Cs w:val="21"/>
              </w:rPr>
              <w:t>5、档案资料</w:t>
            </w:r>
          </w:p>
        </w:tc>
        <w:tc>
          <w:tcPr>
            <w:tcW w:w="2179" w:type="dxa"/>
            <w:vAlign w:val="center"/>
          </w:tcPr>
          <w:p>
            <w:pPr>
              <w:widowControl/>
              <w:spacing w:line="276" w:lineRule="auto"/>
              <w:rPr>
                <w:rFonts w:ascii="仿宋" w:hAnsi="仿宋" w:eastAsia="仿宋" w:cs="仿宋"/>
                <w:color w:val="auto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Cs w:val="21"/>
              </w:rPr>
              <w:t>5、养护记录齐全完整，每缺一项扣0.5分；</w:t>
            </w:r>
          </w:p>
        </w:tc>
        <w:tc>
          <w:tcPr>
            <w:tcW w:w="1048" w:type="dxa"/>
            <w:vAlign w:val="center"/>
          </w:tcPr>
          <w:p>
            <w:pPr>
              <w:widowControl/>
              <w:spacing w:line="276" w:lineRule="auto"/>
              <w:jc w:val="center"/>
              <w:rPr>
                <w:rFonts w:ascii="仿宋" w:hAnsi="仿宋" w:eastAsia="仿宋" w:cs="仿宋"/>
                <w:color w:val="auto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Cs w:val="21"/>
              </w:rPr>
              <w:t>2</w:t>
            </w:r>
          </w:p>
        </w:tc>
        <w:tc>
          <w:tcPr>
            <w:tcW w:w="1806" w:type="dxa"/>
            <w:vMerge w:val="continue"/>
            <w:vAlign w:val="center"/>
          </w:tcPr>
          <w:p>
            <w:pPr>
              <w:widowControl/>
              <w:spacing w:line="276" w:lineRule="auto"/>
              <w:jc w:val="center"/>
              <w:rPr>
                <w:rFonts w:ascii="仿宋" w:hAnsi="仿宋" w:eastAsia="仿宋" w:cs="仿宋"/>
                <w:color w:val="auto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</w:trPr>
        <w:tc>
          <w:tcPr>
            <w:tcW w:w="628" w:type="dxa"/>
            <w:vMerge w:val="continue"/>
            <w:vAlign w:val="center"/>
          </w:tcPr>
          <w:p>
            <w:pPr>
              <w:widowControl/>
              <w:spacing w:line="276" w:lineRule="auto"/>
              <w:jc w:val="left"/>
              <w:rPr>
                <w:rFonts w:ascii="仿宋" w:hAnsi="仿宋" w:eastAsia="仿宋" w:cs="仿宋"/>
                <w:color w:val="auto"/>
                <w:kern w:val="0"/>
                <w:szCs w:val="21"/>
              </w:rPr>
            </w:pPr>
          </w:p>
        </w:tc>
        <w:tc>
          <w:tcPr>
            <w:tcW w:w="792" w:type="dxa"/>
            <w:vMerge w:val="continue"/>
            <w:vAlign w:val="center"/>
          </w:tcPr>
          <w:p>
            <w:pPr>
              <w:widowControl/>
              <w:spacing w:line="276" w:lineRule="auto"/>
              <w:jc w:val="left"/>
              <w:rPr>
                <w:rFonts w:ascii="仿宋" w:hAnsi="仿宋" w:eastAsia="仿宋" w:cs="仿宋"/>
                <w:color w:val="auto"/>
                <w:kern w:val="0"/>
                <w:szCs w:val="21"/>
              </w:rPr>
            </w:pPr>
          </w:p>
        </w:tc>
        <w:tc>
          <w:tcPr>
            <w:tcW w:w="629" w:type="dxa"/>
            <w:vMerge w:val="continue"/>
            <w:vAlign w:val="center"/>
          </w:tcPr>
          <w:p>
            <w:pPr>
              <w:widowControl/>
              <w:spacing w:line="276" w:lineRule="auto"/>
              <w:jc w:val="left"/>
              <w:rPr>
                <w:rFonts w:ascii="仿宋" w:hAnsi="仿宋" w:eastAsia="仿宋" w:cs="仿宋"/>
                <w:color w:val="auto"/>
                <w:kern w:val="0"/>
                <w:szCs w:val="21"/>
              </w:rPr>
            </w:pPr>
          </w:p>
        </w:tc>
        <w:tc>
          <w:tcPr>
            <w:tcW w:w="2190" w:type="dxa"/>
            <w:vAlign w:val="center"/>
          </w:tcPr>
          <w:p>
            <w:pPr>
              <w:widowControl/>
              <w:spacing w:line="276" w:lineRule="auto"/>
              <w:rPr>
                <w:rFonts w:ascii="仿宋" w:hAnsi="仿宋" w:eastAsia="仿宋" w:cs="仿宋"/>
                <w:color w:val="auto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Cs w:val="21"/>
              </w:rPr>
              <w:t>6、工作到位，没被通报批评；</w:t>
            </w:r>
          </w:p>
        </w:tc>
        <w:tc>
          <w:tcPr>
            <w:tcW w:w="2179" w:type="dxa"/>
            <w:vAlign w:val="center"/>
          </w:tcPr>
          <w:p>
            <w:pPr>
              <w:widowControl/>
              <w:spacing w:line="276" w:lineRule="auto"/>
              <w:rPr>
                <w:rFonts w:ascii="仿宋" w:hAnsi="仿宋" w:eastAsia="仿宋" w:cs="仿宋"/>
                <w:color w:val="auto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Cs w:val="21"/>
              </w:rPr>
              <w:t>6、被批评通报，情况属实的，每次扣</w:t>
            </w:r>
            <w:r>
              <w:rPr>
                <w:rFonts w:ascii="仿宋" w:hAnsi="仿宋" w:eastAsia="仿宋" w:cs="仿宋"/>
                <w:color w:val="auto"/>
                <w:kern w:val="0"/>
                <w:szCs w:val="21"/>
              </w:rPr>
              <w:t>2</w:t>
            </w:r>
            <w:r>
              <w:rPr>
                <w:rFonts w:hint="eastAsia" w:ascii="仿宋" w:hAnsi="仿宋" w:eastAsia="仿宋" w:cs="仿宋"/>
                <w:color w:val="auto"/>
                <w:kern w:val="0"/>
                <w:szCs w:val="21"/>
              </w:rPr>
              <w:t>分；</w:t>
            </w:r>
          </w:p>
        </w:tc>
        <w:tc>
          <w:tcPr>
            <w:tcW w:w="1048" w:type="dxa"/>
            <w:vAlign w:val="center"/>
          </w:tcPr>
          <w:p>
            <w:pPr>
              <w:widowControl/>
              <w:spacing w:line="276" w:lineRule="auto"/>
              <w:jc w:val="center"/>
              <w:rPr>
                <w:rFonts w:ascii="仿宋" w:hAnsi="仿宋" w:eastAsia="仿宋" w:cs="仿宋"/>
                <w:color w:val="auto"/>
                <w:kern w:val="0"/>
                <w:szCs w:val="21"/>
              </w:rPr>
            </w:pPr>
          </w:p>
        </w:tc>
        <w:tc>
          <w:tcPr>
            <w:tcW w:w="1806" w:type="dxa"/>
            <w:vMerge w:val="continue"/>
            <w:vAlign w:val="center"/>
          </w:tcPr>
          <w:p>
            <w:pPr>
              <w:widowControl/>
              <w:spacing w:line="276" w:lineRule="auto"/>
              <w:jc w:val="center"/>
              <w:rPr>
                <w:rFonts w:ascii="仿宋" w:hAnsi="仿宋" w:eastAsia="仿宋" w:cs="仿宋"/>
                <w:color w:val="auto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</w:trPr>
        <w:tc>
          <w:tcPr>
            <w:tcW w:w="628" w:type="dxa"/>
            <w:vMerge w:val="continue"/>
            <w:vAlign w:val="center"/>
          </w:tcPr>
          <w:p>
            <w:pPr>
              <w:widowControl/>
              <w:spacing w:line="276" w:lineRule="auto"/>
              <w:jc w:val="left"/>
              <w:rPr>
                <w:rFonts w:ascii="仿宋" w:hAnsi="仿宋" w:eastAsia="仿宋" w:cs="仿宋"/>
                <w:color w:val="auto"/>
                <w:kern w:val="0"/>
                <w:szCs w:val="21"/>
              </w:rPr>
            </w:pPr>
          </w:p>
        </w:tc>
        <w:tc>
          <w:tcPr>
            <w:tcW w:w="792" w:type="dxa"/>
            <w:vMerge w:val="continue"/>
            <w:vAlign w:val="center"/>
          </w:tcPr>
          <w:p>
            <w:pPr>
              <w:widowControl/>
              <w:spacing w:line="276" w:lineRule="auto"/>
              <w:jc w:val="left"/>
              <w:rPr>
                <w:rFonts w:ascii="仿宋" w:hAnsi="仿宋" w:eastAsia="仿宋" w:cs="仿宋"/>
                <w:color w:val="auto"/>
                <w:kern w:val="0"/>
                <w:szCs w:val="21"/>
              </w:rPr>
            </w:pPr>
          </w:p>
        </w:tc>
        <w:tc>
          <w:tcPr>
            <w:tcW w:w="629" w:type="dxa"/>
            <w:vMerge w:val="continue"/>
            <w:vAlign w:val="center"/>
          </w:tcPr>
          <w:p>
            <w:pPr>
              <w:widowControl/>
              <w:spacing w:line="276" w:lineRule="auto"/>
              <w:jc w:val="left"/>
              <w:rPr>
                <w:rFonts w:ascii="仿宋" w:hAnsi="仿宋" w:eastAsia="仿宋" w:cs="仿宋"/>
                <w:color w:val="auto"/>
                <w:kern w:val="0"/>
                <w:szCs w:val="21"/>
              </w:rPr>
            </w:pPr>
          </w:p>
        </w:tc>
        <w:tc>
          <w:tcPr>
            <w:tcW w:w="2190" w:type="dxa"/>
            <w:vAlign w:val="center"/>
          </w:tcPr>
          <w:p>
            <w:pPr>
              <w:widowControl/>
              <w:spacing w:line="276" w:lineRule="auto"/>
              <w:rPr>
                <w:rFonts w:ascii="仿宋" w:hAnsi="仿宋" w:eastAsia="仿宋" w:cs="仿宋"/>
                <w:color w:val="auto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Cs w:val="21"/>
              </w:rPr>
              <w:t>7、工作到位，未被市民投诉或媒体曝光；</w:t>
            </w:r>
          </w:p>
        </w:tc>
        <w:tc>
          <w:tcPr>
            <w:tcW w:w="2179" w:type="dxa"/>
            <w:vAlign w:val="center"/>
          </w:tcPr>
          <w:p>
            <w:pPr>
              <w:widowControl/>
              <w:spacing w:line="276" w:lineRule="auto"/>
              <w:rPr>
                <w:rFonts w:ascii="仿宋" w:hAnsi="仿宋" w:eastAsia="仿宋" w:cs="仿宋"/>
                <w:color w:val="auto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Cs w:val="21"/>
              </w:rPr>
              <w:t>7、被投诉，情况属实的，每次扣</w:t>
            </w:r>
            <w:r>
              <w:rPr>
                <w:rFonts w:ascii="仿宋" w:hAnsi="仿宋" w:eastAsia="仿宋" w:cs="仿宋"/>
                <w:color w:val="auto"/>
                <w:kern w:val="0"/>
                <w:szCs w:val="21"/>
              </w:rPr>
              <w:t>2</w:t>
            </w:r>
            <w:r>
              <w:rPr>
                <w:rFonts w:hint="eastAsia" w:ascii="仿宋" w:hAnsi="仿宋" w:eastAsia="仿宋" w:cs="仿宋"/>
                <w:color w:val="auto"/>
                <w:kern w:val="0"/>
                <w:szCs w:val="21"/>
              </w:rPr>
              <w:t>分；</w:t>
            </w:r>
          </w:p>
        </w:tc>
        <w:tc>
          <w:tcPr>
            <w:tcW w:w="1048" w:type="dxa"/>
            <w:vAlign w:val="center"/>
          </w:tcPr>
          <w:p>
            <w:pPr>
              <w:widowControl/>
              <w:spacing w:line="276" w:lineRule="auto"/>
              <w:jc w:val="center"/>
              <w:rPr>
                <w:rFonts w:ascii="仿宋" w:hAnsi="仿宋" w:eastAsia="仿宋" w:cs="仿宋"/>
                <w:color w:val="auto"/>
                <w:kern w:val="0"/>
                <w:szCs w:val="21"/>
              </w:rPr>
            </w:pPr>
          </w:p>
        </w:tc>
        <w:tc>
          <w:tcPr>
            <w:tcW w:w="1806" w:type="dxa"/>
            <w:vMerge w:val="continue"/>
            <w:vAlign w:val="center"/>
          </w:tcPr>
          <w:p>
            <w:pPr>
              <w:widowControl/>
              <w:spacing w:line="276" w:lineRule="auto"/>
              <w:jc w:val="center"/>
              <w:rPr>
                <w:rFonts w:ascii="仿宋" w:hAnsi="仿宋" w:eastAsia="仿宋" w:cs="仿宋"/>
                <w:color w:val="auto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</w:trPr>
        <w:tc>
          <w:tcPr>
            <w:tcW w:w="628" w:type="dxa"/>
            <w:vMerge w:val="continue"/>
            <w:vAlign w:val="center"/>
          </w:tcPr>
          <w:p>
            <w:pPr>
              <w:widowControl/>
              <w:spacing w:line="276" w:lineRule="auto"/>
              <w:jc w:val="left"/>
              <w:rPr>
                <w:rFonts w:ascii="仿宋" w:hAnsi="仿宋" w:eastAsia="仿宋" w:cs="仿宋"/>
                <w:color w:val="auto"/>
                <w:kern w:val="0"/>
                <w:szCs w:val="21"/>
              </w:rPr>
            </w:pPr>
          </w:p>
        </w:tc>
        <w:tc>
          <w:tcPr>
            <w:tcW w:w="792" w:type="dxa"/>
            <w:vMerge w:val="continue"/>
            <w:vAlign w:val="center"/>
          </w:tcPr>
          <w:p>
            <w:pPr>
              <w:widowControl/>
              <w:spacing w:line="276" w:lineRule="auto"/>
              <w:jc w:val="left"/>
              <w:rPr>
                <w:rFonts w:ascii="仿宋" w:hAnsi="仿宋" w:eastAsia="仿宋" w:cs="仿宋"/>
                <w:color w:val="auto"/>
                <w:kern w:val="0"/>
                <w:szCs w:val="21"/>
              </w:rPr>
            </w:pPr>
          </w:p>
        </w:tc>
        <w:tc>
          <w:tcPr>
            <w:tcW w:w="629" w:type="dxa"/>
            <w:vMerge w:val="continue"/>
            <w:vAlign w:val="center"/>
          </w:tcPr>
          <w:p>
            <w:pPr>
              <w:widowControl/>
              <w:spacing w:line="276" w:lineRule="auto"/>
              <w:jc w:val="left"/>
              <w:rPr>
                <w:rFonts w:ascii="仿宋" w:hAnsi="仿宋" w:eastAsia="仿宋" w:cs="仿宋"/>
                <w:color w:val="auto"/>
                <w:kern w:val="0"/>
                <w:szCs w:val="21"/>
              </w:rPr>
            </w:pPr>
          </w:p>
        </w:tc>
        <w:tc>
          <w:tcPr>
            <w:tcW w:w="2190" w:type="dxa"/>
            <w:vAlign w:val="center"/>
          </w:tcPr>
          <w:p>
            <w:pPr>
              <w:widowControl/>
              <w:spacing w:line="276" w:lineRule="auto"/>
              <w:rPr>
                <w:rFonts w:ascii="仿宋" w:hAnsi="仿宋" w:eastAsia="仿宋" w:cs="仿宋"/>
                <w:color w:val="auto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Cs w:val="21"/>
              </w:rPr>
              <w:t>8、每逢节假日，如春节、元旦、五一、国庆节等或某些特别日子，能按上级要求做好相关养护管理工作；</w:t>
            </w:r>
          </w:p>
        </w:tc>
        <w:tc>
          <w:tcPr>
            <w:tcW w:w="2179" w:type="dxa"/>
            <w:vAlign w:val="center"/>
          </w:tcPr>
          <w:p>
            <w:pPr>
              <w:widowControl/>
              <w:spacing w:line="276" w:lineRule="auto"/>
              <w:rPr>
                <w:rFonts w:ascii="仿宋" w:hAnsi="仿宋" w:eastAsia="仿宋" w:cs="仿宋"/>
                <w:color w:val="auto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Cs w:val="21"/>
              </w:rPr>
              <w:t>8、未按时按要求完成的，当月绿化养护评分扣</w:t>
            </w:r>
            <w:r>
              <w:rPr>
                <w:rFonts w:ascii="仿宋" w:hAnsi="仿宋" w:eastAsia="仿宋" w:cs="仿宋"/>
                <w:color w:val="auto"/>
                <w:kern w:val="0"/>
                <w:szCs w:val="21"/>
              </w:rPr>
              <w:t>2</w:t>
            </w:r>
            <w:r>
              <w:rPr>
                <w:rFonts w:hint="eastAsia" w:ascii="仿宋" w:hAnsi="仿宋" w:eastAsia="仿宋" w:cs="仿宋"/>
                <w:color w:val="auto"/>
                <w:kern w:val="0"/>
                <w:szCs w:val="21"/>
              </w:rPr>
              <w:t>分；</w:t>
            </w:r>
          </w:p>
        </w:tc>
        <w:tc>
          <w:tcPr>
            <w:tcW w:w="1048" w:type="dxa"/>
            <w:vAlign w:val="center"/>
          </w:tcPr>
          <w:p>
            <w:pPr>
              <w:widowControl/>
              <w:spacing w:line="276" w:lineRule="auto"/>
              <w:jc w:val="center"/>
              <w:rPr>
                <w:rFonts w:ascii="仿宋" w:hAnsi="仿宋" w:eastAsia="仿宋" w:cs="仿宋"/>
                <w:color w:val="auto"/>
                <w:kern w:val="0"/>
                <w:szCs w:val="21"/>
              </w:rPr>
            </w:pPr>
          </w:p>
        </w:tc>
        <w:tc>
          <w:tcPr>
            <w:tcW w:w="1806" w:type="dxa"/>
            <w:vMerge w:val="continue"/>
            <w:vAlign w:val="center"/>
          </w:tcPr>
          <w:p>
            <w:pPr>
              <w:widowControl/>
              <w:spacing w:line="276" w:lineRule="auto"/>
              <w:jc w:val="center"/>
              <w:rPr>
                <w:rFonts w:ascii="仿宋" w:hAnsi="仿宋" w:eastAsia="仿宋" w:cs="仿宋"/>
                <w:color w:val="auto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28" w:type="dxa"/>
            <w:vMerge w:val="continue"/>
            <w:vAlign w:val="center"/>
          </w:tcPr>
          <w:p>
            <w:pPr>
              <w:widowControl/>
              <w:spacing w:line="276" w:lineRule="auto"/>
              <w:jc w:val="left"/>
              <w:rPr>
                <w:rFonts w:ascii="仿宋" w:hAnsi="仿宋" w:eastAsia="仿宋" w:cs="仿宋"/>
                <w:color w:val="auto"/>
                <w:kern w:val="0"/>
                <w:szCs w:val="21"/>
              </w:rPr>
            </w:pPr>
          </w:p>
        </w:tc>
        <w:tc>
          <w:tcPr>
            <w:tcW w:w="792" w:type="dxa"/>
            <w:vMerge w:val="continue"/>
            <w:vAlign w:val="center"/>
          </w:tcPr>
          <w:p>
            <w:pPr>
              <w:widowControl/>
              <w:spacing w:line="276" w:lineRule="auto"/>
              <w:jc w:val="left"/>
              <w:rPr>
                <w:rFonts w:ascii="仿宋" w:hAnsi="仿宋" w:eastAsia="仿宋" w:cs="仿宋"/>
                <w:color w:val="auto"/>
                <w:kern w:val="0"/>
                <w:szCs w:val="21"/>
              </w:rPr>
            </w:pPr>
          </w:p>
        </w:tc>
        <w:tc>
          <w:tcPr>
            <w:tcW w:w="629" w:type="dxa"/>
            <w:vMerge w:val="continue"/>
            <w:vAlign w:val="center"/>
          </w:tcPr>
          <w:p>
            <w:pPr>
              <w:widowControl/>
              <w:spacing w:line="276" w:lineRule="auto"/>
              <w:jc w:val="left"/>
              <w:rPr>
                <w:rFonts w:ascii="仿宋" w:hAnsi="仿宋" w:eastAsia="仿宋" w:cs="仿宋"/>
                <w:color w:val="auto"/>
                <w:kern w:val="0"/>
                <w:szCs w:val="21"/>
              </w:rPr>
            </w:pPr>
          </w:p>
        </w:tc>
        <w:tc>
          <w:tcPr>
            <w:tcW w:w="2190" w:type="dxa"/>
            <w:vAlign w:val="center"/>
          </w:tcPr>
          <w:p>
            <w:pPr>
              <w:widowControl/>
              <w:spacing w:line="276" w:lineRule="auto"/>
              <w:rPr>
                <w:rFonts w:ascii="仿宋" w:hAnsi="仿宋" w:eastAsia="仿宋" w:cs="仿宋"/>
                <w:color w:val="auto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Cs w:val="21"/>
              </w:rPr>
              <w:t>9、日常管理维护人员满足要求。</w:t>
            </w:r>
          </w:p>
        </w:tc>
        <w:tc>
          <w:tcPr>
            <w:tcW w:w="2179" w:type="dxa"/>
            <w:vAlign w:val="center"/>
          </w:tcPr>
          <w:p>
            <w:pPr>
              <w:widowControl/>
              <w:spacing w:line="276" w:lineRule="auto"/>
              <w:rPr>
                <w:rFonts w:ascii="仿宋" w:hAnsi="仿宋" w:eastAsia="仿宋" w:cs="仿宋"/>
                <w:color w:val="auto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Cs w:val="21"/>
              </w:rPr>
              <w:t>9、人数不足的，每少1人扣0</w:t>
            </w:r>
            <w:r>
              <w:rPr>
                <w:rFonts w:ascii="仿宋" w:hAnsi="仿宋" w:eastAsia="仿宋" w:cs="仿宋"/>
                <w:color w:val="auto"/>
                <w:kern w:val="0"/>
                <w:szCs w:val="21"/>
              </w:rPr>
              <w:t>.</w:t>
            </w:r>
            <w:r>
              <w:rPr>
                <w:rFonts w:hint="eastAsia" w:ascii="仿宋" w:hAnsi="仿宋" w:eastAsia="仿宋" w:cs="仿宋"/>
                <w:color w:val="auto"/>
                <w:kern w:val="0"/>
                <w:szCs w:val="21"/>
              </w:rPr>
              <w:t>2分。</w:t>
            </w:r>
          </w:p>
        </w:tc>
        <w:tc>
          <w:tcPr>
            <w:tcW w:w="1048" w:type="dxa"/>
            <w:vAlign w:val="center"/>
          </w:tcPr>
          <w:p>
            <w:pPr>
              <w:widowControl/>
              <w:spacing w:line="276" w:lineRule="auto"/>
              <w:rPr>
                <w:rFonts w:ascii="仿宋" w:hAnsi="仿宋" w:eastAsia="仿宋" w:cs="仿宋"/>
                <w:color w:val="auto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Cs w:val="21"/>
              </w:rPr>
              <w:t>　</w:t>
            </w:r>
          </w:p>
        </w:tc>
        <w:tc>
          <w:tcPr>
            <w:tcW w:w="1806" w:type="dxa"/>
            <w:vMerge w:val="continue"/>
            <w:vAlign w:val="center"/>
          </w:tcPr>
          <w:p>
            <w:pPr>
              <w:widowControl/>
              <w:spacing w:line="276" w:lineRule="auto"/>
              <w:jc w:val="left"/>
              <w:rPr>
                <w:rFonts w:ascii="仿宋" w:hAnsi="仿宋" w:eastAsia="仿宋" w:cs="仿宋"/>
                <w:color w:val="auto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272" w:type="dxa"/>
            <w:gridSpan w:val="7"/>
            <w:vAlign w:val="center"/>
          </w:tcPr>
          <w:p>
            <w:pPr>
              <w:widowControl/>
              <w:spacing w:line="276" w:lineRule="auto"/>
              <w:jc w:val="center"/>
              <w:rPr>
                <w:rFonts w:ascii="仿宋" w:hAnsi="仿宋" w:eastAsia="仿宋" w:cs="仿宋"/>
                <w:color w:val="auto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Cs w:val="21"/>
              </w:rPr>
              <w:t>合计实得分（       ）=总分（ 100 ）-合计检查扣分（       ）</w:t>
            </w:r>
          </w:p>
        </w:tc>
      </w:tr>
    </w:tbl>
    <w:p>
      <w:pPr>
        <w:spacing w:line="360" w:lineRule="auto"/>
        <w:ind w:firstLine="420" w:firstLineChars="200"/>
        <w:rPr>
          <w:rFonts w:ascii="仿宋" w:hAnsi="仿宋" w:eastAsia="仿宋" w:cs="仿宋"/>
          <w:b/>
          <w:color w:val="auto"/>
          <w:szCs w:val="21"/>
        </w:rPr>
      </w:pPr>
      <w:r>
        <w:rPr>
          <w:rFonts w:hint="eastAsia" w:ascii="仿宋" w:hAnsi="仿宋" w:eastAsia="仿宋" w:cs="仿宋"/>
          <w:color w:val="auto"/>
        </w:rPr>
        <w:t>说明：考核结果与支付给中标养护管理单位的费用挂钩，具体评价标准为：当考核总分在（90-100）区间时，按当期支付费用基数的100%支付；当考核总分在（80-90）区间时，按当期支付费用基数的90%支付；当考核总分在（70-80）区间时，按当期支付费用基数的80%支付；当考核总分在（60-70）区间时，按当期支付费用基数的70%支付；当考核总分在60分（不含60分）以下时，采购单位酌情考虑支付。</w:t>
      </w:r>
    </w:p>
    <w:p>
      <w:pPr>
        <w:rPr>
          <w:color w:val="auto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2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jc0YTc4MzVkYTgzMmM3NTVmMTRhZDFiOWE0NmJjYTUifQ=="/>
  </w:docVars>
  <w:rsids>
    <w:rsidRoot w:val="00565814"/>
    <w:rsid w:val="001068DB"/>
    <w:rsid w:val="0011391C"/>
    <w:rsid w:val="004D6219"/>
    <w:rsid w:val="00565814"/>
    <w:rsid w:val="005757DA"/>
    <w:rsid w:val="00764047"/>
    <w:rsid w:val="00CA7C16"/>
    <w:rsid w:val="53E312FD"/>
    <w:rsid w:val="5B436997"/>
    <w:rsid w:val="76B32E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qFormat="1"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6"/>
    <w:semiHidden/>
    <w:unhideWhenUsed/>
    <w:qFormat/>
    <w:uiPriority w:val="99"/>
    <w:pPr>
      <w:spacing w:after="120"/>
      <w:ind w:left="420" w:leftChars="200"/>
    </w:pPr>
  </w:style>
  <w:style w:type="paragraph" w:styleId="3">
    <w:name w:val="Body Text First Indent 2"/>
    <w:basedOn w:val="2"/>
    <w:link w:val="7"/>
    <w:semiHidden/>
    <w:unhideWhenUsed/>
    <w:qFormat/>
    <w:uiPriority w:val="99"/>
    <w:pPr>
      <w:ind w:firstLine="420" w:firstLineChars="200"/>
    </w:pPr>
  </w:style>
  <w:style w:type="character" w:customStyle="1" w:styleId="6">
    <w:name w:val="正文文本缩进 字符"/>
    <w:basedOn w:val="5"/>
    <w:link w:val="2"/>
    <w:semiHidden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7">
    <w:name w:val="正文文本首行缩进 2 字符"/>
    <w:basedOn w:val="6"/>
    <w:link w:val="3"/>
    <w:semiHidden/>
    <w:qFormat/>
    <w:uiPriority w:val="99"/>
    <w:rPr>
      <w:rFonts w:ascii="Times New Roman" w:hAnsi="Times New Roman" w:eastAsia="宋体" w:cs="Times New Roman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307</Words>
  <Characters>1753</Characters>
  <Lines>14</Lines>
  <Paragraphs>4</Paragraphs>
  <TotalTime>1</TotalTime>
  <ScaleCrop>false</ScaleCrop>
  <LinksUpToDate>false</LinksUpToDate>
  <CharactersWithSpaces>2056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2023-09-13T09:26:00Z</dcterms:created>
  <dc:creator>Administrator</dc:creator>
  <cp:lastModifiedBy>A之诺樱</cp:lastModifiedBy>
  <dcterms:modified xsi:type="dcterms:W3CDTF">2023-10-23T09:20:14Z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BA79331B28384AE4A5E6B670E253070C_12</vt:lpwstr>
  </property>
</Properties>
</file>