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bookmarkStart w:id="34" w:name="_GoBack"/>
      <w:bookmarkEnd w:id="34"/>
      <w:r>
        <w:rPr>
          <w:rFonts w:hint="eastAsia" w:ascii="Times New Roman" w:hAnsi="Times New Roman" w:eastAsia="宋体" w:cs="宋体"/>
          <w:color w:val="auto"/>
          <w:kern w:val="2"/>
          <w:sz w:val="22"/>
          <w:szCs w:val="20"/>
          <w:highlight w:val="none"/>
          <w:lang w:val="en-US" w:eastAsia="zh-CN" w:bidi="ar-SA"/>
        </w:rPr>
        <w:t xml:space="preserve">合同编号： </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 xml:space="preserve">签订地点： </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签订时间：</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采购人（甲方）：</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中标人（乙方）：</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根据《中华人民共和国政府采购法》及实施条例、《中华人民共和国民法典》和甲方</w:t>
      </w:r>
      <w:r>
        <w:rPr>
          <w:rFonts w:hint="eastAsia" w:ascii="Times New Roman" w:hAnsi="Times New Roman" w:eastAsia="宋体" w:cs="宋体"/>
          <w:color w:val="auto"/>
          <w:kern w:val="2"/>
          <w:sz w:val="22"/>
          <w:szCs w:val="20"/>
          <w:highlight w:val="none"/>
          <w:u w:val="single"/>
          <w:lang w:val="en-US" w:eastAsia="zh-CN" w:bidi="ar-SA"/>
        </w:rPr>
        <w:t xml:space="preserve">                            </w:t>
      </w:r>
      <w:r>
        <w:rPr>
          <w:rFonts w:hint="eastAsia" w:ascii="Times New Roman" w:hAnsi="Times New Roman" w:cs="宋体"/>
          <w:color w:val="auto"/>
          <w:kern w:val="2"/>
          <w:sz w:val="22"/>
          <w:szCs w:val="20"/>
          <w:highlight w:val="none"/>
          <w:u w:val="single"/>
          <w:lang w:val="en-US" w:eastAsia="zh-CN" w:bidi="ar-SA"/>
        </w:rPr>
        <w:t>项目</w:t>
      </w:r>
      <w:r>
        <w:rPr>
          <w:rFonts w:hint="eastAsia" w:ascii="Times New Roman" w:hAnsi="Times New Roman" w:eastAsia="宋体" w:cs="宋体"/>
          <w:color w:val="auto"/>
          <w:kern w:val="2"/>
          <w:sz w:val="22"/>
          <w:szCs w:val="20"/>
          <w:highlight w:val="none"/>
          <w:lang w:val="en-US" w:eastAsia="zh-CN" w:bidi="ar-SA"/>
        </w:rPr>
        <w:t>（采购项目编号：              )）的竞争性磋商文件、投标文件等有关规定，为确保甲方采购项目的顺利实施，甲、乙双方在平等自愿原则下签订本合同，并共同遵守如下条款：</w:t>
      </w:r>
    </w:p>
    <w:p>
      <w:pPr>
        <w:pStyle w:val="6"/>
        <w:spacing w:before="120" w:beforeLines="50" w:line="360" w:lineRule="auto"/>
        <w:ind w:firstLine="452" w:firstLineChars="150"/>
        <w:rPr>
          <w:rFonts w:hint="eastAsia"/>
          <w:b/>
          <w:color w:val="auto"/>
          <w:sz w:val="30"/>
          <w:szCs w:val="30"/>
          <w:highlight w:val="none"/>
        </w:rPr>
      </w:pPr>
      <w:r>
        <w:rPr>
          <w:rFonts w:hint="eastAsia"/>
          <w:b/>
          <w:color w:val="auto"/>
          <w:sz w:val="30"/>
          <w:szCs w:val="30"/>
          <w:highlight w:val="none"/>
        </w:rPr>
        <w:t>第一条 项目基本情况</w:t>
      </w:r>
    </w:p>
    <w:p>
      <w:pPr>
        <w:pStyle w:val="6"/>
        <w:spacing w:before="120" w:beforeLines="50" w:line="360" w:lineRule="auto"/>
        <w:ind w:firstLine="360" w:firstLineChars="150"/>
        <w:rPr>
          <w:rFonts w:hint="default"/>
          <w:lang w:val="en-US"/>
        </w:rPr>
      </w:pPr>
      <w:r>
        <w:rPr>
          <w:rFonts w:hint="eastAsia"/>
          <w:lang w:val="en-US" w:eastAsia="zh-CN"/>
        </w:rPr>
        <w:t xml:space="preserve"> 铜川市公安局新区分局反诈中心信息化服务项目具体内容要求详见竞争性磋商文件</w:t>
      </w:r>
    </w:p>
    <w:p>
      <w:pPr>
        <w:pStyle w:val="6"/>
        <w:spacing w:before="120" w:beforeLines="50" w:line="360" w:lineRule="auto"/>
        <w:ind w:firstLine="452" w:firstLineChars="150"/>
        <w:rPr>
          <w:rFonts w:hint="eastAsia" w:ascii="宋体" w:hAnsi="宋体"/>
          <w:b/>
          <w:bCs/>
          <w:color w:val="auto"/>
          <w:sz w:val="30"/>
          <w:szCs w:val="30"/>
          <w:highlight w:val="none"/>
        </w:rPr>
      </w:pPr>
      <w:r>
        <w:rPr>
          <w:rFonts w:hint="eastAsia" w:ascii="宋体" w:hAnsi="宋体"/>
          <w:b/>
          <w:bCs/>
          <w:color w:val="auto"/>
          <w:sz w:val="30"/>
          <w:szCs w:val="30"/>
          <w:highlight w:val="none"/>
        </w:rPr>
        <w:t>第二条 服务期限</w:t>
      </w:r>
    </w:p>
    <w:p>
      <w:pPr>
        <w:pStyle w:val="6"/>
        <w:spacing w:before="120" w:beforeLines="50" w:line="360" w:lineRule="auto"/>
        <w:ind w:firstLine="360" w:firstLineChars="150"/>
        <w:rPr>
          <w:rFonts w:hint="eastAsia" w:ascii="Times New Roman" w:hAnsi="Times New Roman"/>
          <w:lang w:val="en-US" w:eastAsia="zh-CN"/>
        </w:rPr>
      </w:pPr>
      <w:r>
        <w:rPr>
          <w:rFonts w:hint="eastAsia" w:ascii="Times New Roman" w:hAnsi="Times New Roman"/>
          <w:lang w:val="en-US" w:eastAsia="zh-CN"/>
        </w:rPr>
        <w:t>要求10天内完成平台搭建，运维期1年</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第三条  服务内容与质量标准</w:t>
      </w:r>
    </w:p>
    <w:p>
      <w:pPr>
        <w:pStyle w:val="6"/>
        <w:spacing w:before="120" w:beforeLines="50" w:line="360" w:lineRule="auto"/>
        <w:ind w:firstLine="360" w:firstLineChars="15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达到国家、行业强制性标准及采购人要求。</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第四条  服务费用及支付方式</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1.按下列比例支付价款：</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项目全部完成并经相关人员验收合格后 ，达到付款条件起 30 日内，支付合同总金额的 100.00%。</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2.乙方须向甲方出具合法有效的完税发票，甲方进行支付结算。</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3.结算方式：银行转账。</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第五条   知识产权</w:t>
      </w:r>
    </w:p>
    <w:p>
      <w:pPr>
        <w:spacing w:line="360" w:lineRule="auto"/>
        <w:ind w:firstLine="220" w:firstLineChars="100"/>
        <w:rPr>
          <w:rFonts w:hint="eastAsia" w:ascii="宋体" w:hAnsi="宋体" w:eastAsia="宋体" w:cs="宋体"/>
          <w:b/>
          <w:bCs/>
          <w:color w:val="auto"/>
          <w:kern w:val="2"/>
          <w:sz w:val="28"/>
          <w:szCs w:val="28"/>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乙方应保证所提供的服务或其任何一部分均不会侵犯任何第三方的专利权、商标权或著作权。</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第六条  无产权瑕疵条款（如有）</w:t>
      </w:r>
    </w:p>
    <w:p>
      <w:pPr>
        <w:tabs>
          <w:tab w:val="left" w:pos="144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乙方保证所提供的服务的所有权完全属于乙方且无任何抵押、查封等产权瑕疵。如有产权瑕疵的，视为乙方违约。乙方应负担由此而产生的一切损失。</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第七条   履约保证金</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1、乙方在签订本合同之前，向甲方构提交履约保证金人民币</w:t>
      </w:r>
      <w:r>
        <w:rPr>
          <w:rFonts w:hint="eastAsia" w:ascii="Times New Roman" w:hAnsi="Times New Roman" w:eastAsia="宋体" w:cs="宋体"/>
          <w:color w:val="auto"/>
          <w:kern w:val="2"/>
          <w:sz w:val="22"/>
          <w:szCs w:val="20"/>
          <w:highlight w:val="none"/>
          <w:u w:val="single"/>
          <w:lang w:val="en-US" w:eastAsia="zh-CN" w:bidi="ar-SA"/>
        </w:rPr>
        <w:t xml:space="preserve">     </w:t>
      </w:r>
      <w:r>
        <w:rPr>
          <w:rFonts w:hint="eastAsia" w:ascii="Times New Roman" w:hAnsi="Times New Roman" w:eastAsia="宋体" w:cs="宋体"/>
          <w:color w:val="auto"/>
          <w:kern w:val="2"/>
          <w:sz w:val="22"/>
          <w:szCs w:val="20"/>
          <w:highlight w:val="none"/>
          <w:lang w:val="en-US" w:eastAsia="zh-CN" w:bidi="ar-SA"/>
        </w:rPr>
        <w:t>元，￥</w:t>
      </w:r>
      <w:r>
        <w:rPr>
          <w:rFonts w:hint="eastAsia" w:ascii="Times New Roman" w:hAnsi="Times New Roman" w:eastAsia="宋体" w:cs="宋体"/>
          <w:color w:val="auto"/>
          <w:kern w:val="2"/>
          <w:sz w:val="22"/>
          <w:szCs w:val="20"/>
          <w:highlight w:val="none"/>
          <w:u w:val="single"/>
          <w:lang w:val="en-US" w:eastAsia="zh-CN" w:bidi="ar-SA"/>
        </w:rPr>
        <w:t xml:space="preserve">   </w:t>
      </w:r>
      <w:r>
        <w:rPr>
          <w:rFonts w:hint="eastAsia" w:ascii="Times New Roman" w:hAnsi="Times New Roman" w:eastAsia="宋体" w:cs="宋体"/>
          <w:color w:val="auto"/>
          <w:kern w:val="2"/>
          <w:sz w:val="22"/>
          <w:szCs w:val="20"/>
          <w:highlight w:val="none"/>
          <w:lang w:val="en-US" w:eastAsia="zh-CN" w:bidi="ar-SA"/>
        </w:rPr>
        <w:t xml:space="preserve"> 。</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2、履约保证金的有效期为乙方承诺的服务期限。</w:t>
      </w:r>
    </w:p>
    <w:p>
      <w:pPr>
        <w:adjustRightInd w:val="0"/>
        <w:spacing w:line="360" w:lineRule="auto"/>
        <w:ind w:firstLine="440" w:firstLineChars="200"/>
        <w:jc w:val="left"/>
        <w:textAlignment w:val="baseline"/>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3、履约保证金作为违约金的一部分及用于补偿甲方因乙方不能履行合同义务而蒙受的损失。</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4、服务期限结束后，甲方财务部门接到甲方确认本合同服务等约定事项已经履行完毕的正式书面文件后的</w:t>
      </w:r>
      <w:r>
        <w:rPr>
          <w:rFonts w:hint="eastAsia" w:ascii="Times New Roman" w:hAnsi="Times New Roman" w:eastAsia="宋体" w:cs="宋体"/>
          <w:color w:val="auto"/>
          <w:kern w:val="2"/>
          <w:sz w:val="22"/>
          <w:szCs w:val="20"/>
          <w:highlight w:val="none"/>
          <w:u w:val="single"/>
          <w:lang w:val="en-US" w:eastAsia="zh-CN" w:bidi="ar-SA"/>
        </w:rPr>
        <w:t xml:space="preserve">   </w:t>
      </w:r>
      <w:r>
        <w:rPr>
          <w:rFonts w:hint="eastAsia" w:ascii="Times New Roman" w:hAnsi="Times New Roman" w:eastAsia="宋体" w:cs="宋体"/>
          <w:color w:val="auto"/>
          <w:kern w:val="2"/>
          <w:sz w:val="22"/>
          <w:szCs w:val="20"/>
          <w:highlight w:val="none"/>
          <w:lang w:val="en-US" w:eastAsia="zh-CN" w:bidi="ar-SA"/>
        </w:rPr>
        <w:t>日内，向乙方退还履约保证金。</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5、乙方可以履约担保函的形式交纳履约保证金（格式见附件1）。</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第八条  甲方的权利和义务</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1、甲方有权对合同规定范围内乙方的服务行为进行监督和检查，拥有监管权。有权定期核对乙方提供服务所配备的人员数量。对甲方认为不合理的部分有权下达整改通知书，并要求乙方限期整改。</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2、甲方有权依据双方签订的考评办法对乙方提供的服务进行定期考评。</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3、负责检查监督乙方管理工作的实施及制度的执行情况。</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4、根据本合同规定，按时向乙方支付应付服务费用。</w:t>
      </w:r>
    </w:p>
    <w:p>
      <w:pPr>
        <w:spacing w:line="360" w:lineRule="auto"/>
        <w:ind w:left="426"/>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5、国家法律、法规所规定由甲方承担的其它责任。</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第九条  乙方的权利和义务</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1、对本合同规定的委托服务范围内的项目享有管理权及服务义务。</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2、根据本合同的规定向甲方收取相关服务费用，并有权在本项目管理范围内管理及合理使用。</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3、及时向甲方通告本项目服务范围内有关服务的重大事项，及时配合处理投诉。</w:t>
      </w:r>
    </w:p>
    <w:p>
      <w:pPr>
        <w:pStyle w:val="3"/>
        <w:shd w:val="clear" w:color="auto" w:fill="FFFFFF"/>
        <w:spacing w:before="0" w:beforeAutospacing="0" w:after="0" w:afterAutospacing="0"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4、接受项目行业管理部门及政府有关部门的指导，接受甲方的监督。</w:t>
      </w:r>
    </w:p>
    <w:p>
      <w:pPr>
        <w:spacing w:line="360" w:lineRule="auto"/>
        <w:ind w:left="426"/>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5、国家法律、法规所规定由乙方承担的其它责任。</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第十条  违约责任</w:t>
      </w:r>
    </w:p>
    <w:p>
      <w:pPr>
        <w:adjustRightInd w:val="0"/>
        <w:spacing w:line="360" w:lineRule="auto"/>
        <w:ind w:firstLine="440" w:firstLineChars="200"/>
        <w:jc w:val="left"/>
        <w:textAlignment w:val="baseline"/>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1、甲乙双方必须遵守本合同并执行合同中的各项规定，保证本合同的正常履行。</w:t>
      </w:r>
    </w:p>
    <w:p>
      <w:pPr>
        <w:adjustRightInd w:val="0"/>
        <w:spacing w:line="360" w:lineRule="auto"/>
        <w:ind w:firstLine="440" w:firstLineChars="200"/>
        <w:jc w:val="left"/>
        <w:textAlignment w:val="baseline"/>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第十一条  不可抗力事件处理</w:t>
      </w:r>
    </w:p>
    <w:p>
      <w:pPr>
        <w:tabs>
          <w:tab w:val="left" w:pos="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1、在合同有效期内，任何一方因不可抗力事件导致不能履行合同，则合同履行期可延长，其延长期与不可抗力影响期相同。</w:t>
      </w:r>
    </w:p>
    <w:p>
      <w:pPr>
        <w:tabs>
          <w:tab w:val="left" w:pos="0"/>
        </w:tabs>
        <w:spacing w:line="360" w:lineRule="auto"/>
        <w:ind w:firstLine="440" w:firstLineChars="20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2、不可抗力事件发生后，应立即通知对方，并寄送有关权威机构出具的证明。</w:t>
      </w:r>
    </w:p>
    <w:p>
      <w:pPr>
        <w:tabs>
          <w:tab w:val="left" w:pos="0"/>
        </w:tabs>
        <w:spacing w:line="360" w:lineRule="auto"/>
        <w:ind w:firstLine="440" w:firstLineChars="200"/>
        <w:rPr>
          <w:rFonts w:hint="eastAsia" w:ascii="Times New Roman" w:hAnsi="Times New Roman" w:eastAsia="宋体" w:cs="宋体"/>
          <w:color w:val="auto"/>
          <w:kern w:val="2"/>
          <w:sz w:val="24"/>
          <w:szCs w:val="21"/>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3、不可抗力事件延续XX天以上，双方应通过友好协商，确定是否继续履行合同。</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bookmarkStart w:id="0" w:name="_Toc212019599"/>
      <w:bookmarkStart w:id="1" w:name="_Toc211854454"/>
      <w:bookmarkStart w:id="2" w:name="_Toc211911353"/>
      <w:bookmarkStart w:id="3" w:name="_Toc237145411"/>
      <w:bookmarkStart w:id="4" w:name="_Toc225244857"/>
      <w:bookmarkStart w:id="5" w:name="_Toc241833908"/>
      <w:bookmarkStart w:id="6" w:name="_Toc185395254"/>
      <w:bookmarkStart w:id="7" w:name="_Toc247334846"/>
      <w:bookmarkStart w:id="8" w:name="_Toc232492933"/>
      <w:bookmarkStart w:id="9" w:name="_Toc286993792"/>
      <w:bookmarkStart w:id="10" w:name="_Toc238984980"/>
      <w:bookmarkStart w:id="11" w:name="_Toc251768867"/>
      <w:bookmarkStart w:id="12" w:name="_Toc225670756"/>
      <w:bookmarkStart w:id="13" w:name="_Toc225654649"/>
      <w:bookmarkStart w:id="14" w:name="_Toc239568423"/>
      <w:bookmarkStart w:id="15" w:name="_Toc239233919"/>
      <w:r>
        <w:rPr>
          <w:rFonts w:hint="eastAsia" w:ascii="宋体" w:hAnsi="宋体" w:eastAsia="宋体" w:cs="宋体"/>
          <w:b/>
          <w:bCs/>
          <w:color w:val="auto"/>
          <w:kern w:val="2"/>
          <w:sz w:val="30"/>
          <w:szCs w:val="30"/>
          <w:highlight w:val="none"/>
          <w:lang w:val="en-US" w:eastAsia="zh-CN" w:bidi="ar-SA"/>
        </w:rPr>
        <w:t>第十二条  合同的变更和终止</w:t>
      </w:r>
    </w:p>
    <w:p>
      <w:pPr>
        <w:widowControl/>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除《中华人民共和国政府采购法》第49条、第50条第二款规定的情形外，本合同一经签订，甲乙双方不得擅自变更、中止或终止合同。</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第十三条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6"/>
        <w:spacing w:before="120" w:beforeLines="50" w:line="360" w:lineRule="auto"/>
        <w:ind w:firstLine="330" w:firstLineChars="150"/>
        <w:rPr>
          <w:rFonts w:hint="eastAsia" w:ascii="Times New Roman" w:hAnsi="Times New Roman" w:eastAsia="宋体" w:cs="宋体"/>
          <w:color w:val="auto"/>
          <w:sz w:val="22"/>
          <w:szCs w:val="20"/>
          <w:highlight w:val="none"/>
        </w:rPr>
      </w:pPr>
      <w:r>
        <w:rPr>
          <w:rFonts w:hint="eastAsia" w:ascii="Times New Roman" w:hAnsi="Times New Roman" w:eastAsia="宋体" w:cs="宋体"/>
          <w:color w:val="auto"/>
          <w:sz w:val="22"/>
          <w:szCs w:val="20"/>
          <w:highlight w:val="none"/>
        </w:rPr>
        <w:t>1、在执行本合同中发生的或与本合同有关的争端，双方应通过友好协商解决，经协商在XX天内不能达成协议时，则采取以下第</w:t>
      </w:r>
      <w:r>
        <w:rPr>
          <w:rFonts w:hint="eastAsia" w:ascii="Times New Roman" w:hAnsi="Times New Roman" w:eastAsia="宋体" w:cs="宋体"/>
          <w:color w:val="auto"/>
          <w:sz w:val="22"/>
          <w:szCs w:val="20"/>
          <w:highlight w:val="none"/>
          <w:u w:val="single"/>
          <w:lang w:val="en-US" w:eastAsia="zh-CN"/>
        </w:rPr>
        <w:t>2</w:t>
      </w:r>
      <w:r>
        <w:rPr>
          <w:rFonts w:hint="eastAsia" w:ascii="Times New Roman" w:hAnsi="Times New Roman" w:eastAsia="宋体" w:cs="宋体"/>
          <w:color w:val="auto"/>
          <w:sz w:val="22"/>
          <w:szCs w:val="20"/>
          <w:highlight w:val="none"/>
        </w:rPr>
        <w:t>种方式解决争议：</w:t>
      </w:r>
    </w:p>
    <w:p>
      <w:pPr>
        <w:pStyle w:val="6"/>
        <w:spacing w:before="120" w:beforeLines="50" w:line="360" w:lineRule="auto"/>
        <w:ind w:firstLine="330" w:firstLineChars="150"/>
        <w:rPr>
          <w:rFonts w:hint="eastAsia" w:ascii="Times New Roman" w:hAnsi="Times New Roman" w:eastAsia="宋体" w:cs="宋体"/>
          <w:color w:val="auto"/>
          <w:sz w:val="22"/>
          <w:szCs w:val="20"/>
          <w:highlight w:val="none"/>
        </w:rPr>
      </w:pPr>
      <w:r>
        <w:rPr>
          <w:rFonts w:hint="eastAsia" w:ascii="Times New Roman" w:hAnsi="Times New Roman" w:eastAsia="宋体" w:cs="宋体"/>
          <w:color w:val="auto"/>
          <w:sz w:val="22"/>
          <w:szCs w:val="20"/>
          <w:highlight w:val="none"/>
        </w:rPr>
        <w:t>（1）向甲方所在地有管辖权的人民法院提起诉讼；</w:t>
      </w:r>
    </w:p>
    <w:p>
      <w:pPr>
        <w:pStyle w:val="6"/>
        <w:spacing w:before="120" w:beforeLines="50" w:line="360" w:lineRule="auto"/>
        <w:ind w:firstLine="330" w:firstLineChars="150"/>
        <w:rPr>
          <w:rFonts w:hint="eastAsia" w:ascii="Times New Roman" w:hAnsi="Times New Roman" w:eastAsia="宋体" w:cs="宋体"/>
          <w:color w:val="auto"/>
          <w:sz w:val="22"/>
          <w:szCs w:val="20"/>
          <w:highlight w:val="none"/>
        </w:rPr>
      </w:pPr>
      <w:r>
        <w:rPr>
          <w:rFonts w:hint="eastAsia" w:ascii="Times New Roman" w:hAnsi="Times New Roman" w:eastAsia="宋体" w:cs="宋体"/>
          <w:color w:val="auto"/>
          <w:sz w:val="22"/>
          <w:szCs w:val="20"/>
          <w:highlight w:val="none"/>
        </w:rPr>
        <w:t>（2）向</w:t>
      </w:r>
      <w:r>
        <w:rPr>
          <w:rFonts w:hint="eastAsia" w:ascii="Times New Roman" w:hAnsi="Times New Roman" w:eastAsia="宋体" w:cs="宋体"/>
          <w:color w:val="auto"/>
          <w:sz w:val="22"/>
          <w:szCs w:val="20"/>
          <w:highlight w:val="none"/>
          <w:u w:val="single"/>
        </w:rPr>
        <w:t>_</w:t>
      </w:r>
      <w:r>
        <w:rPr>
          <w:rFonts w:hint="eastAsia" w:cs="宋体"/>
          <w:color w:val="auto"/>
          <w:sz w:val="22"/>
          <w:szCs w:val="20"/>
          <w:highlight w:val="none"/>
          <w:u w:val="single"/>
          <w:lang w:val="en-US" w:eastAsia="zh-CN"/>
        </w:rPr>
        <w:t>铜川市新区</w:t>
      </w:r>
      <w:r>
        <w:rPr>
          <w:rFonts w:hint="eastAsia" w:ascii="Times New Roman" w:hAnsi="Times New Roman" w:eastAsia="宋体" w:cs="宋体"/>
          <w:color w:val="auto"/>
          <w:sz w:val="22"/>
          <w:szCs w:val="20"/>
          <w:highlight w:val="none"/>
          <w:u w:val="single"/>
        </w:rPr>
        <w:t>_</w:t>
      </w:r>
      <w:r>
        <w:rPr>
          <w:rFonts w:hint="eastAsia" w:ascii="Times New Roman" w:hAnsi="Times New Roman" w:eastAsia="宋体" w:cs="宋体"/>
          <w:color w:val="auto"/>
          <w:sz w:val="22"/>
          <w:szCs w:val="20"/>
          <w:highlight w:val="none"/>
        </w:rPr>
        <w:t>仲裁委员会按其仲裁规则申请仲裁。</w:t>
      </w:r>
    </w:p>
    <w:p>
      <w:pPr>
        <w:pStyle w:val="6"/>
        <w:spacing w:before="120" w:beforeLines="50" w:line="360" w:lineRule="auto"/>
        <w:ind w:firstLine="330" w:firstLineChars="150"/>
        <w:rPr>
          <w:rFonts w:hint="eastAsia" w:ascii="Times New Roman" w:hAnsi="Times New Roman" w:eastAsia="宋体" w:cs="宋体"/>
          <w:color w:val="auto"/>
          <w:sz w:val="22"/>
          <w:szCs w:val="20"/>
          <w:highlight w:val="none"/>
        </w:rPr>
      </w:pPr>
      <w:r>
        <w:rPr>
          <w:rFonts w:hint="eastAsia" w:ascii="Times New Roman" w:hAnsi="Times New Roman" w:eastAsia="宋体" w:cs="宋体"/>
          <w:color w:val="auto"/>
          <w:sz w:val="22"/>
          <w:szCs w:val="20"/>
          <w:highlight w:val="none"/>
        </w:rPr>
        <w:t>2、在仲裁期间，本合同应继续履行。</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bookmarkStart w:id="16" w:name="_Toc241833909"/>
      <w:bookmarkStart w:id="17" w:name="_Toc247334847"/>
      <w:bookmarkStart w:id="18" w:name="_Toc237145412"/>
      <w:bookmarkStart w:id="19" w:name="_Toc225670757"/>
      <w:bookmarkStart w:id="20" w:name="_Toc185395255"/>
      <w:bookmarkStart w:id="21" w:name="_Toc211911354"/>
      <w:bookmarkStart w:id="22" w:name="_Toc225244858"/>
      <w:bookmarkStart w:id="23" w:name="_Toc225654650"/>
      <w:bookmarkStart w:id="24" w:name="_Toc283019219"/>
      <w:bookmarkStart w:id="25" w:name="_Toc211854455"/>
      <w:bookmarkStart w:id="26" w:name="_Toc286993793"/>
      <w:bookmarkStart w:id="27" w:name="_Toc238984981"/>
      <w:bookmarkStart w:id="28" w:name="_Toc212019600"/>
      <w:bookmarkStart w:id="29" w:name="_Toc251768868"/>
      <w:bookmarkStart w:id="30" w:name="_Toc239568424"/>
      <w:bookmarkStart w:id="31" w:name="_Toc239233920"/>
      <w:bookmarkStart w:id="32" w:name="_Toc232492934"/>
      <w:bookmarkStart w:id="33" w:name="_Toc282696231"/>
      <w:r>
        <w:rPr>
          <w:rFonts w:hint="eastAsia" w:ascii="宋体" w:hAnsi="宋体" w:eastAsia="宋体" w:cs="宋体"/>
          <w:b/>
          <w:bCs/>
          <w:color w:val="auto"/>
          <w:kern w:val="2"/>
          <w:sz w:val="30"/>
          <w:szCs w:val="30"/>
          <w:highlight w:val="none"/>
          <w:lang w:val="en-US" w:eastAsia="zh-CN" w:bidi="ar-SA"/>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bCs/>
          <w:color w:val="auto"/>
          <w:kern w:val="2"/>
          <w:sz w:val="30"/>
          <w:szCs w:val="30"/>
          <w:highlight w:val="none"/>
          <w:lang w:val="en-US" w:eastAsia="zh-CN" w:bidi="ar-SA"/>
        </w:rPr>
        <w:t>生效及其他</w:t>
      </w:r>
    </w:p>
    <w:p>
      <w:pPr>
        <w:pStyle w:val="7"/>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1、合同经双方法定代表人（单位负责人）或授权委托代理人签字并加盖单位公章并由采购代理机构盖章后生效。</w:t>
      </w:r>
    </w:p>
    <w:p>
      <w:pPr>
        <w:pStyle w:val="7"/>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2、合同执行中涉及采购资金和采购内容修改或补充的，须经政府采购监管部门审批，并签书面补充协议报政府采购监督管理部门备案，方可作为主合同不可分割的一部分。</w:t>
      </w:r>
    </w:p>
    <w:p>
      <w:pPr>
        <w:pStyle w:val="7"/>
        <w:spacing w:line="360" w:lineRule="auto"/>
        <w:ind w:firstLine="480"/>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3、本合同一式陆份，自双方签章之日起起效。甲方贰份，乙方贰份，政府采购代理机构壹份，同级财政部门备案壹份，具有同等法律效力。</w:t>
      </w:r>
    </w:p>
    <w:p>
      <w:pPr>
        <w:spacing w:line="360" w:lineRule="auto"/>
        <w:ind w:firstLine="301" w:firstLineChars="100"/>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第十五条  附件</w:t>
      </w:r>
    </w:p>
    <w:p>
      <w:pPr>
        <w:snapToGrid w:val="0"/>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1、项目</w:t>
      </w:r>
      <w:r>
        <w:rPr>
          <w:rFonts w:hint="eastAsia" w:cs="宋体"/>
          <w:color w:val="auto"/>
          <w:kern w:val="2"/>
          <w:sz w:val="22"/>
          <w:szCs w:val="20"/>
          <w:highlight w:val="none"/>
          <w:lang w:val="en-US" w:eastAsia="zh-CN" w:bidi="ar-SA"/>
        </w:rPr>
        <w:t>竞争性磋商文件</w:t>
      </w:r>
    </w:p>
    <w:p>
      <w:pPr>
        <w:snapToGrid w:val="0"/>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2、项目修改澄清文件</w:t>
      </w:r>
    </w:p>
    <w:p>
      <w:pPr>
        <w:snapToGrid w:val="0"/>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3、项目磋商响应文件</w:t>
      </w:r>
    </w:p>
    <w:p>
      <w:pPr>
        <w:snapToGrid w:val="0"/>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4、成交通知书</w:t>
      </w:r>
    </w:p>
    <w:p>
      <w:pPr>
        <w:snapToGrid w:val="0"/>
        <w:spacing w:line="360" w:lineRule="auto"/>
        <w:ind w:firstLine="440" w:firstLineChars="200"/>
        <w:jc w:val="left"/>
        <w:rPr>
          <w:rFonts w:hint="eastAsia" w:ascii="Times New Roman" w:hAnsi="Times New Roman" w:eastAsia="宋体" w:cs="宋体"/>
          <w:color w:val="auto"/>
          <w:kern w:val="2"/>
          <w:sz w:val="22"/>
          <w:szCs w:val="20"/>
          <w:highlight w:val="none"/>
          <w:lang w:val="en-US" w:eastAsia="zh-CN" w:bidi="ar-SA"/>
        </w:rPr>
      </w:pPr>
      <w:r>
        <w:rPr>
          <w:rFonts w:hint="eastAsia" w:ascii="Times New Roman" w:hAnsi="Times New Roman" w:eastAsia="宋体" w:cs="宋体"/>
          <w:color w:val="auto"/>
          <w:kern w:val="2"/>
          <w:sz w:val="22"/>
          <w:szCs w:val="20"/>
          <w:highlight w:val="none"/>
          <w:lang w:val="en-US" w:eastAsia="zh-CN" w:bidi="ar-SA"/>
        </w:rPr>
        <w:t>5、其他</w:t>
      </w:r>
    </w:p>
    <w:p>
      <w:pPr>
        <w:spacing w:line="360" w:lineRule="auto"/>
        <w:ind w:firstLine="480" w:firstLineChars="200"/>
        <w:rPr>
          <w:rFonts w:ascii="宋体" w:hAnsi="宋体"/>
          <w:sz w:val="24"/>
        </w:rPr>
      </w:pPr>
      <w:r>
        <w:rPr>
          <w:rFonts w:hint="eastAsia" w:ascii="宋体" w:hAnsi="宋体"/>
          <w:sz w:val="24"/>
        </w:rPr>
        <w:t>甲方：   （盖章）</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r>
      <w:r>
        <w:rPr>
          <w:rFonts w:ascii="宋体" w:hAnsi="宋体"/>
          <w:sz w:val="24"/>
        </w:rPr>
        <w:t xml:space="preserve">    </w:t>
      </w:r>
      <w:r>
        <w:rPr>
          <w:rFonts w:hint="eastAsia" w:ascii="宋体" w:hAnsi="宋体"/>
          <w:sz w:val="24"/>
        </w:rPr>
        <w:t xml:space="preserve">   乙方：</w:t>
      </w:r>
      <w:r>
        <w:rPr>
          <w:rFonts w:ascii="宋体" w:hAnsi="宋体"/>
          <w:sz w:val="24"/>
        </w:rPr>
        <w:t xml:space="preserve">   </w:t>
      </w:r>
      <w:r>
        <w:rPr>
          <w:rFonts w:hint="eastAsia" w:ascii="宋体" w:hAnsi="宋体"/>
          <w:sz w:val="24"/>
        </w:rPr>
        <w:t>（盖章）</w:t>
      </w:r>
    </w:p>
    <w:p>
      <w:pPr>
        <w:spacing w:line="360" w:lineRule="auto"/>
        <w:ind w:firstLine="480" w:firstLineChars="200"/>
        <w:rPr>
          <w:rFonts w:ascii="宋体" w:hAnsi="宋体"/>
          <w:sz w:val="24"/>
        </w:rPr>
      </w:pPr>
      <w:r>
        <w:rPr>
          <w:rFonts w:hint="eastAsia" w:ascii="宋体" w:hAnsi="宋体"/>
          <w:sz w:val="24"/>
        </w:rPr>
        <w:t>法定代表人（单位负责人）（授权代表）：法定代表人（授权代表）：</w:t>
      </w:r>
    </w:p>
    <w:p>
      <w:pPr>
        <w:spacing w:line="360" w:lineRule="auto"/>
        <w:ind w:firstLine="480" w:firstLineChars="200"/>
        <w:rPr>
          <w:rFonts w:ascii="宋体" w:hAnsi="宋体"/>
          <w:sz w:val="24"/>
        </w:rPr>
      </w:pPr>
      <w:r>
        <w:rPr>
          <w:rFonts w:hint="eastAsia" w:ascii="宋体" w:hAnsi="宋体"/>
          <w:sz w:val="24"/>
        </w:rPr>
        <w:t>地</w:t>
      </w:r>
      <w:r>
        <w:rPr>
          <w:rFonts w:ascii="宋体" w:hAnsi="宋体"/>
          <w:sz w:val="24"/>
        </w:rPr>
        <w:t xml:space="preserve">    </w:t>
      </w:r>
      <w:r>
        <w:rPr>
          <w:rFonts w:hint="eastAsia" w:ascii="宋体" w:hAnsi="宋体"/>
          <w:sz w:val="24"/>
        </w:rPr>
        <w:t>址：</w:t>
      </w:r>
      <w:r>
        <w:rPr>
          <w:rFonts w:ascii="宋体" w:hAnsi="宋体"/>
          <w:sz w:val="24"/>
        </w:rPr>
        <w:t xml:space="preserve">                         </w:t>
      </w:r>
      <w:r>
        <w:rPr>
          <w:rFonts w:hint="eastAsia" w:ascii="宋体" w:hAnsi="宋体"/>
          <w:sz w:val="24"/>
        </w:rPr>
        <w:t>地</w:t>
      </w:r>
      <w:r>
        <w:rPr>
          <w:rFonts w:ascii="宋体" w:hAnsi="宋体"/>
          <w:sz w:val="24"/>
        </w:rPr>
        <w:t xml:space="preserve">    </w:t>
      </w:r>
      <w:r>
        <w:rPr>
          <w:rFonts w:hint="eastAsia" w:ascii="宋体" w:hAnsi="宋体"/>
          <w:sz w:val="24"/>
        </w:rPr>
        <w:t>址：</w:t>
      </w:r>
    </w:p>
    <w:p>
      <w:pPr>
        <w:spacing w:line="360" w:lineRule="auto"/>
        <w:ind w:firstLine="480" w:firstLineChars="200"/>
        <w:rPr>
          <w:rFonts w:ascii="宋体" w:hAnsi="宋体"/>
          <w:sz w:val="24"/>
        </w:rPr>
      </w:pPr>
      <w:r>
        <w:rPr>
          <w:rFonts w:hint="eastAsia" w:ascii="宋体" w:hAnsi="宋体"/>
          <w:sz w:val="24"/>
        </w:rPr>
        <w:t>开户银行：</w:t>
      </w:r>
      <w:r>
        <w:rPr>
          <w:rFonts w:ascii="宋体" w:hAnsi="宋体"/>
          <w:sz w:val="24"/>
        </w:rPr>
        <w:t xml:space="preserve">                         </w:t>
      </w:r>
      <w:r>
        <w:rPr>
          <w:rFonts w:hint="eastAsia" w:ascii="宋体" w:hAnsi="宋体"/>
          <w:sz w:val="24"/>
        </w:rPr>
        <w:t>开户银行：</w:t>
      </w:r>
    </w:p>
    <w:p>
      <w:pPr>
        <w:spacing w:line="360" w:lineRule="auto"/>
        <w:ind w:firstLine="480" w:firstLineChars="200"/>
        <w:rPr>
          <w:rFonts w:ascii="宋体" w:hAnsi="宋体"/>
          <w:sz w:val="24"/>
        </w:rPr>
      </w:pPr>
      <w:r>
        <w:rPr>
          <w:rFonts w:hint="eastAsia" w:ascii="宋体" w:hAnsi="宋体"/>
          <w:sz w:val="24"/>
        </w:rPr>
        <w:t>账号：</w:t>
      </w:r>
      <w:r>
        <w:rPr>
          <w:rFonts w:ascii="宋体" w:hAnsi="宋体"/>
          <w:sz w:val="24"/>
        </w:rPr>
        <w:t xml:space="preserve">                             </w:t>
      </w:r>
      <w:r>
        <w:rPr>
          <w:rFonts w:hint="eastAsia" w:ascii="宋体" w:hAnsi="宋体"/>
          <w:sz w:val="24"/>
        </w:rPr>
        <w:t>账号：</w:t>
      </w:r>
    </w:p>
    <w:p>
      <w:pPr>
        <w:spacing w:line="360" w:lineRule="auto"/>
        <w:ind w:firstLine="480" w:firstLineChars="200"/>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r>
        <w:rPr>
          <w:rFonts w:hint="eastAsia" w:ascii="宋体" w:hAnsi="宋体"/>
          <w:sz w:val="24"/>
        </w:rPr>
        <w:t>电</w:t>
      </w:r>
      <w:r>
        <w:rPr>
          <w:rFonts w:ascii="宋体" w:hAnsi="宋体"/>
          <w:sz w:val="24"/>
        </w:rPr>
        <w:t xml:space="preserve">    </w:t>
      </w:r>
      <w:r>
        <w:rPr>
          <w:rFonts w:hint="eastAsia" w:ascii="宋体" w:hAnsi="宋体"/>
          <w:sz w:val="24"/>
        </w:rPr>
        <w:t>话：</w:t>
      </w:r>
    </w:p>
    <w:p>
      <w:pPr>
        <w:spacing w:line="360" w:lineRule="auto"/>
        <w:ind w:firstLine="480" w:firstLineChars="200"/>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r>
        <w:rPr>
          <w:rFonts w:hint="eastAsia" w:ascii="宋体" w:hAnsi="宋体"/>
          <w:sz w:val="24"/>
        </w:rPr>
        <w:t>传</w:t>
      </w:r>
      <w:r>
        <w:rPr>
          <w:rFonts w:ascii="宋体" w:hAnsi="宋体"/>
          <w:sz w:val="24"/>
        </w:rPr>
        <w:t xml:space="preserve">    </w:t>
      </w:r>
      <w:r>
        <w:rPr>
          <w:rFonts w:hint="eastAsia" w:ascii="宋体" w:hAnsi="宋体"/>
          <w:sz w:val="24"/>
        </w:rPr>
        <w:t>真：</w:t>
      </w:r>
    </w:p>
    <w:p>
      <w:pPr>
        <w:spacing w:line="360" w:lineRule="auto"/>
        <w:ind w:firstLine="480" w:firstLineChars="200"/>
        <w:rPr>
          <w:rFonts w:ascii="宋体" w:hAnsi="宋体"/>
          <w:sz w:val="24"/>
        </w:rPr>
      </w:pPr>
      <w:r>
        <w:rPr>
          <w:rFonts w:hint="eastAsia" w:ascii="宋体" w:hAnsi="宋体"/>
          <w:sz w:val="24"/>
        </w:rPr>
        <w:t>签约日期：</w:t>
      </w:r>
      <w:r>
        <w:rPr>
          <w:rFonts w:hint="eastAsia" w:ascii="宋体" w:hAnsi="宋体"/>
          <w:color w:val="000000"/>
          <w:sz w:val="24"/>
        </w:rPr>
        <w:t>XX</w:t>
      </w:r>
      <w:r>
        <w:rPr>
          <w:rFonts w:hint="eastAsia" w:ascii="宋体" w:hAnsi="宋体"/>
          <w:sz w:val="24"/>
        </w:rPr>
        <w:t>年</w:t>
      </w:r>
      <w:r>
        <w:rPr>
          <w:rFonts w:hint="eastAsia" w:ascii="宋体" w:hAnsi="宋体"/>
          <w:color w:val="000000"/>
          <w:sz w:val="24"/>
        </w:rPr>
        <w:t>XX</w:t>
      </w:r>
      <w:r>
        <w:rPr>
          <w:rFonts w:hint="eastAsia" w:ascii="宋体" w:hAnsi="宋体"/>
          <w:sz w:val="24"/>
        </w:rPr>
        <w:t>月</w:t>
      </w:r>
      <w:r>
        <w:rPr>
          <w:rFonts w:hint="eastAsia" w:ascii="宋体" w:hAnsi="宋体"/>
          <w:color w:val="000000"/>
          <w:sz w:val="24"/>
        </w:rPr>
        <w:t>XX</w:t>
      </w:r>
      <w:r>
        <w:rPr>
          <w:rFonts w:hint="eastAsia" w:ascii="宋体" w:hAnsi="宋体"/>
          <w:sz w:val="24"/>
        </w:rPr>
        <w:t>日</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r>
      <w:r>
        <w:rPr>
          <w:rFonts w:hint="eastAsia" w:ascii="宋体" w:hAnsi="宋体"/>
          <w:sz w:val="24"/>
        </w:rPr>
        <w:t>签约日期：</w:t>
      </w:r>
      <w:r>
        <w:rPr>
          <w:rFonts w:hint="eastAsia" w:ascii="宋体" w:hAnsi="宋体"/>
          <w:color w:val="000000"/>
          <w:sz w:val="24"/>
        </w:rPr>
        <w:t>XX</w:t>
      </w:r>
      <w:r>
        <w:rPr>
          <w:rFonts w:hint="eastAsia" w:ascii="宋体" w:hAnsi="宋体"/>
          <w:sz w:val="24"/>
        </w:rPr>
        <w:t>年</w:t>
      </w:r>
      <w:r>
        <w:rPr>
          <w:rFonts w:hint="eastAsia" w:ascii="宋体" w:hAnsi="宋体"/>
          <w:color w:val="000000"/>
          <w:sz w:val="24"/>
        </w:rPr>
        <w:t>XX</w:t>
      </w:r>
      <w:r>
        <w:rPr>
          <w:rFonts w:hint="eastAsia" w:ascii="宋体" w:hAnsi="宋体"/>
          <w:sz w:val="24"/>
        </w:rPr>
        <w:t>月</w:t>
      </w:r>
      <w:r>
        <w:rPr>
          <w:rFonts w:hint="eastAsia" w:ascii="宋体" w:hAnsi="宋体"/>
          <w:color w:val="000000"/>
          <w:sz w:val="24"/>
        </w:rPr>
        <w:t>XX日</w:t>
      </w:r>
    </w:p>
    <w:p>
      <w:pPr>
        <w:pStyle w:val="2"/>
        <w:rPr>
          <w:rFonts w:hint="eastAsia"/>
          <w:lang w:val="en-US" w:eastAsia="zh-CN"/>
        </w:rPr>
      </w:pPr>
    </w:p>
    <w:p>
      <w:pPr>
        <w:snapToGrid w:val="0"/>
        <w:spacing w:line="360" w:lineRule="auto"/>
        <w:ind w:left="210" w:leftChars="100" w:firstLine="327" w:firstLineChars="156"/>
        <w:rPr>
          <w:rFonts w:ascii="宋体" w:hAnsi="宋体"/>
          <w:szCs w:val="21"/>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DI1MjYxODU1ZWRkOTc2ZTQ0YTBmYjc4MjVmOTcifQ=="/>
  </w:docVars>
  <w:rsids>
    <w:rsidRoot w:val="00000000"/>
    <w:rsid w:val="204D7351"/>
    <w:rsid w:val="556A18B8"/>
    <w:rsid w:val="61502C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next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2023-10-30T06:23:23Z</dcterms:created>
  <dc:creator>Administrator</dc:creator>
  <cp:lastModifiedBy>WPS_1654134456</cp:lastModifiedBy>
  <dcterms:modified xsi:type="dcterms:W3CDTF">2023-10-31T04:13:00Z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C962C6040E6D4439AA25960F10F72717_13</vt:lpwstr>
  </property>
</Properties>
</file>