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80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4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序号</w:t>
            </w:r>
          </w:p>
        </w:tc>
        <w:tc>
          <w:tcPr>
            <w:tcW w:w="412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6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>技术参数与性能指标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3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12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6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编制《“绿水青山就是金山银山”实践创新基地建设实施方案》，符合《“绿水青山就是金山银山”实践创新基地建设管理规程（试行）》修订版等相关文件要求，协助宜君县探索“两山”转化的制度实践和行动实践。形成具有可复制、可推广、可持续的“绿水青山就是金山银山”转化机制、体制、政策、做法和已取得生态环境与经济社会效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3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6"/>
              <w:textAlignment w:val="baseline"/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  <w:lang w:val="en-US" w:eastAsia="zh-CN"/>
              </w:rPr>
              <w:t>编制《建设指标完成情况的证明材料及必要的佐证材料》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符合《“绿水青山就是金山银山”实践创新基地建设管理规程（试行）》修订版等相关文件要求。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8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2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两山转化典型事迹材料和摘要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符合《“绿水青山就是金山银山”实践创新基地建设管理规程（试行）》修订版等相关文件要求。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WU3ODgxMTdkOTg0MTEyMjJkYjMwMGE3NTc5NjgifQ=="/>
  </w:docVars>
  <w:rsids>
    <w:rsidRoot w:val="08417234"/>
    <w:rsid w:val="08417234"/>
    <w:rsid w:val="6C4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2024-01-08T09:33:00Z</dcterms:created>
  <dc:creator>ZP</dc:creator>
  <cp:lastModifiedBy>ZP</cp:lastModifiedBy>
  <dcterms:modified xsi:type="dcterms:W3CDTF">2024-01-08T09:34:50Z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929B2E67815B4981BE04BCC2FD18E436_13</vt:lpwstr>
  </property>
</Properties>
</file>