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25" w:beforeLines="100" w:after="487" w:afterLines="150" w:line="600" w:lineRule="exact"/>
        <w:rPr>
          <w:rFonts w:ascii="宋体" w:cs="宋体"/>
          <w:sz w:val="36"/>
          <w:szCs w:val="36"/>
        </w:rPr>
      </w:pPr>
      <w:bookmarkStart w:id="0" w:name="_Toc26575"/>
      <w:bookmarkStart w:id="1" w:name="_Toc14814"/>
      <w:bookmarkStart w:id="2" w:name="_Toc23156"/>
      <w:r>
        <w:rPr>
          <w:rFonts w:ascii="宋体" w:hAnsi="宋体" w:cs="宋体"/>
          <w:sz w:val="36"/>
          <w:szCs w:val="36"/>
        </w:rPr>
        <w:t xml:space="preserve">  </w:t>
      </w:r>
      <w:r>
        <w:rPr>
          <w:rFonts w:hint="eastAsia" w:ascii="宋体" w:hAnsi="宋体" w:cs="宋体"/>
          <w:sz w:val="36"/>
          <w:szCs w:val="36"/>
        </w:rPr>
        <w:t>公开招标公告</w:t>
      </w:r>
      <w:bookmarkEnd w:id="0"/>
      <w:bookmarkEnd w:id="1"/>
      <w:bookmarkEnd w:id="2"/>
    </w:p>
    <w:p>
      <w:pPr>
        <w:widowControl/>
        <w:wordWrap w:val="0"/>
        <w:snapToGrid w:val="0"/>
        <w:spacing w:line="360" w:lineRule="auto"/>
        <w:ind w:right="-92" w:rightChars="-44" w:firstLine="480" w:firstLineChars="200"/>
        <w:jc w:val="left"/>
        <w:rPr>
          <w:rFonts w:ascii="宋体" w:cs="宋体"/>
          <w:b/>
          <w:bCs/>
          <w:kern w:val="0"/>
          <w:sz w:val="24"/>
          <w:szCs w:val="24"/>
        </w:rPr>
      </w:pPr>
      <w:r>
        <w:rPr>
          <w:rFonts w:hint="eastAsia" w:ascii="宋体" w:hAnsi="宋体" w:cs="宋体"/>
          <w:kern w:val="0"/>
          <w:sz w:val="24"/>
          <w:szCs w:val="24"/>
        </w:rPr>
        <w:t>陕西万泽招标有限公司受宝鸡市妇幼保健院的委托，经政府采购管理部门批准，就宝鸡市妇幼保健院医疗设备一批采购项目进行公开招标采购，欢迎符合资格条件的、有能力提供本次项目所需货物和服务的投标人参加投标。</w:t>
      </w:r>
    </w:p>
    <w:p>
      <w:pPr>
        <w:widowControl/>
        <w:numPr>
          <w:ilvl w:val="0"/>
          <w:numId w:val="1"/>
        </w:numPr>
        <w:wordWrap w:val="0"/>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项目名称：宝鸡市妇幼保健院医疗设备一批采购项目</w:t>
      </w:r>
    </w:p>
    <w:p>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项目编号：</w:t>
      </w:r>
      <w:r>
        <w:rPr>
          <w:rFonts w:hint="eastAsia" w:ascii="宋体" w:hAnsi="宋体" w:cs="宋体"/>
          <w:kern w:val="0"/>
          <w:sz w:val="24"/>
          <w:szCs w:val="24"/>
          <w:lang w:eastAsia="zh-CN"/>
        </w:rPr>
        <w:t>SXWZ2023ZB-BJFY-259</w:t>
      </w:r>
    </w:p>
    <w:p>
      <w:pPr>
        <w:widowControl/>
        <w:numPr>
          <w:ilvl w:val="0"/>
          <w:numId w:val="1"/>
        </w:numPr>
        <w:wordWrap w:val="0"/>
        <w:spacing w:line="360" w:lineRule="auto"/>
        <w:ind w:firstLine="420" w:firstLineChars="175"/>
        <w:jc w:val="left"/>
        <w:rPr>
          <w:rFonts w:ascii="宋体" w:cs="宋体"/>
          <w:kern w:val="0"/>
          <w:sz w:val="24"/>
          <w:szCs w:val="24"/>
        </w:rPr>
      </w:pPr>
      <w:r>
        <w:rPr>
          <w:rFonts w:hint="eastAsia" w:ascii="宋体" w:hAnsi="宋体" w:cs="宋体"/>
          <w:kern w:val="0"/>
          <w:sz w:val="24"/>
          <w:szCs w:val="24"/>
        </w:rPr>
        <w:t>采购人名称：宝鸡市妇幼保健院</w:t>
      </w:r>
    </w:p>
    <w:p>
      <w:pPr>
        <w:widowControl/>
        <w:tabs>
          <w:tab w:val="left" w:pos="0"/>
        </w:tabs>
        <w:wordWrap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联系地址：新建路东段2号</w:t>
      </w:r>
    </w:p>
    <w:p>
      <w:pPr>
        <w:widowControl/>
        <w:tabs>
          <w:tab w:val="left" w:pos="0"/>
        </w:tabs>
        <w:wordWrap w:val="0"/>
        <w:spacing w:line="360" w:lineRule="auto"/>
        <w:ind w:firstLine="960" w:firstLineChars="400"/>
        <w:jc w:val="left"/>
        <w:rPr>
          <w:rFonts w:ascii="宋体" w:cs="宋体"/>
          <w:kern w:val="0"/>
          <w:sz w:val="24"/>
          <w:szCs w:val="24"/>
        </w:rPr>
      </w:pPr>
      <w:r>
        <w:rPr>
          <w:rFonts w:hint="eastAsia" w:ascii="宋体" w:hAnsi="宋体" w:cs="宋体"/>
          <w:kern w:val="0"/>
          <w:sz w:val="24"/>
          <w:szCs w:val="24"/>
        </w:rPr>
        <w:t>联系方式：</w:t>
      </w:r>
      <w:r>
        <w:rPr>
          <w:rFonts w:hint="eastAsia" w:ascii="宋体" w:hAnsi="宋体" w:cs="宋体"/>
          <w:sz w:val="24"/>
          <w:szCs w:val="24"/>
        </w:rPr>
        <w:t>0917-3</w:t>
      </w:r>
      <w:r>
        <w:rPr>
          <w:rFonts w:ascii="宋体" w:hAnsi="宋体" w:cs="宋体"/>
          <w:sz w:val="24"/>
          <w:szCs w:val="24"/>
        </w:rPr>
        <w:t>251241</w:t>
      </w:r>
    </w:p>
    <w:p>
      <w:pPr>
        <w:widowControl/>
        <w:numPr>
          <w:ilvl w:val="0"/>
          <w:numId w:val="1"/>
        </w:numPr>
        <w:tabs>
          <w:tab w:val="left" w:pos="1620"/>
        </w:tabs>
        <w:wordWrap w:val="0"/>
        <w:spacing w:line="360" w:lineRule="auto"/>
        <w:ind w:firstLine="420" w:firstLineChars="175"/>
        <w:jc w:val="left"/>
        <w:rPr>
          <w:rFonts w:ascii="宋体" w:cs="宋体"/>
          <w:kern w:val="0"/>
          <w:sz w:val="24"/>
          <w:szCs w:val="24"/>
        </w:rPr>
      </w:pPr>
      <w:r>
        <w:rPr>
          <w:rFonts w:hint="eastAsia" w:ascii="宋体" w:hAnsi="宋体" w:cs="宋体"/>
          <w:kern w:val="0"/>
          <w:sz w:val="24"/>
          <w:szCs w:val="24"/>
        </w:rPr>
        <w:t>采购代理机构名称：陕西万泽招标有限公司</w:t>
      </w:r>
    </w:p>
    <w:p>
      <w:pPr>
        <w:widowControl/>
        <w:wordWrap w:val="0"/>
        <w:spacing w:line="360" w:lineRule="auto"/>
        <w:ind w:firstLine="960" w:firstLineChars="400"/>
        <w:jc w:val="left"/>
        <w:rPr>
          <w:rFonts w:ascii="宋体" w:cs="宋体"/>
          <w:kern w:val="0"/>
          <w:sz w:val="24"/>
          <w:szCs w:val="24"/>
        </w:rPr>
      </w:pPr>
      <w:r>
        <w:rPr>
          <w:rFonts w:hint="eastAsia" w:ascii="宋体" w:hAnsi="宋体" w:cs="宋体"/>
          <w:kern w:val="0"/>
          <w:sz w:val="24"/>
          <w:szCs w:val="24"/>
        </w:rPr>
        <w:t>联系地址：西安市莲湖区西关正街英达大厦</w:t>
      </w:r>
      <w:r>
        <w:rPr>
          <w:rFonts w:ascii="宋体" w:hAnsi="宋体" w:cs="宋体"/>
          <w:kern w:val="0"/>
          <w:sz w:val="24"/>
          <w:szCs w:val="24"/>
        </w:rPr>
        <w:t>1507</w:t>
      </w:r>
      <w:r>
        <w:rPr>
          <w:rFonts w:hint="eastAsia" w:ascii="宋体" w:hAnsi="宋体" w:cs="宋体"/>
          <w:kern w:val="0"/>
          <w:sz w:val="24"/>
          <w:szCs w:val="24"/>
        </w:rPr>
        <w:t>室</w:t>
      </w:r>
    </w:p>
    <w:p>
      <w:pPr>
        <w:widowControl/>
        <w:wordWrap w:val="0"/>
        <w:spacing w:line="360" w:lineRule="auto"/>
        <w:ind w:firstLine="960" w:firstLineChars="400"/>
        <w:jc w:val="left"/>
        <w:rPr>
          <w:rFonts w:hint="eastAsia" w:ascii="宋体" w:cs="宋体"/>
          <w:kern w:val="0"/>
          <w:sz w:val="24"/>
          <w:szCs w:val="24"/>
        </w:rPr>
      </w:pPr>
      <w:r>
        <w:rPr>
          <w:rFonts w:hint="eastAsia" w:ascii="宋体" w:hAnsi="宋体" w:cs="宋体"/>
          <w:kern w:val="0"/>
          <w:sz w:val="24"/>
          <w:szCs w:val="24"/>
        </w:rPr>
        <w:t>联系方式：</w:t>
      </w:r>
      <w:r>
        <w:rPr>
          <w:rFonts w:ascii="宋体" w:hAnsi="宋体" w:cs="宋体"/>
          <w:kern w:val="0"/>
          <w:sz w:val="24"/>
          <w:szCs w:val="24"/>
        </w:rPr>
        <w:t>029-88319689</w:t>
      </w:r>
      <w:r>
        <w:rPr>
          <w:rFonts w:hint="eastAsia" w:ascii="宋体" w:hAnsi="宋体" w:cs="宋体"/>
          <w:kern w:val="0"/>
          <w:sz w:val="24"/>
          <w:szCs w:val="24"/>
        </w:rPr>
        <w:t>-803</w:t>
      </w:r>
    </w:p>
    <w:p>
      <w:pPr>
        <w:widowControl/>
        <w:numPr>
          <w:ilvl w:val="0"/>
          <w:numId w:val="1"/>
        </w:numPr>
        <w:tabs>
          <w:tab w:val="left" w:pos="1620"/>
        </w:tabs>
        <w:wordWrap w:val="0"/>
        <w:snapToGrid w:val="0"/>
        <w:spacing w:line="360" w:lineRule="auto"/>
        <w:ind w:firstLine="480" w:firstLineChars="200"/>
        <w:jc w:val="left"/>
        <w:rPr>
          <w:rFonts w:ascii="宋体" w:cs="宋体"/>
          <w:bCs/>
          <w:kern w:val="0"/>
          <w:sz w:val="24"/>
          <w:szCs w:val="24"/>
        </w:rPr>
      </w:pPr>
      <w:r>
        <w:rPr>
          <w:rFonts w:hint="eastAsia" w:ascii="宋体" w:hAnsi="宋体" w:cs="宋体"/>
          <w:kern w:val="0"/>
          <w:sz w:val="24"/>
          <w:szCs w:val="24"/>
        </w:rPr>
        <w:t>采购内容和要求：</w:t>
      </w:r>
    </w:p>
    <w:tbl>
      <w:tblPr>
        <w:tblStyle w:val="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2665"/>
        <w:gridCol w:w="870"/>
        <w:gridCol w:w="945"/>
        <w:gridCol w:w="1080"/>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87" w:type="dxa"/>
            <w:noWrap w:val="0"/>
            <w:vAlign w:val="center"/>
          </w:tcPr>
          <w:p>
            <w:pPr>
              <w:widowControl/>
              <w:tabs>
                <w:tab w:val="left" w:pos="1620"/>
              </w:tabs>
              <w:wordWrap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标段号</w:t>
            </w:r>
          </w:p>
        </w:tc>
        <w:tc>
          <w:tcPr>
            <w:tcW w:w="2665" w:type="dxa"/>
            <w:noWrap w:val="0"/>
            <w:vAlign w:val="center"/>
          </w:tcPr>
          <w:p>
            <w:pPr>
              <w:widowControl/>
              <w:tabs>
                <w:tab w:val="left" w:pos="1620"/>
              </w:tabs>
              <w:wordWrap w:val="0"/>
              <w:adjustRightInd w:val="0"/>
              <w:snapToGrid w:val="0"/>
              <w:jc w:val="center"/>
              <w:rPr>
                <w:rFonts w:ascii="宋体" w:hAnsi="宋体" w:cs="宋体"/>
                <w:kern w:val="0"/>
                <w:sz w:val="24"/>
                <w:szCs w:val="24"/>
              </w:rPr>
            </w:pPr>
            <w:r>
              <w:rPr>
                <w:rFonts w:hint="eastAsia" w:ascii="宋体" w:hAnsi="宋体" w:cs="宋体"/>
                <w:kern w:val="0"/>
                <w:sz w:val="24"/>
                <w:szCs w:val="24"/>
              </w:rPr>
              <w:t>设备名称</w:t>
            </w:r>
          </w:p>
        </w:tc>
        <w:tc>
          <w:tcPr>
            <w:tcW w:w="870" w:type="dxa"/>
            <w:noWrap w:val="0"/>
            <w:vAlign w:val="center"/>
          </w:tcPr>
          <w:p>
            <w:pPr>
              <w:widowControl/>
              <w:tabs>
                <w:tab w:val="left" w:pos="1620"/>
              </w:tabs>
              <w:wordWrap w:val="0"/>
              <w:adjustRightInd w:val="0"/>
              <w:snapToGrid w:val="0"/>
              <w:jc w:val="center"/>
              <w:rPr>
                <w:rFonts w:ascii="宋体" w:hAnsi="宋体" w:cs="宋体"/>
                <w:kern w:val="0"/>
                <w:sz w:val="24"/>
                <w:szCs w:val="24"/>
              </w:rPr>
            </w:pPr>
            <w:r>
              <w:rPr>
                <w:rFonts w:hint="eastAsia" w:ascii="宋体" w:hAnsi="宋体" w:cs="宋体"/>
                <w:kern w:val="0"/>
                <w:sz w:val="24"/>
                <w:szCs w:val="24"/>
              </w:rPr>
              <w:t>数量</w:t>
            </w:r>
          </w:p>
        </w:tc>
        <w:tc>
          <w:tcPr>
            <w:tcW w:w="945" w:type="dxa"/>
            <w:noWrap w:val="0"/>
            <w:vAlign w:val="center"/>
          </w:tcPr>
          <w:p>
            <w:pPr>
              <w:widowControl/>
              <w:tabs>
                <w:tab w:val="left" w:pos="1620"/>
              </w:tabs>
              <w:wordWrap w:val="0"/>
              <w:adjustRightInd w:val="0"/>
              <w:snapToGrid w:val="0"/>
              <w:jc w:val="center"/>
              <w:rPr>
                <w:rFonts w:ascii="宋体" w:hAnsi="宋体" w:cs="宋体"/>
                <w:kern w:val="0"/>
                <w:sz w:val="24"/>
                <w:szCs w:val="24"/>
              </w:rPr>
            </w:pPr>
            <w:r>
              <w:rPr>
                <w:rFonts w:hint="eastAsia" w:ascii="宋体" w:hAnsi="宋体" w:cs="宋体"/>
                <w:kern w:val="0"/>
                <w:sz w:val="24"/>
                <w:szCs w:val="24"/>
              </w:rPr>
              <w:t>单位</w:t>
            </w:r>
          </w:p>
        </w:tc>
        <w:tc>
          <w:tcPr>
            <w:tcW w:w="1080" w:type="dxa"/>
            <w:noWrap w:val="0"/>
            <w:vAlign w:val="center"/>
          </w:tcPr>
          <w:p>
            <w:pPr>
              <w:widowControl/>
              <w:tabs>
                <w:tab w:val="left" w:pos="1620"/>
              </w:tabs>
              <w:wordWrap w:val="0"/>
              <w:adjustRightInd w:val="0"/>
              <w:snapToGrid w:val="0"/>
              <w:jc w:val="center"/>
              <w:rPr>
                <w:rFonts w:ascii="宋体" w:hAnsi="宋体" w:cs="宋体"/>
                <w:kern w:val="0"/>
                <w:sz w:val="24"/>
                <w:szCs w:val="24"/>
              </w:rPr>
            </w:pPr>
            <w:r>
              <w:rPr>
                <w:rFonts w:hint="eastAsia" w:ascii="宋体" w:hAnsi="宋体" w:cs="宋体"/>
                <w:kern w:val="0"/>
                <w:sz w:val="24"/>
                <w:szCs w:val="24"/>
              </w:rPr>
              <w:t>总预算</w:t>
            </w:r>
          </w:p>
        </w:tc>
        <w:tc>
          <w:tcPr>
            <w:tcW w:w="1815" w:type="dxa"/>
            <w:noWrap w:val="0"/>
            <w:vAlign w:val="center"/>
          </w:tcPr>
          <w:p>
            <w:pPr>
              <w:widowControl/>
              <w:tabs>
                <w:tab w:val="left" w:pos="1620"/>
              </w:tabs>
              <w:wordWrap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87" w:type="dxa"/>
            <w:noWrap w:val="0"/>
            <w:vAlign w:val="center"/>
          </w:tcPr>
          <w:p>
            <w:pPr>
              <w:widowControl/>
              <w:tabs>
                <w:tab w:val="left" w:pos="1620"/>
              </w:tabs>
              <w:wordWrap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第一标段</w:t>
            </w:r>
          </w:p>
        </w:tc>
        <w:tc>
          <w:tcPr>
            <w:tcW w:w="2665" w:type="dxa"/>
            <w:noWrap w:val="0"/>
            <w:vAlign w:val="center"/>
          </w:tcPr>
          <w:p>
            <w:pPr>
              <w:widowControl/>
              <w:tabs>
                <w:tab w:val="left" w:pos="1620"/>
              </w:tabs>
              <w:wordWrap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数字化高端彩色多普勒超声诊断系统</w:t>
            </w:r>
          </w:p>
        </w:tc>
        <w:tc>
          <w:tcPr>
            <w:tcW w:w="870" w:type="dxa"/>
            <w:noWrap w:val="0"/>
            <w:vAlign w:val="center"/>
          </w:tcPr>
          <w:p>
            <w:pPr>
              <w:widowControl/>
              <w:tabs>
                <w:tab w:val="left" w:pos="1620"/>
              </w:tabs>
              <w:wordWrap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1</w:t>
            </w:r>
          </w:p>
        </w:tc>
        <w:tc>
          <w:tcPr>
            <w:tcW w:w="945" w:type="dxa"/>
            <w:noWrap w:val="0"/>
            <w:vAlign w:val="center"/>
          </w:tcPr>
          <w:p>
            <w:pPr>
              <w:widowControl/>
              <w:tabs>
                <w:tab w:val="left" w:pos="1620"/>
              </w:tabs>
              <w:wordWrap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台</w:t>
            </w:r>
          </w:p>
        </w:tc>
        <w:tc>
          <w:tcPr>
            <w:tcW w:w="1080" w:type="dxa"/>
            <w:noWrap w:val="0"/>
            <w:vAlign w:val="center"/>
          </w:tcPr>
          <w:p>
            <w:pPr>
              <w:widowControl/>
              <w:tabs>
                <w:tab w:val="left" w:pos="1620"/>
              </w:tabs>
              <w:wordWrap w:val="0"/>
              <w:adjustRightInd w:val="0"/>
              <w:snapToGrid w:val="0"/>
              <w:jc w:val="center"/>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5</w:t>
            </w:r>
            <w:r>
              <w:rPr>
                <w:rFonts w:hint="eastAsia" w:ascii="宋体" w:hAnsi="宋体" w:cs="宋体"/>
                <w:kern w:val="0"/>
                <w:sz w:val="24"/>
                <w:szCs w:val="24"/>
              </w:rPr>
              <w:t>0万</w:t>
            </w:r>
          </w:p>
        </w:tc>
        <w:tc>
          <w:tcPr>
            <w:tcW w:w="1815" w:type="dxa"/>
            <w:noWrap w:val="0"/>
            <w:vAlign w:val="center"/>
          </w:tcPr>
          <w:p>
            <w:pPr>
              <w:widowControl/>
              <w:wordWrap w:val="0"/>
              <w:adjustRightInd w:val="0"/>
              <w:snapToGrid w:val="0"/>
              <w:rPr>
                <w:rFonts w:ascii="宋体" w:hAnsi="宋体" w:cs="宋体"/>
                <w:kern w:val="0"/>
                <w:sz w:val="24"/>
                <w:szCs w:val="24"/>
                <w:highlight w:val="yellow"/>
              </w:rPr>
            </w:pPr>
            <w:r>
              <w:rPr>
                <w:rFonts w:hint="eastAsia" w:ascii="宋体" w:hAnsi="宋体" w:cs="宋体"/>
                <w:kern w:val="0"/>
                <w:sz w:val="24"/>
                <w:szCs w:val="24"/>
              </w:rPr>
              <w:t>已做进口论证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87" w:type="dxa"/>
            <w:noWrap w:val="0"/>
            <w:vAlign w:val="center"/>
          </w:tcPr>
          <w:p>
            <w:pPr>
              <w:widowControl/>
              <w:tabs>
                <w:tab w:val="left" w:pos="1620"/>
              </w:tabs>
              <w:wordWrap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第二标段</w:t>
            </w:r>
          </w:p>
        </w:tc>
        <w:tc>
          <w:tcPr>
            <w:tcW w:w="2665" w:type="dxa"/>
            <w:noWrap w:val="0"/>
            <w:vAlign w:val="center"/>
          </w:tcPr>
          <w:p>
            <w:pPr>
              <w:widowControl/>
              <w:tabs>
                <w:tab w:val="left" w:pos="1620"/>
              </w:tabs>
              <w:wordWrap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全数字化高端彩色多普勒超声诊断系统</w:t>
            </w:r>
          </w:p>
        </w:tc>
        <w:tc>
          <w:tcPr>
            <w:tcW w:w="870" w:type="dxa"/>
            <w:noWrap w:val="0"/>
            <w:vAlign w:val="center"/>
          </w:tcPr>
          <w:p>
            <w:pPr>
              <w:widowControl/>
              <w:tabs>
                <w:tab w:val="left" w:pos="1620"/>
              </w:tabs>
              <w:wordWrap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1</w:t>
            </w:r>
          </w:p>
        </w:tc>
        <w:tc>
          <w:tcPr>
            <w:tcW w:w="945" w:type="dxa"/>
            <w:noWrap w:val="0"/>
            <w:vAlign w:val="center"/>
          </w:tcPr>
          <w:p>
            <w:pPr>
              <w:widowControl/>
              <w:tabs>
                <w:tab w:val="left" w:pos="1620"/>
              </w:tabs>
              <w:wordWrap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台</w:t>
            </w:r>
          </w:p>
        </w:tc>
        <w:tc>
          <w:tcPr>
            <w:tcW w:w="1080" w:type="dxa"/>
            <w:noWrap w:val="0"/>
            <w:vAlign w:val="center"/>
          </w:tcPr>
          <w:p>
            <w:pPr>
              <w:widowControl/>
              <w:tabs>
                <w:tab w:val="left" w:pos="1620"/>
              </w:tabs>
              <w:wordWrap w:val="0"/>
              <w:adjustRightInd w:val="0"/>
              <w:snapToGrid w:val="0"/>
              <w:jc w:val="center"/>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5</w:t>
            </w:r>
            <w:r>
              <w:rPr>
                <w:rFonts w:hint="eastAsia" w:ascii="宋体" w:hAnsi="宋体" w:cs="宋体"/>
                <w:kern w:val="0"/>
                <w:sz w:val="24"/>
                <w:szCs w:val="24"/>
              </w:rPr>
              <w:t>0万</w:t>
            </w:r>
          </w:p>
        </w:tc>
        <w:tc>
          <w:tcPr>
            <w:tcW w:w="1815" w:type="dxa"/>
            <w:noWrap w:val="0"/>
            <w:vAlign w:val="center"/>
          </w:tcPr>
          <w:p>
            <w:pPr>
              <w:widowControl/>
              <w:wordWrap w:val="0"/>
              <w:adjustRightInd w:val="0"/>
              <w:snapToGrid w:val="0"/>
              <w:rPr>
                <w:rFonts w:hint="eastAsia" w:ascii="宋体" w:hAnsi="宋体" w:cs="宋体"/>
                <w:kern w:val="0"/>
                <w:sz w:val="24"/>
                <w:szCs w:val="24"/>
                <w:highlight w:val="yellow"/>
              </w:rPr>
            </w:pPr>
            <w:r>
              <w:rPr>
                <w:rFonts w:hint="eastAsia" w:ascii="宋体" w:hAnsi="宋体" w:cs="宋体"/>
                <w:kern w:val="0"/>
                <w:sz w:val="24"/>
                <w:szCs w:val="24"/>
              </w:rPr>
              <w:t>已做进口论证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87" w:type="dxa"/>
            <w:noWrap w:val="0"/>
            <w:vAlign w:val="center"/>
          </w:tcPr>
          <w:p>
            <w:pPr>
              <w:widowControl/>
              <w:tabs>
                <w:tab w:val="left" w:pos="1620"/>
              </w:tabs>
              <w:wordWrap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第三标段</w:t>
            </w:r>
          </w:p>
        </w:tc>
        <w:tc>
          <w:tcPr>
            <w:tcW w:w="2665" w:type="dxa"/>
            <w:noWrap w:val="0"/>
            <w:vAlign w:val="center"/>
          </w:tcPr>
          <w:p>
            <w:pPr>
              <w:widowControl/>
              <w:tabs>
                <w:tab w:val="left" w:pos="1620"/>
              </w:tabs>
              <w:wordWrap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便携式彩色超声</w:t>
            </w:r>
          </w:p>
        </w:tc>
        <w:tc>
          <w:tcPr>
            <w:tcW w:w="870" w:type="dxa"/>
            <w:noWrap w:val="0"/>
            <w:vAlign w:val="center"/>
          </w:tcPr>
          <w:p>
            <w:pPr>
              <w:widowControl/>
              <w:tabs>
                <w:tab w:val="left" w:pos="1620"/>
              </w:tabs>
              <w:wordWrap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1</w:t>
            </w:r>
          </w:p>
        </w:tc>
        <w:tc>
          <w:tcPr>
            <w:tcW w:w="945" w:type="dxa"/>
            <w:noWrap w:val="0"/>
            <w:vAlign w:val="center"/>
          </w:tcPr>
          <w:p>
            <w:pPr>
              <w:widowControl/>
              <w:tabs>
                <w:tab w:val="left" w:pos="1620"/>
              </w:tabs>
              <w:wordWrap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台</w:t>
            </w:r>
          </w:p>
        </w:tc>
        <w:tc>
          <w:tcPr>
            <w:tcW w:w="1080" w:type="dxa"/>
            <w:noWrap w:val="0"/>
            <w:vAlign w:val="center"/>
          </w:tcPr>
          <w:p>
            <w:pPr>
              <w:widowControl/>
              <w:tabs>
                <w:tab w:val="left" w:pos="1620"/>
              </w:tabs>
              <w:wordWrap w:val="0"/>
              <w:adjustRightInd w:val="0"/>
              <w:snapToGrid w:val="0"/>
              <w:jc w:val="center"/>
              <w:rPr>
                <w:rFonts w:ascii="宋体" w:hAnsi="宋体" w:cs="宋体"/>
                <w:kern w:val="0"/>
                <w:sz w:val="24"/>
                <w:szCs w:val="24"/>
              </w:rPr>
            </w:pPr>
            <w:r>
              <w:rPr>
                <w:rFonts w:hint="eastAsia" w:ascii="宋体" w:hAnsi="宋体" w:cs="宋体"/>
                <w:kern w:val="0"/>
                <w:sz w:val="24"/>
                <w:szCs w:val="24"/>
              </w:rPr>
              <w:t>50万</w:t>
            </w:r>
          </w:p>
        </w:tc>
        <w:tc>
          <w:tcPr>
            <w:tcW w:w="1815" w:type="dxa"/>
            <w:noWrap w:val="0"/>
            <w:vAlign w:val="center"/>
          </w:tcPr>
          <w:p>
            <w:pPr>
              <w:widowControl/>
              <w:wordWrap w:val="0"/>
              <w:adjustRightInd w:val="0"/>
              <w:snapToGrid w:val="0"/>
              <w:rPr>
                <w:rFonts w:hint="eastAsia" w:ascii="宋体" w:hAnsi="宋体" w:cs="宋体"/>
                <w:kern w:val="0"/>
                <w:sz w:val="24"/>
                <w:szCs w:val="24"/>
                <w:highlight w:val="yellow"/>
              </w:rPr>
            </w:pPr>
          </w:p>
        </w:tc>
      </w:tr>
    </w:tbl>
    <w:p>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投标人资质要求：</w:t>
      </w:r>
    </w:p>
    <w:p>
      <w:pPr>
        <w:snapToGrid w:val="0"/>
        <w:spacing w:line="360" w:lineRule="auto"/>
        <w:ind w:firstLine="480" w:firstLineChars="200"/>
        <w:jc w:val="left"/>
        <w:rPr>
          <w:rFonts w:ascii="宋体" w:cs="宋体"/>
          <w:bCs/>
          <w:kern w:val="0"/>
          <w:sz w:val="24"/>
          <w:szCs w:val="24"/>
        </w:rPr>
      </w:pPr>
      <w:r>
        <w:rPr>
          <w:rFonts w:hint="eastAsia" w:ascii="宋体" w:hAnsi="宋体" w:cs="宋体"/>
          <w:bCs/>
          <w:kern w:val="0"/>
          <w:sz w:val="24"/>
          <w:szCs w:val="24"/>
        </w:rPr>
        <w:t>符合《中华人民共和国政府采购法》第二十二条规定，并提供以下材料：</w:t>
      </w:r>
    </w:p>
    <w:p>
      <w:pPr>
        <w:numPr>
          <w:ilvl w:val="0"/>
          <w:numId w:val="2"/>
        </w:numPr>
        <w:snapToGrid w:val="0"/>
        <w:spacing w:line="360" w:lineRule="auto"/>
        <w:ind w:firstLine="567"/>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p>
    <w:p>
      <w:pPr>
        <w:numPr>
          <w:ilvl w:val="0"/>
          <w:numId w:val="2"/>
        </w:numPr>
        <w:snapToGrid w:val="0"/>
        <w:spacing w:line="360" w:lineRule="auto"/>
        <w:ind w:firstLine="567"/>
        <w:jc w:val="left"/>
      </w:pPr>
      <w:r>
        <w:rPr>
          <w:rFonts w:hint="eastAsia" w:ascii="宋体" w:hAnsi="宋体" w:cs="宋体"/>
          <w:bCs/>
          <w:kern w:val="0"/>
          <w:sz w:val="24"/>
          <w:szCs w:val="24"/>
        </w:rPr>
        <w:t>非法定代表人参加投标的，须提供法定代表人授权委托书及被授权人身份证原件；法定代表人参加投标时</w:t>
      </w:r>
      <w:r>
        <w:rPr>
          <w:rFonts w:ascii="宋体" w:cs="宋体"/>
          <w:bCs/>
          <w:kern w:val="0"/>
          <w:sz w:val="24"/>
          <w:szCs w:val="24"/>
        </w:rPr>
        <w:t>,</w:t>
      </w:r>
      <w:r>
        <w:rPr>
          <w:rFonts w:hint="eastAsia" w:ascii="宋体" w:hAnsi="宋体" w:cs="宋体"/>
          <w:bCs/>
          <w:kern w:val="0"/>
          <w:sz w:val="24"/>
          <w:szCs w:val="24"/>
        </w:rPr>
        <w:t>只须提供法定代表人身份证原件；</w:t>
      </w:r>
    </w:p>
    <w:p>
      <w:pPr>
        <w:numPr>
          <w:ilvl w:val="0"/>
          <w:numId w:val="2"/>
        </w:numPr>
        <w:snapToGrid w:val="0"/>
        <w:spacing w:line="360" w:lineRule="auto"/>
        <w:ind w:firstLine="567"/>
        <w:jc w:val="left"/>
        <w:rPr>
          <w:rFonts w:ascii="宋体" w:cs="宋体"/>
          <w:bCs/>
          <w:kern w:val="0"/>
          <w:sz w:val="24"/>
          <w:szCs w:val="24"/>
        </w:rPr>
      </w:pPr>
      <w:r>
        <w:rPr>
          <w:rFonts w:hint="eastAsia" w:ascii="宋体" w:hAnsi="宋体" w:cs="宋体"/>
          <w:bCs/>
          <w:kern w:val="0"/>
          <w:sz w:val="24"/>
          <w:szCs w:val="24"/>
        </w:rPr>
        <w:t>投标人应出具参加政府采购活动前</w:t>
      </w:r>
      <w:r>
        <w:rPr>
          <w:rFonts w:ascii="宋体" w:hAnsi="宋体" w:cs="宋体"/>
          <w:bCs/>
          <w:kern w:val="0"/>
          <w:sz w:val="24"/>
          <w:szCs w:val="24"/>
        </w:rPr>
        <w:t>3</w:t>
      </w:r>
      <w:r>
        <w:rPr>
          <w:rFonts w:hint="eastAsia" w:ascii="宋体" w:hAnsi="宋体" w:cs="宋体"/>
          <w:bCs/>
          <w:kern w:val="0"/>
          <w:sz w:val="24"/>
          <w:szCs w:val="24"/>
        </w:rPr>
        <w:t>年内在经营活动中没有重大违法记录的书面声明；</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财务状况证明：提供经会计师事务所审计的2022年财务审计报告，或在开标日期前六个月内其基本开户银行出具的资信证明；</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社保缴纳证明：提供已缴存的2023年1月1日以来至少一个月的社会保障资金缴存单据或社保机构开具的社会保险参保缴费情况证明。依法不需要缴纳社会保障资金的供应商应提供相关文件证明。</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税收缴纳证明：提供已缴纳的2023年1月1日以来至少一个月的纳税证明或完税证明（提供增值税、企业所得税至少一种），纳税证明或完税证明上应有代收机构或税务机关的公章或业务专用章。依法免税的供应商应提供相关文件证明。</w:t>
      </w:r>
    </w:p>
    <w:p>
      <w:pPr>
        <w:numPr>
          <w:ilvl w:val="0"/>
          <w:numId w:val="2"/>
        </w:numPr>
        <w:snapToGrid w:val="0"/>
        <w:spacing w:line="360" w:lineRule="auto"/>
        <w:ind w:firstLine="567"/>
        <w:jc w:val="left"/>
        <w:rPr>
          <w:rFonts w:ascii="宋体" w:hAnsi="宋体" w:cs="宋体"/>
          <w:bCs/>
          <w:kern w:val="0"/>
          <w:sz w:val="24"/>
          <w:szCs w:val="24"/>
        </w:rPr>
      </w:pPr>
      <w:r>
        <w:rPr>
          <w:rFonts w:hint="eastAsia" w:hAnsi="宋体"/>
          <w:sz w:val="24"/>
          <w:szCs w:val="24"/>
        </w:rPr>
        <w:t>所投设备为进口设备则须提供针对本项目所投设备的厂家授权书或总代理商授权书及厂家售后服务承诺函（厂家直投只须提供售后服务承诺函）（提供总代理商授权的须出具有效授权权限的相关证明文件，证明文件须能显示设备制造厂家对所投设备授权链条的完整性，且授权范围须包含本次采购项目内容）</w:t>
      </w:r>
      <w:r>
        <w:rPr>
          <w:rFonts w:hint="eastAsia" w:ascii="宋体" w:hAnsi="宋体" w:cs="宋体"/>
          <w:bCs/>
          <w:kern w:val="0"/>
          <w:sz w:val="24"/>
          <w:szCs w:val="24"/>
        </w:rPr>
        <w:t>；</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投标人为代理商的须提供《医疗器械经营许可证》或《医疗器械经营备案凭证》及所投产品医疗器械注册证或医疗器械备案凭证(含附件和附页)；并出具产品授权单位的营业执照、税务登记证（国、地税）、组织机构代码（三证合一的单位，只须提供营业执照）（境外单位除外）和医疗器械生产许可证；复印件加盖公章；投标人为制造商的须提供《医疗器械经营许可证》或《医疗器械经营备案凭证》、《医疗器械生产许可证》及所投产品医疗器械注册证或医疗器械备案凭证(含附件和附页)；</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本项目不接受联合体投标。</w:t>
      </w:r>
    </w:p>
    <w:p>
      <w:pPr>
        <w:widowControl/>
        <w:numPr>
          <w:ilvl w:val="0"/>
          <w:numId w:val="1"/>
        </w:numPr>
        <w:tabs>
          <w:tab w:val="left" w:pos="1620"/>
        </w:tabs>
        <w:wordWrap w:val="0"/>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采购项目需要落实的政府采购政策：</w:t>
      </w:r>
      <w:r>
        <w:rPr>
          <w:rFonts w:ascii="宋体" w:hAnsi="宋体" w:cs="宋体"/>
          <w:kern w:val="0"/>
          <w:sz w:val="24"/>
          <w:szCs w:val="24"/>
        </w:rPr>
        <w:t xml:space="preserve"> </w:t>
      </w:r>
    </w:p>
    <w:p>
      <w:pPr>
        <w:snapToGrid w:val="0"/>
        <w:spacing w:line="360" w:lineRule="auto"/>
        <w:ind w:firstLine="480" w:firstLineChars="200"/>
        <w:rPr>
          <w:rFonts w:ascii="宋体" w:cs="宋体"/>
          <w:color w:val="000000"/>
          <w:sz w:val="24"/>
          <w:szCs w:val="24"/>
        </w:rPr>
      </w:pPr>
      <w:r>
        <w:rPr>
          <w:rFonts w:hint="eastAsia" w:ascii="宋体" w:hAnsi="宋体" w:cs="宋体"/>
          <w:color w:val="000000"/>
          <w:sz w:val="24"/>
          <w:szCs w:val="24"/>
        </w:rPr>
        <w:t>依据《中华人民共和国政府采购法》和《中华人民共和国政府采购法实施条例》的有关规定，落实政府采购“优先购买节能环保产品、扶持小微企业、监狱企业、福利企业”</w:t>
      </w:r>
      <w:r>
        <w:rPr>
          <w:rFonts w:ascii="宋体" w:hAnsi="宋体" w:cs="宋体"/>
          <w:color w:val="000000"/>
          <w:sz w:val="24"/>
          <w:szCs w:val="24"/>
        </w:rPr>
        <w:t xml:space="preserve"> </w:t>
      </w:r>
      <w:r>
        <w:rPr>
          <w:rFonts w:hint="eastAsia" w:ascii="宋体" w:hAnsi="宋体" w:cs="宋体"/>
          <w:color w:val="000000"/>
          <w:sz w:val="24"/>
          <w:szCs w:val="24"/>
        </w:rPr>
        <w:t>等相关政策。</w:t>
      </w:r>
    </w:p>
    <w:p>
      <w:pPr>
        <w:snapToGrid w:val="0"/>
        <w:spacing w:line="360" w:lineRule="auto"/>
        <w:ind w:left="7" w:firstLine="559" w:firstLineChars="233"/>
        <w:jc w:val="left"/>
        <w:rPr>
          <w:rFonts w:ascii="宋体" w:hAnsi="宋体" w:cs="宋体"/>
          <w:kern w:val="0"/>
          <w:sz w:val="24"/>
          <w:szCs w:val="24"/>
        </w:rPr>
      </w:pPr>
      <w:r>
        <w:rPr>
          <w:rFonts w:hint="eastAsia" w:ascii="宋体" w:hAnsi="宋体" w:cs="宋体"/>
          <w:kern w:val="0"/>
          <w:sz w:val="24"/>
          <w:szCs w:val="24"/>
        </w:rPr>
        <w:t>1、《政府采购促进中小企业发展管理办法》（财库〔2020〕46号）；</w:t>
      </w:r>
    </w:p>
    <w:p>
      <w:pPr>
        <w:snapToGrid w:val="0"/>
        <w:spacing w:line="360" w:lineRule="auto"/>
        <w:ind w:left="7" w:firstLine="559" w:firstLineChars="233"/>
        <w:jc w:val="left"/>
        <w:rPr>
          <w:rFonts w:ascii="宋体" w:hAnsi="宋体" w:cs="宋体"/>
          <w:kern w:val="0"/>
          <w:sz w:val="24"/>
          <w:szCs w:val="24"/>
        </w:rPr>
      </w:pPr>
      <w:r>
        <w:rPr>
          <w:rFonts w:hint="eastAsia" w:ascii="宋体" w:hAnsi="宋体" w:cs="宋体"/>
          <w:kern w:val="0"/>
          <w:sz w:val="24"/>
          <w:szCs w:val="24"/>
        </w:rPr>
        <w:t>2、《财政部司法部关于政府采购支持监狱企业发展有关问题的通知》（财库〔2014〕68号）；</w:t>
      </w:r>
    </w:p>
    <w:p>
      <w:pPr>
        <w:snapToGrid w:val="0"/>
        <w:spacing w:line="360" w:lineRule="auto"/>
        <w:ind w:left="7" w:firstLine="559" w:firstLineChars="233"/>
        <w:jc w:val="left"/>
        <w:rPr>
          <w:rFonts w:ascii="宋体" w:hAnsi="宋体" w:cs="宋体"/>
          <w:kern w:val="0"/>
          <w:sz w:val="24"/>
          <w:szCs w:val="24"/>
        </w:rPr>
      </w:pPr>
      <w:r>
        <w:rPr>
          <w:rFonts w:hint="eastAsia" w:ascii="宋体" w:hAnsi="宋体" w:cs="宋体"/>
          <w:kern w:val="0"/>
          <w:sz w:val="24"/>
          <w:szCs w:val="24"/>
        </w:rPr>
        <w:t>3、《国务院办公厅关于建立政府强制采购节能产品制度的通知》（国办发〔2007〕51号）；</w:t>
      </w:r>
    </w:p>
    <w:p>
      <w:pPr>
        <w:snapToGrid w:val="0"/>
        <w:spacing w:line="360" w:lineRule="auto"/>
        <w:ind w:left="7" w:firstLine="559" w:firstLineChars="233"/>
        <w:jc w:val="left"/>
        <w:rPr>
          <w:rFonts w:ascii="宋体" w:hAnsi="宋体" w:cs="宋体"/>
          <w:kern w:val="0"/>
          <w:sz w:val="24"/>
          <w:szCs w:val="24"/>
        </w:rPr>
      </w:pPr>
      <w:r>
        <w:rPr>
          <w:rFonts w:hint="eastAsia" w:ascii="宋体" w:hAnsi="宋体" w:cs="宋体"/>
          <w:kern w:val="0"/>
          <w:sz w:val="24"/>
          <w:szCs w:val="24"/>
        </w:rPr>
        <w:t>4、《财政部发展改革委生态环境部市场监督总局关于调整优化节能产品、环境标志产品政府采购执行机制的通知》（财库[2019]9号）</w:t>
      </w:r>
    </w:p>
    <w:p>
      <w:pPr>
        <w:snapToGrid w:val="0"/>
        <w:spacing w:line="360" w:lineRule="auto"/>
        <w:ind w:left="7" w:firstLine="559" w:firstLineChars="233"/>
        <w:jc w:val="left"/>
        <w:rPr>
          <w:rFonts w:ascii="宋体" w:hAnsi="宋体" w:cs="宋体"/>
          <w:kern w:val="0"/>
          <w:sz w:val="24"/>
          <w:szCs w:val="24"/>
        </w:rPr>
      </w:pPr>
      <w:r>
        <w:rPr>
          <w:rFonts w:hint="eastAsia" w:ascii="宋体" w:hAnsi="宋体" w:cs="宋体"/>
          <w:kern w:val="0"/>
          <w:sz w:val="24"/>
          <w:szCs w:val="24"/>
        </w:rPr>
        <w:t>5、《市场监督总局关于发布参与实施政府采购节能产品、环境标志产品认证机构名录的公告》（2019年第16号）</w:t>
      </w:r>
    </w:p>
    <w:p>
      <w:pPr>
        <w:snapToGrid w:val="0"/>
        <w:spacing w:line="360" w:lineRule="auto"/>
        <w:ind w:left="7" w:firstLine="559" w:firstLineChars="233"/>
        <w:jc w:val="left"/>
        <w:rPr>
          <w:rFonts w:ascii="宋体" w:hAnsi="宋体" w:cs="宋体"/>
          <w:bCs/>
          <w:kern w:val="0"/>
          <w:sz w:val="24"/>
          <w:szCs w:val="24"/>
        </w:rPr>
      </w:pPr>
      <w:r>
        <w:rPr>
          <w:rFonts w:hint="eastAsia" w:ascii="宋体" w:hAnsi="宋体" w:cs="宋体"/>
          <w:kern w:val="0"/>
          <w:sz w:val="24"/>
          <w:szCs w:val="24"/>
        </w:rPr>
        <w:t>6、《三部门联合发布关于促进残疾人就业政府采购政策的通知》（财库〔2017〕141号）。</w:t>
      </w:r>
    </w:p>
    <w:p>
      <w:pPr>
        <w:snapToGrid w:val="0"/>
        <w:spacing w:line="360" w:lineRule="auto"/>
        <w:ind w:left="7" w:firstLine="559" w:firstLineChars="233"/>
        <w:jc w:val="left"/>
        <w:rPr>
          <w:rFonts w:hint="eastAsia"/>
          <w:sz w:val="24"/>
          <w:szCs w:val="28"/>
        </w:rPr>
      </w:pPr>
      <w:r>
        <w:rPr>
          <w:rFonts w:hint="eastAsia"/>
          <w:sz w:val="24"/>
          <w:szCs w:val="28"/>
        </w:rPr>
        <w:t>7、《</w:t>
      </w:r>
      <w:r>
        <w:rPr>
          <w:rFonts w:hint="eastAsia" w:ascii="宋体" w:hAnsi="宋体" w:cs="宋体"/>
          <w:kern w:val="0"/>
          <w:sz w:val="24"/>
          <w:szCs w:val="24"/>
        </w:rPr>
        <w:t>陕西省</w:t>
      </w:r>
      <w:r>
        <w:rPr>
          <w:rFonts w:hint="eastAsia"/>
          <w:sz w:val="24"/>
          <w:szCs w:val="28"/>
        </w:rPr>
        <w:t>中小企业政府采购信用融资办法》（陕财办采〔2018〕23号）</w:t>
      </w:r>
    </w:p>
    <w:p>
      <w:pPr>
        <w:widowControl/>
        <w:tabs>
          <w:tab w:val="left" w:pos="1620"/>
        </w:tabs>
        <w:wordWrap w:val="0"/>
        <w:snapToGrid w:val="0"/>
        <w:spacing w:line="360" w:lineRule="auto"/>
        <w:ind w:left="420"/>
        <w:jc w:val="left"/>
        <w:rPr>
          <w:rFonts w:ascii="宋体" w:hAnsi="宋体" w:cs="宋体"/>
          <w:kern w:val="0"/>
          <w:sz w:val="24"/>
          <w:szCs w:val="24"/>
        </w:rPr>
      </w:pPr>
      <w:r>
        <w:rPr>
          <w:rFonts w:hint="eastAsia" w:ascii="宋体" w:hAnsi="宋体" w:cs="宋体"/>
          <w:kern w:val="0"/>
          <w:sz w:val="24"/>
          <w:szCs w:val="24"/>
        </w:rPr>
        <w:t>八、招标文件领取：</w:t>
      </w:r>
    </w:p>
    <w:p>
      <w:pPr>
        <w:snapToGrid w:val="0"/>
        <w:spacing w:line="360" w:lineRule="auto"/>
        <w:ind w:firstLine="480" w:firstLineChars="200"/>
        <w:rPr>
          <w:rFonts w:ascii="宋体" w:hAnsi="宋体" w:cs="宋体"/>
          <w:color w:val="000000"/>
          <w:sz w:val="24"/>
          <w:szCs w:val="24"/>
        </w:rPr>
      </w:pPr>
      <w:r>
        <w:rPr>
          <w:rFonts w:hint="eastAsia" w:ascii="宋体" w:hAnsi="宋体" w:cs="宋体"/>
          <w:kern w:val="0"/>
          <w:sz w:val="24"/>
          <w:szCs w:val="24"/>
        </w:rPr>
        <w:t>1、领取时</w:t>
      </w:r>
      <w:r>
        <w:rPr>
          <w:rFonts w:hint="eastAsia" w:ascii="宋体" w:hAnsi="宋体" w:cs="宋体"/>
          <w:color w:val="000000"/>
          <w:sz w:val="24"/>
          <w:szCs w:val="24"/>
        </w:rPr>
        <w:t>间：</w:t>
      </w:r>
      <w:r>
        <w:rPr>
          <w:rFonts w:hint="eastAsia" w:ascii="宋体" w:hAnsi="宋体" w:cs="宋体"/>
          <w:color w:val="000000"/>
          <w:sz w:val="24"/>
          <w:szCs w:val="24"/>
          <w:u w:val="single"/>
        </w:rPr>
        <w:t>2023</w:t>
      </w:r>
      <w:r>
        <w:rPr>
          <w:rFonts w:hint="eastAsia" w:ascii="宋体" w:hAnsi="宋体" w:cs="宋体"/>
          <w:color w:val="000000"/>
          <w:sz w:val="24"/>
          <w:szCs w:val="24"/>
        </w:rPr>
        <w:t>年</w:t>
      </w:r>
      <w:r>
        <w:rPr>
          <w:rFonts w:hint="eastAsia" w:ascii="宋体" w:hAnsi="宋体" w:cs="宋体"/>
          <w:color w:val="000000"/>
          <w:sz w:val="24"/>
          <w:szCs w:val="24"/>
          <w:u w:val="single"/>
        </w:rPr>
        <w:t>10</w:t>
      </w:r>
      <w:r>
        <w:rPr>
          <w:rFonts w:hint="eastAsia" w:ascii="宋体" w:hAnsi="宋体" w:cs="宋体"/>
          <w:color w:val="000000"/>
          <w:sz w:val="24"/>
          <w:szCs w:val="24"/>
        </w:rPr>
        <w:t>月</w:t>
      </w:r>
      <w:r>
        <w:rPr>
          <w:rFonts w:hint="eastAsia" w:ascii="宋体" w:hAnsi="宋体" w:cs="宋体"/>
          <w:color w:val="000000"/>
          <w:sz w:val="24"/>
          <w:szCs w:val="24"/>
          <w:u w:val="single"/>
          <w:lang w:val="en-US" w:eastAsia="zh-CN"/>
        </w:rPr>
        <w:t>16</w:t>
      </w:r>
      <w:r>
        <w:rPr>
          <w:rFonts w:hint="eastAsia" w:ascii="宋体" w:hAnsi="宋体" w:cs="宋体"/>
          <w:color w:val="000000"/>
          <w:sz w:val="24"/>
          <w:szCs w:val="24"/>
        </w:rPr>
        <w:t>日起至2023年</w:t>
      </w:r>
      <w:r>
        <w:rPr>
          <w:rFonts w:hint="eastAsia" w:ascii="宋体" w:hAnsi="宋体" w:cs="宋体"/>
          <w:color w:val="000000"/>
          <w:sz w:val="24"/>
          <w:szCs w:val="24"/>
          <w:u w:val="single"/>
        </w:rPr>
        <w:t>10</w:t>
      </w:r>
      <w:r>
        <w:rPr>
          <w:rFonts w:hint="eastAsia" w:ascii="宋体" w:hAnsi="宋体" w:cs="宋体"/>
          <w:color w:val="000000"/>
          <w:sz w:val="24"/>
          <w:szCs w:val="24"/>
        </w:rPr>
        <w:t>月</w:t>
      </w:r>
      <w:r>
        <w:rPr>
          <w:rFonts w:hint="eastAsia" w:ascii="宋体" w:hAnsi="宋体" w:cs="宋体"/>
          <w:color w:val="000000"/>
          <w:sz w:val="24"/>
          <w:szCs w:val="24"/>
          <w:u w:val="single"/>
          <w:lang w:val="en-US" w:eastAsia="zh-CN"/>
        </w:rPr>
        <w:t>23</w:t>
      </w:r>
      <w:r>
        <w:rPr>
          <w:rFonts w:hint="eastAsia" w:ascii="宋体" w:hAnsi="宋体" w:cs="宋体"/>
          <w:color w:val="000000"/>
          <w:sz w:val="24"/>
          <w:szCs w:val="24"/>
        </w:rPr>
        <w:t>日止</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（上午09:00～12:00，下午14:00～17:00法定节假日除外）</w:t>
      </w:r>
    </w:p>
    <w:p>
      <w:pPr>
        <w:widowControl/>
        <w:wordWrap w:val="0"/>
        <w:snapToGrid w:val="0"/>
        <w:spacing w:line="360" w:lineRule="auto"/>
        <w:ind w:firstLine="720" w:firstLineChars="300"/>
        <w:jc w:val="left"/>
        <w:rPr>
          <w:rFonts w:ascii="宋体" w:hAnsi="宋体" w:cs="宋体"/>
          <w:kern w:val="0"/>
          <w:sz w:val="24"/>
          <w:szCs w:val="24"/>
        </w:rPr>
      </w:pPr>
      <w:r>
        <w:rPr>
          <w:rFonts w:hint="eastAsia" w:ascii="宋体" w:hAnsi="宋体" w:cs="宋体"/>
          <w:kern w:val="0"/>
          <w:sz w:val="24"/>
          <w:szCs w:val="24"/>
        </w:rPr>
        <w:t>2、发售地点：西安市莲湖区西关正街英达大厦1507室</w:t>
      </w:r>
    </w:p>
    <w:p>
      <w:pPr>
        <w:widowControl/>
        <w:wordWrap w:val="0"/>
        <w:snapToGrid w:val="0"/>
        <w:spacing w:line="360" w:lineRule="auto"/>
        <w:ind w:firstLine="720" w:firstLineChars="300"/>
        <w:jc w:val="left"/>
        <w:rPr>
          <w:rFonts w:ascii="宋体" w:hAnsi="宋体" w:cs="宋体"/>
          <w:kern w:val="0"/>
          <w:sz w:val="24"/>
          <w:szCs w:val="24"/>
        </w:rPr>
      </w:pPr>
      <w:r>
        <w:rPr>
          <w:rFonts w:hint="eastAsia" w:ascii="宋体" w:hAnsi="宋体" w:cs="宋体"/>
          <w:kern w:val="0"/>
          <w:sz w:val="24"/>
          <w:szCs w:val="24"/>
        </w:rPr>
        <w:t>3、文件售价：¥300元/标段。谢绝邮寄。</w:t>
      </w:r>
    </w:p>
    <w:p>
      <w:pPr>
        <w:widowControl/>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注：（1）供应商领取标书时，请携带单位介绍信、经办人身份证原件及复印件加盖公章；（2）请供应商按照《陕西省财政厅关于政府采购供应商注册登记有关事项的通知》中的要求，通过陕西省政府采购网（http://www.ccgp-shaanxi.gov.cn/）注册登记加入陕西省政府采购供应商库。</w:t>
      </w:r>
    </w:p>
    <w:p>
      <w:pPr>
        <w:widowControl/>
        <w:tabs>
          <w:tab w:val="left" w:pos="1620"/>
        </w:tabs>
        <w:wordWrap w:val="0"/>
        <w:snapToGrid w:val="0"/>
        <w:spacing w:line="360" w:lineRule="auto"/>
        <w:ind w:left="420"/>
        <w:jc w:val="left"/>
        <w:rPr>
          <w:rFonts w:ascii="宋体" w:hAnsi="宋体" w:cs="宋体"/>
          <w:kern w:val="0"/>
          <w:sz w:val="24"/>
          <w:szCs w:val="24"/>
        </w:rPr>
      </w:pPr>
      <w:r>
        <w:rPr>
          <w:rFonts w:hint="eastAsia" w:ascii="宋体" w:hAnsi="宋体" w:cs="宋体"/>
          <w:kern w:val="0"/>
          <w:sz w:val="24"/>
          <w:szCs w:val="24"/>
        </w:rPr>
        <w:t>九、投标文件递交截止时间及开标时间和地点：</w:t>
      </w:r>
    </w:p>
    <w:p>
      <w:pPr>
        <w:widowControl/>
        <w:wordWrap w:val="0"/>
        <w:snapToGrid w:val="0"/>
        <w:spacing w:line="360" w:lineRule="auto"/>
        <w:ind w:right="-199" w:rightChars="-95" w:firstLine="960" w:firstLineChars="400"/>
        <w:jc w:val="left"/>
        <w:rPr>
          <w:rFonts w:hint="eastAsia" w:ascii="宋体" w:hAnsi="宋体" w:cs="宋体"/>
          <w:kern w:val="0"/>
          <w:sz w:val="24"/>
          <w:szCs w:val="24"/>
        </w:rPr>
      </w:pPr>
      <w:r>
        <w:rPr>
          <w:rFonts w:hint="eastAsia" w:ascii="宋体" w:hAnsi="宋体" w:cs="宋体"/>
          <w:kern w:val="0"/>
          <w:sz w:val="24"/>
          <w:szCs w:val="24"/>
        </w:rPr>
        <w:t>1、投标文件递交截止时间：2023年11月0</w:t>
      </w:r>
      <w:r>
        <w:rPr>
          <w:rFonts w:hint="eastAsia" w:ascii="宋体" w:hAnsi="宋体" w:cs="宋体"/>
          <w:kern w:val="0"/>
          <w:sz w:val="24"/>
          <w:szCs w:val="24"/>
          <w:lang w:val="en-US" w:eastAsia="zh-CN"/>
        </w:rPr>
        <w:t>6</w:t>
      </w:r>
      <w:r>
        <w:rPr>
          <w:rFonts w:hint="eastAsia" w:ascii="宋体" w:hAnsi="宋体" w:cs="宋体"/>
          <w:kern w:val="0"/>
          <w:sz w:val="24"/>
          <w:szCs w:val="24"/>
        </w:rPr>
        <w:t>日</w:t>
      </w:r>
      <w:r>
        <w:rPr>
          <w:rFonts w:hint="eastAsia" w:ascii="宋体" w:hAnsi="宋体" w:cs="宋体"/>
          <w:kern w:val="0"/>
          <w:sz w:val="24"/>
          <w:szCs w:val="24"/>
          <w:lang w:val="en-US" w:eastAsia="zh-CN"/>
        </w:rPr>
        <w:t>10</w:t>
      </w:r>
      <w:r>
        <w:rPr>
          <w:rFonts w:hint="eastAsia" w:ascii="宋体" w:hAnsi="宋体" w:cs="宋体"/>
          <w:kern w:val="0"/>
          <w:sz w:val="24"/>
          <w:szCs w:val="24"/>
        </w:rPr>
        <w:t>:</w:t>
      </w:r>
      <w:r>
        <w:rPr>
          <w:rFonts w:hint="eastAsia" w:ascii="宋体" w:hAnsi="宋体" w:cs="宋体"/>
          <w:kern w:val="0"/>
          <w:sz w:val="24"/>
          <w:szCs w:val="24"/>
          <w:lang w:val="en-US" w:eastAsia="zh-CN"/>
        </w:rPr>
        <w:t>0</w:t>
      </w:r>
      <w:r>
        <w:rPr>
          <w:rFonts w:hint="eastAsia" w:ascii="宋体" w:hAnsi="宋体" w:cs="宋体"/>
          <w:kern w:val="0"/>
          <w:sz w:val="24"/>
          <w:szCs w:val="24"/>
        </w:rPr>
        <w:t>0时</w:t>
      </w:r>
    </w:p>
    <w:p>
      <w:pPr>
        <w:widowControl/>
        <w:wordWrap w:val="0"/>
        <w:snapToGrid w:val="0"/>
        <w:spacing w:line="360" w:lineRule="auto"/>
        <w:ind w:right="-199" w:rightChars="-95" w:firstLine="960" w:firstLineChars="400"/>
        <w:jc w:val="left"/>
        <w:rPr>
          <w:rFonts w:hint="eastAsia" w:ascii="宋体" w:hAnsi="宋体" w:cs="宋体"/>
          <w:kern w:val="0"/>
          <w:sz w:val="24"/>
          <w:szCs w:val="24"/>
        </w:rPr>
      </w:pPr>
      <w:r>
        <w:rPr>
          <w:rFonts w:hint="eastAsia" w:ascii="宋体" w:hAnsi="宋体" w:cs="宋体"/>
          <w:kern w:val="0"/>
          <w:sz w:val="24"/>
          <w:szCs w:val="24"/>
        </w:rPr>
        <w:t>2、开标时间：2023年11月0</w:t>
      </w:r>
      <w:r>
        <w:rPr>
          <w:rFonts w:hint="eastAsia" w:ascii="宋体" w:hAnsi="宋体" w:cs="宋体"/>
          <w:kern w:val="0"/>
          <w:sz w:val="24"/>
          <w:szCs w:val="24"/>
          <w:lang w:val="en-US" w:eastAsia="zh-CN"/>
        </w:rPr>
        <w:t>6</w:t>
      </w:r>
      <w:r>
        <w:rPr>
          <w:rFonts w:hint="eastAsia" w:ascii="宋体" w:hAnsi="宋体" w:cs="宋体"/>
          <w:kern w:val="0"/>
          <w:sz w:val="24"/>
          <w:szCs w:val="24"/>
        </w:rPr>
        <w:t>日</w:t>
      </w:r>
      <w:r>
        <w:rPr>
          <w:rFonts w:hint="eastAsia" w:ascii="宋体" w:hAnsi="宋体" w:cs="宋体"/>
          <w:kern w:val="0"/>
          <w:sz w:val="24"/>
          <w:szCs w:val="24"/>
          <w:lang w:val="en-US" w:eastAsia="zh-CN"/>
        </w:rPr>
        <w:t>10</w:t>
      </w:r>
      <w:r>
        <w:rPr>
          <w:rFonts w:hint="eastAsia" w:ascii="宋体" w:hAnsi="宋体" w:cs="宋体"/>
          <w:kern w:val="0"/>
          <w:sz w:val="24"/>
          <w:szCs w:val="24"/>
        </w:rPr>
        <w:t>:</w:t>
      </w:r>
      <w:r>
        <w:rPr>
          <w:rFonts w:hint="eastAsia" w:ascii="宋体" w:hAnsi="宋体" w:cs="宋体"/>
          <w:kern w:val="0"/>
          <w:sz w:val="24"/>
          <w:szCs w:val="24"/>
          <w:lang w:val="en-US" w:eastAsia="zh-CN"/>
        </w:rPr>
        <w:t>0</w:t>
      </w:r>
      <w:r>
        <w:rPr>
          <w:rFonts w:hint="eastAsia" w:ascii="宋体" w:hAnsi="宋体" w:cs="宋体"/>
          <w:kern w:val="0"/>
          <w:sz w:val="24"/>
          <w:szCs w:val="24"/>
        </w:rPr>
        <w:t xml:space="preserve">0时 </w:t>
      </w:r>
    </w:p>
    <w:p>
      <w:pPr>
        <w:widowControl/>
        <w:wordWrap w:val="0"/>
        <w:snapToGrid w:val="0"/>
        <w:spacing w:line="360" w:lineRule="auto"/>
        <w:ind w:right="-199" w:rightChars="-95" w:firstLine="960" w:firstLineChars="400"/>
        <w:jc w:val="left"/>
        <w:rPr>
          <w:rFonts w:ascii="宋体" w:hAnsi="宋体" w:cs="宋体"/>
          <w:kern w:val="0"/>
          <w:sz w:val="24"/>
          <w:szCs w:val="24"/>
        </w:rPr>
      </w:pPr>
      <w:r>
        <w:rPr>
          <w:rFonts w:hint="eastAsia" w:ascii="宋体" w:hAnsi="宋体" w:cs="宋体"/>
          <w:kern w:val="0"/>
          <w:sz w:val="24"/>
          <w:szCs w:val="24"/>
        </w:rPr>
        <w:t>3、开标地点：西安市莲湖区西关正街英达大厦1503会议室</w:t>
      </w:r>
    </w:p>
    <w:p>
      <w:pPr>
        <w:widowControl/>
        <w:tabs>
          <w:tab w:val="left" w:pos="1620"/>
        </w:tabs>
        <w:wordWrap w:val="0"/>
        <w:snapToGrid w:val="0"/>
        <w:spacing w:line="360" w:lineRule="auto"/>
        <w:ind w:left="420"/>
        <w:jc w:val="left"/>
        <w:rPr>
          <w:rFonts w:ascii="宋体" w:hAnsi="宋体" w:cs="宋体"/>
          <w:kern w:val="0"/>
          <w:sz w:val="24"/>
          <w:szCs w:val="24"/>
        </w:rPr>
      </w:pPr>
      <w:r>
        <w:rPr>
          <w:rFonts w:hint="eastAsia" w:ascii="宋体" w:hAnsi="宋体" w:cs="宋体"/>
          <w:kern w:val="0"/>
          <w:sz w:val="24"/>
          <w:szCs w:val="24"/>
        </w:rPr>
        <w:t>十、其它应说明的事项：</w:t>
      </w:r>
    </w:p>
    <w:p>
      <w:pPr>
        <w:widowControl/>
        <w:wordWrap w:val="0"/>
        <w:snapToGrid w:val="0"/>
        <w:spacing w:line="360" w:lineRule="auto"/>
        <w:ind w:right="-199" w:rightChars="-95" w:firstLine="960" w:firstLineChars="400"/>
        <w:jc w:val="left"/>
        <w:rPr>
          <w:rFonts w:ascii="宋体" w:hAnsi="宋体" w:cs="宋体"/>
          <w:kern w:val="0"/>
          <w:sz w:val="24"/>
          <w:szCs w:val="24"/>
        </w:rPr>
      </w:pPr>
      <w:r>
        <w:rPr>
          <w:rFonts w:hint="eastAsia" w:ascii="宋体" w:hAnsi="宋体" w:cs="宋体"/>
          <w:kern w:val="0"/>
          <w:sz w:val="24"/>
          <w:szCs w:val="24"/>
        </w:rPr>
        <w:t>1、采购项目联系人：黄工 陈工 丁工 邱工</w:t>
      </w:r>
    </w:p>
    <w:p>
      <w:pPr>
        <w:widowControl/>
        <w:wordWrap w:val="0"/>
        <w:snapToGrid w:val="0"/>
        <w:spacing w:line="360" w:lineRule="auto"/>
        <w:ind w:firstLine="1320" w:firstLineChars="550"/>
        <w:jc w:val="left"/>
        <w:rPr>
          <w:rFonts w:ascii="宋体" w:hAnsi="宋体" w:cs="宋体"/>
          <w:kern w:val="0"/>
          <w:sz w:val="24"/>
          <w:szCs w:val="24"/>
        </w:rPr>
      </w:pPr>
      <w:r>
        <w:rPr>
          <w:rFonts w:hint="eastAsia" w:ascii="宋体" w:hAnsi="宋体" w:cs="宋体"/>
          <w:kern w:val="0"/>
          <w:sz w:val="24"/>
          <w:szCs w:val="24"/>
        </w:rPr>
        <w:t>联系方式（电话/传真）：029-88319689-803</w:t>
      </w:r>
    </w:p>
    <w:p>
      <w:pPr>
        <w:widowControl/>
        <w:wordWrap w:val="0"/>
        <w:snapToGrid w:val="0"/>
        <w:spacing w:line="360" w:lineRule="auto"/>
        <w:ind w:right="-199" w:rightChars="-95" w:firstLine="960" w:firstLineChars="400"/>
        <w:jc w:val="left"/>
        <w:rPr>
          <w:rFonts w:ascii="宋体" w:hAnsi="宋体" w:cs="宋体"/>
          <w:kern w:val="0"/>
          <w:sz w:val="24"/>
          <w:szCs w:val="24"/>
        </w:rPr>
      </w:pPr>
      <w:r>
        <w:rPr>
          <w:rFonts w:hint="eastAsia" w:ascii="宋体" w:hAnsi="宋体" w:cs="宋体"/>
          <w:kern w:val="0"/>
          <w:sz w:val="24"/>
          <w:szCs w:val="24"/>
        </w:rPr>
        <w:t>2、采购代理机构开户名称：陕西万泽招标有限公司</w:t>
      </w:r>
    </w:p>
    <w:p>
      <w:pPr>
        <w:widowControl/>
        <w:wordWrap w:val="0"/>
        <w:snapToGrid w:val="0"/>
        <w:spacing w:line="360" w:lineRule="auto"/>
        <w:ind w:right="-199" w:rightChars="-95" w:firstLine="960" w:firstLineChars="400"/>
        <w:jc w:val="left"/>
        <w:rPr>
          <w:rFonts w:ascii="宋体" w:hAnsi="宋体" w:cs="宋体"/>
          <w:kern w:val="0"/>
          <w:sz w:val="24"/>
          <w:szCs w:val="24"/>
        </w:rPr>
      </w:pPr>
      <w:r>
        <w:rPr>
          <w:rFonts w:hint="eastAsia" w:ascii="宋体" w:hAnsi="宋体" w:cs="宋体"/>
          <w:kern w:val="0"/>
          <w:sz w:val="24"/>
          <w:szCs w:val="24"/>
        </w:rPr>
        <w:t>3、开户行名称：西安银行朝阳门支行</w:t>
      </w:r>
      <w:bookmarkStart w:id="3" w:name="_GoBack"/>
      <w:bookmarkEnd w:id="3"/>
    </w:p>
    <w:p>
      <w:pPr>
        <w:widowControl/>
        <w:wordWrap w:val="0"/>
        <w:snapToGrid w:val="0"/>
        <w:spacing w:line="360" w:lineRule="auto"/>
        <w:ind w:firstLine="1320" w:firstLineChars="550"/>
        <w:jc w:val="left"/>
        <w:rPr>
          <w:rFonts w:ascii="宋体" w:hAnsi="宋体" w:cs="宋体"/>
          <w:kern w:val="0"/>
          <w:sz w:val="24"/>
          <w:szCs w:val="24"/>
        </w:rPr>
      </w:pPr>
      <w:r>
        <w:rPr>
          <w:rFonts w:hint="eastAsia" w:ascii="宋体" w:hAnsi="宋体" w:cs="宋体"/>
          <w:kern w:val="0"/>
          <w:sz w:val="24"/>
          <w:szCs w:val="24"/>
        </w:rPr>
        <w:t>账      号：211011580000015489</w:t>
      </w:r>
    </w:p>
    <w:p>
      <w:pPr>
        <w:widowControl/>
        <w:tabs>
          <w:tab w:val="left" w:pos="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十一、公告期自发布之日起五个工作日。</w:t>
      </w:r>
    </w:p>
    <w:p>
      <w:pPr>
        <w:widowControl/>
        <w:tabs>
          <w:tab w:val="left" w:pos="1620"/>
        </w:tabs>
        <w:snapToGrid w:val="0"/>
        <w:spacing w:line="360" w:lineRule="auto"/>
        <w:ind w:firstLine="420" w:firstLineChars="175"/>
        <w:jc w:val="right"/>
        <w:rPr>
          <w:rFonts w:ascii="宋体" w:hAnsi="宋体" w:cs="宋体"/>
          <w:kern w:val="0"/>
          <w:sz w:val="24"/>
          <w:szCs w:val="24"/>
        </w:rPr>
      </w:pPr>
      <w:r>
        <w:rPr>
          <w:rFonts w:hint="eastAsia" w:ascii="宋体" w:hAnsi="宋体" w:cs="宋体"/>
          <w:kern w:val="0"/>
          <w:sz w:val="24"/>
          <w:szCs w:val="24"/>
        </w:rPr>
        <w:t>陕西万泽招标有限公司</w:t>
      </w:r>
    </w:p>
    <w:p>
      <w:pPr>
        <w:widowControl/>
        <w:tabs>
          <w:tab w:val="left" w:pos="1620"/>
        </w:tabs>
        <w:snapToGrid w:val="0"/>
        <w:spacing w:line="360" w:lineRule="auto"/>
        <w:ind w:firstLine="420" w:firstLineChars="175"/>
        <w:jc w:val="right"/>
        <w:rPr>
          <w:rFonts w:ascii="宋体" w:hAnsi="宋体" w:cs="宋体"/>
          <w:color w:val="FF0000"/>
          <w:kern w:val="0"/>
          <w:sz w:val="24"/>
          <w:szCs w:val="24"/>
        </w:rPr>
        <w:sectPr>
          <w:footerReference r:id="rId3" w:type="default"/>
          <w:pgSz w:w="11906" w:h="16838"/>
          <w:pgMar w:top="1440" w:right="1304" w:bottom="1440" w:left="1304" w:header="851" w:footer="992" w:gutter="0"/>
          <w:cols w:space="720" w:num="1"/>
          <w:docGrid w:type="lines" w:linePitch="325" w:charSpace="0"/>
        </w:sectPr>
      </w:pPr>
      <w:r>
        <w:rPr>
          <w:rFonts w:hint="eastAsia" w:ascii="宋体" w:hAnsi="宋体" w:cs="宋体"/>
          <w:color w:val="000000"/>
          <w:sz w:val="24"/>
          <w:szCs w:val="24"/>
        </w:rPr>
        <w:t>2023</w:t>
      </w:r>
      <w:r>
        <w:rPr>
          <w:rFonts w:hint="eastAsia" w:ascii="宋体" w:hAnsi="宋体" w:cs="宋体"/>
          <w:kern w:val="0"/>
          <w:sz w:val="24"/>
          <w:szCs w:val="24"/>
        </w:rPr>
        <w:t>年10月1</w:t>
      </w:r>
      <w:r>
        <w:rPr>
          <w:rFonts w:hint="eastAsia" w:ascii="宋体" w:hAnsi="宋体" w:cs="宋体"/>
          <w:kern w:val="0"/>
          <w:sz w:val="24"/>
          <w:szCs w:val="24"/>
          <w:lang w:val="en-US" w:eastAsia="zh-CN"/>
        </w:rPr>
        <w:t>6</w:t>
      </w:r>
      <w:r>
        <w:rPr>
          <w:rFonts w:hint="eastAsia" w:ascii="宋体" w:hAnsi="宋体" w:cs="宋体"/>
          <w:kern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23290" cy="15430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923290" cy="154305"/>
                      </a:xfrm>
                      <a:prstGeom prst="rect">
                        <a:avLst/>
                      </a:prstGeom>
                      <a:noFill/>
                      <a:ln w="6350">
                        <a:noFill/>
                      </a:ln>
                      <a:effectLst/>
                    </wps:spPr>
                    <wps:txbx>
                      <w:txbxContent>
                        <w:p>
                          <w:pPr>
                            <w:pStyle w:val="4"/>
                          </w:pPr>
                          <w:r>
                            <w:rPr>
                              <w:rFonts w:hint="eastAsia"/>
                            </w:rPr>
                            <w:t xml:space="preserve">第 </w:t>
                          </w:r>
                          <w:r>
                            <w:fldChar w:fldCharType="begin"/>
                          </w:r>
                          <w:r>
                            <w:instrText xml:space="preserve"> PAGE  \* MERGEFORMAT </w:instrText>
                          </w:r>
                          <w:r>
                            <w:fldChar w:fldCharType="separate"/>
                          </w:r>
                          <w:r>
                            <w:t>4</w:t>
                          </w:r>
                          <w:r>
                            <w:fldChar w:fldCharType="end"/>
                          </w:r>
                          <w:r>
                            <w:rPr>
                              <w:rFonts w:hint="eastAsia"/>
                            </w:rPr>
                            <w:t xml:space="preserve"> 页 共 </w:t>
                          </w:r>
                          <w:r>
                            <w:fldChar w:fldCharType="begin"/>
                          </w:r>
                          <w:r>
                            <w:instrText xml:space="preserve"> NUMPAGES  \* MERGEFORMAT </w:instrText>
                          </w:r>
                          <w:r>
                            <w:fldChar w:fldCharType="separate"/>
                          </w:r>
                          <w:r>
                            <w:t>68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5pt;width:72.7pt;mso-position-horizontal:center;mso-position-horizontal-relative:margin;mso-wrap-style:none;z-index:251659264;mso-width-relative:page;mso-height-relative:page;" filled="f" stroked="f" coordsize="21600,21600" o:gfxdata="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cTDEdIAAAAEAQAADwAAAAAAAAABACAAAAAiAAAAZHJzL2Rvd25yZXYueG1s&#10;UEsBAhQAFAAAAAgAh07iQCcPHAM3AgAAYwQAAA4AAAAAAAAAAQAgAAAAIQEAAGRycy9lMm9Eb2Mu&#10;eG1sUEsFBgAAAAAGAAYAWQEAAMoFAAAAAA==&#10;">
              <v:fill on="f" focussize="0,0"/>
              <v:stroke on="f" weight="0.5pt"/>
              <v:imagedata o:title=""/>
              <o:lock v:ext="edit" aspectratio="f"/>
              <v:textbox inset="0mm,0mm,0mm,0mm" style="mso-fit-shape-to-text:t;">
                <w:txbxContent>
                  <w:p>
                    <w:pPr>
                      <w:pStyle w:val="4"/>
                    </w:pPr>
                    <w:r>
                      <w:rPr>
                        <w:rFonts w:hint="eastAsia"/>
                      </w:rPr>
                      <w:t xml:space="preserve">第 </w:t>
                    </w:r>
                    <w:r>
                      <w:fldChar w:fldCharType="begin"/>
                    </w:r>
                    <w:r>
                      <w:instrText xml:space="preserve"> PAGE  \* MERGEFORMAT </w:instrText>
                    </w:r>
                    <w:r>
                      <w:fldChar w:fldCharType="separate"/>
                    </w:r>
                    <w:r>
                      <w:t>4</w:t>
                    </w:r>
                    <w:r>
                      <w:fldChar w:fldCharType="end"/>
                    </w:r>
                    <w:r>
                      <w:rPr>
                        <w:rFonts w:hint="eastAsia"/>
                      </w:rPr>
                      <w:t xml:space="preserve"> 页 共 </w:t>
                    </w:r>
                    <w:r>
                      <w:fldChar w:fldCharType="begin"/>
                    </w:r>
                    <w:r>
                      <w:instrText xml:space="preserve"> NUMPAGES  \* MERGEFORMAT </w:instrText>
                    </w:r>
                    <w:r>
                      <w:fldChar w:fldCharType="separate"/>
                    </w:r>
                    <w:r>
                      <w:t>68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rPr>
        <w:rFonts w:cs="Times New Roman"/>
      </w:rPr>
    </w:lvl>
  </w:abstractNum>
  <w:abstractNum w:abstractNumId="1">
    <w:nsid w:val="58BFC878"/>
    <w:multiLevelType w:val="singleLevel"/>
    <w:tmpl w:val="58BFC878"/>
    <w:lvl w:ilvl="0" w:tentative="0">
      <w:start w:val="1"/>
      <w:numFmt w:val="decimal"/>
      <w:suff w:val="nothing"/>
      <w:lvlText w:val="%1、"/>
      <w:lvlJc w:val="left"/>
      <w:pPr>
        <w:ind w:left="63" w:firstLine="420"/>
      </w:pPr>
      <w:rPr>
        <w:rFonts w:hint="default"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4MjIwOTA0MWNjODlkOWFjMmUwYWY1OTJjNGNjNDYifQ=="/>
  </w:docVars>
  <w:rsids>
    <w:rsidRoot w:val="1D06580B"/>
    <w:rsid w:val="1D06580B"/>
    <w:rsid w:val="6228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line="576" w:lineRule="auto"/>
      <w:jc w:val="center"/>
      <w:outlineLvl w:val="0"/>
    </w:pPr>
    <w:rPr>
      <w:rFonts w:ascii="Times New Roman" w:hAnsi="Times New Roman"/>
      <w:b/>
      <w:kern w:val="44"/>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1989</Words>
  <Characters>2236</Characters>
  <Lines>0</Lines>
  <Paragraphs>0</Paragraphs>
  <TotalTime>1</TotalTime>
  <ScaleCrop>false</ScaleCrop>
  <LinksUpToDate>false</LinksUpToDate>
  <CharactersWithSpaces>2251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2023-10-16T02:08:00Z</dcterms:created>
  <dc:creator>l`m  X。</dc:creator>
  <cp:lastModifiedBy>l`m  X。</cp:lastModifiedBy>
  <dcterms:modified xsi:type="dcterms:W3CDTF">2023-10-16T02:12:20Z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8D623F8DEC2C4842A055340ABCA4A941_11</vt:lpwstr>
  </property>
</Properties>
</file>