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before="24" w:after="24"/>
        <w:rPr>
          <w:rFonts w:ascii="宋体" w:hAnsi="宋体" w:cs="宋体"/>
          <w:b/>
          <w:bCs/>
          <w:color w:val="auto"/>
          <w:sz w:val="24"/>
          <w:szCs w:val="28"/>
          <w:highlight w:val="none"/>
        </w:rPr>
      </w:pPr>
      <w:bookmarkStart w:id="260" w:name="_GoBack"/>
      <w:bookmarkEnd w:id="260"/>
      <w:r>
        <w:rPr>
          <w:rFonts w:hint="eastAsia" w:ascii="宋体" w:hAnsi="宋体" w:cs="宋体"/>
          <w:b/>
          <w:bCs/>
          <w:color w:val="auto"/>
          <w:sz w:val="24"/>
          <w:szCs w:val="28"/>
          <w:highlight w:val="none"/>
        </w:rPr>
        <w:t>政府采购项目</w:t>
      </w:r>
    </w:p>
    <w:p>
      <w:pPr>
        <w:pStyle w:val="30"/>
        <w:spacing w:before="24" w:after="24"/>
        <w:rPr>
          <w:rFonts w:ascii="宋体" w:hAnsi="宋体" w:cs="宋体"/>
          <w:b/>
          <w:bCs/>
          <w:color w:val="auto"/>
          <w:sz w:val="24"/>
          <w:szCs w:val="28"/>
          <w:highlight w:val="none"/>
        </w:rPr>
      </w:pPr>
      <w:r>
        <w:rPr>
          <w:rFonts w:hint="eastAsia" w:ascii="宋体" w:hAnsi="宋体" w:cs="宋体"/>
          <w:b/>
          <w:bCs/>
          <w:color w:val="auto"/>
          <w:sz w:val="24"/>
          <w:szCs w:val="28"/>
          <w:highlight w:val="none"/>
        </w:rPr>
        <w:t>项目编号：SXZD（2023）114CG</w:t>
      </w:r>
    </w:p>
    <w:p>
      <w:pPr>
        <w:pStyle w:val="44"/>
        <w:ind w:firstLine="361"/>
        <w:rPr>
          <w:rFonts w:hint="default" w:ascii="宋体" w:hAnsi="宋体" w:cs="宋体"/>
          <w:b/>
          <w:bCs/>
          <w:color w:val="auto"/>
          <w:kern w:val="36"/>
          <w:sz w:val="36"/>
          <w:szCs w:val="36"/>
          <w:highlight w:val="none"/>
        </w:rPr>
      </w:pPr>
      <w:bookmarkStart w:id="0" w:name="_Toc50502500"/>
    </w:p>
    <w:p>
      <w:pPr>
        <w:pStyle w:val="44"/>
        <w:ind w:firstLine="361"/>
        <w:rPr>
          <w:rFonts w:hint="default" w:ascii="宋体" w:hAnsi="宋体" w:cs="宋体"/>
          <w:b/>
          <w:bCs/>
          <w:color w:val="auto"/>
          <w:kern w:val="36"/>
          <w:sz w:val="36"/>
          <w:szCs w:val="36"/>
          <w:highlight w:val="none"/>
        </w:rPr>
      </w:pPr>
    </w:p>
    <w:p>
      <w:pPr>
        <w:spacing w:before="24" w:after="24" w:line="400" w:lineRule="exact"/>
        <w:rPr>
          <w:rFonts w:hint="default" w:ascii="宋体" w:hAnsi="宋体" w:cs="宋体"/>
          <w:b/>
          <w:bCs/>
          <w:color w:val="auto"/>
          <w:kern w:val="36"/>
          <w:sz w:val="36"/>
          <w:szCs w:val="36"/>
          <w:highlight w:val="none"/>
        </w:rPr>
      </w:pPr>
    </w:p>
    <w:p>
      <w:pPr>
        <w:spacing w:before="24" w:after="24"/>
        <w:jc w:val="center"/>
        <w:rPr>
          <w:rFonts w:hint="default" w:ascii="宋体" w:hAnsi="宋体" w:cs="宋体"/>
          <w:b/>
          <w:bCs/>
          <w:color w:val="auto"/>
          <w:kern w:val="0"/>
          <w:sz w:val="40"/>
          <w:szCs w:val="40"/>
          <w:highlight w:val="none"/>
          <w:shd w:val="clear" w:color="auto" w:fill="FFFFFF"/>
        </w:rPr>
      </w:pPr>
      <w:r>
        <w:rPr>
          <w:rFonts w:ascii="宋体" w:hAnsi="宋体" w:cs="宋体"/>
          <w:b/>
          <w:bCs/>
          <w:color w:val="auto"/>
          <w:kern w:val="0"/>
          <w:sz w:val="40"/>
          <w:szCs w:val="40"/>
          <w:highlight w:val="none"/>
          <w:shd w:val="clear" w:color="auto" w:fill="FFFFFF"/>
        </w:rPr>
        <w:t>数字档案馆创建项目</w:t>
      </w:r>
    </w:p>
    <w:p>
      <w:pPr>
        <w:spacing w:before="24" w:after="24"/>
        <w:jc w:val="center"/>
        <w:rPr>
          <w:rFonts w:hint="default" w:ascii="宋体" w:hAnsi="宋体" w:cs="宋体"/>
          <w:b/>
          <w:bCs/>
          <w:color w:val="auto"/>
          <w:kern w:val="0"/>
          <w:sz w:val="28"/>
          <w:szCs w:val="28"/>
          <w:highlight w:val="none"/>
          <w:shd w:val="clear" w:color="auto" w:fill="FFFFFF"/>
        </w:rPr>
      </w:pPr>
    </w:p>
    <w:p>
      <w:pPr>
        <w:spacing w:before="24" w:after="24"/>
        <w:jc w:val="center"/>
        <w:rPr>
          <w:rFonts w:hint="default" w:ascii="宋体" w:hAnsi="宋体" w:cs="宋体"/>
          <w:b/>
          <w:bCs/>
          <w:color w:val="auto"/>
          <w:kern w:val="0"/>
          <w:sz w:val="72"/>
          <w:szCs w:val="72"/>
          <w:highlight w:val="none"/>
          <w:shd w:val="clear" w:color="auto" w:fill="FFFFFF"/>
        </w:rPr>
      </w:pPr>
      <w:r>
        <w:rPr>
          <w:rFonts w:ascii="宋体" w:hAnsi="宋体" w:cs="宋体"/>
          <w:b/>
          <w:bCs/>
          <w:color w:val="auto"/>
          <w:kern w:val="0"/>
          <w:sz w:val="72"/>
          <w:szCs w:val="72"/>
          <w:highlight w:val="none"/>
          <w:shd w:val="clear" w:color="auto" w:fill="FFFFFF"/>
        </w:rPr>
        <w:t>竞争性磋商文件</w:t>
      </w:r>
    </w:p>
    <w:p>
      <w:pPr>
        <w:spacing w:before="24" w:after="24"/>
        <w:jc w:val="center"/>
        <w:rPr>
          <w:rFonts w:hint="default" w:ascii="宋体" w:hAnsi="宋体" w:cs="宋体"/>
          <w:b/>
          <w:bCs/>
          <w:color w:val="auto"/>
          <w:kern w:val="0"/>
          <w:sz w:val="72"/>
          <w:szCs w:val="72"/>
          <w:highlight w:val="none"/>
          <w:shd w:val="clear" w:color="auto" w:fill="FFFFFF"/>
        </w:rPr>
      </w:pPr>
    </w:p>
    <w:p>
      <w:pPr>
        <w:spacing w:before="24" w:after="24"/>
        <w:jc w:val="center"/>
        <w:rPr>
          <w:rFonts w:hint="default" w:ascii="宋体" w:hAnsi="宋体" w:cs="宋体"/>
          <w:b/>
          <w:bCs/>
          <w:color w:val="auto"/>
          <w:kern w:val="0"/>
          <w:sz w:val="72"/>
          <w:szCs w:val="72"/>
          <w:highlight w:val="none"/>
          <w:shd w:val="clear" w:color="auto" w:fill="FFFFFF"/>
        </w:rPr>
      </w:pPr>
    </w:p>
    <w:p>
      <w:pPr>
        <w:pStyle w:val="45"/>
        <w:spacing w:before="24" w:after="24"/>
        <w:ind w:firstLine="1446"/>
        <w:rPr>
          <w:rFonts w:hint="default" w:hAnsi="宋体" w:cs="宋体"/>
          <w:b/>
          <w:bCs/>
          <w:color w:val="auto"/>
          <w:sz w:val="72"/>
          <w:szCs w:val="72"/>
          <w:highlight w:val="none"/>
          <w:shd w:val="clear" w:color="auto" w:fill="FFFFFF"/>
        </w:rPr>
      </w:pPr>
    </w:p>
    <w:p>
      <w:pPr>
        <w:pStyle w:val="44"/>
        <w:ind w:firstLine="180"/>
        <w:rPr>
          <w:rFonts w:hint="default" w:ascii="宋体" w:hAnsi="宋体" w:cs="宋体"/>
          <w:color w:val="auto"/>
          <w:highlight w:val="none"/>
        </w:rPr>
      </w:pPr>
    </w:p>
    <w:p>
      <w:pPr>
        <w:pStyle w:val="44"/>
        <w:ind w:firstLine="723"/>
        <w:rPr>
          <w:rFonts w:hint="default" w:ascii="宋体" w:hAnsi="宋体" w:cs="宋体"/>
          <w:b/>
          <w:bCs/>
          <w:color w:val="auto"/>
          <w:sz w:val="72"/>
          <w:szCs w:val="72"/>
          <w:highlight w:val="none"/>
          <w:shd w:val="clear" w:color="auto" w:fill="FFFFFF"/>
        </w:rPr>
      </w:pPr>
    </w:p>
    <w:p>
      <w:pPr>
        <w:pStyle w:val="45"/>
        <w:spacing w:before="24" w:after="24"/>
        <w:ind w:firstLine="400"/>
        <w:rPr>
          <w:rFonts w:hint="default" w:hAnsi="宋体" w:cs="宋体"/>
          <w:color w:val="auto"/>
          <w:highlight w:val="none"/>
        </w:rPr>
      </w:pPr>
    </w:p>
    <w:p>
      <w:pPr>
        <w:pStyle w:val="44"/>
        <w:ind w:firstLine="180"/>
        <w:rPr>
          <w:rFonts w:hint="default" w:ascii="宋体" w:hAnsi="宋体" w:cs="宋体"/>
          <w:color w:val="auto"/>
          <w:highlight w:val="none"/>
        </w:rPr>
      </w:pPr>
    </w:p>
    <w:p>
      <w:pPr>
        <w:spacing w:before="24" w:after="24" w:line="600" w:lineRule="auto"/>
        <w:jc w:val="center"/>
        <w:outlineLvl w:val="0"/>
        <w:rPr>
          <w:rFonts w:hint="default" w:ascii="宋体" w:hAnsi="宋体" w:cs="宋体"/>
          <w:b/>
          <w:bCs/>
          <w:color w:val="auto"/>
          <w:szCs w:val="24"/>
          <w:highlight w:val="none"/>
        </w:rPr>
      </w:pPr>
      <w:bookmarkStart w:id="1" w:name="_Toc12119"/>
      <w:r>
        <w:rPr>
          <w:rFonts w:ascii="宋体" w:hAnsi="宋体" w:cs="宋体"/>
          <w:b/>
          <w:bCs/>
          <w:color w:val="auto"/>
          <w:szCs w:val="24"/>
          <w:highlight w:val="none"/>
        </w:rPr>
        <w:t>采购人：</w:t>
      </w:r>
      <w:bookmarkEnd w:id="1"/>
      <w:r>
        <w:rPr>
          <w:rFonts w:ascii="宋体" w:hAnsi="宋体" w:cs="宋体"/>
          <w:b/>
          <w:bCs/>
          <w:color w:val="auto"/>
          <w:szCs w:val="24"/>
          <w:highlight w:val="none"/>
        </w:rPr>
        <w:t>岐山县档案馆</w:t>
      </w:r>
    </w:p>
    <w:p>
      <w:pPr>
        <w:spacing w:before="24" w:after="24" w:line="600" w:lineRule="auto"/>
        <w:jc w:val="center"/>
        <w:outlineLvl w:val="0"/>
        <w:rPr>
          <w:rFonts w:hint="default" w:ascii="宋体" w:hAnsi="宋体" w:cs="宋体"/>
          <w:color w:val="auto"/>
          <w:szCs w:val="24"/>
          <w:highlight w:val="none"/>
        </w:rPr>
      </w:pPr>
      <w:bookmarkStart w:id="2" w:name="_Toc14703"/>
      <w:r>
        <w:rPr>
          <w:rFonts w:ascii="宋体" w:hAnsi="宋体" w:cs="宋体"/>
          <w:b/>
          <w:bCs/>
          <w:color w:val="auto"/>
          <w:szCs w:val="24"/>
          <w:highlight w:val="none"/>
        </w:rPr>
        <w:t>采购代理机构：陕西正大项目管理咨询有限公司</w:t>
      </w:r>
      <w:bookmarkEnd w:id="2"/>
    </w:p>
    <w:p>
      <w:pPr>
        <w:pStyle w:val="63"/>
        <w:jc w:val="center"/>
        <w:rPr>
          <w:rFonts w:hAnsi="宋体"/>
          <w:b/>
          <w:bCs/>
          <w:color w:val="auto"/>
          <w:highlight w:val="none"/>
        </w:rPr>
      </w:pPr>
      <w:r>
        <w:rPr>
          <w:rFonts w:hint="eastAsia" w:hAnsi="宋体"/>
          <w:b/>
          <w:bCs/>
          <w:color w:val="auto"/>
          <w:highlight w:val="none"/>
        </w:rPr>
        <w:t>二〇二三年</w:t>
      </w:r>
      <w:r>
        <w:rPr>
          <w:rFonts w:hint="eastAsia" w:hAnsi="宋体"/>
          <w:b/>
          <w:bCs/>
          <w:color w:val="auto"/>
          <w:highlight w:val="none"/>
          <w:lang w:val="en-US" w:eastAsia="zh-Hans"/>
        </w:rPr>
        <w:t>九</w:t>
      </w:r>
      <w:r>
        <w:rPr>
          <w:rFonts w:hint="eastAsia" w:hAnsi="宋体"/>
          <w:b/>
          <w:bCs/>
          <w:color w:val="auto"/>
          <w:highlight w:val="none"/>
        </w:rPr>
        <w:t>月</w:t>
      </w:r>
    </w:p>
    <w:p>
      <w:pPr>
        <w:pStyle w:val="63"/>
        <w:jc w:val="center"/>
        <w:rPr>
          <w:rFonts w:hAnsi="宋体"/>
          <w:b/>
          <w:bCs/>
          <w:color w:val="auto"/>
          <w:highlight w:val="none"/>
        </w:rPr>
      </w:pPr>
    </w:p>
    <w:p>
      <w:pPr>
        <w:pStyle w:val="63"/>
        <w:jc w:val="center"/>
        <w:rPr>
          <w:rFonts w:hAnsi="宋体"/>
          <w:b/>
          <w:bCs/>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178" w:header="720" w:footer="964" w:gutter="0"/>
          <w:pgBorders>
            <w:top w:val="none" w:sz="0" w:space="0"/>
            <w:left w:val="none" w:sz="0" w:space="0"/>
            <w:bottom w:val="none" w:sz="0" w:space="0"/>
            <w:right w:val="none" w:sz="0" w:space="0"/>
          </w:pgBorders>
          <w:pgNumType w:start="1"/>
          <w:cols w:space="720" w:num="1"/>
        </w:sectPr>
      </w:pPr>
    </w:p>
    <w:p>
      <w:pPr>
        <w:pStyle w:val="63"/>
        <w:rPr>
          <w:rFonts w:hAnsi="宋体"/>
          <w:color w:val="auto"/>
          <w:sz w:val="28"/>
          <w:szCs w:val="28"/>
          <w:highlight w:val="none"/>
          <w:shd w:val="clear" w:color="auto" w:fill="FFFFFF"/>
        </w:rPr>
      </w:pPr>
    </w:p>
    <w:p>
      <w:pPr>
        <w:spacing w:beforeLines="0" w:afterLines="0" w:line="480" w:lineRule="auto"/>
        <w:jc w:val="center"/>
        <w:rPr>
          <w:rFonts w:hint="default" w:ascii="宋体" w:hAnsi="宋体" w:cs="宋体"/>
          <w:b/>
          <w:bCs/>
          <w:color w:val="auto"/>
          <w:sz w:val="36"/>
          <w:szCs w:val="36"/>
          <w:highlight w:val="none"/>
        </w:rPr>
      </w:pPr>
      <w:r>
        <w:rPr>
          <w:rFonts w:ascii="宋体" w:hAnsi="宋体" w:cs="宋体"/>
          <w:b/>
          <w:bCs/>
          <w:color w:val="auto"/>
          <w:sz w:val="36"/>
          <w:szCs w:val="36"/>
          <w:highlight w:val="none"/>
        </w:rPr>
        <w:t>目  录</w:t>
      </w:r>
    </w:p>
    <w:p>
      <w:pPr>
        <w:pStyle w:val="32"/>
        <w:tabs>
          <w:tab w:val="right" w:leader="dot" w:pos="9070"/>
          <w:tab w:val="clear" w:pos="8302"/>
        </w:tabs>
        <w:spacing w:before="120" w:after="120" w:line="480" w:lineRule="auto"/>
        <w:rPr>
          <w:rFonts w:hint="default" w:ascii="宋体" w:hAnsi="宋体" w:cs="宋体"/>
          <w:color w:val="auto"/>
          <w:szCs w:val="24"/>
          <w:highlight w:val="none"/>
        </w:rPr>
      </w:pPr>
      <w:r>
        <w:rPr>
          <w:rFonts w:ascii="宋体" w:hAnsi="宋体" w:cs="宋体"/>
          <w:color w:val="auto"/>
          <w:highlight w:val="none"/>
        </w:rPr>
        <w:fldChar w:fldCharType="begin"/>
      </w:r>
      <w:r>
        <w:rPr>
          <w:rFonts w:ascii="宋体" w:hAnsi="宋体" w:cs="宋体"/>
          <w:color w:val="auto"/>
          <w:highlight w:val="none"/>
        </w:rPr>
        <w:instrText xml:space="preserve">TOC \o "1-2" \h \u </w:instrText>
      </w:r>
      <w:r>
        <w:rPr>
          <w:rFonts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"_Toc27639" </w:instrText>
      </w:r>
      <w:r>
        <w:rPr>
          <w:color w:val="auto"/>
          <w:highlight w:val="none"/>
        </w:rPr>
        <w:fldChar w:fldCharType="separate"/>
      </w:r>
      <w:r>
        <w:rPr>
          <w:rFonts w:ascii="宋体" w:hAnsi="宋体" w:cs="宋体"/>
          <w:color w:val="auto"/>
          <w:szCs w:val="24"/>
          <w:highlight w:val="none"/>
        </w:rPr>
        <w:t>第一章  竞争性磋商公告</w:t>
      </w:r>
      <w:r>
        <w:rPr>
          <w:rFonts w:ascii="宋体" w:hAnsi="宋体" w:cs="宋体"/>
          <w:color w:val="auto"/>
          <w:szCs w:val="24"/>
          <w:highlight w:val="none"/>
        </w:rPr>
        <w:tab/>
      </w:r>
      <w:r>
        <w:rPr>
          <w:rFonts w:ascii="宋体" w:hAnsi="宋体" w:cs="宋体"/>
          <w:color w:val="auto"/>
          <w:szCs w:val="24"/>
          <w:highlight w:val="none"/>
        </w:rPr>
        <w:fldChar w:fldCharType="begin"/>
      </w:r>
      <w:r>
        <w:rPr>
          <w:rFonts w:ascii="宋体" w:hAnsi="宋体" w:cs="宋体"/>
          <w:color w:val="auto"/>
          <w:szCs w:val="24"/>
          <w:highlight w:val="none"/>
        </w:rPr>
        <w:instrText xml:space="preserve"> PAGEREF _Toc27639 \h </w:instrText>
      </w:r>
      <w:r>
        <w:rPr>
          <w:rFonts w:ascii="宋体" w:hAnsi="宋体" w:cs="宋体"/>
          <w:color w:val="auto"/>
          <w:szCs w:val="24"/>
          <w:highlight w:val="none"/>
        </w:rPr>
        <w:fldChar w:fldCharType="separate"/>
      </w:r>
      <w:r>
        <w:rPr>
          <w:rFonts w:ascii="宋体" w:hAnsi="宋体" w:cs="宋体"/>
          <w:color w:val="auto"/>
          <w:szCs w:val="24"/>
          <w:highlight w:val="none"/>
        </w:rPr>
        <w:t>2</w:t>
      </w:r>
      <w:r>
        <w:rPr>
          <w:rFonts w:ascii="宋体" w:hAnsi="宋体" w:cs="宋体"/>
          <w:color w:val="auto"/>
          <w:szCs w:val="24"/>
          <w:highlight w:val="none"/>
        </w:rPr>
        <w:fldChar w:fldCharType="end"/>
      </w:r>
      <w:r>
        <w:rPr>
          <w:rFonts w:ascii="宋体" w:hAnsi="宋体" w:cs="宋体"/>
          <w:color w:val="auto"/>
          <w:szCs w:val="24"/>
          <w:highlight w:val="none"/>
        </w:rPr>
        <w:fldChar w:fldCharType="end"/>
      </w:r>
    </w:p>
    <w:p>
      <w:pPr>
        <w:pStyle w:val="32"/>
        <w:tabs>
          <w:tab w:val="right" w:leader="dot" w:pos="9070"/>
          <w:tab w:val="clear" w:pos="8302"/>
        </w:tabs>
        <w:spacing w:before="120" w:after="120" w:line="480" w:lineRule="auto"/>
        <w:rPr>
          <w:rFonts w:hint="default" w:ascii="宋体" w:hAnsi="宋体" w:cs="宋体"/>
          <w:color w:val="auto"/>
          <w:szCs w:val="24"/>
          <w:highlight w:val="none"/>
        </w:rPr>
      </w:pPr>
      <w:r>
        <w:rPr>
          <w:color w:val="auto"/>
          <w:highlight w:val="none"/>
        </w:rPr>
        <w:fldChar w:fldCharType="begin"/>
      </w:r>
      <w:r>
        <w:rPr>
          <w:color w:val="auto"/>
          <w:highlight w:val="none"/>
        </w:rPr>
        <w:instrText xml:space="preserve"> HYPERLINK \l "_Toc19270" </w:instrText>
      </w:r>
      <w:r>
        <w:rPr>
          <w:color w:val="auto"/>
          <w:highlight w:val="none"/>
        </w:rPr>
        <w:fldChar w:fldCharType="separate"/>
      </w:r>
      <w:r>
        <w:rPr>
          <w:rFonts w:ascii="宋体" w:hAnsi="宋体" w:cs="宋体"/>
          <w:bCs/>
          <w:color w:val="auto"/>
          <w:szCs w:val="24"/>
          <w:highlight w:val="none"/>
        </w:rPr>
        <w:t>第二章  供应商须知</w:t>
      </w:r>
      <w:r>
        <w:rPr>
          <w:rFonts w:ascii="宋体" w:hAnsi="宋体" w:cs="宋体"/>
          <w:color w:val="auto"/>
          <w:szCs w:val="24"/>
          <w:highlight w:val="none"/>
        </w:rPr>
        <w:tab/>
      </w:r>
      <w:r>
        <w:rPr>
          <w:rFonts w:ascii="宋体" w:hAnsi="宋体" w:cs="宋体"/>
          <w:color w:val="auto"/>
          <w:szCs w:val="24"/>
          <w:highlight w:val="none"/>
        </w:rPr>
        <w:fldChar w:fldCharType="begin"/>
      </w:r>
      <w:r>
        <w:rPr>
          <w:rFonts w:ascii="宋体" w:hAnsi="宋体" w:cs="宋体"/>
          <w:color w:val="auto"/>
          <w:szCs w:val="24"/>
          <w:highlight w:val="none"/>
        </w:rPr>
        <w:instrText xml:space="preserve"> PAGEREF _Toc19270 \h </w:instrText>
      </w:r>
      <w:r>
        <w:rPr>
          <w:rFonts w:ascii="宋体" w:hAnsi="宋体" w:cs="宋体"/>
          <w:color w:val="auto"/>
          <w:szCs w:val="24"/>
          <w:highlight w:val="none"/>
        </w:rPr>
        <w:fldChar w:fldCharType="separate"/>
      </w:r>
      <w:r>
        <w:rPr>
          <w:rFonts w:ascii="宋体" w:hAnsi="宋体" w:cs="宋体"/>
          <w:color w:val="auto"/>
          <w:szCs w:val="24"/>
          <w:highlight w:val="none"/>
        </w:rPr>
        <w:t>6</w:t>
      </w:r>
      <w:r>
        <w:rPr>
          <w:rFonts w:ascii="宋体" w:hAnsi="宋体" w:cs="宋体"/>
          <w:color w:val="auto"/>
          <w:szCs w:val="24"/>
          <w:highlight w:val="none"/>
        </w:rPr>
        <w:fldChar w:fldCharType="end"/>
      </w:r>
      <w:r>
        <w:rPr>
          <w:rFonts w:ascii="宋体" w:hAnsi="宋体" w:cs="宋体"/>
          <w:color w:val="auto"/>
          <w:szCs w:val="24"/>
          <w:highlight w:val="none"/>
        </w:rPr>
        <w:fldChar w:fldCharType="end"/>
      </w:r>
    </w:p>
    <w:p>
      <w:pPr>
        <w:pStyle w:val="32"/>
        <w:tabs>
          <w:tab w:val="right" w:leader="dot" w:pos="9070"/>
          <w:tab w:val="clear" w:pos="8302"/>
        </w:tabs>
        <w:spacing w:before="120" w:after="120" w:line="480" w:lineRule="auto"/>
        <w:rPr>
          <w:rFonts w:hint="default" w:ascii="宋体" w:hAnsi="宋体" w:cs="宋体"/>
          <w:color w:val="auto"/>
          <w:szCs w:val="24"/>
          <w:highlight w:val="none"/>
        </w:rPr>
      </w:pPr>
      <w:r>
        <w:rPr>
          <w:color w:val="auto"/>
          <w:highlight w:val="none"/>
        </w:rPr>
        <w:fldChar w:fldCharType="begin"/>
      </w:r>
      <w:r>
        <w:rPr>
          <w:color w:val="auto"/>
          <w:highlight w:val="none"/>
        </w:rPr>
        <w:instrText xml:space="preserve"> HYPERLINK \l "_Toc22307" </w:instrText>
      </w:r>
      <w:r>
        <w:rPr>
          <w:color w:val="auto"/>
          <w:highlight w:val="none"/>
        </w:rPr>
        <w:fldChar w:fldCharType="separate"/>
      </w:r>
      <w:r>
        <w:rPr>
          <w:rFonts w:ascii="宋体" w:hAnsi="宋体" w:cs="宋体"/>
          <w:color w:val="auto"/>
          <w:szCs w:val="24"/>
          <w:highlight w:val="none"/>
        </w:rPr>
        <w:t>第三章  竞争性磋商评审办法</w:t>
      </w:r>
      <w:r>
        <w:rPr>
          <w:rFonts w:ascii="宋体" w:hAnsi="宋体" w:cs="宋体"/>
          <w:color w:val="auto"/>
          <w:szCs w:val="24"/>
          <w:highlight w:val="none"/>
        </w:rPr>
        <w:tab/>
      </w:r>
      <w:r>
        <w:rPr>
          <w:rFonts w:ascii="宋体" w:hAnsi="宋体" w:cs="宋体"/>
          <w:color w:val="auto"/>
          <w:szCs w:val="24"/>
          <w:highlight w:val="none"/>
        </w:rPr>
        <w:fldChar w:fldCharType="begin"/>
      </w:r>
      <w:r>
        <w:rPr>
          <w:rFonts w:ascii="宋体" w:hAnsi="宋体" w:cs="宋体"/>
          <w:color w:val="auto"/>
          <w:szCs w:val="24"/>
          <w:highlight w:val="none"/>
        </w:rPr>
        <w:instrText xml:space="preserve"> PAGEREF _Toc22307 \h </w:instrText>
      </w:r>
      <w:r>
        <w:rPr>
          <w:rFonts w:ascii="宋体" w:hAnsi="宋体" w:cs="宋体"/>
          <w:color w:val="auto"/>
          <w:szCs w:val="24"/>
          <w:highlight w:val="none"/>
        </w:rPr>
        <w:fldChar w:fldCharType="separate"/>
      </w:r>
      <w:r>
        <w:rPr>
          <w:rFonts w:ascii="宋体" w:hAnsi="宋体" w:cs="宋体"/>
          <w:color w:val="auto"/>
          <w:szCs w:val="24"/>
          <w:highlight w:val="none"/>
        </w:rPr>
        <w:t>21</w:t>
      </w:r>
      <w:r>
        <w:rPr>
          <w:rFonts w:ascii="宋体" w:hAnsi="宋体" w:cs="宋体"/>
          <w:color w:val="auto"/>
          <w:szCs w:val="24"/>
          <w:highlight w:val="none"/>
        </w:rPr>
        <w:fldChar w:fldCharType="end"/>
      </w:r>
      <w:r>
        <w:rPr>
          <w:rFonts w:ascii="宋体" w:hAnsi="宋体" w:cs="宋体"/>
          <w:color w:val="auto"/>
          <w:szCs w:val="24"/>
          <w:highlight w:val="none"/>
        </w:rPr>
        <w:fldChar w:fldCharType="end"/>
      </w:r>
    </w:p>
    <w:p>
      <w:pPr>
        <w:pStyle w:val="32"/>
        <w:tabs>
          <w:tab w:val="right" w:leader="dot" w:pos="9070"/>
          <w:tab w:val="clear" w:pos="8302"/>
        </w:tabs>
        <w:spacing w:before="120" w:after="120" w:line="480" w:lineRule="auto"/>
        <w:rPr>
          <w:rFonts w:hint="default" w:ascii="宋体" w:hAnsi="宋体" w:cs="宋体"/>
          <w:color w:val="auto"/>
          <w:szCs w:val="24"/>
          <w:highlight w:val="none"/>
        </w:rPr>
      </w:pPr>
      <w:r>
        <w:rPr>
          <w:color w:val="auto"/>
          <w:highlight w:val="none"/>
        </w:rPr>
        <w:fldChar w:fldCharType="begin"/>
      </w:r>
      <w:r>
        <w:rPr>
          <w:color w:val="auto"/>
          <w:highlight w:val="none"/>
        </w:rPr>
        <w:instrText xml:space="preserve"> HYPERLINK \l "_Toc5589" </w:instrText>
      </w:r>
      <w:r>
        <w:rPr>
          <w:color w:val="auto"/>
          <w:highlight w:val="none"/>
        </w:rPr>
        <w:fldChar w:fldCharType="separate"/>
      </w:r>
      <w:r>
        <w:rPr>
          <w:rFonts w:ascii="宋体" w:hAnsi="宋体" w:cs="宋体"/>
          <w:color w:val="auto"/>
          <w:szCs w:val="24"/>
          <w:highlight w:val="none"/>
        </w:rPr>
        <w:t>第四章  合同条款及格式</w:t>
      </w:r>
      <w:r>
        <w:rPr>
          <w:rFonts w:ascii="宋体" w:hAnsi="宋体" w:cs="宋体"/>
          <w:color w:val="auto"/>
          <w:szCs w:val="24"/>
          <w:highlight w:val="none"/>
        </w:rPr>
        <w:tab/>
      </w:r>
      <w:r>
        <w:rPr>
          <w:rFonts w:ascii="宋体" w:hAnsi="宋体" w:cs="宋体"/>
          <w:color w:val="auto"/>
          <w:szCs w:val="24"/>
          <w:highlight w:val="none"/>
        </w:rPr>
        <w:fldChar w:fldCharType="begin"/>
      </w:r>
      <w:r>
        <w:rPr>
          <w:rFonts w:ascii="宋体" w:hAnsi="宋体" w:cs="宋体"/>
          <w:color w:val="auto"/>
          <w:szCs w:val="24"/>
          <w:highlight w:val="none"/>
        </w:rPr>
        <w:instrText xml:space="preserve"> PAGEREF _Toc5589 \h </w:instrText>
      </w:r>
      <w:r>
        <w:rPr>
          <w:rFonts w:ascii="宋体" w:hAnsi="宋体" w:cs="宋体"/>
          <w:color w:val="auto"/>
          <w:szCs w:val="24"/>
          <w:highlight w:val="none"/>
        </w:rPr>
        <w:fldChar w:fldCharType="separate"/>
      </w:r>
      <w:r>
        <w:rPr>
          <w:rFonts w:ascii="宋体" w:hAnsi="宋体" w:cs="宋体"/>
          <w:color w:val="auto"/>
          <w:szCs w:val="24"/>
          <w:highlight w:val="none"/>
        </w:rPr>
        <w:t>32</w:t>
      </w:r>
      <w:r>
        <w:rPr>
          <w:rFonts w:ascii="宋体" w:hAnsi="宋体" w:cs="宋体"/>
          <w:color w:val="auto"/>
          <w:szCs w:val="24"/>
          <w:highlight w:val="none"/>
        </w:rPr>
        <w:fldChar w:fldCharType="end"/>
      </w:r>
      <w:r>
        <w:rPr>
          <w:rFonts w:ascii="宋体" w:hAnsi="宋体" w:cs="宋体"/>
          <w:color w:val="auto"/>
          <w:szCs w:val="24"/>
          <w:highlight w:val="none"/>
        </w:rPr>
        <w:fldChar w:fldCharType="end"/>
      </w:r>
    </w:p>
    <w:p>
      <w:pPr>
        <w:pStyle w:val="32"/>
        <w:tabs>
          <w:tab w:val="right" w:leader="dot" w:pos="9070"/>
          <w:tab w:val="clear" w:pos="8302"/>
        </w:tabs>
        <w:spacing w:before="120" w:after="120" w:line="480" w:lineRule="auto"/>
        <w:rPr>
          <w:rFonts w:hint="default" w:ascii="宋体" w:hAnsi="宋体" w:cs="宋体"/>
          <w:color w:val="auto"/>
          <w:szCs w:val="24"/>
          <w:highlight w:val="none"/>
        </w:rPr>
      </w:pPr>
      <w:r>
        <w:rPr>
          <w:color w:val="auto"/>
          <w:highlight w:val="none"/>
        </w:rPr>
        <w:fldChar w:fldCharType="begin"/>
      </w:r>
      <w:r>
        <w:rPr>
          <w:color w:val="auto"/>
          <w:highlight w:val="none"/>
        </w:rPr>
        <w:instrText xml:space="preserve"> HYPERLINK \l "_Toc15909" </w:instrText>
      </w:r>
      <w:r>
        <w:rPr>
          <w:color w:val="auto"/>
          <w:highlight w:val="none"/>
        </w:rPr>
        <w:fldChar w:fldCharType="separate"/>
      </w:r>
      <w:r>
        <w:rPr>
          <w:rFonts w:ascii="宋体" w:hAnsi="宋体" w:cs="宋体"/>
          <w:color w:val="auto"/>
          <w:szCs w:val="24"/>
          <w:highlight w:val="none"/>
        </w:rPr>
        <w:t>第五章  采购内容及技术要求</w:t>
      </w:r>
      <w:r>
        <w:rPr>
          <w:rFonts w:ascii="宋体" w:hAnsi="宋体" w:cs="宋体"/>
          <w:color w:val="auto"/>
          <w:szCs w:val="24"/>
          <w:highlight w:val="none"/>
        </w:rPr>
        <w:tab/>
      </w:r>
      <w:r>
        <w:rPr>
          <w:rFonts w:ascii="宋体" w:hAnsi="宋体" w:cs="宋体"/>
          <w:color w:val="auto"/>
          <w:szCs w:val="24"/>
          <w:highlight w:val="none"/>
        </w:rPr>
        <w:fldChar w:fldCharType="begin"/>
      </w:r>
      <w:r>
        <w:rPr>
          <w:rFonts w:ascii="宋体" w:hAnsi="宋体" w:cs="宋体"/>
          <w:color w:val="auto"/>
          <w:szCs w:val="24"/>
          <w:highlight w:val="none"/>
        </w:rPr>
        <w:instrText xml:space="preserve"> PAGEREF _Toc15909 \h </w:instrText>
      </w:r>
      <w:r>
        <w:rPr>
          <w:rFonts w:ascii="宋体" w:hAnsi="宋体" w:cs="宋体"/>
          <w:color w:val="auto"/>
          <w:szCs w:val="24"/>
          <w:highlight w:val="none"/>
        </w:rPr>
        <w:fldChar w:fldCharType="separate"/>
      </w:r>
      <w:r>
        <w:rPr>
          <w:rFonts w:ascii="宋体" w:hAnsi="宋体" w:cs="宋体"/>
          <w:color w:val="auto"/>
          <w:szCs w:val="24"/>
          <w:highlight w:val="none"/>
        </w:rPr>
        <w:t>35</w:t>
      </w:r>
      <w:r>
        <w:rPr>
          <w:rFonts w:ascii="宋体" w:hAnsi="宋体" w:cs="宋体"/>
          <w:color w:val="auto"/>
          <w:szCs w:val="24"/>
          <w:highlight w:val="none"/>
        </w:rPr>
        <w:fldChar w:fldCharType="end"/>
      </w:r>
      <w:r>
        <w:rPr>
          <w:rFonts w:ascii="宋体" w:hAnsi="宋体" w:cs="宋体"/>
          <w:color w:val="auto"/>
          <w:szCs w:val="24"/>
          <w:highlight w:val="none"/>
        </w:rPr>
        <w:fldChar w:fldCharType="end"/>
      </w:r>
    </w:p>
    <w:p>
      <w:pPr>
        <w:pStyle w:val="32"/>
        <w:tabs>
          <w:tab w:val="right" w:leader="dot" w:pos="9070"/>
          <w:tab w:val="clear" w:pos="8302"/>
        </w:tabs>
        <w:spacing w:before="120" w:after="120" w:line="480" w:lineRule="auto"/>
        <w:rPr>
          <w:rFonts w:hint="default" w:ascii="宋体" w:hAnsi="宋体" w:cs="宋体"/>
          <w:color w:val="auto"/>
          <w:szCs w:val="24"/>
          <w:highlight w:val="none"/>
        </w:rPr>
      </w:pPr>
      <w:r>
        <w:rPr>
          <w:color w:val="auto"/>
          <w:highlight w:val="none"/>
        </w:rPr>
        <w:fldChar w:fldCharType="begin"/>
      </w:r>
      <w:r>
        <w:rPr>
          <w:color w:val="auto"/>
          <w:highlight w:val="none"/>
        </w:rPr>
        <w:instrText xml:space="preserve"> HYPERLINK \l "_Toc1397" </w:instrText>
      </w:r>
      <w:r>
        <w:rPr>
          <w:color w:val="auto"/>
          <w:highlight w:val="none"/>
        </w:rPr>
        <w:fldChar w:fldCharType="separate"/>
      </w:r>
      <w:r>
        <w:rPr>
          <w:rFonts w:ascii="宋体" w:hAnsi="宋体" w:cs="宋体"/>
          <w:color w:val="auto"/>
          <w:szCs w:val="24"/>
          <w:highlight w:val="none"/>
        </w:rPr>
        <w:t>第六章  响应文件格式</w:t>
      </w:r>
      <w:r>
        <w:rPr>
          <w:rFonts w:ascii="宋体" w:hAnsi="宋体" w:cs="宋体"/>
          <w:color w:val="auto"/>
          <w:szCs w:val="24"/>
          <w:highlight w:val="none"/>
        </w:rPr>
        <w:tab/>
      </w:r>
      <w:r>
        <w:rPr>
          <w:rFonts w:ascii="宋体" w:hAnsi="宋体" w:cs="宋体"/>
          <w:color w:val="auto"/>
          <w:szCs w:val="24"/>
          <w:highlight w:val="none"/>
        </w:rPr>
        <w:fldChar w:fldCharType="begin"/>
      </w:r>
      <w:r>
        <w:rPr>
          <w:rFonts w:ascii="宋体" w:hAnsi="宋体" w:cs="宋体"/>
          <w:color w:val="auto"/>
          <w:szCs w:val="24"/>
          <w:highlight w:val="none"/>
        </w:rPr>
        <w:instrText xml:space="preserve"> PAGEREF _Toc1397 \h </w:instrText>
      </w:r>
      <w:r>
        <w:rPr>
          <w:rFonts w:ascii="宋体" w:hAnsi="宋体" w:cs="宋体"/>
          <w:color w:val="auto"/>
          <w:szCs w:val="24"/>
          <w:highlight w:val="none"/>
        </w:rPr>
        <w:fldChar w:fldCharType="separate"/>
      </w:r>
      <w:r>
        <w:rPr>
          <w:rFonts w:ascii="宋体" w:hAnsi="宋体" w:cs="宋体"/>
          <w:color w:val="auto"/>
          <w:szCs w:val="24"/>
          <w:highlight w:val="none"/>
        </w:rPr>
        <w:t>42</w:t>
      </w:r>
      <w:r>
        <w:rPr>
          <w:rFonts w:ascii="宋体" w:hAnsi="宋体" w:cs="宋体"/>
          <w:color w:val="auto"/>
          <w:szCs w:val="24"/>
          <w:highlight w:val="none"/>
        </w:rPr>
        <w:fldChar w:fldCharType="end"/>
      </w:r>
      <w:r>
        <w:rPr>
          <w:rFonts w:ascii="宋体" w:hAnsi="宋体" w:cs="宋体"/>
          <w:color w:val="auto"/>
          <w:szCs w:val="24"/>
          <w:highlight w:val="none"/>
        </w:rPr>
        <w:fldChar w:fldCharType="end"/>
      </w:r>
    </w:p>
    <w:p>
      <w:pPr>
        <w:pStyle w:val="32"/>
        <w:tabs>
          <w:tab w:val="right" w:leader="dot" w:pos="9070"/>
          <w:tab w:val="clear" w:pos="8302"/>
        </w:tabs>
        <w:spacing w:before="120" w:after="120"/>
        <w:rPr>
          <w:rFonts w:hint="default" w:ascii="宋体" w:hAnsi="宋体" w:cs="宋体"/>
          <w:color w:val="auto"/>
          <w:highlight w:val="none"/>
        </w:rPr>
      </w:pPr>
    </w:p>
    <w:p>
      <w:pPr>
        <w:pStyle w:val="4"/>
        <w:spacing w:before="240" w:after="120"/>
        <w:jc w:val="center"/>
        <w:rPr>
          <w:rFonts w:hint="default" w:hAnsi="宋体" w:cs="宋体"/>
          <w:color w:val="auto"/>
          <w:highlight w:val="none"/>
        </w:rPr>
      </w:pPr>
      <w:r>
        <w:rPr>
          <w:rFonts w:hAnsi="宋体" w:cs="宋体"/>
          <w:color w:val="auto"/>
          <w:highlight w:val="none"/>
        </w:rPr>
        <w:fldChar w:fldCharType="end"/>
      </w:r>
      <w:bookmarkStart w:id="3" w:name="_Toc5990280"/>
      <w:bookmarkStart w:id="4" w:name="_Toc12512_WPSOffice_Level1"/>
      <w:bookmarkStart w:id="5" w:name="_Toc16821"/>
      <w:bookmarkStart w:id="6" w:name="_Toc16219"/>
      <w:bookmarkStart w:id="7" w:name="_Toc27639"/>
    </w:p>
    <w:p>
      <w:pPr>
        <w:spacing w:before="24" w:after="24"/>
        <w:rPr>
          <w:rFonts w:hint="default" w:ascii="宋体" w:hAnsi="宋体" w:cs="宋体"/>
          <w:color w:val="auto"/>
          <w:highlight w:val="none"/>
        </w:rPr>
      </w:pPr>
      <w:r>
        <w:rPr>
          <w:rFonts w:ascii="宋体" w:hAnsi="宋体" w:cs="宋体"/>
          <w:color w:val="auto"/>
          <w:highlight w:val="none"/>
        </w:rPr>
        <w:br w:type="page"/>
      </w:r>
    </w:p>
    <w:p>
      <w:pPr>
        <w:pStyle w:val="4"/>
        <w:spacing w:before="240" w:after="120"/>
        <w:jc w:val="center"/>
        <w:rPr>
          <w:rFonts w:hint="default" w:hAnsi="宋体" w:cs="宋体"/>
          <w:color w:val="auto"/>
          <w:sz w:val="30"/>
          <w:szCs w:val="30"/>
          <w:highlight w:val="none"/>
        </w:rPr>
      </w:pPr>
      <w:r>
        <w:rPr>
          <w:rFonts w:hAnsi="宋体" w:cs="宋体"/>
          <w:color w:val="auto"/>
          <w:sz w:val="30"/>
          <w:szCs w:val="30"/>
          <w:highlight w:val="none"/>
        </w:rPr>
        <w:t xml:space="preserve">第一章 </w:t>
      </w:r>
      <w:bookmarkEnd w:id="3"/>
      <w:bookmarkEnd w:id="4"/>
      <w:bookmarkEnd w:id="5"/>
      <w:bookmarkEnd w:id="6"/>
      <w:bookmarkStart w:id="8" w:name="_Toc480719715"/>
      <w:bookmarkStart w:id="9" w:name="_Toc480981613"/>
      <w:r>
        <w:rPr>
          <w:rFonts w:hAnsi="宋体" w:cs="宋体"/>
          <w:color w:val="auto"/>
          <w:sz w:val="30"/>
          <w:szCs w:val="30"/>
          <w:highlight w:val="none"/>
        </w:rPr>
        <w:t xml:space="preserve"> 竞争性磋商公告</w:t>
      </w:r>
      <w:bookmarkEnd w:id="7"/>
    </w:p>
    <w:bookmarkEnd w:id="8"/>
    <w:bookmarkEnd w:id="9"/>
    <w:p>
      <w:pPr>
        <w:widowControl/>
        <w:spacing w:before="24" w:after="24"/>
        <w:jc w:val="center"/>
        <w:rPr>
          <w:rFonts w:hint="default" w:ascii="宋体" w:hAnsi="宋体" w:cs="宋体"/>
          <w:b/>
          <w:bCs/>
          <w:color w:val="auto"/>
          <w:sz w:val="28"/>
          <w:szCs w:val="28"/>
          <w:highlight w:val="none"/>
        </w:rPr>
      </w:pPr>
      <w:bookmarkStart w:id="10" w:name="_Toc5990281"/>
      <w:bookmarkStart w:id="11" w:name="_Toc939_WPSOffice_Level1"/>
      <w:r>
        <w:rPr>
          <w:rFonts w:ascii="宋体" w:hAnsi="宋体" w:cs="宋体"/>
          <w:b/>
          <w:bCs/>
          <w:color w:val="auto"/>
          <w:kern w:val="0"/>
          <w:sz w:val="28"/>
          <w:szCs w:val="28"/>
          <w:highlight w:val="none"/>
          <w:shd w:val="clear" w:color="auto" w:fill="FFFFFF"/>
        </w:rPr>
        <w:t>岐山县档案馆数字档案馆创建项目磋商公告</w:t>
      </w:r>
    </w:p>
    <w:p>
      <w:pPr>
        <w:pStyle w:val="41"/>
        <w:spacing w:beforeAutospacing="0" w:afterAutospacing="0" w:line="360" w:lineRule="auto"/>
        <w:outlineLvl w:val="1"/>
        <w:rPr>
          <w:rFonts w:cs="宋体"/>
          <w:color w:val="auto"/>
          <w:highlight w:val="none"/>
        </w:rPr>
      </w:pPr>
      <w:bookmarkStart w:id="12" w:name="_Toc18201"/>
      <w:bookmarkStart w:id="13" w:name="_Toc31606"/>
      <w:r>
        <w:rPr>
          <w:rStyle w:val="49"/>
          <w:rFonts w:hint="eastAsia" w:cs="宋体"/>
          <w:color w:val="auto"/>
          <w:highlight w:val="none"/>
          <w:shd w:val="clear" w:color="auto" w:fill="FFFFFF"/>
        </w:rPr>
        <w:t>项目概况</w:t>
      </w:r>
      <w:bookmarkEnd w:id="12"/>
      <w:bookmarkEnd w:id="13"/>
    </w:p>
    <w:p>
      <w:pPr>
        <w:pStyle w:val="41"/>
        <w:spacing w:beforeAutospacing="0" w:afterAutospacing="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数字档案馆创建项目</w:t>
      </w:r>
      <w:r>
        <w:rPr>
          <w:rFonts w:hint="default" w:ascii="宋体" w:hAnsi="宋体" w:eastAsia="宋体" w:cs="宋体"/>
          <w:color w:val="auto"/>
          <w:highlight w:val="none"/>
          <w:lang w:val="en-US" w:eastAsia="zh-CN"/>
        </w:rPr>
        <w:t>采购项目的潜在供应商应在全国公共资源交易平台（陕西省·宝鸡市）（http://ggzy.baoji.gov.cn/）下载本项目竞争性磋商文件获取采购文件，并于 2023年09月20日 09时00分 （北京时间）前提交响应文件。</w:t>
      </w:r>
    </w:p>
    <w:p>
      <w:pPr>
        <w:pStyle w:val="41"/>
        <w:spacing w:beforeAutospacing="0" w:afterAutospacing="0" w:line="360" w:lineRule="auto"/>
        <w:outlineLvl w:val="1"/>
        <w:rPr>
          <w:rFonts w:cs="宋体"/>
          <w:b/>
          <w:bCs/>
          <w:color w:val="auto"/>
          <w:highlight w:val="none"/>
        </w:rPr>
      </w:pPr>
      <w:bookmarkStart w:id="14" w:name="_Toc28221"/>
      <w:bookmarkStart w:id="15" w:name="_Toc30762"/>
      <w:bookmarkStart w:id="16" w:name="_Toc14850"/>
      <w:r>
        <w:rPr>
          <w:rFonts w:hint="eastAsia" w:cs="宋体"/>
          <w:b/>
          <w:bCs/>
          <w:color w:val="auto"/>
          <w:highlight w:val="none"/>
        </w:rPr>
        <w:t>一、项目基本情况</w:t>
      </w:r>
      <w:bookmarkEnd w:id="14"/>
      <w:bookmarkEnd w:id="15"/>
      <w:bookmarkEnd w:id="16"/>
    </w:p>
    <w:p>
      <w:pPr>
        <w:pStyle w:val="41"/>
        <w:spacing w:beforeAutospacing="0" w:afterAutospacing="0" w:line="360" w:lineRule="auto"/>
        <w:ind w:firstLine="420"/>
        <w:rPr>
          <w:rFonts w:cs="宋体"/>
          <w:color w:val="auto"/>
          <w:highlight w:val="none"/>
        </w:rPr>
      </w:pPr>
      <w:r>
        <w:rPr>
          <w:rFonts w:hint="eastAsia" w:cs="宋体"/>
          <w:color w:val="auto"/>
          <w:highlight w:val="none"/>
        </w:rPr>
        <w:t>项目编号：SXZD（2023）114CG</w:t>
      </w:r>
    </w:p>
    <w:p>
      <w:pPr>
        <w:pStyle w:val="41"/>
        <w:spacing w:beforeAutospacing="0" w:afterAutospacing="0" w:line="360" w:lineRule="auto"/>
        <w:ind w:firstLine="420"/>
        <w:rPr>
          <w:rFonts w:cs="宋体"/>
          <w:color w:val="auto"/>
          <w:highlight w:val="none"/>
        </w:rPr>
      </w:pPr>
      <w:r>
        <w:rPr>
          <w:rFonts w:hint="eastAsia" w:cs="宋体"/>
          <w:color w:val="auto"/>
          <w:highlight w:val="none"/>
        </w:rPr>
        <w:t>项目名称：数字档案馆创建项目</w:t>
      </w:r>
    </w:p>
    <w:p>
      <w:pPr>
        <w:pStyle w:val="41"/>
        <w:spacing w:beforeAutospacing="0" w:afterAutospacing="0" w:line="360" w:lineRule="auto"/>
        <w:ind w:firstLine="420"/>
        <w:rPr>
          <w:rFonts w:cs="宋体"/>
          <w:color w:val="auto"/>
          <w:highlight w:val="none"/>
        </w:rPr>
      </w:pPr>
      <w:r>
        <w:rPr>
          <w:rFonts w:hint="eastAsia" w:cs="宋体"/>
          <w:color w:val="auto"/>
          <w:highlight w:val="none"/>
        </w:rPr>
        <w:t>采购方式：竞争性磋商</w:t>
      </w:r>
    </w:p>
    <w:p>
      <w:pPr>
        <w:pStyle w:val="41"/>
        <w:spacing w:beforeAutospacing="0" w:afterAutospacing="0" w:line="360" w:lineRule="auto"/>
        <w:ind w:firstLine="420"/>
        <w:rPr>
          <w:rFonts w:cs="宋体"/>
          <w:color w:val="auto"/>
          <w:highlight w:val="none"/>
        </w:rPr>
      </w:pPr>
      <w:r>
        <w:rPr>
          <w:rFonts w:hint="eastAsia" w:cs="宋体"/>
          <w:color w:val="auto"/>
          <w:highlight w:val="none"/>
        </w:rPr>
        <w:t>预算金额：890700.00元</w:t>
      </w:r>
    </w:p>
    <w:p>
      <w:pPr>
        <w:pStyle w:val="41"/>
        <w:wordWrap w:val="0"/>
        <w:spacing w:beforeAutospacing="0" w:afterAutospacing="0" w:line="360" w:lineRule="auto"/>
        <w:ind w:firstLine="480" w:firstLineChars="200"/>
        <w:textAlignment w:val="baseline"/>
        <w:rPr>
          <w:color w:val="auto"/>
          <w:highlight w:val="none"/>
        </w:rPr>
      </w:pPr>
      <w:r>
        <w:rPr>
          <w:color w:val="auto"/>
          <w:highlight w:val="none"/>
          <w:shd w:val="clear" w:color="auto" w:fill="FFFFFF"/>
        </w:rPr>
        <w:t>合同包1(数字档案馆创建项目)</w:t>
      </w:r>
      <w:r>
        <w:rPr>
          <w:rFonts w:hint="eastAsia"/>
          <w:color w:val="auto"/>
          <w:highlight w:val="none"/>
          <w:shd w:val="clear" w:color="auto" w:fill="FFFFFF"/>
        </w:rPr>
        <w:t>：</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color w:val="auto"/>
          <w:highlight w:val="none"/>
          <w:shd w:val="clear" w:color="auto" w:fill="FFFFFF"/>
        </w:rPr>
        <w:t>合同包预算金额：890,700.00元</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color w:val="auto"/>
          <w:highlight w:val="none"/>
          <w:shd w:val="clear" w:color="auto" w:fill="FFFFFF"/>
        </w:rPr>
        <w:t>合同包最高限价：</w:t>
      </w:r>
      <w:r>
        <w:rPr>
          <w:rFonts w:hint="eastAsia"/>
          <w:color w:val="auto"/>
          <w:highlight w:val="none"/>
          <w:shd w:val="clear" w:color="auto" w:fill="FFFFFF"/>
          <w:lang w:val="en-US" w:eastAsia="zh-CN"/>
        </w:rPr>
        <w:t>870</w:t>
      </w:r>
      <w:r>
        <w:rPr>
          <w:color w:val="auto"/>
          <w:highlight w:val="none"/>
          <w:shd w:val="clear" w:color="auto" w:fill="FFFFFF"/>
        </w:rPr>
        <w:t>,</w:t>
      </w:r>
      <w:r>
        <w:rPr>
          <w:rFonts w:hint="eastAsia"/>
          <w:color w:val="auto"/>
          <w:highlight w:val="none"/>
          <w:shd w:val="clear" w:color="auto" w:fill="FFFFFF"/>
          <w:lang w:val="en-US" w:eastAsia="zh-CN"/>
        </w:rPr>
        <w:t>000.00</w:t>
      </w:r>
      <w:r>
        <w:rPr>
          <w:color w:val="auto"/>
          <w:highlight w:val="none"/>
          <w:shd w:val="clear" w:color="auto" w:fill="FFFFFF"/>
        </w:rPr>
        <w:t>元</w:t>
      </w:r>
    </w:p>
    <w:tbl>
      <w:tblPr>
        <w:tblStyle w:val="46"/>
        <w:tblpPr w:leftFromText="180" w:rightFromText="180" w:vertAnchor="text" w:horzAnchor="page" w:tblpX="1301" w:tblpY="441"/>
        <w:tblOverlap w:val="never"/>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574"/>
        <w:gridCol w:w="2286"/>
        <w:gridCol w:w="1534"/>
        <w:gridCol w:w="1159"/>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30"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序号</w:t>
            </w:r>
          </w:p>
        </w:tc>
        <w:tc>
          <w:tcPr>
            <w:tcW w:w="1574"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品目编码</w:t>
            </w:r>
          </w:p>
        </w:tc>
        <w:tc>
          <w:tcPr>
            <w:tcW w:w="2286"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品目名称</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采购内容</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数量</w:t>
            </w:r>
          </w:p>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（单位）</w:t>
            </w: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b/>
                <w:color w:val="auto"/>
                <w:szCs w:val="24"/>
                <w:highlight w:val="none"/>
              </w:rPr>
            </w:pPr>
            <w:r>
              <w:rPr>
                <w:rFonts w:hint="default" w:ascii="宋体" w:hAnsi="宋体" w:cs="宋体"/>
                <w:b/>
                <w:color w:val="auto"/>
                <w:szCs w:val="24"/>
                <w:highlight w:val="none"/>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030"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color w:val="auto"/>
                <w:szCs w:val="24"/>
                <w:highlight w:val="none"/>
              </w:rPr>
            </w:pPr>
            <w:r>
              <w:rPr>
                <w:rFonts w:hint="default" w:ascii="宋体" w:hAnsi="宋体" w:cs="宋体"/>
                <w:color w:val="auto"/>
                <w:szCs w:val="24"/>
                <w:highlight w:val="none"/>
              </w:rPr>
              <w:t>1</w:t>
            </w:r>
          </w:p>
        </w:tc>
        <w:tc>
          <w:tcPr>
            <w:tcW w:w="1574"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color w:val="auto"/>
                <w:szCs w:val="24"/>
                <w:highlight w:val="none"/>
              </w:rPr>
            </w:pPr>
            <w:r>
              <w:rPr>
                <w:rFonts w:hint="default" w:ascii="宋体" w:hAnsi="宋体" w:cs="宋体"/>
                <w:color w:val="auto"/>
                <w:szCs w:val="24"/>
                <w:highlight w:val="none"/>
              </w:rPr>
              <w:t>C16030300</w:t>
            </w:r>
          </w:p>
        </w:tc>
        <w:tc>
          <w:tcPr>
            <w:tcW w:w="2286"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color w:val="auto"/>
                <w:szCs w:val="24"/>
                <w:highlight w:val="none"/>
              </w:rPr>
            </w:pPr>
            <w:r>
              <w:rPr>
                <w:rFonts w:hint="default" w:ascii="宋体" w:hAnsi="宋体" w:cs="宋体"/>
                <w:color w:val="auto"/>
                <w:szCs w:val="24"/>
                <w:highlight w:val="none"/>
              </w:rPr>
              <w:t>数字内容加工处理服务</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color w:val="auto"/>
                <w:szCs w:val="24"/>
                <w:highlight w:val="none"/>
              </w:rPr>
            </w:pPr>
            <w:r>
              <w:rPr>
                <w:rFonts w:hint="default" w:ascii="宋体" w:hAnsi="宋体" w:cs="宋体"/>
                <w:color w:val="auto"/>
                <w:szCs w:val="24"/>
                <w:highlight w:val="none"/>
              </w:rPr>
              <w:t>终端服务器、电脑、UPS电源等</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color w:val="auto"/>
                <w:szCs w:val="24"/>
                <w:highlight w:val="none"/>
              </w:rPr>
            </w:pPr>
            <w:r>
              <w:rPr>
                <w:rFonts w:hint="default" w:ascii="宋体" w:hAnsi="宋体" w:cs="宋体"/>
                <w:color w:val="auto"/>
                <w:szCs w:val="24"/>
                <w:highlight w:val="none"/>
              </w:rPr>
              <w:t>1(项)</w:t>
            </w: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21"/>
              <w:jc w:val="center"/>
              <w:rPr>
                <w:rFonts w:hint="default" w:ascii="宋体" w:hAnsi="宋体" w:cs="宋体"/>
                <w:color w:val="auto"/>
                <w:szCs w:val="24"/>
                <w:highlight w:val="none"/>
              </w:rPr>
            </w:pPr>
            <w:r>
              <w:rPr>
                <w:rFonts w:hint="default" w:ascii="宋体" w:hAnsi="宋体" w:cs="宋体"/>
                <w:color w:val="auto"/>
                <w:szCs w:val="24"/>
                <w:highlight w:val="none"/>
              </w:rPr>
              <w:t>890,700.00</w:t>
            </w:r>
          </w:p>
        </w:tc>
      </w:tr>
    </w:tbl>
    <w:p>
      <w:pPr>
        <w:pStyle w:val="41"/>
        <w:wordWrap w:val="0"/>
        <w:spacing w:beforeLines="50" w:beforeAutospacing="0" w:afterAutospacing="0" w:line="360" w:lineRule="auto"/>
        <w:ind w:firstLine="480" w:firstLineChars="200"/>
        <w:textAlignment w:val="baseline"/>
        <w:rPr>
          <w:color w:val="auto"/>
          <w:highlight w:val="none"/>
        </w:rPr>
      </w:pPr>
      <w:r>
        <w:rPr>
          <w:color w:val="auto"/>
          <w:highlight w:val="none"/>
          <w:shd w:val="clear" w:color="auto" w:fill="FFFFFF"/>
        </w:rPr>
        <w:t>本合同包不接受联合体</w:t>
      </w:r>
      <w:r>
        <w:rPr>
          <w:rFonts w:hint="eastAsia"/>
          <w:color w:val="auto"/>
          <w:highlight w:val="none"/>
          <w:shd w:val="clear" w:color="auto" w:fill="FFFFFF"/>
        </w:rPr>
        <w:t>投标</w:t>
      </w:r>
    </w:p>
    <w:p>
      <w:pPr>
        <w:pStyle w:val="41"/>
        <w:spacing w:beforeAutospacing="0" w:afterAutospacing="0" w:line="360" w:lineRule="auto"/>
        <w:ind w:firstLine="420"/>
        <w:rPr>
          <w:rFonts w:cs="宋体"/>
          <w:color w:val="auto"/>
          <w:highlight w:val="none"/>
        </w:rPr>
      </w:pPr>
      <w:r>
        <w:rPr>
          <w:rFonts w:cs="宋体"/>
          <w:color w:val="auto"/>
          <w:highlight w:val="none"/>
          <w:shd w:val="clear" w:color="auto" w:fill="FFFFFF"/>
        </w:rPr>
        <w:t>合同</w:t>
      </w:r>
      <w:r>
        <w:rPr>
          <w:color w:val="auto"/>
          <w:highlight w:val="none"/>
          <w:shd w:val="clear" w:color="auto" w:fill="FFFFFF"/>
        </w:rPr>
        <w:t>履行</w:t>
      </w:r>
      <w:r>
        <w:rPr>
          <w:rFonts w:cs="宋体"/>
          <w:color w:val="auto"/>
          <w:highlight w:val="none"/>
          <w:shd w:val="clear" w:color="auto" w:fill="FFFFFF"/>
        </w:rPr>
        <w:t>期限：</w:t>
      </w:r>
      <w:r>
        <w:rPr>
          <w:rFonts w:cs="宋体"/>
          <w:color w:val="auto"/>
          <w:highlight w:val="none"/>
          <w:u w:val="single"/>
          <w:shd w:val="clear" w:color="auto" w:fill="FFFFFF"/>
        </w:rPr>
        <w:t>90日历天</w:t>
      </w:r>
      <w:r>
        <w:rPr>
          <w:rFonts w:hint="eastAsia" w:cs="宋体"/>
          <w:color w:val="auto"/>
          <w:highlight w:val="none"/>
        </w:rPr>
        <w:t xml:space="preserve"> </w:t>
      </w:r>
    </w:p>
    <w:p>
      <w:pPr>
        <w:pStyle w:val="111"/>
        <w:widowControl/>
        <w:spacing w:beforeLines="0" w:afterLines="0" w:line="360" w:lineRule="auto"/>
        <w:rPr>
          <w:rFonts w:hint="default" w:ascii="宋体" w:hAnsi="宋体" w:cs="宋体"/>
          <w:bCs/>
          <w:color w:val="auto"/>
          <w:szCs w:val="22"/>
          <w:highlight w:val="none"/>
        </w:rPr>
      </w:pPr>
      <w:r>
        <w:rPr>
          <w:rFonts w:ascii="宋体" w:hAnsi="宋体" w:cs="宋体"/>
          <w:bCs/>
          <w:color w:val="auto"/>
          <w:szCs w:val="22"/>
          <w:highlight w:val="none"/>
        </w:rPr>
        <w:t>二、申请人的资格要求：</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数字档案馆创建项目标包1的申请人资格要求是：</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本项目不专门面向中小企业采购。</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3.本项目的特定资格要求：</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①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②非法定代表人</w:t>
      </w:r>
      <w:r>
        <w:rPr>
          <w:rFonts w:hint="eastAsia" w:ascii="宋体" w:hAnsi="宋体" w:eastAsia="宋体" w:cs="宋体"/>
          <w:color w:val="auto"/>
          <w:highlight w:val="none"/>
          <w:lang w:val="en-US" w:eastAsia="zh-Hans"/>
        </w:rPr>
        <w:t>或负责人</w:t>
      </w:r>
      <w:r>
        <w:rPr>
          <w:rFonts w:hint="eastAsia" w:ascii="宋体" w:hAnsi="宋体" w:eastAsia="宋体" w:cs="宋体"/>
          <w:color w:val="auto"/>
          <w:highlight w:val="none"/>
        </w:rPr>
        <w:t>参加投标的，须提供法定代表人</w:t>
      </w:r>
      <w:r>
        <w:rPr>
          <w:rFonts w:hint="eastAsia" w:ascii="宋体" w:hAnsi="宋体" w:eastAsia="宋体" w:cs="宋体"/>
          <w:color w:val="auto"/>
          <w:highlight w:val="none"/>
          <w:lang w:val="en-US" w:eastAsia="zh-Hans"/>
        </w:rPr>
        <w:t>或负责人</w:t>
      </w:r>
      <w:r>
        <w:rPr>
          <w:rFonts w:hint="eastAsia" w:ascii="宋体" w:hAnsi="宋体" w:eastAsia="宋体" w:cs="宋体"/>
          <w:color w:val="auto"/>
          <w:highlight w:val="none"/>
        </w:rPr>
        <w:t>授权书（附法定代表人</w:t>
      </w:r>
      <w:r>
        <w:rPr>
          <w:rFonts w:hint="eastAsia" w:ascii="宋体" w:hAnsi="宋体" w:eastAsia="宋体" w:cs="宋体"/>
          <w:color w:val="auto"/>
          <w:highlight w:val="none"/>
          <w:lang w:val="en-US" w:eastAsia="zh-Hans"/>
        </w:rPr>
        <w:t>或负责人</w:t>
      </w:r>
      <w:r>
        <w:rPr>
          <w:rFonts w:hint="eastAsia" w:ascii="宋体" w:hAnsi="宋体" w:eastAsia="宋体" w:cs="宋体"/>
          <w:color w:val="auto"/>
          <w:highlight w:val="none"/>
        </w:rPr>
        <w:t>、被授权人身份证复印件）；法定代表人</w:t>
      </w:r>
      <w:r>
        <w:rPr>
          <w:rFonts w:hint="eastAsia" w:ascii="宋体" w:hAnsi="宋体" w:eastAsia="宋体" w:cs="宋体"/>
          <w:color w:val="auto"/>
          <w:highlight w:val="none"/>
          <w:lang w:val="en-US" w:eastAsia="zh-Hans"/>
        </w:rPr>
        <w:t>或负责人</w:t>
      </w:r>
      <w:r>
        <w:rPr>
          <w:rFonts w:hint="eastAsia" w:ascii="宋体" w:hAnsi="宋体" w:eastAsia="宋体" w:cs="宋体"/>
          <w:color w:val="auto"/>
          <w:highlight w:val="none"/>
        </w:rPr>
        <w:t>直接参加投标的，须提供法定代表人身份证明（附法定代表人身份证复印件）；</w:t>
      </w:r>
    </w:p>
    <w:p>
      <w:pPr>
        <w:pStyle w:val="41"/>
        <w:spacing w:beforeAutospacing="0" w:afterAutospacing="0" w:line="360" w:lineRule="auto"/>
        <w:ind w:firstLine="420"/>
        <w:rPr>
          <w:rFonts w:hint="default" w:ascii="宋体" w:hAnsi="宋体" w:eastAsia="宋体" w:cs="宋体"/>
          <w:color w:val="auto"/>
          <w:highlight w:val="none"/>
        </w:rPr>
      </w:pPr>
      <w:r>
        <w:rPr>
          <w:rFonts w:hint="eastAsia" w:ascii="宋体" w:hAnsi="宋体" w:eastAsia="宋体" w:cs="宋体"/>
          <w:color w:val="auto"/>
          <w:highlight w:val="none"/>
        </w:rPr>
        <w:t>③单位负责人为同一人或者存在直接控股、管理关系的不同供应商，不得参加同一合同项下的政府采购活动。</w:t>
      </w:r>
    </w:p>
    <w:p>
      <w:pPr>
        <w:pStyle w:val="111"/>
        <w:widowControl/>
        <w:spacing w:beforeLines="0" w:afterLines="0" w:line="360" w:lineRule="auto"/>
        <w:rPr>
          <w:rFonts w:hint="default" w:ascii="宋体" w:hAnsi="宋体" w:cs="宋体"/>
          <w:bCs/>
          <w:color w:val="auto"/>
          <w:szCs w:val="22"/>
          <w:highlight w:val="none"/>
        </w:rPr>
      </w:pPr>
      <w:r>
        <w:rPr>
          <w:rFonts w:ascii="宋体" w:hAnsi="宋体" w:cs="宋体"/>
          <w:bCs/>
          <w:color w:val="auto"/>
          <w:szCs w:val="22"/>
          <w:highlight w:val="none"/>
        </w:rPr>
        <w:t>三、获取采购文件</w:t>
      </w:r>
    </w:p>
    <w:p>
      <w:pPr>
        <w:pStyle w:val="41"/>
        <w:spacing w:beforeAutospacing="0" w:afterAutospacing="0" w:line="360" w:lineRule="auto"/>
        <w:ind w:firstLine="420"/>
        <w:rPr>
          <w:rFonts w:hint="eastAsia" w:ascii="宋体" w:hAnsi="宋体" w:eastAsia="宋体" w:cs="宋体"/>
          <w:color w:val="auto"/>
          <w:highlight w:val="none"/>
        </w:rPr>
      </w:pPr>
      <w:r>
        <w:rPr>
          <w:rFonts w:hint="default" w:ascii="宋体" w:hAnsi="宋体" w:eastAsia="宋体" w:cs="宋体"/>
          <w:color w:val="auto"/>
          <w:highlight w:val="none"/>
        </w:rPr>
        <w:t>时间： 2023年09月08日 至 2023年09月14日 ，每天上午 09:00:00 至 11:30:00 ，下午 14:00:00 至 17:00:00 （北京时间）</w:t>
      </w:r>
    </w:p>
    <w:p>
      <w:pPr>
        <w:pStyle w:val="41"/>
        <w:spacing w:beforeAutospacing="0" w:afterAutospacing="0" w:line="360" w:lineRule="auto"/>
        <w:ind w:firstLine="420"/>
        <w:rPr>
          <w:rFonts w:hint="default" w:ascii="宋体" w:hAnsi="宋体" w:eastAsia="宋体" w:cs="宋体"/>
          <w:color w:val="auto"/>
          <w:highlight w:val="none"/>
        </w:rPr>
      </w:pPr>
      <w:r>
        <w:rPr>
          <w:rFonts w:hint="default" w:ascii="宋体" w:hAnsi="宋体" w:eastAsia="宋体" w:cs="宋体"/>
          <w:color w:val="auto"/>
          <w:highlight w:val="none"/>
        </w:rPr>
        <w:t>途径：全国公共资源交易平台（陕西省·宝鸡市）（http://ggzy.baoji.gov.cn/）下载本项目竞争性磋商文件</w:t>
      </w:r>
    </w:p>
    <w:p>
      <w:pPr>
        <w:pStyle w:val="41"/>
        <w:spacing w:beforeAutospacing="0" w:afterAutospacing="0" w:line="360" w:lineRule="auto"/>
        <w:ind w:firstLine="420"/>
        <w:rPr>
          <w:rFonts w:hint="default" w:ascii="宋体" w:hAnsi="宋体" w:eastAsia="宋体" w:cs="宋体"/>
          <w:color w:val="auto"/>
          <w:highlight w:val="none"/>
        </w:rPr>
      </w:pPr>
      <w:r>
        <w:rPr>
          <w:rFonts w:hint="default" w:ascii="宋体" w:hAnsi="宋体" w:eastAsia="宋体" w:cs="宋体"/>
          <w:color w:val="auto"/>
          <w:highlight w:val="none"/>
        </w:rPr>
        <w:t>方式：在线获取</w:t>
      </w:r>
    </w:p>
    <w:p>
      <w:pPr>
        <w:pStyle w:val="41"/>
        <w:spacing w:beforeAutospacing="0" w:afterAutospacing="0" w:line="360" w:lineRule="auto"/>
        <w:ind w:firstLine="420"/>
        <w:rPr>
          <w:color w:val="auto"/>
          <w:highlight w:val="none"/>
          <w:shd w:val="clear" w:color="auto" w:fill="FFFFFF"/>
        </w:rPr>
      </w:pPr>
      <w:r>
        <w:rPr>
          <w:rFonts w:hint="default" w:ascii="宋体" w:hAnsi="宋体" w:eastAsia="宋体" w:cs="宋体"/>
          <w:color w:val="auto"/>
          <w:highlight w:val="none"/>
        </w:rPr>
        <w:t>售价： 0元</w:t>
      </w:r>
    </w:p>
    <w:p>
      <w:pPr>
        <w:pStyle w:val="111"/>
        <w:widowControl/>
        <w:spacing w:beforeLines="0" w:afterLines="0" w:line="360" w:lineRule="auto"/>
        <w:rPr>
          <w:rFonts w:hint="default" w:ascii="宋体" w:hAnsi="宋体" w:cs="宋体"/>
          <w:bCs/>
          <w:color w:val="auto"/>
          <w:szCs w:val="22"/>
          <w:highlight w:val="none"/>
        </w:rPr>
      </w:pPr>
      <w:r>
        <w:rPr>
          <w:rFonts w:ascii="宋体" w:hAnsi="宋体" w:cs="宋体"/>
          <w:bCs/>
          <w:color w:val="auto"/>
          <w:szCs w:val="22"/>
          <w:highlight w:val="none"/>
        </w:rPr>
        <w:t>四、提交投标文件截止时间、开标时间和地点</w:t>
      </w:r>
    </w:p>
    <w:p>
      <w:pPr>
        <w:pStyle w:val="41"/>
        <w:spacing w:beforeAutospacing="0" w:afterAutospacing="0" w:line="360" w:lineRule="auto"/>
        <w:ind w:firstLine="420"/>
        <w:rPr>
          <w:rFonts w:hint="default" w:ascii="宋体" w:hAnsi="宋体" w:eastAsia="宋体" w:cs="宋体"/>
          <w:color w:val="auto"/>
          <w:highlight w:val="none"/>
        </w:rPr>
      </w:pPr>
      <w:r>
        <w:rPr>
          <w:rFonts w:hint="default" w:ascii="宋体" w:hAnsi="宋体" w:eastAsia="宋体" w:cs="宋体"/>
          <w:color w:val="auto"/>
          <w:highlight w:val="none"/>
        </w:rPr>
        <w:t>截止时间： 2023年09月20日 09时00分00秒 （北京时间）</w:t>
      </w:r>
    </w:p>
    <w:p>
      <w:pPr>
        <w:pStyle w:val="41"/>
        <w:spacing w:beforeAutospacing="0" w:afterAutospacing="0" w:line="360" w:lineRule="auto"/>
        <w:ind w:firstLine="420"/>
        <w:rPr>
          <w:rFonts w:hint="default" w:ascii="宋体" w:hAnsi="宋体" w:eastAsia="宋体" w:cs="宋体"/>
          <w:color w:val="auto"/>
          <w:highlight w:val="none"/>
        </w:rPr>
      </w:pPr>
      <w:r>
        <w:rPr>
          <w:rFonts w:hint="default" w:ascii="宋体" w:hAnsi="宋体" w:eastAsia="宋体" w:cs="宋体"/>
          <w:color w:val="auto"/>
          <w:highlight w:val="none"/>
        </w:rPr>
        <w:t>地点：全国公共资源交易平台（陕西省·宝鸡市）线上提交、宝鸡市公共资源交易中心五楼第7开标室纸质递交。</w:t>
      </w:r>
    </w:p>
    <w:p>
      <w:pPr>
        <w:pStyle w:val="111"/>
        <w:widowControl/>
        <w:numPr>
          <w:ilvl w:val="0"/>
          <w:numId w:val="3"/>
        </w:numPr>
        <w:spacing w:beforeLines="0" w:afterLines="0" w:line="360" w:lineRule="auto"/>
        <w:rPr>
          <w:rFonts w:hint="eastAsia" w:ascii="宋体" w:hAnsi="宋体" w:eastAsia="宋体" w:cs="宋体"/>
          <w:bCs/>
          <w:color w:val="auto"/>
          <w:szCs w:val="22"/>
          <w:highlight w:val="none"/>
          <w:lang w:val="en-US" w:eastAsia="zh-CN"/>
        </w:rPr>
      </w:pPr>
      <w:r>
        <w:rPr>
          <w:rFonts w:hint="eastAsia" w:ascii="宋体" w:hAnsi="宋体" w:eastAsia="宋体" w:cs="宋体"/>
          <w:bCs/>
          <w:color w:val="auto"/>
          <w:szCs w:val="22"/>
          <w:highlight w:val="none"/>
          <w:lang w:val="en-US" w:eastAsia="zh-CN"/>
        </w:rPr>
        <w:t>开启</w:t>
      </w:r>
    </w:p>
    <w:p>
      <w:pPr>
        <w:pStyle w:val="41"/>
        <w:spacing w:beforeAutospacing="0" w:afterAutospacing="0" w:line="360" w:lineRule="auto"/>
        <w:ind w:firstLine="420"/>
        <w:rPr>
          <w:rFonts w:hint="default" w:ascii="宋体" w:hAnsi="宋体" w:eastAsia="宋体" w:cs="宋体"/>
          <w:color w:val="auto"/>
          <w:highlight w:val="none"/>
        </w:rPr>
      </w:pPr>
      <w:r>
        <w:rPr>
          <w:rFonts w:hint="default" w:ascii="宋体" w:hAnsi="宋体" w:eastAsia="宋体" w:cs="宋体"/>
          <w:color w:val="auto"/>
          <w:highlight w:val="none"/>
        </w:rPr>
        <w:t>时间： 2023年09月20日 09时00分00秒 （北京时间）</w:t>
      </w:r>
    </w:p>
    <w:p>
      <w:pPr>
        <w:pStyle w:val="41"/>
        <w:spacing w:beforeAutospacing="0" w:afterAutospacing="0" w:line="360" w:lineRule="auto"/>
        <w:ind w:firstLine="420"/>
        <w:rPr>
          <w:rFonts w:hint="default" w:ascii="宋体" w:hAnsi="宋体" w:eastAsia="宋体" w:cs="宋体"/>
          <w:color w:val="auto"/>
          <w:highlight w:val="none"/>
          <w:lang w:val="en-US" w:eastAsia="zh-CN"/>
        </w:rPr>
      </w:pPr>
      <w:r>
        <w:rPr>
          <w:rFonts w:hint="default" w:ascii="宋体" w:hAnsi="宋体" w:eastAsia="宋体" w:cs="宋体"/>
          <w:color w:val="auto"/>
          <w:highlight w:val="none"/>
        </w:rPr>
        <w:t>地点：宝鸡市公共资源交易中心五楼第7开标室</w:t>
      </w:r>
    </w:p>
    <w:p>
      <w:pPr>
        <w:pStyle w:val="111"/>
        <w:widowControl/>
        <w:spacing w:beforeLines="0" w:afterLines="0" w:line="360" w:lineRule="auto"/>
        <w:rPr>
          <w:rFonts w:hint="default" w:ascii="宋体" w:hAnsi="宋体" w:cs="宋体"/>
          <w:bCs/>
          <w:color w:val="auto"/>
          <w:szCs w:val="22"/>
          <w:highlight w:val="none"/>
        </w:rPr>
      </w:pPr>
      <w:r>
        <w:rPr>
          <w:rFonts w:hint="eastAsia" w:ascii="宋体" w:hAnsi="宋体" w:cs="宋体"/>
          <w:bCs/>
          <w:color w:val="auto"/>
          <w:szCs w:val="22"/>
          <w:highlight w:val="none"/>
          <w:lang w:val="en-US" w:eastAsia="zh-CN"/>
        </w:rPr>
        <w:t>六</w:t>
      </w:r>
      <w:r>
        <w:rPr>
          <w:rFonts w:ascii="宋体" w:hAnsi="宋体" w:cs="宋体"/>
          <w:bCs/>
          <w:color w:val="auto"/>
          <w:szCs w:val="22"/>
          <w:highlight w:val="none"/>
        </w:rPr>
        <w:t>、公告期限</w:t>
      </w:r>
    </w:p>
    <w:p>
      <w:pPr>
        <w:pStyle w:val="111"/>
        <w:widowControl/>
        <w:spacing w:beforeLines="0" w:afterLines="0" w:line="360" w:lineRule="auto"/>
        <w:ind w:firstLine="480" w:firstLineChars="200"/>
        <w:rPr>
          <w:rFonts w:hint="default" w:ascii="宋体" w:hAnsi="宋体" w:cs="宋体"/>
          <w:b w:val="0"/>
          <w:color w:val="auto"/>
          <w:highlight w:val="none"/>
        </w:rPr>
      </w:pPr>
      <w:r>
        <w:rPr>
          <w:rFonts w:ascii="宋体" w:hAnsi="宋体" w:cs="宋体"/>
          <w:b w:val="0"/>
          <w:color w:val="auto"/>
          <w:highlight w:val="none"/>
        </w:rPr>
        <w:t>自本公告发布之日起3个工作日</w:t>
      </w:r>
    </w:p>
    <w:p>
      <w:pPr>
        <w:pStyle w:val="111"/>
        <w:widowControl/>
        <w:spacing w:beforeLines="0" w:afterLines="0" w:line="360" w:lineRule="auto"/>
        <w:rPr>
          <w:rFonts w:hint="default" w:ascii="宋体" w:hAnsi="宋体" w:cs="宋体"/>
          <w:bCs/>
          <w:color w:val="auto"/>
          <w:szCs w:val="22"/>
          <w:highlight w:val="none"/>
        </w:rPr>
      </w:pPr>
      <w:r>
        <w:rPr>
          <w:rFonts w:hint="eastAsia" w:ascii="宋体" w:hAnsi="宋体" w:cs="宋体"/>
          <w:bCs/>
          <w:color w:val="auto"/>
          <w:szCs w:val="22"/>
          <w:highlight w:val="none"/>
          <w:lang w:val="en-US" w:eastAsia="zh-CN"/>
        </w:rPr>
        <w:t>七</w:t>
      </w:r>
      <w:r>
        <w:rPr>
          <w:rFonts w:ascii="宋体" w:hAnsi="宋体" w:cs="宋体"/>
          <w:bCs/>
          <w:color w:val="auto"/>
          <w:szCs w:val="22"/>
          <w:highlight w:val="none"/>
        </w:rPr>
        <w:t>、</w:t>
      </w:r>
      <w:r>
        <w:rPr>
          <w:rFonts w:hint="eastAsia" w:ascii="宋体" w:hAnsi="宋体" w:cs="宋体"/>
          <w:bCs/>
          <w:color w:val="auto"/>
          <w:szCs w:val="22"/>
          <w:highlight w:val="none"/>
          <w:lang w:val="en-US" w:eastAsia="zh-CN"/>
        </w:rPr>
        <w:t>其他</w:t>
      </w:r>
      <w:r>
        <w:rPr>
          <w:rFonts w:ascii="宋体" w:hAnsi="宋体" w:cs="宋体"/>
          <w:bCs/>
          <w:color w:val="auto"/>
          <w:szCs w:val="22"/>
          <w:highlight w:val="none"/>
        </w:rPr>
        <w:t>补充事宜</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1.</w:t>
      </w:r>
      <w:r>
        <w:rPr>
          <w:rFonts w:hint="eastAsia" w:cs="宋体"/>
          <w:color w:val="auto"/>
          <w:highlight w:val="none"/>
        </w:rPr>
        <w:t>请供应商按照陕西省财政厅关于政府采购供应商注册登记有关事项的通知中的要求，通过陕西省政府采购网（</w:t>
      </w:r>
      <w:r>
        <w:rPr>
          <w:color w:val="auto"/>
          <w:highlight w:val="none"/>
        </w:rPr>
        <w:fldChar w:fldCharType="begin"/>
      </w:r>
      <w:r>
        <w:rPr>
          <w:color w:val="auto"/>
          <w:highlight w:val="none"/>
        </w:rPr>
        <w:instrText xml:space="preserve"> HYPERLINK "http://www.ccgp-shaanxi.gov.cn/" \h </w:instrText>
      </w:r>
      <w:r>
        <w:rPr>
          <w:color w:val="auto"/>
          <w:highlight w:val="none"/>
        </w:rPr>
        <w:fldChar w:fldCharType="separate"/>
      </w:r>
      <w:r>
        <w:rPr>
          <w:rFonts w:hint="eastAsia" w:cs="宋体"/>
          <w:color w:val="auto"/>
          <w:highlight w:val="none"/>
        </w:rPr>
        <w:t>http://www.ccgp-shaanxi.gov.cn/</w:t>
      </w:r>
      <w:r>
        <w:rPr>
          <w:rFonts w:hint="eastAsia" w:cs="宋体"/>
          <w:color w:val="auto"/>
          <w:highlight w:val="none"/>
        </w:rPr>
        <w:fldChar w:fldCharType="end"/>
      </w:r>
      <w:r>
        <w:rPr>
          <w:rFonts w:hint="eastAsia" w:cs="宋体"/>
          <w:color w:val="auto"/>
          <w:highlight w:val="none"/>
        </w:rPr>
        <w:t>）注册登记加入陕西省政府采购供应商库并及时办理 CA 数字证书（陕西 CA 锁）。</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2.</w:t>
      </w:r>
      <w:r>
        <w:rPr>
          <w:rFonts w:hint="eastAsia" w:cs="宋体"/>
          <w:color w:val="auto"/>
          <w:highlight w:val="none"/>
        </w:rPr>
        <w:t>本项目有意向的供应商须登录全国公共资源交易平台（陕西省·宝鸡市）宝鸡市公共资源交易中心（</w:t>
      </w:r>
      <w:r>
        <w:rPr>
          <w:color w:val="auto"/>
          <w:highlight w:val="none"/>
        </w:rPr>
        <w:fldChar w:fldCharType="begin"/>
      </w:r>
      <w:r>
        <w:rPr>
          <w:color w:val="auto"/>
          <w:highlight w:val="none"/>
        </w:rPr>
        <w:instrText xml:space="preserve"> HYPERLINK "http://www.sxggzyjy.cn/" \h </w:instrText>
      </w:r>
      <w:r>
        <w:rPr>
          <w:color w:val="auto"/>
          <w:highlight w:val="none"/>
        </w:rPr>
        <w:fldChar w:fldCharType="separate"/>
      </w:r>
      <w:r>
        <w:rPr>
          <w:rFonts w:hint="eastAsia" w:cs="宋体"/>
          <w:color w:val="auto"/>
          <w:highlight w:val="none"/>
        </w:rPr>
        <w:t>http://www.sxggzyjy.cn/</w:t>
      </w:r>
      <w:r>
        <w:rPr>
          <w:rFonts w:hint="eastAsia" w:cs="宋体"/>
          <w:color w:val="auto"/>
          <w:highlight w:val="none"/>
        </w:rPr>
        <w:fldChar w:fldCharType="end"/>
      </w:r>
      <w:r>
        <w:rPr>
          <w:rFonts w:hint="eastAsia" w:cs="宋体"/>
          <w:color w:val="auto"/>
          <w:highlight w:val="none"/>
        </w:rPr>
        <w:t>），交易平台〖首页〉电子交易平台〉陕西政府采购交易系统企业端〗后，在〖招标公告/出让公告〗模块中选择有意向的项目点击“我要投标”，进入界面后完善相关信息并打印回执单</w:t>
      </w:r>
      <w:r>
        <w:rPr>
          <w:rFonts w:hint="eastAsia"/>
          <w:color w:val="auto"/>
          <w:highlight w:val="none"/>
          <w:shd w:val="clear" w:color="auto" w:fill="FFFFFF"/>
        </w:rPr>
        <w:t>。</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3.本项目为“全流程电子化”采购模式，实行线上电子投标方式，各潜在供应商须自行在网上下载竞争性磋商文件、缴纳磋商保证金，并登录全国公共资源交易平台（陕西省·宝鸡市）（http://ggzy.baoji.gov.cn/）-服务指南-下载专区-《陕西省公共资源交易中心政府招标项目投标指南》，并下载政府采购电子标书制作工具，按照流程制作电子标书并在规定的递交响应文件截止时间前上传响应文件。</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4.未在规定时间内在平台上下载电子竞争性磋商文件的，导致无法完成后续流程的责任自负；</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olor w:val="auto"/>
          <w:highlight w:val="none"/>
          <w:shd w:val="clear" w:color="auto" w:fill="FFFFFF"/>
        </w:rPr>
        <w:t>5.</w:t>
      </w:r>
      <w:r>
        <w:rPr>
          <w:rFonts w:hint="eastAsia" w:cs="宋体"/>
          <w:color w:val="auto"/>
          <w:highlight w:val="none"/>
        </w:rPr>
        <w:t>因供应商自身设施故障或自身原因导致无法完成投标的，由供应商责任自负。</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6.各供应商在获取竞争性磋商文件后，请随时关注宝鸡市公共资源交易中心网站信息，获悉关于本项目的变更、澄清（如有）等内容，否则由此引起的一切责任由供应商自行承担。</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7.本项目需要落实的政府采购政策：</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（1）《关于在政府采购活动中查询及使用信用记录有关问题的通知》（财库〔2016〕125 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（2）《政府采购促进中小企业发展管理办法》（财库〔2020〕46 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10号）、《关于政府采购支持监狱企业发展有关问题的通知》（财库〔2014〕68 号）以及《关于促进残疾人就业政府采购政策的通知》（财库〔2017〕141 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（3）财政部、国家发展改革委《关于印发〈节能产品政府采购实施意见〉的通知》（财库〔2004〕185 号）、财政部、国家环保总局联合印发《关于环境标志产品政府采购实施的意见》（财库〔2006〕90 号）、国务院办公厅《关于建立政府强制采购节能产品制度的通知》（国办发〔2007〕51号）。财政部、国家发改委、生态环境部、市场监管总局联合印发《关于调整优化节能产品、环境标志产品政府采购执行机制的通知》（财库〔2019〕9 号）、《关于印发环境标志产品政府采购品目清单的通知》（财库〔2019〕18号）、《关于印发节能产品政府采购品目清单的通知》（财库〔2019〕19号）。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（4）《财政部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（5）《陕西省财政厅关于加快推进我省中小企业政府采购信用融资工作的通知》（陕财办采〔2020〕15 号）、陕西省财政厅关于印发《陕西省中小企业政府采购信用融资办法》（陕财办采〔2018〕23 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（6）《关于政府采购支持绿色建材促进建筑品质提升试点工作的通知》（财库〔2020〕31号）。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（7）陕西省财政厅《关于进一步加强政府绿色采购有关问题的通知》（陕财办采〔2021〕29号）。</w:t>
      </w:r>
    </w:p>
    <w:p>
      <w:pPr>
        <w:pStyle w:val="41"/>
        <w:wordWrap w:val="0"/>
        <w:spacing w:beforeAutospacing="0" w:afterAutospacing="0" w:line="360" w:lineRule="auto"/>
        <w:ind w:firstLine="480" w:firstLineChars="200"/>
        <w:textAlignment w:val="baseline"/>
        <w:rPr>
          <w:rFonts w:cs="宋体"/>
          <w:color w:val="auto"/>
          <w:highlight w:val="none"/>
        </w:rPr>
      </w:pPr>
      <w:r>
        <w:rPr>
          <w:rFonts w:hint="eastAsia" w:cs="宋体"/>
          <w:color w:val="auto"/>
          <w:highlight w:val="none"/>
        </w:rPr>
        <w:t>（8）其他需要落实的政府采购政策。</w:t>
      </w:r>
    </w:p>
    <w:p>
      <w:pPr>
        <w:pStyle w:val="111"/>
        <w:widowControl/>
        <w:spacing w:beforeLines="0" w:afterLines="0" w:line="360" w:lineRule="auto"/>
        <w:rPr>
          <w:rFonts w:hint="default" w:ascii="宋体" w:hAnsi="宋体" w:cs="宋体"/>
          <w:bCs/>
          <w:color w:val="auto"/>
          <w:szCs w:val="22"/>
          <w:highlight w:val="none"/>
        </w:rPr>
      </w:pPr>
      <w:r>
        <w:rPr>
          <w:rFonts w:hint="eastAsia" w:ascii="宋体" w:hAnsi="宋体" w:cs="宋体"/>
          <w:bCs/>
          <w:color w:val="auto"/>
          <w:szCs w:val="22"/>
          <w:highlight w:val="none"/>
          <w:lang w:val="en-US" w:eastAsia="zh-CN"/>
        </w:rPr>
        <w:t>八</w:t>
      </w:r>
      <w:r>
        <w:rPr>
          <w:rFonts w:ascii="宋体" w:hAnsi="宋体" w:cs="宋体"/>
          <w:bCs/>
          <w:color w:val="auto"/>
          <w:szCs w:val="22"/>
          <w:highlight w:val="none"/>
        </w:rPr>
        <w:t>、对本次招标提出询问，请按以下方式联系。</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1.采购人信息</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名称：岐山县档案馆</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地址：岐山县礼乐路北段（凤鸣国际酒店北侧）</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 xml:space="preserve">联系方式：15877506169 </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2.采购代理机构信息</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名称：陕西正大项目管理咨询有限公司</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地址：宝鸡市宝虢路80号鹏博财富中心6号楼1302号</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联系方式：0917-3366779  18991761158</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3.项目联系方式</w:t>
      </w:r>
    </w:p>
    <w:p>
      <w:pPr>
        <w:pStyle w:val="41"/>
        <w:wordWrap w:val="0"/>
        <w:spacing w:beforeAutospacing="0" w:afterAutospacing="0" w:line="360" w:lineRule="auto"/>
        <w:ind w:firstLine="480" w:firstLineChars="200"/>
        <w:textAlignment w:val="baseline"/>
        <w:rPr>
          <w:color w:val="auto"/>
          <w:highlight w:val="none"/>
          <w:shd w:val="clear" w:color="auto" w:fill="FFFFFF"/>
        </w:rPr>
      </w:pPr>
      <w:r>
        <w:rPr>
          <w:rFonts w:hint="eastAsia"/>
          <w:color w:val="auto"/>
          <w:highlight w:val="none"/>
          <w:shd w:val="clear" w:color="auto" w:fill="FFFFFF"/>
        </w:rPr>
        <w:t>项目联系人：段萍莉  王盛文</w:t>
      </w:r>
    </w:p>
    <w:p>
      <w:pPr>
        <w:pStyle w:val="41"/>
        <w:spacing w:beforeAutospacing="0" w:afterAutospacing="0" w:line="360" w:lineRule="auto"/>
        <w:ind w:firstLine="480" w:firstLineChars="200"/>
        <w:rPr>
          <w:rFonts w:cs="宋体"/>
          <w:color w:val="auto"/>
          <w:highlight w:val="none"/>
        </w:rPr>
      </w:pPr>
      <w:r>
        <w:rPr>
          <w:rFonts w:hint="eastAsia"/>
          <w:color w:val="auto"/>
          <w:highlight w:val="none"/>
          <w:shd w:val="clear" w:color="auto" w:fill="FFFFFF"/>
        </w:rPr>
        <w:t>电话：0917-3366779  18991761158</w:t>
      </w:r>
    </w:p>
    <w:p>
      <w:pPr>
        <w:spacing w:beforeLines="0" w:afterLines="0"/>
        <w:ind w:firstLine="5280" w:firstLineChars="2200"/>
        <w:rPr>
          <w:rFonts w:hint="default" w:ascii="宋体" w:hAnsi="宋体" w:cs="宋体"/>
          <w:color w:val="auto"/>
          <w:szCs w:val="24"/>
          <w:highlight w:val="none"/>
        </w:rPr>
      </w:pPr>
    </w:p>
    <w:p>
      <w:pPr>
        <w:spacing w:beforeLines="0" w:afterLines="0"/>
        <w:ind w:firstLine="5280" w:firstLineChars="2200"/>
        <w:rPr>
          <w:rFonts w:hint="default" w:ascii="宋体" w:hAnsi="宋体" w:cs="宋体"/>
          <w:color w:val="auto"/>
          <w:szCs w:val="24"/>
          <w:highlight w:val="none"/>
        </w:rPr>
      </w:pPr>
      <w:r>
        <w:rPr>
          <w:rFonts w:ascii="宋体" w:hAnsi="宋体" w:cs="宋体"/>
          <w:color w:val="auto"/>
          <w:szCs w:val="24"/>
          <w:highlight w:val="none"/>
        </w:rPr>
        <w:t>陕西正大项目管理咨询有限公司</w:t>
      </w:r>
    </w:p>
    <w:p>
      <w:pPr>
        <w:spacing w:beforeLines="0" w:afterLines="0"/>
        <w:jc w:val="center"/>
        <w:rPr>
          <w:rFonts w:hint="default" w:ascii="宋体" w:hAnsi="宋体" w:cs="宋体"/>
          <w:color w:val="auto"/>
          <w:szCs w:val="24"/>
          <w:highlight w:val="none"/>
        </w:rPr>
      </w:pPr>
      <w:r>
        <w:rPr>
          <w:rFonts w:ascii="宋体" w:hAnsi="宋体" w:cs="宋体"/>
          <w:color w:val="auto"/>
          <w:szCs w:val="24"/>
          <w:highlight w:val="none"/>
        </w:rPr>
        <w:t xml:space="preserve">                                           2023年</w:t>
      </w:r>
      <w:r>
        <w:rPr>
          <w:rFonts w:hint="eastAsia" w:ascii="宋体" w:hAnsi="宋体" w:cs="宋体"/>
          <w:color w:val="auto"/>
          <w:szCs w:val="24"/>
          <w:highlight w:val="none"/>
          <w:lang w:val="en-US" w:eastAsia="zh-CN"/>
        </w:rPr>
        <w:t>09</w:t>
      </w:r>
      <w:r>
        <w:rPr>
          <w:rFonts w:ascii="宋体" w:hAnsi="宋体" w:cs="宋体"/>
          <w:color w:val="auto"/>
          <w:szCs w:val="24"/>
          <w:highlight w:val="none"/>
        </w:rPr>
        <w:t>月</w:t>
      </w:r>
      <w:r>
        <w:rPr>
          <w:rFonts w:hint="eastAsia" w:ascii="宋体" w:hAnsi="宋体" w:cs="宋体"/>
          <w:color w:val="auto"/>
          <w:szCs w:val="24"/>
          <w:highlight w:val="none"/>
          <w:lang w:val="en-US" w:eastAsia="zh-CN"/>
        </w:rPr>
        <w:t>07</w:t>
      </w:r>
      <w:r>
        <w:rPr>
          <w:rFonts w:ascii="宋体" w:hAnsi="宋体" w:cs="宋体"/>
          <w:color w:val="auto"/>
          <w:szCs w:val="24"/>
          <w:highlight w:val="none"/>
        </w:rPr>
        <w:t>日</w:t>
      </w:r>
    </w:p>
    <w:p>
      <w:pPr>
        <w:pStyle w:val="4"/>
        <w:spacing w:before="240" w:after="120"/>
        <w:jc w:val="center"/>
        <w:rPr>
          <w:rFonts w:hint="default" w:hAnsi="宋体" w:cs="宋体"/>
          <w:color w:val="auto"/>
          <w:sz w:val="30"/>
          <w:szCs w:val="30"/>
          <w:highlight w:val="none"/>
        </w:rPr>
      </w:pPr>
      <w:bookmarkStart w:id="17" w:name="_Toc19270"/>
      <w:r>
        <w:rPr>
          <w:rFonts w:hAnsi="宋体" w:cs="宋体"/>
          <w:color w:val="auto"/>
          <w:sz w:val="30"/>
          <w:szCs w:val="30"/>
          <w:highlight w:val="none"/>
        </w:rPr>
        <w:t>第二章  供应商须知</w:t>
      </w:r>
      <w:bookmarkEnd w:id="0"/>
      <w:bookmarkEnd w:id="10"/>
      <w:bookmarkEnd w:id="11"/>
      <w:bookmarkEnd w:id="17"/>
    </w:p>
    <w:p>
      <w:pPr>
        <w:spacing w:before="24" w:after="24" w:line="400" w:lineRule="exact"/>
        <w:rPr>
          <w:rFonts w:hint="default" w:ascii="宋体" w:hAnsi="宋体" w:cs="宋体"/>
          <w:b/>
          <w:bCs/>
          <w:color w:val="auto"/>
          <w:szCs w:val="24"/>
          <w:highlight w:val="none"/>
        </w:rPr>
      </w:pPr>
      <w:r>
        <w:rPr>
          <w:rFonts w:ascii="宋体" w:hAnsi="宋体" w:cs="宋体"/>
          <w:b/>
          <w:bCs/>
          <w:color w:val="auto"/>
          <w:szCs w:val="24"/>
          <w:highlight w:val="none"/>
        </w:rPr>
        <w:t>供应商须知前附表</w:t>
      </w:r>
    </w:p>
    <w:tbl>
      <w:tblPr>
        <w:tblStyle w:val="46"/>
        <w:tblW w:w="875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677"/>
        <w:gridCol w:w="61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6" w:hRule="atLeast"/>
          <w:tblHeader/>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b/>
                <w:color w:val="auto"/>
                <w:spacing w:val="-14"/>
                <w:kern w:val="22"/>
                <w:szCs w:val="24"/>
                <w:highlight w:val="none"/>
              </w:rPr>
            </w:pPr>
            <w:r>
              <w:rPr>
                <w:rFonts w:ascii="宋体" w:hAnsi="宋体" w:cs="宋体"/>
                <w:b/>
                <w:color w:val="auto"/>
                <w:spacing w:val="-14"/>
                <w:kern w:val="22"/>
                <w:szCs w:val="24"/>
                <w:highlight w:val="none"/>
              </w:rPr>
              <w:t>条款号</w:t>
            </w:r>
          </w:p>
        </w:tc>
        <w:tc>
          <w:tcPr>
            <w:tcW w:w="1677" w:type="dxa"/>
            <w:tcBorders>
              <w:tl2br w:val="nil"/>
              <w:tr2bl w:val="nil"/>
            </w:tcBorders>
            <w:noWrap/>
            <w:vAlign w:val="center"/>
          </w:tcPr>
          <w:p>
            <w:pPr>
              <w:spacing w:beforeLines="0" w:afterLines="0" w:line="240" w:lineRule="auto"/>
              <w:jc w:val="center"/>
              <w:rPr>
                <w:rFonts w:hint="default" w:ascii="宋体" w:hAnsi="宋体" w:cs="宋体"/>
                <w:b/>
                <w:color w:val="auto"/>
                <w:kern w:val="1"/>
                <w:szCs w:val="24"/>
                <w:highlight w:val="none"/>
              </w:rPr>
            </w:pPr>
            <w:r>
              <w:rPr>
                <w:rFonts w:ascii="宋体" w:hAnsi="宋体" w:cs="宋体"/>
                <w:b/>
                <w:color w:val="auto"/>
                <w:kern w:val="1"/>
                <w:szCs w:val="24"/>
                <w:highlight w:val="none"/>
              </w:rPr>
              <w:t>条款名称</w:t>
            </w:r>
          </w:p>
        </w:tc>
        <w:tc>
          <w:tcPr>
            <w:tcW w:w="6123" w:type="dxa"/>
            <w:tcBorders>
              <w:tl2br w:val="nil"/>
              <w:tr2bl w:val="nil"/>
            </w:tcBorders>
            <w:noWrap/>
            <w:vAlign w:val="center"/>
          </w:tcPr>
          <w:p>
            <w:pPr>
              <w:spacing w:beforeLines="0" w:afterLines="0" w:line="240" w:lineRule="auto"/>
              <w:jc w:val="center"/>
              <w:rPr>
                <w:rFonts w:hint="default" w:ascii="宋体" w:hAnsi="宋体" w:cs="宋体"/>
                <w:b/>
                <w:color w:val="auto"/>
                <w:kern w:val="1"/>
                <w:szCs w:val="24"/>
                <w:highlight w:val="none"/>
              </w:rPr>
            </w:pPr>
            <w:r>
              <w:rPr>
                <w:rFonts w:ascii="宋体" w:hAnsi="宋体" w:cs="宋体"/>
                <w:b/>
                <w:color w:val="auto"/>
                <w:kern w:val="1"/>
                <w:szCs w:val="24"/>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1.1.2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采购单位</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0"/>
                <w:szCs w:val="24"/>
                <w:highlight w:val="none"/>
              </w:rPr>
            </w:pPr>
            <w:r>
              <w:rPr>
                <w:rFonts w:ascii="宋体" w:hAnsi="宋体" w:cs="宋体"/>
                <w:color w:val="auto"/>
                <w:kern w:val="1"/>
                <w:szCs w:val="24"/>
                <w:highlight w:val="none"/>
              </w:rPr>
              <w:t>名称：岐山县档案馆</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地址：岐山县礼乐路北段（凤鸣国际酒店北侧）</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联系人：</w:t>
            </w:r>
            <w:r>
              <w:rPr>
                <w:rFonts w:ascii="宋体" w:hAnsi="宋体" w:cs="宋体"/>
                <w:color w:val="auto"/>
                <w:szCs w:val="21"/>
                <w:highlight w:val="none"/>
              </w:rPr>
              <w:t>宋秦力</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电话：15877506169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1.1.3</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采购代理机构</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名  称：陕西正大项目管理咨询有限公司</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地  址：</w:t>
            </w:r>
            <w:r>
              <w:rPr>
                <w:rFonts w:ascii="宋体" w:hAnsi="宋体"/>
                <w:color w:val="auto"/>
                <w:szCs w:val="24"/>
                <w:highlight w:val="none"/>
                <w:shd w:val="clear" w:color="auto" w:fill="FFFFFF"/>
              </w:rPr>
              <w:t>宝鸡市宝虢路80号鹏博财富中心6号楼1302号</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联系人：</w:t>
            </w:r>
            <w:r>
              <w:rPr>
                <w:rFonts w:ascii="宋体" w:hAnsi="宋体"/>
                <w:color w:val="auto"/>
                <w:szCs w:val="24"/>
                <w:highlight w:val="none"/>
                <w:shd w:val="clear" w:color="auto" w:fill="FFFFFF"/>
              </w:rPr>
              <w:t>段萍莉  王盛文</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电  话：</w:t>
            </w:r>
            <w:r>
              <w:rPr>
                <w:rFonts w:ascii="宋体" w:hAnsi="宋体"/>
                <w:color w:val="auto"/>
                <w:szCs w:val="24"/>
                <w:highlight w:val="none"/>
                <w:shd w:val="clear" w:color="auto" w:fill="FFFFFF"/>
              </w:rPr>
              <w:t>0917-3366779  18991761158</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邮  箱：sxzd2003@126.com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1.1.4</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项目名称</w:t>
            </w:r>
          </w:p>
        </w:tc>
        <w:tc>
          <w:tcPr>
            <w:tcW w:w="6123" w:type="dxa"/>
            <w:tcBorders>
              <w:tl2br w:val="nil"/>
              <w:tr2bl w:val="nil"/>
            </w:tcBorders>
            <w:noWrap/>
            <w:vAlign w:val="center"/>
          </w:tcPr>
          <w:p>
            <w:pPr>
              <w:spacing w:beforeLines="0" w:afterLines="0" w:line="240" w:lineRule="auto"/>
              <w:rPr>
                <w:rFonts w:hint="default" w:ascii="宋体" w:hAnsi="宋体" w:cs="宋体"/>
                <w:color w:val="auto"/>
                <w:kern w:val="1"/>
                <w:szCs w:val="24"/>
                <w:highlight w:val="none"/>
              </w:rPr>
            </w:pPr>
            <w:r>
              <w:rPr>
                <w:rFonts w:ascii="宋体" w:hAnsi="宋体" w:cs="宋体"/>
                <w:color w:val="auto"/>
                <w:szCs w:val="24"/>
                <w:highlight w:val="none"/>
              </w:rPr>
              <w:t>数字档案馆创建项目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1.2.1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资金来源</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szCs w:val="21"/>
                <w:highlight w:val="none"/>
              </w:rPr>
              <w:t>其他财政资金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1.2.2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资金落实情况</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1.3.1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采购内容</w:t>
            </w:r>
          </w:p>
        </w:tc>
        <w:tc>
          <w:tcPr>
            <w:tcW w:w="6123" w:type="dxa"/>
            <w:tcBorders>
              <w:tl2br w:val="nil"/>
              <w:tr2bl w:val="nil"/>
            </w:tcBorders>
            <w:noWrap/>
            <w:vAlign w:val="center"/>
          </w:tcPr>
          <w:p>
            <w:pPr>
              <w:spacing w:beforeLines="0" w:afterLines="0" w:line="240" w:lineRule="auto"/>
              <w:rPr>
                <w:rFonts w:hint="default" w:ascii="宋体" w:hAnsi="宋体" w:cs="宋体"/>
                <w:color w:val="auto"/>
                <w:kern w:val="1"/>
                <w:szCs w:val="24"/>
                <w:highlight w:val="none"/>
              </w:rPr>
            </w:pPr>
            <w:r>
              <w:rPr>
                <w:rFonts w:ascii="宋体" w:hAnsi="宋体" w:cs="宋体"/>
                <w:bCs/>
                <w:color w:val="auto"/>
                <w:szCs w:val="24"/>
                <w:highlight w:val="none"/>
              </w:rPr>
              <w:t>数字档案馆创建项目，详见采购内容及具体要求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1.3.2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服务期</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highlight w:val="none"/>
              </w:rPr>
              <w:t>90日历天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1.3.3</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质量标准</w:t>
            </w:r>
          </w:p>
        </w:tc>
        <w:tc>
          <w:tcPr>
            <w:tcW w:w="6123" w:type="dxa"/>
            <w:tcBorders>
              <w:tl2br w:val="nil"/>
              <w:tr2bl w:val="nil"/>
            </w:tcBorders>
            <w:noWrap/>
            <w:vAlign w:val="center"/>
          </w:tcPr>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合格，符合国家规定及行业标准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1.3.4</w:t>
            </w:r>
          </w:p>
        </w:tc>
        <w:tc>
          <w:tcPr>
            <w:tcW w:w="1677" w:type="dxa"/>
            <w:tcBorders>
              <w:tl2br w:val="nil"/>
              <w:tr2bl w:val="nil"/>
            </w:tcBorders>
            <w:noWrap/>
            <w:vAlign w:val="center"/>
          </w:tcPr>
          <w:p>
            <w:pPr>
              <w:spacing w:beforeLines="0" w:afterLines="0" w:line="240" w:lineRule="auto"/>
              <w:jc w:val="center"/>
              <w:rPr>
                <w:rFonts w:hint="default" w:ascii="宋体" w:hAnsi="宋体" w:cs="宋体"/>
                <w:bCs/>
                <w:color w:val="auto"/>
                <w:szCs w:val="24"/>
                <w:highlight w:val="none"/>
              </w:rPr>
            </w:pPr>
            <w:r>
              <w:rPr>
                <w:rFonts w:ascii="宋体" w:hAnsi="宋体" w:cs="宋体"/>
                <w:bCs/>
                <w:color w:val="auto"/>
                <w:szCs w:val="24"/>
                <w:highlight w:val="none"/>
              </w:rPr>
              <w:t>服务地点</w:t>
            </w:r>
          </w:p>
        </w:tc>
        <w:tc>
          <w:tcPr>
            <w:tcW w:w="6123" w:type="dxa"/>
            <w:tcBorders>
              <w:tl2br w:val="nil"/>
              <w:tr2bl w:val="nil"/>
            </w:tcBorders>
            <w:noWrap/>
            <w:vAlign w:val="center"/>
          </w:tcPr>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1.4.1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供应商资格</w:t>
            </w:r>
          </w:p>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要求</w:t>
            </w:r>
          </w:p>
        </w:tc>
        <w:tc>
          <w:tcPr>
            <w:tcW w:w="6123" w:type="dxa"/>
            <w:tcBorders>
              <w:tl2br w:val="nil"/>
              <w:tr2bl w:val="nil"/>
            </w:tcBorders>
            <w:noWrap/>
            <w:vAlign w:val="center"/>
          </w:tcPr>
          <w:p>
            <w:pPr>
              <w:spacing w:beforeLines="0" w:afterLines="0" w:line="360" w:lineRule="exact"/>
              <w:rPr>
                <w:rFonts w:hint="default" w:ascii="宋体" w:hAnsi="宋体" w:cs="宋体"/>
                <w:b/>
                <w:color w:val="auto"/>
                <w:kern w:val="0"/>
                <w:szCs w:val="24"/>
                <w:highlight w:val="none"/>
              </w:rPr>
            </w:pPr>
            <w:r>
              <w:rPr>
                <w:rFonts w:ascii="宋体" w:hAnsi="宋体" w:cs="宋体"/>
                <w:b/>
                <w:color w:val="auto"/>
                <w:kern w:val="0"/>
                <w:szCs w:val="24"/>
                <w:highlight w:val="none"/>
              </w:rPr>
              <w:t>1、基本资格条件：</w:t>
            </w:r>
          </w:p>
          <w:p>
            <w:pPr>
              <w:spacing w:beforeLines="0" w:afterLines="0" w:line="360" w:lineRule="exact"/>
              <w:rPr>
                <w:rFonts w:hint="default" w:ascii="宋体" w:hAnsi="宋体" w:cs="宋体"/>
                <w:color w:val="auto"/>
                <w:szCs w:val="24"/>
                <w:highlight w:val="none"/>
              </w:rPr>
            </w:pPr>
            <w:r>
              <w:rPr>
                <w:rFonts w:ascii="宋体" w:hAnsi="宋体" w:cs="宋体"/>
                <w:color w:val="auto"/>
                <w:szCs w:val="24"/>
                <w:highlight w:val="none"/>
              </w:rPr>
              <w:t>①具有独立承担民事责任能力的法人、其他组织或自然人，提供合法有效的统一社会信用代码营业执照（事业单位提供事业单位法人证书，自然人应提供身份证）；</w:t>
            </w:r>
          </w:p>
          <w:p>
            <w:pPr>
              <w:spacing w:beforeLines="0" w:afterLines="0" w:line="360" w:lineRule="exact"/>
              <w:rPr>
                <w:rFonts w:hint="default" w:ascii="宋体" w:hAnsi="宋体" w:cs="宋体"/>
                <w:color w:val="auto"/>
                <w:szCs w:val="24"/>
                <w:highlight w:val="none"/>
              </w:rPr>
            </w:pPr>
            <w:r>
              <w:rPr>
                <w:rFonts w:ascii="宋体" w:hAnsi="宋体" w:cs="宋体"/>
                <w:color w:val="auto"/>
                <w:szCs w:val="24"/>
                <w:highlight w:val="none"/>
              </w:rPr>
              <w:t>②</w:t>
            </w:r>
            <w:r>
              <w:rPr>
                <w:rFonts w:ascii="宋体" w:hAnsi="宋体" w:cs="宋体"/>
                <w:color w:val="auto"/>
                <w:highlight w:val="none"/>
              </w:rPr>
              <w:t>财务状况：提供具有审计资格的第三方出具的2022年度财务审计报告（成立时间至提交响应文件截止时间不足一年的可提供从成立至今的财务报表），或其基本存款账户开户银行出具的磋商时间前6个月内的资信证明</w:t>
            </w:r>
            <w:r>
              <w:rPr>
                <w:rFonts w:ascii="宋体" w:hAnsi="宋体" w:cs="宋体"/>
                <w:bCs/>
                <w:color w:val="auto"/>
                <w:kern w:val="0"/>
                <w:szCs w:val="24"/>
                <w:highlight w:val="none"/>
              </w:rPr>
              <w:t>及基本存款账户开户许可证（基本存款账户信息证明）</w:t>
            </w:r>
            <w:r>
              <w:rPr>
                <w:rFonts w:ascii="宋体" w:hAnsi="宋体" w:cs="宋体"/>
                <w:color w:val="auto"/>
                <w:highlight w:val="none"/>
              </w:rPr>
              <w:t>；其他组织和自然人提供银行出具的资信证明或财务报表；</w:t>
            </w:r>
          </w:p>
          <w:p>
            <w:pPr>
              <w:spacing w:beforeLines="0" w:afterLines="0" w:line="360" w:lineRule="exact"/>
              <w:rPr>
                <w:rFonts w:hint="default" w:ascii="宋体" w:hAnsi="宋体" w:cs="宋体"/>
                <w:color w:val="auto"/>
                <w:highlight w:val="none"/>
              </w:rPr>
            </w:pPr>
            <w:r>
              <w:rPr>
                <w:rFonts w:ascii="宋体" w:hAnsi="宋体" w:cs="宋体"/>
                <w:color w:val="auto"/>
                <w:highlight w:val="none"/>
              </w:rPr>
              <w:t>③税收缴纳证明：提供截止磋商时间前6个月内任意1个月的纳税证明或税务机关开具的完税证明，依法免税的单位应提供相关证明材料；</w:t>
            </w:r>
          </w:p>
          <w:p>
            <w:pPr>
              <w:spacing w:beforeLines="0" w:afterLines="0" w:line="360" w:lineRule="exact"/>
              <w:rPr>
                <w:rFonts w:hint="default" w:ascii="宋体" w:hAnsi="宋体" w:cs="宋体"/>
                <w:color w:val="auto"/>
                <w:highlight w:val="none"/>
              </w:rPr>
            </w:pPr>
            <w:r>
              <w:rPr>
                <w:rFonts w:ascii="宋体" w:hAnsi="宋体" w:cs="宋体"/>
                <w:color w:val="auto"/>
                <w:highlight w:val="none"/>
              </w:rPr>
              <w:t>④社会保障资金缴纳证明：提供截止磋商时间前6个月内任意1个月的社会保障资金缴存单据或社保机构开具的社会保险参保缴费证明；依法不需要缴纳社会保障资金的供应商应提供相关证明材料；</w:t>
            </w:r>
          </w:p>
          <w:p>
            <w:pPr>
              <w:spacing w:beforeLines="0" w:afterLines="0" w:line="360" w:lineRule="exact"/>
              <w:rPr>
                <w:rFonts w:hint="default" w:ascii="宋体" w:hAnsi="宋体" w:cs="宋体"/>
                <w:color w:val="auto"/>
                <w:szCs w:val="24"/>
                <w:highlight w:val="none"/>
              </w:rPr>
            </w:pPr>
            <w:r>
              <w:rPr>
                <w:rFonts w:ascii="宋体" w:hAnsi="宋体" w:cs="宋体"/>
                <w:color w:val="auto"/>
                <w:szCs w:val="24"/>
                <w:highlight w:val="none"/>
              </w:rPr>
              <w:t>⑤提供具有履行本合同所必需的设备和专业技术能力的书面声明；</w:t>
            </w:r>
          </w:p>
          <w:p>
            <w:pPr>
              <w:spacing w:beforeLines="0" w:afterLines="0" w:line="360" w:lineRule="exact"/>
              <w:rPr>
                <w:rFonts w:hint="default" w:ascii="宋体" w:hAnsi="宋体" w:cs="宋体"/>
                <w:color w:val="auto"/>
                <w:szCs w:val="24"/>
                <w:highlight w:val="none"/>
              </w:rPr>
            </w:pPr>
            <w:r>
              <w:rPr>
                <w:rFonts w:ascii="宋体" w:hAnsi="宋体" w:cs="宋体"/>
                <w:color w:val="auto"/>
                <w:szCs w:val="24"/>
                <w:highlight w:val="none"/>
              </w:rPr>
              <w:t>⑥提供参加政府采购活动前3年内在经营活动中没有重大违法记录的书面声明。</w:t>
            </w:r>
          </w:p>
          <w:p>
            <w:pPr>
              <w:spacing w:beforeLines="0" w:afterLines="0" w:line="360" w:lineRule="exact"/>
              <w:rPr>
                <w:rFonts w:hint="default" w:ascii="宋体" w:hAnsi="宋体" w:cs="宋体"/>
                <w:b/>
                <w:bCs/>
                <w:color w:val="auto"/>
                <w:highlight w:val="none"/>
              </w:rPr>
            </w:pPr>
            <w:r>
              <w:rPr>
                <w:rFonts w:ascii="宋体" w:hAnsi="宋体" w:cs="宋体"/>
                <w:b/>
                <w:bCs/>
                <w:color w:val="auto"/>
                <w:highlight w:val="none"/>
              </w:rPr>
              <w:t>2、落实政府采购政策需满足的资格要求：</w:t>
            </w:r>
          </w:p>
          <w:p>
            <w:pPr>
              <w:spacing w:beforeLines="0" w:afterLines="0" w:line="360" w:lineRule="exact"/>
              <w:rPr>
                <w:rFonts w:hint="default" w:ascii="宋体" w:hAnsi="宋体" w:cs="宋体"/>
                <w:color w:val="auto"/>
                <w:highlight w:val="none"/>
              </w:rPr>
            </w:pPr>
            <w:r>
              <w:rPr>
                <w:rFonts w:ascii="宋体" w:hAnsi="宋体" w:cs="宋体"/>
                <w:color w:val="auto"/>
                <w:highlight w:val="none"/>
              </w:rPr>
              <w:t>本项目非专门面向中小企业采购。</w:t>
            </w:r>
          </w:p>
          <w:p>
            <w:pPr>
              <w:spacing w:beforeLines="0" w:afterLines="0" w:line="360" w:lineRule="exact"/>
              <w:rPr>
                <w:rFonts w:hint="default" w:ascii="宋体" w:hAnsi="宋体" w:cs="宋体"/>
                <w:b/>
                <w:bCs/>
                <w:color w:val="auto"/>
                <w:highlight w:val="none"/>
              </w:rPr>
            </w:pPr>
            <w:r>
              <w:rPr>
                <w:rFonts w:ascii="宋体" w:hAnsi="宋体" w:cs="宋体"/>
                <w:b/>
                <w:bCs/>
                <w:color w:val="auto"/>
                <w:highlight w:val="none"/>
              </w:rPr>
              <w:t>3、特定资格条件：</w:t>
            </w:r>
          </w:p>
          <w:p>
            <w:pPr>
              <w:spacing w:beforeLines="0" w:afterLines="0" w:line="360" w:lineRule="exact"/>
              <w:rPr>
                <w:rFonts w:hint="default" w:ascii="宋体" w:hAnsi="宋体" w:cs="宋体"/>
                <w:bCs/>
                <w:color w:val="auto"/>
                <w:kern w:val="0"/>
                <w:szCs w:val="24"/>
                <w:highlight w:val="none"/>
              </w:rPr>
            </w:pPr>
            <w:r>
              <w:rPr>
                <w:rFonts w:ascii="宋体" w:hAnsi="宋体" w:cs="宋体"/>
                <w:bCs/>
                <w:color w:val="auto"/>
                <w:kern w:val="0"/>
                <w:szCs w:val="24"/>
                <w:highlight w:val="none"/>
              </w:rPr>
              <w:t>①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pPr>
              <w:spacing w:beforeLines="0" w:afterLines="0" w:line="360" w:lineRule="exact"/>
              <w:rPr>
                <w:rFonts w:hint="default" w:ascii="宋体" w:hAnsi="宋体" w:cs="宋体"/>
                <w:bCs/>
                <w:color w:val="auto"/>
                <w:kern w:val="0"/>
                <w:szCs w:val="24"/>
                <w:highlight w:val="none"/>
              </w:rPr>
            </w:pPr>
            <w:r>
              <w:rPr>
                <w:rFonts w:ascii="宋体" w:hAnsi="宋体" w:cs="宋体"/>
                <w:bCs/>
                <w:color w:val="auto"/>
                <w:kern w:val="0"/>
                <w:szCs w:val="24"/>
                <w:highlight w:val="none"/>
              </w:rPr>
              <w:t>②非法定代表人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参加投标的，须提供法定代表人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授权书（附法定代表人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、被授权人身份证复印件）；法定代表人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直接参加投标的，须提供法定代表人身份证明（附法定代表人身份证复印件）；</w:t>
            </w:r>
          </w:p>
          <w:p>
            <w:pPr>
              <w:spacing w:beforeLines="0" w:afterLines="0" w:line="360" w:lineRule="exact"/>
              <w:rPr>
                <w:rFonts w:hint="default" w:ascii="宋体" w:hAnsi="宋体" w:cs="宋体"/>
                <w:bCs/>
                <w:color w:val="auto"/>
                <w:kern w:val="0"/>
                <w:szCs w:val="24"/>
                <w:highlight w:val="none"/>
              </w:rPr>
            </w:pPr>
            <w:r>
              <w:rPr>
                <w:rFonts w:ascii="宋体" w:hAnsi="宋体" w:cs="宋体"/>
                <w:bCs/>
                <w:color w:val="auto"/>
                <w:kern w:val="0"/>
                <w:szCs w:val="24"/>
                <w:highlight w:val="none"/>
              </w:rPr>
              <w:t>③单位负责人为同一人或者存在直接控股、管理关系的不同供应商，不得参加同一合同项下的政府采购活动。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1.4.2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联合体磋商</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1.5</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分  包</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1.9</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踏勘现场</w:t>
            </w:r>
          </w:p>
        </w:tc>
        <w:tc>
          <w:tcPr>
            <w:tcW w:w="6123" w:type="dxa"/>
            <w:tcBorders>
              <w:tl2br w:val="nil"/>
              <w:tr2bl w:val="nil"/>
            </w:tcBorders>
            <w:noWrap/>
            <w:vAlign w:val="center"/>
          </w:tcPr>
          <w:p>
            <w:pPr>
              <w:spacing w:beforeLines="0" w:afterLines="0" w:line="240" w:lineRule="auto"/>
              <w:rPr>
                <w:rFonts w:hint="default" w:ascii="宋体" w:hAnsi="宋体" w:cs="宋体"/>
                <w:color w:val="auto"/>
                <w:kern w:val="1"/>
                <w:szCs w:val="24"/>
                <w:highlight w:val="none"/>
              </w:rPr>
            </w:pPr>
            <w:r>
              <w:rPr>
                <w:rFonts w:ascii="宋体" w:hAnsi="宋体" w:cs="宋体"/>
                <w:color w:val="auto"/>
                <w:kern w:val="1"/>
                <w:szCs w:val="24"/>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2.1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竞争性磋商文件的组成</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（1）竞争性磋商公告；</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（2）供应商须知；</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（3）竞争性磋商评审办法；</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（4）合同条款及格式；</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（5）采购内容及技术要求；</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（6）响应文件格式。</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采购人在响应文件递交截止时间前发出的对磋商文件所作的澄清、修改以及其他正式有效函件均作为磋商文件的组成部分。当磋商文件、磋商文件的澄清或修改等在同一内容的表述上不一致时，以最后发出的书面文件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2.2.1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供应商要求澄清磋商文件的截止时间</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递交响应文件截止时间</w:t>
            </w:r>
            <w:r>
              <w:rPr>
                <w:rFonts w:ascii="宋体" w:hAnsi="宋体" w:cs="宋体"/>
                <w:color w:val="auto"/>
                <w:kern w:val="1"/>
                <w:szCs w:val="24"/>
                <w:highlight w:val="none"/>
                <w:u w:val="single"/>
              </w:rPr>
              <w:t xml:space="preserve"> 5 </w:t>
            </w:r>
            <w:r>
              <w:rPr>
                <w:rFonts w:ascii="宋体" w:hAnsi="宋体" w:cs="宋体"/>
                <w:color w:val="auto"/>
                <w:kern w:val="1"/>
                <w:szCs w:val="24"/>
                <w:highlight w:val="none"/>
              </w:rPr>
              <w:t>日前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2.3.2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供应商确认收到磋商文件修改的时间</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收到修改后</w:t>
            </w:r>
            <w:r>
              <w:rPr>
                <w:rFonts w:ascii="宋体" w:hAnsi="宋体" w:cs="宋体"/>
                <w:color w:val="auto"/>
                <w:kern w:val="1"/>
                <w:szCs w:val="24"/>
                <w:highlight w:val="none"/>
                <w:u w:val="single"/>
              </w:rPr>
              <w:t xml:space="preserve">  24  </w:t>
            </w:r>
            <w:r>
              <w:rPr>
                <w:rFonts w:ascii="宋体" w:hAnsi="宋体" w:cs="宋体"/>
                <w:color w:val="auto"/>
                <w:kern w:val="1"/>
                <w:szCs w:val="24"/>
                <w:highlight w:val="none"/>
              </w:rPr>
              <w:t>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3.2.1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磋商报价</w:t>
            </w:r>
          </w:p>
        </w:tc>
        <w:tc>
          <w:tcPr>
            <w:tcW w:w="6123" w:type="dxa"/>
            <w:tcBorders>
              <w:tl2br w:val="nil"/>
              <w:tr2bl w:val="nil"/>
            </w:tcBorders>
            <w:noWrap/>
            <w:vAlign w:val="center"/>
          </w:tcPr>
          <w:p>
            <w:pPr>
              <w:spacing w:beforeLines="0" w:afterLines="0" w:line="240" w:lineRule="auto"/>
              <w:jc w:val="left"/>
              <w:rPr>
                <w:rFonts w:hint="default" w:ascii="宋体" w:hAnsi="宋体" w:cs="宋体"/>
                <w:b/>
                <w:strike/>
                <w:color w:val="auto"/>
                <w:kern w:val="1"/>
                <w:szCs w:val="24"/>
                <w:highlight w:val="none"/>
              </w:rPr>
            </w:pPr>
            <w:r>
              <w:rPr>
                <w:rFonts w:ascii="宋体" w:hAnsi="宋体" w:cs="宋体"/>
                <w:color w:val="auto"/>
                <w:kern w:val="1"/>
                <w:szCs w:val="24"/>
                <w:highlight w:val="none"/>
              </w:rPr>
              <w:t>磋商报价是供应商响应采购项目要求的全部工作内容的价格体现，包括产品、配件、运输、软件开发设计费用、系统安装集成、调试、测试、试运行、验收、质保及维护、培训、售后服务、利润、税金等全部费用，但不限于已报价的项目各项费用。凡因供应商的疏忽或失误未报、漏报，事实上将发生的服务费用和潜在风险金，采购人都认为已包含在磋商报价内。供应商在磋商报价时应充分考虑所有需要进行报价的各项费用项目，对于不合理的报价，供应商自行承担其报价风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3.3</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磋商有效期</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u w:val="single"/>
              </w:rPr>
            </w:pPr>
            <w:r>
              <w:rPr>
                <w:rFonts w:ascii="宋体" w:hAnsi="宋体" w:cs="宋体"/>
                <w:color w:val="auto"/>
                <w:kern w:val="1"/>
                <w:szCs w:val="24"/>
                <w:highlight w:val="none"/>
              </w:rPr>
              <w:t>自递交响应文件截止之日起</w:t>
            </w:r>
            <w:r>
              <w:rPr>
                <w:rFonts w:ascii="宋体" w:hAnsi="宋体" w:cs="宋体"/>
                <w:color w:val="auto"/>
                <w:kern w:val="1"/>
                <w:szCs w:val="24"/>
                <w:highlight w:val="none"/>
                <w:u w:val="single"/>
              </w:rPr>
              <w:t>90</w:t>
            </w:r>
            <w:r>
              <w:rPr>
                <w:rFonts w:ascii="宋体" w:hAnsi="宋体" w:cs="宋体"/>
                <w:color w:val="auto"/>
                <w:kern w:val="1"/>
                <w:szCs w:val="24"/>
                <w:highlight w:val="none"/>
              </w:rPr>
              <w:t xml:space="preserve">日历天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3.4</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磋商保证金</w:t>
            </w:r>
          </w:p>
        </w:tc>
        <w:tc>
          <w:tcPr>
            <w:tcW w:w="6123" w:type="dxa"/>
            <w:tcBorders>
              <w:tl2br w:val="nil"/>
              <w:tr2bl w:val="nil"/>
            </w:tcBorders>
            <w:noWrap/>
          </w:tcPr>
          <w:p>
            <w:pPr>
              <w:tabs>
                <w:tab w:val="left" w:pos="1180"/>
              </w:tabs>
              <w:spacing w:before="24" w:after="24" w:line="240" w:lineRule="auto"/>
              <w:rPr>
                <w:rFonts w:hint="default" w:ascii="宋体" w:hAnsi="宋体" w:cs="宋体"/>
                <w:color w:val="auto"/>
                <w:szCs w:val="24"/>
                <w:highlight w:val="none"/>
              </w:rPr>
            </w:pPr>
            <w:r>
              <w:rPr>
                <w:rFonts w:hint="default" w:ascii="宋体" w:hAnsi="宋体" w:cs="宋体"/>
                <w:b/>
                <w:color w:val="auto"/>
                <w:szCs w:val="24"/>
                <w:highlight w:val="none"/>
              </w:rPr>
              <w:t>磋商保证金的形式：</w:t>
            </w:r>
            <w:r>
              <w:rPr>
                <w:rFonts w:hint="default" w:ascii="宋体" w:hAnsi="宋体" w:cs="宋体"/>
                <w:color w:val="auto"/>
                <w:szCs w:val="24"/>
                <w:highlight w:val="none"/>
              </w:rPr>
              <w:t>现金或</w:t>
            </w:r>
            <w:r>
              <w:rPr>
                <w:rFonts w:ascii="宋体" w:hAnsi="宋体" w:cs="宋体"/>
                <w:color w:val="auto"/>
                <w:szCs w:val="24"/>
                <w:highlight w:val="none"/>
              </w:rPr>
              <w:t>银行保函</w:t>
            </w:r>
          </w:p>
          <w:p>
            <w:pPr>
              <w:spacing w:beforeLines="0" w:afterLines="0" w:line="240" w:lineRule="auto"/>
              <w:rPr>
                <w:rFonts w:hint="default" w:ascii="宋体" w:hAnsi="宋体" w:cs="宋体"/>
                <w:color w:val="auto"/>
                <w:szCs w:val="24"/>
                <w:highlight w:val="none"/>
              </w:rPr>
            </w:pPr>
            <w:r>
              <w:rPr>
                <w:rFonts w:hint="default" w:ascii="宋体" w:hAnsi="宋体" w:cs="宋体"/>
                <w:b/>
                <w:color w:val="auto"/>
                <w:szCs w:val="24"/>
                <w:highlight w:val="none"/>
              </w:rPr>
              <w:t>磋商保证金的金额：</w:t>
            </w:r>
            <w:r>
              <w:rPr>
                <w:rFonts w:hint="default" w:ascii="宋体" w:hAnsi="宋体" w:cs="宋体"/>
                <w:color w:val="auto"/>
                <w:szCs w:val="24"/>
                <w:highlight w:val="none"/>
              </w:rPr>
              <w:t>人民币</w:t>
            </w:r>
            <w:r>
              <w:rPr>
                <w:rFonts w:ascii="宋体" w:hAnsi="宋体" w:cs="宋体"/>
                <w:color w:val="auto"/>
                <w:szCs w:val="24"/>
                <w:highlight w:val="none"/>
              </w:rPr>
              <w:t>捌</w:t>
            </w:r>
            <w:r>
              <w:rPr>
                <w:rFonts w:hint="default" w:ascii="宋体" w:hAnsi="宋体" w:cs="宋体"/>
                <w:color w:val="auto"/>
                <w:szCs w:val="24"/>
                <w:highlight w:val="none"/>
              </w:rPr>
              <w:t>仟元整</w:t>
            </w:r>
          </w:p>
          <w:p>
            <w:pPr>
              <w:spacing w:beforeLines="0" w:afterLines="0" w:line="240" w:lineRule="auto"/>
              <w:rPr>
                <w:rFonts w:hint="default" w:ascii="宋体" w:hAnsi="宋体" w:cs="宋体"/>
                <w:color w:val="auto"/>
                <w:szCs w:val="24"/>
                <w:highlight w:val="none"/>
              </w:rPr>
            </w:pPr>
            <w:r>
              <w:rPr>
                <w:rFonts w:hint="default" w:ascii="宋体" w:hAnsi="宋体" w:cs="宋体"/>
                <w:b/>
                <w:color w:val="auto"/>
                <w:szCs w:val="24"/>
                <w:highlight w:val="none"/>
              </w:rPr>
              <w:t>磋商保证金的递交截止时间为(以银行到账时间为准)：</w:t>
            </w:r>
            <w:r>
              <w:rPr>
                <w:rFonts w:hint="default" w:ascii="宋体" w:hAnsi="宋体" w:cs="宋体"/>
                <w:color w:val="auto"/>
                <w:szCs w:val="24"/>
                <w:highlight w:val="none"/>
              </w:rPr>
              <w:t>同</w:t>
            </w:r>
            <w:r>
              <w:rPr>
                <w:rFonts w:ascii="宋体" w:hAnsi="宋体" w:cs="宋体"/>
                <w:color w:val="auto"/>
                <w:szCs w:val="24"/>
                <w:highlight w:val="none"/>
              </w:rPr>
              <w:t>响应文件递交</w:t>
            </w:r>
            <w:r>
              <w:rPr>
                <w:rFonts w:hint="default" w:ascii="宋体" w:hAnsi="宋体" w:cs="宋体"/>
                <w:color w:val="auto"/>
                <w:szCs w:val="24"/>
                <w:highlight w:val="none"/>
              </w:rPr>
              <w:t>截止时间</w:t>
            </w:r>
          </w:p>
          <w:p>
            <w:pPr>
              <w:spacing w:before="24" w:after="24" w:line="240" w:lineRule="auto"/>
              <w:jc w:val="left"/>
              <w:rPr>
                <w:rFonts w:hint="default" w:ascii="宋体" w:hAnsi="宋体" w:cs="宋体"/>
                <w:color w:val="auto"/>
                <w:kern w:val="0"/>
                <w:szCs w:val="24"/>
                <w:highlight w:val="none"/>
              </w:rPr>
            </w:pPr>
            <w:r>
              <w:rPr>
                <w:rFonts w:ascii="宋体" w:hAnsi="宋体" w:cs="宋体"/>
                <w:b/>
                <w:color w:val="auto"/>
                <w:szCs w:val="24"/>
                <w:highlight w:val="none"/>
              </w:rPr>
              <w:t>银行</w:t>
            </w:r>
            <w:r>
              <w:rPr>
                <w:rFonts w:hint="default" w:ascii="宋体" w:hAnsi="宋体" w:cs="宋体"/>
                <w:b/>
                <w:color w:val="auto"/>
                <w:szCs w:val="24"/>
                <w:highlight w:val="none"/>
              </w:rPr>
              <w:t>保函：</w:t>
            </w:r>
            <w:r>
              <w:rPr>
                <w:rFonts w:hint="default" w:ascii="宋体" w:hAnsi="宋体" w:cs="宋体"/>
                <w:color w:val="auto"/>
                <w:szCs w:val="24"/>
                <w:highlight w:val="none"/>
              </w:rPr>
              <w:t>必须为供应商基本账户开户银行出具的银行保函；</w:t>
            </w:r>
          </w:p>
          <w:p>
            <w:pPr>
              <w:spacing w:beforeLines="0" w:afterLines="0" w:line="240" w:lineRule="auto"/>
              <w:rPr>
                <w:rFonts w:hint="default" w:ascii="宋体" w:hAnsi="宋体" w:cs="宋体"/>
                <w:color w:val="auto"/>
                <w:szCs w:val="24"/>
                <w:highlight w:val="none"/>
              </w:rPr>
            </w:pPr>
            <w:r>
              <w:rPr>
                <w:rFonts w:hint="default" w:ascii="宋体" w:hAnsi="宋体" w:cs="宋体"/>
                <w:b/>
                <w:color w:val="auto"/>
                <w:szCs w:val="24"/>
                <w:highlight w:val="none"/>
              </w:rPr>
              <w:t>现金缴纳：</w:t>
            </w:r>
            <w:r>
              <w:rPr>
                <w:rFonts w:hint="default" w:ascii="宋体" w:hAnsi="宋体" w:cs="宋体"/>
                <w:color w:val="auto"/>
                <w:szCs w:val="24"/>
                <w:highlight w:val="none"/>
              </w:rPr>
              <w:t>必须自供应商基本账户转入</w:t>
            </w:r>
            <w:r>
              <w:rPr>
                <w:rFonts w:ascii="宋体" w:hAnsi="宋体" w:cs="宋体"/>
                <w:color w:val="auto"/>
                <w:szCs w:val="24"/>
                <w:highlight w:val="none"/>
              </w:rPr>
              <w:t>宝鸡市公共资源交易中心保证金</w:t>
            </w:r>
            <w:r>
              <w:rPr>
                <w:rFonts w:hint="default" w:ascii="宋体" w:hAnsi="宋体" w:cs="宋体"/>
                <w:color w:val="auto"/>
                <w:szCs w:val="24"/>
                <w:highlight w:val="none"/>
              </w:rPr>
              <w:t>接收账户：</w:t>
            </w:r>
          </w:p>
          <w:p>
            <w:pPr>
              <w:spacing w:beforeLines="0" w:afterLines="0" w:line="240" w:lineRule="auto"/>
              <w:rPr>
                <w:rFonts w:hint="default" w:ascii="宋体" w:hAnsi="宋体" w:cs="宋体"/>
                <w:b/>
                <w:color w:val="auto"/>
                <w:szCs w:val="24"/>
                <w:highlight w:val="none"/>
              </w:rPr>
            </w:pPr>
            <w:r>
              <w:rPr>
                <w:rFonts w:hint="default" w:ascii="宋体" w:hAnsi="宋体" w:cs="宋体"/>
                <w:b/>
                <w:color w:val="auto"/>
                <w:szCs w:val="24"/>
                <w:highlight w:val="none"/>
              </w:rPr>
              <w:t>接收账户信息：以宝鸡市公共资源交易平台线上下载竞争性磋商文件后，系统自动生成的账户信息为准。</w:t>
            </w:r>
          </w:p>
          <w:p>
            <w:pPr>
              <w:spacing w:beforeLines="0" w:afterLines="0" w:line="240" w:lineRule="auto"/>
              <w:rPr>
                <w:rFonts w:hint="default" w:ascii="宋体" w:hAnsi="宋体" w:cs="宋体"/>
                <w:color w:val="auto"/>
                <w:szCs w:val="24"/>
                <w:highlight w:val="none"/>
              </w:rPr>
            </w:pPr>
            <w:r>
              <w:rPr>
                <w:rFonts w:hint="default" w:ascii="宋体" w:hAnsi="宋体" w:cs="宋体"/>
                <w:color w:val="auto"/>
                <w:szCs w:val="24"/>
                <w:highlight w:val="none"/>
              </w:rPr>
              <w:t>注：</w:t>
            </w:r>
          </w:p>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1.</w:t>
            </w:r>
            <w:r>
              <w:rPr>
                <w:rFonts w:hint="default" w:ascii="宋体" w:hAnsi="宋体" w:cs="宋体"/>
                <w:color w:val="auto"/>
                <w:szCs w:val="24"/>
                <w:highlight w:val="none"/>
              </w:rPr>
              <w:t>供应商必须将磋商保证金的电汇回单（或银行汇票、转帐支票）或</w:t>
            </w:r>
            <w:r>
              <w:rPr>
                <w:rFonts w:ascii="宋体" w:hAnsi="宋体" w:cs="宋体"/>
                <w:color w:val="auto"/>
                <w:szCs w:val="24"/>
                <w:highlight w:val="none"/>
              </w:rPr>
              <w:t>银行</w:t>
            </w:r>
            <w:r>
              <w:rPr>
                <w:rFonts w:hint="default" w:ascii="宋体" w:hAnsi="宋体" w:cs="宋体"/>
                <w:color w:val="auto"/>
                <w:szCs w:val="24"/>
                <w:highlight w:val="none"/>
              </w:rPr>
              <w:t>保函的复印件或扫描件附于响应文件中。采用银行保函</w:t>
            </w:r>
            <w:r>
              <w:rPr>
                <w:rFonts w:ascii="宋体" w:hAnsi="宋体" w:cs="宋体"/>
                <w:color w:val="auto"/>
                <w:szCs w:val="24"/>
                <w:highlight w:val="none"/>
              </w:rPr>
              <w:t>的</w:t>
            </w:r>
            <w:r>
              <w:rPr>
                <w:rFonts w:hint="default" w:ascii="宋体" w:hAnsi="宋体" w:cs="宋体"/>
                <w:color w:val="auto"/>
                <w:szCs w:val="24"/>
                <w:highlight w:val="none"/>
              </w:rPr>
              <w:t>,在递交响应文件的同时向采购人提交原件。</w:t>
            </w:r>
          </w:p>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2.</w:t>
            </w:r>
            <w:r>
              <w:rPr>
                <w:rFonts w:hint="default" w:ascii="宋体" w:hAnsi="宋体" w:cs="宋体"/>
                <w:color w:val="auto"/>
                <w:szCs w:val="24"/>
                <w:highlight w:val="none"/>
              </w:rPr>
              <w:t>采用银行保函的供应商在</w:t>
            </w:r>
            <w:r>
              <w:rPr>
                <w:rFonts w:hint="default" w:ascii="宋体" w:hAnsi="宋体" w:cs="宋体"/>
                <w:color w:val="auto"/>
                <w:szCs w:val="24"/>
                <w:highlight w:val="none"/>
                <w:u w:val="single"/>
              </w:rPr>
              <w:t>递交响应文件</w:t>
            </w:r>
            <w:r>
              <w:rPr>
                <w:rFonts w:ascii="宋体" w:hAnsi="宋体" w:cs="宋体"/>
                <w:color w:val="auto"/>
                <w:szCs w:val="24"/>
                <w:highlight w:val="none"/>
                <w:u w:val="single"/>
              </w:rPr>
              <w:t>截止日</w:t>
            </w:r>
            <w:r>
              <w:rPr>
                <w:rFonts w:hint="default" w:ascii="宋体" w:hAnsi="宋体" w:cs="宋体"/>
                <w:color w:val="auto"/>
                <w:szCs w:val="24"/>
                <w:highlight w:val="none"/>
                <w:u w:val="single"/>
              </w:rPr>
              <w:t>一日</w:t>
            </w:r>
            <w:r>
              <w:rPr>
                <w:rFonts w:hint="default" w:ascii="宋体" w:hAnsi="宋体" w:cs="宋体"/>
                <w:color w:val="auto"/>
                <w:szCs w:val="24"/>
                <w:highlight w:val="none"/>
              </w:rPr>
              <w:t>前，持银行保函原件</w:t>
            </w:r>
            <w:r>
              <w:rPr>
                <w:rFonts w:ascii="宋体" w:hAnsi="宋体" w:cs="宋体"/>
                <w:color w:val="auto"/>
                <w:szCs w:val="24"/>
                <w:highlight w:val="none"/>
              </w:rPr>
              <w:t>至</w:t>
            </w:r>
            <w:r>
              <w:rPr>
                <w:rFonts w:hint="default" w:ascii="宋体" w:hAnsi="宋体" w:cs="宋体"/>
                <w:color w:val="auto"/>
                <w:szCs w:val="24"/>
                <w:highlight w:val="none"/>
              </w:rPr>
              <w:t>宝鸡市公共资源交易中心（宝鸡市金台区行政大道8号）6楼614室财务科及采购代理机构(宝鸡市宝虢路80号鹏博财富中心6号楼1302室)告知，逾期未提供视为放弃</w:t>
            </w:r>
            <w:r>
              <w:rPr>
                <w:rFonts w:ascii="宋体" w:hAnsi="宋体" w:cs="宋体"/>
                <w:color w:val="auto"/>
                <w:szCs w:val="24"/>
                <w:highlight w:val="none"/>
              </w:rPr>
              <w:t>磋商</w:t>
            </w:r>
            <w:r>
              <w:rPr>
                <w:rFonts w:hint="default" w:ascii="宋体" w:hAnsi="宋体" w:cs="宋体"/>
                <w:color w:val="auto"/>
                <w:szCs w:val="24"/>
                <w:highlight w:val="none"/>
              </w:rPr>
              <w:t>。</w:t>
            </w:r>
          </w:p>
          <w:p>
            <w:pPr>
              <w:spacing w:beforeLines="0" w:afterLines="0" w:line="240" w:lineRule="auto"/>
              <w:rPr>
                <w:rFonts w:hint="default" w:ascii="宋体" w:hAnsi="宋体" w:cs="宋体"/>
                <w:b/>
                <w:bCs/>
                <w:color w:val="auto"/>
                <w:szCs w:val="24"/>
                <w:highlight w:val="none"/>
              </w:rPr>
            </w:pPr>
            <w:r>
              <w:rPr>
                <w:rFonts w:ascii="宋体" w:hAnsi="宋体" w:cs="宋体"/>
                <w:color w:val="auto"/>
                <w:szCs w:val="24"/>
                <w:highlight w:val="none"/>
              </w:rPr>
              <w:t>3.</w:t>
            </w:r>
            <w:r>
              <w:rPr>
                <w:rFonts w:hint="default" w:ascii="宋体" w:hAnsi="宋体" w:cs="宋体"/>
                <w:color w:val="auto"/>
                <w:szCs w:val="24"/>
                <w:highlight w:val="none"/>
              </w:rPr>
              <w:t>转账时应注明：</w:t>
            </w:r>
            <w:r>
              <w:rPr>
                <w:rFonts w:hint="default" w:ascii="宋体" w:hAnsi="宋体" w:cs="宋体"/>
                <w:b/>
                <w:bCs/>
                <w:color w:val="auto"/>
                <w:szCs w:val="24"/>
                <w:highlight w:val="none"/>
                <w:u w:val="single"/>
              </w:rPr>
              <w:t xml:space="preserve">  项目名称或</w:t>
            </w:r>
            <w:r>
              <w:rPr>
                <w:rFonts w:ascii="宋体" w:hAnsi="宋体" w:cs="宋体"/>
                <w:b/>
                <w:bCs/>
                <w:color w:val="auto"/>
                <w:szCs w:val="24"/>
                <w:highlight w:val="none"/>
                <w:u w:val="single"/>
              </w:rPr>
              <w:t>项目</w:t>
            </w:r>
            <w:r>
              <w:rPr>
                <w:rFonts w:hint="default" w:ascii="宋体" w:hAnsi="宋体" w:cs="宋体"/>
                <w:b/>
                <w:bCs/>
                <w:color w:val="auto"/>
                <w:szCs w:val="24"/>
                <w:highlight w:val="none"/>
                <w:u w:val="single"/>
              </w:rPr>
              <w:t xml:space="preserve">编号  </w:t>
            </w:r>
            <w:r>
              <w:rPr>
                <w:rFonts w:hint="default" w:ascii="宋体" w:hAnsi="宋体" w:cs="宋体"/>
                <w:b/>
                <w:bCs/>
                <w:color w:val="auto"/>
                <w:szCs w:val="24"/>
                <w:highlight w:val="none"/>
              </w:rPr>
              <w:t>磋商保证金。</w:t>
            </w:r>
          </w:p>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4.</w:t>
            </w:r>
            <w:r>
              <w:rPr>
                <w:rFonts w:hint="default" w:ascii="宋体" w:hAnsi="宋体" w:cs="宋体"/>
                <w:color w:val="auto"/>
                <w:szCs w:val="24"/>
                <w:highlight w:val="none"/>
              </w:rPr>
              <w:t>交易中心财务室电话：0917-3262731。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3.5.2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响应文件</w:t>
            </w:r>
          </w:p>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签署</w:t>
            </w:r>
          </w:p>
        </w:tc>
        <w:tc>
          <w:tcPr>
            <w:tcW w:w="6123" w:type="dxa"/>
            <w:tcBorders>
              <w:tl2br w:val="nil"/>
              <w:tr2bl w:val="nil"/>
            </w:tcBorders>
            <w:noWrap/>
            <w:vAlign w:val="center"/>
          </w:tcPr>
          <w:p>
            <w:pPr>
              <w:spacing w:beforeLines="0" w:afterLines="0" w:line="240" w:lineRule="auto"/>
              <w:jc w:val="left"/>
              <w:rPr>
                <w:rFonts w:hint="default"/>
                <w:color w:val="auto"/>
                <w:highlight w:val="none"/>
              </w:rPr>
            </w:pPr>
            <w:r>
              <w:rPr>
                <w:color w:val="auto"/>
                <w:highlight w:val="none"/>
              </w:rPr>
              <w:t>响应文件应用不褪色的材料书写或打印及签署。响应文件必须使用磋商文件所提供的响应文件格式，表格可以按同样格式扩展和复制。</w:t>
            </w:r>
          </w:p>
          <w:p>
            <w:pPr>
              <w:spacing w:beforeLines="0" w:afterLines="0" w:line="240" w:lineRule="auto"/>
              <w:jc w:val="left"/>
              <w:rPr>
                <w:rFonts w:hint="default"/>
                <w:color w:val="auto"/>
                <w:highlight w:val="none"/>
              </w:rPr>
            </w:pPr>
            <w:r>
              <w:rPr>
                <w:color w:val="auto"/>
                <w:highlight w:val="none"/>
              </w:rPr>
              <w:t>注：电子响应文件制作过程中，需要法定代表人签字或盖章的地方， 请使用“法人 CA 锁”进行签章；需要加盖供应商公章的地方，请 使用“企业 CA 锁”进行签章。</w:t>
            </w:r>
            <w:r>
              <w:rPr>
                <w:rFonts w:ascii="宋体" w:hAnsi="宋体" w:cs="宋体"/>
                <w:color w:val="auto"/>
                <w:szCs w:val="24"/>
                <w:highlight w:val="none"/>
              </w:rPr>
              <w:t>加密和解密应当使用同一 CA，否则将会导致解密失败。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3.5.4</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响应文件份数</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正本1份；副本2份。</w:t>
            </w:r>
          </w:p>
          <w:p>
            <w:pPr>
              <w:spacing w:beforeLines="0" w:afterLines="0" w:line="240" w:lineRule="auto"/>
              <w:jc w:val="left"/>
              <w:rPr>
                <w:rFonts w:hint="default" w:ascii="宋体" w:hAnsi="宋体" w:cs="宋体"/>
                <w:color w:val="auto"/>
                <w:kern w:val="1"/>
                <w:szCs w:val="24"/>
                <w:highlight w:val="none"/>
              </w:rPr>
            </w:pPr>
            <w:r>
              <w:rPr>
                <w:rFonts w:ascii="宋体" w:hAnsi="宋体" w:cs="宋体"/>
                <w:b/>
                <w:bCs/>
                <w:color w:val="auto"/>
                <w:kern w:val="1"/>
                <w:szCs w:val="24"/>
                <w:highlight w:val="none"/>
              </w:rPr>
              <w:t>电子版响应文件2份，U盘或光盘，标注项目名称及单位名称。（电子版需包含纸质版响应文件的全部内容）</w:t>
            </w:r>
            <w:r>
              <w:rPr>
                <w:rFonts w:ascii="宋体" w:hAnsi="宋体" w:cs="宋体"/>
                <w:color w:val="auto"/>
                <w:kern w:val="1"/>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3.5.5</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响应文件装订</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响应文件的正本与副本应分别装订成册，并编制目录，且从目录开始标注连续页码。响应文件不得采用活页装订。采购人对由于响应文件装订松散造成的丢失或其他后果不承担责任。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4.1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响应文件的密封和标识</w:t>
            </w:r>
          </w:p>
        </w:tc>
        <w:tc>
          <w:tcPr>
            <w:tcW w:w="6123" w:type="dxa"/>
            <w:tcBorders>
              <w:tl2br w:val="nil"/>
              <w:tr2bl w:val="nil"/>
            </w:tcBorders>
            <w:noWrap/>
            <w:vAlign w:val="center"/>
          </w:tcPr>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封套标识：</w:t>
            </w:r>
          </w:p>
          <w:p>
            <w:pPr>
              <w:spacing w:beforeLines="0" w:afterLines="0" w:line="240" w:lineRule="auto"/>
              <w:rPr>
                <w:rFonts w:hint="default" w:ascii="宋体" w:hAnsi="宋体" w:cs="宋体"/>
                <w:color w:val="auto"/>
                <w:kern w:val="1"/>
                <w:szCs w:val="24"/>
                <w:highlight w:val="none"/>
              </w:rPr>
            </w:pPr>
            <w:r>
              <w:rPr>
                <w:rFonts w:ascii="宋体" w:hAnsi="宋体" w:cs="宋体"/>
                <w:color w:val="auto"/>
                <w:szCs w:val="24"/>
                <w:highlight w:val="none"/>
              </w:rPr>
              <w:t>项目名称：</w:t>
            </w:r>
            <w:r>
              <w:rPr>
                <w:rFonts w:ascii="宋体" w:hAnsi="宋体" w:cs="宋体"/>
                <w:color w:val="auto"/>
                <w:szCs w:val="24"/>
                <w:highlight w:val="none"/>
                <w:u w:val="single"/>
              </w:rPr>
              <w:t xml:space="preserve">                          </w:t>
            </w:r>
            <w:r>
              <w:rPr>
                <w:rFonts w:ascii="宋体" w:hAnsi="宋体" w:cs="宋体"/>
                <w:color w:val="auto"/>
                <w:szCs w:val="24"/>
                <w:highlight w:val="none"/>
              </w:rPr>
              <w:t>响应文件</w:t>
            </w:r>
          </w:p>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项目编号：</w:t>
            </w:r>
            <w:r>
              <w:rPr>
                <w:rFonts w:ascii="宋体" w:hAnsi="宋体" w:cs="宋体"/>
                <w:color w:val="auto"/>
                <w:szCs w:val="24"/>
                <w:highlight w:val="none"/>
                <w:u w:val="single"/>
              </w:rPr>
              <w:t xml:space="preserve">                          </w:t>
            </w:r>
          </w:p>
          <w:p>
            <w:pPr>
              <w:spacing w:beforeLines="0" w:afterLines="0" w:line="240" w:lineRule="auto"/>
              <w:rPr>
                <w:rFonts w:hint="default" w:ascii="宋体" w:hAnsi="宋体" w:cs="宋体"/>
                <w:color w:val="auto"/>
                <w:szCs w:val="24"/>
                <w:highlight w:val="none"/>
                <w:u w:val="single"/>
              </w:rPr>
            </w:pPr>
            <w:r>
              <w:rPr>
                <w:rFonts w:ascii="宋体" w:hAnsi="宋体" w:cs="宋体"/>
                <w:color w:val="auto"/>
                <w:szCs w:val="24"/>
                <w:highlight w:val="none"/>
              </w:rPr>
              <w:t>供应商名称：</w:t>
            </w:r>
            <w:r>
              <w:rPr>
                <w:rFonts w:ascii="宋体" w:hAnsi="宋体" w:cs="宋体"/>
                <w:color w:val="auto"/>
                <w:szCs w:val="24"/>
                <w:highlight w:val="none"/>
                <w:u w:val="single"/>
              </w:rPr>
              <w:t xml:space="preserve">                        </w:t>
            </w:r>
          </w:p>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供应商地址：</w:t>
            </w:r>
            <w:r>
              <w:rPr>
                <w:rFonts w:ascii="宋体" w:hAnsi="宋体" w:cs="宋体"/>
                <w:color w:val="auto"/>
                <w:szCs w:val="24"/>
                <w:highlight w:val="none"/>
                <w:u w:val="single"/>
              </w:rPr>
              <w:t xml:space="preserve">                        </w:t>
            </w:r>
          </w:p>
          <w:p>
            <w:pPr>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正本</w:t>
            </w:r>
            <w:r>
              <w:rPr>
                <w:rFonts w:ascii="宋体" w:hAnsi="宋体" w:cs="宋体"/>
                <w:color w:val="auto"/>
                <w:szCs w:val="24"/>
                <w:highlight w:val="none"/>
                <w:u w:val="single"/>
              </w:rPr>
              <w:t xml:space="preserve">     </w:t>
            </w:r>
            <w:r>
              <w:rPr>
                <w:rFonts w:ascii="宋体" w:hAnsi="宋体" w:cs="宋体"/>
                <w:color w:val="auto"/>
                <w:szCs w:val="24"/>
                <w:highlight w:val="none"/>
              </w:rPr>
              <w:t>份；副本</w:t>
            </w:r>
            <w:r>
              <w:rPr>
                <w:rFonts w:ascii="宋体" w:hAnsi="宋体" w:cs="宋体"/>
                <w:color w:val="auto"/>
                <w:szCs w:val="24"/>
                <w:highlight w:val="none"/>
                <w:u w:val="single"/>
              </w:rPr>
              <w:t xml:space="preserve">     </w:t>
            </w:r>
            <w:r>
              <w:rPr>
                <w:rFonts w:ascii="宋体" w:hAnsi="宋体" w:cs="宋体"/>
                <w:color w:val="auto"/>
                <w:szCs w:val="24"/>
                <w:highlight w:val="none"/>
              </w:rPr>
              <w:t>份；电子版响应文件</w:t>
            </w:r>
            <w:r>
              <w:rPr>
                <w:rFonts w:ascii="宋体" w:hAnsi="宋体" w:cs="宋体"/>
                <w:color w:val="auto"/>
                <w:szCs w:val="24"/>
                <w:highlight w:val="none"/>
                <w:u w:val="single"/>
              </w:rPr>
              <w:t xml:space="preserve">     </w:t>
            </w:r>
            <w:r>
              <w:rPr>
                <w:rFonts w:ascii="宋体" w:hAnsi="宋体" w:cs="宋体"/>
                <w:color w:val="auto"/>
                <w:szCs w:val="24"/>
                <w:highlight w:val="none"/>
              </w:rPr>
              <w:t>份</w:t>
            </w:r>
          </w:p>
          <w:p>
            <w:pPr>
              <w:spacing w:beforeLines="0" w:afterLines="0" w:line="240" w:lineRule="auto"/>
              <w:rPr>
                <w:rFonts w:hint="default" w:ascii="宋体" w:hAnsi="宋体" w:cs="宋体"/>
                <w:color w:val="auto"/>
                <w:szCs w:val="24"/>
                <w:highlight w:val="none"/>
                <w:u w:val="single"/>
              </w:rPr>
            </w:pPr>
            <w:r>
              <w:rPr>
                <w:rFonts w:ascii="宋体" w:hAnsi="宋体" w:cs="宋体"/>
                <w:color w:val="auto"/>
                <w:szCs w:val="24"/>
                <w:highlight w:val="none"/>
                <w:lang w:val="zh-CN"/>
              </w:rPr>
              <w:t>采购人名称：</w:t>
            </w:r>
            <w:r>
              <w:rPr>
                <w:rFonts w:ascii="宋体" w:hAnsi="宋体" w:cs="宋体"/>
                <w:color w:val="auto"/>
                <w:kern w:val="1"/>
                <w:szCs w:val="24"/>
                <w:highlight w:val="none"/>
                <w:u w:val="single"/>
              </w:rPr>
              <w:t xml:space="preserve">                        </w:t>
            </w:r>
          </w:p>
          <w:p>
            <w:pPr>
              <w:spacing w:beforeLines="0" w:afterLines="0" w:line="240" w:lineRule="auto"/>
              <w:rPr>
                <w:rFonts w:hint="default" w:ascii="宋体" w:hAnsi="宋体" w:cs="宋体"/>
                <w:color w:val="auto"/>
                <w:szCs w:val="24"/>
                <w:highlight w:val="none"/>
                <w:u w:val="single"/>
              </w:rPr>
            </w:pPr>
            <w:r>
              <w:rPr>
                <w:rFonts w:ascii="宋体" w:hAnsi="宋体" w:cs="宋体"/>
                <w:color w:val="auto"/>
                <w:szCs w:val="24"/>
                <w:highlight w:val="none"/>
                <w:lang w:val="zh-CN"/>
              </w:rPr>
              <w:t>采购人电话：</w:t>
            </w:r>
            <w:r>
              <w:rPr>
                <w:rFonts w:ascii="宋体" w:hAnsi="宋体" w:cs="宋体"/>
                <w:color w:val="auto"/>
                <w:szCs w:val="24"/>
                <w:highlight w:val="none"/>
                <w:u w:val="single"/>
              </w:rPr>
              <w:t xml:space="preserve">                        </w:t>
            </w:r>
          </w:p>
          <w:p>
            <w:pPr>
              <w:spacing w:beforeLines="0" w:afterLines="0" w:line="240" w:lineRule="auto"/>
              <w:rPr>
                <w:rFonts w:hint="default" w:ascii="宋体" w:hAnsi="宋体" w:cs="宋体"/>
                <w:color w:val="auto"/>
                <w:szCs w:val="24"/>
                <w:highlight w:val="none"/>
                <w:u w:val="single"/>
              </w:rPr>
            </w:pPr>
            <w:r>
              <w:rPr>
                <w:rFonts w:ascii="宋体" w:hAnsi="宋体" w:cs="宋体"/>
                <w:color w:val="auto"/>
                <w:szCs w:val="24"/>
                <w:highlight w:val="none"/>
                <w:lang w:val="zh-CN"/>
              </w:rPr>
              <w:t>采购人地址：</w:t>
            </w:r>
            <w:r>
              <w:rPr>
                <w:rFonts w:ascii="宋体" w:hAnsi="宋体" w:cs="宋体"/>
                <w:color w:val="auto"/>
                <w:kern w:val="1"/>
                <w:szCs w:val="24"/>
                <w:highlight w:val="none"/>
                <w:u w:val="single"/>
              </w:rPr>
              <w:t xml:space="preserve">                        </w:t>
            </w:r>
          </w:p>
          <w:p>
            <w:pPr>
              <w:pStyle w:val="20"/>
              <w:spacing w:beforeLines="0" w:afterLines="0" w:line="240" w:lineRule="auto"/>
              <w:jc w:val="left"/>
              <w:rPr>
                <w:rFonts w:hint="default" w:ascii="宋体" w:hAnsi="宋体" w:cs="宋体"/>
                <w:color w:val="auto"/>
                <w:sz w:val="24"/>
                <w:szCs w:val="24"/>
                <w:highlight w:val="none"/>
              </w:rPr>
            </w:pPr>
            <w:r>
              <w:rPr>
                <w:rFonts w:ascii="宋体" w:hAnsi="宋体" w:cs="宋体"/>
                <w:color w:val="auto"/>
                <w:sz w:val="24"/>
                <w:szCs w:val="24"/>
                <w:highlight w:val="none"/>
              </w:rPr>
              <w:t>在</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分前不得启封。</w:t>
            </w:r>
          </w:p>
          <w:p>
            <w:pPr>
              <w:pStyle w:val="20"/>
              <w:spacing w:beforeLines="0" w:afterLines="0" w:line="240" w:lineRule="auto"/>
              <w:ind w:firstLine="480" w:firstLineChars="200"/>
              <w:jc w:val="left"/>
              <w:rPr>
                <w:rFonts w:hint="default" w:ascii="宋体" w:hAnsi="宋体" w:cs="宋体"/>
                <w:color w:val="auto"/>
                <w:sz w:val="24"/>
                <w:szCs w:val="24"/>
                <w:highlight w:val="none"/>
              </w:rPr>
            </w:pPr>
            <w:r>
              <w:rPr>
                <w:rFonts w:ascii="宋体" w:hAnsi="宋体" w:cs="宋体"/>
                <w:color w:val="auto"/>
                <w:sz w:val="24"/>
                <w:szCs w:val="24"/>
                <w:highlight w:val="none"/>
              </w:rPr>
              <w:t>响应文件正本、副本及电子版响应文件统一包封在一个密封包内，密封包应加贴封条并在封口处加盖公章。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4.2.1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响应文件递交截止时间</w:t>
            </w:r>
          </w:p>
        </w:tc>
        <w:tc>
          <w:tcPr>
            <w:tcW w:w="6123" w:type="dxa"/>
            <w:tcBorders>
              <w:tl2br w:val="nil"/>
              <w:tr2bl w:val="nil"/>
            </w:tcBorders>
            <w:noWrap/>
            <w:vAlign w:val="center"/>
          </w:tcPr>
          <w:p>
            <w:pPr>
              <w:pStyle w:val="20"/>
              <w:spacing w:beforeLines="0" w:afterLines="0" w:line="240" w:lineRule="auto"/>
              <w:jc w:val="left"/>
              <w:rPr>
                <w:rFonts w:hint="default" w:ascii="宋体" w:hAnsi="宋体" w:cs="宋体"/>
                <w:color w:val="auto"/>
                <w:kern w:val="1"/>
                <w:sz w:val="24"/>
                <w:szCs w:val="24"/>
                <w:highlight w:val="none"/>
              </w:rPr>
            </w:pPr>
            <w:r>
              <w:rPr>
                <w:rFonts w:ascii="宋体" w:hAnsi="宋体" w:cs="宋体"/>
                <w:color w:val="auto"/>
                <w:kern w:val="1"/>
                <w:sz w:val="24"/>
                <w:szCs w:val="24"/>
                <w:highlight w:val="none"/>
              </w:rPr>
              <w:t>截止时</w:t>
            </w:r>
            <w:r>
              <w:rPr>
                <w:rFonts w:ascii="宋体" w:hAnsi="宋体" w:eastAsia="宋体" w:cs="宋体"/>
                <w:color w:val="auto"/>
                <w:kern w:val="1"/>
                <w:sz w:val="24"/>
                <w:szCs w:val="24"/>
                <w:highlight w:val="none"/>
              </w:rPr>
              <w:t>间：</w:t>
            </w:r>
            <w:r>
              <w:rPr>
                <w:rFonts w:hint="default" w:ascii="宋体" w:hAnsi="宋体" w:eastAsia="宋体" w:cs="宋体"/>
                <w:color w:val="auto"/>
                <w:kern w:val="1"/>
                <w:sz w:val="24"/>
                <w:szCs w:val="24"/>
                <w:highlight w:val="none"/>
              </w:rPr>
              <w:t>2023年09月20日 09时00分00秒 （北京时间）</w:t>
            </w:r>
          </w:p>
          <w:p>
            <w:pPr>
              <w:pStyle w:val="20"/>
              <w:spacing w:beforeLines="0" w:afterLines="0" w:line="240" w:lineRule="auto"/>
              <w:jc w:val="left"/>
              <w:rPr>
                <w:rFonts w:hint="default" w:ascii="宋体" w:hAnsi="宋体" w:cs="宋体"/>
                <w:color w:val="auto"/>
                <w:kern w:val="1"/>
                <w:sz w:val="24"/>
                <w:szCs w:val="24"/>
                <w:highlight w:val="none"/>
              </w:rPr>
            </w:pPr>
            <w:r>
              <w:rPr>
                <w:rFonts w:ascii="宋体" w:hAnsi="宋体" w:cs="宋体"/>
                <w:color w:val="auto"/>
                <w:kern w:val="1"/>
                <w:sz w:val="24"/>
                <w:szCs w:val="24"/>
                <w:highlight w:val="none"/>
              </w:rPr>
              <w:t>（递交纸质版响应文件时间：2023年</w:t>
            </w:r>
            <w:r>
              <w:rPr>
                <w:rFonts w:hint="eastAsia" w:ascii="宋体" w:hAnsi="宋体" w:cs="宋体"/>
                <w:color w:val="auto"/>
                <w:kern w:val="1"/>
                <w:sz w:val="24"/>
                <w:szCs w:val="24"/>
                <w:highlight w:val="none"/>
                <w:lang w:val="en-US" w:eastAsia="zh-CN"/>
              </w:rPr>
              <w:t>09</w:t>
            </w:r>
            <w:r>
              <w:rPr>
                <w:rFonts w:ascii="宋体" w:hAnsi="宋体" w:cs="宋体"/>
                <w:color w:val="auto"/>
                <w:kern w:val="1"/>
                <w:sz w:val="24"/>
                <w:szCs w:val="24"/>
                <w:highlight w:val="none"/>
              </w:rPr>
              <w:t>月</w:t>
            </w:r>
            <w:r>
              <w:rPr>
                <w:rFonts w:hint="eastAsia" w:ascii="宋体" w:hAnsi="宋体" w:cs="宋体"/>
                <w:color w:val="auto"/>
                <w:kern w:val="1"/>
                <w:sz w:val="24"/>
                <w:szCs w:val="24"/>
                <w:highlight w:val="none"/>
                <w:lang w:val="en-US" w:eastAsia="zh-CN"/>
              </w:rPr>
              <w:t>20</w:t>
            </w:r>
            <w:r>
              <w:rPr>
                <w:rFonts w:ascii="宋体" w:hAnsi="宋体" w:cs="宋体"/>
                <w:color w:val="auto"/>
                <w:kern w:val="1"/>
                <w:sz w:val="24"/>
                <w:szCs w:val="24"/>
                <w:highlight w:val="none"/>
              </w:rPr>
              <w:t>日</w:t>
            </w:r>
            <w:r>
              <w:rPr>
                <w:rFonts w:hint="eastAsia" w:ascii="宋体" w:hAnsi="宋体" w:cs="宋体"/>
                <w:color w:val="auto"/>
                <w:kern w:val="1"/>
                <w:sz w:val="24"/>
                <w:szCs w:val="24"/>
                <w:highlight w:val="none"/>
                <w:lang w:val="en-US" w:eastAsia="zh-CN"/>
              </w:rPr>
              <w:t>8</w:t>
            </w:r>
            <w:r>
              <w:rPr>
                <w:rFonts w:ascii="宋体" w:hAnsi="宋体" w:cs="宋体"/>
                <w:color w:val="auto"/>
                <w:kern w:val="1"/>
                <w:sz w:val="24"/>
                <w:szCs w:val="24"/>
                <w:highlight w:val="none"/>
              </w:rPr>
              <w:t xml:space="preserve">时 </w:t>
            </w:r>
            <w:r>
              <w:rPr>
                <w:rFonts w:hint="eastAsia" w:ascii="宋体" w:hAnsi="宋体" w:cs="宋体"/>
                <w:color w:val="auto"/>
                <w:kern w:val="1"/>
                <w:sz w:val="24"/>
                <w:szCs w:val="24"/>
                <w:highlight w:val="none"/>
                <w:lang w:val="en-US" w:eastAsia="zh-CN"/>
              </w:rPr>
              <w:t>3</w:t>
            </w:r>
            <w:r>
              <w:rPr>
                <w:rFonts w:ascii="宋体" w:hAnsi="宋体" w:cs="宋体"/>
                <w:color w:val="auto"/>
                <w:kern w:val="1"/>
                <w:sz w:val="24"/>
                <w:szCs w:val="24"/>
                <w:highlight w:val="none"/>
              </w:rPr>
              <w:t>0分至2023年</w:t>
            </w:r>
            <w:r>
              <w:rPr>
                <w:rFonts w:hint="eastAsia" w:ascii="宋体" w:hAnsi="宋体" w:cs="宋体"/>
                <w:color w:val="auto"/>
                <w:kern w:val="1"/>
                <w:sz w:val="24"/>
                <w:szCs w:val="24"/>
                <w:highlight w:val="none"/>
                <w:lang w:val="en-US" w:eastAsia="zh-CN"/>
              </w:rPr>
              <w:t>09</w:t>
            </w:r>
            <w:r>
              <w:rPr>
                <w:rFonts w:ascii="宋体" w:hAnsi="宋体" w:cs="宋体"/>
                <w:color w:val="auto"/>
                <w:kern w:val="1"/>
                <w:sz w:val="24"/>
                <w:szCs w:val="24"/>
                <w:highlight w:val="none"/>
              </w:rPr>
              <w:t>月</w:t>
            </w:r>
            <w:r>
              <w:rPr>
                <w:rFonts w:hint="eastAsia" w:ascii="宋体" w:hAnsi="宋体" w:cs="宋体"/>
                <w:color w:val="auto"/>
                <w:kern w:val="1"/>
                <w:sz w:val="24"/>
                <w:szCs w:val="24"/>
                <w:highlight w:val="none"/>
                <w:lang w:val="en-US" w:eastAsia="zh-CN"/>
              </w:rPr>
              <w:t>20</w:t>
            </w:r>
            <w:r>
              <w:rPr>
                <w:rFonts w:ascii="宋体" w:hAnsi="宋体" w:cs="宋体"/>
                <w:color w:val="auto"/>
                <w:kern w:val="1"/>
                <w:sz w:val="24"/>
                <w:szCs w:val="24"/>
                <w:highlight w:val="none"/>
              </w:rPr>
              <w:t>日</w:t>
            </w:r>
            <w:r>
              <w:rPr>
                <w:rFonts w:hint="eastAsia" w:ascii="宋体" w:hAnsi="宋体" w:cs="宋体"/>
                <w:color w:val="auto"/>
                <w:kern w:val="1"/>
                <w:sz w:val="24"/>
                <w:szCs w:val="24"/>
                <w:highlight w:val="none"/>
                <w:lang w:val="en-US" w:eastAsia="zh-CN"/>
              </w:rPr>
              <w:t>9</w:t>
            </w:r>
            <w:r>
              <w:rPr>
                <w:rFonts w:ascii="宋体" w:hAnsi="宋体" w:cs="宋体"/>
                <w:color w:val="auto"/>
                <w:kern w:val="1"/>
                <w:sz w:val="24"/>
                <w:szCs w:val="24"/>
                <w:highlight w:val="none"/>
              </w:rPr>
              <w:t xml:space="preserve">时 </w:t>
            </w:r>
            <w:r>
              <w:rPr>
                <w:rFonts w:hint="eastAsia" w:ascii="宋体" w:hAnsi="宋体" w:cs="宋体"/>
                <w:color w:val="auto"/>
                <w:kern w:val="1"/>
                <w:sz w:val="24"/>
                <w:szCs w:val="24"/>
                <w:highlight w:val="none"/>
                <w:lang w:val="en-US" w:eastAsia="zh-CN"/>
              </w:rPr>
              <w:t>00</w:t>
            </w:r>
            <w:r>
              <w:rPr>
                <w:rFonts w:ascii="宋体" w:hAnsi="宋体" w:cs="宋体"/>
                <w:color w:val="auto"/>
                <w:kern w:val="1"/>
                <w:sz w:val="24"/>
                <w:szCs w:val="24"/>
                <w:highlight w:val="none"/>
              </w:rPr>
              <w:t>分止）</w:t>
            </w:r>
          </w:p>
          <w:p>
            <w:pPr>
              <w:pStyle w:val="20"/>
              <w:spacing w:beforeLines="0" w:afterLines="0" w:line="240" w:lineRule="auto"/>
              <w:jc w:val="left"/>
              <w:rPr>
                <w:rFonts w:hint="default" w:ascii="宋体" w:hAnsi="宋体" w:cs="宋体"/>
                <w:color w:val="auto"/>
                <w:kern w:val="1"/>
                <w:sz w:val="24"/>
                <w:szCs w:val="24"/>
                <w:highlight w:val="none"/>
              </w:rPr>
            </w:pPr>
            <w:r>
              <w:rPr>
                <w:rFonts w:ascii="宋体" w:hAnsi="宋体" w:cs="宋体"/>
                <w:b/>
                <w:bCs/>
                <w:color w:val="auto"/>
                <w:kern w:val="1"/>
                <w:sz w:val="24"/>
                <w:szCs w:val="24"/>
                <w:highlight w:val="none"/>
              </w:rPr>
              <w:t>注：电子响应文件上传截止时间同响应文件递交截止时间，逾期未上传提交电子响应文件的，否决其响应。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4.2.2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响应文件递交地点</w:t>
            </w:r>
          </w:p>
        </w:tc>
        <w:tc>
          <w:tcPr>
            <w:tcW w:w="6123" w:type="dxa"/>
            <w:tcBorders>
              <w:tl2br w:val="nil"/>
              <w:tr2bl w:val="nil"/>
            </w:tcBorders>
            <w:noWrap/>
            <w:vAlign w:val="center"/>
          </w:tcPr>
          <w:p>
            <w:pPr>
              <w:pStyle w:val="20"/>
              <w:spacing w:beforeLines="0" w:afterLines="0" w:line="240" w:lineRule="auto"/>
              <w:jc w:val="left"/>
              <w:rPr>
                <w:rFonts w:hint="default" w:ascii="宋体" w:hAnsi="宋体" w:cs="宋体"/>
                <w:b/>
                <w:bCs/>
                <w:color w:val="auto"/>
                <w:kern w:val="1"/>
                <w:sz w:val="24"/>
                <w:szCs w:val="24"/>
                <w:highlight w:val="none"/>
              </w:rPr>
            </w:pPr>
            <w:r>
              <w:rPr>
                <w:rFonts w:ascii="宋体" w:hAnsi="宋体" w:cs="宋体"/>
                <w:b/>
                <w:bCs/>
                <w:color w:val="auto"/>
                <w:kern w:val="1"/>
                <w:sz w:val="24"/>
                <w:szCs w:val="24"/>
                <w:highlight w:val="none"/>
              </w:rPr>
              <w:t>电子响应文件递交：全国公共资源交易平台（陕西省·宝鸡）宝鸡市公共资源交易中心（</w:t>
            </w:r>
            <w:r>
              <w:rPr>
                <w:color w:val="auto"/>
                <w:highlight w:val="none"/>
              </w:rPr>
              <w:fldChar w:fldCharType="begin"/>
            </w:r>
            <w:r>
              <w:rPr>
                <w:color w:val="auto"/>
                <w:highlight w:val="none"/>
              </w:rPr>
              <w:instrText xml:space="preserve"> HYPERLINK "http://bj.sxggzyjy.cn/" \h </w:instrText>
            </w:r>
            <w:r>
              <w:rPr>
                <w:color w:val="auto"/>
                <w:highlight w:val="none"/>
              </w:rPr>
              <w:fldChar w:fldCharType="separate"/>
            </w:r>
            <w:r>
              <w:rPr>
                <w:rFonts w:ascii="宋体" w:hAnsi="宋体" w:cs="宋体"/>
                <w:b/>
                <w:bCs/>
                <w:color w:val="auto"/>
                <w:kern w:val="1"/>
                <w:sz w:val="24"/>
                <w:szCs w:val="24"/>
                <w:highlight w:val="none"/>
              </w:rPr>
              <w:t>http://bj.sxggzyjy.cn</w:t>
            </w:r>
            <w:r>
              <w:rPr>
                <w:rFonts w:ascii="宋体" w:hAnsi="宋体" w:cs="宋体"/>
                <w:b/>
                <w:bCs/>
                <w:color w:val="auto"/>
                <w:kern w:val="1"/>
                <w:sz w:val="24"/>
                <w:szCs w:val="24"/>
                <w:highlight w:val="none"/>
              </w:rPr>
              <w:fldChar w:fldCharType="end"/>
            </w:r>
            <w:r>
              <w:rPr>
                <w:rFonts w:ascii="宋体" w:hAnsi="宋体" w:cs="宋体"/>
                <w:b/>
                <w:bCs/>
                <w:color w:val="auto"/>
                <w:kern w:val="1"/>
                <w:sz w:val="24"/>
                <w:szCs w:val="24"/>
                <w:highlight w:val="none"/>
              </w:rPr>
              <w:t>）</w:t>
            </w:r>
          </w:p>
          <w:p>
            <w:pPr>
              <w:pStyle w:val="20"/>
              <w:spacing w:beforeLines="0" w:afterLines="0" w:line="240" w:lineRule="auto"/>
              <w:jc w:val="left"/>
              <w:rPr>
                <w:rFonts w:hint="default" w:ascii="宋体" w:hAnsi="宋体" w:cs="宋体"/>
                <w:color w:val="auto"/>
                <w:sz w:val="24"/>
                <w:szCs w:val="24"/>
                <w:highlight w:val="none"/>
              </w:rPr>
            </w:pPr>
            <w:r>
              <w:rPr>
                <w:rFonts w:ascii="宋体" w:hAnsi="宋体" w:cs="宋体"/>
                <w:b/>
                <w:bCs/>
                <w:color w:val="auto"/>
                <w:kern w:val="1"/>
                <w:sz w:val="24"/>
                <w:szCs w:val="24"/>
                <w:highlight w:val="none"/>
              </w:rPr>
              <w:t>纸质版响应文件递交：宝鸡市公共</w:t>
            </w:r>
            <w:r>
              <w:rPr>
                <w:rFonts w:ascii="宋体" w:hAnsi="宋体" w:cs="宋体"/>
                <w:b/>
                <w:bCs/>
                <w:color w:val="auto"/>
                <w:sz w:val="24"/>
                <w:szCs w:val="24"/>
                <w:highlight w:val="none"/>
              </w:rPr>
              <w:t>资源</w:t>
            </w:r>
            <w:r>
              <w:rPr>
                <w:rFonts w:ascii="宋体" w:hAnsi="宋体" w:cs="宋体"/>
                <w:b/>
                <w:bCs/>
                <w:color w:val="auto"/>
                <w:kern w:val="1"/>
                <w:sz w:val="24"/>
                <w:szCs w:val="24"/>
                <w:highlight w:val="none"/>
              </w:rPr>
              <w:t xml:space="preserve">交易中心五楼第 </w:t>
            </w:r>
            <w:r>
              <w:rPr>
                <w:rFonts w:hint="eastAsia" w:ascii="宋体" w:hAnsi="宋体" w:cs="宋体"/>
                <w:b/>
                <w:bCs/>
                <w:color w:val="auto"/>
                <w:kern w:val="1"/>
                <w:sz w:val="24"/>
                <w:szCs w:val="24"/>
                <w:highlight w:val="none"/>
                <w:lang w:val="en-US" w:eastAsia="zh-CN"/>
              </w:rPr>
              <w:t>七</w:t>
            </w:r>
            <w:r>
              <w:rPr>
                <w:rFonts w:ascii="宋体" w:hAnsi="宋体" w:cs="宋体"/>
                <w:b/>
                <w:bCs/>
                <w:color w:val="auto"/>
                <w:kern w:val="1"/>
                <w:sz w:val="24"/>
                <w:szCs w:val="24"/>
                <w:highlight w:val="none"/>
              </w:rPr>
              <w:t xml:space="preserve"> 开标室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5.1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磋商时间和</w:t>
            </w:r>
          </w:p>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地点</w:t>
            </w:r>
          </w:p>
        </w:tc>
        <w:tc>
          <w:tcPr>
            <w:tcW w:w="6123" w:type="dxa"/>
            <w:tcBorders>
              <w:tl2br w:val="nil"/>
              <w:tr2bl w:val="nil"/>
            </w:tcBorders>
            <w:noWrap/>
            <w:vAlign w:val="center"/>
          </w:tcPr>
          <w:p>
            <w:pPr>
              <w:pStyle w:val="20"/>
              <w:spacing w:beforeLines="0" w:afterLines="0" w:line="240" w:lineRule="auto"/>
              <w:jc w:val="left"/>
              <w:rPr>
                <w:rFonts w:hint="default" w:ascii="宋体" w:hAnsi="宋体" w:cs="宋体"/>
                <w:color w:val="auto"/>
                <w:kern w:val="1"/>
                <w:sz w:val="24"/>
                <w:szCs w:val="24"/>
                <w:highlight w:val="none"/>
              </w:rPr>
            </w:pPr>
            <w:r>
              <w:rPr>
                <w:rFonts w:ascii="宋体" w:hAnsi="宋体" w:cs="宋体"/>
                <w:color w:val="auto"/>
                <w:sz w:val="24"/>
                <w:szCs w:val="24"/>
                <w:highlight w:val="none"/>
              </w:rPr>
              <w:t>磋商时间：</w:t>
            </w:r>
            <w:r>
              <w:rPr>
                <w:rFonts w:ascii="宋体" w:hAnsi="宋体" w:cs="宋体"/>
                <w:color w:val="auto"/>
                <w:kern w:val="1"/>
                <w:sz w:val="24"/>
                <w:szCs w:val="24"/>
                <w:highlight w:val="none"/>
              </w:rPr>
              <w:t>同响应文件递交截止时间</w:t>
            </w:r>
          </w:p>
          <w:p>
            <w:pPr>
              <w:pStyle w:val="20"/>
              <w:spacing w:beforeLines="0" w:afterLines="0" w:line="240" w:lineRule="auto"/>
              <w:jc w:val="left"/>
              <w:rPr>
                <w:rFonts w:hint="default" w:ascii="宋体" w:hAnsi="宋体" w:cs="宋体"/>
                <w:color w:val="auto"/>
                <w:kern w:val="1"/>
                <w:sz w:val="24"/>
                <w:szCs w:val="24"/>
                <w:highlight w:val="none"/>
                <w:u w:val="single"/>
              </w:rPr>
            </w:pPr>
            <w:r>
              <w:rPr>
                <w:rFonts w:ascii="宋体" w:hAnsi="宋体" w:cs="宋体"/>
                <w:color w:val="auto"/>
                <w:sz w:val="24"/>
                <w:szCs w:val="24"/>
                <w:highlight w:val="none"/>
              </w:rPr>
              <w:t>磋商地点：同递交响应文件地点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5.2.2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磋商小组的</w:t>
            </w:r>
          </w:p>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 xml:space="preserve">组建 </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磋商小组成员人数：</w:t>
            </w:r>
            <w:r>
              <w:rPr>
                <w:rFonts w:ascii="宋体" w:hAnsi="宋体" w:cs="宋体"/>
                <w:bCs/>
                <w:color w:val="auto"/>
                <w:kern w:val="1"/>
                <w:szCs w:val="24"/>
                <w:highlight w:val="none"/>
                <w:u w:val="single"/>
              </w:rPr>
              <w:t xml:space="preserve">3 </w:t>
            </w:r>
            <w:r>
              <w:rPr>
                <w:rFonts w:ascii="宋体" w:hAnsi="宋体" w:cs="宋体"/>
                <w:bCs/>
                <w:color w:val="auto"/>
                <w:kern w:val="1"/>
                <w:szCs w:val="24"/>
                <w:highlight w:val="none"/>
              </w:rPr>
              <w:t>人</w:t>
            </w:r>
            <w:r>
              <w:rPr>
                <w:rFonts w:ascii="宋体" w:hAnsi="宋体" w:cs="宋体"/>
                <w:color w:val="auto"/>
                <w:kern w:val="1"/>
                <w:szCs w:val="24"/>
                <w:highlight w:val="none"/>
              </w:rPr>
              <w:t>；</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磋商小组的组成：采购人代表1名，政府采购专家库中随机抽取评审专家2名。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6.1.3</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成交公告</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成交公告内容应当包括采购人和采购代理机构的名称、地址、联系方式、项目名称及项目编号，成交供应商名称和成交金额。</w:t>
            </w:r>
          </w:p>
          <w:p>
            <w:pPr>
              <w:spacing w:beforeLines="0" w:afterLines="0" w:line="240" w:lineRule="auto"/>
              <w:jc w:val="left"/>
              <w:rPr>
                <w:rFonts w:hint="default" w:ascii="宋体" w:hAnsi="宋体" w:cs="宋体"/>
                <w:bCs/>
                <w:color w:val="auto"/>
                <w:szCs w:val="24"/>
                <w:highlight w:val="none"/>
              </w:rPr>
            </w:pPr>
            <w:r>
              <w:rPr>
                <w:rFonts w:ascii="宋体" w:hAnsi="宋体" w:cs="宋体"/>
                <w:color w:val="auto"/>
                <w:kern w:val="1"/>
                <w:szCs w:val="24"/>
                <w:highlight w:val="none"/>
              </w:rPr>
              <w:t>发布媒介成交公告将在陕西省政府采购网及宝鸡市公共资源交易平台发布。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7.1</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履约担保</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金额：甲乙双方另行协商</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缴纳方式：另行约定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7.2</w:t>
            </w:r>
          </w:p>
        </w:tc>
        <w:tc>
          <w:tcPr>
            <w:tcW w:w="1677" w:type="dxa"/>
            <w:tcBorders>
              <w:tl2br w:val="nil"/>
              <w:tr2bl w:val="nil"/>
            </w:tcBorders>
            <w:noWrap/>
            <w:vAlign w:val="center"/>
          </w:tcPr>
          <w:p>
            <w:pPr>
              <w:spacing w:beforeLines="0" w:afterLines="0" w:line="240" w:lineRule="auto"/>
              <w:jc w:val="center"/>
              <w:rPr>
                <w:rFonts w:hint="default" w:ascii="宋体" w:hAnsi="宋体" w:cs="宋体"/>
                <w:color w:val="auto"/>
                <w:kern w:val="1"/>
                <w:szCs w:val="24"/>
                <w:highlight w:val="none"/>
              </w:rPr>
            </w:pPr>
            <w:r>
              <w:rPr>
                <w:rFonts w:ascii="宋体" w:hAnsi="宋体" w:cs="宋体"/>
                <w:color w:val="auto"/>
                <w:kern w:val="1"/>
                <w:szCs w:val="24"/>
                <w:highlight w:val="none"/>
              </w:rPr>
              <w:t>签订合同</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1、按照评审办法规定对磋商报价进行修正，签订合同时以修正后的最终磋商总报价为准。</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2、磋商文件、响应文件及磋商过程中有关补充文件均作为合同附件，并与合同具有相同的法律效力。</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3、当按照合同履行义务，完成磋商项目。未经采购人同意，成交供应商不得向他人转让成交项目。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11</w:t>
            </w:r>
          </w:p>
        </w:tc>
        <w:tc>
          <w:tcPr>
            <w:tcW w:w="7800" w:type="dxa"/>
            <w:gridSpan w:val="2"/>
            <w:tcBorders>
              <w:tl2br w:val="nil"/>
              <w:tr2bl w:val="nil"/>
            </w:tcBorders>
            <w:noWrap/>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spacing w:val="-14"/>
                <w:szCs w:val="24"/>
                <w:highlight w:val="none"/>
              </w:rPr>
            </w:pPr>
            <w:r>
              <w:rPr>
                <w:rFonts w:ascii="宋体" w:hAnsi="宋体" w:cs="宋体"/>
                <w:color w:val="auto"/>
                <w:spacing w:val="-14"/>
                <w:szCs w:val="24"/>
                <w:highlight w:val="none"/>
              </w:rPr>
              <w:t>11.2.1</w:t>
            </w:r>
          </w:p>
        </w:tc>
        <w:tc>
          <w:tcPr>
            <w:tcW w:w="1677" w:type="dxa"/>
            <w:tcBorders>
              <w:tl2br w:val="nil"/>
              <w:tr2bl w:val="nil"/>
            </w:tcBorders>
            <w:noWrap/>
            <w:vAlign w:val="center"/>
          </w:tcPr>
          <w:p>
            <w:pPr>
              <w:spacing w:before="24" w:after="24"/>
              <w:jc w:val="center"/>
              <w:rPr>
                <w:rFonts w:hint="default" w:ascii="宋体" w:hAnsi="宋体" w:cs="宋体"/>
                <w:color w:val="auto"/>
                <w:szCs w:val="24"/>
                <w:highlight w:val="none"/>
              </w:rPr>
            </w:pPr>
            <w:r>
              <w:rPr>
                <w:rFonts w:ascii="宋体" w:hAnsi="宋体" w:cs="宋体"/>
                <w:color w:val="auto"/>
                <w:szCs w:val="24"/>
                <w:highlight w:val="none"/>
              </w:rPr>
              <w:t>代理服务费</w:t>
            </w:r>
          </w:p>
        </w:tc>
        <w:tc>
          <w:tcPr>
            <w:tcW w:w="6123" w:type="dxa"/>
            <w:tcBorders>
              <w:tl2br w:val="nil"/>
              <w:tr2bl w:val="nil"/>
            </w:tcBorders>
            <w:noWrap/>
            <w:vAlign w:val="center"/>
          </w:tcPr>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1、</w:t>
            </w:r>
            <w:r>
              <w:rPr>
                <w:rFonts w:ascii="宋体" w:hAnsi="宋体" w:cs="宋体"/>
                <w:color w:val="auto"/>
                <w:szCs w:val="24"/>
                <w:highlight w:val="none"/>
              </w:rPr>
              <w:t>参照国家发改委文件发改价格【2011】534号文执行并下浮5%。代理服务费由成交供应商在领取成交通知书时一次性付清</w:t>
            </w:r>
            <w:r>
              <w:rPr>
                <w:rFonts w:ascii="宋体" w:hAnsi="宋体" w:cs="宋体"/>
                <w:color w:val="auto"/>
                <w:kern w:val="1"/>
                <w:szCs w:val="24"/>
                <w:highlight w:val="none"/>
              </w:rPr>
              <w:t>。</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2、采购代理服务费账号信息：</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户名：陕西正大项目管理咨询有限公司</w:t>
            </w:r>
          </w:p>
          <w:p>
            <w:pPr>
              <w:spacing w:beforeLines="0" w:afterLines="0" w:line="240" w:lineRule="auto"/>
              <w:jc w:val="left"/>
              <w:rPr>
                <w:rFonts w:hint="default" w:ascii="宋体" w:hAnsi="宋体" w:cs="宋体"/>
                <w:color w:val="auto"/>
                <w:kern w:val="1"/>
                <w:szCs w:val="24"/>
                <w:highlight w:val="none"/>
              </w:rPr>
            </w:pPr>
            <w:r>
              <w:rPr>
                <w:rFonts w:ascii="宋体" w:hAnsi="宋体" w:cs="宋体"/>
                <w:color w:val="auto"/>
                <w:kern w:val="1"/>
                <w:szCs w:val="24"/>
                <w:highlight w:val="none"/>
              </w:rPr>
              <w:t>开户行：中国建设银行股份有限公司西安旺座现代城支行</w:t>
            </w:r>
          </w:p>
          <w:p>
            <w:pPr>
              <w:spacing w:beforeLines="0" w:afterLines="0" w:line="240" w:lineRule="auto"/>
              <w:jc w:val="left"/>
              <w:rPr>
                <w:rFonts w:hint="default" w:ascii="宋体" w:hAnsi="宋体" w:cs="宋体"/>
                <w:color w:val="auto"/>
                <w:szCs w:val="24"/>
                <w:highlight w:val="none"/>
              </w:rPr>
            </w:pPr>
            <w:r>
              <w:rPr>
                <w:rFonts w:ascii="宋体" w:hAnsi="宋体" w:cs="宋体"/>
                <w:color w:val="auto"/>
                <w:kern w:val="1"/>
                <w:szCs w:val="24"/>
                <w:highlight w:val="none"/>
              </w:rPr>
              <w:t>账号：6100 1928 7000 5251 4036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spacing w:val="-14"/>
                <w:kern w:val="1"/>
                <w:szCs w:val="24"/>
                <w:highlight w:val="none"/>
              </w:rPr>
            </w:pPr>
            <w:r>
              <w:rPr>
                <w:rFonts w:ascii="宋体" w:hAnsi="宋体" w:cs="宋体"/>
                <w:color w:val="auto"/>
                <w:spacing w:val="-14"/>
                <w:kern w:val="1"/>
                <w:szCs w:val="24"/>
                <w:highlight w:val="none"/>
              </w:rPr>
              <w:t>11.2.2</w:t>
            </w:r>
          </w:p>
        </w:tc>
        <w:tc>
          <w:tcPr>
            <w:tcW w:w="1677" w:type="dxa"/>
            <w:tcBorders>
              <w:tl2br w:val="nil"/>
              <w:tr2bl w:val="nil"/>
            </w:tcBorders>
            <w:noWrap/>
            <w:vAlign w:val="center"/>
          </w:tcPr>
          <w:p>
            <w:pPr>
              <w:snapToGrid w:val="0"/>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解释权</w:t>
            </w:r>
          </w:p>
        </w:tc>
        <w:tc>
          <w:tcPr>
            <w:tcW w:w="6123" w:type="dxa"/>
            <w:tcBorders>
              <w:tl2br w:val="nil"/>
              <w:tr2bl w:val="nil"/>
            </w:tcBorders>
            <w:noWrap/>
            <w:vAlign w:val="center"/>
          </w:tcPr>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采购阶段的规定，按磋商公告、供应商须知、评审办法、磋商响应文件组成及格式的先后顺序解释；同一组成文件中就同一事项的规定或约定不一致的，以编排顺序在后者为准；同一组成文件不同版本之间有不一致的，以形成时间在后者为准。按本款前述规定仍不能形成结论的，由采购人和采购代理机构负责解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spacing w:val="-14"/>
                <w:kern w:val="1"/>
                <w:szCs w:val="24"/>
                <w:highlight w:val="none"/>
              </w:rPr>
            </w:pPr>
            <w:bookmarkStart w:id="18" w:name="_Toc12779"/>
            <w:bookmarkStart w:id="19" w:name="_Toc24438_WPSOffice_Level2"/>
            <w:bookmarkStart w:id="20" w:name="_Toc51077468"/>
            <w:bookmarkStart w:id="21" w:name="_Toc50502501"/>
            <w:r>
              <w:rPr>
                <w:rFonts w:ascii="宋体" w:hAnsi="宋体" w:cs="宋体"/>
                <w:color w:val="auto"/>
                <w:spacing w:val="-14"/>
                <w:kern w:val="1"/>
                <w:szCs w:val="24"/>
                <w:highlight w:val="none"/>
              </w:rPr>
              <w:t>11.2.3</w:t>
            </w:r>
          </w:p>
        </w:tc>
        <w:tc>
          <w:tcPr>
            <w:tcW w:w="1677" w:type="dxa"/>
            <w:tcBorders>
              <w:tl2br w:val="nil"/>
              <w:tr2bl w:val="nil"/>
            </w:tcBorders>
            <w:noWrap/>
            <w:vAlign w:val="center"/>
          </w:tcPr>
          <w:p>
            <w:pPr>
              <w:snapToGrid w:val="0"/>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本项目所属行业</w:t>
            </w:r>
          </w:p>
        </w:tc>
        <w:tc>
          <w:tcPr>
            <w:tcW w:w="6123" w:type="dxa"/>
            <w:tcBorders>
              <w:tl2br w:val="nil"/>
              <w:tr2bl w:val="nil"/>
            </w:tcBorders>
            <w:noWrap/>
            <w:vAlign w:val="center"/>
          </w:tcPr>
          <w:p>
            <w:pPr>
              <w:snapToGrid w:val="0"/>
              <w:spacing w:beforeLines="0" w:afterLines="0" w:line="240" w:lineRule="auto"/>
              <w:jc w:val="left"/>
              <w:rPr>
                <w:rFonts w:hint="default" w:ascii="宋体" w:hAnsi="宋体" w:cs="宋体"/>
                <w:color w:val="auto"/>
                <w:szCs w:val="24"/>
                <w:highlight w:val="none"/>
              </w:rPr>
            </w:pPr>
            <w:r>
              <w:rPr>
                <w:rFonts w:ascii="宋体" w:hAnsi="宋体" w:cs="宋体"/>
                <w:color w:val="auto"/>
                <w:szCs w:val="24"/>
                <w:highlight w:val="none"/>
              </w:rPr>
              <w:t>软件和信息技术服务业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color w:val="auto"/>
                <w:spacing w:val="-14"/>
                <w:kern w:val="1"/>
                <w:szCs w:val="24"/>
                <w:highlight w:val="none"/>
              </w:rPr>
            </w:pPr>
            <w:r>
              <w:rPr>
                <w:rFonts w:ascii="宋体" w:hAnsi="宋体" w:cs="宋体"/>
                <w:color w:val="auto"/>
                <w:spacing w:val="-14"/>
                <w:kern w:val="1"/>
                <w:szCs w:val="24"/>
                <w:highlight w:val="none"/>
              </w:rPr>
              <w:t>11.2.4</w:t>
            </w:r>
          </w:p>
        </w:tc>
        <w:tc>
          <w:tcPr>
            <w:tcW w:w="1677" w:type="dxa"/>
            <w:tcBorders>
              <w:tl2br w:val="nil"/>
              <w:tr2bl w:val="nil"/>
            </w:tcBorders>
            <w:noWrap/>
            <w:vAlign w:val="center"/>
          </w:tcPr>
          <w:p>
            <w:pPr>
              <w:snapToGrid w:val="0"/>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关于信用记录的查询和使用</w:t>
            </w:r>
          </w:p>
        </w:tc>
        <w:tc>
          <w:tcPr>
            <w:tcW w:w="6123" w:type="dxa"/>
            <w:tcBorders>
              <w:tl2br w:val="nil"/>
              <w:tr2bl w:val="nil"/>
            </w:tcBorders>
            <w:noWrap/>
            <w:vAlign w:val="center"/>
          </w:tcPr>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1、信用信息查询渠道：通过“信用中国”网站（www.creditchina.gov.cn）、“中国政府采购网”（www.ccgp.gov.cn）等渠道查询相关主体信用记录。</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2、信用信息查询记录和证据留存的具体方式：供应商自公告发布日起至响应文件递交截止时间前任意一天对“信用中国”网站中“信用报告”、“中国政府采购网”政府采购严重违法失信行为记录名单查询情况予以记录，将参与信用信息查询的人员应在信用信息查询记录上签名及签署查询日期并加盖公章，所有信用信息查询记录及相关证据应当与其他采购文件一并保存。</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3、信用信息的使用规则：</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（1）对列入失信被执行人、重大税收违法案件当事人名单、政府采购严重违法失信行为记录名单及其他不符合《中华人民共和国政府采购法》第二十二条规定条件的供应商，应当拒绝其参与政府采购活动。</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（2）采购人及招标组织机构应当妥善保管相关主体信用信息，不得用于政府采购以外事项。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950" w:type="dxa"/>
            <w:tcBorders>
              <w:tl2br w:val="nil"/>
              <w:tr2bl w:val="nil"/>
            </w:tcBorders>
            <w:noWrap/>
            <w:vAlign w:val="center"/>
          </w:tcPr>
          <w:p>
            <w:pPr>
              <w:spacing w:beforeLines="0" w:afterLines="0" w:line="240" w:lineRule="auto"/>
              <w:jc w:val="center"/>
              <w:rPr>
                <w:rFonts w:hint="default" w:ascii="宋体" w:hAnsi="宋体" w:cs="宋体"/>
                <w:b/>
                <w:bCs/>
                <w:color w:val="auto"/>
                <w:spacing w:val="-14"/>
                <w:kern w:val="1"/>
                <w:szCs w:val="24"/>
                <w:highlight w:val="none"/>
              </w:rPr>
            </w:pPr>
            <w:r>
              <w:rPr>
                <w:rFonts w:ascii="宋体" w:hAnsi="宋体" w:cs="宋体"/>
                <w:b/>
                <w:bCs/>
                <w:color w:val="auto"/>
                <w:spacing w:val="-14"/>
                <w:kern w:val="1"/>
                <w:szCs w:val="24"/>
                <w:highlight w:val="none"/>
              </w:rPr>
              <w:t>11.2.5</w:t>
            </w:r>
          </w:p>
        </w:tc>
        <w:tc>
          <w:tcPr>
            <w:tcW w:w="1677" w:type="dxa"/>
            <w:tcBorders>
              <w:tl2br w:val="nil"/>
              <w:tr2bl w:val="nil"/>
            </w:tcBorders>
            <w:noWrap/>
            <w:vAlign w:val="center"/>
          </w:tcPr>
          <w:p>
            <w:pPr>
              <w:snapToGrid w:val="0"/>
              <w:spacing w:beforeLines="0" w:afterLines="0"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电子投标注意事项</w:t>
            </w:r>
          </w:p>
        </w:tc>
        <w:tc>
          <w:tcPr>
            <w:tcW w:w="6123" w:type="dxa"/>
            <w:tcBorders>
              <w:tl2br w:val="nil"/>
              <w:tr2bl w:val="nil"/>
            </w:tcBorders>
            <w:noWrap/>
            <w:vAlign w:val="center"/>
          </w:tcPr>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1.请供应商按照陕西省财政厅关于政府采购供应商注册登记有关事项的通知中的要求，通过陕西省政府采购网（</w:t>
            </w:r>
            <w:r>
              <w:rPr>
                <w:color w:val="auto"/>
                <w:highlight w:val="none"/>
              </w:rPr>
              <w:fldChar w:fldCharType="begin"/>
            </w:r>
            <w:r>
              <w:rPr>
                <w:color w:val="auto"/>
                <w:highlight w:val="none"/>
              </w:rPr>
              <w:instrText xml:space="preserve"> HYPERLINK "http://www.ccgp-shaanxi.gov.cn/" \h </w:instrText>
            </w:r>
            <w:r>
              <w:rPr>
                <w:color w:val="auto"/>
                <w:highlight w:val="none"/>
              </w:rPr>
              <w:fldChar w:fldCharType="separate"/>
            </w:r>
            <w:r>
              <w:rPr>
                <w:rFonts w:ascii="宋体" w:hAnsi="宋体" w:cs="宋体"/>
                <w:color w:val="auto"/>
                <w:szCs w:val="24"/>
                <w:highlight w:val="none"/>
              </w:rPr>
              <w:t>http://www.ccgp-shaanxi.gov.cn/</w:t>
            </w:r>
            <w:r>
              <w:rPr>
                <w:rFonts w:ascii="宋体" w:hAnsi="宋体" w:cs="宋体"/>
                <w:color w:val="auto"/>
                <w:szCs w:val="24"/>
                <w:highlight w:val="none"/>
              </w:rPr>
              <w:fldChar w:fldCharType="end"/>
            </w:r>
            <w:r>
              <w:rPr>
                <w:rFonts w:ascii="宋体" w:hAnsi="宋体" w:cs="宋体"/>
                <w:color w:val="auto"/>
                <w:szCs w:val="24"/>
                <w:highlight w:val="none"/>
              </w:rPr>
              <w:t>）注册登记加入陕西省政府采购供应商库并及时办理 CA 数字证书（陕西 CA 锁）。</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2.本项目为“全流程电子化”采购模式，实行线上电子投标方式，各供应商须自行在网上下载竞争性磋商文件、缴纳磋商保证金，并登录全国公共资源交易平台（陕西省·宝鸡市）（http://ggzy.baoji.gov.cn/）-服务指南-下载专区-《陕西省公共资源交易中心政府招标项目投标指南》，并下载政府采购电子标书制作工具，按照流程制作电子响应文件。</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3.请各供应商在规定的时间内及时下载竞争性磋商文件、澄清和修改文件以及答疑纪要等相关文件，在响应文件递交截止时间前上传电子响应文件，逾期未上传提交电子响应文件的，否决其响应。</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4.供应商应随时留意可能发布的变更、澄清（如有）等内容，当澄清或修改的内容影响响应文件编制时，将在交易平台上同步发布答疑文件， 此时供应商应下载最新发布的答疑文件，并使用该文件重新编制电子响应文件，使用旧版电子招标文件或旧版答疑文件制作的电子投标文件，系统将拒绝接收。</w:t>
            </w:r>
          </w:p>
          <w:p>
            <w:pPr>
              <w:snapToGrid w:val="0"/>
              <w:spacing w:beforeLines="0" w:afterLines="0" w:line="240" w:lineRule="auto"/>
              <w:rPr>
                <w:rFonts w:hint="default" w:ascii="宋体" w:hAnsi="宋体" w:cs="宋体"/>
                <w:color w:val="auto"/>
                <w:szCs w:val="24"/>
                <w:highlight w:val="none"/>
              </w:rPr>
            </w:pPr>
            <w:r>
              <w:rPr>
                <w:rFonts w:ascii="宋体" w:hAnsi="宋体" w:cs="宋体"/>
                <w:color w:val="auto"/>
                <w:szCs w:val="24"/>
                <w:highlight w:val="none"/>
              </w:rPr>
              <w:t>5.因供应商自身设施故障或自身原因导致无法完成电子投标的，由供应商责任自负。</w:t>
            </w:r>
          </w:p>
        </w:tc>
      </w:tr>
    </w:tbl>
    <w:p>
      <w:pPr>
        <w:spacing w:beforeLines="0" w:afterLines="0"/>
        <w:outlineLvl w:val="2"/>
        <w:rPr>
          <w:rFonts w:hint="default" w:ascii="宋体" w:hAnsi="宋体" w:cs="宋体"/>
          <w:b/>
          <w:color w:val="auto"/>
          <w:highlight w:val="none"/>
        </w:rPr>
      </w:pPr>
      <w:r>
        <w:rPr>
          <w:rFonts w:ascii="宋体" w:hAnsi="宋体" w:cs="宋体"/>
          <w:b/>
          <w:color w:val="auto"/>
          <w:highlight w:val="none"/>
        </w:rPr>
        <w:br w:type="page"/>
      </w:r>
      <w:r>
        <w:rPr>
          <w:rFonts w:ascii="宋体" w:hAnsi="宋体" w:cs="宋体"/>
          <w:b/>
          <w:color w:val="auto"/>
          <w:highlight w:val="none"/>
        </w:rPr>
        <w:t>1  总则</w:t>
      </w:r>
      <w:bookmarkEnd w:id="18"/>
      <w:bookmarkEnd w:id="19"/>
    </w:p>
    <w:p>
      <w:pPr>
        <w:spacing w:beforeLines="0" w:afterLines="0"/>
        <w:outlineLvl w:val="2"/>
        <w:rPr>
          <w:rFonts w:hint="default" w:ascii="宋体" w:hAnsi="宋体" w:cs="宋体"/>
          <w:color w:val="auto"/>
          <w:highlight w:val="none"/>
        </w:rPr>
      </w:pPr>
      <w:r>
        <w:rPr>
          <w:rFonts w:ascii="宋体" w:hAnsi="宋体" w:cs="宋体"/>
          <w:b/>
          <w:color w:val="auto"/>
          <w:highlight w:val="none"/>
        </w:rPr>
        <w:t>1.1项目概况</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1.1.1根据</w:t>
      </w:r>
      <w:r>
        <w:rPr>
          <w:rFonts w:ascii="宋体" w:hAnsi="宋体" w:cs="宋体"/>
          <w:bCs/>
          <w:color w:val="auto"/>
          <w:kern w:val="0"/>
          <w:highlight w:val="none"/>
        </w:rPr>
        <w:t>《中华人民共和国政府采购法》</w:t>
      </w:r>
      <w:r>
        <w:rPr>
          <w:rFonts w:ascii="宋体" w:hAnsi="宋体" w:cs="宋体"/>
          <w:color w:val="auto"/>
          <w:highlight w:val="none"/>
        </w:rPr>
        <w:t>等有关法律、法规和规章的规定，本磋商项目已具备采购条件，现对本项目进行竞争性磋商。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1.1.2 本项目采购单位：见供应商须知前附表。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1.1.3 本项目采购代理机构：见供应商须知前附表。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1.1.4 本项目名称：见供应商须知前附表。</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1.2资金来源和落实情况</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1.2.1 本项目的资金来源：见供应商须知前附表。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1.2.2 本项目的资金落实情况：见供应商须知前附表。</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1.3采购内容、服务期、质量标准、服务地点</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1.3.1 本次采购内容：见供应商须知前附表。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1.3.2 本项目服务期：见供应商须知前附表。</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1.3.3 本项目质量标准：见供应商须知前附表。</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1.3.4 本项目服务地点：见供应商须知前附表。</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1.4供应商资格要求</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1.4.1资格要求：见供应商须知前附表。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1.4.2 本项目不接受联合体磋商。</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1.4.3 供应商不得存在的其他情形：</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（1）为采购人不具有独立法人资格的附属机构（单位）；</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（2）为本采购项目提供采购代理服务的；</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（3）被责令停业的；</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（4）被暂停或取消投标资格的；</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（5）财产被接管或冻结的；</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（6）在最近三年内有骗取中标或严重违约或项目重大质量问题的。</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（7）法律法规或须知前附表规定的其他情形。</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1.5分包</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本项目不允许转包和分包。</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1.6保密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 xml:space="preserve">参与本次磋商活动的各方应对竞争性磋商文件和响应文件中的商业和技术等秘密保密，违者应对由此造成的后果承担法律责任。 </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 xml:space="preserve">1.7语言文字 </w:t>
      </w:r>
    </w:p>
    <w:p>
      <w:pPr>
        <w:spacing w:beforeLines="0" w:afterLines="0"/>
        <w:ind w:firstLine="480" w:firstLineChars="200"/>
        <w:rPr>
          <w:rFonts w:hint="default" w:ascii="宋体" w:hAnsi="宋体" w:cs="宋体"/>
          <w:b/>
          <w:color w:val="auto"/>
          <w:highlight w:val="none"/>
        </w:rPr>
      </w:pPr>
      <w:r>
        <w:rPr>
          <w:rFonts w:ascii="宋体" w:hAnsi="宋体" w:cs="宋体"/>
          <w:color w:val="auto"/>
          <w:highlight w:val="none"/>
        </w:rPr>
        <w:t>除专用术语外，与竞争性磋商有关的语言均使用中文。必要时专用术语应附有中文注释。</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1.8计量单位</w:t>
      </w:r>
    </w:p>
    <w:p>
      <w:pPr>
        <w:spacing w:beforeLines="0" w:afterLines="0"/>
        <w:ind w:firstLine="480" w:firstLineChars="200"/>
        <w:rPr>
          <w:rFonts w:hint="default" w:ascii="宋体" w:hAnsi="宋体" w:cs="宋体"/>
          <w:b/>
          <w:color w:val="auto"/>
          <w:highlight w:val="none"/>
        </w:rPr>
      </w:pPr>
      <w:r>
        <w:rPr>
          <w:rFonts w:ascii="宋体" w:hAnsi="宋体" w:cs="宋体"/>
          <w:color w:val="auto"/>
          <w:highlight w:val="none"/>
        </w:rPr>
        <w:t>所有计量均采用中华人民共和国法定计量单位。</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1.9踏勘现场</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 xml:space="preserve">1.9.1 本项目磋商不组织踏勘项目现场。 </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1.9.2 供应商自行踏勘现场发生的费用自理。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1.9.3 供应商自行负责在踏勘现场中所发生的人员伤亡和财产损失。</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1.10响应和偏差</w:t>
      </w:r>
    </w:p>
    <w:p>
      <w:pPr>
        <w:adjustRightInd w:val="0"/>
        <w:snapToGrid w:val="0"/>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1.10.1响应文件应当对竞争性磋商文件第四章“合同条款及格式”、第五章“采购内容及技术要求”中的实质性要求和条件作出满足性或更有利于采购人的响应，</w:t>
      </w:r>
      <w:bookmarkStart w:id="22" w:name="page22"/>
      <w:bookmarkEnd w:id="22"/>
      <w:r>
        <w:rPr>
          <w:rFonts w:ascii="宋体" w:hAnsi="宋体" w:cs="宋体"/>
          <w:color w:val="auto"/>
          <w:szCs w:val="22"/>
          <w:highlight w:val="none"/>
        </w:rPr>
        <w:t>否则，供应商的响应文件将被否决。</w:t>
      </w:r>
    </w:p>
    <w:p>
      <w:pPr>
        <w:adjustRightInd w:val="0"/>
        <w:snapToGrid w:val="0"/>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1.10.2响应文件对竞争性磋商文件的全部偏差，均应在响应文件的商务和技术偏差表中列明，除列明的内容外，视为供应商响应磋商文件的全部要求。</w:t>
      </w:r>
    </w:p>
    <w:p>
      <w:pPr>
        <w:spacing w:beforeLines="0" w:afterLines="0"/>
        <w:outlineLvl w:val="2"/>
        <w:rPr>
          <w:rFonts w:hint="default" w:ascii="宋体" w:hAnsi="宋体" w:cs="宋体"/>
          <w:b/>
          <w:color w:val="auto"/>
          <w:szCs w:val="22"/>
          <w:highlight w:val="none"/>
        </w:rPr>
      </w:pPr>
      <w:bookmarkStart w:id="23" w:name="_Toc20447_WPSOffice_Level2"/>
      <w:bookmarkStart w:id="24" w:name="_Toc23341"/>
      <w:r>
        <w:rPr>
          <w:rFonts w:ascii="宋体" w:hAnsi="宋体" w:cs="宋体"/>
          <w:b/>
          <w:color w:val="auto"/>
          <w:szCs w:val="22"/>
          <w:highlight w:val="none"/>
        </w:rPr>
        <w:t>2  竞争性磋商文件</w:t>
      </w:r>
      <w:bookmarkEnd w:id="23"/>
      <w:bookmarkEnd w:id="24"/>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2.1竞争性磋商文件的组成</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本竞争性磋商文件组成：</w:t>
      </w:r>
      <w:r>
        <w:rPr>
          <w:rFonts w:ascii="宋体" w:hAnsi="宋体" w:cs="宋体"/>
          <w:color w:val="auto"/>
          <w:szCs w:val="22"/>
          <w:highlight w:val="none"/>
        </w:rPr>
        <w:t>见供应商须知前附表。</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2.2竞争性磋商文件的澄清</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2.2.1 供应商应仔细阅读和检查竞争性磋商文件的全部内容。如发现缺页或附件不全，应及时向采购人提出，以便补齐。如有疑问，应在供应商须知前附表规定的时间前以书面形式（传真的形式，下同），要求采购人对竞争性磋商文件予以澄清。</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2.3竞争性磋商文件的修改</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2.3.1 提交首次响应文件截止之日前，采购人可以对已发出的磋商文件进行必要的澄清或者修改。采购人对已发出的磋商文件进行澄清或者修改，应在磋商文件要求的提交首次响应文件截止时间5日前进行，并以书面形式通知所有获取磋商文件的供应商；澄清或者修改的内容作为磋商文件的组成部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2.3.2 供应商收到修改内容后，应在供应商须知前附表规定的时间内以书面形式通知采购人，确认已收到该修改。</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2.3.3各供应商应随时关注宝鸡市公共资源交易中心网站信息，获悉关于本项目的变更、澄清（如有）等内容，否则由此引起的一切责任由供应商自行承担。</w:t>
      </w:r>
    </w:p>
    <w:p>
      <w:pPr>
        <w:spacing w:beforeLines="0" w:afterLines="0"/>
        <w:outlineLvl w:val="2"/>
        <w:rPr>
          <w:rFonts w:hint="default" w:ascii="宋体" w:hAnsi="宋体" w:cs="宋体"/>
          <w:b/>
          <w:color w:val="auto"/>
          <w:szCs w:val="22"/>
          <w:highlight w:val="none"/>
        </w:rPr>
      </w:pPr>
      <w:bookmarkStart w:id="25" w:name="_Toc32588"/>
      <w:bookmarkStart w:id="26" w:name="_Toc8953_WPSOffice_Level2"/>
      <w:r>
        <w:rPr>
          <w:rFonts w:ascii="宋体" w:hAnsi="宋体" w:cs="宋体"/>
          <w:b/>
          <w:color w:val="auto"/>
          <w:szCs w:val="22"/>
          <w:highlight w:val="none"/>
        </w:rPr>
        <w:t>3  响应文件</w:t>
      </w:r>
      <w:bookmarkEnd w:id="25"/>
      <w:bookmarkEnd w:id="26"/>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3.1响应文件组成：</w:t>
      </w:r>
    </w:p>
    <w:p>
      <w:pPr>
        <w:spacing w:beforeLines="0" w:afterLines="0"/>
        <w:ind w:firstLine="480" w:firstLineChars="200"/>
        <w:rPr>
          <w:rFonts w:hint="default" w:ascii="宋体" w:hAnsi="宋体" w:cs="宋体"/>
          <w:color w:val="auto"/>
          <w:szCs w:val="22"/>
          <w:highlight w:val="none"/>
          <w:lang w:val="zh-CN"/>
        </w:rPr>
      </w:pPr>
      <w:r>
        <w:rPr>
          <w:rFonts w:ascii="宋体" w:hAnsi="宋体" w:cs="宋体"/>
          <w:color w:val="auto"/>
          <w:szCs w:val="22"/>
          <w:highlight w:val="none"/>
        </w:rPr>
        <w:t>（1）磋商</w:t>
      </w:r>
      <w:r>
        <w:rPr>
          <w:rFonts w:ascii="宋体" w:hAnsi="宋体" w:cs="宋体"/>
          <w:color w:val="auto"/>
          <w:szCs w:val="22"/>
          <w:highlight w:val="none"/>
          <w:lang w:val="zh-CN"/>
        </w:rPr>
        <w:t>响应函</w:t>
      </w:r>
    </w:p>
    <w:p>
      <w:pPr>
        <w:spacing w:beforeLines="0" w:afterLines="0"/>
        <w:ind w:firstLine="480" w:firstLineChars="200"/>
        <w:rPr>
          <w:rFonts w:hint="default" w:ascii="宋体" w:hAnsi="宋体" w:cs="宋体"/>
          <w:color w:val="auto"/>
          <w:szCs w:val="22"/>
          <w:highlight w:val="none"/>
          <w:lang w:val="zh-CN"/>
        </w:rPr>
      </w:pPr>
      <w:r>
        <w:rPr>
          <w:rFonts w:ascii="宋体" w:hAnsi="宋体" w:cs="宋体"/>
          <w:color w:val="auto"/>
          <w:szCs w:val="22"/>
          <w:highlight w:val="none"/>
        </w:rPr>
        <w:t>（2）</w:t>
      </w:r>
      <w:r>
        <w:rPr>
          <w:rFonts w:ascii="宋体" w:hAnsi="宋体" w:cs="宋体"/>
          <w:color w:val="auto"/>
          <w:szCs w:val="22"/>
          <w:highlight w:val="none"/>
          <w:lang w:val="zh-CN"/>
        </w:rPr>
        <w:t>首次磋商报价表</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（3）</w:t>
      </w:r>
      <w:r>
        <w:rPr>
          <w:rFonts w:ascii="宋体" w:hAnsi="宋体" w:cs="宋体"/>
          <w:color w:val="auto"/>
          <w:szCs w:val="24"/>
          <w:highlight w:val="none"/>
        </w:rPr>
        <w:t>资格证明文件</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（4</w:t>
      </w:r>
      <w:r>
        <w:rPr>
          <w:rFonts w:ascii="宋体" w:hAnsi="宋体" w:cs="宋体"/>
          <w:color w:val="auto"/>
          <w:szCs w:val="22"/>
          <w:highlight w:val="none"/>
          <w:lang w:val="zh-CN"/>
        </w:rPr>
        <w:t>）</w:t>
      </w:r>
      <w:r>
        <w:rPr>
          <w:rFonts w:hint="eastAsia" w:ascii="宋体" w:hAnsi="宋体" w:cs="宋体"/>
          <w:color w:val="auto"/>
          <w:szCs w:val="22"/>
          <w:highlight w:val="none"/>
          <w:lang w:val="zh-CN"/>
        </w:rPr>
        <w:t>商务技术偏差表</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lang w:val="zh-CN"/>
        </w:rPr>
        <w:t>（</w:t>
      </w:r>
      <w:r>
        <w:rPr>
          <w:rFonts w:ascii="宋体" w:hAnsi="宋体" w:cs="宋体"/>
          <w:color w:val="auto"/>
          <w:szCs w:val="22"/>
          <w:highlight w:val="none"/>
        </w:rPr>
        <w:t>5</w:t>
      </w:r>
      <w:r>
        <w:rPr>
          <w:rFonts w:ascii="宋体" w:hAnsi="宋体" w:cs="宋体"/>
          <w:color w:val="auto"/>
          <w:szCs w:val="22"/>
          <w:highlight w:val="none"/>
          <w:lang w:val="zh-CN"/>
        </w:rPr>
        <w:t>）供应商参加政府采购活动承诺书</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lang w:val="zh-CN"/>
        </w:rPr>
        <w:t>（</w:t>
      </w:r>
      <w:r>
        <w:rPr>
          <w:rFonts w:ascii="宋体" w:hAnsi="宋体" w:cs="宋体"/>
          <w:color w:val="auto"/>
          <w:szCs w:val="22"/>
          <w:highlight w:val="none"/>
        </w:rPr>
        <w:t>6</w:t>
      </w:r>
      <w:r>
        <w:rPr>
          <w:rFonts w:ascii="宋体" w:hAnsi="宋体" w:cs="宋体"/>
          <w:color w:val="auto"/>
          <w:szCs w:val="22"/>
          <w:highlight w:val="none"/>
          <w:lang w:val="zh-CN"/>
        </w:rPr>
        <w:t>）</w:t>
      </w:r>
      <w:r>
        <w:rPr>
          <w:rFonts w:ascii="宋体" w:hAnsi="宋体" w:cs="宋体"/>
          <w:color w:val="auto"/>
          <w:szCs w:val="22"/>
          <w:highlight w:val="none"/>
        </w:rPr>
        <w:t>服务方案</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（7）</w:t>
      </w:r>
      <w:r>
        <w:rPr>
          <w:rFonts w:ascii="宋体" w:hAnsi="宋体" w:cs="宋体"/>
          <w:color w:val="auto"/>
          <w:szCs w:val="24"/>
          <w:highlight w:val="none"/>
        </w:rPr>
        <w:t>服务承诺</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（8）企业类似业绩</w:t>
      </w:r>
    </w:p>
    <w:p>
      <w:pPr>
        <w:spacing w:beforeLines="0" w:afterLines="0"/>
        <w:ind w:firstLine="480" w:firstLineChars="200"/>
        <w:rPr>
          <w:rFonts w:hint="default" w:ascii="宋体" w:hAnsi="宋体" w:cs="宋体"/>
          <w:color w:val="auto"/>
          <w:szCs w:val="22"/>
          <w:highlight w:val="none"/>
          <w:lang w:val="zh-CN"/>
        </w:rPr>
      </w:pPr>
      <w:r>
        <w:rPr>
          <w:rFonts w:ascii="宋体" w:hAnsi="宋体" w:cs="宋体"/>
          <w:color w:val="auto"/>
          <w:szCs w:val="22"/>
          <w:highlight w:val="none"/>
          <w:lang w:val="zh-CN"/>
        </w:rPr>
        <w:t>（</w:t>
      </w:r>
      <w:r>
        <w:rPr>
          <w:rFonts w:ascii="宋体" w:hAnsi="宋体" w:cs="宋体"/>
          <w:color w:val="auto"/>
          <w:szCs w:val="22"/>
          <w:highlight w:val="none"/>
        </w:rPr>
        <w:t>9</w:t>
      </w:r>
      <w:r>
        <w:rPr>
          <w:rFonts w:ascii="宋体" w:hAnsi="宋体" w:cs="宋体"/>
          <w:color w:val="auto"/>
          <w:szCs w:val="22"/>
          <w:highlight w:val="none"/>
          <w:lang w:val="zh-CN"/>
        </w:rPr>
        <w:t>）供应商认为可证明企业实力或有必要的其他文件和资料</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3.2磋商报价</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3.2.1 供应商应</w:t>
      </w:r>
      <w:r>
        <w:rPr>
          <w:rFonts w:ascii="宋体" w:hAnsi="宋体" w:cs="宋体"/>
          <w:color w:val="auto"/>
          <w:highlight w:val="none"/>
        </w:rPr>
        <w:t>按第</w:t>
      </w:r>
      <w:r>
        <w:rPr>
          <w:rFonts w:ascii="宋体" w:hAnsi="宋体" w:cs="宋体"/>
          <w:color w:val="auto"/>
          <w:szCs w:val="22"/>
          <w:highlight w:val="none"/>
        </w:rPr>
        <w:t>五章“采购内容及技术要求”的</w:t>
      </w:r>
      <w:r>
        <w:rPr>
          <w:rFonts w:ascii="宋体" w:hAnsi="宋体" w:cs="宋体"/>
          <w:color w:val="auto"/>
          <w:szCs w:val="24"/>
          <w:highlight w:val="none"/>
        </w:rPr>
        <w:t>要求</w:t>
      </w:r>
      <w:r>
        <w:rPr>
          <w:rFonts w:ascii="宋体" w:hAnsi="宋体" w:cs="宋体"/>
          <w:color w:val="auto"/>
          <w:highlight w:val="none"/>
        </w:rPr>
        <w:t>及</w:t>
      </w:r>
      <w:r>
        <w:rPr>
          <w:rFonts w:ascii="宋体" w:hAnsi="宋体" w:cs="宋体"/>
          <w:color w:val="auto"/>
          <w:szCs w:val="24"/>
          <w:highlight w:val="none"/>
        </w:rPr>
        <w:t>第六章“响应文件格式”的要求填写相应报价表格。按规定加盖供应商公章并由</w:t>
      </w:r>
      <w:r>
        <w:rPr>
          <w:rFonts w:ascii="宋体" w:hAnsi="宋体" w:cs="宋体"/>
          <w:color w:val="auto"/>
          <w:szCs w:val="24"/>
          <w:highlight w:val="none"/>
          <w:lang w:val="zh-CN"/>
        </w:rPr>
        <w:t>法定代表人或授权代表签字</w:t>
      </w:r>
      <w:r>
        <w:rPr>
          <w:rFonts w:ascii="宋体" w:hAnsi="宋体" w:cs="宋体"/>
          <w:color w:val="auto"/>
          <w:szCs w:val="24"/>
          <w:highlight w:val="none"/>
        </w:rPr>
        <w:t>。</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（1）所有报价均以人民币报价。</w:t>
      </w:r>
    </w:p>
    <w:p>
      <w:pPr>
        <w:spacing w:beforeLines="0" w:afterLines="0"/>
        <w:ind w:firstLine="465"/>
        <w:rPr>
          <w:rFonts w:hint="default" w:ascii="宋体" w:hAnsi="宋体" w:cs="宋体"/>
          <w:color w:val="auto"/>
          <w:szCs w:val="24"/>
          <w:highlight w:val="none"/>
        </w:rPr>
      </w:pPr>
      <w:r>
        <w:rPr>
          <w:rFonts w:ascii="宋体" w:hAnsi="宋体" w:cs="宋体"/>
          <w:color w:val="auto"/>
          <w:szCs w:val="24"/>
          <w:highlight w:val="none"/>
        </w:rPr>
        <w:t>（2）本次磋商采用二轮（最终）报价法，</w:t>
      </w:r>
      <w:r>
        <w:rPr>
          <w:rFonts w:ascii="宋体" w:hAnsi="宋体" w:cs="宋体"/>
          <w:b/>
          <w:bCs/>
          <w:color w:val="auto"/>
          <w:szCs w:val="24"/>
          <w:highlight w:val="none"/>
        </w:rPr>
        <w:t>第一次磋商报价随磋商响应文件提交。第二次（最终）磋商报价在磋商后提交（线上提交）。最终磋商报价不得高于自身第一轮报价，否则视为废标；各供应商应在磋商后提供（最终）磋商报价，并加盖供应商公章。最终磋商报价表在磋商过程中单独递交，最终磋商报价不公开，不再向任何供应商公布报价情况。</w:t>
      </w:r>
    </w:p>
    <w:p>
      <w:pPr>
        <w:spacing w:beforeLines="0" w:afterLines="0"/>
        <w:ind w:firstLine="465"/>
        <w:rPr>
          <w:rFonts w:hint="default" w:ascii="宋体" w:hAnsi="宋体" w:cs="宋体"/>
          <w:color w:val="auto"/>
          <w:szCs w:val="24"/>
          <w:highlight w:val="none"/>
        </w:rPr>
      </w:pPr>
      <w:r>
        <w:rPr>
          <w:rFonts w:ascii="宋体" w:hAnsi="宋体" w:cs="宋体"/>
          <w:color w:val="auto"/>
          <w:szCs w:val="24"/>
          <w:highlight w:val="none"/>
        </w:rPr>
        <w:t>（3）本项目所发生的一切费用均应包括在总报价中。若有漏报或缺报，视为该项费用已包括在其它项目中。</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3.3磋商有效期</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3.3.1 在供应商须知前附表规定的磋商有效期内，供应商不得要求撤销或修改其响应文件。</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3.4磋商保证金</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3.4.1 磋商保证金缴纳形式、缴纳时间、具体金额和要求详见供应商须知前附表。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3.4.2各供应商须将磋商保证金缴纳凭证扫描件或复印件（加盖公章）放入磋商响应文件指定位置处，否则视为无效响应文件。</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3.4.3在成交通知书发出后五个工作日内退还未成交供应商的保证金，在采购合同签订后五个工作日内退还成交供应商的保证金。</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3.4.4成交供应商有下列情形之一的，不予退还其交纳的磋商保证金，并在项目财政主管部门备案；情节严重的，由财政部门将其列入不良行为纪录名单予以通报，在一至三年内禁止参加政府采购活动：</w:t>
      </w:r>
    </w:p>
    <w:p>
      <w:pPr>
        <w:spacing w:beforeLines="0" w:afterLines="0"/>
        <w:ind w:firstLine="480" w:firstLineChars="200"/>
        <w:rPr>
          <w:rFonts w:hint="default" w:ascii="宋体" w:hAnsi="宋体" w:cs="宋体"/>
          <w:color w:val="auto"/>
          <w:highlight w:val="none"/>
        </w:rPr>
      </w:pPr>
      <w:bookmarkStart w:id="27" w:name="_Toc15466"/>
      <w:bookmarkStart w:id="28" w:name="_Toc5853"/>
      <w:bookmarkStart w:id="29" w:name="_Toc7516"/>
      <w:bookmarkStart w:id="30" w:name="_Toc9668"/>
      <w:bookmarkStart w:id="31" w:name="_Toc28120"/>
      <w:bookmarkStart w:id="32" w:name="_Toc27786"/>
      <w:r>
        <w:rPr>
          <w:rFonts w:ascii="宋体" w:hAnsi="宋体" w:cs="宋体"/>
          <w:color w:val="auto"/>
          <w:highlight w:val="none"/>
        </w:rPr>
        <w:t>（1）供应商在提交响应文件截止时间后撤回响应文件的；</w:t>
      </w:r>
      <w:bookmarkEnd w:id="27"/>
      <w:bookmarkEnd w:id="28"/>
      <w:bookmarkEnd w:id="29"/>
      <w:bookmarkEnd w:id="30"/>
      <w:bookmarkEnd w:id="31"/>
      <w:bookmarkEnd w:id="32"/>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（2）供应商在响应文件中提供虚假材料的；</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（3）除因不可抗力或磋商文件认可的情形以外，成交供应商不与采购人签订合同的；</w:t>
      </w:r>
    </w:p>
    <w:p>
      <w:pPr>
        <w:spacing w:beforeLines="0" w:afterLines="0"/>
        <w:ind w:firstLine="480" w:firstLineChars="200"/>
        <w:rPr>
          <w:rFonts w:hint="default" w:ascii="宋体" w:hAnsi="宋体" w:cs="宋体"/>
          <w:color w:val="auto"/>
          <w:highlight w:val="none"/>
        </w:rPr>
      </w:pPr>
      <w:bookmarkStart w:id="33" w:name="_Toc9998"/>
      <w:bookmarkStart w:id="34" w:name="_Toc22226"/>
      <w:bookmarkStart w:id="35" w:name="_Toc32635"/>
      <w:bookmarkStart w:id="36" w:name="_Toc25679"/>
      <w:bookmarkStart w:id="37" w:name="_Toc11380"/>
      <w:bookmarkStart w:id="38" w:name="_Toc30877"/>
      <w:r>
        <w:rPr>
          <w:rFonts w:ascii="宋体" w:hAnsi="宋体" w:cs="宋体"/>
          <w:color w:val="auto"/>
          <w:highlight w:val="none"/>
        </w:rPr>
        <w:t>（4）供应商与采购人、其他供应商或者采购代理机构恶意串通的；</w:t>
      </w:r>
      <w:bookmarkEnd w:id="33"/>
      <w:bookmarkEnd w:id="34"/>
      <w:bookmarkEnd w:id="35"/>
      <w:bookmarkEnd w:id="36"/>
      <w:bookmarkEnd w:id="37"/>
      <w:bookmarkEnd w:id="38"/>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（5）成交供应商将成交项目转让给他人，或者在磋商响应文件中未说明，且未经采购人同意，将成交项目分包给他人的。</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3.5响应文件的编制</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3.5.1 响应文件应按</w:t>
      </w:r>
      <w:r>
        <w:rPr>
          <w:rFonts w:ascii="宋体" w:hAnsi="宋体" w:cs="宋体"/>
          <w:color w:val="auto"/>
          <w:szCs w:val="24"/>
          <w:highlight w:val="none"/>
        </w:rPr>
        <w:t>第六章</w:t>
      </w:r>
      <w:r>
        <w:rPr>
          <w:rFonts w:ascii="宋体" w:hAnsi="宋体" w:cs="宋体"/>
          <w:color w:val="auto"/>
          <w:highlight w:val="none"/>
        </w:rPr>
        <w:t>“响应文件格式”进行编写，如有必要，可以增加附页，作为响应文件的组成部分。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3.5.2 响应文件应用不褪色的材料书写或打印，并由法定代表人或被授权人按要求签署。若由被授权人签署，则供应商需提交附有法定代表人身份证明的授权委托书，授权委托书应按规定的书面方式出具，并由法定代表人和被授权人签字或盖章，其他要求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3.5.3 响应文件应尽量避免涂改、行间插字或删除。如果出现上述情况，改动之处应加盖单位章或由供应商的法定代表人或其授权的代理人签字确认。</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3.5.4 响应文件份数详见供应商须知前附表。正本和副本的封面上应清楚地标记“正本”或“副本”的字样。当副本和正本不一致时，以正本为准。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3.5.5 响应文件的正本与副本应分别装订成册，并编制目录、且逐页标注连续页码。响应文件不得采用活页夹装订，否则，采购人对由于响应文件装订松散而造成的丢失或其他后果不承担任何责任。装订的其他要求见供应商须知前附表。</w:t>
      </w:r>
    </w:p>
    <w:p>
      <w:pPr>
        <w:spacing w:beforeLines="0" w:afterLines="0"/>
        <w:outlineLvl w:val="2"/>
        <w:rPr>
          <w:rFonts w:hint="default" w:ascii="宋体" w:hAnsi="宋体" w:cs="宋体"/>
          <w:b/>
          <w:color w:val="auto"/>
          <w:szCs w:val="22"/>
          <w:highlight w:val="none"/>
        </w:rPr>
      </w:pPr>
      <w:bookmarkStart w:id="39" w:name="_Toc19246"/>
      <w:bookmarkStart w:id="40" w:name="_Toc28053_WPSOffice_Level2"/>
      <w:r>
        <w:rPr>
          <w:rFonts w:ascii="宋体" w:hAnsi="宋体" w:cs="宋体"/>
          <w:b/>
          <w:color w:val="auto"/>
          <w:szCs w:val="22"/>
          <w:highlight w:val="none"/>
        </w:rPr>
        <w:t>4  磋商响应</w:t>
      </w:r>
      <w:bookmarkEnd w:id="39"/>
      <w:bookmarkEnd w:id="40"/>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4.1响应文件的密封和标识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4.1.1 响应文件的密封和标识：见供应商须知前附表。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4.1.2 响应文件的封套上应写明的其他内容见供应商须知前附表。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4.1.3 未按本章第4.1.1项或第4.1.2项要求密封和加写标记的响应文件，采购人不予受理。</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4.2响应文件的递交</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4.2.1 供应商应在供应商须知前附表规定的递交截止时间前递交响应文件。</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4.2.2 供应商递交响应文件的地点：见供应商须知前附表。</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4.2.3 除供应商须知前附表另有规定外，供应商所递交的响应文件不予退还。</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4.2.4 逾期送达的或者未送达指定地点的响应文件，采购人不予受理。</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4.3响应文件的修改与撤回</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4.3.1 在供应商须知前附表第4.2.1项规定的响应文件递交截止时间前，供应商可以修改或撤回已递交的响应文件，但应以书面形式通知采购人。</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4.3.2 供应商修改或撤回已递交响应文件的书面通知应按要求签字或盖章。</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4.3.3 修改的内容为响应文件的组成部分。修改的响应文件应按照本章第3条、第4条规定进行编制、密封、标记和递交，并标明“修改”字样。</w:t>
      </w:r>
    </w:p>
    <w:p>
      <w:pPr>
        <w:spacing w:beforeLines="0" w:afterLines="0"/>
        <w:outlineLvl w:val="2"/>
        <w:rPr>
          <w:rFonts w:hint="default" w:ascii="宋体" w:hAnsi="宋体" w:cs="宋体"/>
          <w:b/>
          <w:color w:val="auto"/>
          <w:szCs w:val="22"/>
          <w:highlight w:val="none"/>
        </w:rPr>
      </w:pPr>
      <w:bookmarkStart w:id="41" w:name="_Toc28469_WPSOffice_Level2"/>
      <w:bookmarkStart w:id="42" w:name="_Toc14072"/>
      <w:r>
        <w:rPr>
          <w:rFonts w:ascii="宋体" w:hAnsi="宋体" w:cs="宋体"/>
          <w:b/>
          <w:color w:val="auto"/>
          <w:szCs w:val="22"/>
          <w:highlight w:val="none"/>
        </w:rPr>
        <w:t>5  竞争性磋商</w:t>
      </w:r>
      <w:bookmarkEnd w:id="41"/>
      <w:bookmarkEnd w:id="42"/>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5.1磋商时间和地点</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采购人在本章第4.2.1项规定的响应文件递交截止时间（磋商时间）和供应商须知前附表规定的地点对收到的响应文件公开磋商，并邀请供应商的法定代表人或其委托代理人准时参加。</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5.2磋商程序</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color w:val="auto"/>
          <w:highlight w:val="none"/>
        </w:rPr>
        <w:t xml:space="preserve">5.2.1 </w:t>
      </w:r>
      <w:r>
        <w:rPr>
          <w:rFonts w:ascii="宋体" w:hAnsi="宋体" w:cs="宋体"/>
          <w:bCs/>
          <w:color w:val="auto"/>
          <w:szCs w:val="24"/>
          <w:highlight w:val="none"/>
        </w:rPr>
        <w:t>磋商会议</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color w:val="auto"/>
          <w:highlight w:val="none"/>
        </w:rPr>
        <w:t>5.2.1.1</w:t>
      </w:r>
      <w:r>
        <w:rPr>
          <w:rFonts w:ascii="宋体" w:hAnsi="宋体" w:cs="宋体"/>
          <w:bCs/>
          <w:color w:val="auto"/>
          <w:szCs w:val="24"/>
          <w:highlight w:val="none"/>
        </w:rPr>
        <w:t>在磋商文件规定的时间和地点，由采购代理机构组织磋商工作，供应商须委派代表参加，签名报到以证明其出席。</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color w:val="auto"/>
          <w:highlight w:val="none"/>
        </w:rPr>
        <w:t>5.2.1.2</w:t>
      </w:r>
      <w:r>
        <w:rPr>
          <w:rFonts w:ascii="宋体" w:hAnsi="宋体" w:cs="宋体"/>
          <w:bCs/>
          <w:color w:val="auto"/>
          <w:szCs w:val="24"/>
          <w:highlight w:val="none"/>
        </w:rPr>
        <w:t>由供应商或其推荐的代表与采购监督人共同检查响应文件的密封情况，经检查无误后，签字确认。</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color w:val="auto"/>
          <w:highlight w:val="none"/>
        </w:rPr>
        <w:t>5.2.1.3</w:t>
      </w:r>
      <w:r>
        <w:rPr>
          <w:rFonts w:ascii="宋体" w:hAnsi="宋体" w:cs="宋体"/>
          <w:bCs/>
          <w:color w:val="auto"/>
          <w:szCs w:val="24"/>
          <w:highlight w:val="none"/>
        </w:rPr>
        <w:t>采购代理机构工作人员按照顺序，将各供应商首次响应文件的份数、服务期等内容公布，无异议后，由供应商、采购人和监督人签字确认。</w:t>
      </w:r>
    </w:p>
    <w:p>
      <w:pPr>
        <w:spacing w:beforeLines="0" w:afterLines="0"/>
        <w:ind w:firstLine="480" w:firstLineChars="200"/>
        <w:rPr>
          <w:rFonts w:hint="default" w:ascii="宋体" w:hAnsi="宋体" w:cs="宋体"/>
          <w:bCs/>
          <w:color w:val="auto"/>
          <w:szCs w:val="24"/>
          <w:highlight w:val="none"/>
        </w:rPr>
      </w:pPr>
      <w:r>
        <w:rPr>
          <w:rFonts w:ascii="宋体" w:hAnsi="宋体" w:cs="宋体"/>
          <w:color w:val="auto"/>
          <w:highlight w:val="none"/>
        </w:rPr>
        <w:t>5.2.1.4</w:t>
      </w:r>
      <w:r>
        <w:rPr>
          <w:rFonts w:ascii="宋体" w:hAnsi="宋体" w:cs="宋体"/>
          <w:bCs/>
          <w:color w:val="auto"/>
          <w:szCs w:val="24"/>
          <w:highlight w:val="none"/>
        </w:rPr>
        <w:t>磋商过程由采购代理机构指定专人记录。</w:t>
      </w:r>
    </w:p>
    <w:p>
      <w:pPr>
        <w:autoSpaceDE w:val="0"/>
        <w:autoSpaceDN w:val="0"/>
        <w:adjustRightInd w:val="0"/>
        <w:spacing w:beforeLines="0" w:afterLines="0"/>
        <w:ind w:firstLine="480" w:firstLineChars="200"/>
        <w:rPr>
          <w:rFonts w:hint="default" w:ascii="宋体" w:hAnsi="宋体" w:cs="宋体"/>
          <w:color w:val="auto"/>
          <w:highlight w:val="none"/>
        </w:rPr>
      </w:pPr>
      <w:r>
        <w:rPr>
          <w:rFonts w:ascii="宋体" w:hAnsi="宋体" w:cs="宋体"/>
          <w:color w:val="auto"/>
          <w:highlight w:val="none"/>
        </w:rPr>
        <w:t>5.2.2 磋商小组的组建</w:t>
      </w:r>
    </w:p>
    <w:p>
      <w:pPr>
        <w:autoSpaceDE w:val="0"/>
        <w:autoSpaceDN w:val="0"/>
        <w:adjustRightInd w:val="0"/>
        <w:spacing w:beforeLines="0" w:afterLines="0"/>
        <w:ind w:firstLine="480" w:firstLineChars="200"/>
        <w:rPr>
          <w:rFonts w:hint="default" w:ascii="宋体" w:hAnsi="宋体" w:cs="宋体"/>
          <w:color w:val="auto"/>
          <w:highlight w:val="none"/>
        </w:rPr>
      </w:pPr>
      <w:r>
        <w:rPr>
          <w:rFonts w:ascii="宋体" w:hAnsi="宋体" w:cs="宋体"/>
          <w:color w:val="auto"/>
          <w:highlight w:val="none"/>
        </w:rPr>
        <w:t>竞争性磋商小组的人员构成及确定方式详见供应商须知前附表。</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color w:val="auto"/>
          <w:highlight w:val="none"/>
        </w:rPr>
        <w:t xml:space="preserve">5.2.3 </w:t>
      </w:r>
      <w:r>
        <w:rPr>
          <w:rFonts w:ascii="宋体" w:hAnsi="宋体" w:cs="宋体"/>
          <w:bCs/>
          <w:color w:val="auto"/>
          <w:szCs w:val="24"/>
          <w:highlight w:val="none"/>
        </w:rPr>
        <w:t>竞争性磋商评审</w:t>
      </w:r>
    </w:p>
    <w:p>
      <w:pPr>
        <w:autoSpaceDE w:val="0"/>
        <w:autoSpaceDN w:val="0"/>
        <w:adjustRightInd w:val="0"/>
        <w:spacing w:beforeLines="0" w:afterLines="0"/>
        <w:ind w:firstLine="480" w:firstLineChars="200"/>
        <w:rPr>
          <w:rFonts w:hint="default" w:ascii="宋体" w:hAnsi="宋体" w:cs="宋体"/>
          <w:color w:val="auto"/>
          <w:highlight w:val="none"/>
        </w:rPr>
      </w:pPr>
      <w:r>
        <w:rPr>
          <w:rFonts w:ascii="宋体" w:hAnsi="宋体" w:cs="宋体"/>
          <w:color w:val="auto"/>
          <w:highlight w:val="none"/>
        </w:rPr>
        <w:t>磋商小组按照第三章“竞争性磋商评审办法”规定的方法、评审因素、标准和程序对响应文件进行评审。第三章“竞争性磋商评审办法”没有规定的方法、评审因素和标准，不作为磋商依据。</w:t>
      </w:r>
    </w:p>
    <w:p>
      <w:pPr>
        <w:autoSpaceDE w:val="0"/>
        <w:autoSpaceDN w:val="0"/>
        <w:adjustRightInd w:val="0"/>
        <w:spacing w:beforeLines="0" w:afterLines="0"/>
        <w:ind w:firstLine="480" w:firstLineChars="200"/>
        <w:rPr>
          <w:rFonts w:hint="default" w:ascii="宋体" w:hAnsi="宋体" w:cs="宋体"/>
          <w:color w:val="auto"/>
          <w:highlight w:val="none"/>
        </w:rPr>
      </w:pPr>
      <w:r>
        <w:rPr>
          <w:rFonts w:ascii="宋体" w:hAnsi="宋体" w:cs="宋体"/>
          <w:color w:val="auto"/>
          <w:highlight w:val="none"/>
        </w:rPr>
        <w:t>5.2.4磋商评审现场无效响应的情形</w:t>
      </w:r>
    </w:p>
    <w:p>
      <w:pPr>
        <w:autoSpaceDE w:val="0"/>
        <w:autoSpaceDN w:val="0"/>
        <w:adjustRightInd w:val="0"/>
        <w:spacing w:beforeLines="0" w:afterLines="0"/>
        <w:ind w:firstLine="480" w:firstLineChars="200"/>
        <w:rPr>
          <w:rFonts w:hint="default" w:ascii="宋体" w:hAnsi="宋体" w:cs="宋体"/>
          <w:color w:val="auto"/>
          <w:szCs w:val="22"/>
          <w:highlight w:val="none"/>
        </w:rPr>
      </w:pPr>
      <w:bookmarkStart w:id="43" w:name="_Toc32362_WPSOffice_Level2"/>
      <w:r>
        <w:rPr>
          <w:rFonts w:ascii="宋体" w:hAnsi="宋体" w:cs="宋体"/>
          <w:color w:val="auto"/>
          <w:szCs w:val="22"/>
          <w:highlight w:val="none"/>
        </w:rPr>
        <w:t>评审时，响应文件出现以下任一情况，响应文件作无效响应处理：</w:t>
      </w:r>
    </w:p>
    <w:p>
      <w:pPr>
        <w:autoSpaceDE w:val="0"/>
        <w:autoSpaceDN w:val="0"/>
        <w:adjustRightInd w:val="0"/>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（1）磋商报价高于或等于采购预算或最高限价的；</w:t>
      </w:r>
    </w:p>
    <w:p>
      <w:pPr>
        <w:autoSpaceDE w:val="0"/>
        <w:autoSpaceDN w:val="0"/>
        <w:adjustRightInd w:val="0"/>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（2）响应文件未按竞争性磋商文件的要求签署、盖章的；</w:t>
      </w:r>
    </w:p>
    <w:p>
      <w:pPr>
        <w:autoSpaceDE w:val="0"/>
        <w:autoSpaceDN w:val="0"/>
        <w:adjustRightInd w:val="0"/>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（3）供应商不具备竞争性磋商文件中规定的资格要求的；</w:t>
      </w:r>
    </w:p>
    <w:p>
      <w:pPr>
        <w:autoSpaceDE w:val="0"/>
        <w:autoSpaceDN w:val="0"/>
        <w:adjustRightInd w:val="0"/>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（4）响应文件未按照磋商文件规定的格式填写，内容不全或关键字迹模糊、无法辨认。</w:t>
      </w:r>
    </w:p>
    <w:bookmarkEnd w:id="43"/>
    <w:p>
      <w:pPr>
        <w:spacing w:beforeLines="0" w:afterLines="0"/>
        <w:outlineLvl w:val="2"/>
        <w:rPr>
          <w:rFonts w:hint="default" w:ascii="宋体" w:hAnsi="宋体" w:cs="宋体"/>
          <w:b/>
          <w:color w:val="auto"/>
          <w:szCs w:val="22"/>
          <w:highlight w:val="none"/>
        </w:rPr>
      </w:pPr>
      <w:bookmarkStart w:id="44" w:name="_Toc23739"/>
      <w:bookmarkStart w:id="45" w:name="_Toc11066_WPSOffice_Level2"/>
      <w:r>
        <w:rPr>
          <w:rFonts w:ascii="宋体" w:hAnsi="宋体" w:cs="宋体"/>
          <w:b/>
          <w:color w:val="auto"/>
          <w:szCs w:val="22"/>
          <w:highlight w:val="none"/>
        </w:rPr>
        <w:t>6  确定成交单位</w:t>
      </w:r>
      <w:bookmarkEnd w:id="44"/>
    </w:p>
    <w:p>
      <w:pPr>
        <w:spacing w:beforeLines="0" w:afterLines="0"/>
        <w:ind w:firstLine="495"/>
        <w:rPr>
          <w:rFonts w:hint="default" w:ascii="宋体" w:hAnsi="宋体" w:cs="宋体"/>
          <w:bCs/>
          <w:color w:val="auto"/>
          <w:szCs w:val="24"/>
          <w:highlight w:val="none"/>
        </w:rPr>
      </w:pPr>
      <w:r>
        <w:rPr>
          <w:rFonts w:ascii="宋体" w:hAnsi="宋体" w:cs="宋体"/>
          <w:color w:val="auto"/>
          <w:highlight w:val="none"/>
        </w:rPr>
        <w:t>6.1.1</w:t>
      </w:r>
      <w:r>
        <w:rPr>
          <w:rFonts w:ascii="宋体" w:hAnsi="宋体" w:cs="宋体"/>
          <w:bCs/>
          <w:color w:val="auto"/>
          <w:szCs w:val="24"/>
          <w:highlight w:val="none"/>
        </w:rPr>
        <w:t>采购代理机构应在评审结束后两个工作日内，将评审报告送采购人确定成交单位。</w:t>
      </w:r>
    </w:p>
    <w:p>
      <w:pPr>
        <w:spacing w:beforeLines="0" w:afterLines="0"/>
        <w:ind w:firstLine="495"/>
        <w:rPr>
          <w:rFonts w:hint="default" w:ascii="宋体" w:hAnsi="宋体" w:cs="宋体"/>
          <w:bCs/>
          <w:color w:val="auto"/>
          <w:szCs w:val="24"/>
          <w:highlight w:val="none"/>
        </w:rPr>
      </w:pPr>
      <w:r>
        <w:rPr>
          <w:rFonts w:ascii="宋体" w:hAnsi="宋体" w:cs="宋体"/>
          <w:color w:val="auto"/>
          <w:highlight w:val="none"/>
        </w:rPr>
        <w:t>6.1.2</w:t>
      </w:r>
      <w:r>
        <w:rPr>
          <w:rFonts w:ascii="宋体" w:hAnsi="宋体" w:cs="宋体"/>
          <w:bCs/>
          <w:color w:val="auto"/>
          <w:szCs w:val="24"/>
          <w:highlight w:val="none"/>
        </w:rPr>
        <w:t>采购人在收到评审报告后五个工作日内，根据评审报告对评审过程及结果进行严格审核后确定成交供应商。</w:t>
      </w:r>
    </w:p>
    <w:p>
      <w:pPr>
        <w:spacing w:beforeLines="0" w:afterLines="0"/>
        <w:ind w:firstLine="495"/>
        <w:rPr>
          <w:rFonts w:hint="default" w:ascii="宋体" w:hAnsi="宋体" w:cs="宋体"/>
          <w:color w:val="auto"/>
          <w:highlight w:val="none"/>
        </w:rPr>
      </w:pPr>
      <w:r>
        <w:rPr>
          <w:rFonts w:ascii="宋体" w:hAnsi="宋体" w:cs="宋体"/>
          <w:color w:val="auto"/>
          <w:highlight w:val="none"/>
        </w:rPr>
        <w:t>6.1.3采购代理机构在接到采购人的成交复函后，在财政部门指定的政府采购信息发布媒体上公告，并向成交供应商发出“成交通知书”。</w:t>
      </w:r>
    </w:p>
    <w:p>
      <w:pPr>
        <w:spacing w:beforeLines="0" w:afterLines="0"/>
        <w:outlineLvl w:val="2"/>
        <w:rPr>
          <w:rFonts w:hint="default" w:ascii="宋体" w:hAnsi="宋体" w:cs="宋体"/>
          <w:b/>
          <w:color w:val="auto"/>
          <w:szCs w:val="22"/>
          <w:highlight w:val="none"/>
        </w:rPr>
      </w:pPr>
      <w:r>
        <w:rPr>
          <w:rFonts w:ascii="宋体" w:hAnsi="宋体" w:cs="宋体"/>
          <w:b/>
          <w:color w:val="auto"/>
          <w:szCs w:val="22"/>
          <w:highlight w:val="none"/>
        </w:rPr>
        <w:t>7  合同授予</w:t>
      </w:r>
      <w:bookmarkEnd w:id="45"/>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7.1履约担保</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7.1.1成交供应商应当自接到成交通知书后的30日内向采购人提交履约保证金。</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在签订合同前，成交供应商应按供应商须知前附表规定的金额、时限、担保形式向采购人提交履约担保。</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7.1.2 成交供应商不能按本章第7.1.1项要求提交履约担保的，视为放弃成交，其磋商保证金不予退还，给采购人造成的损失超过磋商保证金数额的，成交供应商还应当对超过部分予以赔偿。</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7.1.3履约保证金账户资料另行通知。</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7.2签订合同</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7.2.1按照评审办法规定对磋商报价进行修正后，签订合同时以修正后的最终磋商总报价为准。</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7.2.2磋商文件、响应文件及磋商过程中有关补充文件均作为合同附件，并与合同具有相同的法律效力。</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7.2.3当按照合同履行义务，完成磋商项目。未经采购人同意，成交供应商不得向他人转让成交项目。</w:t>
      </w:r>
    </w:p>
    <w:p>
      <w:pPr>
        <w:spacing w:beforeLines="0" w:afterLines="0"/>
        <w:outlineLvl w:val="2"/>
        <w:rPr>
          <w:rFonts w:hint="default" w:ascii="宋体" w:hAnsi="宋体" w:cs="宋体"/>
          <w:b/>
          <w:color w:val="auto"/>
          <w:szCs w:val="22"/>
          <w:highlight w:val="none"/>
        </w:rPr>
      </w:pPr>
      <w:bookmarkStart w:id="46" w:name="_Toc4465_WPSOffice_Level2"/>
      <w:bookmarkStart w:id="47" w:name="_Toc27067"/>
      <w:r>
        <w:rPr>
          <w:rFonts w:ascii="宋体" w:hAnsi="宋体" w:cs="宋体"/>
          <w:b/>
          <w:color w:val="auto"/>
          <w:szCs w:val="22"/>
          <w:highlight w:val="none"/>
        </w:rPr>
        <w:t>8  重新采购</w:t>
      </w:r>
      <w:bookmarkEnd w:id="46"/>
      <w:bookmarkEnd w:id="47"/>
    </w:p>
    <w:p>
      <w:pPr>
        <w:spacing w:beforeLines="0" w:afterLines="0"/>
        <w:ind w:firstLine="480" w:firstLineChars="200"/>
        <w:rPr>
          <w:rFonts w:hint="default" w:ascii="宋体" w:hAnsi="宋体" w:cs="宋体"/>
          <w:color w:val="auto"/>
          <w:highlight w:val="none"/>
        </w:rPr>
      </w:pPr>
      <w:bookmarkStart w:id="48" w:name="_Toc23251"/>
      <w:bookmarkStart w:id="49" w:name="_Toc25868_WPSOffice_Level2"/>
      <w:r>
        <w:rPr>
          <w:rFonts w:ascii="宋体" w:hAnsi="宋体" w:cs="宋体"/>
          <w:color w:val="auto"/>
          <w:highlight w:val="none"/>
        </w:rPr>
        <w:t>有下列情形之一的，采购人将重新采购：</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w:t>
      </w:r>
      <w:r>
        <w:rPr>
          <w:rFonts w:ascii="宋体" w:hAnsi="宋体" w:cs="宋体"/>
          <w:bCs/>
          <w:color w:val="auto"/>
          <w:kern w:val="0"/>
          <w:szCs w:val="24"/>
          <w:highlight w:val="none"/>
        </w:rPr>
        <w:t>首次响应文件递交截止时间</w:t>
      </w:r>
      <w:r>
        <w:rPr>
          <w:rFonts w:ascii="宋体" w:hAnsi="宋体" w:cs="宋体"/>
          <w:color w:val="auto"/>
          <w:highlight w:val="none"/>
        </w:rPr>
        <w:t>止，供应商少于3个的；</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（2）参与响应文件评审的供应商数量少于3个的；</w:t>
      </w:r>
    </w:p>
    <w:p>
      <w:pPr>
        <w:spacing w:beforeLines="0" w:afterLines="0"/>
        <w:ind w:firstLine="480" w:firstLineChars="200"/>
        <w:rPr>
          <w:rFonts w:hint="default" w:ascii="宋体" w:hAnsi="宋体" w:cs="宋体"/>
          <w:color w:val="auto"/>
          <w:highlight w:val="none"/>
          <w:lang w:val="zh-CN"/>
        </w:rPr>
      </w:pPr>
      <w:r>
        <w:rPr>
          <w:rFonts w:ascii="宋体" w:hAnsi="宋体" w:cs="宋体"/>
          <w:color w:val="auto"/>
          <w:highlight w:val="none"/>
          <w:lang w:val="zh-CN"/>
        </w:rPr>
        <w:t>（</w:t>
      </w:r>
      <w:r>
        <w:rPr>
          <w:rFonts w:ascii="宋体" w:hAnsi="宋体" w:cs="宋体"/>
          <w:color w:val="auto"/>
          <w:highlight w:val="none"/>
        </w:rPr>
        <w:t>3</w:t>
      </w:r>
      <w:r>
        <w:rPr>
          <w:rFonts w:ascii="宋体" w:hAnsi="宋体" w:cs="宋体"/>
          <w:color w:val="auto"/>
          <w:highlight w:val="none"/>
          <w:lang w:val="zh-CN"/>
        </w:rPr>
        <w:t>）经磋商小组评审后有效供应商不足</w:t>
      </w:r>
      <w:r>
        <w:rPr>
          <w:rFonts w:ascii="宋体" w:hAnsi="宋体" w:cs="宋体"/>
          <w:color w:val="auto"/>
          <w:highlight w:val="none"/>
        </w:rPr>
        <w:t>3</w:t>
      </w:r>
      <w:r>
        <w:rPr>
          <w:rFonts w:ascii="宋体" w:hAnsi="宋体" w:cs="宋体"/>
          <w:color w:val="auto"/>
          <w:highlight w:val="none"/>
          <w:lang w:val="zh-CN"/>
        </w:rPr>
        <w:t>个的；</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（4）成交候选供应商均未与采购人签订合同的；</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（5）法律规定的其他情形。</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注：符合《关于政府采购竞争性磋商采购方式管理暂行办法有关问题的补充通知(财库2015)124号》文中“在采购过程中符合要求的供应商（社会资本）只有2家的，竞争性磋商采购活动可以继续进行”规定的情况，可继续磋商活动。</w:t>
      </w:r>
    </w:p>
    <w:p>
      <w:pPr>
        <w:spacing w:beforeLines="0" w:afterLines="0"/>
        <w:outlineLvl w:val="2"/>
        <w:rPr>
          <w:rFonts w:hint="default" w:ascii="宋体" w:hAnsi="宋体" w:cs="宋体"/>
          <w:b/>
          <w:color w:val="auto"/>
          <w:szCs w:val="22"/>
          <w:highlight w:val="none"/>
        </w:rPr>
      </w:pPr>
      <w:r>
        <w:rPr>
          <w:rFonts w:ascii="宋体" w:hAnsi="宋体" w:cs="宋体"/>
          <w:b/>
          <w:color w:val="auto"/>
          <w:szCs w:val="22"/>
          <w:highlight w:val="none"/>
        </w:rPr>
        <w:t>9  纪律和监督</w:t>
      </w:r>
      <w:bookmarkEnd w:id="48"/>
      <w:bookmarkEnd w:id="49"/>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9.1对采购人的纪律要求</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采购人不得泄漏磋商活动中应当保密的情况和资料，不得与供应商串通损害国家利益、社会公共利益或者他人合法权益。</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9.2对供应商的纪律要求</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供应商不得相互串通投标或者与采购人串通投标；不得向采购人或者磋商小组成员行贿谋取中标；不得以他人名义投标或者以其他方式弄虚作假骗取中标；供应商不得以任何方式干扰、影响磋商工作。</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9.3对磋商小组成员的纪律要求</w:t>
      </w:r>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竞争性磋商评审办法”没有规定的评审因素和标准进行磋商。</w:t>
      </w:r>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9.4对与磋商活动有关的工作人员的纪律要求</w:t>
      </w:r>
    </w:p>
    <w:p>
      <w:pPr>
        <w:spacing w:beforeLines="0" w:afterLines="0"/>
        <w:ind w:firstLine="480" w:firstLineChars="200"/>
        <w:rPr>
          <w:rFonts w:hint="default" w:ascii="宋体" w:hAnsi="宋体" w:cs="宋体"/>
          <w:b/>
          <w:color w:val="auto"/>
          <w:szCs w:val="22"/>
          <w:highlight w:val="none"/>
        </w:rPr>
      </w:pPr>
      <w:bookmarkStart w:id="50" w:name="_Toc152042355"/>
      <w:r>
        <w:rPr>
          <w:rFonts w:ascii="宋体" w:hAnsi="宋体" w:cs="宋体"/>
          <w:color w:val="auto"/>
          <w:highlight w:val="none"/>
        </w:rPr>
        <w:t>与磋商活动有关的工作人员不得收受他人的财物或者其他好处，不得向他人透漏对响应文件的评审和比较、成交候选人的推荐情况以及磋商有关的其他情况。在磋商活动中</w:t>
      </w:r>
      <w:r>
        <w:rPr>
          <w:rFonts w:ascii="宋体" w:hAnsi="宋体" w:cs="宋体"/>
          <w:b/>
          <w:color w:val="auto"/>
          <w:szCs w:val="22"/>
          <w:highlight w:val="none"/>
        </w:rPr>
        <w:t>，</w:t>
      </w:r>
      <w:r>
        <w:rPr>
          <w:rFonts w:ascii="宋体" w:hAnsi="宋体" w:cs="宋体"/>
          <w:bCs/>
          <w:color w:val="auto"/>
          <w:szCs w:val="22"/>
          <w:highlight w:val="none"/>
        </w:rPr>
        <w:t>与磋商活动有关的工作人员不得擅离职守，影响磋商程序正常进行。</w:t>
      </w:r>
      <w:bookmarkEnd w:id="50"/>
    </w:p>
    <w:p>
      <w:pPr>
        <w:spacing w:beforeLines="0" w:afterLines="0"/>
        <w:rPr>
          <w:rFonts w:hint="default" w:ascii="宋体" w:hAnsi="宋体" w:cs="宋体"/>
          <w:b/>
          <w:color w:val="auto"/>
          <w:szCs w:val="22"/>
          <w:highlight w:val="none"/>
        </w:rPr>
      </w:pPr>
      <w:r>
        <w:rPr>
          <w:rFonts w:ascii="宋体" w:hAnsi="宋体" w:cs="宋体"/>
          <w:b/>
          <w:color w:val="auto"/>
          <w:szCs w:val="22"/>
          <w:highlight w:val="none"/>
        </w:rPr>
        <w:t>9.5询问、质疑</w:t>
      </w:r>
    </w:p>
    <w:p>
      <w:pPr>
        <w:spacing w:beforeLines="0" w:afterLines="0"/>
        <w:ind w:firstLine="480" w:firstLineChars="200"/>
        <w:rPr>
          <w:rFonts w:hint="default" w:ascii="宋体" w:hAnsi="宋体" w:cs="宋体"/>
          <w:color w:val="auto"/>
          <w:szCs w:val="22"/>
          <w:highlight w:val="none"/>
        </w:rPr>
      </w:pPr>
      <w:bookmarkStart w:id="51" w:name="_Toc28334"/>
      <w:bookmarkStart w:id="52" w:name="_Toc15779"/>
      <w:bookmarkStart w:id="53" w:name="_Toc5310"/>
      <w:bookmarkStart w:id="54" w:name="_Toc13034_WPSOffice_Level2"/>
      <w:r>
        <w:rPr>
          <w:rFonts w:ascii="宋体" w:hAnsi="宋体" w:cs="宋体"/>
          <w:color w:val="auto"/>
          <w:szCs w:val="22"/>
          <w:highlight w:val="none"/>
        </w:rPr>
        <w:t>9.5.1询问</w:t>
      </w:r>
      <w:bookmarkEnd w:id="51"/>
      <w:bookmarkEnd w:id="52"/>
      <w:bookmarkEnd w:id="53"/>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供应商对政府采购活动事项有疑问的，可以向采购人、采购代理机构提出询问。</w:t>
      </w:r>
    </w:p>
    <w:p>
      <w:pPr>
        <w:spacing w:beforeLines="0" w:afterLines="0"/>
        <w:ind w:firstLine="480" w:firstLineChars="200"/>
        <w:rPr>
          <w:rFonts w:hint="default" w:ascii="宋体" w:hAnsi="宋体" w:cs="宋体"/>
          <w:color w:val="auto"/>
          <w:szCs w:val="22"/>
          <w:highlight w:val="none"/>
        </w:rPr>
      </w:pPr>
      <w:bookmarkStart w:id="55" w:name="_Toc15821"/>
      <w:bookmarkStart w:id="56" w:name="_Toc13773"/>
      <w:bookmarkStart w:id="57" w:name="_Toc4878"/>
      <w:r>
        <w:rPr>
          <w:rFonts w:ascii="宋体" w:hAnsi="宋体" w:cs="宋体"/>
          <w:color w:val="auto"/>
          <w:szCs w:val="22"/>
          <w:highlight w:val="none"/>
        </w:rPr>
        <w:t>9.5.2质疑</w:t>
      </w:r>
      <w:bookmarkEnd w:id="55"/>
      <w:bookmarkEnd w:id="56"/>
      <w:bookmarkEnd w:id="57"/>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（1）供应商认为采购文件、采购过程、成交结果使自己的权益受到损害的，可以在知道或者应知其权益受到损害之日起7个工作日内，以书面形式向采购人、采购代理机构提出质疑。</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采购文件可以要求供应商在法定质疑期内一次性提出针对同一采购程序环节的质疑。</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（2）提出质疑的供应商（以下简称质疑供应商）应当是参与所质疑项目采购活动的供应商。</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潜在供应商已依法获取其可质疑的采购文件的，可以对该文件提出质疑。对采购文件提出质疑的，应当在获取采购文件或者采购文件公告期限届满之日起7个工作日内提出。</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（3）供应商提出质疑应当提交质疑函和必要的证明材料。质疑函应当包括下列内容：</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1）供应商的姓名或者名称、地址、邮编、联系人及联系电话；</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2）质疑项目的名称、编号；</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3）具体、明确的质疑事项和与质疑事项相关的请求；</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4）事实依据；</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5）必要的法律依据；</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6）提出质疑的日期。</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供应商为自然人的，应当由本人签字；供应商为法人或者其他组织的，应当由法定代表人、主要负责人，或者其授权代表签字或者盖章，并加盖公章。</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（4）采购人、采购代理机构不得拒收质疑供应商在法定质疑期内发出的质疑函，应当在收到质疑函后7个工作日内作出答复，并以书面形式通知质疑供应商和其他有关供应商。</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（5）供应商对评审过程、成交结果提出质疑的，采购人、采购代理机构可以组织原竞争性磋商小组协助答复质疑。</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（6）质疑答复应当包括下列内容：</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1）质疑供应商的姓名或者名称；</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2）收到质疑函的日期、质疑项目名称及编号；</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3）质疑事项、质疑答复的具体内容、事实依据和法律依据；</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4）告知质疑供应商依法投诉的权利；</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5）质疑答复人名称；</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6）答复质疑的日期。</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质疑答复的内容不得涉及商业秘密。</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（7）采购人、采购代理机构认为供应商质疑不成立，或者成立但未对成交结果构成影响的，继续开展采购活动；认为供应商质疑成立且影响或者可能影响成交结果的，按照下列情况处理：</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1）对采购文件提出的质疑，依法通过澄清或者修改可以继续开展采购活动的，澄清或者修改采购文件后继续开展采购活动；否则应当修改采购文件后重新开展采购活动。</w:t>
      </w:r>
    </w:p>
    <w:p>
      <w:pPr>
        <w:spacing w:beforeLines="0" w:afterLines="0"/>
        <w:ind w:firstLine="480" w:firstLineChars="200"/>
        <w:rPr>
          <w:rFonts w:hint="default" w:ascii="宋体" w:hAnsi="宋体" w:cs="宋体"/>
          <w:color w:val="auto"/>
          <w:szCs w:val="22"/>
          <w:highlight w:val="none"/>
        </w:rPr>
      </w:pPr>
      <w:r>
        <w:rPr>
          <w:rFonts w:ascii="宋体" w:hAnsi="宋体" w:cs="宋体"/>
          <w:color w:val="auto"/>
          <w:szCs w:val="22"/>
          <w:highlight w:val="none"/>
        </w:rPr>
        <w:t>2）对采购过程、成交结果提出的质疑，合格供应商符合法定数量时，可以从合格的成交候选人中另行确定成交供应商的，应当依法另行确定成交供应商；否则应当重新开展采购活动。</w:t>
      </w:r>
    </w:p>
    <w:p>
      <w:pPr>
        <w:spacing w:beforeLines="0" w:afterLines="0"/>
        <w:ind w:firstLine="480" w:firstLineChars="200"/>
        <w:rPr>
          <w:rFonts w:hint="default" w:ascii="宋体" w:hAnsi="宋体" w:cs="宋体"/>
          <w:color w:val="auto"/>
          <w:highlight w:val="none"/>
        </w:rPr>
      </w:pPr>
      <w:r>
        <w:rPr>
          <w:rFonts w:ascii="宋体" w:hAnsi="宋体" w:cs="宋体"/>
          <w:color w:val="auto"/>
          <w:szCs w:val="22"/>
          <w:highlight w:val="none"/>
        </w:rPr>
        <w:t>质疑答复导致成交结果改变的，采购人或者采购代理机构应当将有关情况书面报告本级财政部门。</w:t>
      </w:r>
    </w:p>
    <w:p>
      <w:pPr>
        <w:spacing w:beforeLines="0" w:afterLines="0"/>
        <w:outlineLvl w:val="2"/>
        <w:rPr>
          <w:rFonts w:hint="default" w:ascii="宋体" w:hAnsi="宋体" w:cs="宋体"/>
          <w:b/>
          <w:color w:val="auto"/>
          <w:szCs w:val="22"/>
          <w:highlight w:val="none"/>
        </w:rPr>
      </w:pPr>
      <w:r>
        <w:rPr>
          <w:rFonts w:ascii="宋体" w:hAnsi="宋体" w:cs="宋体"/>
          <w:b/>
          <w:color w:val="auto"/>
          <w:szCs w:val="22"/>
          <w:highlight w:val="none"/>
        </w:rPr>
        <w:t>10  投诉</w:t>
      </w:r>
      <w:bookmarkEnd w:id="54"/>
    </w:p>
    <w:p>
      <w:pPr>
        <w:spacing w:beforeLines="0" w:afterLines="0"/>
        <w:ind w:firstLine="480" w:firstLineChars="200"/>
        <w:rPr>
          <w:rFonts w:hint="default" w:ascii="宋体" w:hAnsi="宋体" w:cs="宋体"/>
          <w:color w:val="auto"/>
          <w:highlight w:val="none"/>
        </w:rPr>
      </w:pPr>
      <w:r>
        <w:rPr>
          <w:rFonts w:ascii="宋体" w:hAnsi="宋体" w:cs="宋体"/>
          <w:color w:val="auto"/>
          <w:highlight w:val="none"/>
        </w:rPr>
        <w:t>10.1参加采购活动的供应商和其他厉害关系人认为本次采购活动违反法律、法规和规章规定的，有权向有关行政监督机构投诉。</w:t>
      </w:r>
    </w:p>
    <w:p>
      <w:pPr>
        <w:widowControl/>
        <w:spacing w:beforeLines="0" w:afterLines="0"/>
        <w:ind w:firstLine="480" w:firstLineChars="200"/>
        <w:rPr>
          <w:rFonts w:hint="default" w:ascii="宋体" w:hAnsi="宋体" w:cs="宋体"/>
          <w:color w:val="auto"/>
          <w:highlight w:val="none"/>
        </w:rPr>
      </w:pPr>
      <w:r>
        <w:rPr>
          <w:rFonts w:ascii="宋体" w:hAnsi="宋体" w:cs="宋体"/>
          <w:color w:val="auto"/>
          <w:highlight w:val="none"/>
        </w:rPr>
        <w:t>10.2质疑人对采购代理机构或采购人的答复不满意，以及采购代理机构或采购人未在规定时间内做出答复的，可以在答复期满后15个工作日内向政府采购监管机构提出投诉。</w:t>
      </w:r>
    </w:p>
    <w:p>
      <w:pPr>
        <w:spacing w:beforeLines="0" w:afterLines="0"/>
        <w:ind w:firstLine="480" w:firstLineChars="200"/>
        <w:jc w:val="left"/>
        <w:rPr>
          <w:rFonts w:hint="default" w:ascii="宋体" w:hAnsi="宋体" w:cs="宋体"/>
          <w:color w:val="auto"/>
          <w:highlight w:val="none"/>
        </w:rPr>
      </w:pPr>
      <w:r>
        <w:rPr>
          <w:rFonts w:ascii="宋体" w:hAnsi="宋体" w:cs="宋体"/>
          <w:color w:val="auto"/>
          <w:highlight w:val="none"/>
        </w:rPr>
        <w:t>10.3磋商响应供应商投诉的事项不得超出已质疑事项的范围。</w:t>
      </w:r>
    </w:p>
    <w:p>
      <w:pPr>
        <w:spacing w:beforeLines="0" w:afterLines="0"/>
        <w:outlineLvl w:val="2"/>
        <w:rPr>
          <w:rFonts w:hint="default" w:ascii="宋体" w:hAnsi="宋体" w:cs="宋体"/>
          <w:b/>
          <w:color w:val="auto"/>
          <w:szCs w:val="22"/>
          <w:highlight w:val="none"/>
        </w:rPr>
      </w:pPr>
      <w:bookmarkStart w:id="58" w:name="_Toc7409_WPSOffice_Level2"/>
      <w:bookmarkStart w:id="59" w:name="_Toc18036"/>
      <w:r>
        <w:rPr>
          <w:rFonts w:ascii="宋体" w:hAnsi="宋体" w:cs="宋体"/>
          <w:b/>
          <w:color w:val="auto"/>
          <w:szCs w:val="22"/>
          <w:highlight w:val="none"/>
        </w:rPr>
        <w:t>11  需要补充的其他内容</w:t>
      </w:r>
      <w:bookmarkEnd w:id="58"/>
      <w:bookmarkEnd w:id="59"/>
    </w:p>
    <w:p>
      <w:pPr>
        <w:spacing w:beforeLines="0" w:afterLines="0"/>
        <w:ind w:firstLine="480" w:firstLineChars="200"/>
        <w:jc w:val="left"/>
        <w:rPr>
          <w:rFonts w:hint="default" w:ascii="宋体" w:hAnsi="宋体" w:cs="宋体"/>
          <w:color w:val="auto"/>
          <w:highlight w:val="none"/>
        </w:rPr>
      </w:pPr>
      <w:r>
        <w:rPr>
          <w:rFonts w:ascii="宋体" w:hAnsi="宋体" w:cs="宋体"/>
          <w:color w:val="auto"/>
          <w:highlight w:val="none"/>
        </w:rPr>
        <w:t>11.1 自购买竞争性磋商文件之日起，供应商应保证其提供的联系方式(电话、传真、电子邮件)一直有效，以保证往来函件(竞争性磋商文件的澄清、修改等)能及时通知供应商，并能及时反馈信息，否则采购人不承担由此引起的一切后果。</w:t>
      </w:r>
    </w:p>
    <w:p>
      <w:pPr>
        <w:spacing w:beforeLines="0" w:afterLines="0"/>
        <w:ind w:firstLine="480" w:firstLineChars="200"/>
        <w:jc w:val="left"/>
        <w:rPr>
          <w:rFonts w:hint="default" w:ascii="宋体" w:hAnsi="宋体" w:cs="宋体"/>
          <w:color w:val="auto"/>
          <w:highlight w:val="none"/>
        </w:rPr>
      </w:pPr>
      <w:r>
        <w:rPr>
          <w:rFonts w:ascii="宋体" w:hAnsi="宋体" w:cs="宋体"/>
          <w:color w:val="auto"/>
          <w:highlight w:val="none"/>
        </w:rPr>
        <w:t>11.2 需要补充的其他内容详见供应商须知前附表。</w:t>
      </w:r>
    </w:p>
    <w:bookmarkEnd w:id="20"/>
    <w:bookmarkEnd w:id="21"/>
    <w:p>
      <w:pPr>
        <w:pStyle w:val="4"/>
        <w:spacing w:before="240" w:after="120"/>
        <w:jc w:val="center"/>
        <w:rPr>
          <w:rFonts w:hint="default" w:hAnsi="宋体" w:cs="宋体"/>
          <w:color w:val="auto"/>
          <w:sz w:val="32"/>
          <w:szCs w:val="32"/>
          <w:highlight w:val="none"/>
        </w:rPr>
      </w:pPr>
      <w:bookmarkStart w:id="60" w:name="_Toc6890_WPSOffice_Level1"/>
      <w:bookmarkStart w:id="61" w:name="_Toc28837"/>
      <w:bookmarkStart w:id="62" w:name="_Toc22307"/>
      <w:bookmarkStart w:id="63" w:name="_Toc5990282"/>
      <w:r>
        <w:rPr>
          <w:rFonts w:hAnsi="宋体" w:cs="宋体"/>
          <w:color w:val="auto"/>
          <w:sz w:val="30"/>
          <w:szCs w:val="30"/>
          <w:highlight w:val="none"/>
        </w:rPr>
        <w:t>第三章  竞争性磋商评审办法</w:t>
      </w:r>
      <w:bookmarkEnd w:id="60"/>
      <w:bookmarkEnd w:id="61"/>
      <w:bookmarkEnd w:id="62"/>
      <w:bookmarkEnd w:id="63"/>
    </w:p>
    <w:p>
      <w:pPr>
        <w:pStyle w:val="4"/>
        <w:numPr>
          <w:ilvl w:val="0"/>
          <w:numId w:val="4"/>
        </w:numPr>
        <w:tabs>
          <w:tab w:val="left" w:pos="479"/>
        </w:tabs>
        <w:snapToGrid w:val="0"/>
        <w:spacing w:beforeLines="0" w:afterLines="0" w:line="360" w:lineRule="auto"/>
        <w:rPr>
          <w:rFonts w:hint="default" w:hAnsi="宋体" w:cs="宋体"/>
          <w:color w:val="auto"/>
          <w:sz w:val="24"/>
          <w:szCs w:val="24"/>
          <w:highlight w:val="none"/>
        </w:rPr>
      </w:pPr>
      <w:bookmarkStart w:id="64" w:name="_Toc50502502"/>
      <w:bookmarkStart w:id="65" w:name="_Toc393927298"/>
      <w:bookmarkStart w:id="66" w:name="_Toc2055_WPSOffice_Level2"/>
      <w:bookmarkStart w:id="67" w:name="_Toc396885599"/>
      <w:bookmarkStart w:id="68" w:name="_Toc5990283"/>
      <w:bookmarkStart w:id="69" w:name="_Toc393923461"/>
      <w:bookmarkStart w:id="70" w:name="_Toc481838657"/>
      <w:bookmarkStart w:id="71" w:name="_Toc50502670"/>
      <w:bookmarkStart w:id="72" w:name="_Toc393923342"/>
      <w:bookmarkStart w:id="73" w:name="_Toc399049502"/>
      <w:bookmarkStart w:id="74" w:name="B_Toc384779019"/>
      <w:bookmarkStart w:id="75" w:name="_Toc50477843"/>
      <w:bookmarkStart w:id="76" w:name="B_Toc384778950"/>
      <w:bookmarkStart w:id="77" w:name="_Toc20605"/>
      <w:bookmarkStart w:id="78" w:name="_Toc395953457"/>
      <w:bookmarkStart w:id="79" w:name="_Toc467040665"/>
      <w:bookmarkStart w:id="80" w:name="_Toc26706"/>
      <w:bookmarkStart w:id="81" w:name="_Toc5804822"/>
      <w:bookmarkStart w:id="82" w:name="_Toc398995851"/>
      <w:bookmarkStart w:id="83" w:name="_Toc393888616"/>
      <w:bookmarkStart w:id="84" w:name="_Toc391437228"/>
      <w:bookmarkStart w:id="85" w:name="_Toc393927113"/>
      <w:bookmarkStart w:id="86" w:name="_Toc3100776"/>
      <w:bookmarkStart w:id="87" w:name="_Toc26357"/>
      <w:bookmarkStart w:id="88" w:name="_Toc51075857"/>
      <w:bookmarkStart w:id="89" w:name="_Toc1922"/>
      <w:r>
        <w:rPr>
          <w:rFonts w:hAnsi="宋体" w:cs="宋体"/>
          <w:color w:val="auto"/>
          <w:sz w:val="24"/>
          <w:szCs w:val="24"/>
          <w:highlight w:val="none"/>
        </w:rPr>
        <w:t>总则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1.1为规范本次采购评审工作，根据《中华人民共和国政府采购法》等有关规定，制订本评审办法。</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1.2评审活动遵循公平、公正、科学、择优的原则。</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1.3评审活动应在严格保密的情况下进行。评审人员必须严格遵守保密规定，不得和供应商串通，不得泄露与评审活动有关的情况，不得索贿受贿，不得参加可能影响公正评审的任何活动。评审期间供应商不得干扰评审工作，不得采用行贿或其他不正当手段影响评审。</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1.4本项目评审采用综合评分法。</w:t>
      </w:r>
    </w:p>
    <w:p>
      <w:pPr>
        <w:pStyle w:val="4"/>
        <w:numPr>
          <w:ilvl w:val="0"/>
          <w:numId w:val="4"/>
        </w:numPr>
        <w:tabs>
          <w:tab w:val="left" w:pos="479"/>
        </w:tabs>
        <w:snapToGrid w:val="0"/>
        <w:spacing w:beforeLines="0" w:afterLines="0" w:line="360" w:lineRule="auto"/>
        <w:rPr>
          <w:rFonts w:hint="default" w:hAnsi="宋体" w:cs="宋体"/>
          <w:color w:val="auto"/>
          <w:sz w:val="24"/>
          <w:szCs w:val="24"/>
          <w:highlight w:val="none"/>
        </w:rPr>
      </w:pPr>
      <w:bookmarkStart w:id="90" w:name="_Toc5990284"/>
      <w:bookmarkStart w:id="91" w:name="_Toc6801"/>
      <w:bookmarkStart w:id="92" w:name="_Toc14249"/>
      <w:bookmarkStart w:id="93" w:name="_Toc5804823"/>
      <w:bookmarkStart w:id="94" w:name="_Toc429"/>
      <w:bookmarkStart w:id="95" w:name="_Toc31236_WPSOffice_Level2"/>
      <w:bookmarkStart w:id="96" w:name="_Toc481838658"/>
      <w:bookmarkStart w:id="97" w:name="_Toc6266"/>
      <w:r>
        <w:rPr>
          <w:rFonts w:hAnsi="宋体" w:cs="宋体"/>
          <w:color w:val="auto"/>
          <w:sz w:val="24"/>
          <w:szCs w:val="24"/>
          <w:highlight w:val="none"/>
        </w:rPr>
        <w:t>评审组织及职责</w:t>
      </w:r>
      <w:bookmarkEnd w:id="90"/>
      <w:bookmarkEnd w:id="91"/>
      <w:bookmarkEnd w:id="92"/>
      <w:bookmarkEnd w:id="93"/>
      <w:bookmarkEnd w:id="94"/>
      <w:bookmarkEnd w:id="95"/>
      <w:bookmarkEnd w:id="96"/>
      <w:bookmarkEnd w:id="97"/>
    </w:p>
    <w:p>
      <w:pPr>
        <w:pStyle w:val="5"/>
        <w:tabs>
          <w:tab w:val="left" w:pos="540"/>
        </w:tabs>
        <w:snapToGrid w:val="0"/>
        <w:spacing w:beforeLines="0" w:afterLines="0"/>
        <w:ind w:left="540" w:hanging="540" w:hangingChars="225"/>
        <w:rPr>
          <w:rFonts w:hAnsi="宋体" w:cs="宋体"/>
          <w:color w:val="auto"/>
          <w:szCs w:val="24"/>
          <w:highlight w:val="none"/>
        </w:rPr>
      </w:pPr>
      <w:bookmarkStart w:id="98" w:name="_Toc7110"/>
      <w:bookmarkStart w:id="99" w:name="_Toc1009"/>
      <w:r>
        <w:rPr>
          <w:rFonts w:hint="eastAsia" w:hAnsi="宋体" w:cs="宋体"/>
          <w:color w:val="auto"/>
          <w:szCs w:val="24"/>
          <w:highlight w:val="none"/>
        </w:rPr>
        <w:t>磋商小组</w:t>
      </w:r>
      <w:bookmarkEnd w:id="98"/>
      <w:bookmarkEnd w:id="99"/>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（1）采购人将依法组建磋商小组，从政府采购专家库中抽取评审专家，磋商小组负责对响应文件进行评审，推荐成交候选供应商。</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2）磋商小组完成评审后，应当提交书面磋商评审报告。磋商评审报告应当包括报价情况、合格的报价情况、磋商方法和标准、评审报价或评分比较、推荐的成交候选供应商及其排列顺序、需要澄清或说明的其他情况等。</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3）磋商评审报告应当由磋商小组全体成员签字。磋商小组成员对磋商评审报告有异议的，应当以书面方式阐明其不同意见和理由；拒绝签字且不阐明其不同意见和理由的，视为同意磋商评审报告，并以附件的形式计入磋商评审报告。磋商小组向采购人提交书面磋商评审报告后，磋商小组即告解散。</w:t>
      </w:r>
    </w:p>
    <w:p>
      <w:pPr>
        <w:pStyle w:val="5"/>
        <w:tabs>
          <w:tab w:val="left" w:pos="540"/>
        </w:tabs>
        <w:snapToGrid w:val="0"/>
        <w:spacing w:beforeLines="0" w:afterLines="0"/>
        <w:ind w:left="540" w:hanging="540" w:hangingChars="225"/>
        <w:rPr>
          <w:rFonts w:hAnsi="宋体" w:cs="宋体"/>
          <w:color w:val="auto"/>
          <w:szCs w:val="24"/>
          <w:highlight w:val="none"/>
        </w:rPr>
      </w:pPr>
      <w:bookmarkStart w:id="100" w:name="_Toc29794"/>
      <w:bookmarkStart w:id="101" w:name="_Toc13546"/>
      <w:r>
        <w:rPr>
          <w:rFonts w:hint="eastAsia" w:hAnsi="宋体" w:cs="宋体"/>
          <w:color w:val="auto"/>
          <w:szCs w:val="24"/>
          <w:highlight w:val="none"/>
        </w:rPr>
        <w:t>磋商小组职责</w:t>
      </w:r>
      <w:bookmarkEnd w:id="100"/>
      <w:bookmarkEnd w:id="101"/>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bCs/>
          <w:color w:val="auto"/>
          <w:szCs w:val="24"/>
          <w:highlight w:val="none"/>
        </w:rPr>
        <w:t>熟悉磋商文件；</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（2）对供应商的资格进行审查，</w:t>
      </w:r>
      <w:r>
        <w:rPr>
          <w:rFonts w:hint="eastAsia" w:ascii="宋体" w:hAnsi="宋体" w:cs="宋体"/>
          <w:bCs/>
          <w:color w:val="auto"/>
          <w:szCs w:val="24"/>
          <w:highlight w:val="none"/>
        </w:rPr>
        <w:t>确定符合资质条件的供应商参加磋商；</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bCs/>
          <w:color w:val="auto"/>
          <w:szCs w:val="24"/>
          <w:highlight w:val="none"/>
        </w:rPr>
        <w:t>审查供应商的响应文件并做出评价；</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（4）</w:t>
      </w:r>
      <w:r>
        <w:rPr>
          <w:rFonts w:hint="eastAsia" w:ascii="宋体" w:hAnsi="宋体" w:cs="宋体"/>
          <w:bCs/>
          <w:color w:val="auto"/>
          <w:szCs w:val="24"/>
          <w:highlight w:val="none"/>
        </w:rPr>
        <w:t>要求供应商解释或者澄清其响应文件；</w:t>
      </w:r>
    </w:p>
    <w:p>
      <w:pPr>
        <w:pStyle w:val="16"/>
        <w:snapToGrid w:val="0"/>
        <w:spacing w:beforeLines="0" w:afterLines="0"/>
        <w:ind w:firstLine="480"/>
        <w:rPr>
          <w:rFonts w:ascii="宋体" w:hAnsi="宋体" w:cs="宋体"/>
          <w:bCs/>
          <w:color w:val="auto"/>
          <w:szCs w:val="24"/>
          <w:highlight w:val="none"/>
        </w:rPr>
      </w:pPr>
      <w:r>
        <w:rPr>
          <w:rFonts w:hint="eastAsia" w:ascii="宋体" w:hAnsi="宋体" w:cs="宋体"/>
          <w:color w:val="auto"/>
          <w:szCs w:val="24"/>
          <w:highlight w:val="none"/>
        </w:rPr>
        <w:t>（5）</w:t>
      </w:r>
      <w:r>
        <w:rPr>
          <w:rFonts w:hint="eastAsia" w:ascii="宋体" w:hAnsi="宋体" w:cs="宋体"/>
          <w:bCs/>
          <w:color w:val="auto"/>
          <w:szCs w:val="24"/>
          <w:highlight w:val="none"/>
        </w:rPr>
        <w:t>编写评审报告；</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（6）</w:t>
      </w:r>
      <w:r>
        <w:rPr>
          <w:rFonts w:hint="eastAsia" w:ascii="宋体" w:hAnsi="宋体" w:cs="宋体"/>
          <w:bCs/>
          <w:color w:val="auto"/>
          <w:szCs w:val="24"/>
          <w:highlight w:val="none"/>
        </w:rPr>
        <w:t>告知采购人或采购代理机构在评审过程中发现供应商违法违规行为。</w:t>
      </w:r>
    </w:p>
    <w:p>
      <w:pPr>
        <w:pStyle w:val="5"/>
        <w:tabs>
          <w:tab w:val="left" w:pos="540"/>
        </w:tabs>
        <w:snapToGrid w:val="0"/>
        <w:spacing w:beforeLines="0" w:afterLines="0"/>
        <w:ind w:left="540" w:hanging="540" w:hangingChars="225"/>
        <w:rPr>
          <w:rFonts w:hAnsi="宋体" w:cs="宋体"/>
          <w:color w:val="auto"/>
          <w:szCs w:val="24"/>
          <w:highlight w:val="none"/>
        </w:rPr>
      </w:pPr>
      <w:bookmarkStart w:id="102" w:name="_Toc21088"/>
      <w:bookmarkStart w:id="103" w:name="_Toc29640"/>
      <w:r>
        <w:rPr>
          <w:rFonts w:hint="eastAsia" w:hAnsi="宋体" w:cs="宋体"/>
          <w:bCs/>
          <w:color w:val="auto"/>
          <w:szCs w:val="24"/>
          <w:highlight w:val="none"/>
        </w:rPr>
        <w:t>磋商小组义务</w:t>
      </w:r>
      <w:bookmarkEnd w:id="102"/>
      <w:bookmarkEnd w:id="103"/>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bCs/>
          <w:color w:val="auto"/>
          <w:szCs w:val="24"/>
          <w:highlight w:val="none"/>
        </w:rPr>
        <w:t>遵纪守法、客观、公正、廉洁地履行职责；</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bCs/>
          <w:color w:val="auto"/>
          <w:szCs w:val="24"/>
          <w:highlight w:val="none"/>
        </w:rPr>
        <w:t>根据磋商文件的规定独立进行评审，对个人的评审意见承担法律责任；</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bCs/>
          <w:color w:val="auto"/>
          <w:szCs w:val="24"/>
          <w:highlight w:val="none"/>
        </w:rPr>
        <w:t>参与评审报告的起草；</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（4）</w:t>
      </w:r>
      <w:r>
        <w:rPr>
          <w:rFonts w:hint="eastAsia" w:ascii="宋体" w:hAnsi="宋体" w:cs="宋体"/>
          <w:bCs/>
          <w:color w:val="auto"/>
          <w:szCs w:val="24"/>
          <w:highlight w:val="none"/>
        </w:rPr>
        <w:t>配合采购人、采购代理机构答复供应商提出的质疑；</w:t>
      </w:r>
    </w:p>
    <w:p>
      <w:pPr>
        <w:pStyle w:val="16"/>
        <w:snapToGrid w:val="0"/>
        <w:spacing w:beforeLines="0" w:afterLines="0"/>
        <w:ind w:firstLine="480"/>
        <w:rPr>
          <w:rFonts w:ascii="宋体" w:hAnsi="宋体" w:cs="宋体"/>
          <w:color w:val="auto"/>
          <w:szCs w:val="24"/>
          <w:highlight w:val="none"/>
        </w:rPr>
      </w:pPr>
      <w:r>
        <w:rPr>
          <w:rFonts w:hint="eastAsia" w:ascii="宋体" w:hAnsi="宋体" w:cs="宋体"/>
          <w:color w:val="auto"/>
          <w:szCs w:val="24"/>
          <w:highlight w:val="none"/>
        </w:rPr>
        <w:t>（5）</w:t>
      </w:r>
      <w:r>
        <w:rPr>
          <w:rFonts w:hint="eastAsia" w:ascii="宋体" w:hAnsi="宋体" w:cs="宋体"/>
          <w:bCs/>
          <w:color w:val="auto"/>
          <w:szCs w:val="24"/>
          <w:highlight w:val="none"/>
        </w:rPr>
        <w:t>配合财政部门的投诉处理和监督检查工作。</w:t>
      </w:r>
    </w:p>
    <w:p>
      <w:pPr>
        <w:pStyle w:val="4"/>
        <w:numPr>
          <w:ilvl w:val="0"/>
          <w:numId w:val="4"/>
        </w:numPr>
        <w:tabs>
          <w:tab w:val="left" w:pos="479"/>
        </w:tabs>
        <w:snapToGrid w:val="0"/>
        <w:spacing w:beforeLines="0" w:afterLines="0" w:line="360" w:lineRule="auto"/>
        <w:rPr>
          <w:rFonts w:hint="default" w:hAnsi="宋体" w:cs="宋体"/>
          <w:color w:val="auto"/>
          <w:sz w:val="24"/>
          <w:szCs w:val="24"/>
          <w:highlight w:val="none"/>
        </w:rPr>
      </w:pPr>
      <w:bookmarkStart w:id="104" w:name="_Toc27838_WPSOffice_Level2"/>
      <w:bookmarkStart w:id="105" w:name="_Toc8211"/>
      <w:bookmarkStart w:id="106" w:name="_Toc7861"/>
      <w:bookmarkStart w:id="107" w:name="_Toc5990285"/>
      <w:bookmarkStart w:id="108" w:name="_Toc29715"/>
      <w:bookmarkStart w:id="109" w:name="_Toc481838659"/>
      <w:bookmarkStart w:id="110" w:name="_Toc16843"/>
      <w:bookmarkStart w:id="111" w:name="_Toc5804824"/>
      <w:r>
        <w:rPr>
          <w:rFonts w:hAnsi="宋体" w:cs="宋体"/>
          <w:color w:val="auto"/>
          <w:sz w:val="24"/>
          <w:szCs w:val="24"/>
          <w:highlight w:val="none"/>
        </w:rPr>
        <w:t>评审程序</w:t>
      </w:r>
      <w:bookmarkEnd w:id="104"/>
      <w:bookmarkEnd w:id="105"/>
      <w:bookmarkEnd w:id="106"/>
      <w:bookmarkEnd w:id="107"/>
      <w:bookmarkEnd w:id="108"/>
      <w:bookmarkEnd w:id="109"/>
      <w:bookmarkEnd w:id="110"/>
      <w:bookmarkEnd w:id="111"/>
    </w:p>
    <w:p>
      <w:pPr>
        <w:pStyle w:val="5"/>
        <w:tabs>
          <w:tab w:val="left" w:pos="540"/>
        </w:tabs>
        <w:snapToGrid w:val="0"/>
        <w:spacing w:beforeLines="0" w:afterLines="0"/>
        <w:ind w:left="540" w:hanging="540" w:hangingChars="225"/>
        <w:rPr>
          <w:rFonts w:hAnsi="宋体" w:cs="宋体"/>
          <w:color w:val="auto"/>
          <w:szCs w:val="24"/>
          <w:highlight w:val="none"/>
        </w:rPr>
      </w:pPr>
      <w:bookmarkStart w:id="112" w:name="_Toc2348"/>
      <w:bookmarkStart w:id="113" w:name="_Toc20823"/>
      <w:r>
        <w:rPr>
          <w:rFonts w:hint="eastAsia" w:hAnsi="宋体" w:cs="宋体"/>
          <w:color w:val="auto"/>
          <w:szCs w:val="24"/>
          <w:highlight w:val="none"/>
        </w:rPr>
        <w:t>评审准备</w:t>
      </w:r>
      <w:bookmarkEnd w:id="112"/>
      <w:bookmarkEnd w:id="113"/>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磋商小组开始评审工作之前，必须首先认真研读磋商文件；采购人应当向磋商小组提供磋商文件、评审办法和评审所需的其他重要信息与数据，协助磋商小组了解和熟悉采购项目的如下内容：</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（1）采购项目的规模、标准和项目特点；</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（2）磋商文件规定的评审办法；</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（3）磋商文件规定的其他与评审有关的内容。</w:t>
      </w:r>
    </w:p>
    <w:p>
      <w:pPr>
        <w:pStyle w:val="5"/>
        <w:tabs>
          <w:tab w:val="left" w:pos="540"/>
        </w:tabs>
        <w:snapToGrid w:val="0"/>
        <w:spacing w:beforeLines="0" w:afterLines="0"/>
        <w:ind w:left="540" w:hanging="540" w:hangingChars="225"/>
        <w:rPr>
          <w:rFonts w:hAnsi="宋体" w:cs="宋体"/>
          <w:color w:val="auto"/>
          <w:szCs w:val="24"/>
          <w:highlight w:val="none"/>
        </w:rPr>
      </w:pPr>
      <w:bookmarkStart w:id="114" w:name="_Toc10682"/>
      <w:bookmarkStart w:id="115" w:name="_Toc31650"/>
      <w:r>
        <w:rPr>
          <w:rFonts w:hint="eastAsia" w:hAnsi="宋体" w:cs="宋体"/>
          <w:color w:val="auto"/>
          <w:szCs w:val="24"/>
          <w:highlight w:val="none"/>
        </w:rPr>
        <w:t>评审程序</w:t>
      </w:r>
      <w:bookmarkEnd w:id="114"/>
      <w:bookmarkEnd w:id="115"/>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（1）磋商小组审阅响应文件；</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（2）响应文件评审；</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（3）磋商小组对响应文件进行详细评审（赋分）；</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（4）磋商开始，按供应商递交响应文件的签到次序与单一供应商进行磋商；</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（5）供应商以书面形式做出最终报价；</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（6）磋商小组对供应商进行比较与评价；</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 xml:space="preserve">（7）推荐拟成交供应商； </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（8）编写磋商评审报告。</w:t>
      </w:r>
    </w:p>
    <w:p>
      <w:pPr>
        <w:pStyle w:val="4"/>
        <w:numPr>
          <w:ilvl w:val="0"/>
          <w:numId w:val="4"/>
        </w:numPr>
        <w:tabs>
          <w:tab w:val="left" w:pos="479"/>
        </w:tabs>
        <w:snapToGrid w:val="0"/>
        <w:spacing w:beforeLines="0" w:afterLines="0" w:line="360" w:lineRule="auto"/>
        <w:rPr>
          <w:rFonts w:hint="default" w:hAnsi="宋体" w:cs="宋体"/>
          <w:color w:val="auto"/>
          <w:sz w:val="24"/>
          <w:szCs w:val="24"/>
          <w:highlight w:val="none"/>
        </w:rPr>
      </w:pPr>
      <w:bookmarkStart w:id="116" w:name="_Toc5804825"/>
      <w:bookmarkStart w:id="117" w:name="_Toc5877"/>
      <w:bookmarkStart w:id="118" w:name="_Toc27178"/>
      <w:bookmarkStart w:id="119" w:name="_Toc7281_WPSOffice_Level2"/>
      <w:bookmarkStart w:id="120" w:name="_Toc29676"/>
      <w:bookmarkStart w:id="121" w:name="_Toc32738"/>
      <w:bookmarkStart w:id="122" w:name="_Toc5990286"/>
      <w:bookmarkStart w:id="123" w:name="_Toc481838660"/>
      <w:bookmarkStart w:id="124" w:name="_Toc222740130"/>
      <w:r>
        <w:rPr>
          <w:rFonts w:hAnsi="宋体" w:cs="宋体"/>
          <w:color w:val="auto"/>
          <w:sz w:val="24"/>
          <w:szCs w:val="24"/>
          <w:highlight w:val="none"/>
        </w:rPr>
        <w:t>响应文件评审</w:t>
      </w:r>
      <w:bookmarkEnd w:id="116"/>
      <w:bookmarkEnd w:id="117"/>
      <w:bookmarkEnd w:id="118"/>
      <w:bookmarkEnd w:id="119"/>
      <w:bookmarkEnd w:id="120"/>
      <w:bookmarkEnd w:id="121"/>
      <w:bookmarkEnd w:id="122"/>
    </w:p>
    <w:p>
      <w:pPr>
        <w:pStyle w:val="4"/>
        <w:snapToGrid w:val="0"/>
        <w:spacing w:beforeLines="0" w:afterLines="0" w:line="360" w:lineRule="auto"/>
        <w:ind w:left="119"/>
        <w:rPr>
          <w:rFonts w:hint="default" w:hAnsi="宋体" w:cs="宋体"/>
          <w:color w:val="auto"/>
          <w:sz w:val="24"/>
          <w:szCs w:val="24"/>
          <w:highlight w:val="none"/>
        </w:rPr>
      </w:pPr>
      <w:bookmarkStart w:id="125" w:name="_Toc5990287"/>
      <w:bookmarkStart w:id="126" w:name="_Toc15070"/>
      <w:bookmarkStart w:id="127" w:name="_Toc5489"/>
      <w:bookmarkStart w:id="128" w:name="_Toc5804826"/>
      <w:bookmarkStart w:id="129" w:name="_Toc28673"/>
      <w:bookmarkStart w:id="130" w:name="_Toc20796"/>
      <w:r>
        <w:rPr>
          <w:rFonts w:hAnsi="宋体" w:cs="宋体"/>
          <w:color w:val="auto"/>
          <w:sz w:val="24"/>
          <w:szCs w:val="24"/>
          <w:highlight w:val="none"/>
        </w:rPr>
        <w:t>4.1资格</w:t>
      </w:r>
      <w:bookmarkEnd w:id="125"/>
      <w:bookmarkEnd w:id="126"/>
      <w:bookmarkEnd w:id="127"/>
      <w:bookmarkEnd w:id="128"/>
      <w:bookmarkEnd w:id="129"/>
      <w:r>
        <w:rPr>
          <w:rFonts w:hAnsi="宋体" w:cs="宋体"/>
          <w:color w:val="auto"/>
          <w:sz w:val="24"/>
          <w:szCs w:val="24"/>
          <w:highlight w:val="none"/>
        </w:rPr>
        <w:t>性审查</w:t>
      </w:r>
      <w:bookmarkEnd w:id="130"/>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磋商小组将依据磋商文件中资格要求，对供应商的资格条件进行评审，判定其是否满足资格审查要求。如果供应商不具备资格、不满足磋商文件规定的资格标准或提供资格证明文件不全，将被视为未实质响应磋商文件。</w:t>
      </w:r>
    </w:p>
    <w:p>
      <w:pPr>
        <w:pStyle w:val="7"/>
        <w:spacing w:before="24" w:after="24"/>
        <w:rPr>
          <w:rFonts w:hint="default" w:ascii="宋体" w:hAnsi="宋体" w:cs="宋体"/>
          <w:color w:val="auto"/>
          <w:szCs w:val="24"/>
          <w:highlight w:val="none"/>
        </w:rPr>
      </w:pPr>
    </w:p>
    <w:p>
      <w:pPr>
        <w:spacing w:before="24" w:after="24"/>
        <w:rPr>
          <w:rFonts w:hint="default"/>
          <w:color w:val="auto"/>
          <w:highlight w:val="none"/>
        </w:rPr>
      </w:pPr>
    </w:p>
    <w:bookmarkEnd w:id="123"/>
    <w:bookmarkEnd w:id="124"/>
    <w:p>
      <w:pPr>
        <w:spacing w:before="24" w:after="24" w:line="560" w:lineRule="exact"/>
        <w:jc w:val="center"/>
        <w:rPr>
          <w:rFonts w:hint="default" w:ascii="宋体" w:hAnsi="宋体" w:cs="宋体"/>
          <w:b/>
          <w:bCs/>
          <w:color w:val="auto"/>
          <w:sz w:val="28"/>
          <w:szCs w:val="28"/>
          <w:highlight w:val="none"/>
        </w:rPr>
      </w:pPr>
      <w:bookmarkStart w:id="131" w:name="_Toc481838661"/>
      <w:bookmarkStart w:id="132" w:name="_Toc222740131"/>
      <w:bookmarkStart w:id="133" w:name="_Toc5804827"/>
      <w:bookmarkStart w:id="134" w:name="_Toc5990288"/>
      <w:bookmarkStart w:id="135" w:name="_Toc10919"/>
      <w:bookmarkStart w:id="136" w:name="_Toc11117"/>
      <w:bookmarkStart w:id="137" w:name="_Toc23863"/>
      <w:r>
        <w:rPr>
          <w:rFonts w:ascii="宋体" w:hAnsi="宋体" w:cs="宋体"/>
          <w:b/>
          <w:bCs/>
          <w:color w:val="auto"/>
          <w:sz w:val="28"/>
          <w:szCs w:val="28"/>
          <w:highlight w:val="none"/>
        </w:rPr>
        <w:t>资格性审查表</w:t>
      </w:r>
    </w:p>
    <w:tbl>
      <w:tblPr>
        <w:tblStyle w:val="46"/>
        <w:tblW w:w="90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6"/>
        <w:gridCol w:w="2250"/>
        <w:gridCol w:w="60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766" w:type="dxa"/>
            <w:tcBorders>
              <w:top w:val="single" w:color="auto" w:sz="12" w:space="0"/>
              <w:bottom w:val="single" w:color="auto" w:sz="2" w:space="0"/>
            </w:tcBorders>
            <w:shd w:val="clear" w:color="auto" w:fill="auto"/>
            <w:vAlign w:val="center"/>
          </w:tcPr>
          <w:p>
            <w:pPr>
              <w:spacing w:before="24" w:after="24"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序号</w:t>
            </w:r>
          </w:p>
        </w:tc>
        <w:tc>
          <w:tcPr>
            <w:tcW w:w="2250" w:type="dxa"/>
            <w:tcBorders>
              <w:top w:val="single" w:color="auto" w:sz="12" w:space="0"/>
              <w:bottom w:val="single" w:color="auto" w:sz="2" w:space="0"/>
            </w:tcBorders>
            <w:shd w:val="clear" w:color="auto" w:fill="auto"/>
            <w:vAlign w:val="center"/>
          </w:tcPr>
          <w:p>
            <w:pPr>
              <w:spacing w:before="24" w:after="24"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资格项</w:t>
            </w:r>
          </w:p>
        </w:tc>
        <w:tc>
          <w:tcPr>
            <w:tcW w:w="6022" w:type="dxa"/>
            <w:tcBorders>
              <w:top w:val="single" w:color="auto" w:sz="12" w:space="0"/>
              <w:bottom w:val="single" w:color="auto" w:sz="2" w:space="0"/>
            </w:tcBorders>
            <w:shd w:val="clear" w:color="auto" w:fill="auto"/>
            <w:vAlign w:val="center"/>
          </w:tcPr>
          <w:p>
            <w:pPr>
              <w:spacing w:before="24" w:after="24"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66"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1</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有效的主体资格证明</w:t>
            </w:r>
          </w:p>
        </w:tc>
        <w:tc>
          <w:tcPr>
            <w:tcW w:w="6022" w:type="dxa"/>
            <w:vAlign w:val="center"/>
          </w:tcPr>
          <w:p>
            <w:pPr>
              <w:spacing w:before="24" w:after="24" w:line="360" w:lineRule="exact"/>
              <w:rPr>
                <w:rFonts w:hint="default" w:ascii="宋体" w:hAnsi="宋体" w:cs="宋体"/>
                <w:color w:val="auto"/>
                <w:szCs w:val="24"/>
                <w:highlight w:val="none"/>
              </w:rPr>
            </w:pPr>
            <w:r>
              <w:rPr>
                <w:rFonts w:ascii="宋体" w:hAnsi="宋体" w:cs="宋体"/>
                <w:color w:val="auto"/>
                <w:szCs w:val="24"/>
                <w:highlight w:val="none"/>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84" w:hRule="atLeast"/>
          <w:jc w:val="center"/>
        </w:trPr>
        <w:tc>
          <w:tcPr>
            <w:tcW w:w="766"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2</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财务状况</w:t>
            </w:r>
          </w:p>
        </w:tc>
        <w:tc>
          <w:tcPr>
            <w:tcW w:w="6022" w:type="dxa"/>
            <w:vAlign w:val="center"/>
          </w:tcPr>
          <w:p>
            <w:pPr>
              <w:spacing w:before="24" w:after="24" w:line="360" w:lineRule="exact"/>
              <w:rPr>
                <w:rFonts w:hint="default" w:ascii="宋体" w:hAnsi="宋体" w:cs="宋体"/>
                <w:color w:val="auto"/>
                <w:szCs w:val="24"/>
                <w:highlight w:val="none"/>
              </w:rPr>
            </w:pPr>
            <w:r>
              <w:rPr>
                <w:rFonts w:ascii="宋体" w:hAnsi="宋体" w:cs="宋体"/>
                <w:color w:val="auto"/>
                <w:highlight w:val="none"/>
              </w:rPr>
              <w:t>提供具有审计资格的第三方出具的2022年度财务审计报告（成立时间至提交响应文件截止时间不足一年的可提供从成立至今的财务报表），或其基本存款账户开户银行出具的磋商时间前6个月内的资信证明</w:t>
            </w:r>
            <w:r>
              <w:rPr>
                <w:rFonts w:ascii="宋体" w:hAnsi="宋体" w:cs="宋体"/>
                <w:bCs/>
                <w:color w:val="auto"/>
                <w:kern w:val="0"/>
                <w:szCs w:val="24"/>
                <w:highlight w:val="none"/>
              </w:rPr>
              <w:t>及基本存款账户开户许可证（基本存款账户信息证明）</w:t>
            </w:r>
            <w:r>
              <w:rPr>
                <w:rFonts w:ascii="宋体" w:hAnsi="宋体" w:cs="宋体"/>
                <w:color w:val="auto"/>
                <w:highlight w:val="none"/>
              </w:rPr>
              <w:t>；其他组织和自然人提供银行出具的资信证明或财务报表</w:t>
            </w:r>
            <w:r>
              <w:rPr>
                <w:rFonts w:ascii="宋体" w:hAnsi="宋体" w:cs="宋体"/>
                <w:color w:val="auto"/>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0" w:hRule="atLeast"/>
          <w:jc w:val="center"/>
        </w:trPr>
        <w:tc>
          <w:tcPr>
            <w:tcW w:w="766"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3</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税收缴纳证明</w:t>
            </w:r>
          </w:p>
        </w:tc>
        <w:tc>
          <w:tcPr>
            <w:tcW w:w="6022" w:type="dxa"/>
            <w:vAlign w:val="center"/>
          </w:tcPr>
          <w:p>
            <w:pPr>
              <w:spacing w:before="24" w:after="24" w:line="360" w:lineRule="exact"/>
              <w:rPr>
                <w:rFonts w:hint="default" w:ascii="宋体" w:hAnsi="宋体" w:cs="宋体"/>
                <w:color w:val="auto"/>
                <w:highlight w:val="none"/>
              </w:rPr>
            </w:pPr>
            <w:r>
              <w:rPr>
                <w:rFonts w:ascii="宋体" w:hAnsi="宋体" w:cs="宋体"/>
                <w:color w:val="auto"/>
                <w:highlight w:val="none"/>
              </w:rPr>
              <w:t>提供截止磋商时间前6个月内任意1个月的纳税证明或税务机关开具的完税证明，依法免税的单位应提供相关证明材料；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0" w:hRule="atLeast"/>
          <w:jc w:val="center"/>
        </w:trPr>
        <w:tc>
          <w:tcPr>
            <w:tcW w:w="766"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4</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社会保障资金缴纳证明</w:t>
            </w:r>
          </w:p>
        </w:tc>
        <w:tc>
          <w:tcPr>
            <w:tcW w:w="6022" w:type="dxa"/>
            <w:vAlign w:val="center"/>
          </w:tcPr>
          <w:p>
            <w:pPr>
              <w:spacing w:before="24" w:after="24" w:line="360" w:lineRule="exact"/>
              <w:rPr>
                <w:rFonts w:hint="default" w:ascii="宋体" w:hAnsi="宋体" w:cs="宋体"/>
                <w:color w:val="auto"/>
                <w:highlight w:val="none"/>
              </w:rPr>
            </w:pPr>
            <w:r>
              <w:rPr>
                <w:rFonts w:ascii="宋体" w:hAnsi="宋体" w:cs="宋体"/>
                <w:color w:val="auto"/>
                <w:highlight w:val="none"/>
              </w:rPr>
              <w:t>提供截止磋商时间前6个月内任意1个月的社会保障资金缴存单据或社保机构开具的社会保险参保缴费证明；依法不需要缴纳社会保障资金的供应商应提供相关证明材料；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4" w:hRule="atLeast"/>
          <w:jc w:val="center"/>
        </w:trPr>
        <w:tc>
          <w:tcPr>
            <w:tcW w:w="766"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5</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履行合同所必需的设备和专业技术能力</w:t>
            </w:r>
          </w:p>
        </w:tc>
        <w:tc>
          <w:tcPr>
            <w:tcW w:w="6022" w:type="dxa"/>
            <w:vAlign w:val="center"/>
          </w:tcPr>
          <w:p>
            <w:pPr>
              <w:spacing w:before="24" w:after="24" w:line="360" w:lineRule="exact"/>
              <w:rPr>
                <w:rFonts w:hint="default" w:ascii="宋体" w:hAnsi="宋体" w:cs="宋体"/>
                <w:color w:val="auto"/>
                <w:highlight w:val="none"/>
              </w:rPr>
            </w:pPr>
            <w:r>
              <w:rPr>
                <w:rFonts w:ascii="宋体" w:hAnsi="宋体" w:cs="宋体"/>
                <w:color w:val="auto"/>
                <w:highlight w:val="none"/>
              </w:rPr>
              <w:t>提供具有履行本合同所必需的设备和专业技术能力的书面声明；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766"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6</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前三年无重大违法记录声明</w:t>
            </w:r>
          </w:p>
        </w:tc>
        <w:tc>
          <w:tcPr>
            <w:tcW w:w="6022" w:type="dxa"/>
            <w:vAlign w:val="center"/>
          </w:tcPr>
          <w:p>
            <w:pPr>
              <w:spacing w:before="24" w:after="24" w:line="360" w:lineRule="exact"/>
              <w:rPr>
                <w:rFonts w:hint="default" w:ascii="宋体" w:hAnsi="宋体" w:cs="宋体"/>
                <w:color w:val="auto"/>
                <w:highlight w:val="none"/>
              </w:rPr>
            </w:pPr>
            <w:r>
              <w:rPr>
                <w:rFonts w:ascii="宋体" w:hAnsi="宋体" w:cs="宋体"/>
                <w:color w:val="auto"/>
                <w:highlight w:val="none"/>
              </w:rPr>
              <w:t>提供参加政府采购活动前3年内在经营活动中没有重大违法记录的书面声明。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766" w:type="dxa"/>
            <w:vAlign w:val="center"/>
          </w:tcPr>
          <w:p>
            <w:pPr>
              <w:spacing w:before="24" w:after="24" w:line="24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7</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信用查询</w:t>
            </w:r>
          </w:p>
        </w:tc>
        <w:tc>
          <w:tcPr>
            <w:tcW w:w="6022" w:type="dxa"/>
            <w:vAlign w:val="center"/>
          </w:tcPr>
          <w:p>
            <w:pPr>
              <w:spacing w:before="24" w:after="24" w:line="360" w:lineRule="exact"/>
              <w:rPr>
                <w:rFonts w:hint="default" w:ascii="宋体" w:hAnsi="宋体" w:cs="宋体"/>
                <w:color w:val="auto"/>
                <w:highlight w:val="none"/>
              </w:rPr>
            </w:pPr>
            <w:r>
              <w:rPr>
                <w:rFonts w:ascii="宋体" w:hAnsi="宋体" w:cs="宋体"/>
                <w:color w:val="auto"/>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4" w:hRule="atLeast"/>
          <w:jc w:val="center"/>
        </w:trPr>
        <w:tc>
          <w:tcPr>
            <w:tcW w:w="766" w:type="dxa"/>
            <w:vAlign w:val="center"/>
          </w:tcPr>
          <w:p>
            <w:pPr>
              <w:spacing w:before="24" w:after="24" w:line="24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8</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授权书被授权人身份证</w:t>
            </w:r>
          </w:p>
        </w:tc>
        <w:tc>
          <w:tcPr>
            <w:tcW w:w="6022" w:type="dxa"/>
            <w:vAlign w:val="center"/>
          </w:tcPr>
          <w:p>
            <w:pPr>
              <w:spacing w:before="24" w:after="24" w:line="240" w:lineRule="auto"/>
              <w:rPr>
                <w:rFonts w:hint="default" w:ascii="宋体" w:hAnsi="宋体" w:cs="宋体"/>
                <w:color w:val="auto"/>
                <w:szCs w:val="24"/>
                <w:highlight w:val="none"/>
              </w:rPr>
            </w:pPr>
            <w:r>
              <w:rPr>
                <w:rFonts w:ascii="宋体" w:hAnsi="宋体" w:cs="宋体"/>
                <w:bCs/>
                <w:color w:val="auto"/>
                <w:kern w:val="0"/>
                <w:szCs w:val="24"/>
                <w:highlight w:val="none"/>
              </w:rPr>
              <w:t>非法定代表人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参加投标的，须提供法定代表人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授权书（附法定代表人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、被授权人身份证复印件）；法定代表人</w:t>
            </w:r>
            <w:r>
              <w:rPr>
                <w:rFonts w:hint="eastAsia" w:ascii="宋体" w:hAnsi="宋体" w:cs="宋体"/>
                <w:bCs/>
                <w:color w:val="auto"/>
                <w:kern w:val="0"/>
                <w:szCs w:val="24"/>
                <w:highlight w:val="none"/>
                <w:lang w:val="en-US" w:eastAsia="zh-Hans"/>
              </w:rPr>
              <w:t>或负责人</w:t>
            </w:r>
            <w:r>
              <w:rPr>
                <w:rFonts w:ascii="宋体" w:hAnsi="宋体" w:cs="宋体"/>
                <w:bCs/>
                <w:color w:val="auto"/>
                <w:kern w:val="0"/>
                <w:szCs w:val="24"/>
                <w:highlight w:val="none"/>
              </w:rPr>
              <w:t>直接参加投标的，须提供法定代表人身份证明（附法定代表人身份证复印件）</w:t>
            </w:r>
            <w:r>
              <w:rPr>
                <w:rFonts w:ascii="宋体" w:hAnsi="宋体" w:cs="宋体"/>
                <w:color w:val="auto"/>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766" w:type="dxa"/>
            <w:vAlign w:val="center"/>
          </w:tcPr>
          <w:p>
            <w:pPr>
              <w:spacing w:before="24" w:after="24" w:line="24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9</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供应商控股管理关系</w:t>
            </w:r>
          </w:p>
        </w:tc>
        <w:tc>
          <w:tcPr>
            <w:tcW w:w="6022" w:type="dxa"/>
            <w:vAlign w:val="center"/>
          </w:tcPr>
          <w:p>
            <w:pPr>
              <w:spacing w:before="24" w:after="24" w:line="240" w:lineRule="auto"/>
              <w:rPr>
                <w:rFonts w:hint="default" w:ascii="宋体" w:hAnsi="宋体" w:cs="宋体"/>
                <w:color w:val="auto"/>
                <w:szCs w:val="24"/>
                <w:highlight w:val="none"/>
              </w:rPr>
            </w:pPr>
            <w:r>
              <w:rPr>
                <w:rFonts w:ascii="宋体" w:hAnsi="宋体" w:cs="宋体"/>
                <w:bCs/>
                <w:color w:val="auto"/>
                <w:kern w:val="0"/>
                <w:szCs w:val="24"/>
                <w:highlight w:val="none"/>
              </w:rPr>
              <w:t>单位负责人为同一人或者存在直接控股、管理关系的不同供应商，不得参加同一合同项下的政府采购活动。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766" w:type="dxa"/>
            <w:vAlign w:val="center"/>
          </w:tcPr>
          <w:p>
            <w:pPr>
              <w:spacing w:before="24" w:after="24" w:line="240" w:lineRule="auto"/>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10</w:t>
            </w:r>
          </w:p>
        </w:tc>
        <w:tc>
          <w:tcPr>
            <w:tcW w:w="2250" w:type="dxa"/>
            <w:vAlign w:val="center"/>
          </w:tcPr>
          <w:p>
            <w:pPr>
              <w:spacing w:before="24" w:after="24" w:line="240" w:lineRule="auto"/>
              <w:jc w:val="center"/>
              <w:rPr>
                <w:rFonts w:hint="default" w:ascii="宋体" w:hAnsi="宋体" w:cs="宋体"/>
                <w:color w:val="auto"/>
                <w:szCs w:val="24"/>
                <w:highlight w:val="none"/>
              </w:rPr>
            </w:pPr>
            <w:r>
              <w:rPr>
                <w:rFonts w:ascii="宋体" w:hAnsi="宋体" w:cs="宋体"/>
                <w:color w:val="auto"/>
                <w:szCs w:val="24"/>
                <w:highlight w:val="none"/>
              </w:rPr>
              <w:t>联合体磋商</w:t>
            </w:r>
          </w:p>
        </w:tc>
        <w:tc>
          <w:tcPr>
            <w:tcW w:w="6022" w:type="dxa"/>
            <w:vAlign w:val="center"/>
          </w:tcPr>
          <w:p>
            <w:pPr>
              <w:spacing w:before="24" w:after="24" w:line="240" w:lineRule="auto"/>
              <w:rPr>
                <w:rFonts w:hint="default" w:ascii="宋体" w:hAnsi="宋体" w:cs="宋体"/>
                <w:color w:val="auto"/>
                <w:szCs w:val="24"/>
                <w:highlight w:val="none"/>
              </w:rPr>
            </w:pPr>
            <w:r>
              <w:rPr>
                <w:rFonts w:ascii="宋体" w:hAnsi="宋体" w:cs="宋体"/>
                <w:color w:val="auto"/>
                <w:szCs w:val="24"/>
                <w:highlight w:val="none"/>
              </w:rPr>
              <w:t>提供非联合体磋商书面声明。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766" w:type="dxa"/>
            <w:vAlign w:val="center"/>
          </w:tcPr>
          <w:p>
            <w:pPr>
              <w:spacing w:before="24" w:after="24" w:line="240" w:lineRule="auto"/>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11</w:t>
            </w:r>
          </w:p>
        </w:tc>
        <w:tc>
          <w:tcPr>
            <w:tcW w:w="2250" w:type="dxa"/>
            <w:vAlign w:val="center"/>
          </w:tcPr>
          <w:p>
            <w:pPr>
              <w:snapToGrid w:val="0"/>
              <w:spacing w:beforeLines="0" w:afterLines="0" w:line="240" w:lineRule="auto"/>
              <w:jc w:val="center"/>
              <w:rPr>
                <w:rFonts w:hint="default" w:ascii="宋体" w:hAnsi="宋体" w:cs="宋体"/>
                <w:bCs/>
                <w:color w:val="auto"/>
                <w:kern w:val="0"/>
                <w:szCs w:val="24"/>
                <w:highlight w:val="none"/>
              </w:rPr>
            </w:pPr>
            <w:r>
              <w:rPr>
                <w:rFonts w:ascii="宋体" w:hAnsi="宋体" w:cs="宋体"/>
                <w:bCs/>
                <w:color w:val="auto"/>
                <w:kern w:val="0"/>
                <w:szCs w:val="24"/>
                <w:highlight w:val="none"/>
              </w:rPr>
              <w:t>供应商不得存在的其他情形</w:t>
            </w:r>
          </w:p>
        </w:tc>
        <w:tc>
          <w:tcPr>
            <w:tcW w:w="6022" w:type="dxa"/>
            <w:vAlign w:val="center"/>
          </w:tcPr>
          <w:p>
            <w:pPr>
              <w:spacing w:before="24" w:after="24" w:line="240" w:lineRule="auto"/>
              <w:rPr>
                <w:rFonts w:hint="default" w:ascii="宋体" w:hAnsi="宋体" w:cs="宋体"/>
                <w:color w:val="auto"/>
                <w:szCs w:val="24"/>
                <w:highlight w:val="none"/>
              </w:rPr>
            </w:pPr>
            <w:r>
              <w:rPr>
                <w:rFonts w:ascii="宋体" w:hAnsi="宋体" w:cs="宋体"/>
                <w:bCs/>
                <w:color w:val="auto"/>
                <w:kern w:val="0"/>
                <w:szCs w:val="24"/>
                <w:highlight w:val="none"/>
              </w:rPr>
              <w:t>符合第二章“供应商须知”第1.4.3项规定。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766" w:type="dxa"/>
            <w:vAlign w:val="center"/>
          </w:tcPr>
          <w:p>
            <w:pPr>
              <w:spacing w:before="24" w:after="24" w:line="240" w:lineRule="auto"/>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12</w:t>
            </w:r>
          </w:p>
        </w:tc>
        <w:tc>
          <w:tcPr>
            <w:tcW w:w="2250" w:type="dxa"/>
            <w:vAlign w:val="center"/>
          </w:tcPr>
          <w:p>
            <w:pPr>
              <w:spacing w:before="24" w:after="24" w:line="240" w:lineRule="auto"/>
              <w:jc w:val="center"/>
              <w:rPr>
                <w:rFonts w:hint="eastAsia" w:ascii="宋体" w:hAnsi="宋体" w:eastAsia="宋体" w:cs="宋体"/>
                <w:bCs/>
                <w:color w:val="auto"/>
                <w:kern w:val="0"/>
                <w:szCs w:val="24"/>
                <w:highlight w:val="none"/>
                <w:lang w:val="en-US" w:eastAsia="zh-CN"/>
              </w:rPr>
            </w:pPr>
            <w:r>
              <w:rPr>
                <w:rFonts w:hint="eastAsia" w:ascii="宋体" w:hAnsi="宋体" w:eastAsia="宋体" w:cs="宋体"/>
                <w:bCs/>
                <w:color w:val="auto"/>
                <w:kern w:val="0"/>
                <w:szCs w:val="24"/>
                <w:highlight w:val="none"/>
                <w:lang w:val="en-US" w:eastAsia="zh-CN"/>
              </w:rPr>
              <w:t>磋商保证金</w:t>
            </w:r>
          </w:p>
        </w:tc>
        <w:tc>
          <w:tcPr>
            <w:tcW w:w="6022" w:type="dxa"/>
            <w:vAlign w:val="center"/>
          </w:tcPr>
          <w:p>
            <w:pPr>
              <w:spacing w:before="24" w:after="24" w:line="240" w:lineRule="auto"/>
              <w:jc w:val="both"/>
              <w:rPr>
                <w:rFonts w:ascii="宋体" w:hAnsi="宋体" w:eastAsia="宋体" w:cs="宋体"/>
                <w:bCs/>
                <w:color w:val="auto"/>
                <w:kern w:val="0"/>
                <w:szCs w:val="24"/>
                <w:highlight w:val="none"/>
              </w:rPr>
            </w:pPr>
            <w:r>
              <w:rPr>
                <w:rFonts w:hint="eastAsia" w:ascii="宋体" w:hAnsi="宋体" w:eastAsia="宋体" w:cs="宋体"/>
                <w:bCs/>
                <w:color w:val="auto"/>
                <w:kern w:val="0"/>
                <w:szCs w:val="24"/>
                <w:highlight w:val="none"/>
                <w:lang w:val="en-US" w:eastAsia="zh-CN"/>
              </w:rPr>
              <w:t>提供磋商保证金缴纳凭证或银行保函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038" w:type="dxa"/>
            <w:gridSpan w:val="3"/>
            <w:vAlign w:val="center"/>
          </w:tcPr>
          <w:p>
            <w:pPr>
              <w:spacing w:before="24" w:after="24" w:line="240" w:lineRule="auto"/>
              <w:rPr>
                <w:rFonts w:ascii="宋体" w:hAnsi="宋体" w:eastAsia="宋体" w:cs="宋体"/>
                <w:color w:val="auto"/>
                <w:szCs w:val="24"/>
                <w:highlight w:val="none"/>
              </w:rPr>
            </w:pPr>
            <w:r>
              <w:rPr>
                <w:rFonts w:ascii="宋体" w:hAnsi="宋体" w:eastAsia="宋体" w:cs="宋体"/>
                <w:color w:val="auto"/>
                <w:szCs w:val="24"/>
                <w:highlight w:val="none"/>
              </w:rPr>
              <w:t>注意事项：</w:t>
            </w:r>
          </w:p>
          <w:p>
            <w:pPr>
              <w:spacing w:before="24" w:after="24" w:line="24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1.以上为必备条件，缺一项或某项达不到要求，按无效文件处理。资格评审时以磋商响应文件中所附证明材料为准。</w:t>
            </w:r>
          </w:p>
          <w:p>
            <w:pPr>
              <w:spacing w:before="24" w:after="24" w:line="240" w:lineRule="auto"/>
              <w:rPr>
                <w:rFonts w:hint="default" w:eastAsia="宋体"/>
                <w:highlight w:val="none"/>
                <w:lang w:val="en-US" w:eastAsia="zh-CN"/>
              </w:rPr>
            </w:pPr>
            <w:r>
              <w:rPr>
                <w:rFonts w:hint="eastAsia" w:ascii="宋体" w:hAnsi="宋体" w:eastAsia="宋体" w:cs="宋体"/>
                <w:color w:val="auto"/>
                <w:szCs w:val="24"/>
                <w:highlight w:val="none"/>
                <w:lang w:val="en-US" w:eastAsia="zh-CN"/>
              </w:rPr>
              <w:t>2</w:t>
            </w:r>
            <w:r>
              <w:rPr>
                <w:rFonts w:ascii="宋体" w:hAnsi="宋体" w:eastAsia="宋体" w:cs="宋体"/>
                <w:color w:val="auto"/>
                <w:szCs w:val="24"/>
                <w:highlight w:val="none"/>
              </w:rPr>
              <w:t>．事业单位参与磋商时，可不提供财务状况报告、社会保障资金和税收缴纳证明；依法免税或不需要缴纳社会保障资金的供应商，应提供相应证明文件，证明其依法免税或不需要缴纳社会保障资金；自然人（仅限中国公民）参与磋商时，只须提供身份证复印件。</w:t>
            </w:r>
          </w:p>
        </w:tc>
      </w:tr>
    </w:tbl>
    <w:p>
      <w:pPr>
        <w:pStyle w:val="4"/>
        <w:snapToGrid w:val="0"/>
        <w:spacing w:beforeLines="0" w:afterLines="0" w:line="360" w:lineRule="auto"/>
        <w:rPr>
          <w:rFonts w:hint="default" w:hAnsi="宋体" w:cs="宋体"/>
          <w:color w:val="auto"/>
          <w:sz w:val="24"/>
          <w:szCs w:val="24"/>
          <w:highlight w:val="none"/>
        </w:rPr>
      </w:pPr>
      <w:bookmarkStart w:id="138" w:name="_Toc1842"/>
    </w:p>
    <w:p>
      <w:pPr>
        <w:pStyle w:val="4"/>
        <w:snapToGrid w:val="0"/>
        <w:spacing w:beforeLines="0" w:afterLines="0" w:line="360" w:lineRule="auto"/>
        <w:rPr>
          <w:rFonts w:hint="default" w:hAnsi="宋体" w:cs="宋体"/>
          <w:color w:val="auto"/>
          <w:sz w:val="24"/>
          <w:szCs w:val="24"/>
          <w:highlight w:val="none"/>
        </w:rPr>
      </w:pPr>
      <w:r>
        <w:rPr>
          <w:rFonts w:hAnsi="宋体" w:cs="宋体"/>
          <w:color w:val="auto"/>
          <w:sz w:val="24"/>
          <w:szCs w:val="24"/>
          <w:highlight w:val="none"/>
        </w:rPr>
        <w:t>4.2</w:t>
      </w:r>
      <w:bookmarkEnd w:id="131"/>
      <w:bookmarkEnd w:id="132"/>
      <w:r>
        <w:rPr>
          <w:rFonts w:hAnsi="宋体" w:cs="宋体"/>
          <w:color w:val="auto"/>
          <w:sz w:val="24"/>
          <w:szCs w:val="24"/>
          <w:highlight w:val="none"/>
        </w:rPr>
        <w:t>符合性</w:t>
      </w:r>
      <w:bookmarkEnd w:id="133"/>
      <w:bookmarkEnd w:id="134"/>
      <w:bookmarkEnd w:id="135"/>
      <w:bookmarkEnd w:id="136"/>
      <w:bookmarkEnd w:id="137"/>
      <w:r>
        <w:rPr>
          <w:rFonts w:hAnsi="宋体" w:cs="宋体"/>
          <w:color w:val="auto"/>
          <w:sz w:val="24"/>
          <w:szCs w:val="24"/>
          <w:highlight w:val="none"/>
        </w:rPr>
        <w:t>审查</w:t>
      </w:r>
      <w:bookmarkEnd w:id="138"/>
    </w:p>
    <w:p>
      <w:pPr>
        <w:spacing w:beforeLines="0" w:afterLines="0"/>
        <w:ind w:firstLine="480" w:firstLineChars="200"/>
        <w:rPr>
          <w:rFonts w:hint="default" w:ascii="宋体" w:hAnsi="宋体" w:cs="宋体"/>
          <w:color w:val="auto"/>
          <w:szCs w:val="24"/>
          <w:highlight w:val="none"/>
        </w:rPr>
      </w:pPr>
      <w:bookmarkStart w:id="139" w:name="_Toc222740132"/>
      <w:bookmarkStart w:id="140" w:name="_Toc5804828"/>
      <w:bookmarkStart w:id="141" w:name="_Toc8112"/>
      <w:bookmarkStart w:id="142" w:name="_Toc1326"/>
      <w:bookmarkStart w:id="143" w:name="_Toc5990289"/>
      <w:bookmarkStart w:id="144" w:name="_Toc23767"/>
      <w:bookmarkStart w:id="145" w:name="_Toc481838662"/>
      <w:r>
        <w:rPr>
          <w:rFonts w:ascii="宋体" w:hAnsi="宋体" w:cs="宋体"/>
          <w:color w:val="auto"/>
          <w:szCs w:val="24"/>
          <w:highlight w:val="none"/>
        </w:rPr>
        <w:t>供应商资格性审查通过后，磋商小组对符合资格的供应商的响应文件进行符合性审查，以确定其是否满足磋商文件的实质性要求。</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对于响应文件中含义不明确、同类问题表述不一致或者有明显文字和计算错误的内容，磋商小组会应当以书面形式要求供应商作出必要的澄清、说明或者补正。</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供应商的澄清、说明或者补正应当采用书面形式，并加盖公章，或者由法定代表人或其授权的代表签字。供应商的澄清、说明或者补正不得超出响应文件的范围或者改变响应文件的实质性内容。</w:t>
      </w:r>
    </w:p>
    <w:p>
      <w:pPr>
        <w:spacing w:before="24" w:after="24"/>
        <w:jc w:val="center"/>
        <w:rPr>
          <w:rFonts w:hint="default" w:ascii="宋体" w:hAnsi="宋体" w:cs="宋体"/>
          <w:b/>
          <w:bCs/>
          <w:color w:val="auto"/>
          <w:sz w:val="28"/>
          <w:szCs w:val="28"/>
          <w:highlight w:val="none"/>
        </w:rPr>
      </w:pPr>
      <w:r>
        <w:rPr>
          <w:rFonts w:ascii="宋体" w:hAnsi="宋体" w:cs="宋体"/>
          <w:b/>
          <w:bCs/>
          <w:color w:val="auto"/>
          <w:sz w:val="28"/>
          <w:szCs w:val="28"/>
          <w:highlight w:val="none"/>
        </w:rPr>
        <w:t>符合性审查表</w:t>
      </w:r>
    </w:p>
    <w:tbl>
      <w:tblPr>
        <w:tblStyle w:val="46"/>
        <w:tblW w:w="9076"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3"/>
        <w:gridCol w:w="2199"/>
        <w:gridCol w:w="60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9" w:hRule="atLeast"/>
        </w:trPr>
        <w:tc>
          <w:tcPr>
            <w:tcW w:w="803" w:type="dxa"/>
            <w:tcBorders>
              <w:top w:val="single" w:color="auto" w:sz="12" w:space="0"/>
              <w:bottom w:val="single" w:color="auto" w:sz="2" w:space="0"/>
            </w:tcBorders>
            <w:shd w:val="clear" w:color="auto" w:fill="auto"/>
            <w:vAlign w:val="center"/>
          </w:tcPr>
          <w:p>
            <w:pPr>
              <w:spacing w:beforeLines="0" w:afterLines="0"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序号</w:t>
            </w:r>
          </w:p>
        </w:tc>
        <w:tc>
          <w:tcPr>
            <w:tcW w:w="2199" w:type="dxa"/>
            <w:tcBorders>
              <w:top w:val="single" w:color="auto" w:sz="12" w:space="0"/>
              <w:bottom w:val="single" w:color="auto" w:sz="2" w:space="0"/>
            </w:tcBorders>
            <w:shd w:val="clear" w:color="auto" w:fill="auto"/>
            <w:vAlign w:val="center"/>
          </w:tcPr>
          <w:p>
            <w:pPr>
              <w:spacing w:beforeLines="0" w:afterLines="0"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符合性审查项</w:t>
            </w:r>
          </w:p>
        </w:tc>
        <w:tc>
          <w:tcPr>
            <w:tcW w:w="6074" w:type="dxa"/>
            <w:tcBorders>
              <w:top w:val="single" w:color="auto" w:sz="12" w:space="0"/>
              <w:bottom w:val="single" w:color="auto" w:sz="2" w:space="0"/>
            </w:tcBorders>
            <w:shd w:val="clear" w:color="auto" w:fill="auto"/>
            <w:vAlign w:val="center"/>
          </w:tcPr>
          <w:p>
            <w:pPr>
              <w:spacing w:beforeLines="0" w:afterLines="0" w:line="240" w:lineRule="auto"/>
              <w:jc w:val="center"/>
              <w:rPr>
                <w:rFonts w:hint="default" w:ascii="宋体" w:hAnsi="宋体" w:cs="宋体"/>
                <w:b/>
                <w:bCs/>
                <w:color w:val="auto"/>
                <w:szCs w:val="24"/>
                <w:highlight w:val="none"/>
              </w:rPr>
            </w:pPr>
            <w:r>
              <w:rPr>
                <w:rFonts w:ascii="宋体" w:hAnsi="宋体" w:cs="宋体"/>
                <w:b/>
                <w:bCs/>
                <w:color w:val="auto"/>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803" w:type="dxa"/>
            <w:tcBorders>
              <w:top w:val="single" w:color="auto" w:sz="2" w:space="0"/>
            </w:tcBorders>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1</w:t>
            </w:r>
          </w:p>
        </w:tc>
        <w:tc>
          <w:tcPr>
            <w:tcW w:w="2199" w:type="dxa"/>
            <w:tcBorders>
              <w:top w:val="single" w:color="auto" w:sz="2" w:space="0"/>
            </w:tcBorders>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与项目的一致性</w:t>
            </w:r>
          </w:p>
        </w:tc>
        <w:tc>
          <w:tcPr>
            <w:tcW w:w="6074" w:type="dxa"/>
            <w:tcBorders>
              <w:top w:val="single" w:color="auto" w:sz="2" w:space="0"/>
            </w:tcBorders>
            <w:vAlign w:val="center"/>
          </w:tcPr>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至少以下三处的项目名称、项目编号与本项目完全一致：</w:t>
            </w:r>
          </w:p>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（1）响应文件封面</w:t>
            </w:r>
          </w:p>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（2）</w:t>
            </w:r>
            <w:r>
              <w:rPr>
                <w:rFonts w:ascii="宋体" w:hAnsi="宋体" w:cs="宋体"/>
                <w:color w:val="auto"/>
                <w:szCs w:val="22"/>
                <w:highlight w:val="none"/>
              </w:rPr>
              <w:t>磋商</w:t>
            </w:r>
            <w:r>
              <w:rPr>
                <w:rFonts w:ascii="宋体" w:hAnsi="宋体" w:cs="宋体"/>
                <w:color w:val="auto"/>
                <w:szCs w:val="22"/>
                <w:highlight w:val="none"/>
                <w:lang w:val="zh-CN"/>
              </w:rPr>
              <w:t>响应函</w:t>
            </w:r>
          </w:p>
          <w:p>
            <w:pPr>
              <w:spacing w:beforeLines="0" w:afterLines="0" w:line="240" w:lineRule="auto"/>
              <w:jc w:val="left"/>
              <w:rPr>
                <w:rFonts w:hint="default" w:ascii="宋体" w:hAnsi="宋体" w:cs="宋体"/>
                <w:color w:val="auto"/>
                <w:szCs w:val="24"/>
                <w:highlight w:val="none"/>
              </w:rPr>
            </w:pPr>
            <w:r>
              <w:rPr>
                <w:rFonts w:ascii="宋体" w:hAnsi="宋体" w:cs="宋体"/>
                <w:bCs/>
                <w:color w:val="auto"/>
                <w:szCs w:val="24"/>
                <w:highlight w:val="none"/>
              </w:rPr>
              <w:t>（3）法定代表人委托授权书\身份证明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2</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响应文件组成</w:t>
            </w:r>
          </w:p>
        </w:tc>
        <w:tc>
          <w:tcPr>
            <w:tcW w:w="6074" w:type="dxa"/>
            <w:vAlign w:val="center"/>
          </w:tcPr>
          <w:p>
            <w:pPr>
              <w:spacing w:beforeLines="0" w:afterLines="0" w:line="240" w:lineRule="auto"/>
              <w:jc w:val="left"/>
              <w:rPr>
                <w:rFonts w:hint="default" w:ascii="宋体" w:hAnsi="宋体" w:cs="宋体"/>
                <w:color w:val="auto"/>
                <w:szCs w:val="24"/>
                <w:highlight w:val="none"/>
              </w:rPr>
            </w:pPr>
            <w:r>
              <w:rPr>
                <w:rFonts w:ascii="宋体" w:hAnsi="宋体" w:cs="宋体"/>
                <w:color w:val="auto"/>
                <w:szCs w:val="24"/>
                <w:highlight w:val="none"/>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3</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签章</w:t>
            </w:r>
          </w:p>
        </w:tc>
        <w:tc>
          <w:tcPr>
            <w:tcW w:w="6074" w:type="dxa"/>
            <w:vAlign w:val="center"/>
          </w:tcPr>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签章均符合磋商文件要求，且无遗漏。</w:t>
            </w:r>
          </w:p>
          <w:p>
            <w:pPr>
              <w:spacing w:beforeLines="0" w:afterLines="0" w:line="240" w:lineRule="auto"/>
              <w:jc w:val="left"/>
              <w:rPr>
                <w:rFonts w:hint="default" w:ascii="宋体" w:hAnsi="宋体" w:cs="宋体"/>
                <w:color w:val="auto"/>
                <w:szCs w:val="24"/>
                <w:highlight w:val="none"/>
              </w:rPr>
            </w:pPr>
            <w:r>
              <w:rPr>
                <w:rFonts w:ascii="宋体" w:hAnsi="宋体" w:cs="宋体"/>
                <w:b/>
                <w:color w:val="auto"/>
                <w:szCs w:val="24"/>
                <w:highlight w:val="none"/>
              </w:rPr>
              <w:t>备注：凡要求法定代表人签字或盖章之处，非法人单位负责人可参照执行。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4</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语言和计量单位</w:t>
            </w:r>
          </w:p>
        </w:tc>
        <w:tc>
          <w:tcPr>
            <w:tcW w:w="6074" w:type="dxa"/>
            <w:vAlign w:val="center"/>
          </w:tcPr>
          <w:p>
            <w:pPr>
              <w:spacing w:beforeLines="0" w:afterLines="0" w:line="240" w:lineRule="auto"/>
              <w:jc w:val="left"/>
              <w:rPr>
                <w:rFonts w:hint="default" w:ascii="宋体" w:hAnsi="宋体" w:cs="宋体"/>
                <w:color w:val="auto"/>
                <w:szCs w:val="24"/>
                <w:highlight w:val="none"/>
              </w:rPr>
            </w:pPr>
            <w:r>
              <w:rPr>
                <w:rFonts w:ascii="宋体" w:hAnsi="宋体" w:cs="宋体"/>
                <w:color w:val="auto"/>
                <w:szCs w:val="24"/>
                <w:highlight w:val="none"/>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5</w:t>
            </w:r>
          </w:p>
        </w:tc>
        <w:tc>
          <w:tcPr>
            <w:tcW w:w="2199" w:type="dxa"/>
            <w:vAlign w:val="center"/>
          </w:tcPr>
          <w:p>
            <w:pPr>
              <w:tabs>
                <w:tab w:val="left" w:pos="0"/>
              </w:tabs>
              <w:adjustRightInd w:val="0"/>
              <w:snapToGrid w:val="0"/>
              <w:spacing w:beforeLines="0" w:afterLines="0" w:line="240" w:lineRule="auto"/>
              <w:jc w:val="center"/>
              <w:rPr>
                <w:rFonts w:hint="default" w:ascii="宋体" w:hAnsi="宋体" w:cs="宋体"/>
                <w:bCs/>
                <w:color w:val="auto"/>
                <w:sz w:val="21"/>
                <w:szCs w:val="21"/>
                <w:highlight w:val="none"/>
              </w:rPr>
            </w:pPr>
            <w:r>
              <w:rPr>
                <w:rFonts w:ascii="宋体" w:hAnsi="宋体" w:cs="宋体"/>
                <w:bCs/>
                <w:color w:val="auto"/>
                <w:szCs w:val="24"/>
                <w:highlight w:val="none"/>
              </w:rPr>
              <w:t>服务期</w:t>
            </w:r>
          </w:p>
        </w:tc>
        <w:tc>
          <w:tcPr>
            <w:tcW w:w="6074" w:type="dxa"/>
            <w:vAlign w:val="center"/>
          </w:tcPr>
          <w:p>
            <w:pPr>
              <w:tabs>
                <w:tab w:val="left" w:pos="0"/>
              </w:tabs>
              <w:adjustRightInd w:val="0"/>
              <w:snapToGrid w:val="0"/>
              <w:spacing w:beforeLines="0" w:afterLines="0" w:line="240" w:lineRule="auto"/>
              <w:jc w:val="left"/>
              <w:rPr>
                <w:rFonts w:hint="default" w:ascii="宋体" w:hAnsi="宋体" w:cs="宋体"/>
                <w:bCs/>
                <w:color w:val="auto"/>
                <w:sz w:val="21"/>
                <w:szCs w:val="21"/>
                <w:highlight w:val="none"/>
              </w:rPr>
            </w:pPr>
            <w:r>
              <w:rPr>
                <w:rFonts w:ascii="宋体" w:hAnsi="宋体" w:cs="宋体"/>
                <w:color w:val="auto"/>
                <w:szCs w:val="24"/>
                <w:highlight w:val="none"/>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6</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响应文件有效期</w:t>
            </w:r>
          </w:p>
        </w:tc>
        <w:tc>
          <w:tcPr>
            <w:tcW w:w="6074" w:type="dxa"/>
            <w:vAlign w:val="center"/>
          </w:tcPr>
          <w:p>
            <w:pPr>
              <w:spacing w:beforeLines="0" w:afterLines="0" w:line="240" w:lineRule="auto"/>
              <w:jc w:val="left"/>
              <w:rPr>
                <w:rFonts w:hint="default" w:ascii="宋体" w:hAnsi="宋体" w:cs="宋体"/>
                <w:color w:val="auto"/>
                <w:szCs w:val="24"/>
                <w:highlight w:val="none"/>
              </w:rPr>
            </w:pPr>
            <w:r>
              <w:rPr>
                <w:rFonts w:ascii="宋体" w:hAnsi="宋体" w:cs="宋体"/>
                <w:color w:val="auto"/>
                <w:szCs w:val="24"/>
                <w:highlight w:val="none"/>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7</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磋商报价</w:t>
            </w:r>
          </w:p>
        </w:tc>
        <w:tc>
          <w:tcPr>
            <w:tcW w:w="6074" w:type="dxa"/>
            <w:vAlign w:val="center"/>
          </w:tcPr>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同时满足以下条款：</w:t>
            </w:r>
          </w:p>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（1）货币单位符合磋商文件要求</w:t>
            </w:r>
          </w:p>
          <w:p>
            <w:pPr>
              <w:spacing w:beforeLines="0" w:afterLines="0" w:line="240" w:lineRule="auto"/>
              <w:jc w:val="left"/>
              <w:rPr>
                <w:rFonts w:hint="default" w:ascii="宋体" w:hAnsi="宋体" w:cs="宋体"/>
                <w:bCs/>
                <w:color w:val="auto"/>
                <w:szCs w:val="24"/>
                <w:highlight w:val="none"/>
              </w:rPr>
            </w:pPr>
            <w:r>
              <w:rPr>
                <w:rFonts w:ascii="宋体" w:hAnsi="宋体" w:cs="宋体"/>
                <w:bCs/>
                <w:color w:val="auto"/>
                <w:szCs w:val="24"/>
                <w:highlight w:val="none"/>
              </w:rPr>
              <w:t>（2）报价符合唯一性要求</w:t>
            </w:r>
          </w:p>
          <w:p>
            <w:pPr>
              <w:spacing w:beforeLines="0" w:afterLines="0" w:line="240" w:lineRule="auto"/>
              <w:jc w:val="left"/>
              <w:rPr>
                <w:rFonts w:hint="default" w:ascii="宋体" w:hAnsi="宋体" w:cs="宋体"/>
                <w:color w:val="auto"/>
                <w:szCs w:val="24"/>
                <w:highlight w:val="none"/>
              </w:rPr>
            </w:pPr>
            <w:r>
              <w:rPr>
                <w:rFonts w:ascii="宋体" w:hAnsi="宋体" w:cs="宋体"/>
                <w:bCs/>
                <w:color w:val="auto"/>
                <w:szCs w:val="24"/>
                <w:highlight w:val="none"/>
              </w:rPr>
              <w:t>（3）不得高于最高限价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8</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合同条款响应</w:t>
            </w:r>
          </w:p>
        </w:tc>
        <w:tc>
          <w:tcPr>
            <w:tcW w:w="6074" w:type="dxa"/>
            <w:vAlign w:val="center"/>
          </w:tcPr>
          <w:p>
            <w:pPr>
              <w:spacing w:beforeLines="0" w:afterLines="0" w:line="240" w:lineRule="auto"/>
              <w:jc w:val="left"/>
              <w:rPr>
                <w:rFonts w:hint="default" w:ascii="宋体" w:hAnsi="宋体" w:cs="宋体"/>
                <w:color w:val="auto"/>
                <w:szCs w:val="24"/>
                <w:highlight w:val="none"/>
              </w:rPr>
            </w:pPr>
            <w:r>
              <w:rPr>
                <w:rFonts w:ascii="宋体" w:hAnsi="宋体" w:cs="宋体"/>
                <w:color w:val="auto"/>
                <w:szCs w:val="24"/>
                <w:highlight w:val="none"/>
              </w:rPr>
              <w:t>完全理解并响应磋商文件合同条款的要求，且未含有采购人不能接受的附加条件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803"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color w:val="auto"/>
                <w:szCs w:val="24"/>
                <w:highlight w:val="none"/>
              </w:rPr>
              <w:t>9</w:t>
            </w:r>
          </w:p>
        </w:tc>
        <w:tc>
          <w:tcPr>
            <w:tcW w:w="2199" w:type="dxa"/>
            <w:vAlign w:val="center"/>
          </w:tcPr>
          <w:p>
            <w:pPr>
              <w:spacing w:beforeLines="0" w:afterLines="0" w:line="240" w:lineRule="auto"/>
              <w:jc w:val="center"/>
              <w:rPr>
                <w:rFonts w:hint="default" w:ascii="宋体" w:hAnsi="宋体" w:cs="宋体"/>
                <w:color w:val="auto"/>
                <w:szCs w:val="24"/>
                <w:highlight w:val="none"/>
              </w:rPr>
            </w:pPr>
            <w:r>
              <w:rPr>
                <w:rFonts w:ascii="宋体" w:hAnsi="宋体" w:cs="宋体"/>
                <w:bCs/>
                <w:color w:val="auto"/>
                <w:szCs w:val="24"/>
                <w:highlight w:val="none"/>
              </w:rPr>
              <w:t>其他</w:t>
            </w:r>
          </w:p>
        </w:tc>
        <w:tc>
          <w:tcPr>
            <w:tcW w:w="6074" w:type="dxa"/>
            <w:vAlign w:val="center"/>
          </w:tcPr>
          <w:p>
            <w:pPr>
              <w:spacing w:beforeLines="0" w:afterLines="0" w:line="240" w:lineRule="auto"/>
              <w:jc w:val="left"/>
              <w:rPr>
                <w:rFonts w:hint="default" w:ascii="宋体" w:hAnsi="宋体" w:cs="宋体"/>
                <w:color w:val="auto"/>
                <w:szCs w:val="24"/>
                <w:highlight w:val="none"/>
              </w:rPr>
            </w:pPr>
            <w:r>
              <w:rPr>
                <w:rFonts w:ascii="宋体" w:hAnsi="宋体" w:cs="宋体"/>
                <w:color w:val="auto"/>
                <w:szCs w:val="24"/>
                <w:highlight w:val="none"/>
              </w:rPr>
              <w:t>完全理解并接受法律法规和磋商文件对供应商合法经营的各类规约和责任义务要求，没有出现法律法规或磋商文件规定的其他无效情形。</w:t>
            </w:r>
          </w:p>
        </w:tc>
      </w:tr>
    </w:tbl>
    <w:p>
      <w:pPr>
        <w:pStyle w:val="4"/>
        <w:snapToGrid w:val="0"/>
        <w:spacing w:beforeLines="0" w:afterLines="0" w:line="360" w:lineRule="auto"/>
        <w:rPr>
          <w:rFonts w:hint="default" w:hAnsi="宋体" w:cs="宋体"/>
          <w:color w:val="auto"/>
          <w:sz w:val="24"/>
          <w:szCs w:val="24"/>
          <w:highlight w:val="none"/>
        </w:rPr>
      </w:pPr>
      <w:bookmarkStart w:id="146" w:name="_Toc23113"/>
      <w:r>
        <w:rPr>
          <w:rFonts w:hAnsi="宋体" w:cs="宋体"/>
          <w:color w:val="auto"/>
          <w:sz w:val="24"/>
          <w:szCs w:val="24"/>
          <w:highlight w:val="none"/>
        </w:rPr>
        <w:t>4.3详细评审</w:t>
      </w:r>
      <w:bookmarkEnd w:id="139"/>
      <w:bookmarkEnd w:id="140"/>
      <w:bookmarkEnd w:id="141"/>
      <w:bookmarkEnd w:id="142"/>
      <w:bookmarkEnd w:id="143"/>
      <w:bookmarkEnd w:id="144"/>
      <w:bookmarkEnd w:id="145"/>
      <w:bookmarkEnd w:id="146"/>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（1）磋商小组对通过资格性审查、符合性审查的响应文件进行详细赋分评审，满分100分；</w:t>
      </w:r>
    </w:p>
    <w:p>
      <w:pPr>
        <w:pStyle w:val="128"/>
        <w:spacing w:line="360" w:lineRule="auto"/>
        <w:ind w:firstLine="480" w:firstLineChars="200"/>
        <w:rPr>
          <w:color w:val="auto"/>
          <w:highlight w:val="none"/>
        </w:rPr>
      </w:pPr>
      <w:r>
        <w:rPr>
          <w:rFonts w:hint="eastAsia"/>
          <w:color w:val="auto"/>
          <w:highlight w:val="none"/>
        </w:rPr>
        <w:t>（2）磋商小组根据磋商文件规定的评审程序、评审方法和评审标准对响应文件进行独立打分，计算出的平均得分为各供应商的得分。</w:t>
      </w:r>
    </w:p>
    <w:p>
      <w:pPr>
        <w:spacing w:before="24" w:after="24"/>
        <w:rPr>
          <w:rFonts w:hint="default" w:ascii="宋体" w:hAnsi="宋体" w:cs="宋体"/>
          <w:color w:val="auto"/>
          <w:highlight w:val="none"/>
        </w:rPr>
      </w:pPr>
      <w:r>
        <w:rPr>
          <w:rFonts w:ascii="宋体" w:hAnsi="宋体" w:cs="宋体"/>
          <w:color w:val="auto"/>
          <w:highlight w:val="none"/>
        </w:rPr>
        <w:br w:type="page"/>
      </w:r>
    </w:p>
    <w:p>
      <w:pPr>
        <w:spacing w:before="24" w:after="24" w:line="560" w:lineRule="exact"/>
        <w:jc w:val="center"/>
        <w:rPr>
          <w:rFonts w:hint="default" w:ascii="宋体" w:hAnsi="宋体" w:cs="宋体"/>
          <w:b/>
          <w:bCs/>
          <w:color w:val="auto"/>
          <w:sz w:val="28"/>
          <w:szCs w:val="28"/>
          <w:highlight w:val="none"/>
        </w:rPr>
      </w:pPr>
      <w:bookmarkStart w:id="147" w:name="_Toc673"/>
      <w:bookmarkStart w:id="148" w:name="_Toc12725"/>
      <w:bookmarkStart w:id="149" w:name="_Toc5804829"/>
      <w:bookmarkStart w:id="150" w:name="_Toc32224"/>
      <w:bookmarkStart w:id="151" w:name="_Toc5990290"/>
      <w:bookmarkStart w:id="152" w:name="_Toc5990291"/>
      <w:bookmarkStart w:id="153" w:name="_Toc6644"/>
      <w:bookmarkStart w:id="154" w:name="_Toc802"/>
      <w:r>
        <w:rPr>
          <w:rFonts w:ascii="宋体" w:hAnsi="宋体" w:cs="宋体"/>
          <w:b/>
          <w:bCs/>
          <w:color w:val="auto"/>
          <w:sz w:val="28"/>
          <w:szCs w:val="28"/>
          <w:highlight w:val="none"/>
        </w:rPr>
        <w:t>评审要素及分值一览表</w:t>
      </w:r>
    </w:p>
    <w:tbl>
      <w:tblPr>
        <w:tblStyle w:val="46"/>
        <w:tblW w:w="8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17"/>
        <w:gridCol w:w="777"/>
        <w:gridCol w:w="6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0" w:type="dxa"/>
            <w:vMerge w:val="restart"/>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bookmarkStart w:id="155" w:name="_Toc9742"/>
            <w:r>
              <w:rPr>
                <w:rFonts w:ascii="宋体" w:hAnsi="宋体" w:cs="宋体"/>
                <w:b/>
                <w:bCs/>
                <w:color w:val="auto"/>
                <w:sz w:val="22"/>
                <w:szCs w:val="22"/>
                <w:highlight w:val="none"/>
              </w:rPr>
              <w:t>项别</w:t>
            </w:r>
          </w:p>
        </w:tc>
        <w:tc>
          <w:tcPr>
            <w:tcW w:w="1394" w:type="dxa"/>
            <w:gridSpan w:val="2"/>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r>
              <w:rPr>
                <w:rFonts w:ascii="宋体" w:hAnsi="宋体" w:cs="宋体"/>
                <w:b/>
                <w:bCs/>
                <w:color w:val="auto"/>
                <w:sz w:val="22"/>
                <w:szCs w:val="22"/>
                <w:highlight w:val="none"/>
              </w:rPr>
              <w:t>总分值</w:t>
            </w:r>
          </w:p>
        </w:tc>
        <w:tc>
          <w:tcPr>
            <w:tcW w:w="6584" w:type="dxa"/>
            <w:vMerge w:val="restart"/>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r>
              <w:rPr>
                <w:rFonts w:ascii="宋体" w:hAnsi="宋体" w:cs="宋体"/>
                <w:b/>
                <w:bCs/>
                <w:color w:val="auto"/>
                <w:sz w:val="22"/>
                <w:szCs w:val="22"/>
                <w:highlight w:val="none"/>
              </w:rPr>
              <w:t>评审要素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p>
        </w:tc>
        <w:tc>
          <w:tcPr>
            <w:tcW w:w="61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r>
              <w:rPr>
                <w:rFonts w:ascii="宋体" w:hAnsi="宋体" w:cs="宋体"/>
                <w:b/>
                <w:bCs/>
                <w:color w:val="auto"/>
                <w:sz w:val="22"/>
                <w:szCs w:val="22"/>
                <w:highlight w:val="none"/>
              </w:rPr>
              <w:t>100</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r>
              <w:rPr>
                <w:rFonts w:ascii="宋体" w:hAnsi="宋体" w:cs="宋体"/>
                <w:b/>
                <w:bCs/>
                <w:color w:val="auto"/>
                <w:sz w:val="22"/>
                <w:szCs w:val="22"/>
                <w:highlight w:val="none"/>
              </w:rPr>
              <w:t>分项最高分值</w:t>
            </w:r>
          </w:p>
        </w:tc>
        <w:tc>
          <w:tcPr>
            <w:tcW w:w="6584"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b/>
                <w:bCs/>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40"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价格</w:t>
            </w:r>
          </w:p>
        </w:tc>
        <w:tc>
          <w:tcPr>
            <w:tcW w:w="61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15</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15</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满足磋商文件要求且最后报价最低的供应商的价格为磋商基准价，其价格分为满分。其他供应商的价格分统一按照下列公式计算：</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磋商报价得分=（评标基准价/有效最终磋商报价）×15</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注：经评审委员会核实无误后，根据【政府采购促进中小企业发展暂行办法】的相关规定对其小、微企业投标报价给予10%的扣除，用扣除后的价格参与评审。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840" w:type="dxa"/>
            <w:vMerge w:val="restart"/>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服务方案</w:t>
            </w:r>
          </w:p>
        </w:tc>
        <w:tc>
          <w:tcPr>
            <w:tcW w:w="617" w:type="dxa"/>
            <w:vMerge w:val="restart"/>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50</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10</w:t>
            </w:r>
          </w:p>
        </w:tc>
        <w:tc>
          <w:tcPr>
            <w:tcW w:w="6584" w:type="dxa"/>
            <w:tcBorders>
              <w:tl2br w:val="nil"/>
              <w:tr2bl w:val="nil"/>
            </w:tcBorders>
            <w:shd w:val="clear" w:color="auto" w:fill="auto"/>
            <w:vAlign w:val="center"/>
          </w:tcPr>
          <w:p>
            <w:pPr>
              <w:widowControl/>
              <w:spacing w:before="24" w:after="24" w:line="240" w:lineRule="auto"/>
              <w:ind w:right="24" w:rightChars="10"/>
              <w:rPr>
                <w:rFonts w:hint="default" w:ascii="宋体" w:hAnsi="宋体" w:cs="宋体"/>
                <w:color w:val="auto"/>
                <w:sz w:val="22"/>
                <w:szCs w:val="22"/>
                <w:highlight w:val="none"/>
              </w:rPr>
            </w:pPr>
            <w:r>
              <w:rPr>
                <w:rFonts w:ascii="宋体" w:hAnsi="宋体" w:cs="宋体"/>
                <w:color w:val="auto"/>
                <w:sz w:val="22"/>
                <w:szCs w:val="22"/>
                <w:highlight w:val="none"/>
              </w:rPr>
              <w:t>对本项目的认知：</w:t>
            </w:r>
          </w:p>
          <w:p>
            <w:pPr>
              <w:widowControl/>
              <w:numPr>
                <w:ilvl w:val="0"/>
                <w:numId w:val="5"/>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对本项目总体架构、建设内容、建设目标、建设需求等描述准确、且总体功能分析全面得[6-10]分；</w:t>
            </w:r>
          </w:p>
          <w:p>
            <w:pPr>
              <w:widowControl/>
              <w:numPr>
                <w:ilvl w:val="0"/>
                <w:numId w:val="5"/>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对本项目认知描述有偏差，但总体功能分析全面得[3-6）分；</w:t>
            </w:r>
          </w:p>
          <w:p>
            <w:pPr>
              <w:widowControl/>
              <w:numPr>
                <w:ilvl w:val="0"/>
                <w:numId w:val="5"/>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对本项目认知描述有偏差，且总体功能分析不全得[1-3）分；</w:t>
            </w:r>
          </w:p>
          <w:p>
            <w:pPr>
              <w:widowControl/>
              <w:numPr>
                <w:ilvl w:val="0"/>
                <w:numId w:val="5"/>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10</w:t>
            </w:r>
          </w:p>
        </w:tc>
        <w:tc>
          <w:tcPr>
            <w:tcW w:w="6584" w:type="dxa"/>
            <w:tcBorders>
              <w:tl2br w:val="nil"/>
              <w:tr2bl w:val="nil"/>
            </w:tcBorders>
            <w:shd w:val="clear" w:color="auto" w:fill="auto"/>
            <w:vAlign w:val="center"/>
          </w:tcPr>
          <w:p>
            <w:pPr>
              <w:widowControl/>
              <w:spacing w:before="24" w:after="24" w:line="240" w:lineRule="auto"/>
              <w:ind w:right="24" w:rightChars="10"/>
              <w:rPr>
                <w:rFonts w:hint="default" w:ascii="宋体" w:hAnsi="宋体" w:cs="宋体"/>
                <w:color w:val="auto"/>
                <w:sz w:val="22"/>
                <w:szCs w:val="22"/>
                <w:highlight w:val="none"/>
              </w:rPr>
            </w:pPr>
            <w:r>
              <w:rPr>
                <w:rFonts w:ascii="宋体" w:hAnsi="宋体" w:cs="宋体"/>
                <w:color w:val="auto"/>
                <w:sz w:val="22"/>
                <w:szCs w:val="22"/>
                <w:highlight w:val="none"/>
              </w:rPr>
              <w:t>软件系统详细功能分析及操作流程说明：</w:t>
            </w:r>
          </w:p>
          <w:p>
            <w:pPr>
              <w:widowControl/>
              <w:numPr>
                <w:ilvl w:val="0"/>
                <w:numId w:val="6"/>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结合拟实施系统，对本项目详细功能进行分析，有详细的功能模块设计、业务视图框架设计，且围绕各业务功能，提供</w:t>
            </w:r>
            <w:r>
              <w:rPr>
                <w:rFonts w:hint="eastAsia" w:ascii="宋体" w:hAnsi="宋体" w:cs="宋体"/>
                <w:color w:val="auto"/>
                <w:sz w:val="22"/>
                <w:szCs w:val="22"/>
                <w:highlight w:val="none"/>
                <w:lang w:eastAsia="zh-CN"/>
              </w:rPr>
              <w:t>主要功能的</w:t>
            </w:r>
            <w:r>
              <w:rPr>
                <w:rFonts w:ascii="宋体" w:hAnsi="宋体" w:cs="宋体"/>
                <w:color w:val="auto"/>
                <w:sz w:val="22"/>
                <w:szCs w:val="22"/>
                <w:highlight w:val="none"/>
              </w:rPr>
              <w:t>系统页面截图，分析全面且设置合理得[6-10]分；</w:t>
            </w:r>
          </w:p>
          <w:p>
            <w:pPr>
              <w:widowControl/>
              <w:numPr>
                <w:ilvl w:val="0"/>
                <w:numId w:val="6"/>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功能模块设计、业务视图框架设计分析较全面，或分析全面但操作繁杂、不能高效实施得[3-6）分；</w:t>
            </w:r>
          </w:p>
          <w:p>
            <w:pPr>
              <w:widowControl/>
              <w:numPr>
                <w:ilvl w:val="0"/>
                <w:numId w:val="6"/>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功能模块设计、业务视图框架设计分析不全面，且流程设置不合理得[1-3）分；</w:t>
            </w:r>
          </w:p>
          <w:p>
            <w:pPr>
              <w:widowControl/>
              <w:numPr>
                <w:ilvl w:val="0"/>
                <w:numId w:val="6"/>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6584" w:type="dxa"/>
            <w:tcBorders>
              <w:tl2br w:val="nil"/>
              <w:tr2bl w:val="nil"/>
            </w:tcBorders>
            <w:shd w:val="clear" w:color="auto" w:fill="auto"/>
            <w:vAlign w:val="center"/>
          </w:tcPr>
          <w:p>
            <w:pPr>
              <w:widowControl/>
              <w:spacing w:before="24" w:after="24" w:line="240" w:lineRule="auto"/>
              <w:ind w:right="24" w:rightChars="10"/>
              <w:rPr>
                <w:rFonts w:hint="default" w:ascii="宋体" w:hAnsi="宋体" w:cs="宋体"/>
                <w:color w:val="auto"/>
                <w:sz w:val="22"/>
                <w:szCs w:val="22"/>
                <w:highlight w:val="none"/>
              </w:rPr>
            </w:pPr>
            <w:r>
              <w:rPr>
                <w:rFonts w:ascii="宋体" w:hAnsi="宋体" w:cs="宋体"/>
                <w:color w:val="auto"/>
                <w:sz w:val="22"/>
                <w:szCs w:val="22"/>
                <w:highlight w:val="none"/>
              </w:rPr>
              <w:t>硬件产品技术指标技术规格、参数及功能：</w:t>
            </w:r>
          </w:p>
          <w:p>
            <w:pPr>
              <w:widowControl/>
              <w:spacing w:before="24" w:after="24" w:line="240" w:lineRule="auto"/>
              <w:ind w:right="24" w:rightChars="10"/>
              <w:rPr>
                <w:rFonts w:hint="default" w:ascii="宋体" w:hAnsi="宋体" w:cs="宋体"/>
                <w:color w:val="auto"/>
                <w:sz w:val="22"/>
                <w:szCs w:val="22"/>
                <w:highlight w:val="none"/>
              </w:rPr>
            </w:pPr>
            <w:r>
              <w:rPr>
                <w:rFonts w:ascii="宋体" w:hAnsi="宋体" w:cs="宋体"/>
                <w:color w:val="auto"/>
                <w:sz w:val="22"/>
                <w:szCs w:val="22"/>
                <w:highlight w:val="none"/>
              </w:rPr>
              <w:t>1.根据所投产品符合采购人采购需求，并符合相关国家标准和行业标准情况，能够提供生产厂家确认的、相应的功能证明材料，测试报告、产品介绍、彩页、说明书、官网和</w:t>
            </w:r>
            <w:r>
              <w:rPr>
                <w:rFonts w:hint="eastAsia" w:ascii="宋体" w:hAnsi="宋体" w:cs="宋体"/>
                <w:color w:val="auto"/>
                <w:sz w:val="22"/>
                <w:szCs w:val="22"/>
                <w:highlight w:val="none"/>
                <w:lang w:eastAsia="zh-CN"/>
              </w:rPr>
              <w:t>主要硬件（防火墙、终端设备）的主要</w:t>
            </w:r>
            <w:r>
              <w:rPr>
                <w:rFonts w:ascii="宋体" w:hAnsi="宋体" w:cs="宋体"/>
                <w:color w:val="auto"/>
                <w:sz w:val="22"/>
                <w:szCs w:val="22"/>
                <w:highlight w:val="none"/>
              </w:rPr>
              <w:t>功能截图、详尽的产品彩页等,根据响应程度得[1-3）分，未提供不得分。</w:t>
            </w:r>
          </w:p>
          <w:p>
            <w:pPr>
              <w:widowControl/>
              <w:spacing w:before="24" w:after="24" w:line="240" w:lineRule="auto"/>
              <w:ind w:right="24" w:rightChars="10"/>
              <w:rPr>
                <w:rFonts w:hint="default" w:ascii="宋体" w:hAnsi="宋体" w:cs="宋体"/>
                <w:color w:val="auto"/>
                <w:sz w:val="22"/>
                <w:szCs w:val="22"/>
                <w:highlight w:val="none"/>
              </w:rPr>
            </w:pPr>
            <w:r>
              <w:rPr>
                <w:rFonts w:ascii="宋体" w:hAnsi="宋体" w:cs="宋体"/>
                <w:color w:val="auto"/>
                <w:sz w:val="22"/>
                <w:szCs w:val="22"/>
                <w:highlight w:val="none"/>
              </w:rPr>
              <w:t>2.根据提供产品的合法渠道证明文件，包括但不限于原厂授权、代理协议、销售协议等证明材料，根据响应程度得[1-3）分，未提供不得分。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6584" w:type="dxa"/>
            <w:tcBorders>
              <w:tl2br w:val="nil"/>
              <w:tr2bl w:val="nil"/>
            </w:tcBorders>
            <w:shd w:val="clear" w:color="auto" w:fill="auto"/>
            <w:vAlign w:val="center"/>
          </w:tcPr>
          <w:p>
            <w:pPr>
              <w:widowControl/>
              <w:spacing w:before="24" w:after="24" w:line="240" w:lineRule="auto"/>
              <w:ind w:right="24" w:rightChars="10"/>
              <w:rPr>
                <w:rFonts w:hint="default" w:ascii="宋体" w:hAnsi="宋体" w:cs="宋体"/>
                <w:color w:val="auto"/>
                <w:sz w:val="22"/>
                <w:szCs w:val="22"/>
                <w:highlight w:val="none"/>
              </w:rPr>
            </w:pPr>
            <w:r>
              <w:rPr>
                <w:rFonts w:ascii="宋体" w:hAnsi="宋体" w:cs="宋体"/>
                <w:color w:val="auto"/>
                <w:sz w:val="22"/>
                <w:szCs w:val="22"/>
                <w:highlight w:val="none"/>
              </w:rPr>
              <w:t>提出本项目风险控制方案，包含但不限于风险预测与识别、风险评估及分析、风险处置、风险及化解办法等：</w:t>
            </w:r>
          </w:p>
          <w:p>
            <w:pPr>
              <w:widowControl/>
              <w:numPr>
                <w:ilvl w:val="0"/>
                <w:numId w:val="7"/>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风险控制方案完善、符合本项目，有一定针对性且切实可行得[4-6]分；</w:t>
            </w:r>
          </w:p>
          <w:p>
            <w:pPr>
              <w:widowControl/>
              <w:numPr>
                <w:ilvl w:val="0"/>
                <w:numId w:val="7"/>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方案内容较完善、基本符合本项目，可实施性较强得[2-4）分；</w:t>
            </w:r>
          </w:p>
          <w:p>
            <w:pPr>
              <w:widowControl/>
              <w:numPr>
                <w:ilvl w:val="0"/>
                <w:numId w:val="7"/>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方案内容不完善或可实施性不强得[1-2）分。</w:t>
            </w:r>
          </w:p>
          <w:p>
            <w:pPr>
              <w:widowControl/>
              <w:numPr>
                <w:ilvl w:val="0"/>
                <w:numId w:val="7"/>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6584" w:type="dxa"/>
            <w:tcBorders>
              <w:tl2br w:val="nil"/>
              <w:tr2bl w:val="nil"/>
            </w:tcBorders>
            <w:shd w:val="clear" w:color="auto" w:fill="auto"/>
            <w:vAlign w:val="center"/>
          </w:tcPr>
          <w:p>
            <w:pPr>
              <w:widowControl/>
              <w:spacing w:before="24" w:after="24" w:line="240" w:lineRule="auto"/>
              <w:ind w:right="24" w:rightChars="10"/>
              <w:rPr>
                <w:rFonts w:hint="default" w:ascii="宋体" w:hAnsi="宋体" w:cs="宋体"/>
                <w:color w:val="auto"/>
                <w:sz w:val="22"/>
                <w:szCs w:val="22"/>
                <w:highlight w:val="none"/>
              </w:rPr>
            </w:pPr>
            <w:r>
              <w:rPr>
                <w:rFonts w:hint="default" w:ascii="宋体" w:hAnsi="宋体" w:cs="宋体"/>
                <w:color w:val="auto"/>
                <w:sz w:val="22"/>
                <w:szCs w:val="22"/>
                <w:highlight w:val="none"/>
              </w:rPr>
              <w:t>根据项目</w:t>
            </w:r>
            <w:r>
              <w:rPr>
                <w:rFonts w:ascii="宋体" w:hAnsi="宋体" w:cs="宋体"/>
                <w:color w:val="auto"/>
                <w:sz w:val="22"/>
                <w:szCs w:val="22"/>
                <w:highlight w:val="none"/>
              </w:rPr>
              <w:t>需求</w:t>
            </w:r>
            <w:r>
              <w:rPr>
                <w:rFonts w:hint="default" w:ascii="宋体" w:hAnsi="宋体" w:cs="宋体"/>
                <w:color w:val="auto"/>
                <w:sz w:val="22"/>
                <w:szCs w:val="22"/>
                <w:highlight w:val="none"/>
              </w:rPr>
              <w:t>和资源情况制定</w:t>
            </w:r>
            <w:r>
              <w:rPr>
                <w:rFonts w:ascii="宋体" w:hAnsi="宋体" w:cs="宋体"/>
                <w:color w:val="auto"/>
                <w:sz w:val="22"/>
                <w:szCs w:val="22"/>
                <w:highlight w:val="none"/>
              </w:rPr>
              <w:t>项目建设及交付使用的</w:t>
            </w:r>
            <w:r>
              <w:rPr>
                <w:rFonts w:hint="default" w:ascii="宋体" w:hAnsi="宋体" w:cs="宋体"/>
                <w:color w:val="auto"/>
                <w:sz w:val="22"/>
                <w:szCs w:val="22"/>
                <w:highlight w:val="none"/>
              </w:rPr>
              <w:t>日期</w:t>
            </w:r>
            <w:r>
              <w:rPr>
                <w:rFonts w:ascii="宋体" w:hAnsi="宋体" w:cs="宋体"/>
                <w:color w:val="auto"/>
                <w:sz w:val="22"/>
                <w:szCs w:val="22"/>
                <w:highlight w:val="none"/>
              </w:rPr>
              <w:t>编制进度计划及控制措施：</w:t>
            </w:r>
          </w:p>
          <w:p>
            <w:pPr>
              <w:widowControl/>
              <w:numPr>
                <w:ilvl w:val="0"/>
                <w:numId w:val="8"/>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时间节点安排清晰、合理，符合软件开发及交付程序得[4-6]分；</w:t>
            </w:r>
          </w:p>
          <w:p>
            <w:pPr>
              <w:widowControl/>
              <w:numPr>
                <w:ilvl w:val="0"/>
                <w:numId w:val="8"/>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能</w:t>
            </w:r>
            <w:r>
              <w:rPr>
                <w:rFonts w:hint="default" w:ascii="宋体" w:hAnsi="宋体" w:cs="宋体"/>
                <w:color w:val="auto"/>
                <w:sz w:val="22"/>
                <w:szCs w:val="22"/>
                <w:highlight w:val="none"/>
              </w:rPr>
              <w:t>正常推进工作，</w:t>
            </w:r>
            <w:r>
              <w:rPr>
                <w:rFonts w:ascii="宋体" w:hAnsi="宋体" w:cs="宋体"/>
                <w:color w:val="auto"/>
                <w:sz w:val="22"/>
                <w:szCs w:val="22"/>
                <w:highlight w:val="none"/>
              </w:rPr>
              <w:t>但</w:t>
            </w:r>
            <w:r>
              <w:rPr>
                <w:rFonts w:hint="default" w:ascii="宋体" w:hAnsi="宋体" w:cs="宋体"/>
                <w:color w:val="auto"/>
                <w:sz w:val="22"/>
                <w:szCs w:val="22"/>
                <w:highlight w:val="none"/>
              </w:rPr>
              <w:t>开展计划</w:t>
            </w:r>
            <w:r>
              <w:rPr>
                <w:rFonts w:ascii="宋体" w:hAnsi="宋体" w:cs="宋体"/>
                <w:color w:val="auto"/>
                <w:sz w:val="22"/>
                <w:szCs w:val="22"/>
                <w:highlight w:val="none"/>
              </w:rPr>
              <w:t>编制不详得[1-4）</w:t>
            </w:r>
            <w:r>
              <w:rPr>
                <w:rFonts w:hint="default" w:ascii="宋体" w:hAnsi="宋体" w:cs="宋体"/>
                <w:color w:val="auto"/>
                <w:sz w:val="22"/>
                <w:szCs w:val="22"/>
                <w:highlight w:val="none"/>
              </w:rPr>
              <w:t>分</w:t>
            </w:r>
            <w:r>
              <w:rPr>
                <w:rFonts w:ascii="宋体" w:hAnsi="宋体" w:cs="宋体"/>
                <w:color w:val="auto"/>
                <w:sz w:val="22"/>
                <w:szCs w:val="22"/>
                <w:highlight w:val="none"/>
              </w:rPr>
              <w:t>；</w:t>
            </w:r>
          </w:p>
          <w:p>
            <w:pPr>
              <w:widowControl/>
              <w:numPr>
                <w:ilvl w:val="0"/>
                <w:numId w:val="8"/>
              </w:numPr>
              <w:spacing w:before="24" w:after="24" w:line="240" w:lineRule="auto"/>
              <w:ind w:left="24" w:leftChars="10" w:right="24" w:rightChars="10"/>
              <w:rPr>
                <w:rFonts w:hint="default" w:ascii="宋体" w:hAnsi="宋体" w:cs="宋体"/>
                <w:color w:val="auto"/>
                <w:sz w:val="22"/>
                <w:szCs w:val="22"/>
                <w:highlight w:val="none"/>
              </w:rPr>
            </w:pPr>
            <w:r>
              <w:rPr>
                <w:rFonts w:hint="default" w:ascii="宋体" w:hAnsi="宋体" w:cs="宋体"/>
                <w:color w:val="auto"/>
                <w:sz w:val="22"/>
                <w:szCs w:val="22"/>
                <w:highlight w:val="none"/>
              </w:rPr>
              <w:t>工作开展计划未明确或不合理的不得分</w:t>
            </w:r>
            <w:r>
              <w:rPr>
                <w:rFonts w:ascii="宋体" w:hAnsi="宋体" w:cs="宋体"/>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hint="default" w:ascii="宋体" w:hAnsi="宋体" w:cs="宋体"/>
                <w:color w:val="auto"/>
                <w:sz w:val="22"/>
                <w:szCs w:val="22"/>
                <w:highlight w:val="none"/>
              </w:rPr>
              <w:t>根据供应商提供的售后服务方案进行评审</w:t>
            </w:r>
            <w:r>
              <w:rPr>
                <w:rFonts w:ascii="宋体" w:hAnsi="宋体" w:cs="宋体"/>
                <w:color w:val="auto"/>
                <w:sz w:val="22"/>
                <w:szCs w:val="22"/>
                <w:highlight w:val="none"/>
              </w:rPr>
              <w:t>，包含但不限于</w:t>
            </w:r>
            <w:r>
              <w:rPr>
                <w:rFonts w:hint="default" w:ascii="宋体" w:hAnsi="宋体" w:cs="宋体"/>
                <w:color w:val="auto"/>
                <w:sz w:val="22"/>
                <w:szCs w:val="22"/>
                <w:highlight w:val="none"/>
              </w:rPr>
              <w:t>维护方式、培训方案、故障处理措施和故障响应时间、处理速度、应急方案、定期巡查、技术支持等详细服务</w:t>
            </w:r>
            <w:r>
              <w:rPr>
                <w:rFonts w:ascii="宋体" w:hAnsi="宋体" w:cs="宋体"/>
                <w:color w:val="auto"/>
                <w:sz w:val="22"/>
                <w:szCs w:val="22"/>
                <w:highlight w:val="none"/>
              </w:rPr>
              <w:t>。</w:t>
            </w:r>
          </w:p>
          <w:p>
            <w:pPr>
              <w:widowControl/>
              <w:numPr>
                <w:ilvl w:val="0"/>
                <w:numId w:val="9"/>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方案内容完善、符合本项目，有一定针对性且切实可行得[4-6]分；</w:t>
            </w:r>
          </w:p>
          <w:p>
            <w:pPr>
              <w:widowControl/>
              <w:numPr>
                <w:ilvl w:val="0"/>
                <w:numId w:val="9"/>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方案内容较完善、基本符合本项目，可实施性较强得[2-4）分；</w:t>
            </w:r>
          </w:p>
          <w:p>
            <w:pPr>
              <w:widowControl/>
              <w:numPr>
                <w:ilvl w:val="0"/>
                <w:numId w:val="9"/>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方案内容不完善或可实施性不强得[1-2）分；</w:t>
            </w:r>
          </w:p>
          <w:p>
            <w:pPr>
              <w:widowControl/>
              <w:numPr>
                <w:ilvl w:val="0"/>
                <w:numId w:val="9"/>
              </w:numPr>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840"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hint="default" w:ascii="宋体" w:hAnsi="宋体" w:cs="宋体"/>
                <w:color w:val="auto"/>
                <w:sz w:val="22"/>
                <w:szCs w:val="22"/>
                <w:highlight w:val="none"/>
              </w:rPr>
              <w:t>对本项目实施过程中重难点进行分析：</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1.</w:t>
            </w:r>
            <w:r>
              <w:rPr>
                <w:rFonts w:hint="default" w:ascii="宋体" w:hAnsi="宋体" w:cs="宋体"/>
                <w:color w:val="auto"/>
                <w:sz w:val="22"/>
                <w:szCs w:val="22"/>
                <w:highlight w:val="none"/>
              </w:rPr>
              <w:t>根据本项目特点分析工作重点与难点，重难点分析详细具体得[4-6]分；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2.</w:t>
            </w:r>
            <w:r>
              <w:rPr>
                <w:rFonts w:hint="default" w:ascii="宋体" w:hAnsi="宋体" w:cs="宋体"/>
                <w:color w:val="auto"/>
                <w:sz w:val="22"/>
                <w:szCs w:val="22"/>
                <w:highlight w:val="none"/>
              </w:rPr>
              <w:t>重难点分析内容较完整得[2-4）分；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3.</w:t>
            </w:r>
            <w:r>
              <w:rPr>
                <w:rFonts w:hint="default" w:ascii="宋体" w:hAnsi="宋体" w:cs="宋体"/>
                <w:color w:val="auto"/>
                <w:sz w:val="22"/>
                <w:szCs w:val="22"/>
                <w:highlight w:val="none"/>
              </w:rPr>
              <w:t>重难点分析内容有缺漏、不完整得[</w:t>
            </w:r>
            <w:r>
              <w:rPr>
                <w:rFonts w:ascii="宋体" w:hAnsi="宋体" w:cs="宋体"/>
                <w:color w:val="auto"/>
                <w:sz w:val="22"/>
                <w:szCs w:val="22"/>
                <w:highlight w:val="none"/>
              </w:rPr>
              <w:t>1</w:t>
            </w:r>
            <w:r>
              <w:rPr>
                <w:rFonts w:hint="default" w:ascii="宋体" w:hAnsi="宋体" w:cs="宋体"/>
                <w:color w:val="auto"/>
                <w:sz w:val="22"/>
                <w:szCs w:val="22"/>
                <w:highlight w:val="none"/>
              </w:rPr>
              <w:t>-2）分</w:t>
            </w:r>
            <w:r>
              <w:rPr>
                <w:rFonts w:ascii="宋体" w:hAnsi="宋体" w:cs="宋体"/>
                <w:color w:val="auto"/>
                <w:sz w:val="22"/>
                <w:szCs w:val="22"/>
                <w:highlight w:val="none"/>
              </w:rPr>
              <w:t>；</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4.</w:t>
            </w:r>
            <w:r>
              <w:rPr>
                <w:rFonts w:hint="default" w:ascii="宋体" w:hAnsi="宋体" w:cs="宋体"/>
                <w:color w:val="auto"/>
                <w:sz w:val="22"/>
                <w:szCs w:val="22"/>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40" w:type="dxa"/>
            <w:tcBorders>
              <w:tl2br w:val="nil"/>
              <w:tr2bl w:val="nil"/>
            </w:tcBorders>
            <w:shd w:val="clear" w:color="auto" w:fill="auto"/>
            <w:vAlign w:val="center"/>
          </w:tcPr>
          <w:p>
            <w:pPr>
              <w:widowControl/>
              <w:spacing w:before="24" w:after="24" w:line="24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现有案例展示</w:t>
            </w:r>
          </w:p>
        </w:tc>
        <w:tc>
          <w:tcPr>
            <w:tcW w:w="61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5</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5</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根据</w:t>
            </w:r>
            <w:r>
              <w:rPr>
                <w:rFonts w:hint="default" w:ascii="宋体" w:hAnsi="宋体" w:cs="宋体"/>
                <w:color w:val="auto"/>
                <w:sz w:val="22"/>
                <w:szCs w:val="22"/>
                <w:highlight w:val="none"/>
              </w:rPr>
              <w:t>供应商</w:t>
            </w:r>
            <w:r>
              <w:rPr>
                <w:rFonts w:hint="eastAsia" w:ascii="宋体" w:hAnsi="宋体" w:cs="宋体"/>
                <w:color w:val="auto"/>
                <w:sz w:val="22"/>
                <w:szCs w:val="22"/>
                <w:highlight w:val="none"/>
                <w:lang w:eastAsia="zh-CN"/>
              </w:rPr>
              <w:t>提供拟投软件系统的现有、正在运行的案例情况进行评审。</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hint="eastAsia" w:ascii="宋体" w:hAnsi="宋体" w:cs="宋体"/>
                <w:color w:val="auto"/>
                <w:sz w:val="22"/>
                <w:szCs w:val="22"/>
                <w:highlight w:val="none"/>
                <w:lang w:val="en-US" w:eastAsia="zh-CN"/>
              </w:rPr>
              <w:t>1.案例功能截图内容全面、符合项目需求、界面美观得</w:t>
            </w:r>
            <w:r>
              <w:rPr>
                <w:rFonts w:hint="default" w:ascii="宋体" w:hAnsi="宋体" w:cs="宋体"/>
                <w:color w:val="auto"/>
                <w:sz w:val="22"/>
                <w:szCs w:val="22"/>
                <w:highlight w:val="none"/>
              </w:rPr>
              <w:t>[4-5]分；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hint="eastAsia" w:ascii="宋体" w:hAnsi="宋体" w:cs="宋体"/>
                <w:color w:val="auto"/>
                <w:sz w:val="22"/>
                <w:szCs w:val="22"/>
                <w:highlight w:val="none"/>
                <w:lang w:val="en-US" w:eastAsia="zh-CN"/>
              </w:rPr>
              <w:t>2.案例功能截图内容较全面、基本符合项目需求、界面美观性一般得</w:t>
            </w:r>
            <w:r>
              <w:rPr>
                <w:rFonts w:hint="default" w:ascii="宋体" w:hAnsi="宋体" w:cs="宋体"/>
                <w:color w:val="auto"/>
                <w:sz w:val="22"/>
                <w:szCs w:val="22"/>
                <w:highlight w:val="none"/>
              </w:rPr>
              <w:t>[2-4）分；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hint="eastAsia" w:ascii="宋体" w:hAnsi="宋体" w:cs="宋体"/>
                <w:color w:val="auto"/>
                <w:sz w:val="22"/>
                <w:szCs w:val="22"/>
                <w:highlight w:val="none"/>
                <w:lang w:val="en-US" w:eastAsia="zh-CN"/>
              </w:rPr>
              <w:t>3.案例功能截图内容不全或不符合项目需求的，</w:t>
            </w:r>
            <w:r>
              <w:rPr>
                <w:rFonts w:hint="default" w:ascii="宋体" w:hAnsi="宋体" w:cs="宋体"/>
                <w:color w:val="auto"/>
                <w:sz w:val="22"/>
                <w:szCs w:val="22"/>
                <w:highlight w:val="none"/>
              </w:rPr>
              <w:t>得[1-2）分；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hint="default" w:ascii="宋体" w:hAnsi="宋体" w:cs="宋体"/>
                <w:color w:val="auto"/>
                <w:sz w:val="22"/>
                <w:szCs w:val="22"/>
                <w:highlight w:val="none"/>
              </w:rPr>
              <w:t>4.未提供</w:t>
            </w:r>
            <w:r>
              <w:rPr>
                <w:rFonts w:hint="eastAsia" w:ascii="宋体" w:hAnsi="宋体" w:cs="宋体"/>
                <w:color w:val="auto"/>
                <w:sz w:val="22"/>
                <w:szCs w:val="22"/>
                <w:highlight w:val="none"/>
                <w:lang w:eastAsia="zh-CN"/>
              </w:rPr>
              <w:t>现有、正在运行案例</w:t>
            </w:r>
            <w:r>
              <w:rPr>
                <w:rFonts w:hint="default" w:ascii="宋体" w:hAnsi="宋体" w:cs="宋体"/>
                <w:color w:val="auto"/>
                <w:sz w:val="22"/>
                <w:szCs w:val="22"/>
                <w:highlight w:val="none"/>
              </w:rPr>
              <w:t>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40" w:type="dxa"/>
            <w:tcBorders>
              <w:tl2br w:val="nil"/>
              <w:tr2bl w:val="nil"/>
            </w:tcBorders>
            <w:shd w:val="clear" w:color="auto" w:fill="auto"/>
            <w:vAlign w:val="center"/>
          </w:tcPr>
          <w:p>
            <w:pPr>
              <w:widowControl/>
              <w:spacing w:before="24" w:after="24" w:line="240" w:lineRule="auto"/>
              <w:jc w:val="center"/>
              <w:rPr>
                <w:rFonts w:hint="default" w:ascii="宋体" w:hAnsi="宋体" w:cs="宋体"/>
                <w:color w:val="auto"/>
                <w:sz w:val="22"/>
                <w:szCs w:val="22"/>
                <w:highlight w:val="none"/>
              </w:rPr>
            </w:pPr>
            <w:r>
              <w:rPr>
                <w:rFonts w:ascii="宋体" w:hAnsi="宋体" w:cs="宋体"/>
                <w:color w:val="auto"/>
                <w:sz w:val="22"/>
                <w:szCs w:val="22"/>
                <w:highlight w:val="none"/>
              </w:rPr>
              <w:t>服务承诺</w:t>
            </w:r>
          </w:p>
        </w:tc>
        <w:tc>
          <w:tcPr>
            <w:tcW w:w="617" w:type="dxa"/>
            <w:tcBorders>
              <w:tl2br w:val="nil"/>
              <w:tr2bl w:val="nil"/>
            </w:tcBorders>
            <w:shd w:val="clear" w:color="auto" w:fill="auto"/>
            <w:vAlign w:val="center"/>
          </w:tcPr>
          <w:p>
            <w:pPr>
              <w:widowControl/>
              <w:spacing w:before="24" w:after="24" w:line="240" w:lineRule="auto"/>
              <w:ind w:left="24" w:leftChars="10" w:right="24" w:rightChars="1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eastAsia" w:ascii="宋体" w:hAnsi="宋体" w:eastAsia="宋体" w:cs="宋体"/>
                <w:color w:val="auto"/>
                <w:sz w:val="22"/>
                <w:szCs w:val="22"/>
                <w:highlight w:val="none"/>
                <w:lang w:val="ru-RU" w:eastAsia="zh-CN"/>
              </w:rPr>
            </w:pPr>
            <w:r>
              <w:rPr>
                <w:rFonts w:hint="eastAsia" w:ascii="宋体" w:hAnsi="宋体" w:cs="宋体"/>
                <w:color w:val="auto"/>
                <w:sz w:val="22"/>
                <w:szCs w:val="22"/>
                <w:highlight w:val="none"/>
                <w:lang w:val="en-US" w:eastAsia="zh-CN"/>
              </w:rPr>
              <w:t>6</w:t>
            </w:r>
          </w:p>
        </w:tc>
        <w:tc>
          <w:tcPr>
            <w:tcW w:w="6584" w:type="dxa"/>
            <w:tcBorders>
              <w:tl2br w:val="nil"/>
              <w:tr2bl w:val="nil"/>
            </w:tcBorders>
            <w:shd w:val="clear" w:color="auto" w:fill="auto"/>
            <w:vAlign w:val="center"/>
          </w:tcPr>
          <w:p>
            <w:pPr>
              <w:widowControl/>
              <w:numPr>
                <w:ilvl w:val="0"/>
                <w:numId w:val="10"/>
              </w:numPr>
              <w:spacing w:before="24" w:after="24" w:line="240" w:lineRule="auto"/>
              <w:ind w:left="0" w:leftChars="0" w:right="24" w:rightChars="10" w:firstLineChars="0"/>
              <w:rPr>
                <w:rFonts w:hint="default" w:ascii="宋体" w:hAnsi="宋体" w:eastAsia="宋体" w:cs="宋体"/>
                <w:color w:val="auto"/>
                <w:sz w:val="22"/>
                <w:szCs w:val="22"/>
                <w:highlight w:val="none"/>
                <w:lang w:val="ru-RU"/>
              </w:rPr>
            </w:pPr>
            <w:r>
              <w:rPr>
                <w:rFonts w:hint="eastAsia" w:ascii="宋体" w:hAnsi="宋体" w:eastAsia="宋体" w:cs="宋体"/>
                <w:color w:val="auto"/>
                <w:sz w:val="22"/>
                <w:szCs w:val="22"/>
                <w:highlight w:val="none"/>
                <w:lang w:val="ru-RU" w:eastAsia="zh-CN"/>
              </w:rPr>
              <w:t>质保期优于采购需求（</w:t>
            </w:r>
            <w:r>
              <w:rPr>
                <w:rFonts w:hint="eastAsia" w:ascii="宋体" w:hAnsi="宋体" w:eastAsia="宋体" w:cs="宋体"/>
                <w:color w:val="auto"/>
                <w:sz w:val="22"/>
                <w:szCs w:val="22"/>
                <w:highlight w:val="none"/>
                <w:lang w:val="en-US" w:eastAsia="zh-CN"/>
              </w:rPr>
              <w:t>3年</w:t>
            </w:r>
            <w:r>
              <w:rPr>
                <w:rFonts w:hint="eastAsia" w:ascii="宋体" w:hAnsi="宋体" w:eastAsia="宋体" w:cs="宋体"/>
                <w:color w:val="auto"/>
                <w:sz w:val="22"/>
                <w:szCs w:val="22"/>
                <w:highlight w:val="none"/>
                <w:lang w:val="ru-RU" w:eastAsia="zh-CN"/>
              </w:rPr>
              <w:t>）的，每多一年，得</w:t>
            </w:r>
            <w:r>
              <w:rPr>
                <w:rFonts w:hint="default" w:ascii="宋体" w:hAnsi="宋体" w:eastAsia="宋体" w:cs="宋体"/>
                <w:color w:val="auto"/>
                <w:sz w:val="22"/>
                <w:szCs w:val="22"/>
                <w:highlight w:val="none"/>
                <w:lang w:eastAsia="zh-CN"/>
              </w:rPr>
              <w:t>0.5</w:t>
            </w:r>
            <w:r>
              <w:rPr>
                <w:rFonts w:hint="eastAsia" w:ascii="宋体" w:hAnsi="宋体" w:eastAsia="宋体" w:cs="宋体"/>
                <w:color w:val="auto"/>
                <w:sz w:val="22"/>
                <w:szCs w:val="22"/>
                <w:highlight w:val="none"/>
                <w:lang w:val="en-US" w:eastAsia="zh-CN"/>
              </w:rPr>
              <w:t>分，最多可得</w:t>
            </w:r>
            <w:r>
              <w:rPr>
                <w:rFonts w:hint="default"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val="en-US" w:eastAsia="zh-CN"/>
              </w:rPr>
              <w:t>分。</w:t>
            </w:r>
          </w:p>
          <w:p>
            <w:pPr>
              <w:widowControl/>
              <w:numPr>
                <w:ilvl w:val="0"/>
                <w:numId w:val="10"/>
              </w:numPr>
              <w:spacing w:before="24" w:after="24" w:line="240" w:lineRule="auto"/>
              <w:ind w:left="0" w:leftChars="0" w:right="24" w:rightChars="10" w:firstLineChars="0"/>
              <w:rPr>
                <w:rFonts w:hint="default" w:ascii="宋体" w:hAnsi="宋体" w:cs="宋体"/>
                <w:color w:val="auto"/>
                <w:sz w:val="22"/>
                <w:szCs w:val="22"/>
                <w:highlight w:val="none"/>
                <w:lang w:val="ru-RU"/>
              </w:rPr>
            </w:pPr>
            <w:r>
              <w:rPr>
                <w:rFonts w:ascii="宋体" w:hAnsi="宋体" w:eastAsia="宋体" w:cs="宋体"/>
                <w:color w:val="auto"/>
                <w:sz w:val="22"/>
                <w:szCs w:val="22"/>
                <w:highlight w:val="none"/>
                <w:lang w:val="ru-RU"/>
              </w:rPr>
              <w:t>根据供应商对</w:t>
            </w:r>
            <w:r>
              <w:rPr>
                <w:rFonts w:hint="eastAsia" w:ascii="宋体" w:hAnsi="宋体" w:eastAsia="宋体" w:cs="宋体"/>
                <w:color w:val="auto"/>
                <w:sz w:val="22"/>
                <w:szCs w:val="22"/>
                <w:highlight w:val="none"/>
                <w:lang w:val="ru-RU" w:eastAsia="zh-CN"/>
              </w:rPr>
              <w:t>其他</w:t>
            </w:r>
            <w:r>
              <w:rPr>
                <w:rFonts w:ascii="宋体" w:hAnsi="宋体" w:eastAsia="宋体" w:cs="宋体"/>
                <w:color w:val="auto"/>
                <w:sz w:val="22"/>
                <w:szCs w:val="22"/>
                <w:highlight w:val="none"/>
                <w:lang w:val="ru-RU"/>
              </w:rPr>
              <w:t>服务要求的响应承诺程度得[0-</w:t>
            </w:r>
            <w:r>
              <w:rPr>
                <w:rFonts w:hint="default" w:ascii="宋体" w:hAnsi="宋体" w:eastAsia="宋体" w:cs="宋体"/>
                <w:color w:val="auto"/>
                <w:sz w:val="22"/>
                <w:szCs w:val="22"/>
                <w:highlight w:val="none"/>
              </w:rPr>
              <w:t>5</w:t>
            </w:r>
            <w:r>
              <w:rPr>
                <w:rFonts w:ascii="宋体" w:hAnsi="宋体" w:eastAsia="宋体" w:cs="宋体"/>
                <w:color w:val="auto"/>
                <w:sz w:val="22"/>
                <w:szCs w:val="22"/>
                <w:highlight w:val="none"/>
                <w:lang w:val="ru-RU"/>
              </w:rPr>
              <w:t>）分，</w:t>
            </w:r>
            <w:r>
              <w:rPr>
                <w:rFonts w:hint="default" w:ascii="宋体" w:hAnsi="宋体" w:eastAsia="宋体" w:cs="宋体"/>
                <w:color w:val="auto"/>
                <w:sz w:val="22"/>
                <w:szCs w:val="22"/>
                <w:highlight w:val="none"/>
                <w:lang w:val="ru-RU"/>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40" w:type="dxa"/>
            <w:tcBorders>
              <w:tl2br w:val="nil"/>
              <w:tr2bl w:val="nil"/>
            </w:tcBorders>
            <w:shd w:val="clear" w:color="auto" w:fill="auto"/>
            <w:vAlign w:val="center"/>
          </w:tcPr>
          <w:p>
            <w:pPr>
              <w:widowControl/>
              <w:spacing w:before="24" w:after="24" w:line="240" w:lineRule="auto"/>
              <w:jc w:val="center"/>
              <w:rPr>
                <w:rFonts w:hint="default" w:ascii="宋体" w:hAnsi="宋体" w:cs="宋体"/>
                <w:color w:val="auto"/>
                <w:sz w:val="22"/>
                <w:szCs w:val="22"/>
                <w:highlight w:val="none"/>
              </w:rPr>
            </w:pPr>
            <w:r>
              <w:rPr>
                <w:rFonts w:ascii="宋体" w:hAnsi="宋体" w:cs="宋体"/>
                <w:color w:val="auto"/>
                <w:sz w:val="22"/>
                <w:szCs w:val="22"/>
                <w:highlight w:val="none"/>
              </w:rPr>
              <w:t>企业类似业绩</w:t>
            </w:r>
          </w:p>
        </w:tc>
        <w:tc>
          <w:tcPr>
            <w:tcW w:w="61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eastAsia="宋体" w:cs="宋体"/>
                <w:color w:val="auto"/>
                <w:sz w:val="22"/>
                <w:szCs w:val="22"/>
                <w:highlight w:val="none"/>
                <w:lang w:eastAsia="zh-CN"/>
              </w:rPr>
            </w:pPr>
            <w:r>
              <w:rPr>
                <w:rFonts w:hint="default" w:ascii="宋体" w:hAnsi="宋体" w:cs="宋体"/>
                <w:color w:val="auto"/>
                <w:sz w:val="22"/>
                <w:szCs w:val="22"/>
                <w:highlight w:val="none"/>
                <w:lang w:eastAsia="zh-CN"/>
              </w:rPr>
              <w:t>6</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eastAsia="宋体" w:cs="宋体"/>
                <w:color w:val="auto"/>
                <w:sz w:val="22"/>
                <w:szCs w:val="22"/>
                <w:highlight w:val="none"/>
                <w:lang w:eastAsia="zh-CN"/>
              </w:rPr>
            </w:pPr>
            <w:r>
              <w:rPr>
                <w:rFonts w:hint="default" w:ascii="宋体" w:hAnsi="宋体" w:cs="宋体"/>
                <w:color w:val="auto"/>
                <w:sz w:val="22"/>
                <w:szCs w:val="22"/>
                <w:highlight w:val="none"/>
                <w:lang w:eastAsia="zh-CN"/>
              </w:rPr>
              <w:t>6</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ascii="宋体" w:hAnsi="宋体" w:cs="宋体"/>
                <w:color w:val="auto"/>
                <w:sz w:val="22"/>
                <w:szCs w:val="22"/>
                <w:highlight w:val="none"/>
              </w:rPr>
            </w:pPr>
            <w:r>
              <w:rPr>
                <w:rFonts w:ascii="宋体" w:hAnsi="宋体" w:cs="宋体"/>
                <w:color w:val="auto"/>
                <w:sz w:val="22"/>
                <w:szCs w:val="22"/>
                <w:highlight w:val="none"/>
              </w:rPr>
              <w:t>供应商2020年1月1日至今每有一项类似业绩得</w:t>
            </w:r>
            <w:r>
              <w:rPr>
                <w:rFonts w:hint="default" w:ascii="宋体" w:hAnsi="宋体" w:cs="宋体"/>
                <w:color w:val="auto"/>
                <w:sz w:val="22"/>
                <w:szCs w:val="22"/>
                <w:highlight w:val="none"/>
                <w:lang w:eastAsia="zh-CN"/>
              </w:rPr>
              <w:t>2</w:t>
            </w:r>
            <w:r>
              <w:rPr>
                <w:rFonts w:ascii="宋体" w:hAnsi="宋体" w:cs="宋体"/>
                <w:color w:val="auto"/>
                <w:sz w:val="22"/>
                <w:szCs w:val="22"/>
                <w:highlight w:val="none"/>
              </w:rPr>
              <w:t>分，最高得</w:t>
            </w:r>
            <w:r>
              <w:rPr>
                <w:rFonts w:hint="default" w:ascii="宋体" w:hAnsi="宋体" w:cs="宋体"/>
                <w:color w:val="auto"/>
                <w:sz w:val="22"/>
                <w:szCs w:val="22"/>
                <w:highlight w:val="none"/>
              </w:rPr>
              <w:t>6</w:t>
            </w:r>
            <w:r>
              <w:rPr>
                <w:rFonts w:ascii="宋体" w:hAnsi="宋体" w:cs="宋体"/>
                <w:color w:val="auto"/>
                <w:sz w:val="22"/>
                <w:szCs w:val="22"/>
                <w:highlight w:val="none"/>
              </w:rPr>
              <w:t>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提供合同复印件加盖供应商公章，否则不得分。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0" w:type="dxa"/>
            <w:vMerge w:val="restart"/>
            <w:tcBorders>
              <w:tl2br w:val="nil"/>
              <w:tr2bl w:val="nil"/>
            </w:tcBorders>
            <w:shd w:val="clear" w:color="auto" w:fill="auto"/>
            <w:vAlign w:val="center"/>
          </w:tcPr>
          <w:p>
            <w:pPr>
              <w:widowControl/>
              <w:spacing w:before="24" w:after="24" w:line="240" w:lineRule="auto"/>
              <w:jc w:val="center"/>
              <w:rPr>
                <w:rFonts w:hint="default" w:ascii="宋体" w:hAnsi="宋体" w:cs="宋体"/>
                <w:color w:val="auto"/>
                <w:sz w:val="22"/>
                <w:szCs w:val="22"/>
                <w:highlight w:val="none"/>
              </w:rPr>
            </w:pPr>
            <w:r>
              <w:rPr>
                <w:rFonts w:ascii="宋体" w:hAnsi="宋体" w:cs="宋体"/>
                <w:color w:val="auto"/>
                <w:sz w:val="22"/>
                <w:szCs w:val="22"/>
                <w:highlight w:val="none"/>
              </w:rPr>
              <w:t>认证证书</w:t>
            </w:r>
          </w:p>
        </w:tc>
        <w:tc>
          <w:tcPr>
            <w:tcW w:w="617" w:type="dxa"/>
            <w:vMerge w:val="restart"/>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3</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ascii="宋体" w:hAnsi="宋体" w:cs="宋体"/>
                <w:color w:val="auto"/>
                <w:sz w:val="22"/>
                <w:szCs w:val="22"/>
                <w:highlight w:val="none"/>
              </w:rPr>
            </w:pPr>
            <w:r>
              <w:rPr>
                <w:rFonts w:ascii="宋体" w:hAnsi="宋体" w:cs="宋体"/>
                <w:color w:val="auto"/>
                <w:sz w:val="22"/>
                <w:szCs w:val="22"/>
                <w:highlight w:val="none"/>
              </w:rPr>
              <w:t>所投</w:t>
            </w:r>
            <w:r>
              <w:rPr>
                <w:rFonts w:hint="eastAsia" w:ascii="宋体" w:hAnsi="宋体" w:cs="宋体"/>
                <w:color w:val="auto"/>
                <w:sz w:val="22"/>
                <w:szCs w:val="22"/>
                <w:highlight w:val="none"/>
                <w:lang w:eastAsia="zh-CN"/>
              </w:rPr>
              <w:t>软件系统开发商</w:t>
            </w:r>
            <w:r>
              <w:rPr>
                <w:rFonts w:ascii="宋体" w:hAnsi="宋体" w:cs="宋体"/>
                <w:color w:val="auto"/>
                <w:sz w:val="22"/>
                <w:szCs w:val="22"/>
                <w:highlight w:val="none"/>
              </w:rPr>
              <w:t>具有有效期内的质量管理体系认证证书、环境管理体系认证证书、职业健康安全管理体系认证证书的得3分，缺一项，扣1分，扣完为止。</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提供证书复印件加盖供应商公章，否则不得分。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0" w:type="dxa"/>
            <w:vMerge w:val="continue"/>
            <w:tcBorders>
              <w:tl2br w:val="nil"/>
              <w:tr2bl w:val="nil"/>
            </w:tcBorders>
            <w:shd w:val="clear" w:color="auto" w:fill="auto"/>
            <w:vAlign w:val="center"/>
          </w:tcPr>
          <w:p>
            <w:pPr>
              <w:widowControl/>
              <w:spacing w:before="24" w:after="24" w:line="240" w:lineRule="auto"/>
              <w:jc w:val="center"/>
              <w:rPr>
                <w:rFonts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所投</w:t>
            </w:r>
            <w:r>
              <w:rPr>
                <w:rFonts w:hint="eastAsia" w:ascii="宋体" w:hAnsi="宋体" w:cs="宋体"/>
                <w:color w:val="auto"/>
                <w:sz w:val="22"/>
                <w:szCs w:val="22"/>
                <w:highlight w:val="none"/>
                <w:lang w:eastAsia="zh-CN"/>
              </w:rPr>
              <w:t>软件系统开发商</w:t>
            </w:r>
            <w:r>
              <w:rPr>
                <w:rFonts w:ascii="宋体" w:hAnsi="宋体" w:cs="宋体"/>
                <w:color w:val="auto"/>
                <w:sz w:val="22"/>
                <w:szCs w:val="22"/>
                <w:highlight w:val="none"/>
              </w:rPr>
              <w:t>具有自主研发档案管理系统（提供证明材料），并提供档案管理系统国家版权局颁发的计算机软件著作权登记证书的得</w:t>
            </w:r>
            <w:r>
              <w:rPr>
                <w:rFonts w:hint="eastAsia" w:ascii="宋体" w:hAnsi="宋体" w:cs="宋体"/>
                <w:color w:val="auto"/>
                <w:sz w:val="22"/>
                <w:szCs w:val="22"/>
                <w:highlight w:val="none"/>
                <w:lang w:val="en-US" w:eastAsia="zh-CN"/>
              </w:rPr>
              <w:t>3</w:t>
            </w:r>
            <w:r>
              <w:rPr>
                <w:rFonts w:ascii="宋体" w:hAnsi="宋体" w:cs="宋体"/>
                <w:color w:val="auto"/>
                <w:sz w:val="22"/>
                <w:szCs w:val="22"/>
                <w:highlight w:val="none"/>
              </w:rPr>
              <w:t>分。</w:t>
            </w:r>
          </w:p>
          <w:p>
            <w:pPr>
              <w:widowControl/>
              <w:spacing w:before="24" w:after="24" w:line="240" w:lineRule="auto"/>
              <w:ind w:left="24" w:leftChars="10" w:right="24" w:rightChars="10"/>
              <w:rPr>
                <w:rFonts w:hint="default"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rPr>
              <w:t>提供证明材料或证书复印件加盖供应商公章，否则不得分。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0" w:type="dxa"/>
            <w:vMerge w:val="continue"/>
            <w:tcBorders>
              <w:tl2br w:val="nil"/>
              <w:tr2bl w:val="nil"/>
            </w:tcBorders>
            <w:shd w:val="clear" w:color="auto" w:fill="auto"/>
            <w:vAlign w:val="center"/>
          </w:tcPr>
          <w:p>
            <w:pPr>
              <w:widowControl/>
              <w:spacing w:before="24" w:after="24" w:line="240" w:lineRule="auto"/>
              <w:jc w:val="center"/>
              <w:rPr>
                <w:rFonts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hint="default" w:ascii="宋体" w:hAnsi="宋体" w:cs="宋体"/>
                <w:color w:val="auto"/>
                <w:sz w:val="22"/>
                <w:szCs w:val="22"/>
                <w:highlight w:val="none"/>
              </w:rPr>
              <w:t>3</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Hans"/>
              </w:rPr>
              <w:t>所投软件系统开发商具有涉密信息系统集成资质（软件开发）的得</w:t>
            </w:r>
            <w:r>
              <w:rPr>
                <w:rFonts w:hint="default" w:ascii="宋体" w:hAnsi="宋体" w:cs="宋体"/>
                <w:color w:val="auto"/>
                <w:sz w:val="22"/>
                <w:szCs w:val="22"/>
                <w:highlight w:val="none"/>
                <w:lang w:eastAsia="zh-Hans"/>
              </w:rPr>
              <w:t>3</w:t>
            </w:r>
            <w:r>
              <w:rPr>
                <w:rFonts w:hint="eastAsia" w:ascii="宋体" w:hAnsi="宋体" w:eastAsia="宋体" w:cs="宋体"/>
                <w:color w:val="auto"/>
                <w:sz w:val="22"/>
                <w:szCs w:val="22"/>
                <w:highlight w:val="none"/>
                <w:lang w:val="en-US" w:eastAsia="zh-Hans"/>
              </w:rPr>
              <w:t>分。</w:t>
            </w:r>
          </w:p>
          <w:p>
            <w:pPr>
              <w:widowControl/>
              <w:spacing w:before="24" w:after="24" w:line="240" w:lineRule="auto"/>
              <w:ind w:left="24" w:leftChars="10" w:right="24" w:rightChars="10"/>
              <w:rPr>
                <w:rFonts w:hint="default" w:ascii="宋体" w:hAnsi="宋体" w:eastAsia="宋体" w:cs="宋体"/>
                <w:color w:val="auto"/>
                <w:sz w:val="22"/>
                <w:szCs w:val="22"/>
                <w:highlight w:val="none"/>
                <w:lang w:val="en-US" w:eastAsia="zh-Hans"/>
              </w:rPr>
            </w:pPr>
            <w:r>
              <w:rPr>
                <w:rFonts w:ascii="宋体" w:hAnsi="宋体" w:eastAsia="宋体" w:cs="宋体"/>
                <w:color w:val="auto"/>
                <w:sz w:val="22"/>
                <w:szCs w:val="22"/>
                <w:highlight w:val="none"/>
              </w:rPr>
              <w:t>提供证明材料或证书复印件加盖供应商公章，否则不得分。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40" w:type="dxa"/>
            <w:vMerge w:val="continue"/>
            <w:tcBorders>
              <w:tl2br w:val="nil"/>
              <w:tr2bl w:val="nil"/>
            </w:tcBorders>
            <w:shd w:val="clear" w:color="auto" w:fill="auto"/>
            <w:vAlign w:val="center"/>
          </w:tcPr>
          <w:p>
            <w:pPr>
              <w:widowControl/>
              <w:spacing w:before="24" w:after="24" w:line="240" w:lineRule="auto"/>
              <w:jc w:val="center"/>
              <w:rPr>
                <w:rFonts w:hint="default" w:ascii="宋体" w:hAnsi="宋体" w:cs="宋体"/>
                <w:color w:val="auto"/>
                <w:sz w:val="22"/>
                <w:szCs w:val="22"/>
                <w:highlight w:val="none"/>
              </w:rPr>
            </w:pPr>
          </w:p>
        </w:tc>
        <w:tc>
          <w:tcPr>
            <w:tcW w:w="617" w:type="dxa"/>
            <w:vMerge w:val="continue"/>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3</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供应商具有高新技术企业认证得3分。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提供证书复印件加盖供应商公章，否则不得分。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0" w:type="dxa"/>
            <w:tcBorders>
              <w:tl2br w:val="nil"/>
              <w:tr2bl w:val="nil"/>
            </w:tcBorders>
            <w:shd w:val="clear" w:color="auto" w:fill="auto"/>
            <w:vAlign w:val="center"/>
          </w:tcPr>
          <w:p>
            <w:pPr>
              <w:widowControl/>
              <w:spacing w:before="24" w:after="24" w:line="240" w:lineRule="auto"/>
              <w:jc w:val="center"/>
              <w:rPr>
                <w:rFonts w:hint="default" w:ascii="宋体" w:hAnsi="宋体" w:cs="宋体"/>
                <w:color w:val="auto"/>
                <w:sz w:val="22"/>
                <w:szCs w:val="22"/>
                <w:highlight w:val="none"/>
              </w:rPr>
            </w:pPr>
            <w:r>
              <w:rPr>
                <w:rFonts w:ascii="宋体" w:hAnsi="宋体" w:cs="宋体"/>
                <w:color w:val="auto"/>
                <w:sz w:val="22"/>
                <w:szCs w:val="22"/>
                <w:highlight w:val="none"/>
              </w:rPr>
              <w:t>技术支持</w:t>
            </w:r>
          </w:p>
        </w:tc>
        <w:tc>
          <w:tcPr>
            <w:tcW w:w="61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777" w:type="dxa"/>
            <w:tcBorders>
              <w:tl2br w:val="nil"/>
              <w:tr2bl w:val="nil"/>
            </w:tcBorders>
            <w:shd w:val="clear" w:color="auto" w:fill="auto"/>
            <w:vAlign w:val="center"/>
          </w:tcPr>
          <w:p>
            <w:pPr>
              <w:widowControl/>
              <w:spacing w:before="24" w:after="24" w:line="240" w:lineRule="auto"/>
              <w:ind w:left="24" w:leftChars="10" w:right="24" w:rightChars="10"/>
              <w:jc w:val="center"/>
              <w:rPr>
                <w:rFonts w:hint="default" w:ascii="宋体" w:hAnsi="宋体" w:cs="宋体"/>
                <w:color w:val="auto"/>
                <w:sz w:val="22"/>
                <w:szCs w:val="22"/>
                <w:highlight w:val="none"/>
              </w:rPr>
            </w:pPr>
            <w:r>
              <w:rPr>
                <w:rFonts w:ascii="宋体" w:hAnsi="宋体" w:cs="宋体"/>
                <w:color w:val="auto"/>
                <w:sz w:val="22"/>
                <w:szCs w:val="22"/>
                <w:highlight w:val="none"/>
              </w:rPr>
              <w:t>6</w:t>
            </w:r>
          </w:p>
        </w:tc>
        <w:tc>
          <w:tcPr>
            <w:tcW w:w="6584" w:type="dxa"/>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供应商具有信息系统项目管理师、网络工程师、软件</w:t>
            </w:r>
            <w:r>
              <w:rPr>
                <w:rFonts w:hint="eastAsia" w:ascii="宋体" w:hAnsi="宋体" w:cs="宋体"/>
                <w:color w:val="auto"/>
                <w:sz w:val="22"/>
                <w:szCs w:val="22"/>
                <w:highlight w:val="none"/>
                <w:lang w:val="en-US" w:eastAsia="zh-Hans"/>
              </w:rPr>
              <w:t>设计</w:t>
            </w:r>
            <w:r>
              <w:rPr>
                <w:rFonts w:ascii="宋体" w:hAnsi="宋体" w:cs="宋体"/>
                <w:color w:val="auto"/>
                <w:sz w:val="22"/>
                <w:szCs w:val="22"/>
                <w:highlight w:val="none"/>
              </w:rPr>
              <w:t>工程师的分别得2分，满分6分。</w:t>
            </w:r>
          </w:p>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注：提供有效期内的资格证书复印件并加盖公章，资料不全或未提供不得分。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0" w:type="dxa"/>
            <w:tcBorders>
              <w:tl2br w:val="nil"/>
              <w:tr2bl w:val="nil"/>
            </w:tcBorders>
            <w:shd w:val="clear" w:color="auto" w:fill="auto"/>
            <w:vAlign w:val="center"/>
          </w:tcPr>
          <w:p>
            <w:pPr>
              <w:widowControl/>
              <w:spacing w:before="24" w:after="24" w:line="240" w:lineRule="auto"/>
              <w:jc w:val="center"/>
              <w:rPr>
                <w:rFonts w:hint="default" w:ascii="宋体" w:hAnsi="宋体" w:cs="宋体"/>
                <w:color w:val="auto"/>
                <w:sz w:val="22"/>
                <w:szCs w:val="22"/>
                <w:highlight w:val="none"/>
              </w:rPr>
            </w:pPr>
            <w:r>
              <w:rPr>
                <w:rFonts w:ascii="宋体" w:hAnsi="宋体" w:cs="宋体"/>
                <w:color w:val="auto"/>
                <w:sz w:val="22"/>
                <w:szCs w:val="22"/>
                <w:highlight w:val="none"/>
              </w:rPr>
              <w:t>说明</w:t>
            </w:r>
          </w:p>
        </w:tc>
        <w:tc>
          <w:tcPr>
            <w:tcW w:w="7978" w:type="dxa"/>
            <w:gridSpan w:val="3"/>
            <w:tcBorders>
              <w:tl2br w:val="nil"/>
              <w:tr2bl w:val="nil"/>
            </w:tcBorders>
            <w:shd w:val="clear" w:color="auto" w:fill="auto"/>
            <w:vAlign w:val="center"/>
          </w:tcPr>
          <w:p>
            <w:pPr>
              <w:widowControl/>
              <w:spacing w:before="24" w:after="24" w:line="240" w:lineRule="auto"/>
              <w:ind w:left="24" w:leftChars="10" w:right="24" w:rightChars="10"/>
              <w:rPr>
                <w:rFonts w:hint="default" w:ascii="宋体" w:hAnsi="宋体" w:cs="宋体"/>
                <w:color w:val="auto"/>
                <w:sz w:val="22"/>
                <w:szCs w:val="22"/>
                <w:highlight w:val="none"/>
              </w:rPr>
            </w:pPr>
            <w:r>
              <w:rPr>
                <w:rFonts w:ascii="宋体" w:hAnsi="宋体" w:cs="宋体"/>
                <w:color w:val="auto"/>
                <w:sz w:val="22"/>
                <w:szCs w:val="22"/>
                <w:highlight w:val="none"/>
              </w:rPr>
              <w:t>1、磋商小组成员必须按照本评审要素据实打分，各类数字计算均按“四舍五入”保留小数点后两位。</w:t>
            </w:r>
          </w:p>
        </w:tc>
      </w:tr>
    </w:tbl>
    <w:p>
      <w:pPr>
        <w:pStyle w:val="4"/>
        <w:spacing w:beforeLines="50" w:afterLines="0" w:line="360" w:lineRule="auto"/>
        <w:rPr>
          <w:rFonts w:hint="default" w:hAnsi="宋体" w:cs="宋体"/>
          <w:color w:val="auto"/>
          <w:sz w:val="24"/>
          <w:szCs w:val="24"/>
          <w:highlight w:val="none"/>
        </w:rPr>
      </w:pPr>
      <w:r>
        <w:rPr>
          <w:rFonts w:hAnsi="宋体" w:cs="宋体"/>
          <w:color w:val="auto"/>
          <w:sz w:val="24"/>
          <w:szCs w:val="24"/>
          <w:highlight w:val="none"/>
        </w:rPr>
        <w:t>4.4 需要落实的政府采购政策</w:t>
      </w:r>
      <w:bookmarkEnd w:id="147"/>
      <w:bookmarkEnd w:id="148"/>
      <w:bookmarkEnd w:id="149"/>
      <w:bookmarkEnd w:id="150"/>
      <w:bookmarkEnd w:id="151"/>
      <w:bookmarkEnd w:id="155"/>
    </w:p>
    <w:p>
      <w:pPr>
        <w:autoSpaceDE w:val="0"/>
        <w:autoSpaceDN w:val="0"/>
        <w:adjustRightInd w:val="0"/>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供应商应如实提供所需要的证明文件，如存在虚假材料应标，将取消其磋商资格，并依照《中华人民共和国政府采购法》等国家有关规定追究相应责任。</w:t>
      </w:r>
    </w:p>
    <w:p>
      <w:pPr>
        <w:autoSpaceDE w:val="0"/>
        <w:autoSpaceDN w:val="0"/>
        <w:adjustRightInd w:val="0"/>
        <w:spacing w:beforeLines="0" w:afterLines="0"/>
        <w:rPr>
          <w:rFonts w:hint="default" w:ascii="宋体" w:hAnsi="宋体" w:cs="宋体"/>
          <w:bCs/>
          <w:color w:val="auto"/>
          <w:szCs w:val="24"/>
          <w:highlight w:val="none"/>
        </w:rPr>
      </w:pPr>
      <w:r>
        <w:rPr>
          <w:rFonts w:ascii="宋体" w:hAnsi="宋体" w:cs="宋体"/>
          <w:b/>
          <w:color w:val="auto"/>
          <w:szCs w:val="24"/>
          <w:highlight w:val="none"/>
        </w:rPr>
        <w:t>4.4.1供应商企业政府采购政策</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（一）中小企业（含中型、小型、微型企业）</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1.符合国务院有关部门根据企业从业人员、营业收入、资产总额等指标制定的中小企业划型标准（工信部联企业〔2011〕300号），提供中小企业制造的货物、由中小企业承建的工程或者由中小企业承接的服务。</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2.中小企业参加磋商时，出具《政府采购促进中小企业发展管理办法》（财库[2020]46号）文件规定的《中小企业声明函》，享受相关中小企业扶持政策。 </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（二）监狱企业 </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1.符合《关于政府采购支持监狱企业发展有关问题的通知》（财库[2014]68号）文件规定的监狱企业，提供本企业制造的货物、由本企业承建的工程或者承接的服务。 </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2.监狱企业投标时提供由省级以上监狱管理局、戒毒管理局(含新疆生产建设兵团)出具的属于监狱企业证明的，享受相关中小企业扶持政策。 </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3.在政府采购活动中，监狱企业视同小型、微型企业，享受相关中小企业扶持政策，若监狱企业已属于小型、微型企业的，不重复享受政策。</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（三）残疾人福利性单位 </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1.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 </w:t>
      </w:r>
    </w:p>
    <w:p>
      <w:pPr>
        <w:spacing w:beforeLines="0" w:afterLines="0"/>
        <w:ind w:firstLine="480" w:firstLineChars="200"/>
        <w:rPr>
          <w:rFonts w:hint="default" w:ascii="宋体" w:hAnsi="宋体" w:cs="宋体"/>
          <w:color w:val="auto"/>
          <w:szCs w:val="21"/>
          <w:highlight w:val="none"/>
        </w:rPr>
      </w:pPr>
      <w:r>
        <w:rPr>
          <w:rFonts w:ascii="宋体" w:hAnsi="宋体" w:cs="宋体"/>
          <w:color w:val="auto"/>
          <w:szCs w:val="21"/>
          <w:highlight w:val="none"/>
        </w:rPr>
        <w:t xml:space="preserve">2.残疾人福利性单位投标时须提供《残疾人福利性单位声明函》，享受相关中小企业扶持政策。 </w:t>
      </w:r>
    </w:p>
    <w:p>
      <w:pPr>
        <w:spacing w:beforeLines="0" w:afterLines="0"/>
        <w:ind w:firstLine="480" w:firstLineChars="200"/>
        <w:rPr>
          <w:rFonts w:hint="default" w:ascii="宋体" w:hAnsi="宋体" w:cs="宋体"/>
          <w:color w:val="auto"/>
          <w:highlight w:val="none"/>
        </w:rPr>
      </w:pPr>
      <w:r>
        <w:rPr>
          <w:rFonts w:ascii="宋体" w:hAnsi="宋体" w:cs="宋体"/>
          <w:color w:val="auto"/>
          <w:szCs w:val="21"/>
          <w:highlight w:val="none"/>
        </w:rPr>
        <w:t>3.在政府采购活动中，残疾人福利性单位视同小型、微型企业，享受相关中小企业扶持政策，残疾人福利性单位已属于小型、微型企业的，不重复享受政策。</w:t>
      </w:r>
    </w:p>
    <w:p>
      <w:pPr>
        <w:autoSpaceDE w:val="0"/>
        <w:autoSpaceDN w:val="0"/>
        <w:adjustRightInd w:val="0"/>
        <w:spacing w:beforeLines="0" w:afterLines="0"/>
        <w:rPr>
          <w:rFonts w:hint="default" w:ascii="宋体" w:hAnsi="宋体" w:cs="宋体"/>
          <w:b/>
          <w:color w:val="auto"/>
          <w:szCs w:val="24"/>
          <w:highlight w:val="none"/>
        </w:rPr>
      </w:pPr>
      <w:r>
        <w:rPr>
          <w:rFonts w:ascii="宋体" w:hAnsi="宋体" w:cs="宋体"/>
          <w:b/>
          <w:color w:val="auto"/>
          <w:szCs w:val="24"/>
          <w:highlight w:val="none"/>
        </w:rPr>
        <w:t>4.4.2磋商产品政府采购政策</w:t>
      </w:r>
    </w:p>
    <w:p>
      <w:pPr>
        <w:autoSpaceDE w:val="0"/>
        <w:autoSpaceDN w:val="0"/>
        <w:adjustRightInd w:val="0"/>
        <w:spacing w:beforeLines="0" w:afterLines="0"/>
        <w:ind w:firstLine="480" w:firstLineChars="200"/>
        <w:jc w:val="left"/>
        <w:rPr>
          <w:rFonts w:hint="default" w:ascii="宋体" w:hAnsi="宋体" w:cs="宋体"/>
          <w:bCs/>
          <w:color w:val="auto"/>
          <w:szCs w:val="24"/>
          <w:highlight w:val="none"/>
        </w:rPr>
      </w:pPr>
      <w:r>
        <w:rPr>
          <w:rFonts w:ascii="宋体" w:hAnsi="宋体" w:cs="宋体"/>
          <w:bCs/>
          <w:color w:val="auto"/>
          <w:szCs w:val="24"/>
          <w:highlight w:val="none"/>
        </w:rPr>
        <w:t>1、节能产品根据《国务院办公厅关于建立政府强制采购节能产品制度的通知》（国办发[2007]51号）的规定，以中国政府采购网（http://www.ccgp.gov.cn/）公布的最新一期节能产品政府采购清单为准。</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bCs/>
          <w:color w:val="auto"/>
          <w:szCs w:val="24"/>
          <w:highlight w:val="none"/>
        </w:rPr>
        <w:t>2、环境标志产品根据《环境标志产品政府采购实施的意见》（财库[2006]90号）的规定，以中国政府采购网（http://www.ccgp.gov.cn/）公布的最新一期环境标志产品政府采购清单为准。</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bCs/>
          <w:color w:val="auto"/>
          <w:szCs w:val="24"/>
          <w:highlight w:val="none"/>
        </w:rPr>
        <w:t>3、供应商在响应文件中对所磋商产品为节能、环保、环境标志产品清单中的产品，在报价时必须对此类产品单独分项报价，计算出小计及占磋商报价总金额的百分比，并提供属于清单内产品的证明资料，未提供节能、环保、环境标志产品计分明细表及属于清单内产品的证明资料的不给予计分。 </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bCs/>
          <w:color w:val="auto"/>
          <w:szCs w:val="24"/>
          <w:highlight w:val="none"/>
        </w:rPr>
        <w:t>4、节能、环保、环境标志产品不重复计分；同时列入国家级清单和省级清单的产品不重复计分。</w:t>
      </w:r>
    </w:p>
    <w:p>
      <w:pPr>
        <w:autoSpaceDE w:val="0"/>
        <w:autoSpaceDN w:val="0"/>
        <w:adjustRightInd w:val="0"/>
        <w:spacing w:beforeLines="0" w:afterLines="0"/>
        <w:ind w:firstLine="480" w:firstLineChars="200"/>
        <w:rPr>
          <w:rFonts w:hint="default" w:ascii="宋体" w:hAnsi="宋体" w:cs="宋体"/>
          <w:bCs/>
          <w:color w:val="auto"/>
          <w:szCs w:val="24"/>
          <w:highlight w:val="none"/>
        </w:rPr>
      </w:pPr>
      <w:r>
        <w:rPr>
          <w:rFonts w:ascii="宋体" w:hAnsi="宋体" w:cs="宋体"/>
          <w:bCs/>
          <w:color w:val="auto"/>
          <w:szCs w:val="24"/>
          <w:highlight w:val="none"/>
        </w:rPr>
        <w:t>5、获得上述认证的产品在磋商时应提供有效证明材料。以上所有证明文件复印件须加盖供应商公章并注明“与原件一致”，否则不予计分。</w:t>
      </w:r>
    </w:p>
    <w:p>
      <w:pPr>
        <w:autoSpaceDE w:val="0"/>
        <w:autoSpaceDN w:val="0"/>
        <w:adjustRightInd w:val="0"/>
        <w:spacing w:beforeLines="0" w:afterLines="0"/>
        <w:outlineLvl w:val="3"/>
        <w:rPr>
          <w:rFonts w:hint="default" w:ascii="宋体" w:hAnsi="宋体" w:cs="宋体"/>
          <w:b/>
          <w:color w:val="auto"/>
          <w:szCs w:val="24"/>
          <w:highlight w:val="none"/>
        </w:rPr>
      </w:pPr>
      <w:r>
        <w:rPr>
          <w:rFonts w:ascii="宋体" w:hAnsi="宋体" w:cs="宋体"/>
          <w:b/>
          <w:color w:val="auto"/>
          <w:szCs w:val="24"/>
          <w:highlight w:val="none"/>
        </w:rPr>
        <w:t xml:space="preserve">4.4.3 政府采购信用融资政策 </w:t>
      </w:r>
    </w:p>
    <w:p>
      <w:pPr>
        <w:autoSpaceDE w:val="0"/>
        <w:autoSpaceDN w:val="0"/>
        <w:adjustRightInd w:val="0"/>
        <w:spacing w:beforeLines="0" w:afterLines="0"/>
        <w:ind w:firstLine="480" w:firstLineChars="200"/>
        <w:rPr>
          <w:rFonts w:hint="default" w:ascii="宋体" w:hAnsi="宋体" w:cs="宋体"/>
          <w:color w:val="auto"/>
          <w:highlight w:val="none"/>
        </w:rPr>
      </w:pPr>
      <w:r>
        <w:rPr>
          <w:rFonts w:ascii="宋体" w:hAnsi="宋体" w:cs="宋体"/>
          <w:bCs/>
          <w:color w:val="auto"/>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pPr>
        <w:pStyle w:val="4"/>
        <w:numPr>
          <w:ilvl w:val="0"/>
          <w:numId w:val="4"/>
        </w:numPr>
        <w:tabs>
          <w:tab w:val="left" w:pos="479"/>
        </w:tabs>
        <w:spacing w:beforeLines="0" w:afterLines="0" w:line="360" w:lineRule="auto"/>
        <w:ind w:firstLine="48" w:firstLineChars="20"/>
        <w:rPr>
          <w:rFonts w:hint="default" w:hAnsi="宋体" w:cs="宋体"/>
          <w:color w:val="auto"/>
          <w:sz w:val="24"/>
          <w:szCs w:val="24"/>
          <w:highlight w:val="none"/>
        </w:rPr>
      </w:pPr>
      <w:bookmarkStart w:id="156" w:name="_Toc18393"/>
      <w:r>
        <w:rPr>
          <w:rFonts w:hAnsi="宋体" w:cs="宋体"/>
          <w:color w:val="auto"/>
          <w:sz w:val="24"/>
          <w:szCs w:val="24"/>
          <w:highlight w:val="none"/>
        </w:rPr>
        <w:t>响应文件的澄清</w:t>
      </w:r>
      <w:bookmarkEnd w:id="152"/>
      <w:bookmarkEnd w:id="153"/>
      <w:bookmarkEnd w:id="154"/>
      <w:bookmarkEnd w:id="156"/>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除按本办法规定的重大偏差外，响应文件存在的其他问题应视为细微偏差。为了有助于响应文件的审查、评价和比较，采购人可书面通知供应商澄清或说明其响应文件中不明确的内容，或要求补充相应资料或对细微偏差进行补正。对此供应商不得拒绝，否则，作无效响应处理，并没收其磋商保证金。</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（2）有关澄清、说明和补正的要求和回答均以书面形式进行，但采购人和供应商均不得因此而提出改变磋商文件或响应文件实质内容的要求。供应商的书面澄清、说明或补正属于响应文件的组成部分。</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（3）采购人不接受供应商对响应文件的主动澄清、说明和补正。</w:t>
      </w:r>
    </w:p>
    <w:p>
      <w:pPr>
        <w:snapToGrid w:val="0"/>
        <w:spacing w:beforeLines="0" w:afterLines="0"/>
        <w:ind w:firstLine="482" w:firstLineChars="200"/>
        <w:rPr>
          <w:rFonts w:hint="default" w:ascii="宋体" w:hAnsi="宋体" w:cs="宋体"/>
          <w:b/>
          <w:color w:val="auto"/>
          <w:szCs w:val="24"/>
          <w:highlight w:val="none"/>
        </w:rPr>
      </w:pPr>
      <w:r>
        <w:rPr>
          <w:rFonts w:ascii="宋体" w:hAnsi="宋体" w:cs="宋体"/>
          <w:b/>
          <w:bCs/>
          <w:color w:val="auto"/>
          <w:szCs w:val="24"/>
          <w:highlight w:val="none"/>
        </w:rPr>
        <w:t>（4）</w:t>
      </w:r>
      <w:r>
        <w:rPr>
          <w:rFonts w:ascii="宋体" w:hAnsi="宋体" w:cs="宋体"/>
          <w:b/>
          <w:color w:val="auto"/>
          <w:szCs w:val="24"/>
          <w:highlight w:val="none"/>
        </w:rPr>
        <w:t>当磋商小组认为某供应商的报价明显低于其他通过符合性审查供应商的报价，有可能影响服务质量或不能诚信履约的，应当要求其在磋商现场合理的时间内提供书面说明，必要时提交相关证明材料；供应商不能证明其报价合理性的，磋商小组应当将其作无效响应处理。</w:t>
      </w:r>
    </w:p>
    <w:p>
      <w:pPr>
        <w:pStyle w:val="4"/>
        <w:numPr>
          <w:ilvl w:val="0"/>
          <w:numId w:val="4"/>
        </w:numPr>
        <w:tabs>
          <w:tab w:val="left" w:pos="479"/>
        </w:tabs>
        <w:spacing w:beforeLines="0" w:afterLines="0" w:line="360" w:lineRule="auto"/>
        <w:ind w:firstLine="48" w:firstLineChars="20"/>
        <w:rPr>
          <w:rFonts w:hint="default" w:hAnsi="宋体" w:cs="宋体"/>
          <w:color w:val="auto"/>
          <w:sz w:val="24"/>
          <w:szCs w:val="24"/>
          <w:highlight w:val="none"/>
        </w:rPr>
      </w:pPr>
      <w:bookmarkStart w:id="157" w:name="_Toc5990292"/>
      <w:bookmarkStart w:id="158" w:name="_Toc27483"/>
      <w:bookmarkStart w:id="159" w:name="_Toc5784"/>
      <w:bookmarkStart w:id="160" w:name="_Toc5804831"/>
      <w:bookmarkStart w:id="161" w:name="_Toc32379"/>
      <w:bookmarkStart w:id="162" w:name="_Toc30527"/>
      <w:bookmarkStart w:id="163" w:name="_Toc481838664"/>
      <w:r>
        <w:rPr>
          <w:rFonts w:hAnsi="宋体" w:cs="宋体"/>
          <w:color w:val="auto"/>
          <w:sz w:val="24"/>
          <w:szCs w:val="24"/>
          <w:highlight w:val="none"/>
        </w:rPr>
        <w:t>响应文件的否决</w:t>
      </w:r>
      <w:bookmarkEnd w:id="157"/>
      <w:bookmarkEnd w:id="158"/>
      <w:bookmarkEnd w:id="159"/>
      <w:bookmarkEnd w:id="160"/>
      <w:bookmarkEnd w:id="161"/>
      <w:bookmarkEnd w:id="162"/>
      <w:bookmarkEnd w:id="163"/>
    </w:p>
    <w:p>
      <w:pPr>
        <w:pStyle w:val="6"/>
        <w:numPr>
          <w:ilvl w:val="0"/>
          <w:numId w:val="0"/>
        </w:numPr>
        <w:tabs>
          <w:tab w:val="clear" w:pos="821"/>
        </w:tabs>
        <w:spacing w:beforeLines="0" w:afterLines="0" w:line="360" w:lineRule="auto"/>
        <w:rPr>
          <w:rFonts w:ascii="宋体" w:hAnsi="宋体" w:cs="宋体"/>
          <w:color w:val="auto"/>
          <w:szCs w:val="24"/>
          <w:highlight w:val="none"/>
        </w:rPr>
      </w:pPr>
      <w:r>
        <w:rPr>
          <w:rFonts w:hint="eastAsia" w:ascii="宋体" w:hAnsi="宋体" w:cs="宋体"/>
          <w:color w:val="auto"/>
          <w:szCs w:val="24"/>
          <w:highlight w:val="none"/>
        </w:rPr>
        <w:t>6.1 下列情况下否决响应文件并视其磋商无效：</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（a）响应文件实质性违反响应文件要求的；</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（b）供应商不符合资质要求的；</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（c）响应文件含有虚假陈述的；</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（d）供应商拒绝在开标时将其响应文件当众打开并宣读的；</w:t>
      </w:r>
    </w:p>
    <w:p>
      <w:pPr>
        <w:pStyle w:val="6"/>
        <w:numPr>
          <w:ilvl w:val="0"/>
          <w:numId w:val="0"/>
        </w:numPr>
        <w:tabs>
          <w:tab w:val="clear" w:pos="821"/>
        </w:tabs>
        <w:spacing w:beforeLines="0" w:afterLines="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6.2 在领取成交通知书之前，如果发生下列情况，采购人可以在任何时间否决所有响应文件：</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（a）因情况变化，不再符合规定的竞争性磋商采购方式适用情形的；</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（b）出现影响采购公正的违法、违规行为的。</w:t>
      </w:r>
    </w:p>
    <w:p>
      <w:pPr>
        <w:pStyle w:val="4"/>
        <w:numPr>
          <w:ilvl w:val="0"/>
          <w:numId w:val="4"/>
        </w:numPr>
        <w:tabs>
          <w:tab w:val="left" w:pos="479"/>
        </w:tabs>
        <w:spacing w:beforeLines="0" w:afterLines="0" w:line="360" w:lineRule="auto"/>
        <w:ind w:firstLine="48" w:firstLineChars="20"/>
        <w:rPr>
          <w:rFonts w:hint="default" w:hAnsi="宋体" w:cs="宋体"/>
          <w:color w:val="auto"/>
          <w:sz w:val="24"/>
          <w:szCs w:val="24"/>
          <w:highlight w:val="none"/>
        </w:rPr>
      </w:pPr>
      <w:bookmarkStart w:id="164" w:name="_Toc5804832"/>
      <w:bookmarkStart w:id="165" w:name="_Toc22901"/>
      <w:bookmarkStart w:id="166" w:name="_Toc933"/>
      <w:bookmarkStart w:id="167" w:name="_Toc222740139"/>
      <w:bookmarkStart w:id="168" w:name="_Toc32631"/>
      <w:bookmarkStart w:id="169" w:name="_Toc481838666"/>
      <w:bookmarkStart w:id="170" w:name="_Toc5990293"/>
      <w:bookmarkStart w:id="171" w:name="_Toc5328"/>
      <w:r>
        <w:rPr>
          <w:rFonts w:hAnsi="宋体" w:cs="宋体"/>
          <w:color w:val="auto"/>
          <w:sz w:val="24"/>
          <w:szCs w:val="24"/>
          <w:highlight w:val="none"/>
        </w:rPr>
        <w:t>推荐拟成交供应商</w:t>
      </w:r>
      <w:bookmarkEnd w:id="164"/>
      <w:bookmarkEnd w:id="165"/>
      <w:bookmarkEnd w:id="166"/>
      <w:bookmarkEnd w:id="167"/>
      <w:bookmarkEnd w:id="168"/>
      <w:bookmarkEnd w:id="169"/>
      <w:bookmarkEnd w:id="170"/>
      <w:bookmarkEnd w:id="171"/>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磋商小组应当根据综合评分情况，按照评审得分由高到低的顺序推荐3名成交候选供应商，并编写评审报告。</w:t>
      </w:r>
      <w:bookmarkStart w:id="172" w:name="_Toc222740140"/>
      <w:r>
        <w:rPr>
          <w:rFonts w:ascii="宋体" w:hAnsi="宋体" w:cs="宋体"/>
          <w:color w:val="auto"/>
          <w:szCs w:val="24"/>
          <w:highlight w:val="none"/>
        </w:rPr>
        <w:t>若出现三家或三家以上的供应商得分均为最高分的情况，取报价低者为成交供应商；若报价也相同，按照技术部分得分高低顺序推荐；若技术部分得分也相同，由采购人自行决定成交供应商。</w:t>
      </w:r>
    </w:p>
    <w:p>
      <w:pPr>
        <w:pStyle w:val="4"/>
        <w:numPr>
          <w:ilvl w:val="0"/>
          <w:numId w:val="4"/>
        </w:numPr>
        <w:tabs>
          <w:tab w:val="left" w:pos="479"/>
        </w:tabs>
        <w:spacing w:beforeLines="0" w:afterLines="0" w:line="360" w:lineRule="auto"/>
        <w:ind w:firstLine="48" w:firstLineChars="20"/>
        <w:rPr>
          <w:rFonts w:hint="default" w:hAnsi="宋体" w:cs="宋体"/>
          <w:color w:val="auto"/>
          <w:sz w:val="24"/>
          <w:szCs w:val="24"/>
          <w:highlight w:val="none"/>
        </w:rPr>
      </w:pPr>
      <w:bookmarkStart w:id="173" w:name="_Toc3982"/>
      <w:bookmarkStart w:id="174" w:name="_Toc21003"/>
      <w:bookmarkStart w:id="175" w:name="_Toc7631"/>
      <w:bookmarkStart w:id="176" w:name="_Toc22750"/>
      <w:bookmarkStart w:id="177" w:name="_Toc5990294"/>
      <w:bookmarkStart w:id="178" w:name="_Toc481838667"/>
      <w:bookmarkStart w:id="179" w:name="_Toc5804833"/>
      <w:r>
        <w:rPr>
          <w:rFonts w:hAnsi="宋体" w:cs="宋体"/>
          <w:color w:val="auto"/>
          <w:sz w:val="24"/>
          <w:szCs w:val="24"/>
          <w:highlight w:val="none"/>
        </w:rPr>
        <w:t>评审报告</w:t>
      </w:r>
      <w:bookmarkEnd w:id="172"/>
      <w:bookmarkEnd w:id="173"/>
      <w:bookmarkEnd w:id="174"/>
      <w:bookmarkEnd w:id="175"/>
      <w:bookmarkEnd w:id="176"/>
      <w:bookmarkEnd w:id="177"/>
      <w:bookmarkEnd w:id="178"/>
      <w:bookmarkEnd w:id="179"/>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评审报告内容应包括以下几点：</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（1）邀请供应商参加采购活动的具体方式和相关情况；</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（2）响应文件开启日期和地点；</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（3）获取磋商文件的供应商名单和磋商小组成员名单；</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（4）评审情况记录和说明，包括对供应商的资格审查情况、供应商响应文件评审情况、磋商情况、报价情况等；</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（5）提出的成交候选供应商的排序名单及理由。</w:t>
      </w:r>
    </w:p>
    <w:p>
      <w:pPr>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评审报告应当由磋商小组全体人员签字认可。磋商小组成员对评审报告有异议的，磋商小组按照少数服从多数的原则推荐成交候选供应商，采购程序继续进行。对评审报告有异议的磋商，由磋商小组书面记录相关情况。磋商小组成员拒绝在报告上签字又不书面说明其不同意见和理由的，视为同意评审报告。</w:t>
      </w:r>
      <w:bookmarkStart w:id="180" w:name="_Toc5990297"/>
      <w:bookmarkStart w:id="181" w:name="_Toc885"/>
      <w:bookmarkStart w:id="182" w:name="_Toc5990295"/>
      <w:bookmarkStart w:id="183" w:name="_Toc4070_WPSOffice_Level1"/>
    </w:p>
    <w:p>
      <w:pPr>
        <w:pStyle w:val="4"/>
        <w:spacing w:before="240" w:after="120"/>
        <w:jc w:val="center"/>
        <w:rPr>
          <w:rFonts w:hint="default" w:hAnsi="宋体" w:cs="宋体"/>
          <w:color w:val="auto"/>
          <w:sz w:val="32"/>
          <w:szCs w:val="32"/>
          <w:highlight w:val="none"/>
        </w:rPr>
      </w:pPr>
      <w:r>
        <w:rPr>
          <w:rFonts w:hAnsi="宋体" w:cs="宋体"/>
          <w:color w:val="auto"/>
          <w:sz w:val="32"/>
          <w:szCs w:val="32"/>
          <w:highlight w:val="none"/>
        </w:rPr>
        <w:br w:type="page"/>
      </w:r>
      <w:bookmarkStart w:id="184" w:name="_Toc5589"/>
      <w:r>
        <w:rPr>
          <w:rFonts w:hAnsi="宋体" w:cs="宋体"/>
          <w:color w:val="auto"/>
          <w:sz w:val="32"/>
          <w:szCs w:val="32"/>
          <w:highlight w:val="none"/>
        </w:rPr>
        <w:t>第四章  合同条款及格式</w:t>
      </w:r>
      <w:bookmarkEnd w:id="180"/>
      <w:bookmarkEnd w:id="181"/>
      <w:bookmarkEnd w:id="184"/>
    </w:p>
    <w:p>
      <w:pPr>
        <w:adjustRightInd w:val="0"/>
        <w:snapToGrid w:val="0"/>
        <w:spacing w:before="24" w:after="24"/>
        <w:ind w:firstLine="482" w:firstLineChars="200"/>
        <w:jc w:val="center"/>
        <w:rPr>
          <w:rFonts w:hint="default" w:ascii="宋体" w:hAnsi="宋体" w:cs="宋体"/>
          <w:b/>
          <w:color w:val="auto"/>
          <w:highlight w:val="none"/>
        </w:rPr>
      </w:pPr>
      <w:r>
        <w:rPr>
          <w:rFonts w:ascii="宋体" w:hAnsi="宋体" w:cs="宋体"/>
          <w:b/>
          <w:color w:val="auto"/>
          <w:highlight w:val="none"/>
        </w:rPr>
        <w:t>（本格式条款仅供参考）</w:t>
      </w:r>
    </w:p>
    <w:p>
      <w:pPr>
        <w:spacing w:before="24" w:after="24"/>
        <w:jc w:val="center"/>
        <w:rPr>
          <w:rFonts w:hint="default" w:ascii="宋体" w:hAnsi="宋体"/>
          <w:color w:val="auto"/>
          <w:highlight w:val="none"/>
        </w:rPr>
      </w:pPr>
      <w:r>
        <w:rPr>
          <w:rFonts w:ascii="宋体" w:hAnsi="宋体"/>
          <w:b/>
          <w:color w:val="auto"/>
          <w:highlight w:val="none"/>
        </w:rPr>
        <w:t>政府采购合同</w:t>
      </w:r>
    </w:p>
    <w:p>
      <w:pPr>
        <w:spacing w:before="24" w:after="24"/>
        <w:ind w:firstLine="480" w:firstLineChars="200"/>
        <w:jc w:val="left"/>
        <w:rPr>
          <w:rFonts w:hint="default" w:ascii="宋体" w:hAnsi="宋体"/>
          <w:color w:val="auto"/>
          <w:highlight w:val="none"/>
        </w:rPr>
      </w:pPr>
      <w:r>
        <w:rPr>
          <w:rFonts w:ascii="宋体" w:hAnsi="宋体"/>
          <w:color w:val="auto"/>
          <w:highlight w:val="none"/>
        </w:rPr>
        <w:t>根据《中华人民共和国政府采购法》、《中华人民共和国民法典》等有关法律法规规定，</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ascii="宋体" w:hAnsi="宋体"/>
          <w:color w:val="auto"/>
          <w:highlight w:val="none"/>
        </w:rPr>
        <w:t>(采购人名称)(以下简称：“甲方”)通过</w:t>
      </w:r>
      <w:r>
        <w:rPr>
          <w:rFonts w:ascii="宋体" w:hAnsi="宋体"/>
          <w:color w:val="auto"/>
          <w:highlight w:val="none"/>
          <w:u w:val="single"/>
        </w:rPr>
        <w:t xml:space="preserve"> 竞争性磋商 </w:t>
      </w:r>
      <w:r>
        <w:rPr>
          <w:rFonts w:ascii="宋体" w:hAnsi="宋体"/>
          <w:color w:val="auto"/>
          <w:highlight w:val="none"/>
        </w:rPr>
        <w:t>采购(采购方式)确定</w:t>
      </w:r>
      <w:r>
        <w:rPr>
          <w:rFonts w:ascii="宋体" w:hAnsi="宋体"/>
          <w:color w:val="auto"/>
          <w:highlight w:val="none"/>
          <w:u w:val="single"/>
        </w:rPr>
        <w:t xml:space="preserve">        </w:t>
      </w:r>
      <w:r>
        <w:rPr>
          <w:rFonts w:ascii="宋体" w:hAnsi="宋体"/>
          <w:color w:val="auto"/>
          <w:highlight w:val="none"/>
        </w:rPr>
        <w:t>(成交供应商名称)(以下简称：“乙方”)为</w:t>
      </w:r>
      <w:r>
        <w:rPr>
          <w:rFonts w:ascii="宋体" w:hAnsi="宋体"/>
          <w:color w:val="auto"/>
          <w:highlight w:val="none"/>
          <w:u w:val="single"/>
        </w:rPr>
        <w:t xml:space="preserve">        </w:t>
      </w:r>
      <w:r>
        <w:rPr>
          <w:rFonts w:ascii="宋体" w:hAnsi="宋体"/>
          <w:color w:val="auto"/>
          <w:highlight w:val="none"/>
        </w:rPr>
        <w:t>(项目名称)的成交供应商。甲乙双方同意签署《</w:t>
      </w:r>
      <w:r>
        <w:rPr>
          <w:rFonts w:ascii="宋体" w:hAnsi="宋体"/>
          <w:color w:val="auto"/>
          <w:highlight w:val="none"/>
          <w:u w:val="single"/>
        </w:rPr>
        <w:t xml:space="preserve">           </w:t>
      </w:r>
      <w:r>
        <w:rPr>
          <w:rFonts w:ascii="宋体" w:hAnsi="宋体"/>
          <w:color w:val="auto"/>
          <w:highlight w:val="none"/>
        </w:rPr>
        <w:t>(项目名称)合同》(合同编号：</w:t>
      </w:r>
      <w:r>
        <w:rPr>
          <w:rFonts w:ascii="宋体" w:hAnsi="宋体"/>
          <w:color w:val="auto"/>
          <w:highlight w:val="none"/>
          <w:u w:val="single"/>
        </w:rPr>
        <w:t xml:space="preserve">           </w:t>
      </w:r>
      <w:r>
        <w:rPr>
          <w:rFonts w:ascii="宋体" w:hAnsi="宋体"/>
          <w:color w:val="auto"/>
          <w:highlight w:val="none"/>
        </w:rPr>
        <w:t>，以下简称：“合同”)。</w:t>
      </w:r>
    </w:p>
    <w:p>
      <w:pPr>
        <w:spacing w:before="24" w:after="24"/>
        <w:jc w:val="left"/>
        <w:rPr>
          <w:rFonts w:hint="default" w:ascii="宋体" w:hAnsi="宋体"/>
          <w:b/>
          <w:color w:val="auto"/>
          <w:highlight w:val="none"/>
        </w:rPr>
      </w:pPr>
      <w:r>
        <w:rPr>
          <w:rFonts w:ascii="宋体" w:hAnsi="宋体"/>
          <w:b/>
          <w:color w:val="auto"/>
          <w:highlight w:val="none"/>
        </w:rPr>
        <w:t>一、合同内容</w:t>
      </w:r>
    </w:p>
    <w:p>
      <w:pPr>
        <w:spacing w:before="24" w:after="24"/>
        <w:ind w:firstLine="480" w:firstLineChars="200"/>
        <w:jc w:val="left"/>
        <w:rPr>
          <w:rFonts w:hint="default" w:ascii="宋体" w:hAnsi="宋体"/>
          <w:color w:val="auto"/>
          <w:highlight w:val="none"/>
        </w:rPr>
      </w:pPr>
      <w:r>
        <w:rPr>
          <w:rFonts w:ascii="宋体" w:hAnsi="宋体"/>
          <w:color w:val="auto"/>
          <w:highlight w:val="none"/>
        </w:rPr>
        <w:t>乙方负责按照合同确定的项目名称、服务内容、服务标准组织服务，确保各项服务达到要求，同时乙方做好售后服务。</w:t>
      </w:r>
    </w:p>
    <w:p>
      <w:pPr>
        <w:spacing w:before="24" w:after="24"/>
        <w:jc w:val="left"/>
        <w:rPr>
          <w:rFonts w:hint="default" w:ascii="宋体" w:hAnsi="宋体"/>
          <w:b/>
          <w:color w:val="auto"/>
          <w:highlight w:val="none"/>
        </w:rPr>
      </w:pPr>
      <w:r>
        <w:rPr>
          <w:rFonts w:ascii="宋体" w:hAnsi="宋体"/>
          <w:b/>
          <w:color w:val="auto"/>
          <w:highlight w:val="none"/>
        </w:rPr>
        <w:t>二、合同价格</w:t>
      </w:r>
    </w:p>
    <w:p>
      <w:pPr>
        <w:spacing w:before="24" w:after="24"/>
        <w:ind w:left="480" w:leftChars="200"/>
        <w:jc w:val="left"/>
        <w:rPr>
          <w:rFonts w:hint="default" w:ascii="宋体" w:hAnsi="宋体"/>
          <w:color w:val="auto"/>
          <w:highlight w:val="none"/>
        </w:rPr>
      </w:pPr>
      <w:r>
        <w:rPr>
          <w:rFonts w:ascii="宋体" w:hAnsi="宋体"/>
          <w:color w:val="auto"/>
          <w:highlight w:val="none"/>
        </w:rPr>
        <w:t>合同总价：</w:t>
      </w:r>
      <w:r>
        <w:rPr>
          <w:rFonts w:ascii="宋体" w:hAnsi="宋体"/>
          <w:color w:val="auto"/>
          <w:highlight w:val="none"/>
          <w:u w:val="single"/>
        </w:rPr>
        <w:t xml:space="preserve">人民币             元整（¥         ） </w:t>
      </w:r>
    </w:p>
    <w:p>
      <w:pPr>
        <w:spacing w:before="24" w:after="24"/>
        <w:jc w:val="left"/>
        <w:rPr>
          <w:rFonts w:hint="default" w:ascii="宋体" w:hAnsi="宋体"/>
          <w:b/>
          <w:color w:val="auto"/>
          <w:highlight w:val="none"/>
        </w:rPr>
      </w:pPr>
      <w:r>
        <w:rPr>
          <w:rFonts w:ascii="宋体" w:hAnsi="宋体"/>
          <w:b/>
          <w:color w:val="auto"/>
          <w:highlight w:val="none"/>
        </w:rPr>
        <w:t>三、合同款项支付</w:t>
      </w:r>
    </w:p>
    <w:p>
      <w:pPr>
        <w:tabs>
          <w:tab w:val="left" w:pos="840"/>
        </w:tabs>
        <w:spacing w:before="24" w:after="24"/>
        <w:ind w:firstLine="480" w:firstLineChars="200"/>
        <w:rPr>
          <w:rFonts w:hint="default" w:ascii="宋体" w:hAnsi="宋体" w:cs="宋体"/>
          <w:color w:val="auto"/>
          <w:highlight w:val="none"/>
        </w:rPr>
      </w:pPr>
      <w:r>
        <w:rPr>
          <w:rFonts w:ascii="宋体" w:hAnsi="宋体"/>
          <w:color w:val="auto"/>
          <w:highlight w:val="none"/>
        </w:rPr>
        <w:t>（一）</w:t>
      </w:r>
      <w:r>
        <w:rPr>
          <w:rFonts w:ascii="宋体" w:hAnsi="宋体" w:cs="宋体"/>
          <w:color w:val="auto"/>
          <w:highlight w:val="none"/>
        </w:rPr>
        <w:t>结算单位：甲方结算</w:t>
      </w:r>
      <w:r>
        <w:rPr>
          <w:rFonts w:ascii="宋体" w:hAnsi="宋体"/>
          <w:color w:val="auto"/>
          <w:highlight w:val="none"/>
        </w:rPr>
        <w:t>，在每次付款前，必须开具全额发票给</w:t>
      </w:r>
      <w:r>
        <w:rPr>
          <w:rFonts w:ascii="宋体" w:hAnsi="宋体" w:cs="宋体"/>
          <w:color w:val="auto"/>
          <w:highlight w:val="none"/>
        </w:rPr>
        <w:t>甲方。</w:t>
      </w:r>
    </w:p>
    <w:p>
      <w:p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（二）付款方式：</w:t>
      </w:r>
    </w:p>
    <w:p>
      <w:pPr>
        <w:spacing w:before="24" w:after="24"/>
        <w:ind w:firstLine="480" w:firstLineChars="200"/>
        <w:rPr>
          <w:rFonts w:hint="default" w:ascii="宋体" w:hAnsi="宋体"/>
          <w:color w:val="auto"/>
          <w:highlight w:val="none"/>
        </w:rPr>
      </w:pPr>
      <w:r>
        <w:rPr>
          <w:rFonts w:ascii="宋体" w:hAnsi="宋体" w:cs="宋体"/>
          <w:color w:val="auto"/>
          <w:szCs w:val="24"/>
          <w:highlight w:val="none"/>
        </w:rPr>
        <w:t>项目验收合格且审计完成后，支付至审计金额的95%，剩余5%作为质保金。质保期满后15个工作日内支付剩余合同总额的5%。</w:t>
      </w:r>
    </w:p>
    <w:p>
      <w:pPr>
        <w:spacing w:before="24" w:after="24"/>
        <w:jc w:val="left"/>
        <w:rPr>
          <w:rFonts w:hint="default" w:ascii="宋体" w:hAnsi="宋体"/>
          <w:b/>
          <w:color w:val="auto"/>
          <w:highlight w:val="none"/>
        </w:rPr>
      </w:pPr>
      <w:r>
        <w:rPr>
          <w:rFonts w:ascii="宋体" w:hAnsi="宋体"/>
          <w:b/>
          <w:color w:val="auto"/>
          <w:highlight w:val="none"/>
        </w:rPr>
        <w:t>四、项目实施条件</w:t>
      </w:r>
    </w:p>
    <w:p>
      <w:pPr>
        <w:spacing w:before="24" w:after="24"/>
        <w:ind w:firstLine="480" w:firstLineChars="200"/>
        <w:jc w:val="left"/>
        <w:rPr>
          <w:rFonts w:hint="default" w:ascii="宋体" w:hAnsi="宋体"/>
          <w:color w:val="auto"/>
          <w:highlight w:val="none"/>
        </w:rPr>
      </w:pPr>
      <w:r>
        <w:rPr>
          <w:rFonts w:ascii="宋体" w:hAnsi="宋体"/>
          <w:color w:val="auto"/>
          <w:highlight w:val="none"/>
        </w:rPr>
        <w:t>（一）项目实施地点：岐山县档案馆。</w:t>
      </w:r>
    </w:p>
    <w:p>
      <w:pPr>
        <w:pStyle w:val="44"/>
        <w:spacing w:line="360" w:lineRule="auto"/>
        <w:ind w:firstLine="480" w:firstLineChars="200"/>
        <w:rPr>
          <w:rFonts w:hint="default" w:ascii="宋体" w:hAnsi="宋体" w:cs="宋体"/>
          <w:color w:val="auto"/>
          <w:sz w:val="24"/>
          <w:szCs w:val="24"/>
          <w:highlight w:val="none"/>
        </w:rPr>
      </w:pPr>
      <w:r>
        <w:rPr>
          <w:rFonts w:ascii="宋体" w:hAnsi="宋体"/>
          <w:color w:val="auto"/>
          <w:sz w:val="24"/>
          <w:highlight w:val="none"/>
        </w:rPr>
        <w:t>（二）</w:t>
      </w:r>
      <w:r>
        <w:rPr>
          <w:rFonts w:ascii="宋体" w:hAnsi="宋体" w:cs="宋体"/>
          <w:color w:val="auto"/>
          <w:sz w:val="24"/>
          <w:szCs w:val="24"/>
          <w:highlight w:val="none"/>
        </w:rPr>
        <w:t>本项目服务期</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日历天；</w:t>
      </w:r>
    </w:p>
    <w:p>
      <w:pPr>
        <w:spacing w:before="24" w:after="24"/>
        <w:ind w:firstLine="480" w:firstLineChars="200"/>
        <w:jc w:val="left"/>
        <w:rPr>
          <w:rFonts w:hint="default" w:ascii="宋体" w:hAnsi="宋体"/>
          <w:color w:val="auto"/>
          <w:highlight w:val="none"/>
        </w:rPr>
      </w:pPr>
      <w:r>
        <w:rPr>
          <w:rFonts w:ascii="宋体" w:hAnsi="宋体" w:cs="宋体"/>
          <w:color w:val="auto"/>
          <w:szCs w:val="24"/>
          <w:highlight w:val="none"/>
        </w:rPr>
        <w:t>（三）乙方应根据项目开发进度表认真编制实施计划，科学组织，确保项目在每个阶段按期按质完成。</w:t>
      </w:r>
    </w:p>
    <w:p>
      <w:pPr>
        <w:spacing w:before="24" w:after="24"/>
        <w:jc w:val="left"/>
        <w:rPr>
          <w:rFonts w:hint="default" w:ascii="宋体" w:hAnsi="宋体"/>
          <w:b/>
          <w:color w:val="auto"/>
          <w:highlight w:val="none"/>
        </w:rPr>
      </w:pPr>
      <w:r>
        <w:rPr>
          <w:rFonts w:ascii="宋体" w:hAnsi="宋体"/>
          <w:b/>
          <w:color w:val="auto"/>
          <w:highlight w:val="none"/>
        </w:rPr>
        <w:t>五、质量保证</w:t>
      </w:r>
    </w:p>
    <w:p>
      <w:pPr>
        <w:spacing w:before="24" w:after="24"/>
        <w:ind w:firstLine="480" w:firstLineChars="200"/>
        <w:jc w:val="left"/>
        <w:rPr>
          <w:rFonts w:hint="default" w:ascii="宋体" w:hAnsi="宋体"/>
          <w:color w:val="auto"/>
          <w:highlight w:val="none"/>
        </w:rPr>
      </w:pPr>
      <w:r>
        <w:rPr>
          <w:rFonts w:ascii="宋体" w:hAnsi="宋体"/>
          <w:color w:val="auto"/>
          <w:highlight w:val="none"/>
        </w:rPr>
        <w:t>（一）乙方应当保证服务内容质量完全符合合同规定的要求，并对服务内容质量问题负责。</w:t>
      </w:r>
    </w:p>
    <w:p>
      <w:pPr>
        <w:spacing w:before="24" w:after="24"/>
        <w:ind w:firstLine="480" w:firstLineChars="200"/>
        <w:jc w:val="left"/>
        <w:rPr>
          <w:rFonts w:hint="default" w:ascii="宋体" w:hAnsi="宋体"/>
          <w:color w:val="auto"/>
          <w:highlight w:val="none"/>
        </w:rPr>
      </w:pPr>
      <w:r>
        <w:rPr>
          <w:rFonts w:ascii="宋体" w:hAnsi="宋体"/>
          <w:color w:val="auto"/>
          <w:highlight w:val="none"/>
        </w:rPr>
        <w:t>（二）采购项目执行内容需要调整时，经甲方同意后，可以对相应的内容进行调整，并协商确定价格差额计算方法和负担办法。</w:t>
      </w:r>
    </w:p>
    <w:p>
      <w:pPr>
        <w:spacing w:before="24" w:after="24"/>
        <w:jc w:val="left"/>
        <w:rPr>
          <w:rFonts w:hint="default" w:ascii="宋体" w:hAnsi="宋体"/>
          <w:b/>
          <w:color w:val="auto"/>
          <w:highlight w:val="none"/>
        </w:rPr>
      </w:pPr>
      <w:r>
        <w:rPr>
          <w:rFonts w:ascii="宋体" w:hAnsi="宋体"/>
          <w:b/>
          <w:color w:val="auto"/>
          <w:highlight w:val="none"/>
        </w:rPr>
        <w:t>六、技术服务</w:t>
      </w:r>
    </w:p>
    <w:p>
      <w:pPr>
        <w:spacing w:before="24" w:after="24"/>
        <w:ind w:firstLine="482" w:firstLineChars="200"/>
        <w:jc w:val="left"/>
        <w:rPr>
          <w:rFonts w:hint="default" w:ascii="宋体" w:hAnsi="宋体"/>
          <w:b/>
          <w:color w:val="auto"/>
          <w:highlight w:val="none"/>
        </w:rPr>
      </w:pPr>
      <w:r>
        <w:rPr>
          <w:rFonts w:ascii="宋体" w:hAnsi="宋体"/>
          <w:b/>
          <w:color w:val="auto"/>
          <w:highlight w:val="none"/>
        </w:rPr>
        <w:t>（一）技术资料：</w:t>
      </w:r>
      <w:r>
        <w:rPr>
          <w:rFonts w:ascii="宋体" w:hAnsi="宋体" w:cs="宋体"/>
          <w:color w:val="auto"/>
          <w:szCs w:val="24"/>
          <w:highlight w:val="none"/>
        </w:rPr>
        <w:t>乙方需根据甲方需求整理、汇编项目技术资料。</w:t>
      </w:r>
    </w:p>
    <w:p>
      <w:pPr>
        <w:spacing w:before="24" w:after="24"/>
        <w:ind w:firstLine="482" w:firstLineChars="200"/>
        <w:jc w:val="left"/>
        <w:rPr>
          <w:rFonts w:hint="default" w:ascii="宋体" w:hAnsi="宋体"/>
          <w:color w:val="auto"/>
          <w:highlight w:val="none"/>
        </w:rPr>
      </w:pPr>
      <w:r>
        <w:rPr>
          <w:rFonts w:ascii="宋体" w:hAnsi="宋体"/>
          <w:b/>
          <w:color w:val="auto"/>
          <w:highlight w:val="none"/>
        </w:rPr>
        <w:t>（二）人员培训：</w:t>
      </w:r>
      <w:r>
        <w:rPr>
          <w:rFonts w:ascii="宋体" w:hAnsi="宋体"/>
          <w:color w:val="auto"/>
          <w:highlight w:val="none"/>
        </w:rPr>
        <w:t>免费为</w:t>
      </w:r>
      <w:r>
        <w:rPr>
          <w:rFonts w:ascii="宋体" w:hAnsi="宋体" w:cs="宋体"/>
          <w:color w:val="auto"/>
          <w:szCs w:val="24"/>
          <w:highlight w:val="none"/>
        </w:rPr>
        <w:t>甲方各类人员进行培训，直至</w:t>
      </w:r>
      <w:r>
        <w:rPr>
          <w:rFonts w:ascii="宋体" w:hAnsi="宋体"/>
          <w:color w:val="auto"/>
          <w:highlight w:val="none"/>
        </w:rPr>
        <w:t>能达到操作要求。</w:t>
      </w:r>
    </w:p>
    <w:p>
      <w:pPr>
        <w:spacing w:before="24" w:after="24"/>
        <w:ind w:firstLine="482" w:firstLineChars="200"/>
        <w:jc w:val="left"/>
        <w:rPr>
          <w:rFonts w:hint="default" w:ascii="宋体" w:hAnsi="宋体"/>
          <w:b/>
          <w:color w:val="auto"/>
          <w:highlight w:val="none"/>
        </w:rPr>
      </w:pPr>
      <w:r>
        <w:rPr>
          <w:rFonts w:ascii="宋体" w:hAnsi="宋体"/>
          <w:b/>
          <w:color w:val="auto"/>
          <w:highlight w:val="none"/>
        </w:rPr>
        <w:t>（三）服务承诺：</w:t>
      </w:r>
      <w:r>
        <w:rPr>
          <w:rFonts w:ascii="宋体" w:hAnsi="宋体"/>
          <w:color w:val="auto"/>
          <w:highlight w:val="none"/>
          <w:u w:val="single"/>
        </w:rPr>
        <w:t xml:space="preserve"> 须跟响应文件保持一致。 </w:t>
      </w:r>
    </w:p>
    <w:p>
      <w:pPr>
        <w:spacing w:before="24" w:after="24"/>
        <w:jc w:val="left"/>
        <w:rPr>
          <w:rFonts w:hint="default" w:ascii="宋体" w:hAnsi="宋体"/>
          <w:b/>
          <w:color w:val="auto"/>
          <w:highlight w:val="none"/>
        </w:rPr>
      </w:pPr>
      <w:r>
        <w:rPr>
          <w:rFonts w:ascii="宋体" w:hAnsi="宋体"/>
          <w:b/>
          <w:color w:val="auto"/>
          <w:highlight w:val="none"/>
        </w:rPr>
        <w:t>七、违约责任</w:t>
      </w:r>
    </w:p>
    <w:p>
      <w:pPr>
        <w:spacing w:before="24" w:after="24"/>
        <w:ind w:firstLine="480" w:firstLineChars="200"/>
        <w:jc w:val="left"/>
        <w:rPr>
          <w:rFonts w:hint="default" w:ascii="宋体" w:hAnsi="宋体"/>
          <w:color w:val="auto"/>
          <w:highlight w:val="none"/>
        </w:rPr>
      </w:pPr>
      <w:r>
        <w:rPr>
          <w:rFonts w:ascii="宋体" w:hAnsi="宋体"/>
          <w:color w:val="auto"/>
          <w:highlight w:val="none"/>
        </w:rPr>
        <w:t>（一）按《中华人民共和国民法典》中的相关条款执行。</w:t>
      </w:r>
    </w:p>
    <w:p>
      <w:pPr>
        <w:spacing w:before="24" w:after="24"/>
        <w:ind w:firstLine="480" w:firstLineChars="200"/>
        <w:rPr>
          <w:rFonts w:hint="default" w:ascii="宋体" w:hAnsi="宋体"/>
          <w:color w:val="auto"/>
          <w:highlight w:val="none"/>
        </w:rPr>
      </w:pPr>
      <w:r>
        <w:rPr>
          <w:rFonts w:ascii="宋体" w:hAnsi="宋体"/>
          <w:color w:val="auto"/>
          <w:highlight w:val="none"/>
        </w:rPr>
        <w:t>（二）未按合同要求的提供产品、设备服务质量不能满足技术要求，甲方有权终止合同，甚至对乙方违约行为进行追究。</w:t>
      </w:r>
    </w:p>
    <w:p>
      <w:pPr>
        <w:spacing w:before="24" w:after="24"/>
        <w:ind w:firstLine="480" w:firstLineChars="200"/>
        <w:rPr>
          <w:rFonts w:hint="default" w:ascii="宋体" w:hAnsi="宋体"/>
          <w:color w:val="auto"/>
          <w:highlight w:val="none"/>
        </w:rPr>
      </w:pPr>
      <w:r>
        <w:rPr>
          <w:rFonts w:ascii="宋体" w:hAnsi="宋体"/>
          <w:color w:val="auto"/>
          <w:highlight w:val="none"/>
        </w:rPr>
        <w:t>（三）如有纠纷，双方友好协商解决，协商不成时可诉讼到甲方所在地人民法院解决。</w:t>
      </w:r>
    </w:p>
    <w:p>
      <w:pPr>
        <w:spacing w:before="24" w:after="24"/>
        <w:jc w:val="left"/>
        <w:rPr>
          <w:rFonts w:hint="default" w:ascii="宋体" w:hAnsi="宋体"/>
          <w:b/>
          <w:color w:val="auto"/>
          <w:highlight w:val="none"/>
        </w:rPr>
      </w:pPr>
      <w:r>
        <w:rPr>
          <w:rFonts w:ascii="宋体" w:hAnsi="宋体"/>
          <w:b/>
          <w:color w:val="auto"/>
          <w:highlight w:val="none"/>
        </w:rPr>
        <w:t>八、验收</w:t>
      </w:r>
    </w:p>
    <w:p>
      <w:pPr>
        <w:spacing w:before="24" w:after="24"/>
        <w:ind w:firstLine="480" w:firstLineChars="200"/>
        <w:rPr>
          <w:rFonts w:hint="default" w:ascii="宋体" w:hAnsi="宋体"/>
          <w:color w:val="auto"/>
          <w:highlight w:val="none"/>
        </w:rPr>
      </w:pPr>
      <w:r>
        <w:rPr>
          <w:rFonts w:ascii="宋体" w:hAnsi="宋体"/>
          <w:color w:val="auto"/>
          <w:highlight w:val="none"/>
        </w:rPr>
        <w:t>（一）系统将按国家省市级相关标准及合同中相关条款要求进行验收。乙方应保证其提供的系统符合项目规定的质量、规格和性能要求。所提供的技术资料完整正确，数据和资料准确无误，能够保证系统按时正确地安装、调试和验收，并能满足正常运行和维护的需要。系统功能、安全性，性能达到设计要求。</w:t>
      </w:r>
    </w:p>
    <w:p>
      <w:pPr>
        <w:spacing w:before="24" w:after="24"/>
        <w:ind w:firstLine="480" w:firstLineChars="200"/>
        <w:rPr>
          <w:rFonts w:hint="default" w:ascii="宋体" w:hAnsi="宋体"/>
          <w:color w:val="auto"/>
          <w:highlight w:val="none"/>
        </w:rPr>
      </w:pPr>
      <w:r>
        <w:rPr>
          <w:rFonts w:ascii="宋体" w:hAnsi="宋体"/>
          <w:color w:val="auto"/>
          <w:highlight w:val="none"/>
        </w:rPr>
        <w:t>（二）验收工作由甲方组织实施，乙方应完成项目验收相关验收场景和资料的准备。同时应提供纸质或电子的验收相关材料，保证各类文档应内容完整、描述清晰、版本最新。</w:t>
      </w:r>
    </w:p>
    <w:p>
      <w:pPr>
        <w:spacing w:before="24" w:after="24"/>
        <w:ind w:firstLine="480" w:firstLineChars="200"/>
        <w:rPr>
          <w:rFonts w:hint="default" w:ascii="宋体" w:hAnsi="宋体"/>
          <w:color w:val="auto"/>
          <w:highlight w:val="none"/>
        </w:rPr>
      </w:pPr>
      <w:r>
        <w:rPr>
          <w:rFonts w:ascii="宋体" w:hAnsi="宋体"/>
          <w:color w:val="auto"/>
          <w:highlight w:val="none"/>
        </w:rPr>
        <w:t>（三）乙方须全程配合甲方完成各项验收工作，直至项目验收通过，并承担验收过程中产生的各项评审费、专家费、会务费等费用。</w:t>
      </w:r>
    </w:p>
    <w:p>
      <w:pPr>
        <w:spacing w:before="24" w:after="24"/>
        <w:jc w:val="left"/>
        <w:rPr>
          <w:rFonts w:hint="default" w:ascii="宋体" w:hAnsi="宋体"/>
          <w:b/>
          <w:color w:val="auto"/>
          <w:highlight w:val="none"/>
        </w:rPr>
      </w:pPr>
      <w:r>
        <w:rPr>
          <w:rFonts w:ascii="宋体" w:hAnsi="宋体"/>
          <w:b/>
          <w:color w:val="auto"/>
          <w:highlight w:val="none"/>
        </w:rPr>
        <w:t>九、其他事项</w:t>
      </w:r>
    </w:p>
    <w:p>
      <w:pPr>
        <w:spacing w:before="24" w:after="24"/>
        <w:ind w:firstLine="480" w:firstLineChars="200"/>
        <w:jc w:val="left"/>
        <w:rPr>
          <w:rFonts w:hint="default" w:ascii="宋体" w:hAnsi="宋体"/>
          <w:color w:val="auto"/>
          <w:highlight w:val="none"/>
        </w:rPr>
      </w:pPr>
      <w:r>
        <w:rPr>
          <w:rFonts w:ascii="宋体" w:hAnsi="宋体"/>
          <w:color w:val="auto"/>
          <w:highlight w:val="none"/>
        </w:rPr>
        <w:t>（一）本合同一式</w:t>
      </w:r>
      <w:r>
        <w:rPr>
          <w:rFonts w:ascii="宋体" w:hAnsi="宋体"/>
          <w:color w:val="auto"/>
          <w:highlight w:val="none"/>
          <w:u w:val="single"/>
        </w:rPr>
        <w:t xml:space="preserve">    </w:t>
      </w:r>
      <w:r>
        <w:rPr>
          <w:rFonts w:ascii="宋体" w:hAnsi="宋体"/>
          <w:color w:val="auto"/>
          <w:highlight w:val="none"/>
        </w:rPr>
        <w:t xml:space="preserve">份，甲方 </w:t>
      </w:r>
      <w:r>
        <w:rPr>
          <w:rFonts w:ascii="宋体" w:hAnsi="宋体"/>
          <w:color w:val="auto"/>
          <w:highlight w:val="none"/>
          <w:u w:val="single"/>
        </w:rPr>
        <w:t xml:space="preserve">    </w:t>
      </w:r>
      <w:r>
        <w:rPr>
          <w:rFonts w:ascii="宋体" w:hAnsi="宋体"/>
          <w:color w:val="auto"/>
          <w:highlight w:val="none"/>
        </w:rPr>
        <w:t>份、乙方</w:t>
      </w:r>
      <w:r>
        <w:rPr>
          <w:rFonts w:ascii="宋体" w:hAnsi="宋体"/>
          <w:color w:val="auto"/>
          <w:highlight w:val="none"/>
          <w:u w:val="single"/>
        </w:rPr>
        <w:t xml:space="preserve">    </w:t>
      </w:r>
      <w:r>
        <w:rPr>
          <w:rFonts w:ascii="宋体" w:hAnsi="宋体"/>
          <w:color w:val="auto"/>
          <w:highlight w:val="none"/>
        </w:rPr>
        <w:t>份、采购代理机构</w:t>
      </w:r>
      <w:r>
        <w:rPr>
          <w:rFonts w:ascii="宋体" w:hAnsi="宋体"/>
          <w:color w:val="auto"/>
          <w:highlight w:val="none"/>
          <w:u w:val="single"/>
        </w:rPr>
        <w:t xml:space="preserve">    </w:t>
      </w:r>
      <w:r>
        <w:rPr>
          <w:rFonts w:ascii="宋体" w:hAnsi="宋体"/>
          <w:color w:val="auto"/>
          <w:highlight w:val="none"/>
        </w:rPr>
        <w:t>份，政府采购管理部门备案</w:t>
      </w:r>
      <w:r>
        <w:rPr>
          <w:rFonts w:ascii="宋体" w:hAnsi="宋体"/>
          <w:color w:val="auto"/>
          <w:highlight w:val="none"/>
          <w:u w:val="single"/>
        </w:rPr>
        <w:t xml:space="preserve">    </w:t>
      </w:r>
      <w:r>
        <w:rPr>
          <w:rFonts w:ascii="宋体" w:hAnsi="宋体"/>
          <w:color w:val="auto"/>
          <w:highlight w:val="none"/>
        </w:rPr>
        <w:t>份。签字盖章后生效，合同执行完毕自动失效（合同的服务承诺则长期有效）。</w:t>
      </w:r>
    </w:p>
    <w:p>
      <w:pPr>
        <w:spacing w:before="24" w:after="24"/>
        <w:ind w:firstLine="480" w:firstLineChars="200"/>
        <w:jc w:val="left"/>
        <w:rPr>
          <w:rFonts w:hint="default" w:ascii="宋体" w:hAnsi="宋体"/>
          <w:bCs/>
          <w:color w:val="auto"/>
          <w:highlight w:val="none"/>
        </w:rPr>
      </w:pPr>
      <w:r>
        <w:rPr>
          <w:rFonts w:ascii="宋体" w:hAnsi="宋体"/>
          <w:color w:val="auto"/>
          <w:highlight w:val="none"/>
        </w:rPr>
        <w:t>（二）磋商文件、响应文件</w:t>
      </w:r>
      <w:r>
        <w:rPr>
          <w:rFonts w:ascii="宋体" w:hAnsi="宋体"/>
          <w:bCs/>
          <w:color w:val="auto"/>
          <w:highlight w:val="none"/>
        </w:rPr>
        <w:t>也是合同的组成部分，合同中未约定的以</w:t>
      </w:r>
      <w:r>
        <w:rPr>
          <w:rFonts w:ascii="宋体" w:hAnsi="宋体"/>
          <w:color w:val="auto"/>
          <w:highlight w:val="none"/>
        </w:rPr>
        <w:t>磋商文件、响应文件</w:t>
      </w:r>
      <w:r>
        <w:rPr>
          <w:rFonts w:ascii="宋体" w:hAnsi="宋体"/>
          <w:bCs/>
          <w:color w:val="auto"/>
          <w:highlight w:val="none"/>
        </w:rPr>
        <w:t>为准。</w:t>
      </w:r>
    </w:p>
    <w:p>
      <w:pPr>
        <w:spacing w:before="24" w:after="24"/>
        <w:ind w:firstLine="480" w:firstLineChars="200"/>
        <w:jc w:val="left"/>
        <w:rPr>
          <w:rFonts w:hint="default" w:ascii="宋体" w:hAnsi="宋体"/>
          <w:color w:val="auto"/>
          <w:highlight w:val="none"/>
          <w:u w:val="single"/>
        </w:rPr>
      </w:pPr>
      <w:r>
        <w:rPr>
          <w:rFonts w:ascii="宋体" w:hAnsi="宋体"/>
          <w:color w:val="auto"/>
          <w:highlight w:val="none"/>
        </w:rPr>
        <w:t>（三）</w:t>
      </w:r>
      <w:r>
        <w:rPr>
          <w:rFonts w:ascii="宋体" w:hAnsi="宋体"/>
          <w:color w:val="auto"/>
          <w:highlight w:val="none"/>
          <w:u w:val="single"/>
        </w:rPr>
        <w:t xml:space="preserve">                          </w:t>
      </w:r>
    </w:p>
    <w:p>
      <w:pPr>
        <w:pStyle w:val="45"/>
        <w:spacing w:before="24" w:after="24"/>
        <w:ind w:firstLine="400"/>
        <w:rPr>
          <w:rFonts w:hint="default"/>
          <w:color w:val="auto"/>
          <w:highlight w:val="none"/>
        </w:rPr>
      </w:pPr>
    </w:p>
    <w:p>
      <w:pPr>
        <w:pStyle w:val="44"/>
        <w:ind w:firstLine="180"/>
        <w:rPr>
          <w:rFonts w:hint="default"/>
          <w:color w:val="auto"/>
          <w:highlight w:val="none"/>
        </w:rPr>
      </w:pPr>
    </w:p>
    <w:p>
      <w:pPr>
        <w:pStyle w:val="45"/>
        <w:spacing w:before="24" w:after="24"/>
        <w:ind w:firstLine="400"/>
        <w:rPr>
          <w:rFonts w:hint="default"/>
          <w:color w:val="auto"/>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甲  方</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（盖章）</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成交供应商全称</w:t>
            </w:r>
          </w:p>
          <w:p>
            <w:pPr>
              <w:spacing w:before="24" w:after="24"/>
              <w:jc w:val="left"/>
              <w:rPr>
                <w:rFonts w:hint="default" w:ascii="宋体" w:hAnsi="宋体"/>
                <w:color w:val="auto"/>
                <w:highlight w:val="none"/>
              </w:rPr>
            </w:pPr>
            <w:r>
              <w:rPr>
                <w:rFonts w:ascii="宋体" w:hAnsi="宋体"/>
                <w:color w:val="auto"/>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地址：</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邮编：</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电话：</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传真：</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pPr>
              <w:spacing w:before="24" w:after="24"/>
              <w:jc w:val="left"/>
              <w:rPr>
                <w:rFonts w:hint="default" w:ascii="宋体" w:hAnsi="宋体"/>
                <w:color w:val="auto"/>
                <w:highlight w:val="none"/>
              </w:rPr>
            </w:pPr>
            <w:r>
              <w:rPr>
                <w:rFonts w:ascii="宋体" w:hAnsi="宋体"/>
                <w:color w:val="auto"/>
                <w:highlight w:val="none"/>
              </w:rPr>
              <w:t>日期：  年   月   日</w:t>
            </w:r>
          </w:p>
        </w:tc>
      </w:tr>
    </w:tbl>
    <w:p>
      <w:pPr>
        <w:spacing w:before="24" w:after="24" w:line="500" w:lineRule="exact"/>
        <w:rPr>
          <w:rFonts w:hint="default" w:ascii="宋体" w:hAnsi="宋体" w:cs="宋体"/>
          <w:color w:val="auto"/>
          <w:highlight w:val="none"/>
        </w:rPr>
      </w:pPr>
    </w:p>
    <w:p>
      <w:pPr>
        <w:pStyle w:val="44"/>
        <w:spacing w:line="360" w:lineRule="auto"/>
        <w:ind w:firstLine="240"/>
        <w:rPr>
          <w:rFonts w:hint="default" w:ascii="宋体" w:hAnsi="宋体" w:cs="宋体"/>
          <w:color w:val="auto"/>
          <w:sz w:val="24"/>
          <w:szCs w:val="24"/>
          <w:highlight w:val="none"/>
        </w:rPr>
      </w:pPr>
    </w:p>
    <w:p>
      <w:pPr>
        <w:spacing w:before="24" w:after="24"/>
        <w:rPr>
          <w:rFonts w:hint="default" w:ascii="宋体" w:hAnsi="宋体" w:cs="宋体"/>
          <w:color w:val="auto"/>
          <w:highlight w:val="none"/>
        </w:rPr>
      </w:pPr>
    </w:p>
    <w:p>
      <w:pPr>
        <w:spacing w:before="24" w:after="24"/>
        <w:rPr>
          <w:rFonts w:hint="default" w:ascii="宋体" w:hAnsi="宋体" w:cs="宋体"/>
          <w:color w:val="auto"/>
          <w:szCs w:val="24"/>
          <w:highlight w:val="none"/>
        </w:rPr>
      </w:pPr>
      <w:r>
        <w:rPr>
          <w:rFonts w:ascii="宋体" w:hAnsi="宋体" w:cs="宋体"/>
          <w:color w:val="auto"/>
          <w:szCs w:val="24"/>
          <w:highlight w:val="none"/>
        </w:rPr>
        <w:br w:type="page"/>
      </w:r>
    </w:p>
    <w:p>
      <w:pPr>
        <w:pStyle w:val="4"/>
        <w:spacing w:before="240" w:after="120"/>
        <w:jc w:val="center"/>
        <w:rPr>
          <w:rFonts w:hint="default" w:hAnsi="宋体" w:cs="宋体"/>
          <w:color w:val="auto"/>
          <w:sz w:val="30"/>
          <w:szCs w:val="30"/>
          <w:highlight w:val="none"/>
        </w:rPr>
      </w:pPr>
    </w:p>
    <w:p>
      <w:pPr>
        <w:pStyle w:val="4"/>
        <w:spacing w:before="240" w:after="120"/>
        <w:jc w:val="center"/>
        <w:rPr>
          <w:rFonts w:hint="default" w:hAnsi="宋体" w:cs="宋体"/>
          <w:color w:val="auto"/>
          <w:sz w:val="30"/>
          <w:szCs w:val="30"/>
          <w:highlight w:val="none"/>
        </w:rPr>
      </w:pPr>
      <w:r>
        <w:rPr>
          <w:rFonts w:hAnsi="宋体" w:cs="宋体"/>
          <w:color w:val="auto"/>
          <w:sz w:val="30"/>
          <w:szCs w:val="30"/>
          <w:highlight w:val="none"/>
        </w:rPr>
        <w:t xml:space="preserve">第五章  </w:t>
      </w:r>
      <w:bookmarkStart w:id="185" w:name="_Toc30826"/>
      <w:bookmarkStart w:id="186" w:name="_Toc15909"/>
      <w:r>
        <w:rPr>
          <w:rFonts w:hAnsi="宋体" w:cs="宋体"/>
          <w:color w:val="auto"/>
          <w:sz w:val="30"/>
          <w:szCs w:val="30"/>
          <w:highlight w:val="none"/>
        </w:rPr>
        <w:t>采购内容及技术要求</w:t>
      </w:r>
      <w:bookmarkEnd w:id="185"/>
      <w:bookmarkEnd w:id="186"/>
    </w:p>
    <w:p>
      <w:pPr>
        <w:spacing w:beforeLines="0" w:afterLines="0"/>
        <w:ind w:firstLine="482" w:firstLineChars="200"/>
        <w:rPr>
          <w:rFonts w:hint="default" w:ascii="宋体" w:hAnsi="宋体" w:cs="宋体"/>
          <w:b/>
          <w:color w:val="auto"/>
          <w:kern w:val="0"/>
          <w:szCs w:val="24"/>
          <w:highlight w:val="none"/>
        </w:rPr>
      </w:pPr>
      <w:r>
        <w:rPr>
          <w:rFonts w:hint="eastAsia" w:ascii="宋体" w:hAnsi="宋体" w:cs="宋体"/>
          <w:b/>
          <w:color w:val="auto"/>
          <w:kern w:val="0"/>
          <w:szCs w:val="24"/>
          <w:highlight w:val="none"/>
          <w:lang w:val="en-US" w:eastAsia="zh-CN"/>
        </w:rPr>
        <w:t>一、</w:t>
      </w:r>
      <w:r>
        <w:rPr>
          <w:rFonts w:ascii="宋体" w:hAnsi="宋体" w:cs="宋体"/>
          <w:b/>
          <w:color w:val="auto"/>
          <w:kern w:val="0"/>
          <w:szCs w:val="24"/>
          <w:highlight w:val="none"/>
        </w:rPr>
        <w:t>项目概况</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1.1 项目名称</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数字档案馆创建项目</w:t>
      </w:r>
    </w:p>
    <w:p>
      <w:pPr>
        <w:spacing w:beforeLines="0" w:afterLines="0"/>
        <w:ind w:firstLine="480" w:firstLineChars="200"/>
        <w:rPr>
          <w:rFonts w:hint="default"/>
          <w:color w:val="auto"/>
          <w:szCs w:val="32"/>
          <w:highlight w:val="none"/>
        </w:rPr>
      </w:pPr>
      <w:r>
        <w:rPr>
          <w:rFonts w:ascii="宋体" w:hAnsi="宋体" w:cs="宋体"/>
          <w:color w:val="auto"/>
          <w:szCs w:val="24"/>
          <w:highlight w:val="none"/>
        </w:rPr>
        <w:t xml:space="preserve">1.2 </w:t>
      </w:r>
      <w:r>
        <w:rPr>
          <w:color w:val="auto"/>
          <w:szCs w:val="32"/>
          <w:highlight w:val="none"/>
        </w:rPr>
        <w:t>建设目标</w:t>
      </w:r>
    </w:p>
    <w:p>
      <w:pPr>
        <w:spacing w:before="24" w:after="24"/>
        <w:ind w:firstLine="480" w:firstLineChars="200"/>
        <w:rPr>
          <w:rFonts w:hint="default"/>
          <w:color w:val="auto"/>
          <w:szCs w:val="32"/>
          <w:highlight w:val="none"/>
        </w:rPr>
      </w:pPr>
      <w:r>
        <w:rPr>
          <w:color w:val="auto"/>
          <w:szCs w:val="32"/>
          <w:highlight w:val="none"/>
        </w:rPr>
        <w:t>岐山县数字档案馆建设的目标是：紧紧依靠国家和政府信息化基础设施建设环境，充分利用各种政务网平台、公众网平台以及各类网络资源，以先进的信息技术为手段，集成建设适应岐山县一定时期内数字档案管理需要的网络平台，开发应用符合功能要求的管理系统，推动馆藏档案资源数字化、增量档案电子化，逐步实现对数字档案信息资源的网络化管理以及分层次多渠道提供档案信息资 源利用和社会共享服务。</w:t>
      </w:r>
    </w:p>
    <w:p>
      <w:pPr>
        <w:spacing w:beforeLines="0" w:afterLines="0"/>
        <w:ind w:firstLine="480" w:firstLineChars="200"/>
        <w:rPr>
          <w:rFonts w:hint="default"/>
          <w:color w:val="auto"/>
          <w:szCs w:val="32"/>
          <w:highlight w:val="none"/>
        </w:rPr>
      </w:pPr>
      <w:r>
        <w:rPr>
          <w:color w:val="auto"/>
          <w:szCs w:val="32"/>
          <w:highlight w:val="none"/>
        </w:rPr>
        <w:t>其中，数字档案信息资源建设、提供档案信息利用和社会共享服务，是一项长期任务，应分阶段推进，有步骤实现。</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1.3</w:t>
      </w:r>
      <w:bookmarkStart w:id="187" w:name="_Toc31608"/>
      <w:r>
        <w:rPr>
          <w:rFonts w:ascii="宋体" w:hAnsi="宋体" w:cs="宋体"/>
          <w:color w:val="auto"/>
          <w:szCs w:val="24"/>
          <w:highlight w:val="none"/>
        </w:rPr>
        <w:t>建设原则</w:t>
      </w:r>
      <w:bookmarkEnd w:id="187"/>
    </w:p>
    <w:p>
      <w:pPr>
        <w:spacing w:before="24" w:after="24"/>
        <w:ind w:firstLine="480" w:firstLineChars="200"/>
        <w:rPr>
          <w:rFonts w:hint="default" w:ascii="宋体" w:hAnsi="宋体"/>
          <w:color w:val="auto"/>
          <w:szCs w:val="24"/>
          <w:highlight w:val="none"/>
        </w:rPr>
      </w:pPr>
      <w:r>
        <w:rPr>
          <w:rFonts w:ascii="宋体" w:hAnsi="宋体"/>
          <w:color w:val="auto"/>
          <w:szCs w:val="24"/>
          <w:highlight w:val="none"/>
        </w:rPr>
        <w:t>数字档案馆建设应当遵照“统筹规划、循序渐进，项目带动、重点突破，需求导向、保证安全，合理适用、稳步实施”的原则，积极推进，务求实效。</w:t>
      </w:r>
    </w:p>
    <w:p>
      <w:pPr>
        <w:spacing w:beforeLines="0" w:afterLines="0"/>
        <w:ind w:firstLine="480" w:firstLineChars="200"/>
        <w:rPr>
          <w:rFonts w:hint="eastAsia" w:ascii="宋体" w:hAnsi="宋体" w:eastAsia="宋体" w:cs="宋体"/>
          <w:color w:val="auto"/>
          <w:szCs w:val="24"/>
          <w:highlight w:val="none"/>
          <w:lang w:eastAsia="zh-CN"/>
        </w:rPr>
      </w:pPr>
      <w:bookmarkStart w:id="188" w:name="_Toc21970"/>
      <w:r>
        <w:rPr>
          <w:rFonts w:ascii="宋体" w:hAnsi="宋体" w:cs="宋体"/>
          <w:color w:val="auto"/>
          <w:szCs w:val="24"/>
          <w:highlight w:val="none"/>
        </w:rPr>
        <w:t>1.4建设</w:t>
      </w:r>
      <w:bookmarkEnd w:id="188"/>
      <w:r>
        <w:rPr>
          <w:rFonts w:hint="eastAsia" w:ascii="宋体" w:hAnsi="宋体" w:cs="宋体"/>
          <w:color w:val="auto"/>
          <w:szCs w:val="24"/>
          <w:highlight w:val="none"/>
          <w:lang w:val="en-US" w:eastAsia="zh-CN"/>
        </w:rPr>
        <w:t>要求</w:t>
      </w:r>
    </w:p>
    <w:p>
      <w:pPr>
        <w:spacing w:before="24" w:after="24"/>
        <w:ind w:firstLine="480" w:firstLineChars="200"/>
        <w:rPr>
          <w:rFonts w:hint="eastAsia" w:ascii="宋体" w:hAnsi="宋体" w:eastAsia="宋体"/>
          <w:color w:val="auto"/>
          <w:szCs w:val="24"/>
          <w:highlight w:val="none"/>
        </w:rPr>
      </w:pPr>
      <w:r>
        <w:rPr>
          <w:rFonts w:hint="eastAsia" w:ascii="宋体" w:hAnsi="宋体" w:eastAsia="宋体"/>
          <w:color w:val="auto"/>
          <w:szCs w:val="24"/>
          <w:highlight w:val="none"/>
        </w:rPr>
        <w:t>严格按照计算机信息系统安全保护等级第二级（系统审计保护级）的要求，结合目前机房实际情况，进行基础设施建设，主要是机房改造、服务器、存储、网络系统和安全设备等软硬件的建设。全面通过省档案局“数字档案馆系统测评”，达到80分以上。</w:t>
      </w:r>
    </w:p>
    <w:p>
      <w:pPr>
        <w:spacing w:beforeLines="0" w:afterLines="0"/>
        <w:ind w:firstLine="482" w:firstLineChars="200"/>
        <w:rPr>
          <w:rFonts w:hint="default"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二、</w:t>
      </w:r>
      <w:r>
        <w:rPr>
          <w:rFonts w:ascii="宋体" w:hAnsi="宋体" w:eastAsia="宋体" w:cs="宋体"/>
          <w:b/>
          <w:color w:val="auto"/>
          <w:kern w:val="0"/>
          <w:szCs w:val="24"/>
          <w:highlight w:val="none"/>
        </w:rPr>
        <w:t>建设内容清单</w:t>
      </w:r>
    </w:p>
    <w:p>
      <w:pPr>
        <w:spacing w:beforeLines="0" w:afterLines="0"/>
        <w:ind w:firstLine="480" w:firstLineChars="200"/>
        <w:rPr>
          <w:rFonts w:hint="eastAsia" w:ascii="宋体" w:hAnsi="宋体" w:eastAsia="宋体" w:cs="宋体"/>
          <w:color w:val="auto"/>
          <w:szCs w:val="24"/>
          <w:highlight w:val="none"/>
          <w:lang w:eastAsia="zh-CN"/>
        </w:rPr>
      </w:pPr>
      <w:r>
        <w:rPr>
          <w:rFonts w:ascii="宋体" w:hAnsi="宋体" w:eastAsia="宋体" w:cs="宋体"/>
          <w:color w:val="auto"/>
          <w:szCs w:val="24"/>
          <w:highlight w:val="none"/>
        </w:rPr>
        <w:t>依照《数字档案馆建设指南》、《数字档案馆系统测试办法》，基于自主可控环境下开展岐山县档案馆信息化建设，建设内容包括</w:t>
      </w:r>
      <w:r>
        <w:rPr>
          <w:rFonts w:hint="eastAsia" w:ascii="宋体" w:hAnsi="宋体" w:eastAsia="宋体" w:cs="宋体"/>
          <w:color w:val="auto"/>
          <w:szCs w:val="24"/>
          <w:highlight w:val="none"/>
          <w:lang w:eastAsia="zh-CN"/>
        </w:rPr>
        <w:t>：</w:t>
      </w:r>
    </w:p>
    <w:tbl>
      <w:tblPr>
        <w:tblStyle w:val="46"/>
        <w:tblW w:w="9339"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2"/>
        <w:gridCol w:w="1044"/>
        <w:gridCol w:w="5972"/>
        <w:gridCol w:w="871"/>
        <w:gridCol w:w="7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597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9339"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一、软件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662"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44"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馆藏资源管理系统</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一、局域网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B/S结构，兼容主流浏览器，在局域网内完成部署并正常使用相关功能（具体功能实现如下所示），三年质保（包括但不仅限于系统功能维护、升级）。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档案管理系统支持档案“收、管、存、用”全业务流程管理，包括但不仅限于以下功能：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1、档案收集：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①支持目录数据、数字档案的在线接收、离线接收；②支持对接收目录数据、数字档案的四性检测（准确性、安全性、可用性、完整性）③至少支持对文本、图像、音频、视频、数据库类型数字档案的接收；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2、档案管理：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具备数据组织功能、具备多种分类方式并可定制及可拓展、具备数字档案编目功能；②具备目录数据与数字档案关联功能；③具备数据编辑（包括但不仅限于格式转换）、发布功能；④具备档案辅助鉴定功能（包括但不限于鉴定功能、操作记录、结果导出等功能）;⑤至少具备调卷、出入库登记（包括但不限于功能操作及记录）、档案位置指示、保管状况描述（包括但不限于温湿度记录）等辅助实体档案管理、虚拟库房管理功能；⑥至少具备数量、类型、保管期限、形成单位、形成时间、年报等统计功能；⑦至少具备档案回收站功能；⑧具备档案挂接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3、档案保存：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①具备分类存储功能；②具备在线、离线备份功能；③具备备份数据恢复功能；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4、档案利用：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具备档案利用登记注册功能；②具备档案利用审核、审批功能；③至少具备目录检索、全文检索、关键字检索等功能；④具备数据阅览功能；⑤具备数据输出功能（包括但不限于存储、打印等功能）；⑥具备人次、目的、效果、件次、时间等利用统计和用户使用评价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⑦根据档案所属及密级执行不同审批流程；⑧支持辅助档案编研工作；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5、系统管理：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①具备身份认证、用户设置与权限分配等用户管理功能；②具备日志记录、操作审计功能；③具备代码、数据字典管理功能；④收管存用等业务定制功能；⑤具备历史机构管理功能；⑥具备安全管理功能；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自助查档登记系统：实现与局域网档案管理系统的互融互通（包括但不仅限于用户自助注册、登陆、访问）</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二、政务网：政务网下系统与公文传输系统实现互通。</w:t>
            </w:r>
          </w:p>
        </w:tc>
        <w:tc>
          <w:tcPr>
            <w:tcW w:w="871"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790"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中间件</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主流国产应用服务器中间件、档案系统运行中间件</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历史数据迁移</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局域网档案数据迁移工作</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操作系统</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主流国产操作系统</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主流国产数据库管理系统</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档案网页</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包括馆藏介绍、利用指南、数据检索、史料编研、资源阅览等，兼容主流浏览器，三年质保（包括但不仅限于网页功能完善、信息内容更新）</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339"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二、硬件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防火墙</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国产芯片，国产操作系统，内存:≧16GB，硬盘:≧4TB，网络接口:≧4个千兆电口、≧4个千兆光口。三年硬件维保</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入侵检测</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国产芯片，国产操作系统，内存:≧16GB，硬盘:≧1TB，网络接口:≧6个千兆电口、≧4个千兆光口，三年硬件维保</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网络审计</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国产芯片，国产操作系统，内存:≧32GB，网络接口:≧8个千兆电口、≧8个千兆光口，三年硬件维保</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应用服务器</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配置不少于2颗国产芯片，≧128GB内存，标配不少于1块240GB SSD硬盘，不少于2块4TB硬盘，≧4个千兆网口，三年硬件质保</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生产存储</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双控制器，缓存≧32GB，存储容量≧64TB；配置不少于8个1Gb iSCSI主机接口，支持 8/16 Gb FC、1/10Gb iSCSI、10Gb 等多协议主机接口；三年质保</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国产智能交互终端设备</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智能交互终端设备，支持国产化环境，包括二代身份证识别仪、高拍仪、满意度评价器等，三年质保</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电脑终端</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1路8核国产cpu；≥8GB内存，≥256GB硬盘，显示屏尺寸≧21.5英寸，分辨率≧1920*1080，配国产操作系统、键盘、鼠标</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半球红外单灯，POE供电，像素≧400w,</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监控存储</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≧8T，≧5900转</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POE交换机</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≧8口</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断电后至少支持30分钟，≧8组电池，12V-100Ah</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UPS机头</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右线式ups，10KVA/9000W</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移动硬盘</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≧14TB，3-5英寸，支持usb3.0，≧7200转</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8G/512G SSD/15.6英寸</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显示屏</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≧42寸、分辨率≧1080P</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半球红外单灯，POE供电，像素≧400w,</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专业音箱</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至少配备一个低音单元和一个压缩式高音，额定功率450W，最大功率600W。有效频率范围45Hz~18kHz ，灵敏度 （1kHz,1米），96dB（1W/1M），产品净重≦24Kg</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专业音频功率放大器</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兼容任何音源，输出功率：8Ω：600W*2 4Ω：1120W</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专业调音台</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至少8路输入，支持蓝牙接收功能，支持MP3，WAV双解码播放功能，支持USB，SD卡，内置16 DSP效果器</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前置效果器</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盘音乐播放功能，支持MP3/WMA/WAV/FLAC/APE多种格式;LCD彩色高分辨率中英文显示；光纤数字音频输入，输出通道都可以独立输出;开关电源实现宽电源工作（85—250V，50/60HZ）；免驱动USB接口连接，实时通过PC软件控制全部参数；具备无线红外遥控功能;</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9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一拖四无线话筒 （四屏）</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长杆，四通道各音频音量输出独立可控；发射器中会议/手持/领夹 可以混搭使用. 互不干忧；信道数目≧200个；信道间隔≧300KHZ ；频率稳定度:±0.005%；动态范围:100db；最大偏移:±45KHZ；音频频率响应 40HZ-18KHZ(±2db)；综合信噪比:&gt;105db；综合失真≦0.5%；灵敏度调节范围12-32dBuV；最大输出电平：+10dbv；</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trPr>
        <w:tc>
          <w:tcPr>
            <w:tcW w:w="9339"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三、基础改造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管线施工</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布管、配线、开槽、补槽、辅材</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防火防盗门</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尺寸1.45米*2.05米两面配指纹或人脸识别系统；二楼走廊一面走廊尺寸2.37米*2.13米</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恒温恒湿机柜</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1.8米高，0.6米宽、1米深</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662"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044"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数字档案馆测评服务-测评材料准备工作</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1.硬件设备资料、拓扑图、软件系统内截图、安全设备资料</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2.档案管理制度、档案管理涉及的规则、日常检查各种记录、下发的相关文件</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3.系统初始化、系统数据迁移、相关数据流测试现场调试</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4.整理资料扫描，甲方准备，按照数字化加工扫描费用支付，并进行精修</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5.资料印刷</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6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04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软硬件、设备设施的集成、施工、安装、部署</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62"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044"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验收</w:t>
            </w: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1.机房七氟丙烷移机费用（线路、设备安装、系统调试）</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2.测评专家</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62"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044"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5972"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3.项目验收专家费用、食宿</w:t>
            </w:r>
          </w:p>
        </w:tc>
        <w:tc>
          <w:tcPr>
            <w:tcW w:w="87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bl>
    <w:p>
      <w:pPr>
        <w:rPr>
          <w:rFonts w:hint="eastAsia" w:ascii="宋体" w:hAnsi="宋体" w:cs="宋体"/>
          <w:b/>
          <w:color w:val="auto"/>
          <w:kern w:val="0"/>
          <w:szCs w:val="24"/>
          <w:highlight w:val="none"/>
          <w:lang w:val="en-US" w:eastAsia="zh-CN"/>
        </w:rPr>
      </w:pPr>
    </w:p>
    <w:p>
      <w:pPr>
        <w:spacing w:beforeLines="0" w:afterLines="0"/>
        <w:ind w:firstLine="482" w:firstLineChars="200"/>
        <w:rPr>
          <w:rFonts w:hint="default"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三、</w:t>
      </w:r>
      <w:r>
        <w:rPr>
          <w:rFonts w:ascii="宋体" w:hAnsi="宋体" w:eastAsia="宋体" w:cs="宋体"/>
          <w:b/>
          <w:color w:val="auto"/>
          <w:kern w:val="0"/>
          <w:szCs w:val="24"/>
          <w:highlight w:val="none"/>
        </w:rPr>
        <w:t>项目服务要求</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1、项目服务期限</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本项目合同服务期限为自合同签订之日起</w:t>
      </w:r>
      <w:r>
        <w:rPr>
          <w:rFonts w:ascii="宋体" w:hAnsi="宋体" w:cs="宋体"/>
          <w:color w:val="auto"/>
          <w:szCs w:val="32"/>
          <w:highlight w:val="none"/>
          <w:u w:val="single"/>
        </w:rPr>
        <w:t xml:space="preserve">  </w:t>
      </w:r>
      <w:r>
        <w:rPr>
          <w:rFonts w:hint="eastAsia" w:ascii="宋体" w:hAnsi="宋体" w:cs="宋体"/>
          <w:color w:val="auto"/>
          <w:szCs w:val="32"/>
          <w:highlight w:val="none"/>
          <w:u w:val="single"/>
          <w:lang w:val="en-US" w:eastAsia="zh-CN"/>
        </w:rPr>
        <w:t>90</w:t>
      </w:r>
      <w:r>
        <w:rPr>
          <w:rFonts w:ascii="宋体" w:hAnsi="宋体" w:cs="宋体"/>
          <w:color w:val="auto"/>
          <w:szCs w:val="32"/>
          <w:highlight w:val="none"/>
          <w:u w:val="single"/>
        </w:rPr>
        <w:t xml:space="preserve">  </w:t>
      </w:r>
      <w:r>
        <w:rPr>
          <w:rFonts w:ascii="宋体" w:hAnsi="宋体" w:cs="宋体"/>
          <w:color w:val="auto"/>
          <w:szCs w:val="32"/>
          <w:highlight w:val="none"/>
        </w:rPr>
        <w:t>日历天。</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2、合同履行期间服务要求</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（1）供应商应按合同要求按时、按质、按量推进项目工作;</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（2）项目组成员应按采购方要求参加项目相关技术指导、工作会议。</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3、服务要求</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（1）在服务期限内按照项目技术要求开展工作。</w:t>
      </w:r>
    </w:p>
    <w:p>
      <w:pPr>
        <w:spacing w:before="24" w:after="24"/>
        <w:ind w:firstLine="480" w:firstLineChars="200"/>
        <w:rPr>
          <w:rFonts w:ascii="宋体" w:hAnsi="宋体" w:cs="宋体"/>
          <w:color w:val="auto"/>
          <w:szCs w:val="32"/>
          <w:highlight w:val="none"/>
        </w:rPr>
      </w:pPr>
      <w:r>
        <w:rPr>
          <w:rFonts w:ascii="宋体" w:hAnsi="宋体" w:cs="宋体"/>
          <w:color w:val="auto"/>
          <w:szCs w:val="32"/>
          <w:highlight w:val="none"/>
        </w:rPr>
        <w:t>（2）如人员需要调整变动，应及时通知采购方。</w:t>
      </w:r>
    </w:p>
    <w:p>
      <w:pPr>
        <w:spacing w:before="24" w:after="24"/>
        <w:ind w:firstLine="480" w:firstLineChars="200"/>
        <w:rPr>
          <w:rFonts w:hint="eastAsia" w:ascii="宋体" w:hAnsi="宋体" w:cs="宋体"/>
          <w:color w:val="auto"/>
          <w:szCs w:val="32"/>
          <w:highlight w:val="none"/>
          <w:lang w:val="en-US" w:eastAsia="zh-CN"/>
        </w:rPr>
      </w:pPr>
      <w:r>
        <w:rPr>
          <w:rFonts w:hint="eastAsia" w:ascii="宋体" w:hAnsi="宋体" w:cs="宋体"/>
          <w:color w:val="auto"/>
          <w:szCs w:val="32"/>
          <w:highlight w:val="none"/>
          <w:lang w:val="en-US" w:eastAsia="zh-CN"/>
        </w:rPr>
        <w:t>4、质保期：除建设清单中明确的质保期外，未明确的，供应商须提供符合国家三包规定的产品及质保服务。</w:t>
      </w:r>
    </w:p>
    <w:p>
      <w:pPr>
        <w:spacing w:beforeLines="0" w:afterLines="0"/>
        <w:ind w:firstLine="482" w:firstLineChars="200"/>
        <w:rPr>
          <w:rFonts w:hint="default"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四、</w:t>
      </w:r>
      <w:r>
        <w:rPr>
          <w:rFonts w:ascii="宋体" w:hAnsi="宋体" w:eastAsia="宋体" w:cs="宋体"/>
          <w:b/>
          <w:color w:val="auto"/>
          <w:kern w:val="0"/>
          <w:szCs w:val="24"/>
          <w:highlight w:val="none"/>
        </w:rPr>
        <w:t>项目管理要求</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组织实施要求</w:t>
      </w:r>
    </w:p>
    <w:p>
      <w:pPr>
        <w:spacing w:before="24" w:after="24"/>
        <w:ind w:firstLine="480" w:firstLineChars="200"/>
        <w:rPr>
          <w:rFonts w:hint="default" w:ascii="宋体" w:hAnsi="宋体" w:cs="宋体"/>
          <w:color w:val="auto"/>
          <w:szCs w:val="32"/>
          <w:highlight w:val="none"/>
        </w:rPr>
      </w:pPr>
      <w:r>
        <w:rPr>
          <w:rFonts w:ascii="宋体" w:hAnsi="宋体" w:cs="宋体"/>
          <w:color w:val="auto"/>
          <w:szCs w:val="32"/>
          <w:highlight w:val="none"/>
        </w:rPr>
        <w:t>为确保本次项目招标工作管理规范、实施有力，供应商应成立项目组，按采购方要求完成调查研究。积极配合采购方组织、举办本项目各工作阶段的汇报、审查、调查、研讨、意见征询等工作。</w:t>
      </w:r>
    </w:p>
    <w:p>
      <w:pPr>
        <w:spacing w:beforeLines="0" w:afterLines="0"/>
        <w:ind w:firstLine="482" w:firstLineChars="200"/>
        <w:rPr>
          <w:rFonts w:hint="default"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五、</w:t>
      </w:r>
      <w:r>
        <w:rPr>
          <w:rFonts w:ascii="宋体" w:hAnsi="宋体" w:eastAsia="宋体" w:cs="宋体"/>
          <w:b/>
          <w:color w:val="auto"/>
          <w:kern w:val="0"/>
          <w:szCs w:val="24"/>
          <w:highlight w:val="none"/>
        </w:rPr>
        <w:t>项目验收要求</w:t>
      </w:r>
    </w:p>
    <w:p>
      <w:pPr>
        <w:spacing w:before="24" w:after="24"/>
        <w:ind w:firstLine="480" w:firstLineChars="200"/>
        <w:rPr>
          <w:rFonts w:hint="default"/>
          <w:color w:val="auto"/>
          <w:szCs w:val="32"/>
          <w:highlight w:val="none"/>
        </w:rPr>
      </w:pPr>
      <w:r>
        <w:rPr>
          <w:color w:val="auto"/>
          <w:szCs w:val="32"/>
          <w:highlight w:val="none"/>
        </w:rPr>
        <w:t>供应商应根据采购方的具体技术要求及时间要求，完成相应工作成果并全部提交后，进行项目验收并通过相关部门的验收，</w:t>
      </w:r>
      <w:r>
        <w:rPr>
          <w:rFonts w:ascii="宋体" w:hAnsi="宋体" w:cs="宋体"/>
          <w:color w:val="auto"/>
          <w:szCs w:val="24"/>
          <w:highlight w:val="none"/>
        </w:rPr>
        <w:t>达到省档案局对县级档案馆的测评标准。</w:t>
      </w:r>
    </w:p>
    <w:p>
      <w:pPr>
        <w:spacing w:beforeLines="0" w:afterLines="0"/>
        <w:ind w:firstLine="482" w:firstLineChars="200"/>
        <w:rPr>
          <w:rFonts w:hint="default"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六、</w:t>
      </w:r>
      <w:r>
        <w:rPr>
          <w:rFonts w:ascii="宋体" w:hAnsi="宋体" w:eastAsia="宋体" w:cs="宋体"/>
          <w:b/>
          <w:color w:val="auto"/>
          <w:kern w:val="0"/>
          <w:szCs w:val="24"/>
          <w:highlight w:val="none"/>
        </w:rPr>
        <w:t>售后服务要求</w:t>
      </w:r>
    </w:p>
    <w:p>
      <w:pPr>
        <w:adjustRightInd w:val="0"/>
        <w:snapToGrid w:val="0"/>
        <w:spacing w:beforeLines="0" w:afterLines="0"/>
        <w:ind w:firstLine="480" w:firstLineChars="200"/>
        <w:rPr>
          <w:rFonts w:hint="default"/>
          <w:color w:val="auto"/>
          <w:szCs w:val="32"/>
          <w:highlight w:val="none"/>
        </w:rPr>
      </w:pPr>
      <w:r>
        <w:rPr>
          <w:color w:val="auto"/>
          <w:szCs w:val="32"/>
          <w:highlight w:val="none"/>
        </w:rPr>
        <w:t>自项目服务期限截止之日起 1 年内，供应商须与采购方保持全面沟通，随时跟进与项目相关的工作，并就项目成果实际使用过程中出现的问题提供咨询、分析和解决方法。</w:t>
      </w:r>
    </w:p>
    <w:p>
      <w:pPr>
        <w:spacing w:beforeLines="0" w:afterLines="0"/>
        <w:ind w:firstLine="482" w:firstLineChars="200"/>
        <w:rPr>
          <w:rFonts w:hint="default"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七、</w:t>
      </w:r>
      <w:r>
        <w:rPr>
          <w:rFonts w:ascii="宋体" w:hAnsi="宋体" w:eastAsia="宋体" w:cs="宋体"/>
          <w:b/>
          <w:color w:val="auto"/>
          <w:kern w:val="0"/>
          <w:szCs w:val="24"/>
          <w:highlight w:val="none"/>
        </w:rPr>
        <w:t>培训要求</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1、供应商在系统实施过程中，应对档案馆员工及系统管理员进行全方位的培训，并使档案馆具备独立进行项目实施、维护能力。</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2、供应商应将培训工作分成应用级培训和系统级培训两种。应用级培训指一般用户的基础操作培训和部门信息管理员的日常应用维护的培训；系统级培训指对系统管理员进行简单的流程开发培训和系统管理培训。</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3、供应商应提供培训教材及必要的培训设备，保证培训质量。</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4、对一般用户的培训应达到的要求：能够熟练使用供应商所开发的软件。</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5、对部门信息系统管理员的培训应达到的要求：可以维护日常应用方面出现的问题。</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6、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pPr>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7、供应商须列出详细的培训计划（包括培训方式、时间、课程内容、人数、地点、质量保证等）相关条款进行阐述，并提供培训资料。</w:t>
      </w:r>
    </w:p>
    <w:p>
      <w:pPr>
        <w:numPr>
          <w:ilvl w:val="0"/>
          <w:numId w:val="11"/>
        </w:numPr>
        <w:spacing w:beforeLines="0" w:afterLines="0"/>
        <w:ind w:left="-482" w:leftChars="0" w:firstLine="482" w:firstLineChars="0"/>
        <w:rPr>
          <w:rFonts w:hint="eastAsia" w:ascii="宋体" w:hAnsi="宋体" w:cs="宋体"/>
          <w:color w:val="auto"/>
          <w:szCs w:val="24"/>
          <w:highlight w:val="none"/>
          <w:lang w:val="en-US" w:eastAsia="zh-CN"/>
        </w:rPr>
      </w:pPr>
      <w:r>
        <w:rPr>
          <w:rFonts w:ascii="宋体" w:hAnsi="宋体" w:cs="宋体"/>
          <w:b/>
          <w:color w:val="auto"/>
          <w:kern w:val="0"/>
          <w:szCs w:val="24"/>
          <w:highlight w:val="none"/>
        </w:rPr>
        <w:t>其他要求</w:t>
      </w:r>
    </w:p>
    <w:p>
      <w:pPr>
        <w:numPr>
          <w:ilvl w:val="0"/>
          <w:numId w:val="0"/>
        </w:numPr>
        <w:spacing w:beforeLines="0" w:afterLines="0"/>
        <w:ind w:firstLine="480" w:firstLineChars="200"/>
        <w:rPr>
          <w:rFonts w:hint="default"/>
          <w:color w:val="auto"/>
          <w:highlight w:val="none"/>
          <w:lang w:val="en-US" w:eastAsia="zh-CN"/>
        </w:rPr>
      </w:pPr>
      <w:r>
        <w:rPr>
          <w:rFonts w:hint="eastAsia" w:ascii="宋体" w:hAnsi="宋体" w:cs="宋体"/>
          <w:color w:val="auto"/>
          <w:szCs w:val="24"/>
          <w:highlight w:val="none"/>
          <w:lang w:val="en-US" w:eastAsia="zh-CN"/>
        </w:rPr>
        <w:t>供应商需充分考虑拟投软硬件产品后期可以兼容上级档案管理系统及现有档案馆管理系统。</w:t>
      </w:r>
    </w:p>
    <w:bookmarkEnd w:id="182"/>
    <w:bookmarkEnd w:id="183"/>
    <w:p>
      <w:pPr>
        <w:widowControl/>
        <w:spacing w:beforeLines="0" w:afterLines="0" w:line="240" w:lineRule="auto"/>
        <w:jc w:val="left"/>
        <w:rPr>
          <w:rFonts w:hint="default" w:ascii="宋体" w:hAnsi="宋体" w:cs="宋体"/>
          <w:b/>
          <w:color w:val="auto"/>
          <w:kern w:val="0"/>
          <w:sz w:val="30"/>
          <w:szCs w:val="30"/>
          <w:highlight w:val="none"/>
        </w:rPr>
      </w:pPr>
      <w:bookmarkStart w:id="189" w:name="_Toc31725_WPSOffice_Level1"/>
      <w:bookmarkStart w:id="190" w:name="_Toc481838668"/>
      <w:bookmarkStart w:id="191" w:name="_Toc184635136"/>
      <w:bookmarkStart w:id="192" w:name="_Toc11724"/>
      <w:bookmarkStart w:id="193" w:name="_Toc1397"/>
      <w:bookmarkStart w:id="194" w:name="_Toc445663807"/>
      <w:r>
        <w:rPr>
          <w:rFonts w:hint="default" w:hAnsi="宋体" w:cs="宋体"/>
          <w:color w:val="auto"/>
          <w:sz w:val="30"/>
          <w:szCs w:val="30"/>
          <w:highlight w:val="none"/>
        </w:rPr>
        <w:br w:type="page"/>
      </w:r>
    </w:p>
    <w:p>
      <w:pPr>
        <w:pStyle w:val="4"/>
        <w:spacing w:before="240" w:after="120"/>
        <w:jc w:val="center"/>
        <w:rPr>
          <w:rFonts w:hint="default" w:hAnsi="宋体" w:cs="宋体"/>
          <w:color w:val="auto"/>
          <w:sz w:val="32"/>
          <w:szCs w:val="32"/>
          <w:highlight w:val="none"/>
        </w:rPr>
      </w:pPr>
      <w:r>
        <w:rPr>
          <w:rFonts w:hAnsi="宋体" w:cs="宋体"/>
          <w:color w:val="auto"/>
          <w:sz w:val="30"/>
          <w:szCs w:val="30"/>
          <w:highlight w:val="none"/>
        </w:rPr>
        <w:t>第六章  响应文件格式</w:t>
      </w:r>
      <w:bookmarkEnd w:id="189"/>
      <w:bookmarkEnd w:id="190"/>
      <w:bookmarkEnd w:id="191"/>
      <w:bookmarkEnd w:id="192"/>
      <w:bookmarkEnd w:id="193"/>
      <w:bookmarkEnd w:id="194"/>
    </w:p>
    <w:p>
      <w:pPr>
        <w:spacing w:before="24" w:after="24"/>
        <w:ind w:right="180"/>
        <w:jc w:val="right"/>
        <w:rPr>
          <w:rFonts w:hint="default" w:ascii="宋体" w:hAnsi="宋体" w:cs="宋体"/>
          <w:b/>
          <w:bCs/>
          <w:color w:val="auto"/>
          <w:sz w:val="30"/>
          <w:szCs w:val="30"/>
          <w:highlight w:val="none"/>
        </w:rPr>
      </w:pPr>
      <w:bookmarkStart w:id="195" w:name="_Toc14735"/>
      <w:bookmarkStart w:id="196" w:name="_Toc22189_WPSOffice_Level1"/>
      <w:bookmarkStart w:id="197" w:name="_Toc12784"/>
      <w:bookmarkStart w:id="198" w:name="_Toc184635137"/>
      <w:r>
        <w:rPr>
          <w:rFonts w:ascii="宋体" w:hAnsi="宋体" w:cs="宋体"/>
          <w:b/>
          <w:bCs/>
          <w:color w:val="auto"/>
          <w:kern w:val="36"/>
          <w:sz w:val="30"/>
          <w:szCs w:val="30"/>
          <w:highlight w:val="none"/>
        </w:rPr>
        <w:t>正本/副本</w:t>
      </w:r>
      <w:bookmarkEnd w:id="195"/>
      <w:bookmarkEnd w:id="196"/>
      <w:bookmarkEnd w:id="197"/>
    </w:p>
    <w:p>
      <w:pPr>
        <w:spacing w:before="24" w:after="24"/>
        <w:rPr>
          <w:rFonts w:hint="default" w:ascii="宋体" w:hAnsi="宋体" w:cs="宋体"/>
          <w:b/>
          <w:bCs/>
          <w:color w:val="auto"/>
          <w:szCs w:val="24"/>
          <w:highlight w:val="none"/>
        </w:rPr>
      </w:pPr>
      <w:r>
        <w:rPr>
          <w:rFonts w:ascii="宋体" w:hAnsi="宋体" w:cs="宋体"/>
          <w:b/>
          <w:bCs/>
          <w:color w:val="auto"/>
          <w:szCs w:val="24"/>
          <w:highlight w:val="none"/>
        </w:rPr>
        <w:t>政府采购项目</w:t>
      </w:r>
    </w:p>
    <w:p>
      <w:pPr>
        <w:spacing w:before="24" w:after="24"/>
        <w:rPr>
          <w:rFonts w:hint="default" w:ascii="宋体" w:hAnsi="宋体" w:cs="宋体"/>
          <w:b/>
          <w:color w:val="auto"/>
          <w:szCs w:val="24"/>
          <w:highlight w:val="none"/>
        </w:rPr>
      </w:pPr>
      <w:r>
        <w:rPr>
          <w:rFonts w:ascii="宋体" w:hAnsi="宋体" w:cs="宋体"/>
          <w:b/>
          <w:bCs/>
          <w:color w:val="auto"/>
          <w:szCs w:val="24"/>
          <w:highlight w:val="none"/>
        </w:rPr>
        <w:t>项目编号：</w:t>
      </w:r>
      <w:r>
        <w:rPr>
          <w:rFonts w:ascii="宋体" w:hAnsi="宋体" w:cs="宋体"/>
          <w:b/>
          <w:bCs/>
          <w:color w:val="auto"/>
          <w:szCs w:val="28"/>
          <w:highlight w:val="none"/>
        </w:rPr>
        <w:t>SXZD（2023）114CG</w:t>
      </w:r>
    </w:p>
    <w:p>
      <w:pPr>
        <w:pStyle w:val="45"/>
        <w:spacing w:before="24" w:after="24"/>
        <w:ind w:firstLine="723"/>
        <w:rPr>
          <w:rFonts w:hint="default" w:hAnsi="宋体" w:cs="宋体"/>
          <w:b/>
          <w:color w:val="auto"/>
          <w:sz w:val="36"/>
          <w:szCs w:val="36"/>
          <w:highlight w:val="none"/>
        </w:rPr>
      </w:pPr>
    </w:p>
    <w:p>
      <w:pPr>
        <w:pStyle w:val="45"/>
        <w:spacing w:before="24" w:after="24"/>
        <w:ind w:firstLine="723"/>
        <w:rPr>
          <w:rFonts w:hint="default" w:hAnsi="宋体" w:cs="宋体"/>
          <w:b/>
          <w:color w:val="auto"/>
          <w:sz w:val="36"/>
          <w:szCs w:val="36"/>
          <w:highlight w:val="none"/>
        </w:rPr>
      </w:pPr>
    </w:p>
    <w:p>
      <w:pPr>
        <w:spacing w:before="24" w:after="24"/>
        <w:jc w:val="center"/>
        <w:rPr>
          <w:rFonts w:hint="default" w:ascii="宋体" w:hAnsi="宋体" w:cs="宋体"/>
          <w:b/>
          <w:color w:val="auto"/>
          <w:sz w:val="40"/>
          <w:szCs w:val="40"/>
          <w:highlight w:val="none"/>
        </w:rPr>
      </w:pPr>
      <w:r>
        <w:rPr>
          <w:rFonts w:ascii="宋体" w:hAnsi="宋体" w:cs="宋体"/>
          <w:b/>
          <w:color w:val="auto"/>
          <w:sz w:val="40"/>
          <w:szCs w:val="40"/>
          <w:highlight w:val="none"/>
        </w:rPr>
        <w:t>数字档案馆创建项目</w:t>
      </w:r>
    </w:p>
    <w:p>
      <w:pPr>
        <w:spacing w:before="24" w:after="24"/>
        <w:jc w:val="center"/>
        <w:rPr>
          <w:rFonts w:hint="default" w:ascii="宋体" w:hAnsi="宋体" w:cs="宋体"/>
          <w:b/>
          <w:color w:val="auto"/>
          <w:sz w:val="40"/>
          <w:szCs w:val="40"/>
          <w:highlight w:val="none"/>
        </w:rPr>
      </w:pPr>
    </w:p>
    <w:p>
      <w:pPr>
        <w:spacing w:before="24" w:after="24"/>
        <w:rPr>
          <w:rFonts w:hint="default" w:ascii="宋体" w:hAnsi="宋体" w:cs="宋体"/>
          <w:color w:val="auto"/>
          <w:highlight w:val="none"/>
        </w:rPr>
      </w:pPr>
    </w:p>
    <w:p>
      <w:pPr>
        <w:pStyle w:val="164"/>
        <w:rPr>
          <w:rFonts w:ascii="宋体" w:hAnsi="宋体" w:cs="宋体"/>
          <w:color w:val="auto"/>
          <w:highlight w:val="none"/>
        </w:rPr>
      </w:pPr>
    </w:p>
    <w:p>
      <w:pPr>
        <w:spacing w:before="24" w:after="24" w:line="240" w:lineRule="auto"/>
        <w:jc w:val="center"/>
        <w:outlineLvl w:val="0"/>
        <w:rPr>
          <w:rFonts w:hint="default" w:ascii="宋体" w:hAnsi="宋体" w:cs="宋体"/>
          <w:b/>
          <w:color w:val="auto"/>
          <w:sz w:val="28"/>
          <w:szCs w:val="28"/>
          <w:highlight w:val="none"/>
        </w:rPr>
      </w:pPr>
      <w:bookmarkStart w:id="199" w:name="_Toc25172"/>
    </w:p>
    <w:p>
      <w:pPr>
        <w:spacing w:before="24" w:after="24"/>
        <w:jc w:val="center"/>
        <w:outlineLvl w:val="0"/>
        <w:rPr>
          <w:rFonts w:hint="default" w:ascii="宋体" w:hAnsi="宋体" w:cs="宋体"/>
          <w:b/>
          <w:color w:val="auto"/>
          <w:sz w:val="72"/>
          <w:szCs w:val="72"/>
          <w:highlight w:val="none"/>
        </w:rPr>
      </w:pPr>
      <w:bookmarkStart w:id="200" w:name="_Toc812"/>
      <w:bookmarkStart w:id="201" w:name="_Toc4103"/>
      <w:r>
        <w:rPr>
          <w:rFonts w:ascii="宋体" w:hAnsi="宋体" w:cs="宋体"/>
          <w:b/>
          <w:color w:val="auto"/>
          <w:sz w:val="72"/>
          <w:szCs w:val="72"/>
          <w:highlight w:val="none"/>
        </w:rPr>
        <w:t>响 应 文 件</w:t>
      </w:r>
      <w:bookmarkEnd w:id="199"/>
      <w:bookmarkEnd w:id="200"/>
      <w:bookmarkEnd w:id="201"/>
    </w:p>
    <w:p>
      <w:pPr>
        <w:pStyle w:val="21"/>
        <w:rPr>
          <w:rFonts w:hint="default" w:ascii="宋体" w:hAnsi="宋体" w:cs="宋体"/>
          <w:b/>
          <w:color w:val="auto"/>
          <w:sz w:val="36"/>
          <w:szCs w:val="36"/>
          <w:highlight w:val="none"/>
        </w:rPr>
      </w:pPr>
    </w:p>
    <w:p>
      <w:pPr>
        <w:spacing w:before="24" w:after="24"/>
        <w:rPr>
          <w:rFonts w:hint="default" w:ascii="宋体" w:hAnsi="宋体" w:cs="宋体"/>
          <w:b/>
          <w:color w:val="auto"/>
          <w:sz w:val="36"/>
          <w:szCs w:val="36"/>
          <w:highlight w:val="none"/>
        </w:rPr>
      </w:pPr>
    </w:p>
    <w:p>
      <w:pPr>
        <w:pStyle w:val="14"/>
        <w:spacing w:before="24" w:after="24"/>
        <w:rPr>
          <w:rFonts w:hint="default" w:ascii="宋体" w:hAnsi="宋体" w:cs="宋体"/>
          <w:b/>
          <w:color w:val="auto"/>
          <w:sz w:val="36"/>
          <w:szCs w:val="36"/>
          <w:highlight w:val="none"/>
        </w:rPr>
      </w:pPr>
    </w:p>
    <w:p>
      <w:pPr>
        <w:spacing w:before="24" w:after="24"/>
        <w:rPr>
          <w:rFonts w:hint="default" w:ascii="宋体" w:hAnsi="宋体" w:cs="宋体"/>
          <w:color w:val="auto"/>
          <w:highlight w:val="none"/>
        </w:rPr>
      </w:pPr>
    </w:p>
    <w:p>
      <w:pPr>
        <w:pStyle w:val="40"/>
        <w:spacing w:before="24" w:after="24"/>
        <w:rPr>
          <w:rFonts w:hint="default" w:ascii="宋体" w:hAnsi="宋体" w:eastAsia="宋体" w:cs="宋体"/>
          <w:b/>
          <w:color w:val="auto"/>
          <w:sz w:val="36"/>
          <w:szCs w:val="36"/>
          <w:highlight w:val="none"/>
        </w:rPr>
      </w:pPr>
    </w:p>
    <w:p>
      <w:pPr>
        <w:spacing w:beforeLines="50" w:afterLines="50"/>
        <w:jc w:val="center"/>
        <w:rPr>
          <w:rFonts w:hint="default" w:ascii="宋体" w:hAnsi="宋体" w:cs="宋体"/>
          <w:b/>
          <w:bCs/>
          <w:color w:val="auto"/>
          <w:w w:val="90"/>
          <w:sz w:val="28"/>
          <w:szCs w:val="28"/>
          <w:highlight w:val="none"/>
        </w:rPr>
      </w:pPr>
      <w:r>
        <w:rPr>
          <w:rFonts w:ascii="宋体" w:hAnsi="宋体" w:cs="宋体"/>
          <w:b/>
          <w:bCs/>
          <w:color w:val="auto"/>
          <w:w w:val="90"/>
          <w:sz w:val="28"/>
          <w:szCs w:val="28"/>
          <w:highlight w:val="none"/>
        </w:rPr>
        <w:t>供   应   商：</w:t>
      </w:r>
      <w:r>
        <w:rPr>
          <w:rFonts w:ascii="宋体" w:hAnsi="宋体" w:cs="宋体"/>
          <w:b/>
          <w:bCs/>
          <w:color w:val="auto"/>
          <w:w w:val="90"/>
          <w:sz w:val="28"/>
          <w:szCs w:val="28"/>
          <w:highlight w:val="none"/>
          <w:u w:val="single"/>
        </w:rPr>
        <w:t xml:space="preserve">                       </w:t>
      </w:r>
      <w:r>
        <w:rPr>
          <w:rFonts w:ascii="宋体" w:hAnsi="宋体" w:cs="宋体"/>
          <w:b/>
          <w:bCs/>
          <w:color w:val="auto"/>
          <w:w w:val="90"/>
          <w:sz w:val="28"/>
          <w:szCs w:val="28"/>
          <w:highlight w:val="none"/>
        </w:rPr>
        <w:t>（盖单位章）</w:t>
      </w:r>
    </w:p>
    <w:p>
      <w:pPr>
        <w:pStyle w:val="30"/>
        <w:spacing w:before="24" w:after="24"/>
        <w:rPr>
          <w:rFonts w:ascii="宋体" w:hAnsi="宋体" w:cs="宋体"/>
          <w:color w:val="auto"/>
          <w:highlight w:val="none"/>
        </w:rPr>
      </w:pPr>
    </w:p>
    <w:p>
      <w:pPr>
        <w:spacing w:beforeLines="50" w:afterLines="50"/>
        <w:jc w:val="center"/>
        <w:rPr>
          <w:rFonts w:hint="default" w:ascii="宋体" w:hAnsi="宋体" w:cs="宋体"/>
          <w:b/>
          <w:bCs/>
          <w:color w:val="auto"/>
          <w:w w:val="90"/>
          <w:sz w:val="28"/>
          <w:szCs w:val="28"/>
          <w:highlight w:val="none"/>
        </w:rPr>
      </w:pPr>
      <w:r>
        <w:rPr>
          <w:rFonts w:ascii="宋体" w:hAnsi="宋体" w:cs="宋体"/>
          <w:b/>
          <w:bCs/>
          <w:color w:val="auto"/>
          <w:w w:val="90"/>
          <w:sz w:val="28"/>
          <w:szCs w:val="28"/>
          <w:highlight w:val="none"/>
        </w:rPr>
        <w:t>法定代表人或被授权人：</w:t>
      </w:r>
      <w:r>
        <w:rPr>
          <w:rFonts w:ascii="宋体" w:hAnsi="宋体" w:cs="宋体"/>
          <w:b/>
          <w:bCs/>
          <w:color w:val="auto"/>
          <w:w w:val="90"/>
          <w:sz w:val="28"/>
          <w:szCs w:val="28"/>
          <w:highlight w:val="none"/>
          <w:u w:val="single"/>
        </w:rPr>
        <w:t xml:space="preserve">            </w:t>
      </w:r>
      <w:r>
        <w:rPr>
          <w:rFonts w:ascii="宋体" w:hAnsi="宋体" w:cs="宋体"/>
          <w:b/>
          <w:bCs/>
          <w:color w:val="auto"/>
          <w:w w:val="90"/>
          <w:sz w:val="28"/>
          <w:szCs w:val="28"/>
          <w:highlight w:val="none"/>
        </w:rPr>
        <w:t>（签字或盖章）</w:t>
      </w:r>
    </w:p>
    <w:p>
      <w:pPr>
        <w:pStyle w:val="30"/>
        <w:spacing w:before="24" w:after="24"/>
        <w:rPr>
          <w:rFonts w:ascii="宋体" w:hAnsi="宋体" w:cs="宋体"/>
          <w:color w:val="auto"/>
          <w:highlight w:val="none"/>
        </w:rPr>
      </w:pPr>
    </w:p>
    <w:p>
      <w:pPr>
        <w:spacing w:before="24" w:after="24"/>
        <w:ind w:firstLine="281" w:firstLineChars="100"/>
        <w:jc w:val="center"/>
        <w:rPr>
          <w:rFonts w:hint="default" w:ascii="宋体" w:hAnsi="宋体" w:cs="宋体"/>
          <w:b/>
          <w:color w:val="auto"/>
          <w:sz w:val="28"/>
          <w:szCs w:val="28"/>
          <w:highlight w:val="none"/>
          <w:u w:val="single"/>
        </w:rPr>
      </w:pPr>
      <w:r>
        <w:rPr>
          <w:rFonts w:ascii="宋体" w:hAnsi="宋体" w:cs="宋体"/>
          <w:b/>
          <w:color w:val="auto"/>
          <w:sz w:val="28"/>
          <w:szCs w:val="28"/>
          <w:highlight w:val="none"/>
        </w:rPr>
        <w:t>日期：</w:t>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年</w:t>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月</w:t>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日</w:t>
      </w:r>
    </w:p>
    <w:p>
      <w:pPr>
        <w:snapToGrid w:val="0"/>
        <w:spacing w:before="24" w:after="24" w:line="400" w:lineRule="exact"/>
        <w:jc w:val="center"/>
        <w:rPr>
          <w:rFonts w:ascii="宋体" w:hAnsi="宋体" w:cs="宋体"/>
          <w:color w:val="auto"/>
          <w:sz w:val="36"/>
          <w:szCs w:val="36"/>
          <w:highlight w:val="none"/>
        </w:rPr>
      </w:pPr>
      <w:bookmarkStart w:id="202" w:name="_Toc406422041"/>
      <w:bookmarkStart w:id="203" w:name="_Toc31031"/>
    </w:p>
    <w:p>
      <w:pPr>
        <w:snapToGrid w:val="0"/>
        <w:spacing w:before="24" w:after="24" w:line="400" w:lineRule="exact"/>
        <w:jc w:val="center"/>
        <w:rPr>
          <w:rFonts w:hint="default" w:ascii="宋体" w:hAnsi="宋体" w:cs="宋体"/>
          <w:color w:val="auto"/>
          <w:sz w:val="36"/>
          <w:szCs w:val="36"/>
          <w:highlight w:val="none"/>
        </w:rPr>
      </w:pPr>
      <w:r>
        <w:rPr>
          <w:rFonts w:ascii="宋体" w:hAnsi="宋体" w:cs="宋体"/>
          <w:color w:val="auto"/>
          <w:sz w:val="36"/>
          <w:szCs w:val="36"/>
          <w:highlight w:val="none"/>
        </w:rPr>
        <w:t>目  录</w:t>
      </w:r>
      <w:bookmarkEnd w:id="198"/>
      <w:bookmarkEnd w:id="202"/>
      <w:bookmarkEnd w:id="203"/>
    </w:p>
    <w:p>
      <w:pPr>
        <w:adjustRightInd w:val="0"/>
        <w:snapToGrid w:val="0"/>
        <w:spacing w:beforeLines="0" w:afterLines="0"/>
        <w:rPr>
          <w:rFonts w:hint="default" w:ascii="宋体" w:hAnsi="宋体" w:cs="宋体"/>
          <w:color w:val="auto"/>
          <w:szCs w:val="24"/>
          <w:highlight w:val="none"/>
          <w:lang w:val="zh-CN"/>
        </w:rPr>
      </w:pPr>
      <w:bookmarkStart w:id="204" w:name="_Toc184635139"/>
      <w:bookmarkStart w:id="205" w:name="_Toc406422042"/>
    </w:p>
    <w:p>
      <w:pPr>
        <w:pStyle w:val="7"/>
        <w:spacing w:before="24" w:after="24"/>
        <w:rPr>
          <w:rFonts w:hint="default"/>
          <w:color w:val="auto"/>
          <w:highlight w:val="none"/>
          <w:lang w:val="zh-CN"/>
        </w:rPr>
      </w:pP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一、磋商响应函</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二、首次磋商报价表</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三、资格证明材料</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四、</w:t>
      </w:r>
      <w:r>
        <w:rPr>
          <w:rFonts w:hint="eastAsia" w:ascii="宋体" w:hAnsi="宋体" w:cs="宋体"/>
          <w:color w:val="auto"/>
          <w:sz w:val="24"/>
          <w:szCs w:val="24"/>
          <w:highlight w:val="none"/>
          <w:lang w:val="zh-CN"/>
        </w:rPr>
        <w:t>商务技术偏差表</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五、供应商参加政府采购活动承诺书</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六、服务方案</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七、</w:t>
      </w:r>
      <w:r>
        <w:rPr>
          <w:rFonts w:ascii="宋体" w:hAnsi="宋体" w:cs="宋体"/>
          <w:color w:val="auto"/>
          <w:sz w:val="24"/>
          <w:szCs w:val="24"/>
          <w:highlight w:val="none"/>
        </w:rPr>
        <w:t>服务承诺</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八、企业类似业绩</w:t>
      </w:r>
    </w:p>
    <w:p>
      <w:pPr>
        <w:pStyle w:val="44"/>
        <w:spacing w:line="360" w:lineRule="auto"/>
        <w:ind w:firstLine="720" w:firstLineChars="300"/>
        <w:rPr>
          <w:rFonts w:hint="default" w:ascii="宋体" w:hAnsi="宋体" w:cs="宋体"/>
          <w:color w:val="auto"/>
          <w:sz w:val="24"/>
          <w:szCs w:val="24"/>
          <w:highlight w:val="none"/>
          <w:lang w:val="zh-CN"/>
        </w:rPr>
      </w:pPr>
      <w:r>
        <w:rPr>
          <w:rFonts w:ascii="宋体" w:hAnsi="宋体" w:cs="宋体"/>
          <w:color w:val="auto"/>
          <w:sz w:val="24"/>
          <w:szCs w:val="24"/>
          <w:highlight w:val="none"/>
          <w:lang w:val="zh-CN"/>
        </w:rPr>
        <w:t>九、供应商认为可证明企业实力或有必要的其他文件和资料</w:t>
      </w:r>
    </w:p>
    <w:p>
      <w:pPr>
        <w:pStyle w:val="44"/>
        <w:ind w:firstLine="0" w:firstLineChars="0"/>
        <w:rPr>
          <w:rFonts w:hint="default" w:ascii="宋体" w:hAnsi="宋体" w:cs="宋体"/>
          <w:color w:val="auto"/>
          <w:highlight w:val="none"/>
          <w:lang w:val="zh-CN"/>
        </w:rPr>
      </w:pPr>
      <w:r>
        <w:rPr>
          <w:rFonts w:ascii="宋体" w:hAnsi="宋体" w:cs="宋体"/>
          <w:color w:val="auto"/>
          <w:highlight w:val="none"/>
          <w:lang w:val="zh-CN"/>
        </w:rPr>
        <w:br w:type="page"/>
      </w:r>
    </w:p>
    <w:p>
      <w:pPr>
        <w:autoSpaceDE w:val="0"/>
        <w:autoSpaceDN w:val="0"/>
        <w:adjustRightInd w:val="0"/>
        <w:snapToGrid w:val="0"/>
        <w:spacing w:before="24" w:after="24" w:line="336" w:lineRule="auto"/>
        <w:jc w:val="center"/>
        <w:outlineLvl w:val="1"/>
        <w:rPr>
          <w:rFonts w:hint="default" w:ascii="宋体" w:hAnsi="宋体" w:cs="宋体"/>
          <w:b/>
          <w:bCs/>
          <w:color w:val="auto"/>
          <w:sz w:val="30"/>
          <w:szCs w:val="30"/>
          <w:highlight w:val="none"/>
        </w:rPr>
      </w:pPr>
      <w:bookmarkStart w:id="206" w:name="_Toc24279_WPSOffice_Level2"/>
      <w:bookmarkStart w:id="207" w:name="_Toc26752"/>
      <w:r>
        <w:rPr>
          <w:rFonts w:ascii="宋体" w:hAnsi="宋体" w:cs="宋体"/>
          <w:b/>
          <w:bCs/>
          <w:color w:val="auto"/>
          <w:sz w:val="30"/>
          <w:szCs w:val="30"/>
          <w:highlight w:val="none"/>
        </w:rPr>
        <w:t>一、磋商</w:t>
      </w:r>
      <w:r>
        <w:rPr>
          <w:rFonts w:ascii="宋体" w:hAnsi="宋体" w:cs="宋体"/>
          <w:b/>
          <w:bCs/>
          <w:color w:val="auto"/>
          <w:sz w:val="30"/>
          <w:szCs w:val="30"/>
          <w:highlight w:val="none"/>
          <w:lang w:val="zh-CN"/>
        </w:rPr>
        <w:t>响应函</w:t>
      </w:r>
      <w:bookmarkEnd w:id="206"/>
      <w:bookmarkEnd w:id="207"/>
    </w:p>
    <w:p>
      <w:pPr>
        <w:autoSpaceDE w:val="0"/>
        <w:autoSpaceDN w:val="0"/>
        <w:adjustRightInd w:val="0"/>
        <w:snapToGrid w:val="0"/>
        <w:spacing w:beforeLines="0" w:afterLines="0"/>
        <w:rPr>
          <w:rFonts w:hint="default" w:ascii="宋体" w:hAnsi="宋体" w:cs="宋体"/>
          <w:b/>
          <w:bCs/>
          <w:color w:val="auto"/>
          <w:szCs w:val="24"/>
          <w:highlight w:val="none"/>
          <w:lang w:val="zh-CN"/>
        </w:rPr>
      </w:pPr>
      <w:r>
        <w:rPr>
          <w:rFonts w:ascii="宋体" w:hAnsi="宋体" w:cs="宋体"/>
          <w:b/>
          <w:color w:val="auto"/>
          <w:spacing w:val="4"/>
          <w:szCs w:val="24"/>
          <w:highlight w:val="none"/>
        </w:rPr>
        <w:t>岐山县档案馆</w:t>
      </w:r>
      <w:r>
        <w:rPr>
          <w:rFonts w:ascii="宋体" w:hAnsi="宋体" w:cs="宋体"/>
          <w:b/>
          <w:bCs/>
          <w:color w:val="auto"/>
          <w:szCs w:val="24"/>
          <w:highlight w:val="none"/>
          <w:lang w:val="zh-CN"/>
        </w:rPr>
        <w:t>：</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lang w:val="zh-CN"/>
        </w:rPr>
        <w:t>我单位收到</w:t>
      </w:r>
      <w:r>
        <w:rPr>
          <w:rFonts w:ascii="宋体" w:hAnsi="宋体" w:cs="宋体"/>
          <w:color w:val="auto"/>
          <w:szCs w:val="24"/>
          <w:highlight w:val="none"/>
          <w:u w:val="single"/>
          <w:lang w:val="zh-CN"/>
        </w:rPr>
        <w:t>数字档案馆创建项目（项目编号：SXZD（2023）114CG）</w:t>
      </w:r>
      <w:r>
        <w:rPr>
          <w:rFonts w:ascii="宋体" w:hAnsi="宋体" w:cs="宋体"/>
          <w:color w:val="auto"/>
          <w:szCs w:val="24"/>
          <w:highlight w:val="none"/>
        </w:rPr>
        <w:t>的</w:t>
      </w:r>
      <w:r>
        <w:rPr>
          <w:rFonts w:ascii="宋体" w:hAnsi="宋体" w:cs="宋体"/>
          <w:color w:val="auto"/>
          <w:szCs w:val="24"/>
          <w:highlight w:val="none"/>
          <w:lang w:val="zh-CN"/>
        </w:rPr>
        <w:t>磋商文件，经详细研究，我们决定参加本次磋商活动。为此，我方郑重声明以下诸点，并负法律责任。</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w:t>
      </w:r>
      <w:r>
        <w:rPr>
          <w:rFonts w:ascii="宋体" w:hAnsi="宋体" w:cs="宋体"/>
          <w:color w:val="auto"/>
          <w:szCs w:val="24"/>
          <w:highlight w:val="none"/>
          <w:lang w:val="zh-CN"/>
        </w:rPr>
        <w:t>、愿意按照磋商文件中的要求，提供</w:t>
      </w:r>
      <w:r>
        <w:rPr>
          <w:rFonts w:ascii="宋体" w:hAnsi="宋体" w:cs="宋体"/>
          <w:color w:val="auto"/>
          <w:szCs w:val="24"/>
          <w:highlight w:val="none"/>
          <w:u w:val="single"/>
          <w:lang w:val="zh-CN"/>
        </w:rPr>
        <w:t>数字档案馆创建项目</w:t>
      </w:r>
      <w:r>
        <w:rPr>
          <w:rFonts w:ascii="宋体" w:hAnsi="宋体" w:cs="宋体"/>
          <w:color w:val="auto"/>
          <w:szCs w:val="24"/>
          <w:highlight w:val="none"/>
        </w:rPr>
        <w:t>建设服务</w:t>
      </w:r>
      <w:r>
        <w:rPr>
          <w:rFonts w:ascii="宋体" w:hAnsi="宋体" w:cs="宋体"/>
          <w:color w:val="auto"/>
          <w:szCs w:val="24"/>
          <w:highlight w:val="none"/>
          <w:lang w:val="zh-CN"/>
        </w:rPr>
        <w:t>，完成合同的责任和义务。</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lang w:val="zh-CN"/>
        </w:rPr>
      </w:pPr>
      <w:r>
        <w:rPr>
          <w:rFonts w:ascii="宋体" w:hAnsi="宋体" w:cs="宋体"/>
          <w:color w:val="auto"/>
          <w:szCs w:val="24"/>
          <w:highlight w:val="none"/>
        </w:rPr>
        <w:t>2</w:t>
      </w:r>
      <w:r>
        <w:rPr>
          <w:rFonts w:ascii="宋体" w:hAnsi="宋体" w:cs="宋体"/>
          <w:color w:val="auto"/>
          <w:szCs w:val="24"/>
          <w:highlight w:val="none"/>
          <w:lang w:val="zh-CN"/>
        </w:rPr>
        <w:t>、按磋商文件的规定，我公司的首次磋商总报价为：</w:t>
      </w:r>
    </w:p>
    <w:p>
      <w:pPr>
        <w:autoSpaceDE w:val="0"/>
        <w:autoSpaceDN w:val="0"/>
        <w:adjustRightInd w:val="0"/>
        <w:snapToGrid w:val="0"/>
        <w:spacing w:beforeLines="0" w:afterLines="0"/>
        <w:ind w:firstLine="480" w:firstLineChars="200"/>
        <w:rPr>
          <w:rFonts w:ascii="宋体" w:hAnsi="宋体" w:cs="宋体"/>
          <w:color w:val="auto"/>
          <w:szCs w:val="24"/>
          <w:highlight w:val="none"/>
          <w:lang w:val="zh-CN"/>
        </w:rPr>
      </w:pPr>
      <w:r>
        <w:rPr>
          <w:rFonts w:ascii="宋体" w:hAnsi="宋体" w:cs="宋体"/>
          <w:color w:val="auto"/>
          <w:szCs w:val="24"/>
          <w:highlight w:val="none"/>
          <w:lang w:val="zh-CN"/>
        </w:rPr>
        <w:t>人民币（大写）：</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lang w:val="zh-CN"/>
        </w:rPr>
        <w:t>（</w:t>
      </w:r>
      <w:r>
        <w:rPr>
          <w:rFonts w:ascii="宋体" w:hAnsi="宋体" w:cs="宋体"/>
          <w:color w:val="auto"/>
          <w:szCs w:val="24"/>
          <w:highlight w:val="none"/>
        </w:rPr>
        <w:t>¥</w:t>
      </w:r>
      <w:r>
        <w:rPr>
          <w:rFonts w:ascii="宋体" w:hAnsi="宋体" w:cs="宋体"/>
          <w:color w:val="auto"/>
          <w:szCs w:val="24"/>
          <w:highlight w:val="none"/>
          <w:lang w:val="zh-CN"/>
        </w:rPr>
        <w:t>：</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lang w:val="zh-CN"/>
        </w:rPr>
        <w:t>）；</w:t>
      </w:r>
      <w:r>
        <w:rPr>
          <w:rFonts w:ascii="宋体" w:hAnsi="宋体" w:cs="宋体"/>
          <w:color w:val="auto"/>
          <w:szCs w:val="24"/>
          <w:highlight w:val="none"/>
        </w:rPr>
        <w:t>服务</w:t>
      </w:r>
      <w:r>
        <w:rPr>
          <w:rFonts w:ascii="宋体" w:hAnsi="宋体" w:cs="宋体"/>
          <w:color w:val="auto"/>
          <w:szCs w:val="24"/>
          <w:highlight w:val="none"/>
          <w:lang w:val="zh-CN"/>
        </w:rPr>
        <w:t>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lang w:val="zh-CN"/>
        </w:rPr>
        <w:t>，质量</w:t>
      </w:r>
      <w:r>
        <w:rPr>
          <w:rFonts w:ascii="宋体" w:hAnsi="宋体" w:cs="宋体"/>
          <w:color w:val="auto"/>
          <w:szCs w:val="24"/>
          <w:highlight w:val="none"/>
        </w:rPr>
        <w:t>标准</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，并对其后的磋商报价负法律责任。</w:t>
      </w:r>
    </w:p>
    <w:p>
      <w:pPr>
        <w:pStyle w:val="2"/>
        <w:rPr>
          <w:rFonts w:hint="default"/>
          <w:highlight w:val="none"/>
          <w:lang w:val="zh-CN"/>
        </w:rPr>
      </w:pP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w:t>
      </w:r>
      <w:r>
        <w:rPr>
          <w:rFonts w:ascii="宋体" w:hAnsi="宋体" w:cs="宋体"/>
          <w:color w:val="auto"/>
          <w:szCs w:val="24"/>
          <w:highlight w:val="none"/>
          <w:lang w:val="zh-CN"/>
        </w:rPr>
        <w:t>、我方提交的响应文件正本一份、副本二份、电子文件二份。</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4</w:t>
      </w:r>
      <w:r>
        <w:rPr>
          <w:rFonts w:ascii="宋体" w:hAnsi="宋体" w:cs="宋体"/>
          <w:color w:val="auto"/>
          <w:szCs w:val="24"/>
          <w:highlight w:val="none"/>
          <w:lang w:val="zh-CN"/>
        </w:rPr>
        <w:t>、我方已详细阅读了磋商文件，完全理解并放弃提出含糊不清或易形成歧义的表述和资料。</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5</w:t>
      </w:r>
      <w:r>
        <w:rPr>
          <w:rFonts w:ascii="宋体" w:hAnsi="宋体" w:cs="宋体"/>
          <w:color w:val="auto"/>
          <w:szCs w:val="24"/>
          <w:highlight w:val="none"/>
          <w:lang w:val="zh-CN"/>
        </w:rPr>
        <w:t>、磋商后在规定的有效期内撤回磋商，我方愿接受政府采购的有关处罚决定。</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6</w:t>
      </w:r>
      <w:r>
        <w:rPr>
          <w:rFonts w:ascii="宋体" w:hAnsi="宋体" w:cs="宋体"/>
          <w:color w:val="auto"/>
          <w:szCs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7</w:t>
      </w:r>
      <w:r>
        <w:rPr>
          <w:rFonts w:ascii="宋体" w:hAnsi="宋体" w:cs="宋体"/>
          <w:color w:val="auto"/>
          <w:szCs w:val="24"/>
          <w:highlight w:val="none"/>
          <w:lang w:val="zh-CN"/>
        </w:rPr>
        <w:t>、我方的响应文件在磋商后有效期为</w:t>
      </w:r>
      <w:r>
        <w:rPr>
          <w:rFonts w:ascii="宋体" w:hAnsi="宋体" w:cs="宋体"/>
          <w:color w:val="auto"/>
          <w:szCs w:val="24"/>
          <w:highlight w:val="none"/>
        </w:rPr>
        <w:t>90</w:t>
      </w:r>
      <w:r>
        <w:rPr>
          <w:rFonts w:ascii="宋体" w:hAnsi="宋体" w:cs="宋体"/>
          <w:color w:val="auto"/>
          <w:szCs w:val="24"/>
          <w:highlight w:val="none"/>
          <w:lang w:val="zh-CN"/>
        </w:rPr>
        <w:t>日历</w:t>
      </w:r>
      <w:r>
        <w:rPr>
          <w:rFonts w:ascii="宋体" w:hAnsi="宋体" w:cs="宋体"/>
          <w:color w:val="auto"/>
          <w:szCs w:val="24"/>
          <w:highlight w:val="none"/>
        </w:rPr>
        <w:t>天</w:t>
      </w:r>
      <w:r>
        <w:rPr>
          <w:rFonts w:ascii="宋体" w:hAnsi="宋体" w:cs="宋体"/>
          <w:color w:val="auto"/>
          <w:szCs w:val="24"/>
          <w:highlight w:val="none"/>
          <w:lang w:val="zh-CN"/>
        </w:rPr>
        <w:t>，若我方成交，响应文件有效期延长至合同执行完毕。</w:t>
      </w:r>
    </w:p>
    <w:p>
      <w:pPr>
        <w:autoSpaceDE w:val="0"/>
        <w:autoSpaceDN w:val="0"/>
        <w:adjustRightInd w:val="0"/>
        <w:snapToGrid w:val="0"/>
        <w:spacing w:beforeLines="0" w:afterLines="0"/>
        <w:ind w:firstLine="480" w:firstLineChars="200"/>
        <w:rPr>
          <w:rFonts w:hint="default" w:ascii="宋体" w:hAnsi="宋体" w:cs="宋体"/>
          <w:color w:val="auto"/>
          <w:szCs w:val="24"/>
          <w:highlight w:val="none"/>
          <w:lang w:val="zh-CN"/>
        </w:rPr>
      </w:pPr>
      <w:r>
        <w:rPr>
          <w:rFonts w:ascii="宋体" w:hAnsi="宋体" w:cs="宋体"/>
          <w:color w:val="auto"/>
          <w:szCs w:val="24"/>
          <w:highlight w:val="none"/>
        </w:rPr>
        <w:t>8</w:t>
      </w:r>
      <w:r>
        <w:rPr>
          <w:rFonts w:ascii="宋体" w:hAnsi="宋体" w:cs="宋体"/>
          <w:color w:val="auto"/>
          <w:szCs w:val="24"/>
          <w:highlight w:val="none"/>
          <w:lang w:val="zh-CN"/>
        </w:rPr>
        <w:t>、有关于本磋商文件的函电，请按下列地址联系。</w:t>
      </w:r>
    </w:p>
    <w:p>
      <w:pPr>
        <w:pStyle w:val="14"/>
        <w:spacing w:before="24" w:after="24"/>
        <w:rPr>
          <w:rFonts w:hint="default" w:ascii="宋体" w:hAnsi="宋体" w:cs="宋体"/>
          <w:color w:val="auto"/>
          <w:szCs w:val="24"/>
          <w:highlight w:val="none"/>
          <w:lang w:val="zh-CN"/>
        </w:rPr>
      </w:pPr>
    </w:p>
    <w:p>
      <w:pPr>
        <w:autoSpaceDE w:val="0"/>
        <w:autoSpaceDN w:val="0"/>
        <w:adjustRightInd w:val="0"/>
        <w:snapToGrid w:val="0"/>
        <w:spacing w:before="24" w:after="24"/>
        <w:ind w:firstLine="600" w:firstLineChars="250"/>
        <w:rPr>
          <w:rFonts w:hint="default" w:ascii="宋体" w:hAnsi="宋体" w:cs="宋体"/>
          <w:color w:val="auto"/>
          <w:szCs w:val="24"/>
          <w:highlight w:val="none"/>
        </w:rPr>
      </w:pPr>
      <w:bookmarkStart w:id="208" w:name="_Toc13442"/>
      <w:bookmarkStart w:id="209" w:name="_Toc13738_WPSOffice_Level2"/>
      <w:bookmarkStart w:id="210" w:name="_Toc1299"/>
      <w:r>
        <w:rPr>
          <w:rFonts w:ascii="宋体" w:hAnsi="宋体" w:cs="宋体"/>
          <w:color w:val="auto"/>
          <w:szCs w:val="24"/>
          <w:highlight w:val="none"/>
          <w:lang w:val="zh-CN"/>
        </w:rPr>
        <w:t>供应商全称（盖章）：</w:t>
      </w:r>
      <w:r>
        <w:rPr>
          <w:rFonts w:ascii="宋体" w:hAnsi="宋体" w:cs="宋体"/>
          <w:color w:val="auto"/>
          <w:szCs w:val="24"/>
          <w:highlight w:val="none"/>
          <w:u w:val="single"/>
        </w:rPr>
        <w:t xml:space="preserve">                                </w:t>
      </w:r>
    </w:p>
    <w:p>
      <w:pPr>
        <w:autoSpaceDE w:val="0"/>
        <w:autoSpaceDN w:val="0"/>
        <w:adjustRightInd w:val="0"/>
        <w:snapToGrid w:val="0"/>
        <w:spacing w:before="24" w:after="24"/>
        <w:ind w:firstLine="600" w:firstLineChars="250"/>
        <w:rPr>
          <w:rFonts w:hint="default" w:ascii="宋体" w:hAnsi="宋体" w:cs="宋体"/>
          <w:color w:val="auto"/>
          <w:szCs w:val="24"/>
          <w:highlight w:val="none"/>
        </w:rPr>
      </w:pPr>
      <w:r>
        <w:rPr>
          <w:rFonts w:ascii="宋体" w:hAnsi="宋体" w:cs="宋体"/>
          <w:color w:val="auto"/>
          <w:szCs w:val="24"/>
          <w:highlight w:val="none"/>
          <w:lang w:val="zh-CN"/>
        </w:rPr>
        <w:t>地</w:t>
      </w:r>
      <w:r>
        <w:rPr>
          <w:rFonts w:ascii="宋体" w:hAnsi="宋体" w:cs="宋体"/>
          <w:color w:val="auto"/>
          <w:szCs w:val="24"/>
          <w:highlight w:val="none"/>
        </w:rPr>
        <w:t xml:space="preserve">    </w:t>
      </w:r>
      <w:r>
        <w:rPr>
          <w:rFonts w:ascii="宋体" w:hAnsi="宋体" w:cs="宋体"/>
          <w:color w:val="auto"/>
          <w:szCs w:val="24"/>
          <w:highlight w:val="none"/>
          <w:lang w:val="zh-CN"/>
        </w:rPr>
        <w:t>址：</w:t>
      </w:r>
      <w:r>
        <w:rPr>
          <w:rFonts w:ascii="宋体" w:hAnsi="宋体" w:cs="宋体"/>
          <w:color w:val="auto"/>
          <w:szCs w:val="24"/>
          <w:highlight w:val="none"/>
          <w:u w:val="single"/>
        </w:rPr>
        <w:t xml:space="preserve">                                          </w:t>
      </w:r>
    </w:p>
    <w:p>
      <w:pPr>
        <w:autoSpaceDE w:val="0"/>
        <w:autoSpaceDN w:val="0"/>
        <w:adjustRightInd w:val="0"/>
        <w:snapToGrid w:val="0"/>
        <w:spacing w:before="24" w:after="24"/>
        <w:ind w:firstLine="600" w:firstLineChars="250"/>
        <w:rPr>
          <w:rFonts w:hint="default" w:ascii="宋体" w:hAnsi="宋体" w:cs="宋体"/>
          <w:color w:val="auto"/>
          <w:szCs w:val="24"/>
          <w:highlight w:val="none"/>
          <w:lang w:val="zh-CN"/>
        </w:rPr>
      </w:pPr>
      <w:r>
        <w:rPr>
          <w:rFonts w:ascii="宋体" w:hAnsi="宋体" w:cs="宋体"/>
          <w:color w:val="auto"/>
          <w:szCs w:val="24"/>
          <w:highlight w:val="none"/>
          <w:lang w:val="zh-CN"/>
        </w:rPr>
        <w:t>开户银行：</w:t>
      </w:r>
      <w:r>
        <w:rPr>
          <w:rFonts w:ascii="宋体" w:hAnsi="宋体" w:cs="宋体"/>
          <w:color w:val="auto"/>
          <w:szCs w:val="24"/>
          <w:highlight w:val="none"/>
          <w:u w:val="single"/>
        </w:rPr>
        <w:t xml:space="preserve">                                          </w:t>
      </w:r>
    </w:p>
    <w:p>
      <w:pPr>
        <w:autoSpaceDE w:val="0"/>
        <w:autoSpaceDN w:val="0"/>
        <w:adjustRightInd w:val="0"/>
        <w:snapToGrid w:val="0"/>
        <w:spacing w:before="24" w:after="24"/>
        <w:ind w:firstLine="600" w:firstLineChars="250"/>
        <w:rPr>
          <w:rFonts w:hint="default" w:ascii="宋体" w:hAnsi="宋体" w:cs="宋体"/>
          <w:color w:val="auto"/>
          <w:szCs w:val="24"/>
          <w:highlight w:val="none"/>
          <w:lang w:val="zh-CN"/>
        </w:rPr>
      </w:pPr>
      <w:r>
        <w:rPr>
          <w:rFonts w:ascii="宋体" w:hAnsi="宋体" w:cs="宋体"/>
          <w:color w:val="auto"/>
          <w:szCs w:val="24"/>
          <w:highlight w:val="none"/>
          <w:lang w:val="zh-CN"/>
        </w:rPr>
        <w:t>帐    号：</w:t>
      </w:r>
      <w:r>
        <w:rPr>
          <w:rFonts w:ascii="宋体" w:hAnsi="宋体" w:cs="宋体"/>
          <w:color w:val="auto"/>
          <w:szCs w:val="24"/>
          <w:highlight w:val="none"/>
          <w:u w:val="single"/>
        </w:rPr>
        <w:t xml:space="preserve">                                          </w:t>
      </w:r>
    </w:p>
    <w:p>
      <w:pPr>
        <w:autoSpaceDE w:val="0"/>
        <w:autoSpaceDN w:val="0"/>
        <w:adjustRightInd w:val="0"/>
        <w:snapToGrid w:val="0"/>
        <w:spacing w:before="24" w:after="24"/>
        <w:ind w:firstLine="600" w:firstLineChars="250"/>
        <w:rPr>
          <w:rFonts w:hint="default" w:ascii="宋体" w:hAnsi="宋体" w:cs="宋体"/>
          <w:color w:val="auto"/>
          <w:szCs w:val="24"/>
          <w:highlight w:val="none"/>
          <w:u w:val="single"/>
        </w:rPr>
      </w:pPr>
      <w:r>
        <w:rPr>
          <w:rFonts w:ascii="宋体" w:hAnsi="宋体" w:cs="宋体"/>
          <w:color w:val="auto"/>
          <w:szCs w:val="24"/>
          <w:highlight w:val="none"/>
          <w:lang w:val="zh-CN"/>
        </w:rPr>
        <w:t>电    话：</w:t>
      </w:r>
      <w:r>
        <w:rPr>
          <w:rFonts w:ascii="宋体" w:hAnsi="宋体" w:cs="宋体"/>
          <w:color w:val="auto"/>
          <w:szCs w:val="24"/>
          <w:highlight w:val="none"/>
          <w:u w:val="single"/>
        </w:rPr>
        <w:t xml:space="preserve">                                          </w:t>
      </w:r>
    </w:p>
    <w:p>
      <w:pPr>
        <w:autoSpaceDE w:val="0"/>
        <w:autoSpaceDN w:val="0"/>
        <w:adjustRightInd w:val="0"/>
        <w:snapToGrid w:val="0"/>
        <w:spacing w:before="24" w:after="24"/>
        <w:ind w:firstLine="600" w:firstLineChars="250"/>
        <w:rPr>
          <w:rFonts w:hint="default" w:ascii="宋体" w:hAnsi="宋体" w:cs="宋体"/>
          <w:color w:val="auto"/>
          <w:szCs w:val="24"/>
          <w:highlight w:val="none"/>
          <w:lang w:val="zh-CN"/>
        </w:rPr>
      </w:pPr>
      <w:r>
        <w:rPr>
          <w:rFonts w:ascii="宋体" w:hAnsi="宋体" w:cs="宋体"/>
          <w:color w:val="auto"/>
          <w:szCs w:val="24"/>
          <w:highlight w:val="none"/>
          <w:lang w:val="zh-CN"/>
        </w:rPr>
        <w:t>传    真：</w:t>
      </w:r>
      <w:r>
        <w:rPr>
          <w:rFonts w:ascii="宋体" w:hAnsi="宋体" w:cs="宋体"/>
          <w:color w:val="auto"/>
          <w:szCs w:val="24"/>
          <w:highlight w:val="none"/>
          <w:u w:val="single"/>
        </w:rPr>
        <w:t xml:space="preserve">                                          </w:t>
      </w:r>
    </w:p>
    <w:p>
      <w:pPr>
        <w:autoSpaceDE w:val="0"/>
        <w:autoSpaceDN w:val="0"/>
        <w:adjustRightInd w:val="0"/>
        <w:snapToGrid w:val="0"/>
        <w:spacing w:before="24" w:after="24"/>
        <w:ind w:firstLine="600" w:firstLineChars="25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被授权人</w:t>
      </w:r>
      <w:r>
        <w:rPr>
          <w:rFonts w:ascii="宋体" w:hAnsi="宋体" w:cs="宋体"/>
          <w:color w:val="auto"/>
          <w:szCs w:val="24"/>
          <w:highlight w:val="none"/>
          <w:lang w:val="zh-CN"/>
        </w:rPr>
        <w:t>（签字或盖章）：</w:t>
      </w:r>
      <w:r>
        <w:rPr>
          <w:rFonts w:ascii="宋体" w:hAnsi="宋体" w:cs="宋体"/>
          <w:color w:val="auto"/>
          <w:szCs w:val="24"/>
          <w:highlight w:val="none"/>
          <w:u w:val="single"/>
        </w:rPr>
        <w:t xml:space="preserve">                </w:t>
      </w:r>
    </w:p>
    <w:p>
      <w:pPr>
        <w:spacing w:before="24" w:after="24"/>
        <w:rPr>
          <w:rFonts w:hint="default" w:ascii="宋体" w:hAnsi="宋体" w:cs="宋体"/>
          <w:color w:val="auto"/>
          <w:highlight w:val="none"/>
          <w:lang w:val="zh-CN"/>
        </w:rPr>
      </w:pPr>
      <w:r>
        <w:rPr>
          <w:rFonts w:ascii="宋体" w:hAnsi="宋体" w:cs="宋体"/>
          <w:color w:val="auto"/>
          <w:highlight w:val="none"/>
        </w:rPr>
        <w:t xml:space="preserve">                                           </w:t>
      </w:r>
      <w:bookmarkStart w:id="211" w:name="_Toc26747"/>
      <w:bookmarkStart w:id="212" w:name="_Toc14471_WPSOffice_Level2"/>
      <w:bookmarkStart w:id="213" w:name="_Toc20799"/>
      <w:r>
        <w:rPr>
          <w:rFonts w:ascii="宋体" w:hAnsi="宋体" w:cs="宋体"/>
          <w:color w:val="auto"/>
          <w:highlight w:val="none"/>
        </w:rPr>
        <w:t>_____</w:t>
      </w:r>
      <w:r>
        <w:rPr>
          <w:rFonts w:ascii="宋体" w:hAnsi="宋体" w:cs="宋体"/>
          <w:color w:val="auto"/>
          <w:highlight w:val="none"/>
          <w:lang w:val="zh-CN"/>
        </w:rPr>
        <w:t>年</w:t>
      </w:r>
      <w:r>
        <w:rPr>
          <w:rFonts w:ascii="宋体" w:hAnsi="宋体" w:cs="宋体"/>
          <w:color w:val="auto"/>
          <w:highlight w:val="none"/>
        </w:rPr>
        <w:t>_____</w:t>
      </w:r>
      <w:r>
        <w:rPr>
          <w:rFonts w:ascii="宋体" w:hAnsi="宋体" w:cs="宋体"/>
          <w:color w:val="auto"/>
          <w:highlight w:val="none"/>
          <w:lang w:val="zh-CN"/>
        </w:rPr>
        <w:t>月</w:t>
      </w:r>
      <w:r>
        <w:rPr>
          <w:rFonts w:ascii="宋体" w:hAnsi="宋体" w:cs="宋体"/>
          <w:color w:val="auto"/>
          <w:highlight w:val="none"/>
        </w:rPr>
        <w:t>_____</w:t>
      </w:r>
      <w:r>
        <w:rPr>
          <w:rFonts w:ascii="宋体" w:hAnsi="宋体" w:cs="宋体"/>
          <w:color w:val="auto"/>
          <w:highlight w:val="none"/>
          <w:lang w:val="zh-CN"/>
        </w:rPr>
        <w:t>日</w:t>
      </w:r>
      <w:bookmarkEnd w:id="211"/>
      <w:bookmarkEnd w:id="212"/>
      <w:bookmarkEnd w:id="213"/>
    </w:p>
    <w:p>
      <w:pPr>
        <w:autoSpaceDE w:val="0"/>
        <w:autoSpaceDN w:val="0"/>
        <w:adjustRightInd w:val="0"/>
        <w:snapToGrid w:val="0"/>
        <w:spacing w:before="24" w:after="24" w:line="336" w:lineRule="auto"/>
        <w:jc w:val="center"/>
        <w:outlineLvl w:val="1"/>
        <w:rPr>
          <w:rFonts w:hint="default" w:ascii="宋体" w:hAnsi="宋体" w:cs="宋体"/>
          <w:b/>
          <w:bCs/>
          <w:color w:val="auto"/>
          <w:sz w:val="30"/>
          <w:szCs w:val="30"/>
          <w:highlight w:val="none"/>
          <w:lang w:val="zh-CN"/>
        </w:rPr>
      </w:pPr>
      <w:bookmarkStart w:id="214" w:name="_Toc20681"/>
      <w:r>
        <w:rPr>
          <w:rFonts w:ascii="宋体" w:hAnsi="宋体" w:cs="宋体"/>
          <w:b/>
          <w:bCs/>
          <w:color w:val="auto"/>
          <w:sz w:val="30"/>
          <w:szCs w:val="30"/>
          <w:highlight w:val="none"/>
        </w:rPr>
        <w:t>二、</w:t>
      </w:r>
      <w:r>
        <w:rPr>
          <w:rFonts w:ascii="宋体" w:hAnsi="宋体" w:cs="宋体"/>
          <w:b/>
          <w:bCs/>
          <w:color w:val="auto"/>
          <w:sz w:val="30"/>
          <w:szCs w:val="30"/>
          <w:highlight w:val="none"/>
          <w:lang w:val="zh-CN"/>
        </w:rPr>
        <w:t>首次磋商报价表</w:t>
      </w:r>
      <w:bookmarkEnd w:id="208"/>
      <w:bookmarkEnd w:id="209"/>
      <w:bookmarkEnd w:id="210"/>
      <w:bookmarkEnd w:id="214"/>
    </w:p>
    <w:p>
      <w:pPr>
        <w:autoSpaceDE w:val="0"/>
        <w:autoSpaceDN w:val="0"/>
        <w:adjustRightInd w:val="0"/>
        <w:snapToGrid w:val="0"/>
        <w:spacing w:beforeLines="0" w:afterLines="0"/>
        <w:ind w:right="240"/>
        <w:jc w:val="right"/>
        <w:rPr>
          <w:rFonts w:hint="default" w:ascii="宋体" w:hAnsi="宋体" w:cs="宋体"/>
          <w:b/>
          <w:color w:val="auto"/>
          <w:szCs w:val="24"/>
          <w:highlight w:val="none"/>
        </w:rPr>
      </w:pPr>
      <w:r>
        <w:rPr>
          <w:rFonts w:ascii="宋体" w:hAnsi="宋体" w:cs="宋体"/>
          <w:b/>
          <w:color w:val="auto"/>
          <w:szCs w:val="24"/>
          <w:highlight w:val="none"/>
          <w:lang w:val="zh-CN"/>
        </w:rPr>
        <w:t>单位：元</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8"/>
        <w:gridCol w:w="67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2138"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lang w:val="zh-CN"/>
              </w:rPr>
              <w:t>项目名称</w:t>
            </w:r>
          </w:p>
        </w:tc>
        <w:tc>
          <w:tcPr>
            <w:tcW w:w="6730"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lang w:val="zh-CN"/>
              </w:rPr>
              <w:t>数字档案馆创建项目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2138"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lang w:val="zh-CN"/>
              </w:rPr>
              <w:t>项目编号</w:t>
            </w:r>
          </w:p>
        </w:tc>
        <w:tc>
          <w:tcPr>
            <w:tcW w:w="6730"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bCs/>
                <w:color w:val="auto"/>
                <w:szCs w:val="24"/>
                <w:highlight w:val="none"/>
              </w:rPr>
            </w:pPr>
            <w:r>
              <w:rPr>
                <w:rFonts w:ascii="宋体" w:hAnsi="宋体" w:cs="宋体"/>
                <w:bCs/>
                <w:color w:val="auto"/>
                <w:szCs w:val="24"/>
                <w:highlight w:val="none"/>
              </w:rPr>
              <w:t>SXZD（2023）114CG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p>
        </w:tc>
        <w:tc>
          <w:tcPr>
            <w:tcW w:w="6730"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highlight w:val="none"/>
                <w:u w:val="single"/>
              </w:rPr>
            </w:pPr>
            <w:r>
              <w:rPr>
                <w:rFonts w:ascii="宋体" w:hAnsi="宋体" w:cs="宋体"/>
                <w:color w:val="auto"/>
                <w:szCs w:val="24"/>
                <w:highlight w:val="none"/>
                <w:lang w:val="zh-CN"/>
              </w:rPr>
              <w:t>首次磋商总报价（</w:t>
            </w:r>
            <w:r>
              <w:rPr>
                <w:rFonts w:ascii="宋体" w:hAnsi="宋体" w:cs="宋体"/>
                <w:color w:val="auto"/>
                <w:szCs w:val="24"/>
                <w:highlight w:val="none"/>
              </w:rPr>
              <w:t>含税</w:t>
            </w:r>
            <w:r>
              <w:rPr>
                <w:rFonts w:ascii="宋体" w:hAnsi="宋体" w:cs="宋体"/>
                <w:color w:val="auto"/>
                <w:szCs w:val="24"/>
                <w:highlight w:val="none"/>
                <w:lang w:val="zh-CN"/>
              </w:rPr>
              <w:t>）</w:t>
            </w:r>
          </w:p>
        </w:tc>
        <w:tc>
          <w:tcPr>
            <w:tcW w:w="6730" w:type="dxa"/>
            <w:noWrap/>
            <w:vAlign w:val="center"/>
          </w:tcPr>
          <w:p>
            <w:pPr>
              <w:autoSpaceDE w:val="0"/>
              <w:autoSpaceDN w:val="0"/>
              <w:adjustRightInd w:val="0"/>
              <w:snapToGrid w:val="0"/>
              <w:spacing w:beforeLines="0" w:afterLines="0" w:line="240" w:lineRule="auto"/>
              <w:jc w:val="left"/>
              <w:rPr>
                <w:rFonts w:hint="default" w:ascii="宋体" w:hAnsi="宋体" w:cs="宋体"/>
                <w:color w:val="auto"/>
                <w:szCs w:val="24"/>
                <w:highlight w:val="none"/>
                <w:u w:val="single"/>
              </w:rPr>
            </w:pPr>
            <w:r>
              <w:rPr>
                <w:rFonts w:ascii="宋体" w:hAnsi="宋体" w:cs="宋体"/>
                <w:color w:val="auto"/>
                <w:szCs w:val="24"/>
                <w:highlight w:val="none"/>
                <w:lang w:val="zh-CN"/>
              </w:rPr>
              <w:t>大写：</w:t>
            </w:r>
            <w:r>
              <w:rPr>
                <w:rFonts w:ascii="宋体" w:hAnsi="宋体" w:cs="宋体"/>
                <w:color w:val="auto"/>
                <w:szCs w:val="24"/>
                <w:highlight w:val="none"/>
                <w:u w:val="single"/>
              </w:rPr>
              <w:t xml:space="preserve">人民币                  </w:t>
            </w:r>
          </w:p>
          <w:p>
            <w:pPr>
              <w:autoSpaceDE w:val="0"/>
              <w:autoSpaceDN w:val="0"/>
              <w:adjustRightInd w:val="0"/>
              <w:snapToGrid w:val="0"/>
              <w:spacing w:beforeLines="0" w:afterLines="0" w:line="240" w:lineRule="auto"/>
              <w:jc w:val="left"/>
              <w:rPr>
                <w:rFonts w:hint="default" w:ascii="宋体" w:hAnsi="宋体" w:cs="宋体"/>
                <w:color w:val="auto"/>
                <w:highlight w:val="none"/>
              </w:rPr>
            </w:pPr>
            <w:r>
              <w:rPr>
                <w:rFonts w:ascii="宋体" w:hAnsi="宋体" w:cs="宋体"/>
                <w:color w:val="auto"/>
                <w:szCs w:val="24"/>
                <w:highlight w:val="none"/>
                <w:lang w:val="zh-CN"/>
              </w:rPr>
              <w:t>小写（</w:t>
            </w:r>
            <w:r>
              <w:rPr>
                <w:rFonts w:ascii="宋体" w:hAnsi="宋体" w:cs="宋体"/>
                <w:color w:val="auto"/>
                <w:szCs w:val="24"/>
                <w:highlight w:val="none"/>
              </w:rPr>
              <w:t>¥</w:t>
            </w:r>
            <w:r>
              <w:rPr>
                <w:rFonts w:ascii="宋体" w:hAnsi="宋体" w:cs="宋体"/>
                <w:color w:val="auto"/>
                <w:szCs w:val="24"/>
                <w:highlight w:val="none"/>
                <w:lang w:val="zh-CN"/>
              </w:rPr>
              <w:t>）：</w:t>
            </w:r>
            <w:r>
              <w:rPr>
                <w:rFonts w:ascii="宋体" w:hAnsi="宋体" w:cs="宋体"/>
                <w:color w:val="auto"/>
                <w:szCs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rPr>
              <w:t>服务期</w:t>
            </w:r>
          </w:p>
        </w:tc>
        <w:tc>
          <w:tcPr>
            <w:tcW w:w="6730" w:type="dxa"/>
            <w:noWrap/>
            <w:vAlign w:val="center"/>
          </w:tcPr>
          <w:p>
            <w:pPr>
              <w:autoSpaceDE w:val="0"/>
              <w:autoSpaceDN w:val="0"/>
              <w:adjustRightInd w:val="0"/>
              <w:snapToGrid w:val="0"/>
              <w:spacing w:beforeLines="0" w:afterLines="0" w:line="240" w:lineRule="auto"/>
              <w:ind w:right="240"/>
              <w:jc w:val="left"/>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rPr>
            </w:pPr>
            <w:r>
              <w:rPr>
                <w:rFonts w:ascii="宋体" w:hAnsi="宋体" w:cs="宋体"/>
                <w:color w:val="auto"/>
                <w:szCs w:val="24"/>
                <w:highlight w:val="none"/>
              </w:rPr>
              <w:t>质量标准</w:t>
            </w:r>
          </w:p>
        </w:tc>
        <w:tc>
          <w:tcPr>
            <w:tcW w:w="6730" w:type="dxa"/>
            <w:noWrap/>
            <w:vAlign w:val="center"/>
          </w:tcPr>
          <w:p>
            <w:pPr>
              <w:autoSpaceDE w:val="0"/>
              <w:autoSpaceDN w:val="0"/>
              <w:adjustRightInd w:val="0"/>
              <w:snapToGrid w:val="0"/>
              <w:spacing w:beforeLines="0" w:afterLines="0" w:line="240" w:lineRule="auto"/>
              <w:ind w:right="240"/>
              <w:jc w:val="left"/>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8"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lang w:val="zh-CN"/>
              </w:rPr>
              <w:t>备注</w:t>
            </w:r>
          </w:p>
        </w:tc>
        <w:tc>
          <w:tcPr>
            <w:tcW w:w="6730" w:type="dxa"/>
            <w:noWrap/>
            <w:vAlign w:val="center"/>
          </w:tcPr>
          <w:p>
            <w:pPr>
              <w:autoSpaceDE w:val="0"/>
              <w:autoSpaceDN w:val="0"/>
              <w:adjustRightInd w:val="0"/>
              <w:snapToGrid w:val="0"/>
              <w:spacing w:beforeLines="0" w:afterLines="0" w:line="240" w:lineRule="auto"/>
              <w:ind w:right="240"/>
              <w:jc w:val="left"/>
              <w:rPr>
                <w:rFonts w:hint="default" w:ascii="宋体" w:hAnsi="宋体" w:cs="宋体"/>
                <w:color w:val="auto"/>
                <w:szCs w:val="24"/>
                <w:highlight w:val="none"/>
                <w:lang w:val="zh-CN"/>
              </w:rPr>
            </w:pPr>
          </w:p>
        </w:tc>
      </w:tr>
    </w:tbl>
    <w:p>
      <w:pPr>
        <w:autoSpaceDE w:val="0"/>
        <w:autoSpaceDN w:val="0"/>
        <w:adjustRightInd w:val="0"/>
        <w:snapToGrid w:val="0"/>
        <w:spacing w:beforeLines="0" w:afterLines="0"/>
        <w:ind w:right="240" w:firstLine="352" w:firstLineChars="147"/>
        <w:jc w:val="left"/>
        <w:rPr>
          <w:rFonts w:hint="default" w:ascii="宋体" w:hAnsi="宋体" w:cs="宋体"/>
          <w:color w:val="auto"/>
          <w:szCs w:val="24"/>
          <w:highlight w:val="none"/>
          <w:lang w:val="zh-CN"/>
        </w:rPr>
      </w:pPr>
      <w:r>
        <w:rPr>
          <w:rFonts w:ascii="宋体" w:hAnsi="宋体" w:cs="宋体"/>
          <w:color w:val="auto"/>
          <w:szCs w:val="24"/>
          <w:highlight w:val="none"/>
          <w:lang w:val="zh-CN"/>
        </w:rPr>
        <w:t>说明：</w:t>
      </w:r>
    </w:p>
    <w:p>
      <w:pPr>
        <w:autoSpaceDE w:val="0"/>
        <w:autoSpaceDN w:val="0"/>
        <w:adjustRightInd w:val="0"/>
        <w:snapToGrid w:val="0"/>
        <w:spacing w:beforeLines="0" w:afterLines="0"/>
        <w:ind w:right="240" w:firstLine="352" w:firstLineChars="147"/>
        <w:jc w:val="left"/>
        <w:rPr>
          <w:rFonts w:hint="default" w:ascii="宋体" w:hAnsi="宋体" w:cs="宋体"/>
          <w:color w:val="auto"/>
          <w:szCs w:val="24"/>
          <w:highlight w:val="none"/>
          <w:lang w:val="zh-CN"/>
        </w:rPr>
      </w:pPr>
      <w:r>
        <w:rPr>
          <w:rFonts w:ascii="宋体" w:hAnsi="宋体" w:cs="宋体"/>
          <w:color w:val="auto"/>
          <w:szCs w:val="24"/>
          <w:highlight w:val="none"/>
          <w:lang w:val="zh-CN"/>
        </w:rPr>
        <w:t>1、大小写不一致时，以大写为准，保留小数点后两位。</w:t>
      </w:r>
    </w:p>
    <w:p>
      <w:pPr>
        <w:autoSpaceDE w:val="0"/>
        <w:autoSpaceDN w:val="0"/>
        <w:adjustRightInd w:val="0"/>
        <w:snapToGrid w:val="0"/>
        <w:spacing w:beforeLines="0" w:afterLines="0"/>
        <w:ind w:right="240" w:firstLine="352" w:firstLineChars="147"/>
        <w:jc w:val="left"/>
        <w:rPr>
          <w:rFonts w:hint="default" w:ascii="宋体" w:hAnsi="宋体" w:cs="宋体"/>
          <w:color w:val="auto"/>
          <w:kern w:val="1"/>
          <w:szCs w:val="24"/>
          <w:highlight w:val="none"/>
        </w:rPr>
      </w:pPr>
      <w:r>
        <w:rPr>
          <w:rFonts w:ascii="宋体" w:hAnsi="宋体" w:cs="宋体"/>
          <w:color w:val="auto"/>
          <w:szCs w:val="24"/>
          <w:highlight w:val="none"/>
          <w:lang w:val="zh-CN"/>
        </w:rPr>
        <w:t>2、</w:t>
      </w:r>
      <w:r>
        <w:rPr>
          <w:rFonts w:ascii="宋体" w:hAnsi="宋体" w:cs="宋体"/>
          <w:color w:val="auto"/>
          <w:highlight w:val="none"/>
        </w:rPr>
        <w:t>磋商报价是指完成本次项目的所有费用</w:t>
      </w:r>
      <w:r>
        <w:rPr>
          <w:rFonts w:ascii="宋体" w:hAnsi="宋体" w:cs="宋体"/>
          <w:color w:val="auto"/>
          <w:kern w:val="1"/>
          <w:szCs w:val="24"/>
          <w:highlight w:val="none"/>
        </w:rPr>
        <w:t>。凡因供应商的疏忽或失误未报、漏报，事实上将发生的服务费用和潜在风险金，采购人都认为已包含在磋商报价内。</w:t>
      </w:r>
    </w:p>
    <w:p>
      <w:pPr>
        <w:autoSpaceDE w:val="0"/>
        <w:autoSpaceDN w:val="0"/>
        <w:adjustRightInd w:val="0"/>
        <w:snapToGrid w:val="0"/>
        <w:spacing w:beforeLines="0" w:afterLines="0"/>
        <w:ind w:right="240" w:firstLine="352" w:firstLineChars="147"/>
        <w:jc w:val="left"/>
        <w:rPr>
          <w:rFonts w:hint="default" w:ascii="宋体" w:hAnsi="宋体" w:cs="宋体"/>
          <w:color w:val="auto"/>
          <w:szCs w:val="24"/>
          <w:highlight w:val="none"/>
        </w:rPr>
      </w:pPr>
      <w:r>
        <w:rPr>
          <w:rFonts w:ascii="宋体" w:hAnsi="宋体" w:cs="宋体"/>
          <w:color w:val="auto"/>
          <w:szCs w:val="24"/>
          <w:highlight w:val="none"/>
        </w:rPr>
        <w:t>3、本表所填内容与磋商响应函不一致的以磋商响应函为准。</w:t>
      </w:r>
    </w:p>
    <w:p>
      <w:pPr>
        <w:pStyle w:val="28"/>
        <w:spacing w:before="24" w:after="24"/>
        <w:rPr>
          <w:rFonts w:hint="default" w:ascii="宋体" w:hAnsi="宋体" w:cs="宋体"/>
          <w:color w:val="auto"/>
          <w:szCs w:val="24"/>
          <w:highlight w:val="none"/>
          <w:lang w:val="en-US"/>
        </w:rPr>
      </w:pPr>
    </w:p>
    <w:p>
      <w:pPr>
        <w:pStyle w:val="28"/>
        <w:spacing w:before="24" w:after="24"/>
        <w:rPr>
          <w:rFonts w:hint="default" w:ascii="宋体" w:hAnsi="宋体" w:cs="宋体"/>
          <w:color w:val="auto"/>
          <w:szCs w:val="24"/>
          <w:highlight w:val="none"/>
          <w:lang w:val="en-US"/>
        </w:rPr>
      </w:pPr>
    </w:p>
    <w:p>
      <w:pPr>
        <w:pStyle w:val="28"/>
        <w:spacing w:before="24" w:after="24"/>
        <w:rPr>
          <w:rFonts w:hint="default" w:ascii="宋体" w:hAnsi="宋体" w:cs="宋体"/>
          <w:color w:val="auto"/>
          <w:szCs w:val="24"/>
          <w:highlight w:val="none"/>
          <w:lang w:val="en-US"/>
        </w:rPr>
      </w:pP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w:t>
      </w:r>
      <w:r>
        <w:rPr>
          <w:rFonts w:ascii="宋体" w:hAnsi="宋体" w:cs="宋体"/>
          <w:color w:val="auto"/>
          <w:szCs w:val="24"/>
          <w:highlight w:val="none"/>
          <w:lang w:val="zh-CN"/>
        </w:rPr>
        <w:t>授权</w:t>
      </w:r>
      <w:r>
        <w:rPr>
          <w:rFonts w:ascii="宋体" w:hAnsi="宋体" w:cs="宋体"/>
          <w:color w:val="auto"/>
          <w:szCs w:val="24"/>
          <w:highlight w:val="none"/>
        </w:rPr>
        <w:t>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autoSpaceDE w:val="0"/>
        <w:autoSpaceDN w:val="0"/>
        <w:adjustRightInd w:val="0"/>
        <w:snapToGrid w:val="0"/>
        <w:spacing w:before="24" w:after="24" w:line="336" w:lineRule="auto"/>
        <w:jc w:val="center"/>
        <w:outlineLvl w:val="1"/>
        <w:rPr>
          <w:rFonts w:hint="default" w:ascii="宋体" w:hAnsi="宋体" w:cs="宋体"/>
          <w:b/>
          <w:bCs/>
          <w:color w:val="auto"/>
          <w:sz w:val="30"/>
          <w:szCs w:val="30"/>
          <w:highlight w:val="none"/>
        </w:rPr>
      </w:pPr>
      <w:r>
        <w:rPr>
          <w:rFonts w:ascii="宋体" w:hAnsi="宋体" w:cs="宋体"/>
          <w:b/>
          <w:bCs/>
          <w:color w:val="auto"/>
          <w:sz w:val="30"/>
          <w:szCs w:val="30"/>
          <w:highlight w:val="none"/>
        </w:rPr>
        <w:br w:type="page"/>
      </w:r>
    </w:p>
    <w:p>
      <w:pPr>
        <w:pStyle w:val="44"/>
        <w:ind w:firstLine="0" w:firstLineChars="0"/>
        <w:jc w:val="center"/>
        <w:rPr>
          <w:rFonts w:hint="default" w:ascii="宋体" w:hAnsi="宋体" w:cs="宋体"/>
          <w:b/>
          <w:color w:val="auto"/>
          <w:sz w:val="28"/>
          <w:szCs w:val="28"/>
          <w:highlight w:val="none"/>
        </w:rPr>
      </w:pPr>
      <w:r>
        <w:rPr>
          <w:rFonts w:ascii="宋体" w:hAnsi="宋体" w:cs="宋体"/>
          <w:b/>
          <w:color w:val="auto"/>
          <w:sz w:val="28"/>
          <w:szCs w:val="28"/>
          <w:highlight w:val="none"/>
        </w:rPr>
        <w:t>附表1：首次磋商分项报价表</w:t>
      </w:r>
    </w:p>
    <w:tbl>
      <w:tblPr>
        <w:tblStyle w:val="46"/>
        <w:tblW w:w="9195"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7"/>
        <w:gridCol w:w="1380"/>
        <w:gridCol w:w="3907"/>
        <w:gridCol w:w="677"/>
        <w:gridCol w:w="746"/>
        <w:gridCol w:w="939"/>
        <w:gridCol w:w="9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4"/>
                <w:szCs w:val="24"/>
                <w:highlight w:val="none"/>
                <w:u w:val="none"/>
              </w:rPr>
            </w:pPr>
            <w:bookmarkStart w:id="215" w:name="_Toc29713"/>
            <w:r>
              <w:rPr>
                <w:rFonts w:hint="eastAsia" w:ascii="宋体" w:hAnsi="宋体" w:eastAsia="宋体" w:cs="宋体"/>
                <w:b/>
                <w:bCs/>
                <w:i w:val="0"/>
                <w:iCs w:val="0"/>
                <w:color w:val="auto"/>
                <w:kern w:val="0"/>
                <w:sz w:val="24"/>
                <w:szCs w:val="24"/>
                <w:highlight w:val="none"/>
                <w:u w:val="none"/>
                <w:lang w:val="en-US" w:eastAsia="zh-CN" w:bidi="ar"/>
              </w:rPr>
              <w:t>序号</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391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响应内容</w:t>
            </w: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合计（元）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0"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一、软件</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4" w:hRule="atLeast"/>
        </w:trPr>
        <w:tc>
          <w:tcPr>
            <w:tcW w:w="607"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81"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馆藏资源管理系统</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746"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w:t>
            </w:r>
          </w:p>
        </w:tc>
        <w:tc>
          <w:tcPr>
            <w:tcW w:w="93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p>
        </w:tc>
        <w:tc>
          <w:tcPr>
            <w:tcW w:w="93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中间件</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历史数据迁移</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操作系统</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档案网页</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二、硬件</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1"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防火墙</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入侵检测</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网络审计</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应用服务器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生产存储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国产智能交互终端设备</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电脑终端</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监控存储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POE交换机</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UPS机头</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移动硬盘</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显示屏</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专业音箱</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专业音频功率放大器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专业调音台</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前置效果器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一拖四无线话筒 （四屏）</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三、基础改造</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管线施工</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防火防盗门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恒温恒湿机柜</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607"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381"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数字档案馆测评服务-测评材料准备工作</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07"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381"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验收</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总计（元）</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autoSpaceDE w:val="0"/>
        <w:autoSpaceDN w:val="0"/>
        <w:adjustRightInd w:val="0"/>
        <w:snapToGrid w:val="0"/>
        <w:spacing w:beforeLines="0" w:afterLines="0"/>
        <w:ind w:right="240" w:firstLine="308" w:firstLineChars="147"/>
        <w:jc w:val="left"/>
        <w:rPr>
          <w:rFonts w:ascii="宋体" w:hAnsi="宋体" w:cs="宋体"/>
          <w:color w:val="auto"/>
          <w:sz w:val="21"/>
          <w:szCs w:val="21"/>
          <w:highlight w:val="none"/>
          <w:lang w:val="zh-CN"/>
        </w:rPr>
      </w:pPr>
    </w:p>
    <w:p>
      <w:pPr>
        <w:autoSpaceDE w:val="0"/>
        <w:autoSpaceDN w:val="0"/>
        <w:adjustRightInd w:val="0"/>
        <w:snapToGrid w:val="0"/>
        <w:spacing w:beforeLines="0" w:afterLines="0"/>
        <w:ind w:right="240" w:firstLine="308" w:firstLineChars="147"/>
        <w:jc w:val="left"/>
        <w:rPr>
          <w:rFonts w:hint="default" w:ascii="宋体" w:hAnsi="宋体" w:cs="宋体"/>
          <w:color w:val="auto"/>
          <w:sz w:val="21"/>
          <w:szCs w:val="21"/>
          <w:highlight w:val="none"/>
          <w:lang w:val="zh-CN"/>
        </w:rPr>
      </w:pPr>
      <w:r>
        <w:rPr>
          <w:rFonts w:ascii="宋体" w:hAnsi="宋体" w:cs="宋体"/>
          <w:color w:val="auto"/>
          <w:sz w:val="21"/>
          <w:szCs w:val="21"/>
          <w:highlight w:val="none"/>
          <w:lang w:val="zh-CN"/>
        </w:rPr>
        <w:t>说明：本表中的总计金额应于与首次磋商报价表中的首次磋商总报价金额一致</w:t>
      </w:r>
      <w:r>
        <w:rPr>
          <w:rFonts w:ascii="宋体" w:hAnsi="宋体" w:cs="宋体"/>
          <w:color w:val="auto"/>
          <w:kern w:val="1"/>
          <w:sz w:val="21"/>
          <w:szCs w:val="21"/>
          <w:highlight w:val="none"/>
        </w:rPr>
        <w:t>。</w:t>
      </w:r>
    </w:p>
    <w:p>
      <w:pPr>
        <w:pStyle w:val="14"/>
        <w:spacing w:before="24" w:after="24"/>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w:t>
      </w:r>
      <w:r>
        <w:rPr>
          <w:rFonts w:ascii="宋体" w:hAnsi="宋体" w:cs="宋体"/>
          <w:color w:val="auto"/>
          <w:szCs w:val="24"/>
          <w:highlight w:val="none"/>
          <w:lang w:val="zh-CN"/>
        </w:rPr>
        <w:t>授权</w:t>
      </w:r>
      <w:r>
        <w:rPr>
          <w:rFonts w:ascii="宋体" w:hAnsi="宋体" w:cs="宋体"/>
          <w:color w:val="auto"/>
          <w:szCs w:val="24"/>
          <w:highlight w:val="none"/>
        </w:rPr>
        <w:t>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spacing w:before="24" w:after="24"/>
        <w:ind w:firstLine="240" w:firstLineChars="100"/>
        <w:rPr>
          <w:rFonts w:hint="default" w:ascii="宋体" w:hAnsi="宋体" w:cs="宋体"/>
          <w:b/>
          <w:bCs/>
          <w:color w:val="auto"/>
          <w:sz w:val="30"/>
          <w:szCs w:val="30"/>
          <w:highlight w:val="none"/>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r>
        <w:rPr>
          <w:rFonts w:ascii="宋体" w:hAnsi="宋体" w:cs="宋体"/>
          <w:b/>
          <w:bCs/>
          <w:color w:val="auto"/>
          <w:sz w:val="30"/>
          <w:szCs w:val="30"/>
          <w:highlight w:val="none"/>
        </w:rPr>
        <w:br w:type="page"/>
      </w:r>
    </w:p>
    <w:p>
      <w:pPr>
        <w:autoSpaceDE w:val="0"/>
        <w:autoSpaceDN w:val="0"/>
        <w:adjustRightInd w:val="0"/>
        <w:snapToGrid w:val="0"/>
        <w:spacing w:before="24" w:after="24" w:line="336" w:lineRule="auto"/>
        <w:jc w:val="center"/>
        <w:outlineLvl w:val="1"/>
        <w:rPr>
          <w:rFonts w:hint="default" w:ascii="宋体" w:hAnsi="宋体" w:cs="宋体"/>
          <w:b/>
          <w:bCs/>
          <w:color w:val="auto"/>
          <w:sz w:val="30"/>
          <w:szCs w:val="30"/>
          <w:highlight w:val="none"/>
          <w:lang w:val="zh-CN"/>
        </w:rPr>
      </w:pPr>
      <w:r>
        <w:rPr>
          <w:rFonts w:ascii="宋体" w:hAnsi="宋体" w:cs="宋体"/>
          <w:b/>
          <w:bCs/>
          <w:color w:val="auto"/>
          <w:sz w:val="30"/>
          <w:szCs w:val="30"/>
          <w:highlight w:val="none"/>
        </w:rPr>
        <w:t>最终</w:t>
      </w:r>
      <w:r>
        <w:rPr>
          <w:rFonts w:ascii="宋体" w:hAnsi="宋体" w:cs="宋体"/>
          <w:b/>
          <w:bCs/>
          <w:color w:val="auto"/>
          <w:sz w:val="30"/>
          <w:szCs w:val="30"/>
          <w:highlight w:val="none"/>
          <w:lang w:val="zh-CN"/>
        </w:rPr>
        <w:t>磋商报价表</w:t>
      </w:r>
      <w:bookmarkEnd w:id="215"/>
    </w:p>
    <w:p>
      <w:pPr>
        <w:autoSpaceDE w:val="0"/>
        <w:autoSpaceDN w:val="0"/>
        <w:adjustRightInd w:val="0"/>
        <w:snapToGrid w:val="0"/>
        <w:spacing w:beforeLines="0" w:afterLines="0"/>
        <w:ind w:right="240"/>
        <w:jc w:val="right"/>
        <w:rPr>
          <w:rFonts w:hint="default" w:ascii="宋体" w:hAnsi="宋体" w:cs="宋体"/>
          <w:b/>
          <w:color w:val="auto"/>
          <w:szCs w:val="24"/>
          <w:highlight w:val="none"/>
        </w:rPr>
      </w:pPr>
      <w:r>
        <w:rPr>
          <w:rFonts w:ascii="宋体" w:hAnsi="宋体" w:cs="宋体"/>
          <w:b/>
          <w:color w:val="auto"/>
          <w:szCs w:val="24"/>
          <w:highlight w:val="none"/>
          <w:lang w:val="zh-CN"/>
        </w:rPr>
        <w:t>单位：元</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8"/>
        <w:gridCol w:w="67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项目名称</w:t>
            </w:r>
          </w:p>
        </w:tc>
        <w:tc>
          <w:tcPr>
            <w:tcW w:w="6730"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lang w:val="zh-CN"/>
              </w:rPr>
            </w:pPr>
            <w:r>
              <w:rPr>
                <w:rFonts w:ascii="宋体" w:hAnsi="宋体" w:cs="宋体"/>
                <w:color w:val="auto"/>
                <w:szCs w:val="24"/>
                <w:highlight w:val="none"/>
                <w:lang w:val="zh-CN"/>
              </w:rPr>
              <w:t>数字档案馆创建项目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项目编号</w:t>
            </w:r>
          </w:p>
        </w:tc>
        <w:tc>
          <w:tcPr>
            <w:tcW w:w="6730"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bCs/>
                <w:color w:val="auto"/>
                <w:szCs w:val="24"/>
                <w:highlight w:val="none"/>
              </w:rPr>
            </w:pPr>
            <w:r>
              <w:rPr>
                <w:rFonts w:ascii="宋体" w:hAnsi="宋体" w:cs="宋体"/>
                <w:bCs/>
                <w:color w:val="auto"/>
                <w:szCs w:val="24"/>
                <w:highlight w:val="none"/>
              </w:rPr>
              <w:t>SXZD（2023）114CG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p>
        </w:tc>
        <w:tc>
          <w:tcPr>
            <w:tcW w:w="6730"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highlight w:val="none"/>
                <w:u w:val="single"/>
              </w:rPr>
            </w:pPr>
            <w:r>
              <w:rPr>
                <w:rFonts w:ascii="宋体" w:hAnsi="宋体" w:cs="宋体"/>
                <w:color w:val="auto"/>
                <w:szCs w:val="24"/>
                <w:highlight w:val="none"/>
              </w:rPr>
              <w:t>最终</w:t>
            </w:r>
            <w:r>
              <w:rPr>
                <w:rFonts w:ascii="宋体" w:hAnsi="宋体" w:cs="宋体"/>
                <w:color w:val="auto"/>
                <w:szCs w:val="24"/>
                <w:highlight w:val="none"/>
                <w:lang w:val="zh-CN"/>
              </w:rPr>
              <w:t>磋商总报价（</w:t>
            </w:r>
            <w:r>
              <w:rPr>
                <w:rFonts w:ascii="宋体" w:hAnsi="宋体" w:cs="宋体"/>
                <w:color w:val="auto"/>
                <w:szCs w:val="24"/>
                <w:highlight w:val="none"/>
              </w:rPr>
              <w:t>含税</w:t>
            </w:r>
            <w:r>
              <w:rPr>
                <w:rFonts w:ascii="宋体" w:hAnsi="宋体" w:cs="宋体"/>
                <w:color w:val="auto"/>
                <w:szCs w:val="24"/>
                <w:highlight w:val="none"/>
                <w:lang w:val="zh-CN"/>
              </w:rPr>
              <w:t>）</w:t>
            </w:r>
          </w:p>
        </w:tc>
        <w:tc>
          <w:tcPr>
            <w:tcW w:w="6730" w:type="dxa"/>
            <w:noWrap/>
            <w:vAlign w:val="center"/>
          </w:tcPr>
          <w:p>
            <w:pPr>
              <w:autoSpaceDE w:val="0"/>
              <w:autoSpaceDN w:val="0"/>
              <w:adjustRightInd w:val="0"/>
              <w:snapToGrid w:val="0"/>
              <w:spacing w:beforeLines="0" w:afterLines="0" w:line="240" w:lineRule="auto"/>
              <w:jc w:val="left"/>
              <w:rPr>
                <w:rFonts w:hint="default" w:ascii="宋体" w:hAnsi="宋体" w:cs="宋体"/>
                <w:color w:val="auto"/>
                <w:szCs w:val="24"/>
                <w:highlight w:val="none"/>
                <w:u w:val="single"/>
              </w:rPr>
            </w:pPr>
            <w:r>
              <w:rPr>
                <w:rFonts w:ascii="宋体" w:hAnsi="宋体" w:cs="宋体"/>
                <w:color w:val="auto"/>
                <w:szCs w:val="24"/>
                <w:highlight w:val="none"/>
                <w:lang w:val="zh-CN"/>
              </w:rPr>
              <w:t>大写：</w:t>
            </w:r>
            <w:r>
              <w:rPr>
                <w:rFonts w:ascii="宋体" w:hAnsi="宋体" w:cs="宋体"/>
                <w:color w:val="auto"/>
                <w:szCs w:val="24"/>
                <w:highlight w:val="none"/>
                <w:u w:val="single"/>
              </w:rPr>
              <w:t xml:space="preserve">人民币                  </w:t>
            </w:r>
          </w:p>
          <w:p>
            <w:pPr>
              <w:autoSpaceDE w:val="0"/>
              <w:autoSpaceDN w:val="0"/>
              <w:adjustRightInd w:val="0"/>
              <w:snapToGrid w:val="0"/>
              <w:spacing w:beforeLines="0" w:afterLines="0" w:line="240" w:lineRule="auto"/>
              <w:jc w:val="left"/>
              <w:rPr>
                <w:rFonts w:hint="default" w:ascii="宋体" w:hAnsi="宋体" w:cs="宋体"/>
                <w:color w:val="auto"/>
                <w:highlight w:val="none"/>
              </w:rPr>
            </w:pPr>
            <w:r>
              <w:rPr>
                <w:rFonts w:ascii="宋体" w:hAnsi="宋体" w:cs="宋体"/>
                <w:color w:val="auto"/>
                <w:szCs w:val="24"/>
                <w:highlight w:val="none"/>
                <w:lang w:val="zh-CN"/>
              </w:rPr>
              <w:t>小写（</w:t>
            </w:r>
            <w:r>
              <w:rPr>
                <w:rFonts w:ascii="宋体" w:hAnsi="宋体" w:cs="宋体"/>
                <w:color w:val="auto"/>
                <w:szCs w:val="24"/>
                <w:highlight w:val="none"/>
              </w:rPr>
              <w:t>¥</w:t>
            </w:r>
            <w:r>
              <w:rPr>
                <w:rFonts w:ascii="宋体" w:hAnsi="宋体" w:cs="宋体"/>
                <w:color w:val="auto"/>
                <w:szCs w:val="24"/>
                <w:highlight w:val="none"/>
                <w:lang w:val="zh-CN"/>
              </w:rPr>
              <w:t>）：</w:t>
            </w:r>
            <w:r>
              <w:rPr>
                <w:rFonts w:ascii="宋体" w:hAnsi="宋体" w:cs="宋体"/>
                <w:color w:val="auto"/>
                <w:szCs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r>
              <w:rPr>
                <w:rFonts w:ascii="宋体" w:hAnsi="宋体" w:cs="宋体"/>
                <w:color w:val="auto"/>
                <w:szCs w:val="24"/>
                <w:highlight w:val="none"/>
              </w:rPr>
              <w:t>服务期</w:t>
            </w:r>
          </w:p>
        </w:tc>
        <w:tc>
          <w:tcPr>
            <w:tcW w:w="6730" w:type="dxa"/>
            <w:noWrap/>
            <w:vAlign w:val="center"/>
          </w:tcPr>
          <w:p>
            <w:pPr>
              <w:autoSpaceDE w:val="0"/>
              <w:autoSpaceDN w:val="0"/>
              <w:adjustRightInd w:val="0"/>
              <w:snapToGrid w:val="0"/>
              <w:spacing w:beforeLines="0" w:afterLines="0" w:line="240" w:lineRule="auto"/>
              <w:ind w:right="240"/>
              <w:jc w:val="left"/>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r>
              <w:rPr>
                <w:rFonts w:ascii="宋体" w:hAnsi="宋体" w:cs="宋体"/>
                <w:color w:val="auto"/>
                <w:szCs w:val="24"/>
                <w:highlight w:val="none"/>
              </w:rPr>
              <w:t>质量标准</w:t>
            </w:r>
          </w:p>
        </w:tc>
        <w:tc>
          <w:tcPr>
            <w:tcW w:w="6730" w:type="dxa"/>
            <w:noWrap/>
            <w:vAlign w:val="center"/>
          </w:tcPr>
          <w:p>
            <w:pPr>
              <w:autoSpaceDE w:val="0"/>
              <w:autoSpaceDN w:val="0"/>
              <w:adjustRightInd w:val="0"/>
              <w:snapToGrid w:val="0"/>
              <w:spacing w:beforeLines="0" w:afterLines="0" w:line="240" w:lineRule="auto"/>
              <w:ind w:right="240"/>
              <w:jc w:val="center"/>
              <w:rPr>
                <w:rFonts w:hint="default" w:ascii="宋体" w:hAnsi="宋体" w:cs="宋体"/>
                <w:color w:val="auto"/>
                <w:szCs w:val="24"/>
                <w:highlight w:val="none"/>
                <w:u w:val="singl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38" w:type="dxa"/>
            <w:noWrap/>
            <w:vAlign w:val="center"/>
          </w:tcPr>
          <w:p>
            <w:pPr>
              <w:autoSpaceDE w:val="0"/>
              <w:autoSpaceDN w:val="0"/>
              <w:adjustRightInd w:val="0"/>
              <w:snapToGrid w:val="0"/>
              <w:spacing w:beforeLines="0" w:afterLines="0"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备注</w:t>
            </w:r>
          </w:p>
        </w:tc>
        <w:tc>
          <w:tcPr>
            <w:tcW w:w="6730" w:type="dxa"/>
            <w:noWrap/>
            <w:vAlign w:val="center"/>
          </w:tcPr>
          <w:p>
            <w:pPr>
              <w:autoSpaceDE w:val="0"/>
              <w:autoSpaceDN w:val="0"/>
              <w:adjustRightInd w:val="0"/>
              <w:snapToGrid w:val="0"/>
              <w:spacing w:beforeLines="0" w:afterLines="0" w:line="240" w:lineRule="auto"/>
              <w:ind w:right="240"/>
              <w:jc w:val="left"/>
              <w:rPr>
                <w:rFonts w:hint="default" w:ascii="宋体" w:hAnsi="宋体" w:cs="宋体"/>
                <w:color w:val="auto"/>
                <w:szCs w:val="24"/>
                <w:highlight w:val="none"/>
                <w:lang w:val="zh-CN"/>
              </w:rPr>
            </w:pPr>
          </w:p>
        </w:tc>
      </w:tr>
    </w:tbl>
    <w:p>
      <w:pPr>
        <w:autoSpaceDE w:val="0"/>
        <w:autoSpaceDN w:val="0"/>
        <w:adjustRightInd w:val="0"/>
        <w:snapToGrid w:val="0"/>
        <w:spacing w:beforeLines="0" w:afterLines="0"/>
        <w:ind w:right="240" w:firstLine="352" w:firstLineChars="147"/>
        <w:jc w:val="left"/>
        <w:rPr>
          <w:rFonts w:hint="default" w:ascii="宋体" w:hAnsi="宋体" w:cs="宋体"/>
          <w:color w:val="auto"/>
          <w:szCs w:val="24"/>
          <w:highlight w:val="none"/>
          <w:lang w:val="zh-CN"/>
        </w:rPr>
      </w:pPr>
      <w:r>
        <w:rPr>
          <w:rFonts w:ascii="宋体" w:hAnsi="宋体" w:cs="宋体"/>
          <w:color w:val="auto"/>
          <w:szCs w:val="24"/>
          <w:highlight w:val="none"/>
          <w:lang w:val="zh-CN"/>
        </w:rPr>
        <w:t>说明：</w:t>
      </w:r>
    </w:p>
    <w:p>
      <w:pPr>
        <w:autoSpaceDE w:val="0"/>
        <w:autoSpaceDN w:val="0"/>
        <w:adjustRightInd w:val="0"/>
        <w:snapToGrid w:val="0"/>
        <w:spacing w:beforeLines="0" w:afterLines="0"/>
        <w:ind w:right="240" w:firstLine="352" w:firstLineChars="147"/>
        <w:jc w:val="left"/>
        <w:rPr>
          <w:rFonts w:hint="default" w:ascii="宋体" w:hAnsi="宋体" w:cs="宋体"/>
          <w:color w:val="auto"/>
          <w:szCs w:val="24"/>
          <w:highlight w:val="none"/>
          <w:lang w:val="zh-CN"/>
        </w:rPr>
      </w:pPr>
      <w:r>
        <w:rPr>
          <w:rFonts w:ascii="宋体" w:hAnsi="宋体" w:cs="宋体"/>
          <w:color w:val="auto"/>
          <w:szCs w:val="24"/>
          <w:highlight w:val="none"/>
          <w:lang w:val="zh-CN"/>
        </w:rPr>
        <w:t>1、大小写不一致时，以大写为准，保留小数点后两位。</w:t>
      </w:r>
    </w:p>
    <w:p>
      <w:pPr>
        <w:autoSpaceDE w:val="0"/>
        <w:autoSpaceDN w:val="0"/>
        <w:adjustRightInd w:val="0"/>
        <w:snapToGrid w:val="0"/>
        <w:spacing w:beforeLines="0" w:afterLines="0"/>
        <w:ind w:right="240" w:firstLine="352" w:firstLineChars="147"/>
        <w:jc w:val="left"/>
        <w:rPr>
          <w:rFonts w:hint="default" w:ascii="宋体" w:hAnsi="宋体" w:cs="宋体"/>
          <w:color w:val="auto"/>
          <w:szCs w:val="24"/>
          <w:highlight w:val="none"/>
          <w:lang w:val="zh-CN"/>
        </w:rPr>
      </w:pPr>
      <w:r>
        <w:rPr>
          <w:rFonts w:ascii="宋体" w:hAnsi="宋体" w:cs="宋体"/>
          <w:color w:val="auto"/>
          <w:szCs w:val="24"/>
          <w:highlight w:val="none"/>
          <w:lang w:val="zh-CN"/>
        </w:rPr>
        <w:t>2、</w:t>
      </w:r>
      <w:r>
        <w:rPr>
          <w:rFonts w:ascii="宋体" w:hAnsi="宋体" w:cs="宋体"/>
          <w:color w:val="auto"/>
          <w:highlight w:val="none"/>
        </w:rPr>
        <w:t>磋商报价是指完成本次项目的所有费用</w:t>
      </w:r>
      <w:r>
        <w:rPr>
          <w:rFonts w:ascii="宋体" w:hAnsi="宋体" w:cs="宋体"/>
          <w:color w:val="auto"/>
          <w:kern w:val="1"/>
          <w:szCs w:val="24"/>
          <w:highlight w:val="none"/>
        </w:rPr>
        <w:t>。凡因供应商的疏忽或失误未报、漏报，事实上将发生的服务费用和潜在风险金，采购人都认为已包含在磋商报价内。</w:t>
      </w:r>
    </w:p>
    <w:p>
      <w:pPr>
        <w:pStyle w:val="14"/>
        <w:spacing w:before="24" w:after="24"/>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w:t>
      </w:r>
      <w:r>
        <w:rPr>
          <w:rFonts w:ascii="宋体" w:hAnsi="宋体" w:cs="宋体"/>
          <w:color w:val="auto"/>
          <w:szCs w:val="24"/>
          <w:highlight w:val="none"/>
          <w:lang w:val="zh-CN"/>
        </w:rPr>
        <w:t>授权</w:t>
      </w:r>
      <w:r>
        <w:rPr>
          <w:rFonts w:ascii="宋体" w:hAnsi="宋体" w:cs="宋体"/>
          <w:color w:val="auto"/>
          <w:szCs w:val="24"/>
          <w:highlight w:val="none"/>
        </w:rPr>
        <w:t>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pStyle w:val="28"/>
        <w:spacing w:before="24" w:after="24"/>
        <w:ind w:left="0"/>
        <w:rPr>
          <w:rFonts w:hint="default" w:ascii="宋体" w:hAnsi="宋体" w:cs="宋体"/>
          <w:b/>
          <w:bCs/>
          <w:color w:val="auto"/>
          <w:highlight w:val="none"/>
          <w:lang w:val="en-US"/>
        </w:rPr>
      </w:pPr>
    </w:p>
    <w:p>
      <w:pPr>
        <w:pStyle w:val="28"/>
        <w:spacing w:before="24" w:after="24"/>
        <w:ind w:left="0"/>
        <w:rPr>
          <w:rFonts w:hint="default" w:ascii="宋体" w:hAnsi="宋体" w:cs="宋体"/>
          <w:b/>
          <w:bCs/>
          <w:color w:val="auto"/>
          <w:highlight w:val="none"/>
          <w:lang w:val="en-US"/>
        </w:rPr>
      </w:pPr>
      <w:r>
        <w:rPr>
          <w:rFonts w:ascii="宋体" w:hAnsi="宋体" w:cs="宋体"/>
          <w:b/>
          <w:bCs/>
          <w:color w:val="auto"/>
          <w:highlight w:val="none"/>
          <w:lang w:val="en-US"/>
        </w:rPr>
        <w:t>注：</w:t>
      </w:r>
      <w:r>
        <w:rPr>
          <w:rFonts w:ascii="宋体" w:hAnsi="宋体" w:cs="宋体"/>
          <w:b/>
          <w:bCs/>
          <w:color w:val="auto"/>
          <w:highlight w:val="none"/>
        </w:rPr>
        <w:t>本表格不出现在响应文件中，各供应商应提前将此表打印，</w:t>
      </w:r>
      <w:r>
        <w:rPr>
          <w:rFonts w:ascii="宋体" w:hAnsi="宋体" w:cs="宋体"/>
          <w:b/>
          <w:bCs/>
          <w:color w:val="auto"/>
          <w:highlight w:val="none"/>
          <w:lang w:val="en-US"/>
        </w:rPr>
        <w:t>磋商</w:t>
      </w:r>
      <w:r>
        <w:rPr>
          <w:rFonts w:ascii="宋体" w:hAnsi="宋体" w:cs="宋体"/>
          <w:b/>
          <w:bCs/>
          <w:color w:val="auto"/>
          <w:highlight w:val="none"/>
        </w:rPr>
        <w:t>后现场填写，法定代表人或</w:t>
      </w:r>
      <w:r>
        <w:rPr>
          <w:rFonts w:ascii="宋体" w:hAnsi="宋体" w:cs="宋体"/>
          <w:b/>
          <w:bCs/>
          <w:color w:val="auto"/>
          <w:highlight w:val="none"/>
          <w:lang w:val="en-US"/>
        </w:rPr>
        <w:t>被授权人</w:t>
      </w:r>
      <w:r>
        <w:rPr>
          <w:rFonts w:ascii="宋体" w:hAnsi="宋体" w:cs="宋体"/>
          <w:b/>
          <w:bCs/>
          <w:color w:val="auto"/>
          <w:highlight w:val="none"/>
        </w:rPr>
        <w:t>签字</w:t>
      </w:r>
      <w:r>
        <w:rPr>
          <w:rFonts w:ascii="宋体" w:hAnsi="宋体" w:cs="宋体"/>
          <w:b/>
          <w:bCs/>
          <w:color w:val="auto"/>
          <w:highlight w:val="none"/>
          <w:lang w:val="en-US"/>
        </w:rPr>
        <w:t>或盖章后单独提交。</w:t>
      </w:r>
    </w:p>
    <w:p>
      <w:pPr>
        <w:autoSpaceDE w:val="0"/>
        <w:autoSpaceDN w:val="0"/>
        <w:adjustRightInd w:val="0"/>
        <w:snapToGrid w:val="0"/>
        <w:spacing w:before="24" w:after="24" w:line="336" w:lineRule="auto"/>
        <w:jc w:val="center"/>
        <w:outlineLvl w:val="1"/>
        <w:rPr>
          <w:rFonts w:hint="default" w:ascii="宋体" w:hAnsi="宋体" w:cs="宋体"/>
          <w:b/>
          <w:bCs/>
          <w:color w:val="auto"/>
          <w:sz w:val="30"/>
          <w:szCs w:val="30"/>
          <w:highlight w:val="none"/>
        </w:rPr>
      </w:pPr>
      <w:r>
        <w:rPr>
          <w:rFonts w:ascii="宋体" w:hAnsi="宋体" w:cs="宋体"/>
          <w:b/>
          <w:bCs/>
          <w:color w:val="auto"/>
          <w:sz w:val="30"/>
          <w:szCs w:val="30"/>
          <w:highlight w:val="none"/>
        </w:rPr>
        <w:br w:type="page"/>
      </w:r>
    </w:p>
    <w:p>
      <w:pPr>
        <w:pStyle w:val="44"/>
        <w:ind w:firstLine="0" w:firstLineChars="0"/>
        <w:jc w:val="center"/>
        <w:rPr>
          <w:rFonts w:hint="default" w:ascii="宋体" w:hAnsi="宋体" w:cs="宋体"/>
          <w:b/>
          <w:color w:val="auto"/>
          <w:sz w:val="28"/>
          <w:szCs w:val="28"/>
          <w:highlight w:val="none"/>
        </w:rPr>
      </w:pPr>
      <w:r>
        <w:rPr>
          <w:rFonts w:ascii="宋体" w:hAnsi="宋体" w:cs="宋体"/>
          <w:b/>
          <w:color w:val="auto"/>
          <w:sz w:val="28"/>
          <w:szCs w:val="28"/>
          <w:highlight w:val="none"/>
        </w:rPr>
        <w:t>附表1：最终磋商分项报价表</w:t>
      </w:r>
    </w:p>
    <w:tbl>
      <w:tblPr>
        <w:tblStyle w:val="46"/>
        <w:tblW w:w="9195"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7"/>
        <w:gridCol w:w="1380"/>
        <w:gridCol w:w="3907"/>
        <w:gridCol w:w="677"/>
        <w:gridCol w:w="746"/>
        <w:gridCol w:w="939"/>
        <w:gridCol w:w="9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3910"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响应内容</w:t>
            </w: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合计（元）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一、软件</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607"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81"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馆藏资源管理系统</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746"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w:t>
            </w:r>
          </w:p>
        </w:tc>
        <w:tc>
          <w:tcPr>
            <w:tcW w:w="93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p>
        </w:tc>
        <w:tc>
          <w:tcPr>
            <w:tcW w:w="93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中间件</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历史数据迁移</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操作系统</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档案网页</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二、硬件</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防火墙</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入侵检测</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网络审计</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应用服务器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生产存储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国产智能交互终端设备</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电脑终端</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监控存储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POE交换机</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UPS电源</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UPS机头</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移动硬盘</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笔记本电脑</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8"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显示屏</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专业音箱</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专业音频功率放大器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专业调音台</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前置效果器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一拖四无线话筒 （四屏）</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三、基础改造</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管线施工</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防火防盗门</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恒温恒湿机柜</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607"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381"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数字档案馆测评服务-测评材料准备工作</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60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38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集成</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07"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381" w:type="dxa"/>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验收</w:t>
            </w: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07"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1381" w:type="dxa"/>
            <w:vMerge w:val="continue"/>
            <w:tcBorders>
              <w:tl2br w:val="nil"/>
              <w:tr2bl w:val="nil"/>
            </w:tcBorders>
            <w:shd w:val="clear" w:color="auto" w:fill="auto"/>
            <w:vAlign w:val="center"/>
          </w:tcPr>
          <w:p>
            <w:pPr>
              <w:spacing w:line="240" w:lineRule="auto"/>
              <w:jc w:val="center"/>
              <w:rPr>
                <w:rFonts w:hint="eastAsia" w:ascii="宋体" w:hAnsi="宋体" w:eastAsia="宋体" w:cs="宋体"/>
                <w:i w:val="0"/>
                <w:iCs w:val="0"/>
                <w:color w:val="auto"/>
                <w:sz w:val="24"/>
                <w:szCs w:val="24"/>
                <w:highlight w:val="none"/>
                <w:u w:val="none"/>
              </w:rPr>
            </w:pPr>
          </w:p>
        </w:tc>
        <w:tc>
          <w:tcPr>
            <w:tcW w:w="3910" w:type="dxa"/>
            <w:tcBorders>
              <w:tl2br w:val="nil"/>
              <w:tr2bl w:val="nil"/>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p>
        </w:tc>
        <w:tc>
          <w:tcPr>
            <w:tcW w:w="67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321" w:type="dxa"/>
            <w:gridSpan w:val="5"/>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总计（元）</w:t>
            </w: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autoSpaceDE w:val="0"/>
        <w:autoSpaceDN w:val="0"/>
        <w:adjustRightInd w:val="0"/>
        <w:snapToGrid w:val="0"/>
        <w:spacing w:beforeLines="0" w:afterLines="0"/>
        <w:ind w:right="240" w:firstLine="308" w:firstLineChars="147"/>
        <w:jc w:val="left"/>
        <w:rPr>
          <w:rFonts w:ascii="宋体" w:hAnsi="宋体" w:cs="宋体"/>
          <w:color w:val="auto"/>
          <w:sz w:val="21"/>
          <w:szCs w:val="21"/>
          <w:highlight w:val="none"/>
          <w:lang w:val="zh-CN"/>
        </w:rPr>
      </w:pPr>
    </w:p>
    <w:p>
      <w:pPr>
        <w:autoSpaceDE w:val="0"/>
        <w:autoSpaceDN w:val="0"/>
        <w:adjustRightInd w:val="0"/>
        <w:snapToGrid w:val="0"/>
        <w:spacing w:beforeLines="0" w:afterLines="0"/>
        <w:ind w:right="240" w:firstLine="308" w:firstLineChars="147"/>
        <w:jc w:val="left"/>
        <w:rPr>
          <w:rFonts w:hint="default" w:ascii="宋体" w:hAnsi="宋体" w:cs="宋体"/>
          <w:color w:val="auto"/>
          <w:sz w:val="21"/>
          <w:szCs w:val="21"/>
          <w:highlight w:val="none"/>
          <w:lang w:val="zh-CN"/>
        </w:rPr>
      </w:pPr>
      <w:r>
        <w:rPr>
          <w:rFonts w:ascii="宋体" w:hAnsi="宋体" w:cs="宋体"/>
          <w:color w:val="auto"/>
          <w:sz w:val="21"/>
          <w:szCs w:val="21"/>
          <w:highlight w:val="none"/>
          <w:lang w:val="zh-CN"/>
        </w:rPr>
        <w:t>说明：本表中的总计金额应于与最终磋商报价表中的最终磋商总报价金额一致</w:t>
      </w:r>
      <w:r>
        <w:rPr>
          <w:rFonts w:ascii="宋体" w:hAnsi="宋体" w:cs="宋体"/>
          <w:color w:val="auto"/>
          <w:kern w:val="1"/>
          <w:sz w:val="21"/>
          <w:szCs w:val="21"/>
          <w:highlight w:val="none"/>
        </w:rPr>
        <w:t>。</w:t>
      </w:r>
    </w:p>
    <w:p>
      <w:pPr>
        <w:pStyle w:val="14"/>
        <w:spacing w:before="24" w:after="24"/>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p>
    <w:p>
      <w:pPr>
        <w:autoSpaceDE w:val="0"/>
        <w:autoSpaceDN w:val="0"/>
        <w:adjustRightInd w:val="0"/>
        <w:snapToGrid w:val="0"/>
        <w:spacing w:beforeLines="0" w:afterLines="0"/>
        <w:ind w:right="720" w:firstLine="240" w:firstLineChars="1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w:t>
      </w:r>
      <w:r>
        <w:rPr>
          <w:rFonts w:ascii="宋体" w:hAnsi="宋体" w:cs="宋体"/>
          <w:color w:val="auto"/>
          <w:szCs w:val="24"/>
          <w:highlight w:val="none"/>
          <w:lang w:val="zh-CN"/>
        </w:rPr>
        <w:t>授权</w:t>
      </w:r>
      <w:r>
        <w:rPr>
          <w:rFonts w:ascii="宋体" w:hAnsi="宋体" w:cs="宋体"/>
          <w:color w:val="auto"/>
          <w:szCs w:val="24"/>
          <w:highlight w:val="none"/>
        </w:rPr>
        <w:t>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pStyle w:val="28"/>
        <w:spacing w:before="24" w:after="24"/>
        <w:ind w:left="0" w:firstLine="240" w:firstLineChars="100"/>
        <w:rPr>
          <w:rFonts w:hint="default" w:ascii="宋体" w:hAnsi="宋体" w:cs="宋体"/>
          <w:color w:val="auto"/>
          <w:sz w:val="24"/>
          <w:szCs w:val="24"/>
          <w:highlight w:val="none"/>
        </w:rPr>
      </w:pPr>
      <w:r>
        <w:rPr>
          <w:rFonts w:ascii="宋体" w:hAnsi="宋体" w:cs="宋体"/>
          <w:color w:val="auto"/>
          <w:sz w:val="24"/>
          <w:szCs w:val="24"/>
          <w:highlight w:val="none"/>
          <w:lang w:val="zh-CN"/>
        </w:rPr>
        <w:t>日期：</w:t>
      </w:r>
      <w:r>
        <w:rPr>
          <w:rFonts w:ascii="宋体" w:hAnsi="宋体" w:cs="宋体"/>
          <w:color w:val="auto"/>
          <w:sz w:val="24"/>
          <w:szCs w:val="24"/>
          <w:highlight w:val="none"/>
          <w:u w:val="single"/>
          <w:lang w:val="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lang w:val="zh-CN"/>
        </w:rPr>
        <w:t xml:space="preserve">   </w:t>
      </w:r>
      <w:r>
        <w:rPr>
          <w:rFonts w:ascii="宋体" w:hAnsi="宋体" w:cs="宋体"/>
          <w:color w:val="auto"/>
          <w:sz w:val="24"/>
          <w:szCs w:val="24"/>
          <w:highlight w:val="none"/>
          <w:lang w:val="zh-CN"/>
        </w:rPr>
        <w:t>年</w:t>
      </w:r>
      <w:r>
        <w:rPr>
          <w:rFonts w:ascii="宋体" w:hAnsi="宋体" w:cs="宋体"/>
          <w:color w:val="auto"/>
          <w:sz w:val="24"/>
          <w:szCs w:val="24"/>
          <w:highlight w:val="none"/>
          <w:u w:val="single"/>
          <w:lang w:val="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lang w:val="zh-CN"/>
        </w:rPr>
        <w:t xml:space="preserve"> </w:t>
      </w:r>
      <w:r>
        <w:rPr>
          <w:rFonts w:ascii="宋体" w:hAnsi="宋体" w:cs="宋体"/>
          <w:color w:val="auto"/>
          <w:sz w:val="24"/>
          <w:szCs w:val="24"/>
          <w:highlight w:val="none"/>
          <w:lang w:val="zh-CN"/>
        </w:rPr>
        <w:t>月</w:t>
      </w:r>
      <w:r>
        <w:rPr>
          <w:rFonts w:ascii="宋体" w:hAnsi="宋体" w:cs="宋体"/>
          <w:color w:val="auto"/>
          <w:sz w:val="24"/>
          <w:szCs w:val="24"/>
          <w:highlight w:val="none"/>
          <w:u w:val="single"/>
          <w:lang w:val="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lang w:val="zh-CN"/>
        </w:rPr>
        <w:t xml:space="preserve">  </w:t>
      </w:r>
      <w:r>
        <w:rPr>
          <w:rFonts w:ascii="宋体" w:hAnsi="宋体" w:cs="宋体"/>
          <w:color w:val="auto"/>
          <w:sz w:val="24"/>
          <w:szCs w:val="24"/>
          <w:highlight w:val="none"/>
          <w:lang w:val="zh-CN"/>
        </w:rPr>
        <w:t>日</w:t>
      </w:r>
    </w:p>
    <w:p>
      <w:pPr>
        <w:spacing w:before="24" w:after="24"/>
        <w:rPr>
          <w:rFonts w:hint="default" w:ascii="宋体" w:hAnsi="宋体" w:cs="宋体"/>
          <w:b/>
          <w:bCs/>
          <w:color w:val="auto"/>
          <w:sz w:val="30"/>
          <w:szCs w:val="30"/>
          <w:highlight w:val="none"/>
        </w:rPr>
      </w:pPr>
      <w:bookmarkStart w:id="216" w:name="_Toc18176"/>
      <w:r>
        <w:rPr>
          <w:rFonts w:ascii="宋体" w:hAnsi="宋体" w:cs="宋体"/>
          <w:b/>
          <w:bCs/>
          <w:color w:val="auto"/>
          <w:sz w:val="30"/>
          <w:szCs w:val="30"/>
          <w:highlight w:val="none"/>
        </w:rPr>
        <w:br w:type="page"/>
      </w:r>
    </w:p>
    <w:p>
      <w:pPr>
        <w:autoSpaceDE w:val="0"/>
        <w:autoSpaceDN w:val="0"/>
        <w:adjustRightInd w:val="0"/>
        <w:snapToGrid w:val="0"/>
        <w:spacing w:before="24" w:after="24" w:line="336" w:lineRule="auto"/>
        <w:jc w:val="center"/>
        <w:outlineLvl w:val="1"/>
        <w:rPr>
          <w:rFonts w:hint="default" w:ascii="宋体" w:hAnsi="宋体" w:cs="宋体"/>
          <w:b/>
          <w:bCs/>
          <w:color w:val="auto"/>
          <w:sz w:val="30"/>
          <w:szCs w:val="30"/>
          <w:highlight w:val="none"/>
          <w:lang w:val="zh-CN"/>
        </w:rPr>
      </w:pPr>
      <w:r>
        <w:rPr>
          <w:rFonts w:ascii="宋体" w:hAnsi="宋体" w:cs="宋体"/>
          <w:b/>
          <w:bCs/>
          <w:color w:val="auto"/>
          <w:sz w:val="30"/>
          <w:szCs w:val="30"/>
          <w:highlight w:val="none"/>
        </w:rPr>
        <w:t>三、</w:t>
      </w:r>
      <w:r>
        <w:rPr>
          <w:rFonts w:ascii="宋体" w:hAnsi="宋体" w:cs="宋体"/>
          <w:b/>
          <w:bCs/>
          <w:color w:val="auto"/>
          <w:sz w:val="30"/>
          <w:szCs w:val="30"/>
          <w:highlight w:val="none"/>
          <w:lang w:val="zh-CN"/>
        </w:rPr>
        <w:t>资格证明材料</w:t>
      </w:r>
      <w:bookmarkEnd w:id="216"/>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952"/>
        <w:gridCol w:w="2681"/>
        <w:gridCol w:w="1559"/>
        <w:gridCol w:w="2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bookmarkStart w:id="217" w:name="_Toc6982"/>
            <w:bookmarkStart w:id="218" w:name="_Toc23781"/>
            <w:r>
              <w:rPr>
                <w:rFonts w:ascii="宋体" w:hAnsi="宋体" w:cs="宋体"/>
                <w:color w:val="auto"/>
                <w:szCs w:val="24"/>
                <w:highlight w:val="none"/>
                <w:lang w:val="zh-CN"/>
              </w:rPr>
              <w:t>供应商名称</w:t>
            </w:r>
          </w:p>
        </w:tc>
        <w:tc>
          <w:tcPr>
            <w:tcW w:w="2681"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559"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法定代表人</w:t>
            </w:r>
          </w:p>
        </w:tc>
        <w:tc>
          <w:tcPr>
            <w:tcW w:w="2090"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统一社会信用代码</w:t>
            </w:r>
          </w:p>
        </w:tc>
        <w:tc>
          <w:tcPr>
            <w:tcW w:w="2681"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559"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邮政编码</w:t>
            </w:r>
          </w:p>
        </w:tc>
        <w:tc>
          <w:tcPr>
            <w:tcW w:w="2090"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授权代表</w:t>
            </w:r>
          </w:p>
        </w:tc>
        <w:tc>
          <w:tcPr>
            <w:tcW w:w="2681"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559"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企业类型</w:t>
            </w:r>
          </w:p>
        </w:tc>
        <w:tc>
          <w:tcPr>
            <w:tcW w:w="2090"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上年营业收入</w:t>
            </w:r>
          </w:p>
        </w:tc>
        <w:tc>
          <w:tcPr>
            <w:tcW w:w="2681"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559"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员工总人数</w:t>
            </w:r>
          </w:p>
        </w:tc>
        <w:tc>
          <w:tcPr>
            <w:tcW w:w="2090"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营业执照</w:t>
            </w:r>
          </w:p>
        </w:tc>
        <w:tc>
          <w:tcPr>
            <w:tcW w:w="1952"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注册号码</w:t>
            </w:r>
          </w:p>
        </w:tc>
        <w:tc>
          <w:tcPr>
            <w:tcW w:w="2681"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559"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注册地址</w:t>
            </w:r>
          </w:p>
        </w:tc>
        <w:tc>
          <w:tcPr>
            <w:tcW w:w="2090"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952"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发证机关</w:t>
            </w:r>
          </w:p>
        </w:tc>
        <w:tc>
          <w:tcPr>
            <w:tcW w:w="2681"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559"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发证日期</w:t>
            </w:r>
          </w:p>
        </w:tc>
        <w:tc>
          <w:tcPr>
            <w:tcW w:w="2090"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718" w:type="dxa"/>
            <w:vMerge w:val="continue"/>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952"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营业范围</w:t>
            </w:r>
          </w:p>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（主营）</w:t>
            </w:r>
          </w:p>
        </w:tc>
        <w:tc>
          <w:tcPr>
            <w:tcW w:w="6330" w:type="dxa"/>
            <w:gridSpan w:val="3"/>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c>
          <w:tcPr>
            <w:tcW w:w="1952" w:type="dxa"/>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营业范围</w:t>
            </w:r>
          </w:p>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（兼营）</w:t>
            </w:r>
          </w:p>
        </w:tc>
        <w:tc>
          <w:tcPr>
            <w:tcW w:w="6330" w:type="dxa"/>
            <w:gridSpan w:val="3"/>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基本账户开户行及账号</w:t>
            </w:r>
          </w:p>
        </w:tc>
        <w:tc>
          <w:tcPr>
            <w:tcW w:w="6330" w:type="dxa"/>
            <w:gridSpan w:val="3"/>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资产总额（万元）</w:t>
            </w:r>
          </w:p>
        </w:tc>
        <w:tc>
          <w:tcPr>
            <w:tcW w:w="6330" w:type="dxa"/>
            <w:gridSpan w:val="3"/>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2670" w:type="dxa"/>
            <w:gridSpan w:val="2"/>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备注</w:t>
            </w:r>
          </w:p>
        </w:tc>
        <w:tc>
          <w:tcPr>
            <w:tcW w:w="6330" w:type="dxa"/>
            <w:gridSpan w:val="3"/>
            <w:vAlign w:val="center"/>
          </w:tcPr>
          <w:p>
            <w:pPr>
              <w:autoSpaceDE w:val="0"/>
              <w:autoSpaceDN w:val="0"/>
              <w:adjustRightInd w:val="0"/>
              <w:spacing w:before="24" w:after="24" w:line="240" w:lineRule="auto"/>
              <w:jc w:val="center"/>
              <w:rPr>
                <w:rFonts w:hint="default" w:ascii="宋体" w:hAnsi="宋体" w:cs="宋体"/>
                <w:color w:val="auto"/>
                <w:szCs w:val="24"/>
                <w:highlight w:val="none"/>
                <w:lang w:val="zh-CN"/>
              </w:rPr>
            </w:pPr>
          </w:p>
        </w:tc>
      </w:tr>
    </w:tbl>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被授权人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rPr>
          <w:rFonts w:hint="default" w:ascii="宋体" w:hAnsi="宋体" w:cs="宋体"/>
          <w:b/>
          <w:bCs/>
          <w:color w:val="auto"/>
          <w:szCs w:val="24"/>
          <w:highlight w:val="none"/>
        </w:rPr>
      </w:pPr>
      <w:r>
        <w:rPr>
          <w:rFonts w:ascii="宋体" w:hAnsi="宋体" w:cs="宋体"/>
          <w:b/>
          <w:bCs/>
          <w:color w:val="auto"/>
          <w:szCs w:val="24"/>
          <w:highlight w:val="none"/>
        </w:rPr>
        <w:br w:type="page"/>
      </w:r>
    </w:p>
    <w:p>
      <w:pPr>
        <w:spacing w:before="24" w:after="24"/>
        <w:rPr>
          <w:rFonts w:hint="default" w:ascii="宋体" w:hAnsi="宋体" w:cs="宋体"/>
          <w:b/>
          <w:bCs/>
          <w:color w:val="auto"/>
          <w:szCs w:val="24"/>
          <w:highlight w:val="none"/>
        </w:rPr>
      </w:pPr>
    </w:p>
    <w:p>
      <w:pPr>
        <w:spacing w:before="24" w:after="24"/>
        <w:rPr>
          <w:rFonts w:hint="default" w:ascii="宋体" w:hAnsi="宋体" w:cs="宋体"/>
          <w:color w:val="auto"/>
          <w:szCs w:val="24"/>
          <w:highlight w:val="none"/>
        </w:rPr>
      </w:pPr>
      <w:r>
        <w:rPr>
          <w:rFonts w:ascii="宋体" w:hAnsi="宋体" w:cs="宋体"/>
          <w:b/>
          <w:bCs/>
          <w:color w:val="auto"/>
          <w:szCs w:val="24"/>
          <w:highlight w:val="none"/>
        </w:rPr>
        <w:t>（一）</w:t>
      </w:r>
      <w:r>
        <w:rPr>
          <w:rFonts w:hint="eastAsia" w:ascii="宋体" w:hAnsi="宋体" w:cs="宋体"/>
          <w:b/>
          <w:bCs/>
          <w:color w:val="auto"/>
          <w:szCs w:val="24"/>
          <w:highlight w:val="none"/>
          <w:lang w:val="en-US" w:eastAsia="zh-CN"/>
        </w:rPr>
        <w:t>基本</w:t>
      </w:r>
      <w:r>
        <w:rPr>
          <w:rFonts w:ascii="宋体" w:hAnsi="宋体" w:cs="宋体"/>
          <w:b/>
          <w:bCs/>
          <w:color w:val="auto"/>
          <w:szCs w:val="24"/>
          <w:highlight w:val="none"/>
        </w:rPr>
        <w:t>资格条件：符合《中华人民共和国政府采购法》第二十二条的规定，并提供以下资料；</w:t>
      </w:r>
    </w:p>
    <w:p>
      <w:pPr>
        <w:pStyle w:val="21"/>
        <w:spacing w:line="360" w:lineRule="auto"/>
        <w:ind w:firstLine="480" w:firstLineChars="200"/>
        <w:rPr>
          <w:rFonts w:hint="default" w:ascii="宋体" w:hAnsi="宋体" w:cs="宋体"/>
          <w:color w:val="auto"/>
          <w:szCs w:val="24"/>
          <w:highlight w:val="none"/>
        </w:rPr>
      </w:pPr>
      <w:r>
        <w:rPr>
          <w:rFonts w:ascii="宋体" w:hAnsi="宋体" w:cs="宋体"/>
          <w:bCs/>
          <w:color w:val="auto"/>
          <w:szCs w:val="24"/>
          <w:highlight w:val="none"/>
        </w:rPr>
        <w:t>1、</w:t>
      </w:r>
      <w:r>
        <w:rPr>
          <w:rFonts w:ascii="宋体" w:hAnsi="宋体" w:cs="宋体"/>
          <w:color w:val="auto"/>
          <w:szCs w:val="24"/>
          <w:highlight w:val="none"/>
        </w:rPr>
        <w:t>具有独立承担民事责任能力的法人、其他组织或自然人，提供合法有效的统一社会信用代码营业执照（事业单位提供事业单位法人证书，自然人应提供身份证）；</w:t>
      </w:r>
    </w:p>
    <w:p>
      <w:pPr>
        <w:pStyle w:val="21"/>
        <w:spacing w:line="360" w:lineRule="auto"/>
        <w:ind w:firstLine="480" w:firstLineChars="200"/>
        <w:rPr>
          <w:rFonts w:hint="default" w:ascii="宋体" w:hAnsi="宋体" w:cs="宋体"/>
          <w:color w:val="auto"/>
          <w:szCs w:val="24"/>
          <w:highlight w:val="none"/>
        </w:rPr>
      </w:pPr>
      <w:r>
        <w:rPr>
          <w:rFonts w:ascii="宋体" w:hAnsi="宋体" w:cs="宋体"/>
          <w:color w:val="auto"/>
          <w:szCs w:val="24"/>
          <w:highlight w:val="none"/>
        </w:rPr>
        <w:t>2、</w:t>
      </w:r>
      <w:r>
        <w:rPr>
          <w:rFonts w:ascii="宋体" w:hAnsi="宋体" w:cs="宋体"/>
          <w:color w:val="auto"/>
          <w:highlight w:val="none"/>
        </w:rPr>
        <w:t>财务状况：提供具有审计资格的第三方出具的2022年度财务审计报告（成立时间至提交响应文件截止时间不足一年的可提供从成立至今的财务报表），或其基本存款账户开户银行出具的磋商时间前6个月内的资信证明</w:t>
      </w:r>
      <w:r>
        <w:rPr>
          <w:rFonts w:ascii="宋体" w:hAnsi="宋体" w:cs="宋体"/>
          <w:bCs/>
          <w:color w:val="auto"/>
          <w:szCs w:val="24"/>
          <w:highlight w:val="none"/>
        </w:rPr>
        <w:t>及基本存款账户开户许可证（基本存款账户信息证明）</w:t>
      </w:r>
      <w:r>
        <w:rPr>
          <w:rFonts w:ascii="宋体" w:hAnsi="宋体" w:cs="宋体"/>
          <w:color w:val="auto"/>
          <w:highlight w:val="none"/>
        </w:rPr>
        <w:t>；其他组织和自然人提供银行出具的资信证明或财务报表</w:t>
      </w:r>
      <w:r>
        <w:rPr>
          <w:rFonts w:ascii="宋体" w:hAnsi="宋体" w:cs="宋体"/>
          <w:color w:val="auto"/>
          <w:szCs w:val="24"/>
          <w:highlight w:val="none"/>
        </w:rPr>
        <w:t>；</w:t>
      </w:r>
    </w:p>
    <w:p>
      <w:pPr>
        <w:pStyle w:val="21"/>
        <w:spacing w:line="360" w:lineRule="auto"/>
        <w:ind w:firstLine="480" w:firstLineChars="200"/>
        <w:rPr>
          <w:rFonts w:hint="default" w:ascii="宋体" w:hAnsi="宋体" w:cs="宋体"/>
          <w:color w:val="auto"/>
          <w:szCs w:val="24"/>
          <w:highlight w:val="none"/>
        </w:rPr>
      </w:pPr>
      <w:r>
        <w:rPr>
          <w:rFonts w:ascii="宋体" w:hAnsi="宋体" w:cs="宋体"/>
          <w:color w:val="auto"/>
          <w:szCs w:val="24"/>
          <w:highlight w:val="none"/>
        </w:rPr>
        <w:t>3、税收缴纳证明：提供截止磋商时间前6个月内任意1个月的纳税证明或税务机关开具的完税证明，依法免税的单位应提供相关证明材料；</w:t>
      </w:r>
    </w:p>
    <w:p>
      <w:pPr>
        <w:pStyle w:val="21"/>
        <w:spacing w:line="360" w:lineRule="auto"/>
        <w:ind w:firstLine="480" w:firstLineChars="200"/>
        <w:rPr>
          <w:rFonts w:hint="default" w:ascii="宋体" w:hAnsi="宋体" w:cs="宋体"/>
          <w:color w:val="auto"/>
          <w:highlight w:val="none"/>
        </w:rPr>
      </w:pPr>
      <w:r>
        <w:rPr>
          <w:rFonts w:ascii="宋体" w:hAnsi="宋体" w:cs="宋体"/>
          <w:color w:val="auto"/>
          <w:szCs w:val="24"/>
          <w:highlight w:val="none"/>
        </w:rPr>
        <w:t>4、</w:t>
      </w:r>
      <w:r>
        <w:rPr>
          <w:rFonts w:ascii="宋体" w:hAnsi="宋体" w:cs="宋体"/>
          <w:color w:val="auto"/>
          <w:highlight w:val="none"/>
        </w:rPr>
        <w:t>社会保障资金缴纳证明：提供截止磋商时间前6个月内任意1个月的社会保障资金缴存单据或社保机构开具的社会保险参保缴费证明；依法不需要缴纳社会保障资金的供应商应提供相关证明材料；</w:t>
      </w:r>
    </w:p>
    <w:p>
      <w:pPr>
        <w:pStyle w:val="21"/>
        <w:spacing w:line="360" w:lineRule="auto"/>
        <w:ind w:firstLine="480" w:firstLineChars="200"/>
        <w:rPr>
          <w:rFonts w:hint="default" w:ascii="宋体" w:hAnsi="宋体" w:cs="宋体"/>
          <w:bCs/>
          <w:color w:val="auto"/>
          <w:szCs w:val="24"/>
          <w:highlight w:val="none"/>
        </w:rPr>
      </w:pPr>
      <w:r>
        <w:rPr>
          <w:rFonts w:ascii="宋体" w:hAnsi="宋体" w:cs="宋体"/>
          <w:color w:val="auto"/>
          <w:szCs w:val="24"/>
          <w:highlight w:val="none"/>
        </w:rPr>
        <w:t>5、提供具有履行本合同所必需的设备和专业技术能力的书面声明；</w:t>
      </w:r>
    </w:p>
    <w:p>
      <w:pPr>
        <w:pStyle w:val="21"/>
        <w:spacing w:line="360" w:lineRule="auto"/>
        <w:ind w:firstLine="480" w:firstLineChars="200"/>
        <w:rPr>
          <w:rFonts w:hint="default" w:ascii="宋体" w:hAnsi="宋体" w:cs="宋体"/>
          <w:color w:val="auto"/>
          <w:szCs w:val="24"/>
          <w:highlight w:val="none"/>
        </w:rPr>
      </w:pPr>
      <w:r>
        <w:rPr>
          <w:rFonts w:ascii="宋体" w:hAnsi="宋体" w:cs="宋体"/>
          <w:color w:val="auto"/>
          <w:szCs w:val="24"/>
          <w:highlight w:val="none"/>
        </w:rPr>
        <w:t>6、提供参加政府采购活动前3年内在经营活动中没有重大违法记录的书面声明。</w:t>
      </w:r>
    </w:p>
    <w:p>
      <w:pPr>
        <w:pStyle w:val="21"/>
        <w:spacing w:line="360" w:lineRule="auto"/>
        <w:rPr>
          <w:rFonts w:hint="default" w:ascii="宋体" w:hAnsi="宋体" w:cs="宋体"/>
          <w:b/>
          <w:bCs/>
          <w:color w:val="auto"/>
          <w:szCs w:val="24"/>
          <w:highlight w:val="none"/>
        </w:rPr>
      </w:pPr>
      <w:r>
        <w:rPr>
          <w:rFonts w:ascii="宋体" w:hAnsi="宋体" w:cs="宋体"/>
          <w:b/>
          <w:bCs/>
          <w:color w:val="auto"/>
          <w:szCs w:val="24"/>
          <w:highlight w:val="none"/>
        </w:rPr>
        <w:t>（</w:t>
      </w:r>
      <w:r>
        <w:rPr>
          <w:rFonts w:hint="eastAsia" w:ascii="宋体" w:hAnsi="宋体" w:cs="宋体"/>
          <w:b/>
          <w:bCs/>
          <w:color w:val="auto"/>
          <w:szCs w:val="24"/>
          <w:highlight w:val="none"/>
          <w:lang w:val="en-US" w:eastAsia="zh-CN"/>
        </w:rPr>
        <w:t>二</w:t>
      </w:r>
      <w:r>
        <w:rPr>
          <w:rFonts w:ascii="宋体" w:hAnsi="宋体" w:cs="宋体"/>
          <w:b/>
          <w:bCs/>
          <w:color w:val="auto"/>
          <w:szCs w:val="24"/>
          <w:highlight w:val="none"/>
        </w:rPr>
        <w:t>）特定资格条件：</w:t>
      </w:r>
    </w:p>
    <w:p>
      <w:pPr>
        <w:pStyle w:val="21"/>
        <w:spacing w:line="360" w:lineRule="auto"/>
        <w:ind w:firstLine="480" w:firstLineChars="200"/>
        <w:rPr>
          <w:rFonts w:hint="default" w:ascii="宋体" w:hAnsi="宋体" w:cs="宋体"/>
          <w:color w:val="auto"/>
          <w:szCs w:val="24"/>
          <w:highlight w:val="none"/>
        </w:rPr>
      </w:pPr>
      <w:r>
        <w:rPr>
          <w:rFonts w:ascii="宋体" w:hAnsi="宋体" w:cs="宋体"/>
          <w:color w:val="auto"/>
          <w:szCs w:val="24"/>
          <w:highlight w:val="none"/>
        </w:rPr>
        <w:t>1、供应商不得为“信用中国”网站（www.creditchina.gov.cn）中列入重大税收违法失信主体的供应商</w:t>
      </w:r>
      <w:r>
        <w:rPr>
          <w:rFonts w:hint="eastAsia" w:ascii="宋体" w:hAnsi="宋体" w:cs="宋体"/>
          <w:color w:val="auto"/>
          <w:szCs w:val="24"/>
          <w:highlight w:val="none"/>
          <w:lang w:eastAsia="zh-CN"/>
        </w:rPr>
        <w:t>、</w:t>
      </w:r>
      <w:r>
        <w:rPr>
          <w:rFonts w:ascii="宋体" w:hAnsi="宋体" w:cs="宋体"/>
          <w:color w:val="auto"/>
          <w:szCs w:val="24"/>
          <w:highlight w:val="none"/>
        </w:rPr>
        <w:t>不得为中国执行信息公开网（http：//zxgk.court.gov.cn）中列入失信被执行人名单的供应商</w:t>
      </w:r>
      <w:r>
        <w:rPr>
          <w:rFonts w:hint="eastAsia" w:ascii="宋体" w:hAnsi="宋体" w:cs="宋体"/>
          <w:color w:val="auto"/>
          <w:szCs w:val="24"/>
          <w:highlight w:val="none"/>
          <w:lang w:eastAsia="zh-CN"/>
        </w:rPr>
        <w:t>、</w:t>
      </w:r>
      <w:r>
        <w:rPr>
          <w:rFonts w:ascii="宋体" w:hAnsi="宋体" w:cs="宋体"/>
          <w:color w:val="auto"/>
          <w:szCs w:val="24"/>
          <w:highlight w:val="none"/>
        </w:rPr>
        <w:t>不得为中国政府采购网（www.ccgp.gov.cn）政府采购严重违法失信行为记录名单中被财政部门禁止参加政府采购活动的供应商</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提供网查截图</w:t>
      </w:r>
      <w:r>
        <w:rPr>
          <w:rFonts w:hint="eastAsia" w:ascii="宋体" w:hAnsi="宋体" w:cs="宋体"/>
          <w:color w:val="auto"/>
          <w:szCs w:val="24"/>
          <w:highlight w:val="none"/>
          <w:lang w:eastAsia="zh-CN"/>
        </w:rPr>
        <w:t>）</w:t>
      </w:r>
      <w:r>
        <w:rPr>
          <w:rFonts w:ascii="宋体" w:hAnsi="宋体" w:cs="宋体"/>
          <w:color w:val="auto"/>
          <w:szCs w:val="24"/>
          <w:highlight w:val="none"/>
        </w:rPr>
        <w:t>；</w:t>
      </w:r>
    </w:p>
    <w:p>
      <w:pPr>
        <w:pStyle w:val="21"/>
        <w:spacing w:line="360" w:lineRule="auto"/>
        <w:ind w:firstLine="480" w:firstLineChars="200"/>
        <w:rPr>
          <w:rFonts w:hint="default" w:ascii="宋体" w:hAnsi="宋体" w:cs="宋体"/>
          <w:color w:val="auto"/>
          <w:szCs w:val="24"/>
          <w:highlight w:val="none"/>
        </w:rPr>
      </w:pPr>
      <w:r>
        <w:rPr>
          <w:rFonts w:ascii="宋体" w:hAnsi="宋体" w:cs="宋体"/>
          <w:color w:val="auto"/>
          <w:szCs w:val="24"/>
          <w:highlight w:val="none"/>
        </w:rPr>
        <w:t>2、</w:t>
      </w:r>
      <w:r>
        <w:rPr>
          <w:rFonts w:ascii="宋体" w:hAnsi="宋体" w:eastAsia="宋体" w:cs="宋体"/>
          <w:b w:val="0"/>
          <w:color w:val="auto"/>
          <w:highlight w:val="none"/>
        </w:rPr>
        <w:t>非法定代表人</w:t>
      </w:r>
      <w:r>
        <w:rPr>
          <w:rFonts w:hint="eastAsia" w:ascii="宋体" w:hAnsi="宋体" w:eastAsia="宋体" w:cs="宋体"/>
          <w:b w:val="0"/>
          <w:color w:val="auto"/>
          <w:highlight w:val="none"/>
          <w:lang w:val="en-US" w:eastAsia="zh-Hans"/>
        </w:rPr>
        <w:t>或负责人</w:t>
      </w:r>
      <w:r>
        <w:rPr>
          <w:rFonts w:ascii="宋体" w:hAnsi="宋体" w:eastAsia="宋体" w:cs="宋体"/>
          <w:b w:val="0"/>
          <w:color w:val="auto"/>
          <w:highlight w:val="none"/>
        </w:rPr>
        <w:t>参加投标的，须提供法定代表人</w:t>
      </w:r>
      <w:r>
        <w:rPr>
          <w:rFonts w:hint="eastAsia" w:ascii="宋体" w:hAnsi="宋体" w:eastAsia="宋体" w:cs="宋体"/>
          <w:b w:val="0"/>
          <w:color w:val="auto"/>
          <w:highlight w:val="none"/>
          <w:lang w:val="en-US" w:eastAsia="zh-Hans"/>
        </w:rPr>
        <w:t>或负责人</w:t>
      </w:r>
      <w:r>
        <w:rPr>
          <w:rFonts w:ascii="宋体" w:hAnsi="宋体" w:eastAsia="宋体" w:cs="宋体"/>
          <w:b w:val="0"/>
          <w:color w:val="auto"/>
          <w:highlight w:val="none"/>
        </w:rPr>
        <w:t>授权书（附法定代表人</w:t>
      </w:r>
      <w:r>
        <w:rPr>
          <w:rFonts w:hint="eastAsia" w:ascii="宋体" w:hAnsi="宋体" w:eastAsia="宋体" w:cs="宋体"/>
          <w:b w:val="0"/>
          <w:color w:val="auto"/>
          <w:highlight w:val="none"/>
          <w:lang w:val="en-US" w:eastAsia="zh-Hans"/>
        </w:rPr>
        <w:t>或负责人</w:t>
      </w:r>
      <w:r>
        <w:rPr>
          <w:rFonts w:ascii="宋体" w:hAnsi="宋体" w:eastAsia="宋体" w:cs="宋体"/>
          <w:b w:val="0"/>
          <w:color w:val="auto"/>
          <w:highlight w:val="none"/>
        </w:rPr>
        <w:t>、被授权人身份证复印件）；法定代表人</w:t>
      </w:r>
      <w:r>
        <w:rPr>
          <w:rFonts w:hint="eastAsia" w:ascii="宋体" w:hAnsi="宋体" w:eastAsia="宋体" w:cs="宋体"/>
          <w:b w:val="0"/>
          <w:color w:val="auto"/>
          <w:highlight w:val="none"/>
          <w:lang w:val="en-US" w:eastAsia="zh-Hans"/>
        </w:rPr>
        <w:t>或负责人</w:t>
      </w:r>
      <w:r>
        <w:rPr>
          <w:rFonts w:ascii="宋体" w:hAnsi="宋体" w:eastAsia="宋体" w:cs="宋体"/>
          <w:b w:val="0"/>
          <w:color w:val="auto"/>
          <w:highlight w:val="none"/>
        </w:rPr>
        <w:t>直接参加投标的，须提供法定代表人身份证明（附法定代表人身份证复印件）</w:t>
      </w:r>
      <w:r>
        <w:rPr>
          <w:rFonts w:ascii="宋体" w:hAnsi="宋体" w:cs="宋体"/>
          <w:color w:val="auto"/>
          <w:szCs w:val="24"/>
          <w:highlight w:val="none"/>
        </w:rPr>
        <w:t>；</w:t>
      </w:r>
    </w:p>
    <w:p>
      <w:pPr>
        <w:pStyle w:val="21"/>
        <w:spacing w:line="360" w:lineRule="auto"/>
        <w:ind w:firstLine="480" w:firstLineChars="200"/>
        <w:rPr>
          <w:rFonts w:hint="default" w:ascii="宋体" w:hAnsi="宋体" w:cs="宋体"/>
          <w:color w:val="auto"/>
          <w:szCs w:val="24"/>
          <w:highlight w:val="none"/>
        </w:rPr>
      </w:pPr>
      <w:r>
        <w:rPr>
          <w:rFonts w:ascii="宋体" w:hAnsi="宋体" w:cs="宋体"/>
          <w:color w:val="auto"/>
          <w:szCs w:val="24"/>
          <w:highlight w:val="none"/>
        </w:rPr>
        <w:t>3、单位负责人为同一人或者存在直接控股、管理关系的不同供应商，不得参加同一合同项下的政府采购活动。</w:t>
      </w:r>
    </w:p>
    <w:p>
      <w:pPr>
        <w:pStyle w:val="21"/>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三</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其他要求</w:t>
      </w:r>
    </w:p>
    <w:p>
      <w:pPr>
        <w:pStyle w:val="21"/>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1、</w:t>
      </w:r>
      <w:r>
        <w:rPr>
          <w:rFonts w:ascii="宋体" w:hAnsi="宋体" w:eastAsia="宋体" w:cs="宋体"/>
          <w:color w:val="auto"/>
          <w:szCs w:val="24"/>
          <w:highlight w:val="none"/>
        </w:rPr>
        <w:t>本项目不接受联合体磋商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提供书面声明</w:t>
      </w:r>
      <w:r>
        <w:rPr>
          <w:rFonts w:hint="eastAsia" w:ascii="宋体" w:hAnsi="宋体" w:eastAsia="宋体" w:cs="宋体"/>
          <w:color w:val="auto"/>
          <w:szCs w:val="24"/>
          <w:highlight w:val="none"/>
          <w:lang w:eastAsia="zh-CN"/>
        </w:rPr>
        <w:t>）；</w:t>
      </w:r>
    </w:p>
    <w:p>
      <w:pPr>
        <w:pStyle w:val="21"/>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r>
        <w:rPr>
          <w:rFonts w:ascii="宋体" w:hAnsi="宋体" w:cs="宋体"/>
          <w:color w:val="auto"/>
          <w:szCs w:val="24"/>
          <w:highlight w:val="none"/>
        </w:rPr>
        <w:t>不存在第二章“供应商须知”第 1.4.3 项规定的任何一种情形</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提供书面声明</w:t>
      </w:r>
      <w:r>
        <w:rPr>
          <w:rFonts w:hint="eastAsia" w:ascii="宋体" w:hAnsi="宋体" w:cs="宋体"/>
          <w:color w:val="auto"/>
          <w:szCs w:val="24"/>
          <w:highlight w:val="none"/>
          <w:lang w:eastAsia="zh-CN"/>
        </w:rPr>
        <w:t>）；</w:t>
      </w:r>
    </w:p>
    <w:p>
      <w:pPr>
        <w:pStyle w:val="21"/>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3、提供磋商保证金缴纳凭证或银行保函。</w:t>
      </w:r>
    </w:p>
    <w:p>
      <w:pPr>
        <w:pStyle w:val="22"/>
        <w:rPr>
          <w:rFonts w:hint="eastAsia" w:ascii="宋体" w:hAnsi="宋体" w:cs="宋体"/>
          <w:b/>
          <w:color w:val="auto"/>
          <w:szCs w:val="24"/>
          <w:highlight w:val="none"/>
          <w:lang w:val="en-US" w:eastAsia="zh-CN"/>
        </w:rPr>
      </w:pPr>
    </w:p>
    <w:p>
      <w:pPr>
        <w:spacing w:before="24" w:after="24"/>
        <w:ind w:firstLine="480" w:firstLineChars="200"/>
        <w:jc w:val="left"/>
        <w:rPr>
          <w:rFonts w:hint="default" w:ascii="宋体" w:hAnsi="宋体" w:cs="宋体"/>
          <w:b/>
          <w:bCs/>
          <w:color w:val="auto"/>
          <w:szCs w:val="24"/>
          <w:highlight w:val="none"/>
        </w:rPr>
      </w:pPr>
      <w:r>
        <w:rPr>
          <w:rFonts w:ascii="宋体" w:hAnsi="宋体" w:cs="宋体"/>
          <w:bCs/>
          <w:color w:val="auto"/>
          <w:szCs w:val="24"/>
          <w:highlight w:val="none"/>
        </w:rPr>
        <w:t>以上为必备资格要求，缺一项或某项达不到要求，按无效投标处理。除法定代表人授权书需将原件装订在响应文件中外，其他所有资质证件的复印件必须加盖单位公章附在响应文件中。</w:t>
      </w:r>
    </w:p>
    <w:p>
      <w:pPr>
        <w:rPr>
          <w:rFonts w:ascii="宋体" w:hAnsi="宋体" w:cs="宋体"/>
          <w:b/>
          <w:color w:val="auto"/>
          <w:sz w:val="28"/>
          <w:szCs w:val="28"/>
          <w:highlight w:val="none"/>
        </w:rPr>
      </w:pPr>
      <w:r>
        <w:rPr>
          <w:rFonts w:ascii="宋体" w:hAnsi="宋体" w:cs="宋体"/>
          <w:b/>
          <w:color w:val="auto"/>
          <w:sz w:val="28"/>
          <w:szCs w:val="28"/>
          <w:highlight w:val="none"/>
        </w:rPr>
        <w:br w:type="page"/>
      </w:r>
    </w:p>
    <w:p>
      <w:pPr>
        <w:adjustRightInd w:val="0"/>
        <w:snapToGrid w:val="0"/>
        <w:spacing w:before="24" w:afterLines="50" w:line="336" w:lineRule="auto"/>
        <w:rPr>
          <w:rFonts w:hint="default" w:ascii="宋体" w:hAnsi="宋体" w:cs="宋体"/>
          <w:color w:val="auto"/>
          <w:highlight w:val="none"/>
        </w:rPr>
      </w:pPr>
      <w:r>
        <w:rPr>
          <w:rFonts w:ascii="宋体" w:hAnsi="宋体" w:cs="宋体"/>
          <w:b/>
          <w:color w:val="auto"/>
          <w:sz w:val="28"/>
          <w:szCs w:val="28"/>
          <w:highlight w:val="none"/>
        </w:rPr>
        <w:t>附件1：</w:t>
      </w:r>
    </w:p>
    <w:p>
      <w:pPr>
        <w:pStyle w:val="16"/>
        <w:spacing w:before="24" w:after="24"/>
        <w:ind w:firstLine="482"/>
        <w:jc w:val="center"/>
        <w:rPr>
          <w:rFonts w:ascii="宋体" w:hAnsi="宋体" w:cs="宋体"/>
          <w:b/>
          <w:color w:val="auto"/>
          <w:szCs w:val="24"/>
          <w:highlight w:val="none"/>
        </w:rPr>
      </w:pPr>
      <w:bookmarkStart w:id="219" w:name="_Toc3021_WPSOffice_Level2"/>
    </w:p>
    <w:p>
      <w:pPr>
        <w:pStyle w:val="16"/>
        <w:spacing w:before="24" w:after="24"/>
        <w:ind w:firstLine="482"/>
        <w:jc w:val="center"/>
        <w:rPr>
          <w:rFonts w:ascii="宋体" w:hAnsi="宋体" w:cs="宋体"/>
          <w:b/>
          <w:color w:val="auto"/>
          <w:szCs w:val="24"/>
          <w:highlight w:val="none"/>
        </w:rPr>
      </w:pPr>
      <w:r>
        <w:rPr>
          <w:rFonts w:hint="eastAsia" w:ascii="宋体" w:hAnsi="宋体" w:cs="宋体"/>
          <w:b/>
          <w:color w:val="auto"/>
          <w:szCs w:val="24"/>
          <w:highlight w:val="none"/>
        </w:rPr>
        <w:t>具备履行合同所必需的设备和专业技术能力的</w:t>
      </w:r>
      <w:bookmarkEnd w:id="219"/>
      <w:r>
        <w:rPr>
          <w:rFonts w:hint="eastAsia" w:ascii="宋体" w:hAnsi="宋体" w:cs="宋体"/>
          <w:b/>
          <w:color w:val="auto"/>
          <w:szCs w:val="24"/>
          <w:highlight w:val="none"/>
        </w:rPr>
        <w:t>书面声明</w:t>
      </w:r>
    </w:p>
    <w:p>
      <w:pPr>
        <w:pStyle w:val="16"/>
        <w:spacing w:before="24" w:after="24"/>
        <w:ind w:firstLine="480"/>
        <w:rPr>
          <w:rFonts w:ascii="宋体" w:hAnsi="宋体" w:cs="宋体"/>
          <w:color w:val="auto"/>
          <w:szCs w:val="24"/>
          <w:highlight w:val="none"/>
        </w:rPr>
      </w:pPr>
    </w:p>
    <w:p>
      <w:pPr>
        <w:pStyle w:val="16"/>
        <w:spacing w:before="24" w:after="24"/>
        <w:ind w:firstLine="498"/>
        <w:rPr>
          <w:rFonts w:ascii="宋体" w:hAnsi="宋体" w:cs="宋体"/>
          <w:color w:val="auto"/>
          <w:szCs w:val="24"/>
          <w:highlight w:val="none"/>
        </w:rPr>
      </w:pPr>
      <w:r>
        <w:rPr>
          <w:rFonts w:hint="eastAsia" w:ascii="宋体" w:hAnsi="宋体" w:cs="宋体"/>
          <w:b/>
          <w:color w:val="auto"/>
          <w:spacing w:val="4"/>
          <w:szCs w:val="24"/>
          <w:highlight w:val="none"/>
        </w:rPr>
        <w:t>岐山县档案馆</w:t>
      </w:r>
      <w:r>
        <w:rPr>
          <w:rFonts w:hint="eastAsia" w:ascii="宋体" w:hAnsi="宋体" w:cs="宋体"/>
          <w:color w:val="auto"/>
          <w:szCs w:val="24"/>
          <w:highlight w:val="none"/>
        </w:rPr>
        <w:t>：</w:t>
      </w:r>
    </w:p>
    <w:p>
      <w:pPr>
        <w:pStyle w:val="16"/>
        <w:spacing w:before="24" w:after="24"/>
        <w:ind w:firstLine="480"/>
        <w:rPr>
          <w:rFonts w:ascii="宋体" w:hAnsi="宋体" w:cs="宋体"/>
          <w:color w:val="auto"/>
          <w:szCs w:val="24"/>
          <w:highlight w:val="none"/>
        </w:rPr>
      </w:pPr>
      <w:r>
        <w:rPr>
          <w:rFonts w:hint="eastAsia" w:ascii="宋体" w:hAnsi="宋体" w:cs="宋体"/>
          <w:color w:val="auto"/>
          <w:szCs w:val="24"/>
          <w:highlight w:val="none"/>
        </w:rPr>
        <w:t>我单位作为本次采购项目的供应商，根据磋商文件要求，现声明如下：</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在本项目</w:t>
      </w:r>
      <w:r>
        <w:rPr>
          <w:rFonts w:ascii="宋体" w:hAnsi="宋体" w:cs="宋体"/>
          <w:color w:val="auto"/>
          <w:szCs w:val="24"/>
          <w:highlight w:val="none"/>
        </w:rPr>
        <w:t>采购</w:t>
      </w:r>
      <w:r>
        <w:rPr>
          <w:rFonts w:ascii="宋体" w:hAnsi="宋体" w:cs="宋体"/>
          <w:color w:val="auto"/>
          <w:szCs w:val="24"/>
          <w:highlight w:val="none"/>
          <w:lang w:val="zh-CN"/>
        </w:rPr>
        <w:t>活动中具备履行合同所必需的设备和专业技术能力，可以按照</w:t>
      </w:r>
      <w:r>
        <w:rPr>
          <w:rFonts w:ascii="宋体" w:hAnsi="宋体" w:cs="宋体"/>
          <w:color w:val="auto"/>
          <w:szCs w:val="24"/>
          <w:highlight w:val="none"/>
        </w:rPr>
        <w:t>磋商</w:t>
      </w:r>
      <w:r>
        <w:rPr>
          <w:rFonts w:ascii="宋体" w:hAnsi="宋体" w:cs="宋体"/>
          <w:color w:val="auto"/>
          <w:szCs w:val="24"/>
          <w:highlight w:val="none"/>
          <w:lang w:val="zh-CN"/>
        </w:rPr>
        <w:t>文件及采购人的要求提供本项目服务，履行合同内容、保证服务质量。</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被授权人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rPr>
          <w:rFonts w:hint="default" w:ascii="宋体" w:hAnsi="宋体" w:cs="宋体"/>
          <w:b/>
          <w:color w:val="auto"/>
          <w:sz w:val="28"/>
          <w:szCs w:val="28"/>
          <w:highlight w:val="none"/>
        </w:rPr>
      </w:pPr>
    </w:p>
    <w:p>
      <w:pPr>
        <w:spacing w:before="24" w:after="24"/>
        <w:rPr>
          <w:rFonts w:hint="default" w:ascii="宋体" w:hAnsi="宋体" w:cs="宋体"/>
          <w:b/>
          <w:color w:val="auto"/>
          <w:sz w:val="28"/>
          <w:szCs w:val="28"/>
          <w:highlight w:val="none"/>
        </w:rPr>
      </w:pPr>
      <w:r>
        <w:rPr>
          <w:rFonts w:ascii="宋体" w:hAnsi="宋体" w:cs="宋体"/>
          <w:b/>
          <w:color w:val="auto"/>
          <w:sz w:val="28"/>
          <w:szCs w:val="28"/>
          <w:highlight w:val="none"/>
        </w:rPr>
        <w:br w:type="page"/>
      </w:r>
    </w:p>
    <w:p>
      <w:pPr>
        <w:adjustRightInd w:val="0"/>
        <w:snapToGrid w:val="0"/>
        <w:spacing w:before="24" w:afterLines="50" w:line="336" w:lineRule="auto"/>
        <w:rPr>
          <w:rFonts w:hint="default" w:ascii="宋体" w:hAnsi="宋体" w:cs="宋体"/>
          <w:b/>
          <w:color w:val="auto"/>
          <w:sz w:val="28"/>
          <w:szCs w:val="28"/>
          <w:highlight w:val="none"/>
        </w:rPr>
      </w:pPr>
      <w:bookmarkStart w:id="220" w:name="_Toc30471_WPSOffice_Level2"/>
      <w:bookmarkStart w:id="221" w:name="_Toc2572"/>
      <w:r>
        <w:rPr>
          <w:rFonts w:ascii="宋体" w:hAnsi="宋体" w:cs="宋体"/>
          <w:b/>
          <w:color w:val="auto"/>
          <w:sz w:val="28"/>
          <w:szCs w:val="28"/>
          <w:highlight w:val="none"/>
        </w:rPr>
        <w:t>附件2：</w:t>
      </w:r>
      <w:bookmarkEnd w:id="220"/>
      <w:bookmarkEnd w:id="221"/>
    </w:p>
    <w:p>
      <w:pPr>
        <w:pStyle w:val="21"/>
        <w:spacing w:beforeLines="50"/>
        <w:jc w:val="center"/>
        <w:rPr>
          <w:rFonts w:hint="default" w:ascii="宋体" w:hAnsi="宋体" w:cs="宋体"/>
          <w:b/>
          <w:bCs/>
          <w:color w:val="auto"/>
          <w:kern w:val="2"/>
          <w:sz w:val="30"/>
          <w:szCs w:val="30"/>
          <w:highlight w:val="none"/>
        </w:rPr>
      </w:pPr>
      <w:r>
        <w:rPr>
          <w:rFonts w:ascii="宋体" w:hAnsi="宋体" w:cs="宋体"/>
          <w:b/>
          <w:bCs/>
          <w:color w:val="auto"/>
          <w:kern w:val="2"/>
          <w:sz w:val="30"/>
          <w:szCs w:val="30"/>
          <w:highlight w:val="none"/>
        </w:rPr>
        <w:t>参加政府采购活动前三年无重大违法记录声明</w:t>
      </w:r>
    </w:p>
    <w:p>
      <w:pPr>
        <w:spacing w:before="24" w:after="24" w:line="560" w:lineRule="exact"/>
        <w:ind w:firstLine="498" w:firstLineChars="200"/>
        <w:rPr>
          <w:rFonts w:hint="default" w:ascii="宋体" w:hAnsi="宋体" w:cs="宋体"/>
          <w:color w:val="auto"/>
          <w:szCs w:val="24"/>
          <w:highlight w:val="none"/>
        </w:rPr>
      </w:pPr>
      <w:r>
        <w:rPr>
          <w:rFonts w:ascii="宋体" w:hAnsi="宋体" w:cs="宋体"/>
          <w:b/>
          <w:color w:val="auto"/>
          <w:spacing w:val="4"/>
          <w:szCs w:val="24"/>
          <w:highlight w:val="none"/>
        </w:rPr>
        <w:t>岐山县档案馆</w:t>
      </w:r>
      <w:r>
        <w:rPr>
          <w:rFonts w:ascii="宋体" w:hAnsi="宋体" w:cs="宋体"/>
          <w:color w:val="auto"/>
          <w:szCs w:val="24"/>
          <w:highlight w:val="none"/>
        </w:rPr>
        <w:t>：</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我方作为</w:t>
      </w:r>
      <w:r>
        <w:rPr>
          <w:rFonts w:ascii="宋体" w:hAnsi="宋体" w:cs="宋体"/>
          <w:color w:val="auto"/>
          <w:szCs w:val="24"/>
          <w:highlight w:val="none"/>
          <w:u w:val="single"/>
        </w:rPr>
        <w:t>数字档案馆创建项目（项目编号：SXZD（2023）114CG）</w:t>
      </w:r>
      <w:r>
        <w:rPr>
          <w:rFonts w:ascii="宋体" w:hAnsi="宋体" w:cs="宋体"/>
          <w:color w:val="auto"/>
          <w:szCs w:val="24"/>
          <w:highlight w:val="none"/>
        </w:rPr>
        <w:t>的供应商，在此郑重声明：</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1．在参加本次政府采购活动前3年内的经营活动中___（填“没有”或“有”）重大违法记录。</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2．我方___（填“未被列入”或“被列入”）失信被执行人名单。</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3．我方___（填“未被列入”或“被列入”）重大税收违法案件当事人名单。</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4．我方___（填“未被列入”或“被列入”）政府采购严重违法失信行为记录名单。</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如有不实，我方将无条件地退出本项目的采购活动，并遵照《政府采购法》有关“提供虚假材料的规定”接受处罚。</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特此声明。</w:t>
      </w:r>
    </w:p>
    <w:p>
      <w:pPr>
        <w:spacing w:before="24" w:after="24" w:line="560" w:lineRule="exact"/>
        <w:ind w:firstLine="480" w:firstLineChars="200"/>
        <w:rPr>
          <w:rFonts w:hint="default" w:ascii="宋体" w:hAnsi="宋体" w:cs="宋体"/>
          <w:color w:val="auto"/>
          <w:szCs w:val="24"/>
          <w:highlight w:val="none"/>
        </w:rPr>
      </w:pPr>
    </w:p>
    <w:p>
      <w:pPr>
        <w:pStyle w:val="14"/>
        <w:spacing w:before="24" w:after="24"/>
        <w:rPr>
          <w:rFonts w:hint="default" w:ascii="宋体" w:hAnsi="宋体" w:cs="宋体"/>
          <w:color w:val="auto"/>
          <w:szCs w:val="24"/>
          <w:highlight w:val="none"/>
        </w:rPr>
      </w:pPr>
    </w:p>
    <w:p>
      <w:pPr>
        <w:spacing w:before="24" w:after="24"/>
        <w:rPr>
          <w:rFonts w:hint="default" w:ascii="宋体" w:hAnsi="宋体" w:cs="宋体"/>
          <w:color w:val="auto"/>
          <w:szCs w:val="24"/>
          <w:highlight w:val="none"/>
        </w:rPr>
      </w:pPr>
    </w:p>
    <w:p>
      <w:pPr>
        <w:pStyle w:val="14"/>
        <w:spacing w:before="24" w:after="24"/>
        <w:rPr>
          <w:rFonts w:hint="default" w:ascii="宋体" w:hAnsi="宋体" w:cs="宋体"/>
          <w:color w:val="auto"/>
          <w:szCs w:val="24"/>
          <w:highlight w:val="none"/>
        </w:rPr>
      </w:pPr>
    </w:p>
    <w:p>
      <w:pPr>
        <w:spacing w:before="24" w:after="24"/>
        <w:rPr>
          <w:rFonts w:hint="default" w:ascii="宋体" w:hAnsi="宋体" w:cs="宋体"/>
          <w:color w:val="auto"/>
          <w:szCs w:val="24"/>
          <w:highlight w:val="none"/>
        </w:rPr>
      </w:pPr>
    </w:p>
    <w:p>
      <w:pPr>
        <w:pStyle w:val="14"/>
        <w:spacing w:before="24" w:after="24"/>
        <w:rPr>
          <w:rFonts w:hint="default" w:ascii="宋体" w:hAnsi="宋体" w:cs="宋体"/>
          <w:color w:val="auto"/>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rPr>
          <w:rFonts w:hint="default"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pPr>
        <w:autoSpaceDE w:val="0"/>
        <w:autoSpaceDN w:val="0"/>
        <w:adjustRightInd w:val="0"/>
        <w:snapToGrid w:val="0"/>
        <w:spacing w:before="24" w:after="24" w:line="336" w:lineRule="auto"/>
        <w:jc w:val="left"/>
        <w:outlineLvl w:val="0"/>
        <w:rPr>
          <w:rFonts w:hint="default" w:ascii="宋体" w:hAnsi="宋体" w:cs="宋体"/>
          <w:b/>
          <w:bCs/>
          <w:color w:val="auto"/>
          <w:sz w:val="28"/>
          <w:szCs w:val="28"/>
          <w:highlight w:val="none"/>
          <w:lang w:val="zh-CN"/>
        </w:rPr>
      </w:pPr>
      <w:bookmarkStart w:id="222" w:name="_Toc18707"/>
      <w:r>
        <w:rPr>
          <w:rFonts w:ascii="宋体" w:hAnsi="宋体" w:cs="宋体"/>
          <w:b/>
          <w:color w:val="auto"/>
          <w:sz w:val="28"/>
          <w:szCs w:val="28"/>
          <w:highlight w:val="none"/>
        </w:rPr>
        <w:t>附件3：</w:t>
      </w:r>
      <w:bookmarkEnd w:id="222"/>
      <w:bookmarkStart w:id="223" w:name="_Toc3254"/>
      <w:bookmarkStart w:id="224" w:name="_Toc25674"/>
      <w:bookmarkStart w:id="225" w:name="_Toc9233"/>
      <w:bookmarkStart w:id="226" w:name="_Toc4343"/>
      <w:r>
        <w:rPr>
          <w:rFonts w:ascii="宋体" w:hAnsi="宋体" w:cs="宋体"/>
          <w:b/>
          <w:bCs/>
          <w:color w:val="auto"/>
          <w:sz w:val="28"/>
          <w:szCs w:val="28"/>
          <w:highlight w:val="none"/>
          <w:lang w:val="zh-CN"/>
        </w:rPr>
        <w:t>法定代表人身份证明/法定代表人授权书</w:t>
      </w:r>
      <w:bookmarkEnd w:id="223"/>
      <w:bookmarkEnd w:id="224"/>
      <w:bookmarkEnd w:id="225"/>
      <w:bookmarkEnd w:id="226"/>
    </w:p>
    <w:p>
      <w:pPr>
        <w:autoSpaceDE w:val="0"/>
        <w:autoSpaceDN w:val="0"/>
        <w:adjustRightInd w:val="0"/>
        <w:snapToGrid w:val="0"/>
        <w:spacing w:before="24" w:after="24" w:line="336" w:lineRule="auto"/>
        <w:jc w:val="left"/>
        <w:outlineLvl w:val="0"/>
        <w:rPr>
          <w:rFonts w:hint="default" w:ascii="宋体" w:hAnsi="宋体" w:cs="宋体"/>
          <w:b/>
          <w:bCs/>
          <w:color w:val="auto"/>
          <w:sz w:val="30"/>
          <w:szCs w:val="30"/>
          <w:highlight w:val="none"/>
          <w:lang w:val="zh-CN"/>
        </w:rPr>
      </w:pPr>
    </w:p>
    <w:p>
      <w:pPr>
        <w:pStyle w:val="21"/>
        <w:spacing w:beforeLines="50"/>
        <w:jc w:val="center"/>
        <w:rPr>
          <w:rFonts w:hint="default" w:ascii="宋体" w:hAnsi="宋体" w:cs="宋体"/>
          <w:b/>
          <w:bCs/>
          <w:color w:val="auto"/>
          <w:kern w:val="2"/>
          <w:sz w:val="30"/>
          <w:szCs w:val="30"/>
          <w:highlight w:val="none"/>
        </w:rPr>
      </w:pPr>
      <w:r>
        <w:rPr>
          <w:rFonts w:ascii="宋体" w:hAnsi="宋体" w:cs="宋体"/>
          <w:b/>
          <w:bCs/>
          <w:color w:val="auto"/>
          <w:kern w:val="2"/>
          <w:sz w:val="30"/>
          <w:szCs w:val="30"/>
          <w:highlight w:val="none"/>
        </w:rPr>
        <w:t>法定代表人身份证明</w:t>
      </w:r>
    </w:p>
    <w:p>
      <w:pPr>
        <w:spacing w:before="24" w:after="24" w:line="336" w:lineRule="auto"/>
        <w:ind w:firstLine="2168" w:firstLineChars="900"/>
        <w:rPr>
          <w:rFonts w:hint="default" w:ascii="宋体" w:hAnsi="宋体" w:cs="宋体"/>
          <w:b/>
          <w:color w:val="auto"/>
          <w:szCs w:val="24"/>
          <w:highlight w:val="none"/>
        </w:rPr>
      </w:pPr>
    </w:p>
    <w:p>
      <w:pPr>
        <w:spacing w:before="24" w:after="24" w:line="336" w:lineRule="auto"/>
        <w:ind w:firstLine="616" w:firstLineChars="257"/>
        <w:jc w:val="left"/>
        <w:rPr>
          <w:rFonts w:hint="default" w:ascii="宋体" w:hAnsi="宋体" w:cs="宋体"/>
          <w:color w:val="auto"/>
          <w:szCs w:val="24"/>
          <w:highlight w:val="none"/>
          <w:u w:val="single"/>
        </w:rPr>
      </w:pPr>
      <w:r>
        <w:rPr>
          <w:rFonts w:ascii="宋体" w:hAnsi="宋体" w:cs="宋体"/>
          <w:color w:val="auto"/>
          <w:szCs w:val="24"/>
          <w:highlight w:val="none"/>
        </w:rPr>
        <w:t>单位名称：</w:t>
      </w:r>
      <w:r>
        <w:rPr>
          <w:rFonts w:ascii="宋体" w:hAnsi="宋体" w:cs="宋体"/>
          <w:color w:val="auto"/>
          <w:szCs w:val="24"/>
          <w:highlight w:val="none"/>
          <w:u w:val="single"/>
        </w:rPr>
        <w:t xml:space="preserve">                                                    </w:t>
      </w:r>
    </w:p>
    <w:p>
      <w:pPr>
        <w:spacing w:before="24" w:after="24" w:line="336" w:lineRule="auto"/>
        <w:ind w:firstLine="616" w:firstLineChars="257"/>
        <w:jc w:val="left"/>
        <w:rPr>
          <w:rFonts w:hint="default" w:ascii="宋体" w:hAnsi="宋体" w:cs="宋体"/>
          <w:color w:val="auto"/>
          <w:szCs w:val="24"/>
          <w:highlight w:val="none"/>
          <w:u w:val="single"/>
        </w:rPr>
      </w:pPr>
      <w:r>
        <w:rPr>
          <w:rFonts w:ascii="宋体" w:hAnsi="宋体" w:cs="宋体"/>
          <w:color w:val="auto"/>
          <w:szCs w:val="24"/>
          <w:highlight w:val="none"/>
        </w:rPr>
        <w:t>单位性质：</w:t>
      </w:r>
      <w:r>
        <w:rPr>
          <w:rFonts w:ascii="宋体" w:hAnsi="宋体" w:cs="宋体"/>
          <w:color w:val="auto"/>
          <w:szCs w:val="24"/>
          <w:highlight w:val="none"/>
          <w:u w:val="single"/>
        </w:rPr>
        <w:t xml:space="preserve">                                                    </w:t>
      </w:r>
    </w:p>
    <w:p>
      <w:pPr>
        <w:spacing w:before="24" w:after="24" w:line="336" w:lineRule="auto"/>
        <w:ind w:firstLine="616" w:firstLineChars="257"/>
        <w:jc w:val="left"/>
        <w:rPr>
          <w:rFonts w:hint="default" w:ascii="宋体" w:hAnsi="宋体" w:cs="宋体"/>
          <w:color w:val="auto"/>
          <w:szCs w:val="24"/>
          <w:highlight w:val="none"/>
        </w:rPr>
      </w:pPr>
      <w:r>
        <w:rPr>
          <w:rFonts w:ascii="宋体" w:hAnsi="宋体" w:cs="宋体"/>
          <w:color w:val="auto"/>
          <w:szCs w:val="24"/>
          <w:highlight w:val="none"/>
        </w:rPr>
        <w:t>地    址：</w:t>
      </w:r>
      <w:r>
        <w:rPr>
          <w:rFonts w:ascii="宋体" w:hAnsi="宋体" w:cs="宋体"/>
          <w:color w:val="auto"/>
          <w:szCs w:val="24"/>
          <w:highlight w:val="none"/>
          <w:u w:val="single"/>
        </w:rPr>
        <w:t xml:space="preserve">                                                    </w:t>
      </w:r>
    </w:p>
    <w:p>
      <w:pPr>
        <w:spacing w:before="24" w:after="24" w:line="336" w:lineRule="auto"/>
        <w:ind w:firstLine="616" w:firstLineChars="257"/>
        <w:jc w:val="left"/>
        <w:rPr>
          <w:rFonts w:hint="default" w:ascii="宋体" w:hAnsi="宋体" w:cs="宋体"/>
          <w:color w:val="auto"/>
          <w:szCs w:val="24"/>
          <w:highlight w:val="none"/>
        </w:rPr>
      </w:pPr>
      <w:r>
        <w:rPr>
          <w:rFonts w:ascii="宋体" w:hAnsi="宋体" w:cs="宋体"/>
          <w:color w:val="auto"/>
          <w:szCs w:val="24"/>
          <w:highlight w:val="none"/>
        </w:rPr>
        <w:t>成立时间：</w:t>
      </w:r>
      <w:r>
        <w:rPr>
          <w:rFonts w:ascii="宋体" w:hAnsi="宋体" w:cs="宋体"/>
          <w:color w:val="auto"/>
          <w:szCs w:val="24"/>
          <w:highlight w:val="none"/>
          <w:u w:val="single"/>
        </w:rPr>
        <w:t xml:space="preserve">       </w:t>
      </w:r>
      <w:r>
        <w:rPr>
          <w:rFonts w:ascii="宋体" w:hAnsi="宋体" w:cs="宋体"/>
          <w:color w:val="auto"/>
          <w:szCs w:val="24"/>
          <w:highlight w:val="none"/>
        </w:rPr>
        <w:t>年</w:t>
      </w:r>
      <w:r>
        <w:rPr>
          <w:rFonts w:ascii="宋体" w:hAnsi="宋体" w:cs="宋体"/>
          <w:color w:val="auto"/>
          <w:szCs w:val="24"/>
          <w:highlight w:val="none"/>
          <w:u w:val="single"/>
        </w:rPr>
        <w:t xml:space="preserve">    </w:t>
      </w:r>
      <w:r>
        <w:rPr>
          <w:rFonts w:ascii="宋体" w:hAnsi="宋体" w:cs="宋体"/>
          <w:color w:val="auto"/>
          <w:szCs w:val="24"/>
          <w:highlight w:val="none"/>
        </w:rPr>
        <w:t xml:space="preserve">月 </w:t>
      </w:r>
      <w:r>
        <w:rPr>
          <w:rFonts w:ascii="宋体" w:hAnsi="宋体" w:cs="宋体"/>
          <w:color w:val="auto"/>
          <w:szCs w:val="24"/>
          <w:highlight w:val="none"/>
          <w:u w:val="single"/>
        </w:rPr>
        <w:t xml:space="preserve">    </w:t>
      </w:r>
      <w:r>
        <w:rPr>
          <w:rFonts w:ascii="宋体" w:hAnsi="宋体" w:cs="宋体"/>
          <w:color w:val="auto"/>
          <w:szCs w:val="24"/>
          <w:highlight w:val="none"/>
        </w:rPr>
        <w:t xml:space="preserve">日 </w:t>
      </w:r>
    </w:p>
    <w:p>
      <w:pPr>
        <w:spacing w:before="24" w:after="24" w:line="336" w:lineRule="auto"/>
        <w:ind w:firstLine="616" w:firstLineChars="257"/>
        <w:jc w:val="left"/>
        <w:rPr>
          <w:rFonts w:hint="default" w:ascii="宋体" w:hAnsi="宋体" w:cs="宋体"/>
          <w:color w:val="auto"/>
          <w:szCs w:val="24"/>
          <w:highlight w:val="none"/>
        </w:rPr>
      </w:pPr>
      <w:r>
        <w:rPr>
          <w:rFonts w:ascii="宋体" w:hAnsi="宋体" w:cs="宋体"/>
          <w:color w:val="auto"/>
          <w:szCs w:val="24"/>
          <w:highlight w:val="none"/>
        </w:rPr>
        <w:t>经营期限：</w:t>
      </w:r>
      <w:r>
        <w:rPr>
          <w:rFonts w:ascii="宋体" w:hAnsi="宋体" w:cs="宋体"/>
          <w:color w:val="auto"/>
          <w:szCs w:val="24"/>
          <w:highlight w:val="none"/>
          <w:u w:val="single"/>
        </w:rPr>
        <w:t xml:space="preserve">                                                    </w:t>
      </w:r>
    </w:p>
    <w:p>
      <w:pPr>
        <w:spacing w:before="24" w:after="24" w:line="336" w:lineRule="auto"/>
        <w:ind w:firstLine="616" w:firstLineChars="257"/>
        <w:jc w:val="left"/>
        <w:rPr>
          <w:rFonts w:hint="default" w:ascii="宋体" w:hAnsi="宋体" w:cs="宋体"/>
          <w:color w:val="auto"/>
          <w:szCs w:val="24"/>
          <w:highlight w:val="none"/>
        </w:rPr>
      </w:pPr>
      <w:r>
        <w:rPr>
          <w:rFonts w:ascii="宋体" w:hAnsi="宋体" w:cs="宋体"/>
          <w:color w:val="auto"/>
          <w:szCs w:val="24"/>
          <w:highlight w:val="none"/>
        </w:rPr>
        <w:t>姓    名：</w:t>
      </w:r>
      <w:r>
        <w:rPr>
          <w:rFonts w:ascii="宋体" w:hAnsi="宋体" w:cs="宋体"/>
          <w:color w:val="auto"/>
          <w:szCs w:val="24"/>
          <w:highlight w:val="none"/>
          <w:u w:val="single"/>
        </w:rPr>
        <w:t xml:space="preserve">        </w:t>
      </w:r>
      <w:r>
        <w:rPr>
          <w:rFonts w:ascii="宋体" w:hAnsi="宋体" w:cs="宋体"/>
          <w:color w:val="auto"/>
          <w:szCs w:val="24"/>
          <w:highlight w:val="none"/>
        </w:rPr>
        <w:t>性别：</w:t>
      </w:r>
      <w:r>
        <w:rPr>
          <w:rFonts w:ascii="宋体" w:hAnsi="宋体" w:cs="宋体"/>
          <w:color w:val="auto"/>
          <w:szCs w:val="24"/>
          <w:highlight w:val="none"/>
          <w:u w:val="single"/>
        </w:rPr>
        <w:t xml:space="preserve">        </w:t>
      </w:r>
      <w:r>
        <w:rPr>
          <w:rFonts w:ascii="宋体" w:hAnsi="宋体" w:cs="宋体"/>
          <w:color w:val="auto"/>
          <w:szCs w:val="24"/>
          <w:highlight w:val="none"/>
        </w:rPr>
        <w:t>年龄：</w:t>
      </w:r>
      <w:r>
        <w:rPr>
          <w:rFonts w:ascii="宋体" w:hAnsi="宋体" w:cs="宋体"/>
          <w:color w:val="auto"/>
          <w:szCs w:val="24"/>
          <w:highlight w:val="none"/>
          <w:u w:val="single"/>
        </w:rPr>
        <w:t xml:space="preserve">        </w:t>
      </w:r>
      <w:r>
        <w:rPr>
          <w:rFonts w:ascii="宋体" w:hAnsi="宋体" w:cs="宋体"/>
          <w:color w:val="auto"/>
          <w:szCs w:val="24"/>
          <w:highlight w:val="none"/>
        </w:rPr>
        <w:t>职务：</w:t>
      </w:r>
      <w:r>
        <w:rPr>
          <w:rFonts w:ascii="宋体" w:hAnsi="宋体" w:cs="宋体"/>
          <w:color w:val="auto"/>
          <w:szCs w:val="24"/>
          <w:highlight w:val="none"/>
          <w:u w:val="single"/>
        </w:rPr>
        <w:t xml:space="preserve">           </w:t>
      </w:r>
    </w:p>
    <w:p>
      <w:pPr>
        <w:spacing w:before="24" w:after="24" w:line="336" w:lineRule="auto"/>
        <w:ind w:firstLine="616" w:firstLineChars="257"/>
        <w:jc w:val="left"/>
        <w:rPr>
          <w:rFonts w:hint="default" w:ascii="宋体" w:hAnsi="宋体" w:cs="宋体"/>
          <w:color w:val="auto"/>
          <w:szCs w:val="24"/>
          <w:highlight w:val="none"/>
        </w:rPr>
      </w:pPr>
      <w:r>
        <w:rPr>
          <w:rFonts w:ascii="宋体" w:hAnsi="宋体" w:cs="宋体"/>
          <w:color w:val="auto"/>
          <w:szCs w:val="24"/>
          <w:highlight w:val="none"/>
        </w:rPr>
        <w:t xml:space="preserve">系 </w:t>
      </w:r>
      <w:r>
        <w:rPr>
          <w:rFonts w:ascii="宋体" w:hAnsi="宋体" w:cs="宋体"/>
          <w:color w:val="auto"/>
          <w:szCs w:val="24"/>
          <w:highlight w:val="none"/>
          <w:u w:val="single"/>
        </w:rPr>
        <w:t xml:space="preserve">        （供应商名称）             </w:t>
      </w:r>
      <w:r>
        <w:rPr>
          <w:rFonts w:ascii="宋体" w:hAnsi="宋体" w:cs="宋体"/>
          <w:color w:val="auto"/>
          <w:szCs w:val="24"/>
          <w:highlight w:val="none"/>
        </w:rPr>
        <w:t>的法定代表人。</w:t>
      </w:r>
    </w:p>
    <w:tbl>
      <w:tblPr>
        <w:tblStyle w:val="46"/>
        <w:tblW w:w="0" w:type="auto"/>
        <w:jc w:val="center"/>
        <w:tblLayout w:type="fixed"/>
        <w:tblCellMar>
          <w:top w:w="0" w:type="dxa"/>
          <w:left w:w="108" w:type="dxa"/>
          <w:bottom w:w="0" w:type="dxa"/>
          <w:right w:w="108" w:type="dxa"/>
        </w:tblCellMar>
      </w:tblPr>
      <w:tblGrid>
        <w:gridCol w:w="7900"/>
      </w:tblGrid>
      <w:tr>
        <w:tblPrEx>
          <w:tblCellMar>
            <w:top w:w="0" w:type="dxa"/>
            <w:left w:w="108" w:type="dxa"/>
            <w:bottom w:w="0" w:type="dxa"/>
            <w:right w:w="108" w:type="dxa"/>
          </w:tblCellMar>
        </w:tblPrEx>
        <w:trPr>
          <w:trHeight w:val="3849" w:hRule="atLeast"/>
          <w:jc w:val="center"/>
        </w:trPr>
        <w:tc>
          <w:tcPr>
            <w:tcW w:w="7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24" w:after="24" w:line="336"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法定代表人身份证复印件</w:t>
            </w:r>
          </w:p>
          <w:p>
            <w:pPr>
              <w:autoSpaceDE w:val="0"/>
              <w:autoSpaceDN w:val="0"/>
              <w:adjustRightInd w:val="0"/>
              <w:spacing w:before="24" w:after="24" w:line="336"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（正反面）</w:t>
            </w:r>
          </w:p>
        </w:tc>
      </w:tr>
    </w:tbl>
    <w:p>
      <w:pPr>
        <w:pStyle w:val="21"/>
        <w:ind w:left="480" w:leftChars="200"/>
        <w:rPr>
          <w:rFonts w:hint="default" w:ascii="宋体" w:hAnsi="宋体" w:cs="宋体"/>
          <w:color w:val="auto"/>
          <w:highlight w:val="none"/>
        </w:rPr>
      </w:pPr>
    </w:p>
    <w:p>
      <w:pPr>
        <w:pStyle w:val="32"/>
        <w:spacing w:before="120" w:after="120"/>
        <w:rPr>
          <w:rFonts w:hint="default" w:ascii="宋体" w:hAnsi="宋体" w:cs="宋体"/>
          <w:color w:val="auto"/>
          <w:szCs w:val="24"/>
          <w:highlight w:val="none"/>
        </w:rPr>
      </w:pPr>
      <w:r>
        <w:rPr>
          <w:rFonts w:ascii="宋体" w:hAnsi="宋体" w:cs="宋体"/>
          <w:color w:val="auto"/>
          <w:szCs w:val="24"/>
          <w:highlight w:val="none"/>
        </w:rPr>
        <w:t xml:space="preserve">特此证明。 </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line="560" w:lineRule="exact"/>
        <w:jc w:val="left"/>
        <w:rPr>
          <w:rFonts w:hint="default" w:ascii="宋体" w:hAnsi="宋体" w:cs="宋体"/>
          <w:b/>
          <w:bCs/>
          <w:color w:val="auto"/>
          <w:sz w:val="28"/>
          <w:szCs w:val="28"/>
          <w:highlight w:val="none"/>
        </w:rPr>
      </w:pPr>
    </w:p>
    <w:p>
      <w:pPr>
        <w:spacing w:before="24" w:after="24" w:line="560" w:lineRule="exact"/>
        <w:jc w:val="left"/>
        <w:rPr>
          <w:rFonts w:hint="default" w:ascii="宋体" w:hAnsi="宋体" w:cs="宋体"/>
          <w:b/>
          <w:bCs/>
          <w:color w:val="auto"/>
          <w:sz w:val="28"/>
          <w:szCs w:val="28"/>
          <w:highlight w:val="none"/>
        </w:rPr>
      </w:pPr>
      <w:r>
        <w:rPr>
          <w:rFonts w:ascii="宋体" w:hAnsi="宋体" w:cs="宋体"/>
          <w:b/>
          <w:bCs/>
          <w:color w:val="auto"/>
          <w:sz w:val="28"/>
          <w:szCs w:val="28"/>
          <w:highlight w:val="none"/>
        </w:rPr>
        <w:br w:type="page"/>
      </w:r>
    </w:p>
    <w:p>
      <w:pPr>
        <w:spacing w:beforeLines="50" w:after="24"/>
        <w:jc w:val="center"/>
        <w:rPr>
          <w:rFonts w:hint="default" w:ascii="宋体" w:hAnsi="宋体" w:cs="宋体"/>
          <w:b/>
          <w:bCs/>
          <w:color w:val="auto"/>
          <w:sz w:val="30"/>
          <w:szCs w:val="30"/>
          <w:highlight w:val="none"/>
        </w:rPr>
      </w:pPr>
      <w:r>
        <w:rPr>
          <w:rFonts w:ascii="宋体" w:hAnsi="宋体" w:cs="宋体"/>
          <w:b/>
          <w:bCs/>
          <w:color w:val="auto"/>
          <w:sz w:val="30"/>
          <w:szCs w:val="30"/>
          <w:highlight w:val="none"/>
        </w:rPr>
        <w:t>法定代表人授权书</w:t>
      </w:r>
    </w:p>
    <w:p>
      <w:pPr>
        <w:spacing w:before="24" w:after="24" w:line="560" w:lineRule="exact"/>
        <w:jc w:val="left"/>
        <w:rPr>
          <w:rFonts w:hint="default" w:ascii="宋体" w:hAnsi="宋体" w:cs="宋体"/>
          <w:color w:val="auto"/>
          <w:spacing w:val="4"/>
          <w:szCs w:val="24"/>
          <w:highlight w:val="none"/>
        </w:rPr>
      </w:pPr>
      <w:r>
        <w:rPr>
          <w:rFonts w:ascii="宋体" w:hAnsi="宋体" w:cs="宋体"/>
          <w:b/>
          <w:color w:val="auto"/>
          <w:spacing w:val="4"/>
          <w:szCs w:val="24"/>
          <w:highlight w:val="none"/>
        </w:rPr>
        <w:t>致：</w:t>
      </w:r>
      <w:r>
        <w:rPr>
          <w:rFonts w:ascii="宋体" w:hAnsi="宋体" w:cs="宋体"/>
          <w:b/>
          <w:color w:val="auto"/>
          <w:spacing w:val="4"/>
          <w:szCs w:val="24"/>
          <w:highlight w:val="none"/>
          <w:u w:val="single"/>
        </w:rPr>
        <w:t>岐山县档案馆</w:t>
      </w:r>
    </w:p>
    <w:p>
      <w:pPr>
        <w:spacing w:before="24" w:after="24" w:line="560" w:lineRule="exact"/>
        <w:ind w:firstLine="496" w:firstLineChars="200"/>
        <w:jc w:val="left"/>
        <w:rPr>
          <w:rFonts w:hint="default" w:ascii="宋体" w:hAnsi="宋体" w:cs="宋体"/>
          <w:color w:val="auto"/>
          <w:spacing w:val="4"/>
          <w:szCs w:val="24"/>
          <w:highlight w:val="none"/>
        </w:rPr>
      </w:pPr>
      <w:r>
        <w:rPr>
          <w:rFonts w:ascii="宋体" w:hAnsi="宋体" w:cs="宋体"/>
          <w:color w:val="auto"/>
          <w:spacing w:val="4"/>
          <w:szCs w:val="24"/>
          <w:highlight w:val="none"/>
          <w:u w:val="single"/>
        </w:rPr>
        <w:t>(供应商名称)</w:t>
      </w:r>
      <w:r>
        <w:rPr>
          <w:rFonts w:ascii="宋体" w:hAnsi="宋体" w:cs="宋体"/>
          <w:color w:val="auto"/>
          <w:spacing w:val="4"/>
          <w:szCs w:val="24"/>
          <w:highlight w:val="none"/>
        </w:rPr>
        <w:t>按中华人民共和国法律于（</w:t>
      </w:r>
      <w:r>
        <w:rPr>
          <w:rFonts w:ascii="宋体" w:hAnsi="宋体" w:cs="宋体"/>
          <w:color w:val="auto"/>
          <w:spacing w:val="4"/>
          <w:szCs w:val="24"/>
          <w:highlight w:val="none"/>
          <w:u w:val="single"/>
        </w:rPr>
        <w:t xml:space="preserve">   </w:t>
      </w:r>
      <w:r>
        <w:rPr>
          <w:rFonts w:ascii="宋体" w:hAnsi="宋体" w:cs="宋体"/>
          <w:color w:val="auto"/>
          <w:spacing w:val="4"/>
          <w:szCs w:val="24"/>
          <w:highlight w:val="none"/>
        </w:rPr>
        <w:t>年</w:t>
      </w:r>
      <w:r>
        <w:rPr>
          <w:rFonts w:ascii="宋体" w:hAnsi="宋体" w:cs="宋体"/>
          <w:color w:val="auto"/>
          <w:spacing w:val="4"/>
          <w:szCs w:val="24"/>
          <w:highlight w:val="none"/>
          <w:u w:val="single"/>
        </w:rPr>
        <w:t xml:space="preserve">  </w:t>
      </w:r>
      <w:r>
        <w:rPr>
          <w:rFonts w:ascii="宋体" w:hAnsi="宋体" w:cs="宋体"/>
          <w:color w:val="auto"/>
          <w:spacing w:val="4"/>
          <w:szCs w:val="24"/>
          <w:highlight w:val="none"/>
        </w:rPr>
        <w:t>月</w:t>
      </w:r>
      <w:r>
        <w:rPr>
          <w:rFonts w:ascii="宋体" w:hAnsi="宋体" w:cs="宋体"/>
          <w:color w:val="auto"/>
          <w:spacing w:val="4"/>
          <w:szCs w:val="24"/>
          <w:highlight w:val="none"/>
          <w:u w:val="single"/>
        </w:rPr>
        <w:t xml:space="preserve">  </w:t>
      </w:r>
      <w:r>
        <w:rPr>
          <w:rFonts w:ascii="宋体" w:hAnsi="宋体" w:cs="宋体"/>
          <w:color w:val="auto"/>
          <w:spacing w:val="4"/>
          <w:szCs w:val="24"/>
          <w:highlight w:val="none"/>
        </w:rPr>
        <w:t>日）成立。</w:t>
      </w:r>
      <w:r>
        <w:rPr>
          <w:rFonts w:ascii="宋体" w:hAnsi="宋体" w:cs="宋体"/>
          <w:color w:val="auto"/>
          <w:szCs w:val="24"/>
          <w:highlight w:val="none"/>
        </w:rPr>
        <w:t>法定代表人</w:t>
      </w:r>
      <w:r>
        <w:rPr>
          <w:rFonts w:ascii="宋体" w:hAnsi="宋体" w:cs="宋体"/>
          <w:color w:val="auto"/>
          <w:szCs w:val="24"/>
          <w:highlight w:val="none"/>
          <w:u w:val="single"/>
        </w:rPr>
        <w:t xml:space="preserve">  （</w:t>
      </w:r>
      <w:r>
        <w:rPr>
          <w:rFonts w:ascii="宋体" w:hAnsi="宋体" w:cs="宋体"/>
          <w:color w:val="auto"/>
          <w:spacing w:val="4"/>
          <w:szCs w:val="24"/>
          <w:highlight w:val="none"/>
          <w:u w:val="single"/>
        </w:rPr>
        <w:t>姓名</w:t>
      </w:r>
      <w:r>
        <w:rPr>
          <w:rFonts w:ascii="宋体" w:hAnsi="宋体" w:cs="宋体"/>
          <w:color w:val="auto"/>
          <w:szCs w:val="24"/>
          <w:highlight w:val="none"/>
          <w:u w:val="single"/>
        </w:rPr>
        <w:t xml:space="preserve">）   </w:t>
      </w:r>
      <w:r>
        <w:rPr>
          <w:rFonts w:ascii="宋体" w:hAnsi="宋体" w:cs="宋体"/>
          <w:color w:val="auto"/>
          <w:spacing w:val="4"/>
          <w:szCs w:val="24"/>
          <w:highlight w:val="none"/>
        </w:rPr>
        <w:t>特授权</w:t>
      </w:r>
      <w:r>
        <w:rPr>
          <w:rFonts w:ascii="宋体" w:hAnsi="宋体" w:cs="宋体"/>
          <w:color w:val="auto"/>
          <w:spacing w:val="4"/>
          <w:szCs w:val="24"/>
          <w:highlight w:val="none"/>
          <w:u w:val="single"/>
        </w:rPr>
        <w:t xml:space="preserve">  （</w:t>
      </w:r>
      <w:r>
        <w:rPr>
          <w:rFonts w:ascii="宋体" w:hAnsi="宋体" w:cs="宋体"/>
          <w:color w:val="auto"/>
          <w:szCs w:val="24"/>
          <w:highlight w:val="none"/>
          <w:u w:val="single"/>
        </w:rPr>
        <w:t>被授权人</w:t>
      </w:r>
      <w:r>
        <w:rPr>
          <w:rFonts w:ascii="宋体" w:hAnsi="宋体" w:cs="宋体"/>
          <w:color w:val="auto"/>
          <w:spacing w:val="4"/>
          <w:szCs w:val="24"/>
          <w:highlight w:val="none"/>
          <w:u w:val="single"/>
        </w:rPr>
        <w:t xml:space="preserve">姓名） </w:t>
      </w:r>
      <w:r>
        <w:rPr>
          <w:rFonts w:ascii="宋体" w:hAnsi="宋体" w:cs="宋体"/>
          <w:color w:val="auto"/>
          <w:spacing w:val="4"/>
          <w:szCs w:val="24"/>
          <w:highlight w:val="none"/>
        </w:rPr>
        <w:t>代表我公司全权办理</w:t>
      </w:r>
      <w:r>
        <w:rPr>
          <w:rFonts w:ascii="宋体" w:hAnsi="宋体" w:cs="宋体"/>
          <w:color w:val="auto"/>
          <w:szCs w:val="24"/>
          <w:highlight w:val="none"/>
          <w:u w:val="single"/>
        </w:rPr>
        <w:t>数字档案馆创建项目（项目编号：SXZD（2023）114CG）</w:t>
      </w:r>
      <w:r>
        <w:rPr>
          <w:rFonts w:ascii="宋体" w:hAnsi="宋体" w:cs="宋体"/>
          <w:color w:val="auto"/>
          <w:spacing w:val="4"/>
          <w:szCs w:val="24"/>
          <w:highlight w:val="none"/>
        </w:rPr>
        <w:t>磋商、谈判、签约等具体工作，并签署全部有关的文件、协议及合同。</w:t>
      </w:r>
    </w:p>
    <w:p>
      <w:pPr>
        <w:spacing w:before="24" w:after="24" w:line="560" w:lineRule="exact"/>
        <w:ind w:firstLine="496" w:firstLineChars="200"/>
        <w:jc w:val="left"/>
        <w:rPr>
          <w:rFonts w:hint="default" w:ascii="宋体" w:hAnsi="宋体" w:cs="宋体"/>
          <w:color w:val="auto"/>
          <w:spacing w:val="4"/>
          <w:szCs w:val="24"/>
          <w:highlight w:val="none"/>
        </w:rPr>
      </w:pPr>
      <w:r>
        <w:rPr>
          <w:rFonts w:ascii="宋体" w:hAnsi="宋体" w:cs="宋体"/>
          <w:color w:val="auto"/>
          <w:spacing w:val="4"/>
          <w:szCs w:val="24"/>
          <w:highlight w:val="none"/>
        </w:rPr>
        <w:t>我公司对</w:t>
      </w:r>
      <w:r>
        <w:rPr>
          <w:rFonts w:ascii="宋体" w:hAnsi="宋体" w:cs="宋体"/>
          <w:color w:val="auto"/>
          <w:szCs w:val="24"/>
          <w:highlight w:val="none"/>
        </w:rPr>
        <w:t>被授权人</w:t>
      </w:r>
      <w:r>
        <w:rPr>
          <w:rFonts w:ascii="宋体" w:hAnsi="宋体" w:cs="宋体"/>
          <w:color w:val="auto"/>
          <w:spacing w:val="4"/>
          <w:szCs w:val="24"/>
          <w:highlight w:val="none"/>
        </w:rPr>
        <w:t>的签名负全部责任。</w:t>
      </w:r>
    </w:p>
    <w:p>
      <w:pPr>
        <w:spacing w:before="24" w:after="24" w:line="560" w:lineRule="exact"/>
        <w:ind w:right="233" w:rightChars="97" w:firstLine="480" w:firstLineChars="200"/>
        <w:jc w:val="left"/>
        <w:rPr>
          <w:rFonts w:hint="default" w:ascii="宋体" w:hAnsi="宋体" w:cs="宋体"/>
          <w:color w:val="auto"/>
          <w:highlight w:val="none"/>
        </w:rPr>
      </w:pPr>
      <w:r>
        <w:rPr>
          <w:rFonts w:ascii="宋体" w:hAnsi="宋体" w:cs="宋体"/>
          <w:color w:val="auto"/>
          <w:szCs w:val="24"/>
          <w:highlight w:val="none"/>
        </w:rPr>
        <w:t>本授权有效期与磋商有效期一致</w:t>
      </w:r>
      <w:r>
        <w:rPr>
          <w:rFonts w:ascii="宋体" w:hAnsi="宋体" w:cs="宋体"/>
          <w:color w:val="auto"/>
          <w:highlight w:val="none"/>
        </w:rPr>
        <w:t>。</w:t>
      </w:r>
    </w:p>
    <w:tbl>
      <w:tblPr>
        <w:tblStyle w:val="4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tcPr>
          <w:p>
            <w:pPr>
              <w:spacing w:before="24" w:after="24" w:line="520" w:lineRule="exact"/>
              <w:jc w:val="left"/>
              <w:rPr>
                <w:rFonts w:hint="default" w:ascii="宋体" w:hAnsi="宋体" w:cs="宋体"/>
                <w:color w:val="auto"/>
                <w:spacing w:val="4"/>
                <w:szCs w:val="24"/>
                <w:highlight w:val="none"/>
              </w:rPr>
            </w:pPr>
            <w:r>
              <w:rPr>
                <w:rFonts w:ascii="宋体" w:hAnsi="宋体" w:cs="宋体"/>
                <w:color w:val="auto"/>
                <w:spacing w:val="4"/>
                <w:szCs w:val="24"/>
                <w:highlight w:val="none"/>
              </w:rPr>
              <w:t>被授权人签字或盖章：</w:t>
            </w:r>
          </w:p>
        </w:tc>
        <w:tc>
          <w:tcPr>
            <w:tcW w:w="3990" w:type="dxa"/>
            <w:noWrap/>
          </w:tcPr>
          <w:p>
            <w:pPr>
              <w:spacing w:before="24" w:after="24" w:line="520" w:lineRule="exact"/>
              <w:jc w:val="left"/>
              <w:rPr>
                <w:rFonts w:hint="default" w:ascii="宋体" w:hAnsi="宋体" w:cs="宋体"/>
                <w:color w:val="auto"/>
                <w:spacing w:val="4"/>
                <w:szCs w:val="24"/>
                <w:highlight w:val="none"/>
              </w:rPr>
            </w:pPr>
            <w:r>
              <w:rPr>
                <w:rFonts w:ascii="宋体" w:hAnsi="宋体" w:cs="宋体"/>
                <w:color w:val="auto"/>
                <w:szCs w:val="24"/>
                <w:highlight w:val="none"/>
              </w:rPr>
              <w:t>法定代表人</w:t>
            </w:r>
            <w:r>
              <w:rPr>
                <w:rFonts w:ascii="宋体" w:hAnsi="宋体" w:cs="宋体"/>
                <w:color w:val="auto"/>
                <w:spacing w:val="4"/>
                <w:szCs w:val="24"/>
                <w:highlight w:val="none"/>
              </w:rPr>
              <w:t>签字或盖章：</w:t>
            </w:r>
          </w:p>
        </w:tc>
      </w:tr>
      <w:tr>
        <w:tblPrEx>
          <w:tblCellMar>
            <w:top w:w="0" w:type="dxa"/>
            <w:left w:w="108" w:type="dxa"/>
            <w:bottom w:w="0" w:type="dxa"/>
            <w:right w:w="108" w:type="dxa"/>
          </w:tblCellMar>
        </w:tblPrEx>
        <w:trPr>
          <w:trHeight w:val="600" w:hRule="atLeast"/>
        </w:trPr>
        <w:tc>
          <w:tcPr>
            <w:tcW w:w="4200" w:type="dxa"/>
            <w:noWrap/>
          </w:tcPr>
          <w:p>
            <w:pPr>
              <w:spacing w:before="24" w:after="24" w:line="520" w:lineRule="exact"/>
              <w:jc w:val="left"/>
              <w:rPr>
                <w:rFonts w:hint="default" w:ascii="宋体" w:hAnsi="宋体" w:cs="宋体"/>
                <w:color w:val="auto"/>
                <w:spacing w:val="4"/>
                <w:szCs w:val="24"/>
                <w:highlight w:val="none"/>
              </w:rPr>
            </w:pPr>
            <w:r>
              <w:rPr>
                <w:rFonts w:ascii="宋体" w:hAnsi="宋体" w:cs="宋体"/>
                <w:color w:val="auto"/>
                <w:spacing w:val="4"/>
                <w:szCs w:val="24"/>
                <w:highlight w:val="none"/>
              </w:rPr>
              <w:t>职务：</w:t>
            </w:r>
          </w:p>
        </w:tc>
        <w:tc>
          <w:tcPr>
            <w:tcW w:w="3990" w:type="dxa"/>
            <w:noWrap/>
          </w:tcPr>
          <w:p>
            <w:pPr>
              <w:spacing w:before="24" w:after="24" w:line="520" w:lineRule="exact"/>
              <w:jc w:val="left"/>
              <w:rPr>
                <w:rFonts w:hint="default" w:ascii="宋体" w:hAnsi="宋体" w:cs="宋体"/>
                <w:color w:val="auto"/>
                <w:spacing w:val="4"/>
                <w:szCs w:val="24"/>
                <w:highlight w:val="none"/>
              </w:rPr>
            </w:pPr>
            <w:r>
              <w:rPr>
                <w:rFonts w:ascii="宋体" w:hAnsi="宋体" w:cs="宋体"/>
                <w:color w:val="auto"/>
                <w:spacing w:val="4"/>
                <w:szCs w:val="24"/>
                <w:highlight w:val="none"/>
              </w:rPr>
              <w:t>职务：</w:t>
            </w:r>
          </w:p>
        </w:tc>
      </w:tr>
    </w:tbl>
    <w:p>
      <w:pPr>
        <w:spacing w:before="24" w:after="24"/>
        <w:ind w:firstLine="480" w:firstLineChars="200"/>
        <w:rPr>
          <w:rFonts w:hint="default" w:ascii="宋体" w:hAnsi="宋体" w:cs="宋体"/>
          <w:color w:val="auto"/>
          <w:highlight w:val="none"/>
          <w:u w:val="single"/>
        </w:rPr>
      </w:pPr>
      <w:r>
        <w:rPr>
          <w:rFonts w:ascii="宋体" w:hAnsi="宋体" w:cs="宋体"/>
          <w:color w:val="auto"/>
          <w:highlight w:val="none"/>
          <w:lang w:val="zh-CN"/>
        </w:rPr>
        <w:t>附法定代表人身份证复印件及被授权人身份证复印件</w:t>
      </w:r>
      <w:r>
        <w:rPr>
          <w:rFonts w:ascii="宋体" w:hAnsi="宋体" w:cs="宋体"/>
          <w:color w:val="auto"/>
          <w:szCs w:val="21"/>
          <w:highlight w:val="none"/>
          <w:lang w:val="zh-CN"/>
        </w:rPr>
        <w:t>（正反面）</w:t>
      </w:r>
    </w:p>
    <w:tbl>
      <w:tblPr>
        <w:tblStyle w:val="46"/>
        <w:tblpPr w:leftFromText="180" w:rightFromText="180" w:vertAnchor="text" w:horzAnchor="page" w:tblpX="1393" w:tblpY="362"/>
        <w:tblOverlap w:val="never"/>
        <w:tblW w:w="9199" w:type="dxa"/>
        <w:tblInd w:w="0" w:type="dxa"/>
        <w:tblLayout w:type="fixed"/>
        <w:tblCellMar>
          <w:top w:w="0" w:type="dxa"/>
          <w:left w:w="108" w:type="dxa"/>
          <w:bottom w:w="0" w:type="dxa"/>
          <w:right w:w="108" w:type="dxa"/>
        </w:tblCellMar>
      </w:tblPr>
      <w:tblGrid>
        <w:gridCol w:w="4727"/>
        <w:gridCol w:w="4472"/>
      </w:tblGrid>
      <w:tr>
        <w:tblPrEx>
          <w:tblCellMar>
            <w:top w:w="0" w:type="dxa"/>
            <w:left w:w="108" w:type="dxa"/>
            <w:bottom w:w="0" w:type="dxa"/>
            <w:right w:w="108" w:type="dxa"/>
          </w:tblCellMar>
        </w:tblPrEx>
        <w:trPr>
          <w:trHeight w:val="3232" w:hRule="atLeast"/>
        </w:trPr>
        <w:tc>
          <w:tcPr>
            <w:tcW w:w="472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24" w:after="24" w:line="336"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法定代表人身份证复印件</w:t>
            </w:r>
          </w:p>
          <w:p>
            <w:pPr>
              <w:autoSpaceDE w:val="0"/>
              <w:autoSpaceDN w:val="0"/>
              <w:adjustRightInd w:val="0"/>
              <w:spacing w:before="24" w:after="24" w:line="336"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（正反面）</w:t>
            </w:r>
          </w:p>
        </w:tc>
        <w:tc>
          <w:tcPr>
            <w:tcW w:w="4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24" w:after="24" w:line="336" w:lineRule="auto"/>
              <w:jc w:val="center"/>
              <w:rPr>
                <w:rFonts w:hint="default" w:ascii="宋体" w:hAnsi="宋体" w:cs="宋体"/>
                <w:color w:val="auto"/>
                <w:szCs w:val="24"/>
                <w:highlight w:val="none"/>
                <w:lang w:val="zh-CN"/>
              </w:rPr>
            </w:pPr>
            <w:r>
              <w:rPr>
                <w:rFonts w:ascii="宋体" w:hAnsi="宋体" w:cs="宋体"/>
                <w:color w:val="auto"/>
                <w:szCs w:val="24"/>
                <w:highlight w:val="none"/>
              </w:rPr>
              <w:t>被授权人</w:t>
            </w:r>
            <w:r>
              <w:rPr>
                <w:rFonts w:ascii="宋体" w:hAnsi="宋体" w:cs="宋体"/>
                <w:color w:val="auto"/>
                <w:szCs w:val="24"/>
                <w:highlight w:val="none"/>
                <w:lang w:val="zh-CN"/>
              </w:rPr>
              <w:t>身份证复印件</w:t>
            </w:r>
          </w:p>
          <w:p>
            <w:pPr>
              <w:autoSpaceDE w:val="0"/>
              <w:autoSpaceDN w:val="0"/>
              <w:adjustRightInd w:val="0"/>
              <w:spacing w:before="24" w:after="24" w:line="336" w:lineRule="auto"/>
              <w:jc w:val="center"/>
              <w:rPr>
                <w:rFonts w:hint="default" w:ascii="宋体" w:hAnsi="宋体" w:cs="宋体"/>
                <w:color w:val="auto"/>
                <w:szCs w:val="24"/>
                <w:highlight w:val="none"/>
                <w:lang w:val="zh-CN"/>
              </w:rPr>
            </w:pPr>
            <w:r>
              <w:rPr>
                <w:rFonts w:ascii="宋体" w:hAnsi="宋体" w:cs="宋体"/>
                <w:color w:val="auto"/>
                <w:szCs w:val="24"/>
                <w:highlight w:val="none"/>
                <w:lang w:val="zh-CN"/>
              </w:rPr>
              <w:t>（正反面）</w:t>
            </w:r>
          </w:p>
        </w:tc>
      </w:tr>
    </w:tbl>
    <w:p>
      <w:pPr>
        <w:spacing w:before="24" w:after="24" w:line="480" w:lineRule="auto"/>
        <w:ind w:left="485" w:leftChars="202" w:right="617" w:rightChars="257"/>
        <w:jc w:val="left"/>
        <w:rPr>
          <w:rFonts w:hint="default" w:ascii="宋体" w:hAnsi="宋体" w:cs="宋体"/>
          <w:color w:val="auto"/>
          <w:highlight w:val="none"/>
        </w:rPr>
      </w:pPr>
    </w:p>
    <w:p>
      <w:pPr>
        <w:adjustRightInd w:val="0"/>
        <w:spacing w:before="24" w:after="24" w:line="336" w:lineRule="auto"/>
        <w:ind w:firstLine="4080" w:firstLineChars="1700"/>
        <w:jc w:val="left"/>
        <w:rPr>
          <w:rFonts w:hint="default" w:ascii="宋体" w:hAnsi="宋体" w:cs="宋体"/>
          <w:color w:val="auto"/>
          <w:szCs w:val="24"/>
          <w:highlight w:val="none"/>
        </w:rPr>
      </w:pPr>
      <w:r>
        <w:rPr>
          <w:rFonts w:ascii="宋体" w:hAnsi="宋体" w:cs="宋体"/>
          <w:color w:val="auto"/>
          <w:szCs w:val="24"/>
          <w:highlight w:val="none"/>
        </w:rPr>
        <w:t>供应商名称：</w:t>
      </w:r>
      <w:r>
        <w:rPr>
          <w:rFonts w:ascii="宋体" w:hAnsi="宋体" w:cs="宋体"/>
          <w:color w:val="auto"/>
          <w:szCs w:val="24"/>
          <w:highlight w:val="none"/>
          <w:u w:val="single"/>
        </w:rPr>
        <w:t xml:space="preserve">               </w:t>
      </w:r>
      <w:r>
        <w:rPr>
          <w:rFonts w:ascii="宋体" w:hAnsi="宋体" w:cs="宋体"/>
          <w:color w:val="auto"/>
          <w:szCs w:val="24"/>
          <w:highlight w:val="none"/>
        </w:rPr>
        <w:t>（盖章）</w:t>
      </w:r>
    </w:p>
    <w:p>
      <w:pPr>
        <w:adjustRightInd w:val="0"/>
        <w:spacing w:before="24" w:after="24" w:line="336" w:lineRule="auto"/>
        <w:ind w:firstLine="4080" w:firstLineChars="1700"/>
        <w:jc w:val="left"/>
        <w:rPr>
          <w:rFonts w:hint="default" w:ascii="宋体" w:hAnsi="宋体" w:cs="宋体"/>
          <w:color w:val="auto"/>
          <w:szCs w:val="24"/>
          <w:highlight w:val="none"/>
        </w:rPr>
      </w:pPr>
      <w:r>
        <w:rPr>
          <w:rFonts w:ascii="宋体" w:hAnsi="宋体" w:cs="宋体"/>
          <w:color w:val="auto"/>
          <w:szCs w:val="24"/>
          <w:highlight w:val="none"/>
        </w:rPr>
        <w:t>法定代表人：</w:t>
      </w:r>
      <w:r>
        <w:rPr>
          <w:rFonts w:ascii="宋体" w:hAnsi="宋体" w:cs="宋体"/>
          <w:color w:val="auto"/>
          <w:szCs w:val="24"/>
          <w:highlight w:val="none"/>
          <w:u w:val="single"/>
        </w:rPr>
        <w:t xml:space="preserve">               </w:t>
      </w:r>
      <w:r>
        <w:rPr>
          <w:rFonts w:ascii="宋体" w:hAnsi="宋体" w:cs="宋体"/>
          <w:color w:val="auto"/>
          <w:szCs w:val="24"/>
          <w:highlight w:val="none"/>
        </w:rPr>
        <w:t>（签字或盖章）</w:t>
      </w:r>
    </w:p>
    <w:p>
      <w:pPr>
        <w:adjustRightInd w:val="0"/>
        <w:spacing w:before="24" w:after="24" w:line="336" w:lineRule="auto"/>
        <w:ind w:firstLine="4080" w:firstLineChars="1700"/>
        <w:jc w:val="left"/>
        <w:rPr>
          <w:rFonts w:hint="default" w:ascii="宋体" w:hAnsi="宋体" w:cs="宋体"/>
          <w:color w:val="auto"/>
          <w:szCs w:val="24"/>
          <w:highlight w:val="none"/>
        </w:rPr>
      </w:pPr>
      <w:r>
        <w:rPr>
          <w:rFonts w:ascii="宋体" w:hAnsi="宋体" w:cs="宋体"/>
          <w:color w:val="auto"/>
          <w:szCs w:val="24"/>
          <w:highlight w:val="none"/>
        </w:rPr>
        <w:t>被授权人：</w:t>
      </w:r>
      <w:r>
        <w:rPr>
          <w:rFonts w:ascii="宋体" w:hAnsi="宋体" w:cs="宋体"/>
          <w:color w:val="auto"/>
          <w:szCs w:val="24"/>
          <w:highlight w:val="none"/>
          <w:u w:val="single"/>
        </w:rPr>
        <w:t xml:space="preserve">                 </w:t>
      </w:r>
      <w:r>
        <w:rPr>
          <w:rFonts w:ascii="宋体" w:hAnsi="宋体" w:cs="宋体"/>
          <w:color w:val="auto"/>
          <w:szCs w:val="24"/>
          <w:highlight w:val="none"/>
        </w:rPr>
        <w:t>（签字）</w:t>
      </w:r>
    </w:p>
    <w:p>
      <w:pPr>
        <w:autoSpaceDE w:val="0"/>
        <w:autoSpaceDN w:val="0"/>
        <w:adjustRightInd w:val="0"/>
        <w:snapToGrid w:val="0"/>
        <w:spacing w:before="24" w:after="24" w:line="336" w:lineRule="auto"/>
        <w:ind w:firstLine="4560" w:firstLineChars="1900"/>
        <w:jc w:val="left"/>
        <w:rPr>
          <w:rFonts w:hint="default" w:ascii="宋体" w:hAnsi="宋体" w:cs="宋体"/>
          <w:color w:val="auto"/>
          <w:szCs w:val="24"/>
          <w:highlight w:val="none"/>
          <w:lang w:val="zh-CN"/>
        </w:rPr>
      </w:pPr>
      <w:r>
        <w:rPr>
          <w:rFonts w:ascii="宋体" w:hAnsi="宋体" w:cs="宋体"/>
          <w:color w:val="auto"/>
          <w:szCs w:val="24"/>
          <w:highlight w:val="none"/>
          <w:u w:val="single"/>
        </w:rPr>
        <w:t xml:space="preserve">       </w:t>
      </w:r>
      <w:r>
        <w:rPr>
          <w:rFonts w:ascii="宋体" w:hAnsi="宋体" w:cs="宋体"/>
          <w:color w:val="auto"/>
          <w:szCs w:val="24"/>
          <w:highlight w:val="none"/>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rPr>
        <w:t xml:space="preserve">      </w:t>
      </w:r>
      <w:r>
        <w:rPr>
          <w:rFonts w:ascii="宋体" w:hAnsi="宋体" w:cs="宋体"/>
          <w:color w:val="auto"/>
          <w:szCs w:val="24"/>
          <w:highlight w:val="none"/>
          <w:lang w:val="zh-CN"/>
        </w:rPr>
        <w:t>日</w:t>
      </w:r>
    </w:p>
    <w:p>
      <w:pPr>
        <w:spacing w:before="24" w:after="24" w:line="500" w:lineRule="exact"/>
        <w:ind w:firstLine="482" w:firstLineChars="200"/>
        <w:rPr>
          <w:rFonts w:hint="default" w:ascii="宋体" w:hAnsi="宋体" w:cs="宋体"/>
          <w:color w:val="auto"/>
          <w:sz w:val="32"/>
          <w:szCs w:val="32"/>
          <w:highlight w:val="none"/>
        </w:rPr>
      </w:pPr>
      <w:r>
        <w:rPr>
          <w:rFonts w:ascii="宋体" w:hAnsi="宋体" w:cs="宋体"/>
          <w:b/>
          <w:bCs/>
          <w:color w:val="auto"/>
          <w:szCs w:val="24"/>
          <w:highlight w:val="none"/>
          <w:lang w:val="zh-CN"/>
        </w:rPr>
        <w:t>说明：</w:t>
      </w:r>
      <w:r>
        <w:rPr>
          <w:rFonts w:ascii="宋体" w:hAnsi="宋体" w:cs="宋体"/>
          <w:b/>
          <w:bCs/>
          <w:color w:val="auto"/>
          <w:szCs w:val="24"/>
          <w:highlight w:val="none"/>
        </w:rPr>
        <w:t>法定代表人直接投标时无需提供。</w:t>
      </w:r>
    </w:p>
    <w:p>
      <w:pPr>
        <w:spacing w:before="24" w:after="24"/>
        <w:rPr>
          <w:rFonts w:hint="default" w:ascii="宋体" w:hAnsi="宋体" w:cs="宋体"/>
          <w:color w:val="auto"/>
          <w:sz w:val="32"/>
          <w:highlight w:val="none"/>
        </w:rPr>
      </w:pPr>
      <w:r>
        <w:rPr>
          <w:rFonts w:ascii="宋体" w:hAnsi="宋体" w:cs="宋体"/>
          <w:color w:val="auto"/>
          <w:sz w:val="32"/>
          <w:highlight w:val="none"/>
        </w:rPr>
        <w:br w:type="page"/>
      </w:r>
    </w:p>
    <w:p>
      <w:pPr>
        <w:autoSpaceDE w:val="0"/>
        <w:autoSpaceDN w:val="0"/>
        <w:adjustRightInd w:val="0"/>
        <w:snapToGrid w:val="0"/>
        <w:spacing w:before="24" w:after="24" w:line="336" w:lineRule="auto"/>
        <w:jc w:val="left"/>
        <w:outlineLvl w:val="0"/>
        <w:rPr>
          <w:rFonts w:hint="default" w:ascii="宋体" w:hAnsi="宋体" w:cs="宋体"/>
          <w:b/>
          <w:bCs/>
          <w:color w:val="auto"/>
          <w:sz w:val="28"/>
          <w:szCs w:val="28"/>
          <w:highlight w:val="none"/>
          <w:lang w:val="zh-CN"/>
        </w:rPr>
      </w:pPr>
      <w:bookmarkStart w:id="227" w:name="_Toc16915"/>
      <w:bookmarkStart w:id="228" w:name="_Toc31441"/>
      <w:bookmarkStart w:id="229" w:name="_Toc20719"/>
      <w:bookmarkStart w:id="230" w:name="_Toc9431"/>
      <w:r>
        <w:rPr>
          <w:rFonts w:ascii="宋体" w:hAnsi="宋体" w:cs="宋体"/>
          <w:b/>
          <w:bCs/>
          <w:color w:val="auto"/>
          <w:sz w:val="28"/>
          <w:szCs w:val="28"/>
          <w:highlight w:val="none"/>
          <w:lang w:val="zh-CN"/>
        </w:rPr>
        <w:t>附件</w:t>
      </w:r>
      <w:r>
        <w:rPr>
          <w:rFonts w:ascii="宋体" w:hAnsi="宋体" w:cs="宋体"/>
          <w:b/>
          <w:bCs/>
          <w:color w:val="auto"/>
          <w:sz w:val="28"/>
          <w:szCs w:val="28"/>
          <w:highlight w:val="none"/>
        </w:rPr>
        <w:t>4</w:t>
      </w:r>
      <w:r>
        <w:rPr>
          <w:rFonts w:ascii="宋体" w:hAnsi="宋体" w:cs="宋体"/>
          <w:b/>
          <w:bCs/>
          <w:color w:val="auto"/>
          <w:sz w:val="28"/>
          <w:szCs w:val="28"/>
          <w:highlight w:val="none"/>
          <w:lang w:val="zh-CN"/>
        </w:rPr>
        <w:t>：</w:t>
      </w:r>
      <w:r>
        <w:rPr>
          <w:rFonts w:ascii="宋体" w:hAnsi="宋体" w:cs="宋体"/>
          <w:b/>
          <w:bCs/>
          <w:color w:val="auto"/>
          <w:sz w:val="28"/>
          <w:szCs w:val="28"/>
          <w:highlight w:val="none"/>
        </w:rPr>
        <w:t>供应商</w:t>
      </w:r>
      <w:r>
        <w:rPr>
          <w:rFonts w:ascii="宋体" w:hAnsi="宋体" w:cs="宋体"/>
          <w:b/>
          <w:bCs/>
          <w:color w:val="auto"/>
          <w:sz w:val="28"/>
          <w:szCs w:val="28"/>
          <w:highlight w:val="none"/>
          <w:lang w:val="zh-CN"/>
        </w:rPr>
        <w:t>企业关系关联承诺书</w:t>
      </w:r>
      <w:bookmarkEnd w:id="227"/>
      <w:bookmarkEnd w:id="228"/>
      <w:bookmarkEnd w:id="229"/>
      <w:bookmarkEnd w:id="230"/>
    </w:p>
    <w:p>
      <w:pPr>
        <w:spacing w:before="24" w:after="24"/>
        <w:rPr>
          <w:rFonts w:hint="default" w:ascii="宋体" w:hAnsi="宋体" w:cs="宋体"/>
          <w:color w:val="auto"/>
          <w:highlight w:val="none"/>
        </w:rPr>
      </w:pPr>
    </w:p>
    <w:p>
      <w:pPr>
        <w:spacing w:beforeLines="50" w:after="24"/>
        <w:jc w:val="center"/>
        <w:rPr>
          <w:rFonts w:hint="default" w:ascii="宋体" w:hAnsi="宋体" w:cs="宋体"/>
          <w:b/>
          <w:bCs/>
          <w:color w:val="auto"/>
          <w:sz w:val="30"/>
          <w:szCs w:val="30"/>
          <w:highlight w:val="none"/>
          <w:lang w:val="zh-CN"/>
        </w:rPr>
      </w:pPr>
      <w:r>
        <w:rPr>
          <w:rFonts w:ascii="宋体" w:hAnsi="宋体" w:cs="宋体"/>
          <w:b/>
          <w:bCs/>
          <w:color w:val="auto"/>
          <w:sz w:val="30"/>
          <w:szCs w:val="30"/>
          <w:highlight w:val="none"/>
        </w:rPr>
        <w:t>供应商</w:t>
      </w:r>
      <w:r>
        <w:rPr>
          <w:rFonts w:ascii="宋体" w:hAnsi="宋体" w:cs="宋体"/>
          <w:b/>
          <w:bCs/>
          <w:color w:val="auto"/>
          <w:sz w:val="30"/>
          <w:szCs w:val="30"/>
          <w:highlight w:val="none"/>
          <w:lang w:val="zh-CN"/>
        </w:rPr>
        <w:t>企业关系关联承诺书</w:t>
      </w:r>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1、供应商股东及股权证明。</w:t>
      </w:r>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2、供应商在本项目投标中，不存在与其它供应商负责人为同一人，有控股、管理等关联关系承诺。</w:t>
      </w:r>
    </w:p>
    <w:p>
      <w:pPr>
        <w:widowControl/>
        <w:spacing w:before="24" w:after="24"/>
        <w:ind w:firstLine="480" w:firstLineChars="200"/>
        <w:rPr>
          <w:rFonts w:hint="default" w:ascii="宋体" w:hAnsi="宋体" w:cs="宋体"/>
          <w:color w:val="auto"/>
          <w:kern w:val="0"/>
          <w:highlight w:val="none"/>
        </w:rPr>
      </w:pPr>
      <w:bookmarkStart w:id="231" w:name="_Toc16551_WPSOffice_Level2"/>
      <w:bookmarkStart w:id="232" w:name="_Toc5492_WPSOffice_Level2"/>
      <w:r>
        <w:rPr>
          <w:rFonts w:ascii="宋体" w:hAnsi="宋体" w:cs="宋体"/>
          <w:color w:val="auto"/>
          <w:kern w:val="0"/>
          <w:highlight w:val="none"/>
        </w:rPr>
        <w:t>2-1、管理关系说明：</w:t>
      </w:r>
      <w:bookmarkEnd w:id="231"/>
      <w:bookmarkEnd w:id="232"/>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我单位管理的具有独立法人的下属单位有：。</w:t>
      </w:r>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我单位的上级管理单位有 。</w:t>
      </w:r>
    </w:p>
    <w:p>
      <w:pPr>
        <w:widowControl/>
        <w:spacing w:before="24" w:after="24"/>
        <w:ind w:firstLine="480" w:firstLineChars="200"/>
        <w:rPr>
          <w:rFonts w:hint="default" w:ascii="宋体" w:hAnsi="宋体" w:cs="宋体"/>
          <w:color w:val="auto"/>
          <w:kern w:val="0"/>
          <w:highlight w:val="none"/>
        </w:rPr>
      </w:pPr>
      <w:bookmarkStart w:id="233" w:name="_Toc29718_WPSOffice_Level2"/>
      <w:bookmarkStart w:id="234" w:name="_Toc20314_WPSOffice_Level2"/>
      <w:r>
        <w:rPr>
          <w:rFonts w:ascii="宋体" w:hAnsi="宋体" w:cs="宋体"/>
          <w:color w:val="auto"/>
          <w:kern w:val="0"/>
          <w:highlight w:val="none"/>
        </w:rPr>
        <w:t>2-2、股权关系说明：</w:t>
      </w:r>
      <w:bookmarkEnd w:id="233"/>
      <w:bookmarkEnd w:id="234"/>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我单位控股的单位有。</w:t>
      </w:r>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我单位被单位控股。</w:t>
      </w:r>
    </w:p>
    <w:p>
      <w:pPr>
        <w:widowControl/>
        <w:spacing w:before="24" w:after="24"/>
        <w:ind w:firstLine="480" w:firstLineChars="200"/>
        <w:rPr>
          <w:rFonts w:hint="default" w:ascii="宋体" w:hAnsi="宋体" w:cs="宋体"/>
          <w:color w:val="auto"/>
          <w:kern w:val="0"/>
          <w:highlight w:val="none"/>
          <w:u w:val="single"/>
        </w:rPr>
      </w:pPr>
      <w:bookmarkStart w:id="235" w:name="_Toc32291_WPSOffice_Level2"/>
      <w:bookmarkStart w:id="236" w:name="_Toc32538_WPSOffice_Level2"/>
      <w:r>
        <w:rPr>
          <w:rFonts w:ascii="宋体" w:hAnsi="宋体" w:cs="宋体"/>
          <w:color w:val="auto"/>
          <w:kern w:val="0"/>
          <w:highlight w:val="none"/>
        </w:rPr>
        <w:t>2-3、单位负责人：</w:t>
      </w:r>
      <w:bookmarkEnd w:id="235"/>
      <w:bookmarkEnd w:id="236"/>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3、</w:t>
      </w:r>
      <w:r>
        <w:rPr>
          <w:rFonts w:ascii="宋体" w:hAnsi="宋体" w:cs="宋体"/>
          <w:color w:val="auto"/>
          <w:kern w:val="0"/>
          <w:highlight w:val="none"/>
          <w:u w:val="single"/>
        </w:rPr>
        <w:t xml:space="preserve">        （是或否） </w:t>
      </w:r>
      <w:r>
        <w:rPr>
          <w:rFonts w:ascii="宋体" w:hAnsi="宋体" w:cs="宋体"/>
          <w:color w:val="auto"/>
          <w:kern w:val="0"/>
          <w:highlight w:val="none"/>
        </w:rPr>
        <w:t>为采购项目提供整体设计、规范编制或者项目管理、监理、检测等服务的供应商。</w:t>
      </w:r>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4、其他与本项目有关的利害关系说明：</w:t>
      </w:r>
    </w:p>
    <w:p>
      <w:pPr>
        <w:widowControl/>
        <w:spacing w:before="24" w:after="24"/>
        <w:rPr>
          <w:rFonts w:hint="default" w:ascii="宋体" w:hAnsi="宋体" w:cs="宋体"/>
          <w:color w:val="auto"/>
          <w:kern w:val="0"/>
          <w:highlight w:val="none"/>
        </w:rPr>
      </w:pPr>
    </w:p>
    <w:p>
      <w:pPr>
        <w:widowControl/>
        <w:spacing w:before="24" w:after="24"/>
        <w:ind w:firstLine="480" w:firstLineChars="200"/>
        <w:rPr>
          <w:rFonts w:hint="default" w:ascii="宋体" w:hAnsi="宋体" w:cs="宋体"/>
          <w:color w:val="auto"/>
          <w:kern w:val="0"/>
          <w:highlight w:val="none"/>
        </w:rPr>
      </w:pPr>
      <w:r>
        <w:rPr>
          <w:rFonts w:ascii="宋体" w:hAnsi="宋体" w:cs="宋体"/>
          <w:color w:val="auto"/>
          <w:kern w:val="0"/>
          <w:highlight w:val="none"/>
        </w:rPr>
        <w:t>我单位承诺以上说明真实有效，无虚假内容或隐瞒。</w:t>
      </w:r>
    </w:p>
    <w:p>
      <w:pPr>
        <w:widowControl/>
        <w:spacing w:before="24" w:after="24"/>
        <w:rPr>
          <w:rFonts w:hint="default" w:ascii="宋体" w:hAnsi="宋体" w:cs="宋体"/>
          <w:color w:val="auto"/>
          <w:kern w:val="0"/>
          <w:highlight w:val="none"/>
        </w:rPr>
      </w:pPr>
    </w:p>
    <w:p>
      <w:pPr>
        <w:widowControl/>
        <w:spacing w:before="24" w:after="24"/>
        <w:rPr>
          <w:rFonts w:hint="default" w:ascii="宋体" w:hAnsi="宋体" w:cs="宋体"/>
          <w:color w:val="auto"/>
          <w:kern w:val="0"/>
          <w:highlight w:val="none"/>
        </w:rPr>
      </w:pPr>
    </w:p>
    <w:p>
      <w:pPr>
        <w:pStyle w:val="14"/>
        <w:spacing w:before="24" w:after="24"/>
        <w:rPr>
          <w:rFonts w:hint="default" w:ascii="宋体" w:hAnsi="宋体" w:cs="宋体"/>
          <w:color w:val="auto"/>
          <w:kern w:val="0"/>
          <w:highlight w:val="none"/>
        </w:rPr>
      </w:pPr>
    </w:p>
    <w:p>
      <w:pPr>
        <w:spacing w:before="24" w:after="24"/>
        <w:rPr>
          <w:rFonts w:hint="default" w:ascii="宋体" w:hAnsi="宋体" w:cs="宋体"/>
          <w:color w:val="auto"/>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被授权人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ind w:firstLine="2880" w:firstLineChars="900"/>
        <w:rPr>
          <w:rFonts w:hint="default" w:ascii="宋体" w:hAnsi="宋体" w:cs="宋体"/>
          <w:color w:val="auto"/>
          <w:sz w:val="32"/>
          <w:highlight w:val="none"/>
        </w:rPr>
      </w:pPr>
      <w:r>
        <w:rPr>
          <w:rFonts w:ascii="宋体" w:hAnsi="宋体" w:cs="宋体"/>
          <w:color w:val="auto"/>
          <w:sz w:val="32"/>
          <w:highlight w:val="none"/>
        </w:rPr>
        <w:br w:type="page"/>
      </w:r>
    </w:p>
    <w:p>
      <w:pPr>
        <w:adjustRightInd w:val="0"/>
        <w:snapToGrid w:val="0"/>
        <w:spacing w:before="24" w:afterLines="50" w:line="336" w:lineRule="auto"/>
        <w:rPr>
          <w:rFonts w:hint="default" w:ascii="宋体" w:hAnsi="宋体" w:cs="宋体"/>
          <w:b/>
          <w:color w:val="auto"/>
          <w:sz w:val="28"/>
          <w:szCs w:val="28"/>
          <w:highlight w:val="none"/>
        </w:rPr>
      </w:pPr>
      <w:r>
        <w:rPr>
          <w:rFonts w:ascii="宋体" w:hAnsi="宋体" w:cs="宋体"/>
          <w:b/>
          <w:color w:val="auto"/>
          <w:sz w:val="28"/>
          <w:szCs w:val="28"/>
          <w:highlight w:val="none"/>
        </w:rPr>
        <w:t>附件5：</w:t>
      </w:r>
    </w:p>
    <w:p>
      <w:pPr>
        <w:autoSpaceDE w:val="0"/>
        <w:autoSpaceDN w:val="0"/>
        <w:adjustRightInd w:val="0"/>
        <w:snapToGrid w:val="0"/>
        <w:spacing w:before="24" w:after="24" w:line="336" w:lineRule="auto"/>
        <w:jc w:val="center"/>
        <w:rPr>
          <w:rFonts w:hint="default" w:ascii="宋体" w:hAnsi="宋体" w:cs="宋体"/>
          <w:b/>
          <w:color w:val="auto"/>
          <w:szCs w:val="24"/>
          <w:highlight w:val="none"/>
        </w:rPr>
      </w:pPr>
      <w:r>
        <w:rPr>
          <w:rFonts w:ascii="宋体" w:hAnsi="宋体" w:cs="宋体"/>
          <w:b/>
          <w:color w:val="auto"/>
          <w:szCs w:val="24"/>
          <w:highlight w:val="none"/>
        </w:rPr>
        <w:t>书面声明</w:t>
      </w:r>
    </w:p>
    <w:p>
      <w:pPr>
        <w:spacing w:before="24" w:after="24" w:line="560" w:lineRule="exact"/>
        <w:ind w:firstLine="498" w:firstLineChars="200"/>
        <w:rPr>
          <w:rFonts w:hint="default" w:ascii="宋体" w:hAnsi="宋体" w:cs="宋体"/>
          <w:color w:val="auto"/>
          <w:szCs w:val="24"/>
          <w:highlight w:val="none"/>
        </w:rPr>
      </w:pPr>
      <w:r>
        <w:rPr>
          <w:rFonts w:ascii="宋体" w:hAnsi="宋体" w:cs="宋体"/>
          <w:b/>
          <w:color w:val="auto"/>
          <w:spacing w:val="4"/>
          <w:szCs w:val="24"/>
          <w:highlight w:val="none"/>
        </w:rPr>
        <w:t>岐山县档案馆</w:t>
      </w:r>
      <w:r>
        <w:rPr>
          <w:rFonts w:ascii="宋体" w:hAnsi="宋体" w:cs="宋体"/>
          <w:color w:val="auto"/>
          <w:szCs w:val="24"/>
          <w:highlight w:val="none"/>
        </w:rPr>
        <w:t>：</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我方作为</w:t>
      </w:r>
      <w:r>
        <w:rPr>
          <w:rFonts w:ascii="宋体" w:hAnsi="宋体" w:cs="宋体"/>
          <w:color w:val="auto"/>
          <w:szCs w:val="24"/>
          <w:highlight w:val="none"/>
          <w:u w:val="single"/>
        </w:rPr>
        <w:t>数字档案馆创建项目（项目编号：SXZD（2023）114CG）</w:t>
      </w:r>
      <w:r>
        <w:rPr>
          <w:rFonts w:ascii="宋体" w:hAnsi="宋体" w:cs="宋体"/>
          <w:color w:val="auto"/>
          <w:szCs w:val="24"/>
          <w:highlight w:val="none"/>
        </w:rPr>
        <w:t>的供应商，在此郑重声明：</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1．我方参加本次政府采购磋商活动，为非联合体磋商。</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2．我方所递交的响应文件及有关资料内容完整、真实和准确，且不存在第二章“供应商须知”第 1.4.3 项规定的任何一种情形。</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如有不实，我方将无条件地退出本项目的采购活动，并遵照《政府采购法》有关“提供虚假材料的规定”接受处罚。</w:t>
      </w:r>
    </w:p>
    <w:p>
      <w:pPr>
        <w:spacing w:before="24" w:after="24" w:line="560" w:lineRule="exact"/>
        <w:ind w:firstLine="480" w:firstLineChars="200"/>
        <w:rPr>
          <w:rFonts w:hint="default" w:ascii="宋体" w:hAnsi="宋体" w:cs="宋体"/>
          <w:color w:val="auto"/>
          <w:szCs w:val="24"/>
          <w:highlight w:val="none"/>
        </w:rPr>
      </w:pPr>
      <w:r>
        <w:rPr>
          <w:rFonts w:ascii="宋体" w:hAnsi="宋体" w:cs="宋体"/>
          <w:color w:val="auto"/>
          <w:szCs w:val="24"/>
          <w:highlight w:val="none"/>
        </w:rPr>
        <w:t>特此声明。</w:t>
      </w:r>
    </w:p>
    <w:p>
      <w:pPr>
        <w:spacing w:before="24" w:after="24" w:line="560" w:lineRule="exact"/>
        <w:ind w:firstLine="480" w:firstLineChars="200"/>
        <w:rPr>
          <w:rFonts w:hint="default" w:ascii="宋体" w:hAnsi="宋体" w:cs="宋体"/>
          <w:color w:val="auto"/>
          <w:szCs w:val="24"/>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rPr>
          <w:rFonts w:hint="default" w:hAnsi="宋体" w:eastAsia="宋体" w:cs="宋体"/>
          <w:b/>
          <w:bCs/>
          <w:color w:val="auto"/>
          <w:sz w:val="30"/>
          <w:szCs w:val="30"/>
          <w:highlight w:val="none"/>
          <w:lang w:val="en-US" w:eastAsia="zh-CN"/>
        </w:rPr>
      </w:pPr>
      <w:r>
        <w:rPr>
          <w:rFonts w:hint="eastAsia" w:hAnsi="宋体" w:cs="宋体"/>
          <w:b/>
          <w:bCs/>
          <w:color w:val="auto"/>
          <w:sz w:val="30"/>
          <w:szCs w:val="30"/>
          <w:highlight w:val="none"/>
        </w:rPr>
        <w:br w:type="page"/>
      </w:r>
      <w:bookmarkStart w:id="237" w:name="_Toc18912"/>
    </w:p>
    <w:p>
      <w:pPr>
        <w:pStyle w:val="5"/>
        <w:numPr>
          <w:ilvl w:val="0"/>
          <w:numId w:val="0"/>
        </w:numPr>
        <w:spacing w:before="120" w:after="24"/>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四、</w:t>
      </w:r>
      <w:bookmarkEnd w:id="237"/>
      <w:r>
        <w:rPr>
          <w:rFonts w:hint="eastAsia" w:hAnsi="宋体" w:cs="宋体"/>
          <w:b/>
          <w:bCs/>
          <w:color w:val="auto"/>
          <w:sz w:val="30"/>
          <w:szCs w:val="30"/>
          <w:highlight w:val="none"/>
          <w:lang w:eastAsia="zh-CN"/>
        </w:rPr>
        <w:t>商务技术偏差表</w:t>
      </w:r>
    </w:p>
    <w:p>
      <w:pPr>
        <w:spacing w:before="24" w:after="24" w:line="20" w:lineRule="exact"/>
        <w:rPr>
          <w:rFonts w:hint="default" w:ascii="宋体" w:hAnsi="宋体" w:cs="宋体"/>
          <w:color w:val="auto"/>
          <w:highlight w:val="none"/>
        </w:rPr>
      </w:pPr>
    </w:p>
    <w:p>
      <w:pPr>
        <w:pStyle w:val="5"/>
        <w:numPr>
          <w:ilvl w:val="0"/>
          <w:numId w:val="0"/>
        </w:numPr>
        <w:spacing w:before="120" w:after="24"/>
        <w:jc w:val="center"/>
        <w:rPr>
          <w:rFonts w:hint="default"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4-1 商务偏差表</w:t>
      </w:r>
    </w:p>
    <w:p>
      <w:pPr>
        <w:pStyle w:val="21"/>
        <w:rPr>
          <w:rFonts w:hint="default" w:ascii="宋体" w:hAnsi="宋体" w:cs="宋体"/>
          <w:b/>
          <w:bCs/>
          <w:color w:val="auto"/>
          <w:spacing w:val="-20"/>
          <w:szCs w:val="24"/>
          <w:highlight w:val="none"/>
        </w:rPr>
      </w:pPr>
      <w:r>
        <w:rPr>
          <w:rFonts w:ascii="宋体" w:hAnsi="宋体" w:cs="宋体"/>
          <w:color w:val="auto"/>
          <w:szCs w:val="24"/>
          <w:highlight w:val="none"/>
        </w:rPr>
        <w:t xml:space="preserve">项目名称：数字档案馆创建项目                      </w:t>
      </w:r>
      <w:r>
        <w:rPr>
          <w:rFonts w:ascii="宋体" w:hAnsi="宋体" w:cs="宋体"/>
          <w:color w:val="auto"/>
          <w:highlight w:val="none"/>
        </w:rPr>
        <w:t xml:space="preserve">第  </w:t>
      </w:r>
      <w:r>
        <w:rPr>
          <w:rFonts w:ascii="宋体" w:hAnsi="宋体" w:cs="宋体"/>
          <w:color w:val="auto"/>
          <w:highlight w:val="none"/>
          <w:lang w:val="zh-CN"/>
        </w:rPr>
        <w:t>页</w:t>
      </w:r>
      <w:r>
        <w:rPr>
          <w:rFonts w:ascii="宋体" w:hAnsi="宋体" w:cs="宋体"/>
          <w:color w:val="auto"/>
          <w:highlight w:val="none"/>
        </w:rPr>
        <w:t>，共  页</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0"/>
        <w:gridCol w:w="1500"/>
        <w:gridCol w:w="2131"/>
        <w:gridCol w:w="850"/>
        <w:gridCol w:w="1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5" w:type="dxa"/>
            <w:tcBorders>
              <w:tl2br w:val="nil"/>
              <w:tr2bl w:val="nil"/>
            </w:tcBorders>
            <w:noWrap/>
            <w:vAlign w:val="center"/>
          </w:tcPr>
          <w:p>
            <w:pPr>
              <w:adjustRightInd w:val="0"/>
              <w:snapToGrid w:val="0"/>
              <w:spacing w:before="24" w:after="24" w:line="240" w:lineRule="auto"/>
              <w:jc w:val="center"/>
              <w:rPr>
                <w:rFonts w:hint="default" w:ascii="宋体" w:hAnsi="宋体" w:cs="宋体"/>
                <w:b/>
                <w:bCs/>
                <w:color w:val="auto"/>
                <w:sz w:val="21"/>
                <w:szCs w:val="21"/>
                <w:highlight w:val="none"/>
              </w:rPr>
            </w:pPr>
            <w:r>
              <w:rPr>
                <w:rFonts w:ascii="宋体" w:hAnsi="宋体" w:cs="宋体"/>
                <w:b/>
                <w:bCs/>
                <w:color w:val="auto"/>
                <w:szCs w:val="21"/>
                <w:highlight w:val="none"/>
              </w:rPr>
              <w:t>序号</w:t>
            </w:r>
          </w:p>
        </w:tc>
        <w:tc>
          <w:tcPr>
            <w:tcW w:w="1700" w:type="dxa"/>
            <w:tcBorders>
              <w:tl2br w:val="nil"/>
              <w:tr2bl w:val="nil"/>
            </w:tcBorders>
            <w:noWrap/>
            <w:vAlign w:val="center"/>
          </w:tcPr>
          <w:p>
            <w:pPr>
              <w:adjustRightInd w:val="0"/>
              <w:snapToGrid w:val="0"/>
              <w:spacing w:before="24" w:after="24" w:line="240" w:lineRule="auto"/>
              <w:jc w:val="center"/>
              <w:rPr>
                <w:rFonts w:hint="default" w:ascii="宋体" w:hAnsi="宋体" w:cs="宋体"/>
                <w:b/>
                <w:bCs/>
                <w:color w:val="auto"/>
                <w:sz w:val="21"/>
                <w:szCs w:val="21"/>
                <w:highlight w:val="none"/>
              </w:rPr>
            </w:pPr>
            <w:r>
              <w:rPr>
                <w:rFonts w:ascii="宋体" w:hAnsi="宋体" w:cs="宋体"/>
                <w:b/>
                <w:bCs/>
                <w:color w:val="auto"/>
                <w:szCs w:val="21"/>
                <w:highlight w:val="none"/>
              </w:rPr>
              <w:t>文件条目号</w:t>
            </w:r>
          </w:p>
        </w:tc>
        <w:tc>
          <w:tcPr>
            <w:tcW w:w="1500" w:type="dxa"/>
            <w:tcBorders>
              <w:tl2br w:val="nil"/>
              <w:tr2bl w:val="nil"/>
            </w:tcBorders>
            <w:noWrap/>
            <w:vAlign w:val="center"/>
          </w:tcPr>
          <w:p>
            <w:pPr>
              <w:adjustRightInd w:val="0"/>
              <w:snapToGrid w:val="0"/>
              <w:spacing w:before="24" w:after="24" w:line="240" w:lineRule="auto"/>
              <w:ind w:leftChars="-42" w:hanging="101" w:hangingChars="42"/>
              <w:jc w:val="center"/>
              <w:rPr>
                <w:rFonts w:hint="default" w:ascii="宋体" w:hAnsi="宋体" w:cs="宋体"/>
                <w:b/>
                <w:bCs/>
                <w:color w:val="auto"/>
                <w:sz w:val="21"/>
                <w:szCs w:val="21"/>
                <w:highlight w:val="none"/>
              </w:rPr>
            </w:pPr>
            <w:r>
              <w:rPr>
                <w:rFonts w:ascii="宋体" w:hAnsi="宋体" w:cs="宋体"/>
                <w:b/>
                <w:bCs/>
                <w:color w:val="auto"/>
                <w:szCs w:val="21"/>
                <w:highlight w:val="none"/>
              </w:rPr>
              <w:t>商务要求</w:t>
            </w:r>
          </w:p>
        </w:tc>
        <w:tc>
          <w:tcPr>
            <w:tcW w:w="2131" w:type="dxa"/>
            <w:tcBorders>
              <w:tl2br w:val="nil"/>
              <w:tr2bl w:val="nil"/>
            </w:tcBorders>
            <w:noWrap/>
            <w:vAlign w:val="center"/>
          </w:tcPr>
          <w:p>
            <w:pPr>
              <w:adjustRightInd w:val="0"/>
              <w:snapToGrid w:val="0"/>
              <w:spacing w:before="24" w:after="24" w:line="240" w:lineRule="auto"/>
              <w:jc w:val="center"/>
              <w:rPr>
                <w:rFonts w:hint="default" w:ascii="宋体" w:hAnsi="宋体" w:cs="宋体"/>
                <w:b/>
                <w:bCs/>
                <w:color w:val="auto"/>
                <w:sz w:val="21"/>
                <w:szCs w:val="21"/>
                <w:highlight w:val="none"/>
              </w:rPr>
            </w:pPr>
            <w:r>
              <w:rPr>
                <w:rFonts w:ascii="宋体" w:hAnsi="宋体" w:cs="宋体"/>
                <w:b/>
                <w:bCs/>
                <w:color w:val="auto"/>
                <w:szCs w:val="21"/>
                <w:highlight w:val="none"/>
              </w:rPr>
              <w:t>商务响应</w:t>
            </w:r>
          </w:p>
        </w:tc>
        <w:tc>
          <w:tcPr>
            <w:tcW w:w="850" w:type="dxa"/>
            <w:tcBorders>
              <w:tl2br w:val="nil"/>
              <w:tr2bl w:val="nil"/>
            </w:tcBorders>
            <w:noWrap/>
            <w:vAlign w:val="center"/>
          </w:tcPr>
          <w:p>
            <w:pPr>
              <w:adjustRightInd w:val="0"/>
              <w:snapToGrid w:val="0"/>
              <w:spacing w:before="24" w:after="24" w:line="240" w:lineRule="auto"/>
              <w:ind w:firstLine="31" w:firstLineChars="13"/>
              <w:jc w:val="left"/>
              <w:rPr>
                <w:rFonts w:hint="default" w:ascii="宋体" w:hAnsi="宋体" w:cs="宋体"/>
                <w:b/>
                <w:bCs/>
                <w:color w:val="auto"/>
                <w:sz w:val="21"/>
                <w:szCs w:val="21"/>
                <w:highlight w:val="none"/>
              </w:rPr>
            </w:pPr>
            <w:r>
              <w:rPr>
                <w:rFonts w:ascii="宋体" w:hAnsi="宋体" w:cs="宋体"/>
                <w:b/>
                <w:bCs/>
                <w:color w:val="auto"/>
                <w:szCs w:val="21"/>
                <w:highlight w:val="none"/>
              </w:rPr>
              <w:t>偏离</w:t>
            </w:r>
          </w:p>
        </w:tc>
        <w:tc>
          <w:tcPr>
            <w:tcW w:w="1874" w:type="dxa"/>
            <w:tcBorders>
              <w:tl2br w:val="nil"/>
              <w:tr2bl w:val="nil"/>
            </w:tcBorders>
            <w:noWrap/>
            <w:vAlign w:val="center"/>
          </w:tcPr>
          <w:p>
            <w:pPr>
              <w:adjustRightInd w:val="0"/>
              <w:snapToGrid w:val="0"/>
              <w:spacing w:before="24" w:after="24" w:line="240" w:lineRule="auto"/>
              <w:ind w:firstLine="178" w:firstLineChars="74"/>
              <w:jc w:val="left"/>
              <w:rPr>
                <w:rFonts w:hint="default" w:ascii="宋体" w:hAnsi="宋体" w:cs="宋体"/>
                <w:b/>
                <w:bCs/>
                <w:color w:val="auto"/>
                <w:sz w:val="21"/>
                <w:szCs w:val="21"/>
                <w:highlight w:val="none"/>
              </w:rPr>
            </w:pPr>
            <w:r>
              <w:rPr>
                <w:rFonts w:ascii="宋体" w:hAnsi="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bl>
    <w:p>
      <w:pPr>
        <w:spacing w:before="24" w:after="24" w:line="20" w:lineRule="exact"/>
        <w:rPr>
          <w:rFonts w:hint="default" w:ascii="宋体" w:hAnsi="宋体" w:cs="宋体"/>
          <w:color w:val="auto"/>
          <w:highlight w:val="none"/>
        </w:rPr>
      </w:pPr>
    </w:p>
    <w:p>
      <w:pPr>
        <w:adjustRightInd w:val="0"/>
        <w:snapToGrid w:val="0"/>
        <w:spacing w:before="24" w:after="24" w:line="240" w:lineRule="auto"/>
        <w:ind w:firstLine="600" w:firstLineChars="250"/>
        <w:rPr>
          <w:rFonts w:hint="default" w:ascii="宋体" w:hAnsi="宋体" w:cs="宋体"/>
          <w:bCs/>
          <w:color w:val="auto"/>
          <w:sz w:val="21"/>
          <w:szCs w:val="21"/>
          <w:highlight w:val="none"/>
        </w:rPr>
      </w:pPr>
      <w:r>
        <w:rPr>
          <w:rFonts w:ascii="宋体" w:hAnsi="宋体" w:cs="宋体"/>
          <w:bCs/>
          <w:color w:val="auto"/>
          <w:szCs w:val="21"/>
          <w:highlight w:val="none"/>
        </w:rPr>
        <w:t>说明：</w:t>
      </w:r>
    </w:p>
    <w:p>
      <w:pPr>
        <w:adjustRightInd w:val="0"/>
        <w:snapToGrid w:val="0"/>
        <w:spacing w:before="24" w:after="24" w:line="240" w:lineRule="auto"/>
        <w:ind w:firstLine="600" w:firstLineChars="250"/>
        <w:rPr>
          <w:rFonts w:hint="default" w:ascii="宋体" w:hAnsi="宋体" w:cs="宋体"/>
          <w:bCs/>
          <w:color w:val="auto"/>
          <w:szCs w:val="21"/>
          <w:highlight w:val="none"/>
        </w:rPr>
      </w:pPr>
      <w:r>
        <w:rPr>
          <w:rFonts w:ascii="宋体" w:hAnsi="宋体" w:cs="宋体"/>
          <w:bCs/>
          <w:color w:val="auto"/>
          <w:szCs w:val="21"/>
          <w:highlight w:val="none"/>
        </w:rPr>
        <w:t>1.本表需填写响应文件与磋商文件要求中商务条款的偏离内容，商务部分不允许有负偏离。响应文件中商务响应与磋商文件要求完全一致的，不用在此表中逐一列出，此表空白视为完全响应，无偏离。</w:t>
      </w:r>
    </w:p>
    <w:p>
      <w:pPr>
        <w:adjustRightInd w:val="0"/>
        <w:snapToGrid w:val="0"/>
        <w:spacing w:before="24" w:after="24" w:line="240" w:lineRule="auto"/>
        <w:ind w:firstLine="600" w:firstLineChars="250"/>
        <w:rPr>
          <w:rFonts w:hint="default" w:ascii="宋体" w:hAnsi="宋体" w:cs="宋体"/>
          <w:bCs/>
          <w:color w:val="auto"/>
          <w:szCs w:val="21"/>
          <w:highlight w:val="none"/>
        </w:rPr>
      </w:pPr>
      <w:r>
        <w:rPr>
          <w:rFonts w:ascii="宋体" w:hAnsi="宋体" w:cs="宋体"/>
          <w:bCs/>
          <w:color w:val="auto"/>
          <w:szCs w:val="21"/>
          <w:highlight w:val="none"/>
        </w:rPr>
        <w:t>2.供应商必须据实填写，不得虚假响应，否则将取消其</w:t>
      </w:r>
      <w:r>
        <w:rPr>
          <w:rFonts w:hint="eastAsia" w:ascii="宋体" w:hAnsi="宋体" w:cs="宋体"/>
          <w:bCs/>
          <w:color w:val="auto"/>
          <w:szCs w:val="21"/>
          <w:highlight w:val="none"/>
          <w:lang w:eastAsia="zh-CN"/>
        </w:rPr>
        <w:t>磋商</w:t>
      </w:r>
      <w:r>
        <w:rPr>
          <w:rFonts w:ascii="宋体" w:hAnsi="宋体" w:cs="宋体"/>
          <w:bCs/>
          <w:color w:val="auto"/>
          <w:szCs w:val="21"/>
          <w:highlight w:val="none"/>
        </w:rPr>
        <w:t>或</w:t>
      </w:r>
      <w:r>
        <w:rPr>
          <w:rFonts w:hint="eastAsia" w:ascii="宋体" w:hAnsi="宋体" w:cs="宋体"/>
          <w:bCs/>
          <w:color w:val="auto"/>
          <w:szCs w:val="21"/>
          <w:highlight w:val="none"/>
          <w:lang w:eastAsia="zh-CN"/>
        </w:rPr>
        <w:t>成交</w:t>
      </w:r>
      <w:r>
        <w:rPr>
          <w:rFonts w:ascii="宋体" w:hAnsi="宋体" w:cs="宋体"/>
          <w:bCs/>
          <w:color w:val="auto"/>
          <w:szCs w:val="21"/>
          <w:highlight w:val="none"/>
        </w:rPr>
        <w:t>资格，并按有关规定进处罚。</w:t>
      </w:r>
    </w:p>
    <w:p>
      <w:pPr>
        <w:spacing w:before="24" w:after="24" w:line="520" w:lineRule="exact"/>
        <w:ind w:firstLine="480" w:firstLineChars="200"/>
        <w:rPr>
          <w:rFonts w:hint="default" w:ascii="宋体" w:hAnsi="宋体" w:cs="宋体"/>
          <w:color w:val="auto"/>
          <w:szCs w:val="24"/>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被授权人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pStyle w:val="5"/>
        <w:numPr>
          <w:ilvl w:val="0"/>
          <w:numId w:val="0"/>
        </w:numPr>
        <w:spacing w:before="120" w:after="24"/>
        <w:jc w:val="center"/>
        <w:rPr>
          <w:rFonts w:hint="eastAsia" w:hAnsi="宋体" w:cs="宋体"/>
          <w:b/>
          <w:bCs/>
          <w:color w:val="auto"/>
          <w:sz w:val="36"/>
          <w:szCs w:val="36"/>
          <w:highlight w:val="none"/>
        </w:rPr>
      </w:pPr>
      <w:r>
        <w:rPr>
          <w:rFonts w:hint="eastAsia" w:hAnsi="宋体" w:cs="宋体"/>
          <w:b/>
          <w:bCs/>
          <w:color w:val="auto"/>
          <w:sz w:val="36"/>
          <w:szCs w:val="36"/>
          <w:highlight w:val="none"/>
        </w:rPr>
        <w:br w:type="page"/>
      </w:r>
      <w:bookmarkEnd w:id="204"/>
      <w:bookmarkEnd w:id="205"/>
      <w:bookmarkEnd w:id="217"/>
      <w:bookmarkEnd w:id="218"/>
      <w:bookmarkStart w:id="238" w:name="_Toc10885"/>
      <w:bookmarkStart w:id="239" w:name="_Toc22250"/>
    </w:p>
    <w:p>
      <w:pPr>
        <w:pStyle w:val="5"/>
        <w:numPr>
          <w:ilvl w:val="0"/>
          <w:numId w:val="0"/>
        </w:numPr>
        <w:spacing w:before="120" w:after="24"/>
        <w:jc w:val="center"/>
        <w:rPr>
          <w:rFonts w:hint="eastAsia" w:hAnsi="宋体" w:cs="宋体"/>
          <w:b/>
          <w:bCs/>
          <w:color w:val="auto"/>
          <w:sz w:val="36"/>
          <w:szCs w:val="36"/>
          <w:highlight w:val="none"/>
        </w:rPr>
      </w:pPr>
    </w:p>
    <w:p>
      <w:pPr>
        <w:pStyle w:val="5"/>
        <w:numPr>
          <w:ilvl w:val="0"/>
          <w:numId w:val="0"/>
        </w:numPr>
        <w:spacing w:before="120" w:after="24"/>
        <w:jc w:val="center"/>
        <w:rPr>
          <w:rFonts w:hint="default"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4-2 技术偏差表</w:t>
      </w:r>
    </w:p>
    <w:p>
      <w:pPr>
        <w:pStyle w:val="21"/>
        <w:rPr>
          <w:rFonts w:hint="default" w:ascii="宋体" w:hAnsi="宋体" w:cs="宋体"/>
          <w:b/>
          <w:bCs/>
          <w:color w:val="auto"/>
          <w:spacing w:val="-20"/>
          <w:szCs w:val="24"/>
          <w:highlight w:val="none"/>
        </w:rPr>
      </w:pPr>
      <w:r>
        <w:rPr>
          <w:rFonts w:ascii="宋体" w:hAnsi="宋体" w:cs="宋体"/>
          <w:color w:val="auto"/>
          <w:szCs w:val="24"/>
          <w:highlight w:val="none"/>
        </w:rPr>
        <w:t xml:space="preserve">项目名称：数字档案馆创建项目                      </w:t>
      </w:r>
      <w:r>
        <w:rPr>
          <w:rFonts w:ascii="宋体" w:hAnsi="宋体" w:cs="宋体"/>
          <w:color w:val="auto"/>
          <w:highlight w:val="none"/>
        </w:rPr>
        <w:t xml:space="preserve">第  </w:t>
      </w:r>
      <w:r>
        <w:rPr>
          <w:rFonts w:ascii="宋体" w:hAnsi="宋体" w:cs="宋体"/>
          <w:color w:val="auto"/>
          <w:highlight w:val="none"/>
          <w:lang w:val="zh-CN"/>
        </w:rPr>
        <w:t>页</w:t>
      </w:r>
      <w:r>
        <w:rPr>
          <w:rFonts w:ascii="宋体" w:hAnsi="宋体" w:cs="宋体"/>
          <w:color w:val="auto"/>
          <w:highlight w:val="none"/>
        </w:rPr>
        <w:t>，共  页</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0"/>
        <w:gridCol w:w="1500"/>
        <w:gridCol w:w="2131"/>
        <w:gridCol w:w="850"/>
        <w:gridCol w:w="1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5" w:type="dxa"/>
            <w:tcBorders>
              <w:tl2br w:val="nil"/>
              <w:tr2bl w:val="nil"/>
            </w:tcBorders>
            <w:noWrap/>
            <w:vAlign w:val="center"/>
          </w:tcPr>
          <w:p>
            <w:pPr>
              <w:adjustRightInd w:val="0"/>
              <w:snapToGrid w:val="0"/>
              <w:spacing w:before="24" w:after="24" w:line="240" w:lineRule="auto"/>
              <w:jc w:val="center"/>
              <w:rPr>
                <w:rFonts w:hint="default" w:ascii="宋体" w:hAnsi="宋体" w:cs="宋体"/>
                <w:b/>
                <w:bCs/>
                <w:color w:val="auto"/>
                <w:sz w:val="21"/>
                <w:szCs w:val="21"/>
                <w:highlight w:val="none"/>
              </w:rPr>
            </w:pPr>
            <w:r>
              <w:rPr>
                <w:rFonts w:ascii="宋体" w:hAnsi="宋体" w:cs="宋体"/>
                <w:b/>
                <w:bCs/>
                <w:color w:val="auto"/>
                <w:szCs w:val="21"/>
                <w:highlight w:val="none"/>
              </w:rPr>
              <w:t>序号</w:t>
            </w:r>
          </w:p>
        </w:tc>
        <w:tc>
          <w:tcPr>
            <w:tcW w:w="1700" w:type="dxa"/>
            <w:tcBorders>
              <w:tl2br w:val="nil"/>
              <w:tr2bl w:val="nil"/>
            </w:tcBorders>
            <w:noWrap/>
            <w:vAlign w:val="center"/>
          </w:tcPr>
          <w:p>
            <w:pPr>
              <w:adjustRightInd w:val="0"/>
              <w:snapToGrid w:val="0"/>
              <w:spacing w:before="24" w:after="24" w:line="240" w:lineRule="auto"/>
              <w:jc w:val="center"/>
              <w:rPr>
                <w:rFonts w:hint="default" w:ascii="宋体" w:hAnsi="宋体" w:cs="宋体"/>
                <w:b/>
                <w:bCs/>
                <w:color w:val="auto"/>
                <w:sz w:val="21"/>
                <w:szCs w:val="21"/>
                <w:highlight w:val="none"/>
              </w:rPr>
            </w:pPr>
            <w:r>
              <w:rPr>
                <w:rFonts w:ascii="宋体" w:hAnsi="宋体" w:cs="宋体"/>
                <w:b/>
                <w:bCs/>
                <w:color w:val="auto"/>
                <w:szCs w:val="21"/>
                <w:highlight w:val="none"/>
              </w:rPr>
              <w:t>文件条目号</w:t>
            </w:r>
          </w:p>
        </w:tc>
        <w:tc>
          <w:tcPr>
            <w:tcW w:w="1500" w:type="dxa"/>
            <w:tcBorders>
              <w:tl2br w:val="nil"/>
              <w:tr2bl w:val="nil"/>
            </w:tcBorders>
            <w:noWrap/>
            <w:vAlign w:val="center"/>
          </w:tcPr>
          <w:p>
            <w:pPr>
              <w:adjustRightInd w:val="0"/>
              <w:snapToGrid w:val="0"/>
              <w:spacing w:before="24" w:after="24" w:line="240" w:lineRule="auto"/>
              <w:ind w:leftChars="-42" w:hanging="101" w:hangingChars="42"/>
              <w:jc w:val="center"/>
              <w:rPr>
                <w:rFonts w:hint="default" w:ascii="宋体" w:hAnsi="宋体" w:cs="宋体"/>
                <w:b/>
                <w:bCs/>
                <w:color w:val="auto"/>
                <w:sz w:val="21"/>
                <w:szCs w:val="21"/>
                <w:highlight w:val="none"/>
              </w:rPr>
            </w:pPr>
            <w:r>
              <w:rPr>
                <w:rFonts w:hint="eastAsia" w:ascii="宋体" w:hAnsi="宋体" w:cs="宋体"/>
                <w:b/>
                <w:bCs/>
                <w:color w:val="auto"/>
                <w:szCs w:val="21"/>
                <w:highlight w:val="none"/>
                <w:lang w:eastAsia="zh-CN"/>
              </w:rPr>
              <w:t>技术</w:t>
            </w:r>
            <w:r>
              <w:rPr>
                <w:rFonts w:ascii="宋体" w:hAnsi="宋体" w:cs="宋体"/>
                <w:b/>
                <w:bCs/>
                <w:color w:val="auto"/>
                <w:szCs w:val="21"/>
                <w:highlight w:val="none"/>
              </w:rPr>
              <w:t>要求</w:t>
            </w:r>
          </w:p>
        </w:tc>
        <w:tc>
          <w:tcPr>
            <w:tcW w:w="2131" w:type="dxa"/>
            <w:tcBorders>
              <w:tl2br w:val="nil"/>
              <w:tr2bl w:val="nil"/>
            </w:tcBorders>
            <w:noWrap/>
            <w:vAlign w:val="center"/>
          </w:tcPr>
          <w:p>
            <w:pPr>
              <w:adjustRightInd w:val="0"/>
              <w:snapToGrid w:val="0"/>
              <w:spacing w:before="24" w:after="24" w:line="240" w:lineRule="auto"/>
              <w:jc w:val="center"/>
              <w:rPr>
                <w:rFonts w:hint="default" w:ascii="宋体" w:hAnsi="宋体" w:cs="宋体"/>
                <w:b/>
                <w:bCs/>
                <w:color w:val="auto"/>
                <w:sz w:val="21"/>
                <w:szCs w:val="21"/>
                <w:highlight w:val="none"/>
              </w:rPr>
            </w:pPr>
            <w:r>
              <w:rPr>
                <w:rFonts w:hint="eastAsia" w:ascii="宋体" w:hAnsi="宋体" w:cs="宋体"/>
                <w:b/>
                <w:bCs/>
                <w:color w:val="auto"/>
                <w:szCs w:val="21"/>
                <w:highlight w:val="none"/>
                <w:lang w:eastAsia="zh-CN"/>
              </w:rPr>
              <w:t>技术</w:t>
            </w:r>
            <w:r>
              <w:rPr>
                <w:rFonts w:ascii="宋体" w:hAnsi="宋体" w:cs="宋体"/>
                <w:b/>
                <w:bCs/>
                <w:color w:val="auto"/>
                <w:szCs w:val="21"/>
                <w:highlight w:val="none"/>
              </w:rPr>
              <w:t>响应</w:t>
            </w:r>
          </w:p>
        </w:tc>
        <w:tc>
          <w:tcPr>
            <w:tcW w:w="850" w:type="dxa"/>
            <w:tcBorders>
              <w:tl2br w:val="nil"/>
              <w:tr2bl w:val="nil"/>
            </w:tcBorders>
            <w:noWrap/>
            <w:vAlign w:val="center"/>
          </w:tcPr>
          <w:p>
            <w:pPr>
              <w:adjustRightInd w:val="0"/>
              <w:snapToGrid w:val="0"/>
              <w:spacing w:before="24" w:after="24" w:line="240" w:lineRule="auto"/>
              <w:ind w:firstLine="31" w:firstLineChars="13"/>
              <w:jc w:val="left"/>
              <w:rPr>
                <w:rFonts w:hint="default" w:ascii="宋体" w:hAnsi="宋体" w:cs="宋体"/>
                <w:b/>
                <w:bCs/>
                <w:color w:val="auto"/>
                <w:sz w:val="21"/>
                <w:szCs w:val="21"/>
                <w:highlight w:val="none"/>
              </w:rPr>
            </w:pPr>
            <w:r>
              <w:rPr>
                <w:rFonts w:ascii="宋体" w:hAnsi="宋体" w:cs="宋体"/>
                <w:b/>
                <w:bCs/>
                <w:color w:val="auto"/>
                <w:szCs w:val="21"/>
                <w:highlight w:val="none"/>
              </w:rPr>
              <w:t>偏离</w:t>
            </w:r>
          </w:p>
        </w:tc>
        <w:tc>
          <w:tcPr>
            <w:tcW w:w="1874" w:type="dxa"/>
            <w:tcBorders>
              <w:tl2br w:val="nil"/>
              <w:tr2bl w:val="nil"/>
            </w:tcBorders>
            <w:noWrap/>
            <w:vAlign w:val="center"/>
          </w:tcPr>
          <w:p>
            <w:pPr>
              <w:adjustRightInd w:val="0"/>
              <w:snapToGrid w:val="0"/>
              <w:spacing w:before="24" w:after="24" w:line="240" w:lineRule="auto"/>
              <w:ind w:firstLine="178" w:firstLineChars="74"/>
              <w:jc w:val="left"/>
              <w:rPr>
                <w:rFonts w:hint="default" w:ascii="宋体" w:hAnsi="宋体" w:cs="宋体"/>
                <w:b/>
                <w:bCs/>
                <w:color w:val="auto"/>
                <w:sz w:val="21"/>
                <w:szCs w:val="21"/>
                <w:highlight w:val="none"/>
              </w:rPr>
            </w:pPr>
            <w:r>
              <w:rPr>
                <w:rFonts w:ascii="宋体" w:hAnsi="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7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50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2131"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850"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c>
          <w:tcPr>
            <w:tcW w:w="1874" w:type="dxa"/>
            <w:tcBorders>
              <w:tl2br w:val="nil"/>
              <w:tr2bl w:val="nil"/>
            </w:tcBorders>
            <w:noWrap/>
          </w:tcPr>
          <w:p>
            <w:pPr>
              <w:adjustRightInd w:val="0"/>
              <w:snapToGrid w:val="0"/>
              <w:spacing w:before="24" w:after="24" w:line="240" w:lineRule="auto"/>
              <w:ind w:firstLine="525" w:firstLineChars="250"/>
              <w:rPr>
                <w:rFonts w:hint="default" w:ascii="宋体" w:hAnsi="宋体" w:cs="宋体"/>
                <w:bCs/>
                <w:color w:val="auto"/>
                <w:sz w:val="21"/>
                <w:szCs w:val="21"/>
                <w:highlight w:val="none"/>
              </w:rPr>
            </w:pPr>
          </w:p>
        </w:tc>
      </w:tr>
    </w:tbl>
    <w:p>
      <w:pPr>
        <w:spacing w:before="24" w:after="24" w:line="20" w:lineRule="exact"/>
        <w:rPr>
          <w:rFonts w:hint="default" w:ascii="宋体" w:hAnsi="宋体" w:cs="宋体"/>
          <w:color w:val="auto"/>
          <w:highlight w:val="none"/>
        </w:rPr>
      </w:pPr>
    </w:p>
    <w:p>
      <w:pPr>
        <w:adjustRightInd w:val="0"/>
        <w:snapToGrid w:val="0"/>
        <w:spacing w:before="24" w:after="24" w:line="240" w:lineRule="auto"/>
        <w:ind w:firstLine="600" w:firstLineChars="250"/>
        <w:rPr>
          <w:rFonts w:hint="default" w:ascii="宋体" w:hAnsi="宋体" w:cs="宋体"/>
          <w:bCs/>
          <w:color w:val="auto"/>
          <w:sz w:val="21"/>
          <w:szCs w:val="21"/>
          <w:highlight w:val="none"/>
        </w:rPr>
      </w:pPr>
      <w:r>
        <w:rPr>
          <w:rFonts w:ascii="宋体" w:hAnsi="宋体" w:cs="宋体"/>
          <w:bCs/>
          <w:color w:val="auto"/>
          <w:szCs w:val="21"/>
          <w:highlight w:val="none"/>
        </w:rPr>
        <w:t>说明：</w:t>
      </w:r>
    </w:p>
    <w:p>
      <w:pPr>
        <w:adjustRightInd w:val="0"/>
        <w:snapToGrid w:val="0"/>
        <w:spacing w:before="24" w:after="24" w:line="240" w:lineRule="auto"/>
        <w:ind w:firstLine="600" w:firstLineChars="250"/>
        <w:rPr>
          <w:rFonts w:hint="default" w:ascii="宋体" w:hAnsi="宋体" w:cs="宋体"/>
          <w:bCs/>
          <w:color w:val="auto"/>
          <w:szCs w:val="21"/>
          <w:highlight w:val="none"/>
        </w:rPr>
      </w:pPr>
      <w:r>
        <w:rPr>
          <w:rFonts w:ascii="宋体" w:hAnsi="宋体" w:cs="宋体"/>
          <w:bCs/>
          <w:color w:val="auto"/>
          <w:szCs w:val="21"/>
          <w:highlight w:val="none"/>
        </w:rPr>
        <w:t>1.本表需填写响应文件与磋商文件要求中</w:t>
      </w:r>
      <w:r>
        <w:rPr>
          <w:rFonts w:hint="eastAsia" w:ascii="宋体" w:hAnsi="宋体" w:cs="宋体"/>
          <w:bCs/>
          <w:color w:val="auto"/>
          <w:szCs w:val="21"/>
          <w:highlight w:val="none"/>
          <w:lang w:eastAsia="zh-CN"/>
        </w:rPr>
        <w:t>技术要求</w:t>
      </w:r>
      <w:r>
        <w:rPr>
          <w:rFonts w:ascii="宋体" w:hAnsi="宋体" w:cs="宋体"/>
          <w:bCs/>
          <w:color w:val="auto"/>
          <w:szCs w:val="21"/>
          <w:highlight w:val="none"/>
        </w:rPr>
        <w:t>的偏离内容，商</w:t>
      </w:r>
      <w:r>
        <w:rPr>
          <w:rFonts w:hint="eastAsia" w:ascii="宋体" w:hAnsi="宋体" w:cs="宋体"/>
          <w:bCs/>
          <w:color w:val="auto"/>
          <w:szCs w:val="21"/>
          <w:highlight w:val="none"/>
          <w:lang w:eastAsia="zh-CN"/>
        </w:rPr>
        <w:t>技术要求</w:t>
      </w:r>
      <w:r>
        <w:rPr>
          <w:rFonts w:ascii="宋体" w:hAnsi="宋体" w:cs="宋体"/>
          <w:bCs/>
          <w:color w:val="auto"/>
          <w:szCs w:val="21"/>
          <w:highlight w:val="none"/>
        </w:rPr>
        <w:t>不允许有负偏离。响应文件中</w:t>
      </w:r>
      <w:r>
        <w:rPr>
          <w:rFonts w:hint="eastAsia" w:ascii="宋体" w:hAnsi="宋体" w:cs="宋体"/>
          <w:bCs/>
          <w:color w:val="auto"/>
          <w:szCs w:val="21"/>
          <w:highlight w:val="none"/>
          <w:lang w:eastAsia="zh-CN"/>
        </w:rPr>
        <w:t>技术</w:t>
      </w:r>
      <w:r>
        <w:rPr>
          <w:rFonts w:ascii="宋体" w:hAnsi="宋体" w:cs="宋体"/>
          <w:bCs/>
          <w:color w:val="auto"/>
          <w:szCs w:val="21"/>
          <w:highlight w:val="none"/>
        </w:rPr>
        <w:t>响应与磋商文件要求完全一致的，不用在此表中逐一列出，此表空白视为完全响应，无偏离。</w:t>
      </w:r>
    </w:p>
    <w:p>
      <w:pPr>
        <w:adjustRightInd w:val="0"/>
        <w:snapToGrid w:val="0"/>
        <w:spacing w:before="24" w:after="24" w:line="240" w:lineRule="auto"/>
        <w:ind w:firstLine="600" w:firstLineChars="250"/>
        <w:rPr>
          <w:rFonts w:hint="default" w:ascii="宋体" w:hAnsi="宋体" w:cs="宋体"/>
          <w:bCs/>
          <w:color w:val="auto"/>
          <w:szCs w:val="21"/>
          <w:highlight w:val="none"/>
        </w:rPr>
      </w:pPr>
      <w:r>
        <w:rPr>
          <w:rFonts w:ascii="宋体" w:hAnsi="宋体" w:cs="宋体"/>
          <w:bCs/>
          <w:color w:val="auto"/>
          <w:szCs w:val="21"/>
          <w:highlight w:val="none"/>
        </w:rPr>
        <w:t>2.供应商必须据实填写，不得虚假响应，否则将取消其</w:t>
      </w:r>
      <w:r>
        <w:rPr>
          <w:rFonts w:hint="eastAsia" w:ascii="宋体" w:hAnsi="宋体" w:cs="宋体"/>
          <w:bCs/>
          <w:color w:val="auto"/>
          <w:szCs w:val="21"/>
          <w:highlight w:val="none"/>
          <w:lang w:eastAsia="zh-CN"/>
        </w:rPr>
        <w:t>磋商</w:t>
      </w:r>
      <w:r>
        <w:rPr>
          <w:rFonts w:ascii="宋体" w:hAnsi="宋体" w:cs="宋体"/>
          <w:bCs/>
          <w:color w:val="auto"/>
          <w:szCs w:val="21"/>
          <w:highlight w:val="none"/>
        </w:rPr>
        <w:t>或</w:t>
      </w:r>
      <w:r>
        <w:rPr>
          <w:rFonts w:hint="eastAsia" w:ascii="宋体" w:hAnsi="宋体" w:cs="宋体"/>
          <w:bCs/>
          <w:color w:val="auto"/>
          <w:szCs w:val="21"/>
          <w:highlight w:val="none"/>
          <w:lang w:eastAsia="zh-CN"/>
        </w:rPr>
        <w:t>成交</w:t>
      </w:r>
      <w:r>
        <w:rPr>
          <w:rFonts w:ascii="宋体" w:hAnsi="宋体" w:cs="宋体"/>
          <w:bCs/>
          <w:color w:val="auto"/>
          <w:szCs w:val="21"/>
          <w:highlight w:val="none"/>
        </w:rPr>
        <w:t>资格，并按有关规定进处罚。</w:t>
      </w:r>
    </w:p>
    <w:p>
      <w:pPr>
        <w:spacing w:before="24" w:after="24" w:line="520" w:lineRule="exact"/>
        <w:ind w:firstLine="480" w:firstLineChars="200"/>
        <w:rPr>
          <w:rFonts w:hint="default" w:ascii="宋体" w:hAnsi="宋体" w:cs="宋体"/>
          <w:color w:val="auto"/>
          <w:szCs w:val="24"/>
          <w:highlight w:val="none"/>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被授权人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ind w:firstLine="480" w:firstLineChars="200"/>
        <w:rPr>
          <w:rFonts w:hint="eastAsia" w:hAnsi="宋体" w:cs="宋体"/>
          <w:b/>
          <w:bCs/>
          <w:color w:val="auto"/>
          <w:sz w:val="36"/>
          <w:szCs w:val="36"/>
          <w:highlight w:val="none"/>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r>
        <w:rPr>
          <w:rFonts w:hint="eastAsia" w:hAnsi="宋体" w:cs="宋体"/>
          <w:b/>
          <w:bCs/>
          <w:color w:val="auto"/>
          <w:sz w:val="36"/>
          <w:szCs w:val="36"/>
          <w:highlight w:val="none"/>
        </w:rPr>
        <w:br w:type="page"/>
      </w:r>
    </w:p>
    <w:p>
      <w:pPr>
        <w:pStyle w:val="5"/>
        <w:widowControl w:val="0"/>
        <w:numPr>
          <w:ilvl w:val="1"/>
          <w:numId w:val="0"/>
        </w:numPr>
        <w:spacing w:before="120" w:after="24"/>
        <w:jc w:val="center"/>
        <w:rPr>
          <w:rFonts w:hAnsi="宋体" w:cs="宋体"/>
          <w:color w:val="auto"/>
          <w:sz w:val="28"/>
          <w:szCs w:val="28"/>
          <w:highlight w:val="none"/>
        </w:rPr>
      </w:pPr>
      <w:r>
        <w:rPr>
          <w:rFonts w:hint="eastAsia" w:hAnsi="宋体" w:cs="宋体"/>
          <w:b/>
          <w:bCs/>
          <w:color w:val="auto"/>
          <w:sz w:val="30"/>
          <w:szCs w:val="30"/>
          <w:highlight w:val="none"/>
        </w:rPr>
        <w:t>五、供应商参加政府采购活动承诺书</w:t>
      </w:r>
      <w:bookmarkEnd w:id="238"/>
      <w:bookmarkEnd w:id="239"/>
    </w:p>
    <w:p>
      <w:pPr>
        <w:spacing w:beforeLines="50" w:after="24"/>
        <w:jc w:val="center"/>
        <w:rPr>
          <w:rFonts w:hint="default" w:ascii="宋体" w:hAnsi="宋体" w:cs="宋体"/>
          <w:b/>
          <w:bCs/>
          <w:color w:val="auto"/>
          <w:szCs w:val="24"/>
          <w:highlight w:val="none"/>
        </w:rPr>
      </w:pPr>
      <w:bookmarkStart w:id="240" w:name="_Toc24655"/>
      <w:r>
        <w:rPr>
          <w:rFonts w:ascii="宋体" w:hAnsi="宋体" w:cs="宋体"/>
          <w:b/>
          <w:bCs/>
          <w:color w:val="auto"/>
          <w:szCs w:val="24"/>
          <w:highlight w:val="none"/>
        </w:rPr>
        <w:t>（一）参加政府采购活动行为自律承诺书</w:t>
      </w:r>
      <w:bookmarkEnd w:id="240"/>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作为参加本次政府采购项目的供应商，我方郑重承诺在参与政府采购活动中遵纪守法、公平竞争、诚实守信，如有违反愿承担一切责任及后果：</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1．不与采购人、采购代理机构、政府采购评审专家恶意串通，不向其行贿或提供其他不正当利益；</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2．不与其他供应商恶意串通，采取“围标、串标、陪标”等商业欺诈手段谋取中标、成交；</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3．不提供虚假或无效证明文件（包括但不限于资格证明文件、合同及验收文件、检验检测报告、从业人员资格证书、机构或所投产品的各类认证证书等）或虚假材料谋取中标、成交；</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4．不采取不正当手段诋毁、排挤其他供应商；</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5．不以不正当理由拒不与采购人签订政府采购合同，或逾期签订政府采购合同，或不按照采购文件确定的事项签订政府采购合同；</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6．不以不正当理由拒绝履行合同义务，不会擅自变更、中止或者终止政府采购合同或将政府采购合同转包；</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7．不在提供商品、服务或工程施工过程中提供假冒伪劣产品，损害采购人的合法权益或公共利益；</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8．不采取捏造事实、提供虚假材料或者以非法手段取得证明材料进行质疑和投诉；</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9．不发生其他有悖于政府采购公开、公平、公正和诚信原则的行为。</w:t>
      </w:r>
    </w:p>
    <w:p>
      <w:pPr>
        <w:spacing w:beforeLines="0" w:afterLines="0"/>
        <w:ind w:firstLine="480" w:firstLineChars="200"/>
        <w:rPr>
          <w:rFonts w:hint="default" w:ascii="宋体" w:hAnsi="宋体" w:cs="宋体"/>
          <w:color w:val="auto"/>
          <w:szCs w:val="24"/>
          <w:highlight w:val="none"/>
        </w:rPr>
      </w:pPr>
      <w:r>
        <w:rPr>
          <w:rFonts w:ascii="宋体" w:hAnsi="宋体" w:cs="宋体"/>
          <w:color w:val="auto"/>
          <w:szCs w:val="24"/>
          <w:highlight w:val="none"/>
        </w:rPr>
        <w:t>10．尊重和接受政府采购监督管理部门的监督和采购人、采购代理机构的政府采购工作要求，愿意承担因违约行为给采购人造成的损失。</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rPr>
          <w:rFonts w:hint="default" w:ascii="宋体" w:hAnsi="宋体" w:cs="宋体"/>
          <w:color w:val="auto"/>
          <w:sz w:val="32"/>
          <w:szCs w:val="32"/>
          <w:highlight w:val="none"/>
        </w:rPr>
      </w:pPr>
      <w:r>
        <w:rPr>
          <w:rFonts w:ascii="宋体" w:hAnsi="宋体" w:cs="宋体"/>
          <w:color w:val="auto"/>
          <w:highlight w:val="none"/>
        </w:rPr>
        <w:br w:type="page"/>
      </w:r>
    </w:p>
    <w:p>
      <w:pPr>
        <w:spacing w:beforeLines="50" w:after="24"/>
        <w:jc w:val="center"/>
        <w:rPr>
          <w:rFonts w:hint="default" w:ascii="宋体" w:hAnsi="宋体" w:cs="宋体"/>
          <w:b/>
          <w:bCs/>
          <w:color w:val="auto"/>
          <w:szCs w:val="24"/>
          <w:highlight w:val="none"/>
        </w:rPr>
      </w:pPr>
      <w:r>
        <w:rPr>
          <w:rFonts w:ascii="宋体" w:hAnsi="宋体" w:cs="宋体"/>
          <w:b/>
          <w:bCs/>
          <w:color w:val="auto"/>
          <w:szCs w:val="24"/>
          <w:highlight w:val="none"/>
        </w:rPr>
        <w:t>（二）陕西省政府采购供应商拒绝政府采购领域商业贿赂承诺书</w:t>
      </w:r>
    </w:p>
    <w:p>
      <w:pPr>
        <w:widowControl/>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为响应党中央、国务院关于治理政府采购领域商业贿赂行为的号召，我</w:t>
      </w:r>
      <w:r>
        <w:rPr>
          <w:rFonts w:ascii="宋体" w:hAnsi="宋体" w:cs="宋体"/>
          <w:color w:val="auto"/>
          <w:szCs w:val="24"/>
          <w:highlight w:val="none"/>
        </w:rPr>
        <w:t>单位</w:t>
      </w:r>
      <w:r>
        <w:rPr>
          <w:rFonts w:ascii="宋体" w:hAnsi="宋体" w:cs="宋体"/>
          <w:color w:val="auto"/>
          <w:highlight w:val="none"/>
        </w:rPr>
        <w:t>在此庄严承诺：</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在参与政府采购活动中遵纪守法、诚信经营、公平竞标。</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不向政府采购人、采购代理机构和政府采购评审专家进行任何形式的商业贿赂以谋取交易机会。</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不向政府采购代理机构和采购人提供虚假资质文件或采用虚假应标方式参与政府采购市场竞争并谋取中标、成交。</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不采取“围标、陪标”等商业欺诈手段获得政府采购定单。</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不采取不正当手段诋毁、排挤其他供应商。</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不在提供商品和服务时“偷梁换柱、以次充好”损害采购人的合法权益。</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不与采购人、采购代理机构政府采购评审专家或其它供应商恶意串通，进行质疑和投诉，维护政府采购市场秩序。</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尊重和接受政府采购监督管理部门的监督和政府采购代理机构采购要求，承担因违约行为给采购人造成的损失。</w:t>
      </w:r>
    </w:p>
    <w:p>
      <w:pPr>
        <w:widowControl/>
        <w:numPr>
          <w:ilvl w:val="0"/>
          <w:numId w:val="12"/>
        </w:numPr>
        <w:spacing w:before="24" w:after="24"/>
        <w:ind w:firstLine="480" w:firstLineChars="200"/>
        <w:jc w:val="left"/>
        <w:rPr>
          <w:rFonts w:hint="default" w:ascii="宋体" w:hAnsi="宋体" w:cs="宋体"/>
          <w:color w:val="auto"/>
          <w:highlight w:val="none"/>
        </w:rPr>
      </w:pPr>
      <w:r>
        <w:rPr>
          <w:rFonts w:ascii="宋体" w:hAnsi="宋体" w:cs="宋体"/>
          <w:color w:val="auto"/>
          <w:highlight w:val="none"/>
        </w:rPr>
        <w:t>不发生其他有悖于政府采购公开、公平、公正和诚信原则的行为。</w:t>
      </w:r>
    </w:p>
    <w:p>
      <w:pPr>
        <w:pStyle w:val="21"/>
        <w:rPr>
          <w:rFonts w:hint="default" w:ascii="宋体" w:hAnsi="宋体" w:cs="宋体"/>
          <w:color w:val="auto"/>
          <w:highlight w:val="none"/>
        </w:rPr>
      </w:pPr>
    </w:p>
    <w:p>
      <w:pPr>
        <w:widowControl/>
        <w:spacing w:before="24" w:after="24"/>
        <w:ind w:left="274" w:leftChars="114"/>
        <w:jc w:val="left"/>
        <w:rPr>
          <w:rFonts w:hint="default" w:ascii="宋体" w:hAnsi="宋体" w:cs="宋体"/>
          <w:color w:val="auto"/>
          <w:highlight w:val="none"/>
        </w:rPr>
      </w:pPr>
      <w:r>
        <w:rPr>
          <w:rFonts w:ascii="宋体" w:hAnsi="宋体" w:cs="宋体"/>
          <w:color w:val="auto"/>
          <w:highlight w:val="none"/>
        </w:rPr>
        <w:t>承诺单位：</w:t>
      </w:r>
      <w:r>
        <w:rPr>
          <w:rFonts w:ascii="宋体" w:hAnsi="宋体" w:cs="宋体"/>
          <w:color w:val="auto"/>
          <w:highlight w:val="none"/>
          <w:u w:val="single"/>
        </w:rPr>
        <w:t xml:space="preserve">                        </w:t>
      </w:r>
      <w:r>
        <w:rPr>
          <w:rFonts w:ascii="宋体" w:hAnsi="宋体" w:cs="宋体"/>
          <w:color w:val="auto"/>
          <w:highlight w:val="none"/>
        </w:rPr>
        <w:t>（盖章）</w:t>
      </w:r>
    </w:p>
    <w:p>
      <w:pPr>
        <w:widowControl/>
        <w:spacing w:before="24" w:after="24"/>
        <w:ind w:left="274" w:leftChars="114"/>
        <w:jc w:val="left"/>
        <w:rPr>
          <w:rFonts w:hint="default" w:ascii="宋体" w:hAnsi="宋体" w:cs="宋体"/>
          <w:color w:val="auto"/>
          <w:highlight w:val="none"/>
        </w:rPr>
      </w:pPr>
      <w:r>
        <w:rPr>
          <w:rFonts w:ascii="宋体" w:hAnsi="宋体" w:cs="宋体"/>
          <w:color w:val="auto"/>
          <w:highlight w:val="none"/>
        </w:rPr>
        <w:t>被授权人：</w:t>
      </w:r>
      <w:r>
        <w:rPr>
          <w:rFonts w:ascii="宋体" w:hAnsi="宋体" w:cs="宋体"/>
          <w:color w:val="auto"/>
          <w:highlight w:val="none"/>
          <w:u w:val="single"/>
        </w:rPr>
        <w:t xml:space="preserve">                         </w:t>
      </w:r>
      <w:r>
        <w:rPr>
          <w:rFonts w:ascii="宋体" w:hAnsi="宋体" w:cs="宋体"/>
          <w:color w:val="auto"/>
          <w:highlight w:val="none"/>
        </w:rPr>
        <w:t>（</w:t>
      </w:r>
      <w:r>
        <w:rPr>
          <w:rFonts w:ascii="宋体" w:hAnsi="宋体" w:cs="宋体"/>
          <w:color w:val="auto"/>
          <w:szCs w:val="24"/>
          <w:highlight w:val="none"/>
        </w:rPr>
        <w:t>签字</w:t>
      </w:r>
      <w:r>
        <w:rPr>
          <w:rFonts w:ascii="宋体" w:hAnsi="宋体" w:cs="宋体"/>
          <w:color w:val="auto"/>
          <w:highlight w:val="none"/>
        </w:rPr>
        <w:t>）</w:t>
      </w:r>
    </w:p>
    <w:p>
      <w:pPr>
        <w:widowControl/>
        <w:spacing w:before="24" w:after="24"/>
        <w:ind w:left="274" w:leftChars="114"/>
        <w:jc w:val="left"/>
        <w:rPr>
          <w:rFonts w:hint="default" w:ascii="宋体" w:hAnsi="宋体" w:cs="宋体"/>
          <w:color w:val="auto"/>
          <w:highlight w:val="none"/>
        </w:rPr>
      </w:pPr>
      <w:r>
        <w:rPr>
          <w:rFonts w:ascii="宋体" w:hAnsi="宋体" w:cs="宋体"/>
          <w:color w:val="auto"/>
          <w:highlight w:val="none"/>
        </w:rPr>
        <w:t>地址：</w:t>
      </w:r>
      <w:r>
        <w:rPr>
          <w:rFonts w:ascii="宋体" w:hAnsi="宋体" w:cs="宋体"/>
          <w:color w:val="auto"/>
          <w:highlight w:val="none"/>
          <w:u w:val="single"/>
        </w:rPr>
        <w:t xml:space="preserve">                                 </w:t>
      </w:r>
    </w:p>
    <w:p>
      <w:pPr>
        <w:widowControl/>
        <w:spacing w:before="24" w:after="24"/>
        <w:ind w:left="274" w:leftChars="114"/>
        <w:jc w:val="left"/>
        <w:rPr>
          <w:rFonts w:hint="default" w:ascii="宋体" w:hAnsi="宋体" w:cs="宋体"/>
          <w:color w:val="auto"/>
          <w:highlight w:val="none"/>
          <w:u w:val="single"/>
        </w:rPr>
      </w:pPr>
      <w:r>
        <w:rPr>
          <w:rFonts w:ascii="宋体" w:hAnsi="宋体" w:cs="宋体"/>
          <w:color w:val="auto"/>
          <w:highlight w:val="none"/>
        </w:rPr>
        <w:t>邮编：</w:t>
      </w:r>
      <w:r>
        <w:rPr>
          <w:rFonts w:ascii="宋体" w:hAnsi="宋体" w:cs="宋体"/>
          <w:color w:val="auto"/>
          <w:highlight w:val="none"/>
          <w:u w:val="single"/>
        </w:rPr>
        <w:t xml:space="preserve">                                 </w:t>
      </w:r>
    </w:p>
    <w:p>
      <w:pPr>
        <w:widowControl/>
        <w:spacing w:before="24" w:after="24"/>
        <w:ind w:left="274" w:leftChars="114"/>
        <w:jc w:val="left"/>
        <w:rPr>
          <w:rFonts w:hint="default" w:ascii="宋体" w:hAnsi="宋体" w:cs="宋体"/>
          <w:color w:val="auto"/>
          <w:highlight w:val="none"/>
        </w:rPr>
      </w:pPr>
      <w:r>
        <w:rPr>
          <w:rFonts w:ascii="宋体" w:hAnsi="宋体" w:cs="宋体"/>
          <w:color w:val="auto"/>
          <w:highlight w:val="none"/>
        </w:rPr>
        <w:t>电    话：</w:t>
      </w:r>
      <w:r>
        <w:rPr>
          <w:rFonts w:ascii="宋体" w:hAnsi="宋体" w:cs="宋体"/>
          <w:color w:val="auto"/>
          <w:highlight w:val="none"/>
          <w:u w:val="single"/>
        </w:rPr>
        <w:t xml:space="preserve">                             </w:t>
      </w:r>
    </w:p>
    <w:p>
      <w:pPr>
        <w:widowControl/>
        <w:spacing w:before="24" w:after="24"/>
        <w:ind w:left="274" w:leftChars="114"/>
        <w:jc w:val="left"/>
        <w:rPr>
          <w:rFonts w:hint="default" w:ascii="宋体" w:hAnsi="宋体" w:cs="宋体"/>
          <w:color w:val="auto"/>
          <w:szCs w:val="24"/>
          <w:highlight w:val="none"/>
          <w:lang w:val="zh-CN"/>
        </w:rPr>
      </w:pPr>
      <w:r>
        <w:rPr>
          <w:rFonts w:ascii="宋体" w:hAnsi="宋体" w:cs="宋体"/>
          <w:color w:val="auto"/>
          <w:highlight w:val="none"/>
          <w:lang w:val="zh-CN"/>
        </w:rPr>
        <w:t>日期</w:t>
      </w:r>
      <w:r>
        <w:rPr>
          <w:rFonts w:ascii="宋体" w:hAnsi="宋体" w:cs="宋体"/>
          <w:color w:val="auto"/>
          <w:szCs w:val="24"/>
          <w:highlight w:val="none"/>
          <w:lang w:val="zh-CN"/>
        </w:rPr>
        <w:t>：</w:t>
      </w:r>
      <w:r>
        <w:rPr>
          <w:rFonts w:ascii="宋体" w:hAnsi="宋体" w:cs="宋体"/>
          <w:color w:val="auto"/>
          <w:szCs w:val="24"/>
          <w:highlight w:val="none"/>
          <w:u w:val="single"/>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rPr>
        <w:t xml:space="preserve">    </w:t>
      </w:r>
      <w:r>
        <w:rPr>
          <w:rFonts w:ascii="宋体" w:hAnsi="宋体" w:cs="宋体"/>
          <w:color w:val="auto"/>
          <w:szCs w:val="24"/>
          <w:highlight w:val="none"/>
          <w:lang w:val="zh-CN"/>
        </w:rPr>
        <w:t>日</w:t>
      </w:r>
    </w:p>
    <w:p>
      <w:pPr>
        <w:spacing w:before="24" w:after="24"/>
        <w:rPr>
          <w:rFonts w:hint="default" w:ascii="宋体" w:hAnsi="宋体" w:cs="宋体"/>
          <w:color w:val="auto"/>
          <w:sz w:val="28"/>
          <w:szCs w:val="28"/>
          <w:highlight w:val="none"/>
        </w:rPr>
      </w:pPr>
      <w:r>
        <w:rPr>
          <w:rFonts w:ascii="宋体" w:hAnsi="宋体" w:cs="宋体"/>
          <w:color w:val="auto"/>
          <w:sz w:val="28"/>
          <w:szCs w:val="28"/>
          <w:highlight w:val="none"/>
        </w:rPr>
        <w:br w:type="page"/>
      </w:r>
    </w:p>
    <w:p>
      <w:pPr>
        <w:spacing w:beforeLines="50" w:after="24"/>
        <w:jc w:val="center"/>
        <w:rPr>
          <w:rFonts w:hint="default" w:ascii="宋体" w:hAnsi="宋体" w:cs="宋体"/>
          <w:b/>
          <w:bCs/>
          <w:color w:val="auto"/>
          <w:szCs w:val="24"/>
          <w:highlight w:val="none"/>
        </w:rPr>
      </w:pPr>
      <w:bookmarkStart w:id="241" w:name="_Toc4529"/>
      <w:bookmarkStart w:id="242" w:name="_Toc27342"/>
      <w:r>
        <w:rPr>
          <w:rFonts w:ascii="宋体" w:hAnsi="宋体" w:cs="宋体"/>
          <w:b/>
          <w:bCs/>
          <w:color w:val="auto"/>
          <w:szCs w:val="24"/>
          <w:highlight w:val="none"/>
        </w:rPr>
        <w:t>（三）宝鸡市政府采购供应商诚信承诺书</w:t>
      </w:r>
    </w:p>
    <w:p>
      <w:pPr>
        <w:spacing w:before="24" w:after="24"/>
        <w:jc w:val="left"/>
        <w:rPr>
          <w:rFonts w:hint="default" w:ascii="宋体" w:hAnsi="宋体"/>
          <w:b/>
          <w:color w:val="auto"/>
          <w:kern w:val="0"/>
          <w:highlight w:val="none"/>
        </w:rPr>
      </w:pPr>
    </w:p>
    <w:p>
      <w:pPr>
        <w:spacing w:before="24" w:after="24"/>
        <w:rPr>
          <w:rFonts w:hint="default" w:ascii="宋体" w:hAnsi="宋体"/>
          <w:color w:val="auto"/>
          <w:kern w:val="0"/>
          <w:highlight w:val="none"/>
        </w:rPr>
      </w:pPr>
      <w:r>
        <w:rPr>
          <w:rFonts w:ascii="宋体" w:hAnsi="宋体"/>
          <w:color w:val="auto"/>
          <w:kern w:val="0"/>
          <w:highlight w:val="none"/>
        </w:rPr>
        <w:t xml:space="preserve">致： </w:t>
      </w:r>
      <w:r>
        <w:rPr>
          <w:rFonts w:ascii="宋体" w:hAnsi="宋体"/>
          <w:color w:val="auto"/>
          <w:kern w:val="0"/>
          <w:highlight w:val="none"/>
          <w:u w:val="single"/>
        </w:rPr>
        <w:t>（采购人名称）</w:t>
      </w:r>
      <w:r>
        <w:rPr>
          <w:rFonts w:ascii="宋体" w:hAnsi="宋体"/>
          <w:color w:val="auto"/>
          <w:kern w:val="0"/>
          <w:highlight w:val="none"/>
        </w:rPr>
        <w:t xml:space="preserve"> </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统一社会信用代码为</w:t>
      </w:r>
      <w:r>
        <w:rPr>
          <w:rFonts w:ascii="宋体" w:hAnsi="宋体"/>
          <w:color w:val="auto"/>
          <w:kern w:val="0"/>
          <w:highlight w:val="none"/>
          <w:u w:val="single"/>
        </w:rPr>
        <w:t xml:space="preserve">         </w:t>
      </w:r>
      <w:r>
        <w:rPr>
          <w:rFonts w:ascii="宋体" w:hAnsi="宋体"/>
          <w:color w:val="auto"/>
          <w:kern w:val="0"/>
          <w:highlight w:val="none"/>
        </w:rPr>
        <w:t>的我方</w:t>
      </w:r>
      <w:r>
        <w:rPr>
          <w:rFonts w:ascii="宋体" w:hAnsi="宋体"/>
          <w:color w:val="auto"/>
          <w:kern w:val="0"/>
          <w:highlight w:val="none"/>
          <w:u w:val="single"/>
        </w:rPr>
        <w:t xml:space="preserve">             </w:t>
      </w:r>
      <w:r>
        <w:rPr>
          <w:rFonts w:ascii="宋体" w:hAnsi="宋体"/>
          <w:color w:val="auto"/>
          <w:kern w:val="0"/>
          <w:highlight w:val="none"/>
        </w:rPr>
        <w:t>（供应商名称）自愿参加贵单位组织的编号为</w:t>
      </w:r>
      <w:r>
        <w:rPr>
          <w:rFonts w:ascii="宋体" w:hAnsi="宋体"/>
          <w:color w:val="auto"/>
          <w:kern w:val="0"/>
          <w:highlight w:val="none"/>
          <w:u w:val="single"/>
        </w:rPr>
        <w:t xml:space="preserve">           </w:t>
      </w:r>
      <w:r>
        <w:rPr>
          <w:rFonts w:ascii="宋体" w:hAnsi="宋体"/>
          <w:color w:val="auto"/>
          <w:kern w:val="0"/>
          <w:highlight w:val="none"/>
        </w:rPr>
        <w:t xml:space="preserve"> （采购项目编号）的</w:t>
      </w:r>
      <w:r>
        <w:rPr>
          <w:rFonts w:ascii="宋体" w:hAnsi="宋体"/>
          <w:color w:val="auto"/>
          <w:kern w:val="0"/>
          <w:highlight w:val="none"/>
          <w:u w:val="single"/>
        </w:rPr>
        <w:t xml:space="preserve">        </w:t>
      </w:r>
      <w:r>
        <w:rPr>
          <w:rFonts w:ascii="宋体" w:hAnsi="宋体"/>
          <w:color w:val="auto"/>
          <w:kern w:val="0"/>
          <w:highlight w:val="none"/>
        </w:rPr>
        <w:t>项目（采购项目名称）的政府采购活动，我方已知悉并理解本项目采购文件的各项要求。为贯彻公开、公平、公正和诚实信用的政府采购原则，共同维护宝鸡市政府采购市场良好秩序，我方郑重声明和承诺如下：</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一、在参加本次政府采购活动中严格遵守《中国人民共和国政府采购法》等法律、法规、规章及宝鸡市有关规定。</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二、我方郑重声明，在参加本次政府采购活动前三年内，无因违法经营受到刑事处罚或者责令停产停业、吊销许可证或者执照、较大数额罚款等重大违法记录。</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我方同时声明，在参加本次政府采购活动前，未被列入失信被执行人、重大税收违法案件当事人名单、政府采购严重违法失信行为记录名单。</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我方对以上声明的真实性负责，接受采购人、采购代理机构根据相关政策规定进行的信用记录查询。如发现以上声明不实，我方承担相应后果。</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三、我方郑重承诺，在参加本次政府采购活动中：</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 xml:space="preserve">（1）不向采购人、采购代理机构和评审专家提供任何形式的商业贿赂或者提供其他不正当利益。对索取或接受商业贿赂的单位和个人，及时向财政部门和监察机关举报；  </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（2）不与其它供应商串通采取围标、陪标等商业欺诈手段谋取中标（成交）；</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（3）不出借或借用资质；</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（4）不与采购人、采购代理机构、评审专家恶意串通；</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（5）不采取不正当手段诋毁、排挤其他供应商；</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（6）不以虚假材料谋取中标（成交）；</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（7）不以低于成本价或恶意低价竞争；</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（8）不与采购人在招标采购过程中进行协商；</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（9）中标或者成交后不得提供假冒伪劣产品；</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（10）中标或者成交后非因不可抗力不得变更磋商（响应）文件中承诺的项目管理实施人员；</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（11）中标或者成交后无正当理由不得拒不与采购人签订政府采购合同；</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（12）不得有未按照采购文件确定的事项与采购人签订政府采购合同，或者与采购人另行订立背离合同实质性内容协议的行为；</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（13）不转包或违法分包政府采购合同，不擅自变更、中止或者终止政府采购合同；</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（14）不捏造事实、提供虚假材料或者以非法手段取得证明材料进行质疑、投诉；</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（15）不得有拒绝有关部门监督检查或者提供虚假情况的行为；</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（16）不得有其他违反国家法律法规和规章要求的违法犯罪或者失信行为。</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 xml:space="preserve">四、如有违反以上声明或者承诺之一情形的，我方知悉并接受采购人、采购代理机构和政府采购监督管理部门等政府职能部门将采取以下一种或几种方式追究我方责任： </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1、磋商（响应）无效；</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2、不予退还磋商保证金或者履约保证金；</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3、约谈法人代表或者主要负责人，责令整改；</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4、中标（成交）无效；</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5、处以采购金额千分之五以上千分之十以下的罚款，列入不良行为记录名单，在一至三年内禁止参加政府采购活动；</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6、没收违法得所得；</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7、吊销营业执照；</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8、政府相关部门的联合惩戒措施；</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9、追究民事责任；</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10、追究刑事责任；</w:t>
      </w:r>
    </w:p>
    <w:p>
      <w:pPr>
        <w:spacing w:before="24" w:after="24"/>
        <w:ind w:firstLine="480" w:firstLineChars="200"/>
        <w:rPr>
          <w:rFonts w:hint="default" w:ascii="宋体" w:hAnsi="宋体"/>
          <w:color w:val="auto"/>
          <w:kern w:val="0"/>
          <w:highlight w:val="none"/>
        </w:rPr>
      </w:pPr>
      <w:r>
        <w:rPr>
          <w:rFonts w:ascii="宋体" w:hAnsi="宋体"/>
          <w:color w:val="auto"/>
          <w:kern w:val="0"/>
          <w:highlight w:val="none"/>
        </w:rPr>
        <w:t>11、法律法规规定的其他处理处罚措施。</w:t>
      </w:r>
    </w:p>
    <w:p>
      <w:pPr>
        <w:spacing w:before="24" w:after="24"/>
        <w:jc w:val="left"/>
        <w:rPr>
          <w:rFonts w:hint="default" w:ascii="宋体" w:hAnsi="宋体"/>
          <w:color w:val="auto"/>
          <w:kern w:val="0"/>
          <w:highlight w:val="none"/>
        </w:rPr>
      </w:pPr>
    </w:p>
    <w:p>
      <w:pPr>
        <w:spacing w:before="24" w:after="24"/>
        <w:jc w:val="left"/>
        <w:rPr>
          <w:rFonts w:hint="default" w:ascii="宋体" w:hAnsi="宋体"/>
          <w:color w:val="auto"/>
          <w:kern w:val="0"/>
          <w:highlight w:val="none"/>
        </w:rPr>
      </w:pPr>
      <w:r>
        <w:rPr>
          <w:rFonts w:ascii="宋体" w:hAnsi="宋体"/>
          <w:color w:val="auto"/>
          <w:kern w:val="0"/>
          <w:highlight w:val="none"/>
        </w:rPr>
        <w:t>单位名称（公章）：</w:t>
      </w:r>
    </w:p>
    <w:p>
      <w:pPr>
        <w:spacing w:before="24" w:after="24"/>
        <w:jc w:val="left"/>
        <w:rPr>
          <w:rFonts w:hint="default" w:ascii="宋体" w:hAnsi="宋体"/>
          <w:color w:val="auto"/>
          <w:kern w:val="0"/>
          <w:highlight w:val="none"/>
        </w:rPr>
      </w:pPr>
      <w:r>
        <w:rPr>
          <w:rFonts w:ascii="宋体" w:hAnsi="宋体"/>
          <w:color w:val="auto"/>
          <w:kern w:val="0"/>
          <w:highlight w:val="none"/>
        </w:rPr>
        <w:t>法定代表人或主要负责人签字：</w:t>
      </w:r>
    </w:p>
    <w:p>
      <w:pPr>
        <w:spacing w:before="24" w:after="24"/>
        <w:jc w:val="left"/>
        <w:rPr>
          <w:rFonts w:hint="default" w:ascii="宋体" w:hAnsi="宋体"/>
          <w:color w:val="auto"/>
          <w:kern w:val="0"/>
          <w:highlight w:val="none"/>
        </w:rPr>
      </w:pPr>
      <w:r>
        <w:rPr>
          <w:rFonts w:ascii="宋体" w:hAnsi="宋体"/>
          <w:color w:val="auto"/>
          <w:kern w:val="0"/>
          <w:highlight w:val="none"/>
        </w:rPr>
        <w:t>法定代表人或主要负责人身份证复印件：</w:t>
      </w:r>
    </w:p>
    <w:p>
      <w:pPr>
        <w:pStyle w:val="5"/>
        <w:widowControl w:val="0"/>
        <w:numPr>
          <w:ilvl w:val="1"/>
          <w:numId w:val="0"/>
        </w:numPr>
        <w:spacing w:before="120" w:after="24"/>
        <w:jc w:val="both"/>
        <w:rPr>
          <w:rFonts w:hAnsi="宋体"/>
          <w:color w:val="auto"/>
          <w:kern w:val="0"/>
          <w:highlight w:val="none"/>
        </w:rPr>
      </w:pPr>
      <w:r>
        <w:rPr>
          <w:rFonts w:hint="eastAsia" w:hAnsi="宋体"/>
          <w:color w:val="auto"/>
          <w:kern w:val="0"/>
          <w:highlight w:val="none"/>
        </w:rPr>
        <w:t>法定代表人或主要负责人联系电话：</w:t>
      </w:r>
    </w:p>
    <w:p>
      <w:pPr>
        <w:spacing w:before="24" w:after="24"/>
        <w:rPr>
          <w:rFonts w:hint="default" w:ascii="宋体" w:hAnsi="宋体"/>
          <w:color w:val="auto"/>
          <w:kern w:val="0"/>
          <w:highlight w:val="none"/>
        </w:rPr>
      </w:pPr>
      <w:r>
        <w:rPr>
          <w:rFonts w:ascii="宋体" w:hAnsi="宋体"/>
          <w:color w:val="auto"/>
          <w:kern w:val="0"/>
          <w:highlight w:val="none"/>
        </w:rPr>
        <w:br w:type="page"/>
      </w:r>
    </w:p>
    <w:p>
      <w:pPr>
        <w:pStyle w:val="5"/>
        <w:widowControl w:val="0"/>
        <w:numPr>
          <w:ilvl w:val="1"/>
          <w:numId w:val="0"/>
        </w:numPr>
        <w:spacing w:before="120" w:after="24"/>
        <w:jc w:val="center"/>
        <w:rPr>
          <w:rFonts w:hAnsi="宋体" w:cs="宋体"/>
          <w:b/>
          <w:bCs/>
          <w:color w:val="auto"/>
          <w:sz w:val="30"/>
          <w:szCs w:val="30"/>
          <w:highlight w:val="none"/>
        </w:rPr>
      </w:pPr>
    </w:p>
    <w:p>
      <w:pPr>
        <w:pStyle w:val="5"/>
        <w:widowControl w:val="0"/>
        <w:numPr>
          <w:ilvl w:val="1"/>
          <w:numId w:val="0"/>
        </w:numPr>
        <w:spacing w:before="120" w:after="24"/>
        <w:jc w:val="center"/>
        <w:rPr>
          <w:rFonts w:hAnsi="宋体" w:cs="宋体"/>
          <w:color w:val="auto"/>
          <w:highlight w:val="none"/>
        </w:rPr>
      </w:pPr>
      <w:r>
        <w:rPr>
          <w:rFonts w:hint="eastAsia" w:hAnsi="宋体" w:cs="宋体"/>
          <w:b/>
          <w:bCs/>
          <w:color w:val="auto"/>
          <w:sz w:val="30"/>
          <w:szCs w:val="30"/>
          <w:highlight w:val="none"/>
        </w:rPr>
        <w:t>六、</w:t>
      </w:r>
      <w:bookmarkEnd w:id="241"/>
      <w:bookmarkEnd w:id="242"/>
      <w:r>
        <w:rPr>
          <w:rFonts w:hint="eastAsia" w:hAnsi="宋体" w:cs="宋体"/>
          <w:b/>
          <w:bCs/>
          <w:color w:val="auto"/>
          <w:sz w:val="30"/>
          <w:szCs w:val="30"/>
          <w:highlight w:val="none"/>
        </w:rPr>
        <w:t>服务方案</w:t>
      </w:r>
    </w:p>
    <w:p>
      <w:pPr>
        <w:pStyle w:val="16"/>
        <w:spacing w:before="24" w:after="24"/>
        <w:ind w:firstLine="480"/>
        <w:jc w:val="left"/>
        <w:rPr>
          <w:rFonts w:ascii="宋体" w:hAnsi="宋体" w:cs="宋体"/>
          <w:color w:val="auto"/>
          <w:highlight w:val="none"/>
        </w:rPr>
      </w:pPr>
    </w:p>
    <w:p>
      <w:pPr>
        <w:spacing w:before="24" w:after="24" w:line="480" w:lineRule="auto"/>
        <w:ind w:firstLine="480" w:firstLineChars="200"/>
        <w:rPr>
          <w:rFonts w:hint="default" w:ascii="宋体" w:hAnsi="宋体" w:cs="宋体"/>
          <w:color w:val="auto"/>
          <w:szCs w:val="24"/>
          <w:highlight w:val="none"/>
          <w:lang w:val="zh-CN"/>
        </w:rPr>
      </w:pPr>
      <w:bookmarkStart w:id="243" w:name="_Toc2621"/>
      <w:bookmarkStart w:id="244" w:name="_Toc363474032"/>
      <w:bookmarkStart w:id="245" w:name="_Toc403077655"/>
      <w:bookmarkStart w:id="246" w:name="_Toc1379"/>
      <w:bookmarkStart w:id="247" w:name="_Toc21284"/>
      <w:bookmarkStart w:id="248" w:name="_Toc23455"/>
      <w:bookmarkStart w:id="249" w:name="_Toc9218"/>
      <w:bookmarkStart w:id="250" w:name="_Toc426457713"/>
      <w:bookmarkStart w:id="251" w:name="_Toc3362"/>
      <w:r>
        <w:rPr>
          <w:rFonts w:ascii="宋体" w:hAnsi="宋体" w:cs="宋体"/>
          <w:color w:val="auto"/>
          <w:szCs w:val="24"/>
          <w:highlight w:val="none"/>
        </w:rPr>
        <w:t xml:space="preserve">供应商应按磋商文件中“第五章 </w:t>
      </w:r>
      <w:r>
        <w:rPr>
          <w:rFonts w:ascii="宋体" w:hAnsi="宋体" w:cs="宋体"/>
          <w:bCs/>
          <w:color w:val="auto"/>
          <w:szCs w:val="24"/>
          <w:highlight w:val="none"/>
        </w:rPr>
        <w:t>采购内容及技术要求</w:t>
      </w:r>
      <w:r>
        <w:rPr>
          <w:rFonts w:ascii="宋体" w:hAnsi="宋体" w:cs="宋体"/>
          <w:color w:val="auto"/>
          <w:szCs w:val="24"/>
          <w:highlight w:val="none"/>
        </w:rPr>
        <w:t>”</w:t>
      </w:r>
      <w:r>
        <w:rPr>
          <w:rFonts w:ascii="宋体" w:hAnsi="宋体" w:cs="宋体"/>
          <w:bCs/>
          <w:color w:val="auto"/>
          <w:szCs w:val="24"/>
          <w:highlight w:val="none"/>
        </w:rPr>
        <w:t>，结合“第三章 竞争性磋商评审办法”自行编写，格式自拟。</w:t>
      </w:r>
    </w:p>
    <w:p>
      <w:pPr>
        <w:spacing w:before="24" w:after="24" w:line="333" w:lineRule="exact"/>
        <w:ind w:firstLine="522" w:firstLineChars="200"/>
        <w:rPr>
          <w:rFonts w:hint="default" w:ascii="宋体" w:hAnsi="宋体" w:cs="宋体"/>
          <w:b/>
          <w:color w:val="auto"/>
          <w:kern w:val="0"/>
          <w:sz w:val="26"/>
          <w:highlight w:val="none"/>
          <w:lang w:val="zh-CN"/>
        </w:rPr>
      </w:pPr>
    </w:p>
    <w:p>
      <w:pPr>
        <w:spacing w:before="24" w:after="24" w:line="333" w:lineRule="exact"/>
        <w:rPr>
          <w:rFonts w:hint="default" w:ascii="宋体" w:hAnsi="宋体" w:cs="宋体"/>
          <w:b/>
          <w:color w:val="auto"/>
          <w:kern w:val="0"/>
          <w:sz w:val="26"/>
          <w:highlight w:val="none"/>
        </w:rPr>
      </w:pPr>
    </w:p>
    <w:bookmarkEnd w:id="243"/>
    <w:bookmarkEnd w:id="244"/>
    <w:bookmarkEnd w:id="245"/>
    <w:bookmarkEnd w:id="246"/>
    <w:bookmarkEnd w:id="247"/>
    <w:bookmarkEnd w:id="248"/>
    <w:bookmarkEnd w:id="249"/>
    <w:bookmarkEnd w:id="250"/>
    <w:bookmarkEnd w:id="251"/>
    <w:p>
      <w:pPr>
        <w:spacing w:before="24" w:after="24"/>
        <w:rPr>
          <w:rFonts w:hint="default" w:ascii="宋体" w:hAnsi="宋体" w:cs="宋体"/>
          <w:b/>
          <w:bCs/>
          <w:color w:val="auto"/>
          <w:sz w:val="28"/>
          <w:szCs w:val="28"/>
          <w:highlight w:val="none"/>
        </w:rPr>
      </w:pPr>
      <w:bookmarkStart w:id="252" w:name="_Toc10179"/>
      <w:bookmarkStart w:id="253" w:name="_Toc10058"/>
      <w:bookmarkStart w:id="254" w:name="_Toc363474033"/>
      <w:bookmarkStart w:id="255" w:name="_Toc6432"/>
      <w:bookmarkStart w:id="256" w:name="_Toc8692"/>
      <w:bookmarkStart w:id="257" w:name="_Toc426457714"/>
      <w:bookmarkStart w:id="258" w:name="_Toc6862"/>
      <w:bookmarkStart w:id="259" w:name="_Toc403077656"/>
      <w:r>
        <w:rPr>
          <w:rFonts w:ascii="宋体" w:hAnsi="宋体" w:cs="宋体"/>
          <w:b/>
          <w:bCs/>
          <w:color w:val="auto"/>
          <w:sz w:val="28"/>
          <w:szCs w:val="28"/>
          <w:highlight w:val="none"/>
        </w:rPr>
        <w:br w:type="page"/>
      </w:r>
    </w:p>
    <w:p>
      <w:pPr>
        <w:pStyle w:val="5"/>
        <w:widowControl w:val="0"/>
        <w:numPr>
          <w:ilvl w:val="1"/>
          <w:numId w:val="0"/>
        </w:numPr>
        <w:spacing w:before="120" w:after="24"/>
        <w:jc w:val="center"/>
        <w:rPr>
          <w:rFonts w:hAnsi="宋体" w:cs="宋体"/>
          <w:b/>
          <w:bCs/>
          <w:color w:val="auto"/>
          <w:sz w:val="30"/>
          <w:szCs w:val="30"/>
          <w:highlight w:val="none"/>
        </w:rPr>
      </w:pPr>
    </w:p>
    <w:p>
      <w:pPr>
        <w:pStyle w:val="5"/>
        <w:widowControl w:val="0"/>
        <w:numPr>
          <w:ilvl w:val="1"/>
          <w:numId w:val="0"/>
        </w:numPr>
        <w:spacing w:before="120" w:after="24"/>
        <w:jc w:val="center"/>
        <w:rPr>
          <w:rFonts w:hAnsi="宋体" w:cs="宋体"/>
          <w:color w:val="auto"/>
          <w:highlight w:val="none"/>
        </w:rPr>
      </w:pPr>
      <w:r>
        <w:rPr>
          <w:rFonts w:hint="eastAsia" w:hAnsi="宋体" w:cs="宋体"/>
          <w:b/>
          <w:bCs/>
          <w:color w:val="auto"/>
          <w:sz w:val="30"/>
          <w:szCs w:val="30"/>
          <w:highlight w:val="none"/>
        </w:rPr>
        <w:t>七、服务承诺</w:t>
      </w:r>
    </w:p>
    <w:p>
      <w:pPr>
        <w:spacing w:before="24" w:after="24" w:line="480" w:lineRule="auto"/>
        <w:ind w:firstLine="480" w:firstLineChars="200"/>
        <w:rPr>
          <w:rFonts w:hint="default" w:ascii="宋体" w:hAnsi="宋体" w:cs="宋体"/>
          <w:color w:val="auto"/>
          <w:szCs w:val="24"/>
          <w:highlight w:val="none"/>
          <w:lang w:val="zh-CN"/>
        </w:rPr>
      </w:pPr>
      <w:r>
        <w:rPr>
          <w:rFonts w:ascii="宋体" w:hAnsi="宋体" w:cs="宋体"/>
          <w:color w:val="auto"/>
          <w:szCs w:val="24"/>
          <w:highlight w:val="none"/>
        </w:rPr>
        <w:t xml:space="preserve">供应商应按磋商文件中“第五章 </w:t>
      </w:r>
      <w:r>
        <w:rPr>
          <w:rFonts w:ascii="宋体" w:hAnsi="宋体" w:cs="宋体"/>
          <w:bCs/>
          <w:color w:val="auto"/>
          <w:szCs w:val="24"/>
          <w:highlight w:val="none"/>
        </w:rPr>
        <w:t>采购内容及技术要求</w:t>
      </w:r>
      <w:r>
        <w:rPr>
          <w:rFonts w:ascii="宋体" w:hAnsi="宋体" w:cs="宋体"/>
          <w:color w:val="auto"/>
          <w:szCs w:val="24"/>
          <w:highlight w:val="none"/>
        </w:rPr>
        <w:t>”</w:t>
      </w:r>
      <w:r>
        <w:rPr>
          <w:rFonts w:ascii="宋体" w:hAnsi="宋体" w:cs="宋体"/>
          <w:bCs/>
          <w:color w:val="auto"/>
          <w:szCs w:val="24"/>
          <w:highlight w:val="none"/>
        </w:rPr>
        <w:t>，结合“第三章 竞争性磋商评审办法”自行编写，格式自拟。</w:t>
      </w:r>
    </w:p>
    <w:p>
      <w:pPr>
        <w:spacing w:before="24" w:after="24"/>
        <w:rPr>
          <w:rFonts w:hint="default" w:ascii="宋体" w:hAnsi="宋体" w:cs="宋体"/>
          <w:b/>
          <w:bCs/>
          <w:color w:val="auto"/>
          <w:sz w:val="30"/>
          <w:szCs w:val="30"/>
          <w:highlight w:val="none"/>
        </w:rPr>
      </w:pPr>
      <w:r>
        <w:rPr>
          <w:rFonts w:ascii="宋体" w:hAnsi="宋体" w:cs="宋体"/>
          <w:b/>
          <w:bCs/>
          <w:color w:val="auto"/>
          <w:sz w:val="30"/>
          <w:szCs w:val="30"/>
          <w:highlight w:val="none"/>
        </w:rPr>
        <w:br w:type="page"/>
      </w:r>
    </w:p>
    <w:p>
      <w:pPr>
        <w:pStyle w:val="5"/>
        <w:widowControl w:val="0"/>
        <w:numPr>
          <w:ilvl w:val="1"/>
          <w:numId w:val="0"/>
        </w:numPr>
        <w:spacing w:before="120" w:after="24"/>
        <w:jc w:val="center"/>
        <w:rPr>
          <w:rFonts w:hAnsi="宋体" w:cs="宋体"/>
          <w:b/>
          <w:bCs/>
          <w:color w:val="auto"/>
          <w:sz w:val="30"/>
          <w:szCs w:val="30"/>
          <w:highlight w:val="none"/>
        </w:rPr>
      </w:pPr>
    </w:p>
    <w:p>
      <w:pPr>
        <w:pStyle w:val="5"/>
        <w:widowControl w:val="0"/>
        <w:numPr>
          <w:ilvl w:val="1"/>
          <w:numId w:val="0"/>
        </w:numPr>
        <w:spacing w:before="120" w:after="24"/>
        <w:jc w:val="center"/>
        <w:rPr>
          <w:rFonts w:hAnsi="宋体" w:cs="宋体"/>
          <w:b/>
          <w:bCs/>
          <w:color w:val="auto"/>
          <w:sz w:val="30"/>
          <w:szCs w:val="30"/>
          <w:highlight w:val="none"/>
        </w:rPr>
      </w:pPr>
      <w:r>
        <w:rPr>
          <w:rFonts w:hint="eastAsia" w:hAnsi="宋体" w:cs="宋体"/>
          <w:b/>
          <w:bCs/>
          <w:color w:val="auto"/>
          <w:sz w:val="30"/>
          <w:szCs w:val="30"/>
          <w:highlight w:val="none"/>
        </w:rPr>
        <w:t>八、企业类似业绩</w:t>
      </w:r>
    </w:p>
    <w:p>
      <w:pPr>
        <w:spacing w:before="24" w:after="24"/>
        <w:rPr>
          <w:rFonts w:hint="default" w:ascii="宋体" w:hAnsi="宋体" w:cs="宋体"/>
          <w:color w:val="auto"/>
          <w:szCs w:val="24"/>
          <w:highlight w:val="none"/>
          <w:lang w:val="zh-CN"/>
        </w:rPr>
      </w:pP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05"/>
        <w:gridCol w:w="2866"/>
        <w:gridCol w:w="1234"/>
        <w:gridCol w:w="1333"/>
        <w:gridCol w:w="9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48" w:type="dxa"/>
            <w:tcBorders>
              <w:top w:val="single" w:color="auto" w:sz="12" w:space="0"/>
              <w:left w:val="single" w:color="auto" w:sz="12" w:space="0"/>
              <w:bottom w:val="single" w:color="auto" w:sz="4" w:space="0"/>
              <w:right w:val="single" w:color="auto" w:sz="4" w:space="0"/>
            </w:tcBorders>
            <w:vAlign w:val="center"/>
          </w:tcPr>
          <w:p>
            <w:pPr>
              <w:pStyle w:val="16"/>
              <w:spacing w:before="24" w:after="24" w:line="336"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1805" w:type="dxa"/>
            <w:tcBorders>
              <w:top w:val="single" w:color="auto" w:sz="12" w:space="0"/>
              <w:left w:val="single" w:color="auto" w:sz="4" w:space="0"/>
              <w:bottom w:val="single" w:color="auto" w:sz="4" w:space="0"/>
              <w:right w:val="single" w:color="auto" w:sz="4" w:space="0"/>
            </w:tcBorders>
            <w:vAlign w:val="center"/>
          </w:tcPr>
          <w:p>
            <w:pPr>
              <w:pStyle w:val="16"/>
              <w:spacing w:before="24" w:after="24" w:line="336"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用户名称</w:t>
            </w:r>
          </w:p>
        </w:tc>
        <w:tc>
          <w:tcPr>
            <w:tcW w:w="2866" w:type="dxa"/>
            <w:tcBorders>
              <w:top w:val="single" w:color="auto" w:sz="12" w:space="0"/>
              <w:left w:val="single" w:color="auto" w:sz="4" w:space="0"/>
              <w:bottom w:val="single" w:color="auto" w:sz="4" w:space="0"/>
              <w:right w:val="single" w:color="auto" w:sz="4" w:space="0"/>
            </w:tcBorders>
            <w:vAlign w:val="center"/>
          </w:tcPr>
          <w:p>
            <w:pPr>
              <w:pStyle w:val="16"/>
              <w:spacing w:before="24" w:after="24" w:line="336"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1234" w:type="dxa"/>
            <w:tcBorders>
              <w:top w:val="single" w:color="auto" w:sz="12" w:space="0"/>
              <w:left w:val="single" w:color="auto" w:sz="4" w:space="0"/>
              <w:bottom w:val="single" w:color="auto" w:sz="4" w:space="0"/>
              <w:right w:val="single" w:color="auto" w:sz="4" w:space="0"/>
            </w:tcBorders>
            <w:vAlign w:val="center"/>
          </w:tcPr>
          <w:p>
            <w:pPr>
              <w:pStyle w:val="16"/>
              <w:spacing w:before="24" w:after="24" w:line="336"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合同金额</w:t>
            </w:r>
          </w:p>
        </w:tc>
        <w:tc>
          <w:tcPr>
            <w:tcW w:w="1333" w:type="dxa"/>
            <w:tcBorders>
              <w:top w:val="single" w:color="auto" w:sz="12" w:space="0"/>
              <w:left w:val="single" w:color="auto" w:sz="4" w:space="0"/>
              <w:bottom w:val="single" w:color="auto" w:sz="4" w:space="0"/>
              <w:right w:val="single" w:color="auto" w:sz="4" w:space="0"/>
            </w:tcBorders>
            <w:vAlign w:val="center"/>
          </w:tcPr>
          <w:p>
            <w:pPr>
              <w:pStyle w:val="16"/>
              <w:spacing w:before="24" w:after="24" w:line="336"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完成时间</w:t>
            </w:r>
          </w:p>
        </w:tc>
        <w:tc>
          <w:tcPr>
            <w:tcW w:w="979" w:type="dxa"/>
            <w:tcBorders>
              <w:top w:val="single" w:color="auto" w:sz="12" w:space="0"/>
              <w:left w:val="single" w:color="auto" w:sz="4" w:space="0"/>
              <w:bottom w:val="single" w:color="auto" w:sz="4" w:space="0"/>
              <w:right w:val="single" w:color="auto" w:sz="12" w:space="0"/>
            </w:tcBorders>
            <w:vAlign w:val="center"/>
          </w:tcPr>
          <w:p>
            <w:pPr>
              <w:pStyle w:val="16"/>
              <w:spacing w:before="24" w:after="24" w:line="336"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8" w:type="dxa"/>
            <w:tcBorders>
              <w:top w:val="single" w:color="auto" w:sz="4" w:space="0"/>
              <w:left w:val="single" w:color="auto" w:sz="12"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4"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8" w:type="dxa"/>
            <w:tcBorders>
              <w:top w:val="single" w:color="auto" w:sz="4" w:space="0"/>
              <w:left w:val="single" w:color="auto" w:sz="12"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4"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48" w:type="dxa"/>
            <w:tcBorders>
              <w:top w:val="single" w:color="auto" w:sz="4" w:space="0"/>
              <w:left w:val="single" w:color="auto" w:sz="12"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4"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8" w:type="dxa"/>
            <w:tcBorders>
              <w:top w:val="single" w:color="auto" w:sz="4" w:space="0"/>
              <w:left w:val="single" w:color="auto" w:sz="12"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4"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8" w:type="dxa"/>
            <w:tcBorders>
              <w:top w:val="single" w:color="auto" w:sz="4" w:space="0"/>
              <w:left w:val="single" w:color="auto" w:sz="12"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4"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48" w:type="dxa"/>
            <w:tcBorders>
              <w:top w:val="single" w:color="auto" w:sz="4" w:space="0"/>
              <w:left w:val="single" w:color="auto" w:sz="12"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4"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4"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48" w:type="dxa"/>
            <w:tcBorders>
              <w:top w:val="single" w:color="auto" w:sz="4" w:space="0"/>
              <w:left w:val="single" w:color="auto" w:sz="12" w:space="0"/>
              <w:bottom w:val="single" w:color="auto" w:sz="12"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805" w:type="dxa"/>
            <w:tcBorders>
              <w:top w:val="single" w:color="auto" w:sz="4" w:space="0"/>
              <w:left w:val="single" w:color="auto" w:sz="4" w:space="0"/>
              <w:bottom w:val="single" w:color="auto" w:sz="12"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2866" w:type="dxa"/>
            <w:tcBorders>
              <w:top w:val="single" w:color="auto" w:sz="4" w:space="0"/>
              <w:left w:val="single" w:color="auto" w:sz="4" w:space="0"/>
              <w:bottom w:val="single" w:color="auto" w:sz="12"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234" w:type="dxa"/>
            <w:tcBorders>
              <w:top w:val="single" w:color="auto" w:sz="4" w:space="0"/>
              <w:left w:val="single" w:color="auto" w:sz="4" w:space="0"/>
              <w:bottom w:val="single" w:color="auto" w:sz="12"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1333" w:type="dxa"/>
            <w:tcBorders>
              <w:top w:val="single" w:color="auto" w:sz="4" w:space="0"/>
              <w:left w:val="single" w:color="auto" w:sz="4" w:space="0"/>
              <w:bottom w:val="single" w:color="auto" w:sz="12" w:space="0"/>
              <w:right w:val="single" w:color="auto" w:sz="4" w:space="0"/>
            </w:tcBorders>
          </w:tcPr>
          <w:p>
            <w:pPr>
              <w:pStyle w:val="16"/>
              <w:spacing w:before="24" w:after="24" w:line="336" w:lineRule="auto"/>
              <w:ind w:firstLine="480"/>
              <w:rPr>
                <w:rFonts w:ascii="宋体" w:hAnsi="宋体" w:cs="宋体"/>
                <w:color w:val="auto"/>
                <w:szCs w:val="24"/>
                <w:highlight w:val="none"/>
              </w:rPr>
            </w:pPr>
          </w:p>
        </w:tc>
        <w:tc>
          <w:tcPr>
            <w:tcW w:w="979" w:type="dxa"/>
            <w:tcBorders>
              <w:top w:val="single" w:color="auto" w:sz="4" w:space="0"/>
              <w:left w:val="single" w:color="auto" w:sz="4" w:space="0"/>
              <w:bottom w:val="single" w:color="auto" w:sz="12" w:space="0"/>
              <w:right w:val="single" w:color="auto" w:sz="12" w:space="0"/>
            </w:tcBorders>
          </w:tcPr>
          <w:p>
            <w:pPr>
              <w:pStyle w:val="16"/>
              <w:spacing w:before="24" w:after="24" w:line="336" w:lineRule="auto"/>
              <w:ind w:firstLine="480"/>
              <w:rPr>
                <w:rFonts w:ascii="宋体" w:hAnsi="宋体" w:cs="宋体"/>
                <w:color w:val="auto"/>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beforeLines="0" w:afterLines="0"/>
        <w:ind w:left="960" w:hanging="960" w:hangingChars="400"/>
        <w:rPr>
          <w:rFonts w:hint="default" w:ascii="宋体" w:hAnsi="宋体" w:cs="宋体"/>
          <w:color w:val="auto"/>
          <w:szCs w:val="24"/>
          <w:highlight w:val="none"/>
        </w:rPr>
      </w:pPr>
      <w:r>
        <w:rPr>
          <w:rFonts w:ascii="宋体" w:hAnsi="宋体" w:cs="宋体"/>
          <w:color w:val="auto"/>
          <w:szCs w:val="24"/>
          <w:highlight w:val="none"/>
        </w:rPr>
        <w:t>说明：1、本表后应附合同复印件并加盖公章。</w:t>
      </w:r>
    </w:p>
    <w:p>
      <w:pPr>
        <w:tabs>
          <w:tab w:val="left" w:pos="555"/>
          <w:tab w:val="left" w:pos="2214"/>
          <w:tab w:val="left" w:pos="3774"/>
          <w:tab w:val="left" w:pos="4854"/>
          <w:tab w:val="left" w:pos="5934"/>
          <w:tab w:val="left" w:pos="7014"/>
          <w:tab w:val="left" w:pos="8214"/>
          <w:tab w:val="left" w:pos="10134"/>
          <w:tab w:val="left" w:pos="11124"/>
        </w:tabs>
        <w:spacing w:beforeLines="0" w:afterLines="0"/>
        <w:ind w:firstLine="720" w:firstLineChars="300"/>
        <w:rPr>
          <w:rFonts w:hint="default" w:ascii="宋体" w:hAnsi="宋体" w:cs="宋体"/>
          <w:color w:val="auto"/>
          <w:szCs w:val="24"/>
          <w:highlight w:val="none"/>
        </w:rPr>
      </w:pPr>
      <w:r>
        <w:rPr>
          <w:rFonts w:ascii="宋体" w:hAnsi="宋体" w:cs="宋体"/>
          <w:color w:val="auto"/>
          <w:szCs w:val="24"/>
          <w:highlight w:val="none"/>
        </w:rPr>
        <w:t>2、供应商应如实列出以上情况，如有隐瞒，一经查实将导致其响应文件被拒绝。</w:t>
      </w:r>
    </w:p>
    <w:p>
      <w:pPr>
        <w:spacing w:beforeLines="0" w:afterLines="0"/>
        <w:ind w:firstLine="720" w:firstLineChars="300"/>
        <w:rPr>
          <w:rFonts w:hint="default" w:ascii="宋体" w:hAnsi="宋体" w:cs="宋体"/>
          <w:color w:val="auto"/>
          <w:szCs w:val="24"/>
          <w:highlight w:val="none"/>
        </w:rPr>
      </w:pPr>
      <w:r>
        <w:rPr>
          <w:rFonts w:ascii="宋体" w:hAnsi="宋体" w:cs="宋体"/>
          <w:color w:val="auto"/>
          <w:szCs w:val="24"/>
          <w:highlight w:val="none"/>
        </w:rPr>
        <w:t>3、未按上述要求提供、填写的，磋商时不予以考虑。</w:t>
      </w:r>
    </w:p>
    <w:p>
      <w:pPr>
        <w:autoSpaceDE w:val="0"/>
        <w:autoSpaceDN w:val="0"/>
        <w:adjustRightInd w:val="0"/>
        <w:spacing w:before="24" w:after="24" w:line="336" w:lineRule="auto"/>
        <w:ind w:firstLine="1920" w:firstLineChars="800"/>
        <w:rPr>
          <w:rFonts w:hint="default" w:ascii="宋体" w:hAnsi="宋体" w:cs="宋体"/>
          <w:color w:val="auto"/>
          <w:szCs w:val="24"/>
          <w:highlight w:val="none"/>
          <w:lang w:val="zh-CN"/>
        </w:rPr>
      </w:pPr>
    </w:p>
    <w:p>
      <w:pPr>
        <w:pStyle w:val="21"/>
        <w:rPr>
          <w:rFonts w:hint="default" w:ascii="宋体" w:hAnsi="宋体" w:cs="宋体"/>
          <w:color w:val="auto"/>
          <w:szCs w:val="24"/>
          <w:highlight w:val="none"/>
          <w:lang w:val="zh-CN"/>
        </w:rPr>
      </w:pPr>
    </w:p>
    <w:p>
      <w:pPr>
        <w:spacing w:before="24" w:after="24"/>
        <w:rPr>
          <w:rFonts w:hint="default" w:ascii="宋体" w:hAnsi="宋体" w:cs="宋体"/>
          <w:color w:val="auto"/>
          <w:highlight w:val="none"/>
          <w:lang w:val="zh-CN"/>
        </w:rPr>
      </w:pP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供应商名称：</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法定代表人或</w:t>
      </w:r>
      <w:r>
        <w:rPr>
          <w:rFonts w:ascii="宋体" w:hAnsi="宋体" w:cs="宋体"/>
          <w:color w:val="auto"/>
          <w:szCs w:val="24"/>
          <w:highlight w:val="none"/>
        </w:rPr>
        <w:t>被</w:t>
      </w:r>
      <w:r>
        <w:rPr>
          <w:rFonts w:ascii="宋体" w:hAnsi="宋体" w:cs="宋体"/>
          <w:color w:val="auto"/>
          <w:szCs w:val="24"/>
          <w:highlight w:val="none"/>
          <w:lang w:val="zh-CN"/>
        </w:rPr>
        <w:t>授权</w:t>
      </w:r>
      <w:r>
        <w:rPr>
          <w:rFonts w:ascii="宋体" w:hAnsi="宋体" w:cs="宋体"/>
          <w:color w:val="auto"/>
          <w:szCs w:val="24"/>
          <w:highlight w:val="none"/>
        </w:rPr>
        <w:t>人</w:t>
      </w:r>
      <w:r>
        <w:rPr>
          <w:rFonts w:ascii="宋体" w:hAnsi="宋体" w:cs="宋体"/>
          <w:color w:val="auto"/>
          <w:szCs w:val="24"/>
          <w:highlight w:val="none"/>
          <w:lang w:val="zh-CN"/>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（签字或盖章）</w:t>
      </w:r>
    </w:p>
    <w:p>
      <w:pPr>
        <w:autoSpaceDE w:val="0"/>
        <w:autoSpaceDN w:val="0"/>
        <w:adjustRightInd w:val="0"/>
        <w:snapToGrid w:val="0"/>
        <w:spacing w:beforeLines="0" w:afterLines="0"/>
        <w:ind w:right="720" w:firstLine="480" w:firstLineChars="200"/>
        <w:rPr>
          <w:rFonts w:hint="default" w:ascii="宋体" w:hAnsi="宋体" w:cs="宋体"/>
          <w:color w:val="auto"/>
          <w:szCs w:val="24"/>
          <w:highlight w:val="none"/>
          <w:lang w:val="zh-CN"/>
        </w:rPr>
      </w:pPr>
      <w:r>
        <w:rPr>
          <w:rFonts w:ascii="宋体" w:hAnsi="宋体" w:cs="宋体"/>
          <w:color w:val="auto"/>
          <w:szCs w:val="24"/>
          <w:highlight w:val="none"/>
          <w:lang w:val="zh-CN"/>
        </w:rPr>
        <w:t>日期：</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年</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月</w:t>
      </w:r>
      <w:r>
        <w:rPr>
          <w:rFonts w:ascii="宋体" w:hAnsi="宋体" w:cs="宋体"/>
          <w:color w:val="auto"/>
          <w:szCs w:val="24"/>
          <w:highlight w:val="none"/>
          <w:u w:val="single"/>
          <w:lang w:val="zh-CN"/>
        </w:rPr>
        <w:t xml:space="preserve">  </w:t>
      </w:r>
      <w:r>
        <w:rPr>
          <w:rFonts w:ascii="宋体" w:hAnsi="宋体" w:cs="宋体"/>
          <w:color w:val="auto"/>
          <w:szCs w:val="24"/>
          <w:highlight w:val="none"/>
          <w:u w:val="single"/>
        </w:rPr>
        <w:t xml:space="preserve">  </w:t>
      </w:r>
      <w:r>
        <w:rPr>
          <w:rFonts w:ascii="宋体" w:hAnsi="宋体" w:cs="宋体"/>
          <w:color w:val="auto"/>
          <w:szCs w:val="24"/>
          <w:highlight w:val="none"/>
          <w:u w:val="single"/>
          <w:lang w:val="zh-CN"/>
        </w:rPr>
        <w:t xml:space="preserve">  </w:t>
      </w:r>
      <w:r>
        <w:rPr>
          <w:rFonts w:ascii="宋体" w:hAnsi="宋体" w:cs="宋体"/>
          <w:color w:val="auto"/>
          <w:szCs w:val="24"/>
          <w:highlight w:val="none"/>
          <w:lang w:val="zh-CN"/>
        </w:rPr>
        <w:t>日</w:t>
      </w:r>
    </w:p>
    <w:p>
      <w:pPr>
        <w:spacing w:before="24" w:after="24"/>
        <w:rPr>
          <w:rFonts w:hint="default" w:ascii="宋体" w:hAnsi="宋体" w:cs="宋体"/>
          <w:color w:val="auto"/>
          <w:szCs w:val="24"/>
          <w:highlight w:val="none"/>
          <w:lang w:val="zh-CN"/>
        </w:rPr>
      </w:pPr>
    </w:p>
    <w:p>
      <w:pPr>
        <w:spacing w:before="24" w:after="24"/>
        <w:rPr>
          <w:rFonts w:hint="default" w:ascii="宋体" w:hAnsi="宋体" w:cs="宋体"/>
          <w:b/>
          <w:bCs/>
          <w:color w:val="auto"/>
          <w:sz w:val="28"/>
          <w:szCs w:val="28"/>
          <w:highlight w:val="none"/>
        </w:rPr>
      </w:pPr>
      <w:r>
        <w:rPr>
          <w:rFonts w:ascii="宋体" w:hAnsi="宋体" w:cs="宋体"/>
          <w:b/>
          <w:bCs/>
          <w:color w:val="auto"/>
          <w:sz w:val="28"/>
          <w:szCs w:val="28"/>
          <w:highlight w:val="none"/>
        </w:rPr>
        <w:br w:type="page"/>
      </w:r>
    </w:p>
    <w:p>
      <w:pPr>
        <w:spacing w:before="24" w:after="24"/>
        <w:ind w:firstLine="141" w:firstLineChars="50"/>
        <w:jc w:val="center"/>
        <w:rPr>
          <w:rFonts w:hint="default" w:ascii="宋体" w:hAnsi="宋体" w:cs="宋体"/>
          <w:b/>
          <w:bCs/>
          <w:color w:val="auto"/>
          <w:sz w:val="28"/>
          <w:szCs w:val="28"/>
          <w:highlight w:val="none"/>
        </w:rPr>
      </w:pPr>
    </w:p>
    <w:p>
      <w:pPr>
        <w:spacing w:before="24" w:after="24"/>
        <w:ind w:firstLine="141" w:firstLineChars="50"/>
        <w:jc w:val="center"/>
        <w:rPr>
          <w:rFonts w:hint="default" w:ascii="宋体" w:hAnsi="宋体" w:cs="宋体"/>
          <w:b/>
          <w:bCs/>
          <w:color w:val="auto"/>
          <w:sz w:val="28"/>
          <w:szCs w:val="28"/>
          <w:highlight w:val="none"/>
        </w:rPr>
      </w:pPr>
      <w:r>
        <w:rPr>
          <w:rFonts w:ascii="宋体" w:hAnsi="宋体" w:cs="宋体"/>
          <w:b/>
          <w:bCs/>
          <w:color w:val="auto"/>
          <w:sz w:val="28"/>
          <w:szCs w:val="28"/>
          <w:highlight w:val="none"/>
        </w:rPr>
        <w:t>九、供应商认为可证明企业实力或有必要的其他文件和资料</w:t>
      </w:r>
    </w:p>
    <w:p>
      <w:pPr>
        <w:spacing w:before="24" w:after="24"/>
        <w:ind w:firstLine="480" w:firstLineChars="200"/>
        <w:rPr>
          <w:rFonts w:hint="default" w:ascii="宋体" w:hAnsi="宋体" w:cs="宋体"/>
          <w:bCs/>
          <w:color w:val="auto"/>
          <w:szCs w:val="24"/>
          <w:highlight w:val="none"/>
        </w:rPr>
      </w:pPr>
    </w:p>
    <w:p>
      <w:pPr>
        <w:spacing w:before="24" w:after="24"/>
        <w:ind w:firstLine="480" w:firstLineChars="200"/>
        <w:rPr>
          <w:rFonts w:hint="default" w:ascii="宋体" w:hAnsi="宋体" w:cs="宋体"/>
          <w:bCs/>
          <w:color w:val="auto"/>
          <w:szCs w:val="24"/>
          <w:highlight w:val="none"/>
        </w:rPr>
      </w:pPr>
      <w:r>
        <w:rPr>
          <w:rFonts w:ascii="宋体" w:hAnsi="宋体" w:cs="宋体"/>
          <w:bCs/>
          <w:color w:val="auto"/>
          <w:szCs w:val="24"/>
          <w:highlight w:val="none"/>
        </w:rPr>
        <w:t>依据磋商文件要求，供应商认为有必要提供的其他文件或资料。</w:t>
      </w:r>
    </w:p>
    <w:p>
      <w:pPr>
        <w:adjustRightInd w:val="0"/>
        <w:snapToGrid w:val="0"/>
        <w:spacing w:before="24" w:afterLines="50" w:line="336" w:lineRule="auto"/>
        <w:rPr>
          <w:rFonts w:hint="default" w:ascii="宋体" w:hAnsi="宋体" w:cs="宋体"/>
          <w:b/>
          <w:color w:val="auto"/>
          <w:sz w:val="28"/>
          <w:szCs w:val="28"/>
          <w:highlight w:val="none"/>
        </w:rPr>
      </w:pPr>
    </w:p>
    <w:p>
      <w:pPr>
        <w:spacing w:before="24" w:after="24"/>
        <w:rPr>
          <w:rFonts w:hint="default" w:ascii="宋体" w:hAnsi="宋体" w:cs="宋体"/>
          <w:b/>
          <w:color w:val="auto"/>
          <w:sz w:val="28"/>
          <w:szCs w:val="28"/>
          <w:highlight w:val="none"/>
        </w:rPr>
      </w:pPr>
      <w:r>
        <w:rPr>
          <w:rFonts w:ascii="宋体" w:hAnsi="宋体" w:cs="宋体"/>
          <w:b/>
          <w:color w:val="auto"/>
          <w:sz w:val="28"/>
          <w:szCs w:val="28"/>
          <w:highlight w:val="none"/>
        </w:rPr>
        <w:br w:type="page"/>
      </w:r>
    </w:p>
    <w:p>
      <w:pPr>
        <w:spacing w:before="24" w:after="24"/>
        <w:jc w:val="left"/>
        <w:rPr>
          <w:rFonts w:hint="default" w:ascii="宋体" w:hAnsi="宋体" w:cs="宋体"/>
          <w:b/>
          <w:color w:val="auto"/>
          <w:sz w:val="28"/>
          <w:szCs w:val="28"/>
          <w:highlight w:val="none"/>
        </w:rPr>
      </w:pPr>
      <w:r>
        <w:rPr>
          <w:rFonts w:ascii="宋体" w:hAnsi="宋体" w:cs="宋体"/>
          <w:b/>
          <w:color w:val="auto"/>
          <w:sz w:val="28"/>
          <w:szCs w:val="28"/>
          <w:highlight w:val="none"/>
        </w:rPr>
        <w:t>附件6：</w:t>
      </w:r>
    </w:p>
    <w:p>
      <w:pPr>
        <w:spacing w:before="24" w:after="24"/>
        <w:jc w:val="center"/>
        <w:rPr>
          <w:rFonts w:hint="default" w:ascii="宋体" w:hAnsi="宋体" w:cs="宋体"/>
          <w:b/>
          <w:bCs/>
          <w:color w:val="auto"/>
          <w:sz w:val="28"/>
          <w:szCs w:val="28"/>
          <w:highlight w:val="none"/>
        </w:rPr>
      </w:pPr>
      <w:r>
        <w:rPr>
          <w:rFonts w:ascii="宋体" w:hAnsi="宋体" w:cs="宋体"/>
          <w:b/>
          <w:bCs/>
          <w:color w:val="auto"/>
          <w:sz w:val="28"/>
          <w:szCs w:val="28"/>
          <w:highlight w:val="none"/>
        </w:rPr>
        <w:t>主要人员简历表</w:t>
      </w:r>
    </w:p>
    <w:tbl>
      <w:tblPr>
        <w:tblStyle w:val="4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360"/>
        <w:gridCol w:w="696"/>
        <w:gridCol w:w="964"/>
        <w:gridCol w:w="1073"/>
        <w:gridCol w:w="710"/>
        <w:gridCol w:w="1268"/>
        <w:gridCol w:w="677"/>
        <w:gridCol w:w="16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26" w:hRule="exact"/>
          <w:jc w:val="center"/>
        </w:trPr>
        <w:tc>
          <w:tcPr>
            <w:tcW w:w="1193" w:type="dxa"/>
            <w:tcBorders>
              <w:tl2br w:val="nil"/>
              <w:tr2bl w:val="nil"/>
            </w:tcBorders>
            <w:noWrap/>
            <w:vAlign w:val="center"/>
          </w:tcPr>
          <w:p>
            <w:pPr>
              <w:pStyle w:val="145"/>
              <w:tabs>
                <w:tab w:val="left" w:pos="427"/>
              </w:tabs>
              <w:spacing w:before="24" w:after="24" w:line="400" w:lineRule="exact"/>
              <w:ind w:left="4"/>
              <w:jc w:val="center"/>
              <w:rPr>
                <w:rFonts w:hint="default" w:ascii="宋体" w:hAnsi="宋体" w:cs="宋体"/>
                <w:color w:val="auto"/>
                <w:szCs w:val="24"/>
                <w:highlight w:val="none"/>
              </w:rPr>
            </w:pPr>
            <w:r>
              <w:rPr>
                <w:rFonts w:ascii="宋体" w:hAnsi="宋体" w:cs="宋体"/>
                <w:color w:val="auto"/>
                <w:szCs w:val="24"/>
                <w:highlight w:val="none"/>
              </w:rPr>
              <w:t>姓名</w:t>
            </w:r>
          </w:p>
        </w:tc>
        <w:tc>
          <w:tcPr>
            <w:tcW w:w="1056"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964" w:type="dxa"/>
            <w:tcBorders>
              <w:tl2br w:val="nil"/>
              <w:tr2bl w:val="nil"/>
            </w:tcBorders>
            <w:noWrap/>
            <w:vAlign w:val="center"/>
          </w:tcPr>
          <w:p>
            <w:pPr>
              <w:pStyle w:val="145"/>
              <w:spacing w:before="24" w:after="24" w:line="400" w:lineRule="exact"/>
              <w:ind w:right="259"/>
              <w:jc w:val="center"/>
              <w:rPr>
                <w:rFonts w:hint="default" w:ascii="宋体" w:hAnsi="宋体" w:cs="宋体"/>
                <w:color w:val="auto"/>
                <w:szCs w:val="24"/>
                <w:highlight w:val="none"/>
              </w:rPr>
            </w:pPr>
            <w:r>
              <w:rPr>
                <w:rFonts w:ascii="宋体" w:hAnsi="宋体" w:cs="宋体"/>
                <w:color w:val="auto"/>
                <w:szCs w:val="24"/>
                <w:highlight w:val="none"/>
              </w:rPr>
              <w:t>年龄</w:t>
            </w:r>
          </w:p>
        </w:tc>
        <w:tc>
          <w:tcPr>
            <w:tcW w:w="1073"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655" w:type="dxa"/>
            <w:gridSpan w:val="3"/>
            <w:tcBorders>
              <w:tl2br w:val="nil"/>
              <w:tr2bl w:val="nil"/>
            </w:tcBorders>
            <w:noWrap/>
            <w:vAlign w:val="center"/>
          </w:tcPr>
          <w:p>
            <w:pPr>
              <w:pStyle w:val="145"/>
              <w:spacing w:before="24" w:after="24" w:line="400" w:lineRule="exact"/>
              <w:ind w:left="129" w:right="109"/>
              <w:jc w:val="center"/>
              <w:rPr>
                <w:rFonts w:hint="default" w:ascii="宋体" w:hAnsi="宋体" w:cs="宋体"/>
                <w:color w:val="auto"/>
                <w:szCs w:val="24"/>
                <w:highlight w:val="none"/>
              </w:rPr>
            </w:pPr>
            <w:r>
              <w:rPr>
                <w:rFonts w:ascii="宋体" w:hAnsi="宋体" w:cs="宋体"/>
                <w:color w:val="auto"/>
                <w:szCs w:val="24"/>
                <w:highlight w:val="none"/>
              </w:rPr>
              <w:t>执业资格证书</w:t>
            </w:r>
          </w:p>
          <w:p>
            <w:pPr>
              <w:pStyle w:val="145"/>
              <w:spacing w:before="24" w:after="24" w:line="400" w:lineRule="exact"/>
              <w:ind w:left="129" w:right="109"/>
              <w:jc w:val="center"/>
              <w:rPr>
                <w:rFonts w:hint="default" w:ascii="宋体" w:hAnsi="宋体" w:cs="宋体"/>
                <w:color w:val="auto"/>
                <w:szCs w:val="24"/>
                <w:highlight w:val="none"/>
              </w:rPr>
            </w:pPr>
            <w:r>
              <w:rPr>
                <w:rFonts w:ascii="宋体" w:hAnsi="宋体" w:cs="宋体"/>
                <w:color w:val="auto"/>
                <w:szCs w:val="24"/>
                <w:highlight w:val="none"/>
              </w:rPr>
              <w:t>（或上岗证书）名称</w:t>
            </w:r>
          </w:p>
        </w:tc>
        <w:tc>
          <w:tcPr>
            <w:tcW w:w="1636"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1193" w:type="dxa"/>
            <w:tcBorders>
              <w:tl2br w:val="nil"/>
              <w:tr2bl w:val="nil"/>
            </w:tcBorders>
            <w:noWrap/>
            <w:vAlign w:val="center"/>
          </w:tcPr>
          <w:p>
            <w:pPr>
              <w:pStyle w:val="145"/>
              <w:tabs>
                <w:tab w:val="left" w:pos="427"/>
              </w:tabs>
              <w:spacing w:before="24" w:after="24" w:line="400" w:lineRule="exact"/>
              <w:ind w:left="4"/>
              <w:jc w:val="center"/>
              <w:rPr>
                <w:rFonts w:hint="default" w:ascii="宋体" w:hAnsi="宋体" w:cs="宋体"/>
                <w:color w:val="auto"/>
                <w:szCs w:val="24"/>
                <w:highlight w:val="none"/>
              </w:rPr>
            </w:pPr>
            <w:r>
              <w:rPr>
                <w:rFonts w:ascii="宋体" w:hAnsi="宋体" w:cs="宋体"/>
                <w:color w:val="auto"/>
                <w:szCs w:val="24"/>
                <w:highlight w:val="none"/>
              </w:rPr>
              <w:t>职称</w:t>
            </w:r>
          </w:p>
        </w:tc>
        <w:tc>
          <w:tcPr>
            <w:tcW w:w="1056"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964" w:type="dxa"/>
            <w:tcBorders>
              <w:tl2br w:val="nil"/>
              <w:tr2bl w:val="nil"/>
            </w:tcBorders>
            <w:noWrap/>
            <w:vAlign w:val="center"/>
          </w:tcPr>
          <w:p>
            <w:pPr>
              <w:pStyle w:val="145"/>
              <w:spacing w:before="24" w:after="24" w:line="400" w:lineRule="exact"/>
              <w:ind w:right="259"/>
              <w:jc w:val="center"/>
              <w:rPr>
                <w:rFonts w:hint="default" w:ascii="宋体" w:hAnsi="宋体" w:cs="宋体"/>
                <w:color w:val="auto"/>
                <w:szCs w:val="24"/>
                <w:highlight w:val="none"/>
              </w:rPr>
            </w:pPr>
            <w:r>
              <w:rPr>
                <w:rFonts w:ascii="宋体" w:hAnsi="宋体" w:cs="宋体"/>
                <w:color w:val="auto"/>
                <w:szCs w:val="24"/>
                <w:highlight w:val="none"/>
              </w:rPr>
              <w:t>学历</w:t>
            </w:r>
          </w:p>
        </w:tc>
        <w:tc>
          <w:tcPr>
            <w:tcW w:w="1073"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655" w:type="dxa"/>
            <w:gridSpan w:val="3"/>
            <w:tcBorders>
              <w:tl2br w:val="nil"/>
              <w:tr2bl w:val="nil"/>
            </w:tcBorders>
            <w:noWrap/>
            <w:vAlign w:val="center"/>
          </w:tcPr>
          <w:p>
            <w:pPr>
              <w:pStyle w:val="145"/>
              <w:spacing w:before="24" w:after="24" w:line="400" w:lineRule="exact"/>
              <w:ind w:right="109"/>
              <w:jc w:val="center"/>
              <w:rPr>
                <w:rFonts w:hint="default" w:ascii="宋体" w:hAnsi="宋体" w:cs="宋体"/>
                <w:color w:val="auto"/>
                <w:szCs w:val="24"/>
                <w:highlight w:val="none"/>
              </w:rPr>
            </w:pPr>
            <w:r>
              <w:rPr>
                <w:rFonts w:ascii="宋体" w:hAnsi="宋体" w:cs="宋体"/>
                <w:color w:val="auto"/>
                <w:szCs w:val="24"/>
                <w:highlight w:val="none"/>
              </w:rPr>
              <w:t>拟在本项目任职</w:t>
            </w:r>
          </w:p>
        </w:tc>
        <w:tc>
          <w:tcPr>
            <w:tcW w:w="1636"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89" w:hRule="exact"/>
          <w:jc w:val="center"/>
        </w:trPr>
        <w:tc>
          <w:tcPr>
            <w:tcW w:w="1193" w:type="dxa"/>
            <w:tcBorders>
              <w:tl2br w:val="nil"/>
              <w:tr2bl w:val="nil"/>
            </w:tcBorders>
            <w:noWrap/>
            <w:vAlign w:val="center"/>
          </w:tcPr>
          <w:p>
            <w:pPr>
              <w:pStyle w:val="145"/>
              <w:spacing w:before="24" w:after="24" w:line="400" w:lineRule="exact"/>
              <w:ind w:left="2"/>
              <w:jc w:val="center"/>
              <w:rPr>
                <w:rFonts w:hint="default" w:ascii="宋体" w:hAnsi="宋体" w:cs="宋体"/>
                <w:color w:val="auto"/>
                <w:szCs w:val="24"/>
                <w:highlight w:val="none"/>
              </w:rPr>
            </w:pPr>
            <w:r>
              <w:rPr>
                <w:rFonts w:ascii="宋体" w:hAnsi="宋体" w:cs="宋体"/>
                <w:color w:val="auto"/>
                <w:szCs w:val="24"/>
                <w:highlight w:val="none"/>
              </w:rPr>
              <w:t>工作年限</w:t>
            </w:r>
          </w:p>
        </w:tc>
        <w:tc>
          <w:tcPr>
            <w:tcW w:w="309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655" w:type="dxa"/>
            <w:gridSpan w:val="3"/>
            <w:tcBorders>
              <w:tl2br w:val="nil"/>
              <w:tr2bl w:val="nil"/>
            </w:tcBorders>
            <w:noWrap/>
            <w:vAlign w:val="center"/>
          </w:tcPr>
          <w:p>
            <w:pPr>
              <w:pStyle w:val="145"/>
              <w:spacing w:before="24" w:after="24" w:line="400" w:lineRule="exact"/>
              <w:ind w:left="-20" w:leftChars="-95" w:right="109" w:hanging="208" w:hangingChars="87"/>
              <w:jc w:val="center"/>
              <w:rPr>
                <w:rFonts w:hint="default" w:ascii="宋体" w:hAnsi="宋体" w:cs="宋体"/>
                <w:color w:val="auto"/>
                <w:szCs w:val="24"/>
                <w:highlight w:val="none"/>
              </w:rPr>
            </w:pPr>
            <w:r>
              <w:rPr>
                <w:rFonts w:ascii="宋体" w:hAnsi="宋体" w:cs="宋体"/>
                <w:color w:val="auto"/>
                <w:szCs w:val="24"/>
                <w:highlight w:val="none"/>
              </w:rPr>
              <w:t>从事工作年限</w:t>
            </w:r>
          </w:p>
        </w:tc>
        <w:tc>
          <w:tcPr>
            <w:tcW w:w="1636"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1193" w:type="dxa"/>
            <w:tcBorders>
              <w:tl2br w:val="nil"/>
              <w:tr2bl w:val="nil"/>
            </w:tcBorders>
            <w:noWrap/>
            <w:vAlign w:val="center"/>
          </w:tcPr>
          <w:p>
            <w:pPr>
              <w:pStyle w:val="145"/>
              <w:spacing w:before="24" w:after="24" w:line="400" w:lineRule="exact"/>
              <w:ind w:left="2"/>
              <w:jc w:val="center"/>
              <w:rPr>
                <w:rFonts w:hint="default" w:ascii="宋体" w:hAnsi="宋体" w:cs="宋体"/>
                <w:color w:val="auto"/>
                <w:szCs w:val="24"/>
                <w:highlight w:val="none"/>
              </w:rPr>
            </w:pPr>
            <w:r>
              <w:rPr>
                <w:rFonts w:ascii="宋体" w:hAnsi="宋体" w:cs="宋体"/>
                <w:color w:val="auto"/>
                <w:szCs w:val="24"/>
                <w:highlight w:val="none"/>
              </w:rPr>
              <w:t>毕业学校</w:t>
            </w:r>
          </w:p>
        </w:tc>
        <w:tc>
          <w:tcPr>
            <w:tcW w:w="7384" w:type="dxa"/>
            <w:gridSpan w:val="8"/>
            <w:tcBorders>
              <w:tl2br w:val="nil"/>
              <w:tr2bl w:val="nil"/>
            </w:tcBorders>
            <w:noWrap/>
            <w:vAlign w:val="center"/>
          </w:tcPr>
          <w:p>
            <w:pPr>
              <w:pStyle w:val="145"/>
              <w:tabs>
                <w:tab w:val="left" w:pos="3360"/>
                <w:tab w:val="left" w:pos="4620"/>
              </w:tabs>
              <w:spacing w:before="24" w:after="24" w:line="400" w:lineRule="exact"/>
              <w:ind w:left="1258"/>
              <w:jc w:val="center"/>
              <w:rPr>
                <w:rFonts w:hint="default" w:ascii="宋体" w:hAnsi="宋体" w:cs="宋体"/>
                <w:color w:val="auto"/>
                <w:szCs w:val="24"/>
                <w:highlight w:val="none"/>
              </w:rPr>
            </w:pPr>
            <w:r>
              <w:rPr>
                <w:rFonts w:ascii="宋体" w:hAnsi="宋体" w:cs="宋体"/>
                <w:color w:val="auto"/>
                <w:szCs w:val="24"/>
                <w:highlight w:val="none"/>
              </w:rPr>
              <w:t>年毕业于</w:t>
            </w:r>
            <w:r>
              <w:rPr>
                <w:rFonts w:ascii="宋体" w:hAnsi="宋体" w:cs="宋体"/>
                <w:color w:val="auto"/>
                <w:szCs w:val="24"/>
                <w:highlight w:val="none"/>
              </w:rPr>
              <w:tab/>
            </w:r>
            <w:r>
              <w:rPr>
                <w:rFonts w:ascii="宋体" w:hAnsi="宋体" w:cs="宋体"/>
                <w:color w:val="auto"/>
                <w:szCs w:val="24"/>
                <w:highlight w:val="none"/>
              </w:rPr>
              <w:t>学校</w:t>
            </w:r>
            <w:r>
              <w:rPr>
                <w:rFonts w:ascii="宋体" w:hAnsi="宋体" w:cs="宋体"/>
                <w:color w:val="auto"/>
                <w:szCs w:val="24"/>
                <w:highlight w:val="none"/>
              </w:rPr>
              <w:tab/>
            </w:r>
            <w:r>
              <w:rPr>
                <w:rFonts w:ascii="宋体" w:hAnsi="宋体" w:cs="宋体"/>
                <w:color w:val="auto"/>
                <w:szCs w:val="24"/>
                <w:highlight w:val="none"/>
              </w:rPr>
              <w:t>专业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5" w:hRule="exact"/>
          <w:jc w:val="center"/>
        </w:trPr>
        <w:tc>
          <w:tcPr>
            <w:tcW w:w="8577" w:type="dxa"/>
            <w:gridSpan w:val="9"/>
            <w:tcBorders>
              <w:tl2br w:val="nil"/>
              <w:tr2bl w:val="nil"/>
            </w:tcBorders>
            <w:noWrap/>
            <w:vAlign w:val="center"/>
          </w:tcPr>
          <w:p>
            <w:pPr>
              <w:pStyle w:val="145"/>
              <w:spacing w:before="24" w:after="24" w:line="400" w:lineRule="exact"/>
              <w:ind w:left="103"/>
              <w:jc w:val="center"/>
              <w:rPr>
                <w:rFonts w:hint="default" w:ascii="宋体" w:hAnsi="宋体" w:cs="宋体"/>
                <w:color w:val="auto"/>
                <w:szCs w:val="24"/>
                <w:highlight w:val="none"/>
              </w:rPr>
            </w:pPr>
            <w:r>
              <w:rPr>
                <w:rFonts w:ascii="宋体" w:hAnsi="宋体" w:cs="宋体"/>
                <w:color w:val="auto"/>
                <w:szCs w:val="24"/>
                <w:highlight w:val="none"/>
              </w:rPr>
              <w:t>主要工作经历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6" w:hRule="exact"/>
          <w:jc w:val="center"/>
        </w:trPr>
        <w:tc>
          <w:tcPr>
            <w:tcW w:w="1553" w:type="dxa"/>
            <w:gridSpan w:val="2"/>
            <w:tcBorders>
              <w:tl2br w:val="nil"/>
              <w:tr2bl w:val="nil"/>
            </w:tcBorders>
            <w:noWrap/>
            <w:vAlign w:val="center"/>
          </w:tcPr>
          <w:p>
            <w:pPr>
              <w:pStyle w:val="145"/>
              <w:tabs>
                <w:tab w:val="left" w:pos="873"/>
              </w:tabs>
              <w:spacing w:before="24" w:after="24" w:line="400" w:lineRule="exact"/>
              <w:jc w:val="center"/>
              <w:rPr>
                <w:rFonts w:hint="default" w:ascii="宋体" w:hAnsi="宋体" w:cs="宋体"/>
                <w:color w:val="auto"/>
                <w:szCs w:val="24"/>
                <w:highlight w:val="none"/>
              </w:rPr>
            </w:pPr>
            <w:r>
              <w:rPr>
                <w:rFonts w:ascii="宋体" w:hAnsi="宋体" w:cs="宋体"/>
                <w:color w:val="auto"/>
                <w:szCs w:val="24"/>
                <w:highlight w:val="none"/>
              </w:rPr>
              <w:t>时间</w:t>
            </w:r>
          </w:p>
        </w:tc>
        <w:tc>
          <w:tcPr>
            <w:tcW w:w="3443" w:type="dxa"/>
            <w:gridSpan w:val="4"/>
            <w:tcBorders>
              <w:tl2br w:val="nil"/>
              <w:tr2bl w:val="nil"/>
            </w:tcBorders>
            <w:noWrap/>
            <w:vAlign w:val="center"/>
          </w:tcPr>
          <w:p>
            <w:pPr>
              <w:pStyle w:val="145"/>
              <w:spacing w:before="24" w:after="24" w:line="400" w:lineRule="exact"/>
              <w:jc w:val="center"/>
              <w:rPr>
                <w:rFonts w:hint="default" w:ascii="宋体" w:hAnsi="宋体" w:cs="宋体"/>
                <w:color w:val="auto"/>
                <w:szCs w:val="24"/>
                <w:highlight w:val="none"/>
              </w:rPr>
            </w:pPr>
            <w:r>
              <w:rPr>
                <w:rFonts w:ascii="宋体" w:hAnsi="宋体" w:cs="宋体"/>
                <w:color w:val="auto"/>
                <w:szCs w:val="24"/>
                <w:highlight w:val="none"/>
              </w:rPr>
              <w:t>参加过的类似项目</w:t>
            </w:r>
          </w:p>
        </w:tc>
        <w:tc>
          <w:tcPr>
            <w:tcW w:w="1268" w:type="dxa"/>
            <w:tcBorders>
              <w:tl2br w:val="nil"/>
              <w:tr2bl w:val="nil"/>
            </w:tcBorders>
            <w:noWrap/>
            <w:vAlign w:val="center"/>
          </w:tcPr>
          <w:p>
            <w:pPr>
              <w:pStyle w:val="145"/>
              <w:spacing w:before="24" w:after="24" w:line="400" w:lineRule="exact"/>
              <w:ind w:left="204"/>
              <w:jc w:val="center"/>
              <w:rPr>
                <w:rFonts w:hint="default" w:ascii="宋体" w:hAnsi="宋体" w:cs="宋体"/>
                <w:color w:val="auto"/>
                <w:szCs w:val="24"/>
                <w:highlight w:val="none"/>
              </w:rPr>
            </w:pPr>
            <w:r>
              <w:rPr>
                <w:rFonts w:ascii="宋体" w:hAnsi="宋体" w:cs="宋体"/>
                <w:color w:val="auto"/>
                <w:szCs w:val="24"/>
                <w:highlight w:val="none"/>
              </w:rPr>
              <w:t>担任职务</w:t>
            </w:r>
          </w:p>
        </w:tc>
        <w:tc>
          <w:tcPr>
            <w:tcW w:w="2313" w:type="dxa"/>
            <w:gridSpan w:val="2"/>
            <w:tcBorders>
              <w:tl2br w:val="nil"/>
              <w:tr2bl w:val="nil"/>
            </w:tcBorders>
            <w:noWrap/>
            <w:vAlign w:val="center"/>
          </w:tcPr>
          <w:p>
            <w:pPr>
              <w:pStyle w:val="145"/>
              <w:spacing w:before="24" w:after="24" w:line="400" w:lineRule="exact"/>
              <w:jc w:val="center"/>
              <w:rPr>
                <w:rFonts w:hint="default" w:ascii="宋体" w:hAnsi="宋体" w:cs="宋体"/>
                <w:color w:val="auto"/>
                <w:szCs w:val="24"/>
                <w:highlight w:val="none"/>
              </w:rPr>
            </w:pPr>
            <w:r>
              <w:rPr>
                <w:rFonts w:ascii="宋体" w:hAnsi="宋体" w:cs="宋体"/>
                <w:color w:val="auto"/>
                <w:szCs w:val="24"/>
                <w:highlight w:val="none"/>
              </w:rPr>
              <w:t>采购人及联系电话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4" w:hRule="exact"/>
          <w:jc w:val="center"/>
        </w:trPr>
        <w:tc>
          <w:tcPr>
            <w:tcW w:w="155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344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1268"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31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155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344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1268"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31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4" w:hRule="exact"/>
          <w:jc w:val="center"/>
        </w:trPr>
        <w:tc>
          <w:tcPr>
            <w:tcW w:w="155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344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1268"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31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4" w:hRule="exact"/>
          <w:jc w:val="center"/>
        </w:trPr>
        <w:tc>
          <w:tcPr>
            <w:tcW w:w="155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344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1268"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31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1" w:hRule="exact"/>
          <w:jc w:val="center"/>
        </w:trPr>
        <w:tc>
          <w:tcPr>
            <w:tcW w:w="155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344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1268"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31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55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3443" w:type="dxa"/>
            <w:gridSpan w:val="4"/>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1268" w:type="dxa"/>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c>
          <w:tcPr>
            <w:tcW w:w="2313" w:type="dxa"/>
            <w:gridSpan w:val="2"/>
            <w:tcBorders>
              <w:tl2br w:val="nil"/>
              <w:tr2bl w:val="nil"/>
            </w:tcBorders>
            <w:noWrap/>
            <w:vAlign w:val="center"/>
          </w:tcPr>
          <w:p>
            <w:pPr>
              <w:spacing w:before="24" w:after="24" w:line="400" w:lineRule="exact"/>
              <w:jc w:val="center"/>
              <w:rPr>
                <w:rFonts w:hint="default" w:ascii="宋体" w:hAnsi="宋体" w:cs="宋体"/>
                <w:color w:val="auto"/>
                <w:szCs w:val="24"/>
                <w:highlight w:val="none"/>
              </w:rPr>
            </w:pPr>
          </w:p>
        </w:tc>
      </w:tr>
    </w:tbl>
    <w:p>
      <w:pPr>
        <w:spacing w:before="24" w:after="24"/>
        <w:ind w:firstLine="220" w:firstLineChars="100"/>
        <w:rPr>
          <w:rFonts w:hint="default" w:ascii="宋体" w:hAnsi="宋体" w:cs="宋体"/>
          <w:color w:val="auto"/>
          <w:sz w:val="22"/>
          <w:szCs w:val="22"/>
          <w:highlight w:val="none"/>
        </w:rPr>
      </w:pPr>
      <w:r>
        <w:rPr>
          <w:rFonts w:ascii="宋体" w:hAnsi="宋体" w:cs="宋体"/>
          <w:color w:val="auto"/>
          <w:sz w:val="22"/>
          <w:szCs w:val="22"/>
          <w:highlight w:val="none"/>
        </w:rPr>
        <w:t>注：应附人员身份证、学历证、资格证（如有）、职称证（如有）、社保缴纳证明等资料的复印件。</w:t>
      </w:r>
    </w:p>
    <w:p>
      <w:pPr>
        <w:spacing w:before="24" w:after="24"/>
        <w:ind w:firstLine="281" w:firstLineChars="100"/>
        <w:rPr>
          <w:rFonts w:hint="default" w:ascii="宋体" w:hAnsi="宋体" w:cs="宋体"/>
          <w:b/>
          <w:bCs/>
          <w:color w:val="auto"/>
          <w:sz w:val="28"/>
          <w:szCs w:val="28"/>
          <w:highlight w:val="none"/>
        </w:rPr>
      </w:pPr>
      <w:r>
        <w:rPr>
          <w:rFonts w:ascii="宋体" w:hAnsi="宋体" w:cs="宋体"/>
          <w:b/>
          <w:bCs/>
          <w:color w:val="auto"/>
          <w:sz w:val="28"/>
          <w:szCs w:val="28"/>
          <w:highlight w:val="none"/>
        </w:rPr>
        <w:br w:type="page"/>
      </w:r>
    </w:p>
    <w:p>
      <w:pPr>
        <w:pStyle w:val="14"/>
        <w:spacing w:before="24" w:after="24"/>
        <w:rPr>
          <w:rFonts w:hint="default" w:ascii="宋体" w:hAnsi="宋体" w:cs="宋体"/>
          <w:color w:val="auto"/>
          <w:highlight w:val="none"/>
        </w:rPr>
      </w:pPr>
      <w:r>
        <w:rPr>
          <w:rFonts w:ascii="宋体" w:hAnsi="宋体" w:cs="宋体"/>
          <w:b/>
          <w:color w:val="auto"/>
          <w:sz w:val="28"/>
          <w:szCs w:val="28"/>
          <w:highlight w:val="none"/>
        </w:rPr>
        <w:t>附件7：</w:t>
      </w:r>
    </w:p>
    <w:p>
      <w:pPr>
        <w:spacing w:before="24" w:after="24"/>
        <w:ind w:firstLine="301" w:firstLineChars="100"/>
        <w:jc w:val="center"/>
        <w:rPr>
          <w:rFonts w:hint="default" w:ascii="宋体" w:hAnsi="宋体" w:cs="宋体"/>
          <w:b/>
          <w:color w:val="auto"/>
          <w:kern w:val="0"/>
          <w:sz w:val="30"/>
          <w:szCs w:val="30"/>
          <w:highlight w:val="none"/>
        </w:rPr>
      </w:pPr>
    </w:p>
    <w:p>
      <w:pPr>
        <w:spacing w:before="24" w:after="24"/>
        <w:ind w:firstLine="301" w:firstLineChars="100"/>
        <w:jc w:val="center"/>
        <w:rPr>
          <w:rFonts w:hint="default" w:ascii="宋体" w:hAnsi="宋体" w:cs="宋体"/>
          <w:b/>
          <w:color w:val="auto"/>
          <w:kern w:val="0"/>
          <w:sz w:val="30"/>
          <w:szCs w:val="30"/>
          <w:highlight w:val="none"/>
        </w:rPr>
      </w:pPr>
      <w:r>
        <w:rPr>
          <w:rFonts w:ascii="宋体" w:hAnsi="宋体" w:cs="宋体"/>
          <w:b/>
          <w:color w:val="auto"/>
          <w:kern w:val="0"/>
          <w:sz w:val="30"/>
          <w:szCs w:val="30"/>
          <w:highlight w:val="none"/>
        </w:rPr>
        <w:t>中小企业声明函（</w:t>
      </w:r>
      <w:r>
        <w:rPr>
          <w:rFonts w:hint="eastAsia" w:ascii="宋体" w:hAnsi="宋体" w:cs="宋体"/>
          <w:b/>
          <w:color w:val="auto"/>
          <w:kern w:val="0"/>
          <w:sz w:val="30"/>
          <w:szCs w:val="30"/>
          <w:highlight w:val="none"/>
          <w:lang w:val="en-US" w:eastAsia="zh-CN"/>
        </w:rPr>
        <w:t>服务</w:t>
      </w:r>
      <w:r>
        <w:rPr>
          <w:rFonts w:ascii="宋体" w:hAnsi="宋体" w:cs="宋体"/>
          <w:b/>
          <w:color w:val="auto"/>
          <w:kern w:val="0"/>
          <w:sz w:val="30"/>
          <w:szCs w:val="30"/>
          <w:highlight w:val="none"/>
        </w:rPr>
        <w:t>）</w:t>
      </w:r>
    </w:p>
    <w:p>
      <w:pPr>
        <w:pStyle w:val="21"/>
        <w:jc w:val="center"/>
        <w:rPr>
          <w:rFonts w:hint="default" w:ascii="宋体" w:hAnsi="宋体" w:cs="宋体"/>
          <w:b/>
          <w:color w:val="auto"/>
          <w:szCs w:val="21"/>
          <w:highlight w:val="none"/>
        </w:rPr>
      </w:pPr>
      <w:r>
        <w:rPr>
          <w:rFonts w:ascii="宋体" w:hAnsi="宋体" w:cs="宋体"/>
          <w:b/>
          <w:color w:val="auto"/>
          <w:szCs w:val="21"/>
          <w:highlight w:val="none"/>
        </w:rPr>
        <w:t>（不符合条件的无需提供）</w:t>
      </w:r>
    </w:p>
    <w:p>
      <w:pPr>
        <w:pStyle w:val="45"/>
        <w:spacing w:before="24" w:after="24"/>
        <w:ind w:firstLine="400"/>
        <w:rPr>
          <w:rFonts w:hint="default" w:hAnsi="宋体" w:cs="宋体"/>
          <w:color w:val="auto"/>
          <w:highlight w:val="none"/>
        </w:rPr>
      </w:pPr>
    </w:p>
    <w:p>
      <w:pPr>
        <w:widowControl/>
        <w:spacing w:before="24" w:after="24"/>
        <w:ind w:firstLine="480" w:firstLineChars="200"/>
        <w:jc w:val="left"/>
        <w:rPr>
          <w:rFonts w:hint="default" w:ascii="宋体" w:hAnsi="宋体" w:cs="宋体"/>
          <w:color w:val="auto"/>
          <w:szCs w:val="24"/>
          <w:highlight w:val="none"/>
        </w:rPr>
      </w:pPr>
      <w:r>
        <w:rPr>
          <w:rFonts w:ascii="宋体" w:hAnsi="宋体" w:cs="宋体"/>
          <w:color w:val="auto"/>
          <w:kern w:val="0"/>
          <w:szCs w:val="24"/>
          <w:highlight w:val="none"/>
        </w:rPr>
        <w:t>本公司（联合体）郑重声明，根据《政府采购促进中小企业发展管理办法》（财库﹝2020﹞46号）的规定，本公司（联合体）参加</w:t>
      </w:r>
      <w:r>
        <w:rPr>
          <w:rFonts w:ascii="宋体" w:hAnsi="宋体" w:cs="宋体"/>
          <w:color w:val="auto"/>
          <w:kern w:val="0"/>
          <w:szCs w:val="24"/>
          <w:highlight w:val="none"/>
          <w:u w:val="single"/>
        </w:rPr>
        <w:t>（单位名称）</w:t>
      </w:r>
      <w:r>
        <w:rPr>
          <w:rFonts w:ascii="宋体" w:hAnsi="宋体" w:cs="宋体"/>
          <w:color w:val="auto"/>
          <w:kern w:val="0"/>
          <w:szCs w:val="24"/>
          <w:highlight w:val="none"/>
        </w:rPr>
        <w:t>的</w:t>
      </w:r>
      <w:r>
        <w:rPr>
          <w:rFonts w:ascii="宋体" w:hAnsi="宋体" w:cs="宋体"/>
          <w:color w:val="auto"/>
          <w:szCs w:val="24"/>
          <w:highlight w:val="none"/>
          <w:u w:val="single"/>
        </w:rPr>
        <w:t>（</w:t>
      </w:r>
      <w:r>
        <w:rPr>
          <w:rFonts w:ascii="宋体" w:hAnsi="宋体" w:cs="宋体"/>
          <w:color w:val="auto"/>
          <w:kern w:val="0"/>
          <w:szCs w:val="24"/>
          <w:highlight w:val="none"/>
          <w:u w:val="single"/>
        </w:rPr>
        <w:t>项目名称</w:t>
      </w:r>
      <w:r>
        <w:rPr>
          <w:rFonts w:ascii="宋体" w:hAnsi="宋体" w:cs="宋体"/>
          <w:color w:val="auto"/>
          <w:szCs w:val="24"/>
          <w:highlight w:val="none"/>
          <w:u w:val="single"/>
        </w:rPr>
        <w:t>）</w:t>
      </w:r>
      <w:r>
        <w:rPr>
          <w:rFonts w:ascii="宋体" w:hAnsi="宋体" w:cs="宋体"/>
          <w:color w:val="auto"/>
          <w:kern w:val="0"/>
          <w:szCs w:val="24"/>
          <w:highlight w:val="none"/>
        </w:rPr>
        <w:t>采购活动，</w:t>
      </w:r>
      <w:r>
        <w:rPr>
          <w:rFonts w:hint="eastAsia" w:ascii="宋体" w:hAnsi="宋体" w:cs="宋体"/>
          <w:color w:val="auto"/>
          <w:kern w:val="0"/>
          <w:szCs w:val="24"/>
          <w:highlight w:val="none"/>
          <w:lang w:val="en-US" w:eastAsia="zh-CN"/>
        </w:rPr>
        <w:t>服务</w:t>
      </w:r>
      <w:r>
        <w:rPr>
          <w:rFonts w:ascii="宋体" w:hAnsi="宋体" w:cs="宋体"/>
          <w:color w:val="auto"/>
          <w:kern w:val="0"/>
          <w:szCs w:val="24"/>
          <w:highlight w:val="none"/>
        </w:rPr>
        <w:t>全部由符合政策要求的中小企业</w:t>
      </w:r>
      <w:r>
        <w:rPr>
          <w:rFonts w:hint="eastAsia" w:ascii="宋体" w:hAnsi="宋体" w:cs="宋体"/>
          <w:color w:val="auto"/>
          <w:kern w:val="0"/>
          <w:szCs w:val="24"/>
          <w:highlight w:val="none"/>
          <w:lang w:val="en-US" w:eastAsia="zh-CN"/>
        </w:rPr>
        <w:t>承接</w:t>
      </w:r>
      <w:r>
        <w:rPr>
          <w:rFonts w:ascii="宋体" w:hAnsi="宋体" w:cs="宋体"/>
          <w:color w:val="auto"/>
          <w:kern w:val="0"/>
          <w:szCs w:val="24"/>
          <w:highlight w:val="none"/>
        </w:rPr>
        <w:t xml:space="preserve">。相关企业（含联合体中的中小企业、签订分包意向协议的中小企业）的具体情况如下： </w:t>
      </w:r>
    </w:p>
    <w:p>
      <w:pPr>
        <w:widowControl/>
        <w:spacing w:before="24" w:after="24"/>
        <w:ind w:firstLine="480" w:firstLineChars="200"/>
        <w:jc w:val="left"/>
        <w:rPr>
          <w:rFonts w:hint="default" w:ascii="宋体" w:hAnsi="宋体" w:cs="宋体"/>
          <w:color w:val="auto"/>
          <w:szCs w:val="24"/>
          <w:highlight w:val="none"/>
        </w:rPr>
      </w:pPr>
      <w:r>
        <w:rPr>
          <w:rFonts w:ascii="宋体" w:hAnsi="宋体" w:cs="宋体"/>
          <w:color w:val="auto"/>
          <w:kern w:val="0"/>
          <w:szCs w:val="24"/>
          <w:highlight w:val="none"/>
        </w:rPr>
        <w:t>1.</w:t>
      </w:r>
      <w:r>
        <w:rPr>
          <w:rFonts w:ascii="宋体" w:hAnsi="宋体" w:cs="宋体"/>
          <w:color w:val="auto"/>
          <w:szCs w:val="24"/>
          <w:highlight w:val="none"/>
          <w:u w:val="single"/>
        </w:rPr>
        <w:t>（标的名称）</w:t>
      </w:r>
      <w:r>
        <w:rPr>
          <w:rFonts w:ascii="宋体" w:hAnsi="宋体" w:cs="宋体"/>
          <w:color w:val="auto"/>
          <w:kern w:val="0"/>
          <w:szCs w:val="24"/>
          <w:highlight w:val="none"/>
        </w:rPr>
        <w:t>，属于</w:t>
      </w:r>
      <w:r>
        <w:rPr>
          <w:rFonts w:ascii="宋体" w:hAnsi="宋体" w:cs="宋体"/>
          <w:bCs/>
          <w:color w:val="auto"/>
          <w:szCs w:val="24"/>
          <w:highlight w:val="none"/>
          <w:u w:val="single"/>
        </w:rPr>
        <w:t>（采购文件中明确的所属行业）</w:t>
      </w:r>
      <w:r>
        <w:rPr>
          <w:rFonts w:ascii="宋体" w:hAnsi="宋体" w:cs="宋体"/>
          <w:color w:val="auto"/>
          <w:kern w:val="0"/>
          <w:szCs w:val="24"/>
          <w:highlight w:val="none"/>
        </w:rPr>
        <w:t>；</w:t>
      </w:r>
      <w:r>
        <w:rPr>
          <w:rFonts w:hint="eastAsia" w:ascii="宋体" w:hAnsi="宋体" w:cs="宋体"/>
          <w:color w:val="auto"/>
          <w:kern w:val="0"/>
          <w:szCs w:val="24"/>
          <w:highlight w:val="none"/>
          <w:lang w:val="en-US" w:eastAsia="zh-CN"/>
        </w:rPr>
        <w:t>承接企业</w:t>
      </w:r>
      <w:r>
        <w:rPr>
          <w:rFonts w:ascii="宋体" w:hAnsi="宋体" w:cs="宋体"/>
          <w:color w:val="auto"/>
          <w:kern w:val="0"/>
          <w:szCs w:val="24"/>
          <w:highlight w:val="none"/>
        </w:rPr>
        <w:t>为</w:t>
      </w:r>
      <w:r>
        <w:rPr>
          <w:rFonts w:ascii="宋体" w:hAnsi="宋体" w:cs="宋体"/>
          <w:color w:val="auto"/>
          <w:kern w:val="0"/>
          <w:szCs w:val="24"/>
          <w:highlight w:val="none"/>
          <w:u w:val="single"/>
        </w:rPr>
        <w:t xml:space="preserve">   （企业名称）  </w:t>
      </w:r>
      <w:r>
        <w:rPr>
          <w:rFonts w:ascii="宋体" w:hAnsi="宋体" w:cs="宋体"/>
          <w:color w:val="auto"/>
          <w:kern w:val="0"/>
          <w:szCs w:val="24"/>
          <w:highlight w:val="none"/>
        </w:rPr>
        <w:t>，从业人员</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人，营业收入为</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万元，资产总额为</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万元，属于（</w:t>
      </w:r>
      <w:r>
        <w:rPr>
          <w:rFonts w:ascii="宋体" w:hAnsi="宋体" w:cs="宋体"/>
          <w:color w:val="auto"/>
          <w:kern w:val="0"/>
          <w:szCs w:val="24"/>
          <w:highlight w:val="none"/>
          <w:u w:val="single"/>
        </w:rPr>
        <w:t>中型企业、 小型企业、微型企业）</w:t>
      </w:r>
      <w:r>
        <w:rPr>
          <w:rFonts w:ascii="宋体" w:hAnsi="宋体" w:cs="宋体"/>
          <w:color w:val="auto"/>
          <w:kern w:val="0"/>
          <w:szCs w:val="24"/>
          <w:highlight w:val="none"/>
        </w:rPr>
        <w:t xml:space="preserve">； </w:t>
      </w:r>
    </w:p>
    <w:p>
      <w:pPr>
        <w:widowControl/>
        <w:spacing w:before="24" w:after="24"/>
        <w:ind w:firstLine="480" w:firstLineChars="200"/>
        <w:jc w:val="left"/>
        <w:rPr>
          <w:rFonts w:hint="default" w:ascii="宋体" w:hAnsi="宋体" w:cs="宋体"/>
          <w:color w:val="auto"/>
          <w:szCs w:val="24"/>
          <w:highlight w:val="none"/>
        </w:rPr>
      </w:pPr>
      <w:r>
        <w:rPr>
          <w:rFonts w:ascii="宋体" w:hAnsi="宋体" w:cs="宋体"/>
          <w:color w:val="auto"/>
          <w:kern w:val="0"/>
          <w:szCs w:val="24"/>
          <w:highlight w:val="none"/>
        </w:rPr>
        <w:t>2.</w:t>
      </w:r>
      <w:r>
        <w:rPr>
          <w:rFonts w:ascii="宋体" w:hAnsi="宋体" w:cs="宋体"/>
          <w:color w:val="auto"/>
          <w:szCs w:val="24"/>
          <w:highlight w:val="none"/>
          <w:u w:val="single"/>
        </w:rPr>
        <w:t>（标的名称）</w:t>
      </w:r>
      <w:r>
        <w:rPr>
          <w:rFonts w:ascii="宋体" w:hAnsi="宋体" w:cs="宋体"/>
          <w:color w:val="auto"/>
          <w:kern w:val="0"/>
          <w:szCs w:val="24"/>
          <w:highlight w:val="none"/>
        </w:rPr>
        <w:t>，属于</w:t>
      </w:r>
      <w:r>
        <w:rPr>
          <w:rFonts w:ascii="宋体" w:hAnsi="宋体" w:cs="宋体"/>
          <w:bCs/>
          <w:color w:val="auto"/>
          <w:szCs w:val="24"/>
          <w:highlight w:val="none"/>
          <w:u w:val="single"/>
        </w:rPr>
        <w:t>（采购文件中明确的所属行业）</w:t>
      </w:r>
      <w:r>
        <w:rPr>
          <w:rFonts w:ascii="宋体" w:hAnsi="宋体" w:cs="宋体"/>
          <w:color w:val="auto"/>
          <w:kern w:val="0"/>
          <w:szCs w:val="24"/>
          <w:highlight w:val="none"/>
        </w:rPr>
        <w:t>；</w:t>
      </w:r>
      <w:r>
        <w:rPr>
          <w:rFonts w:hint="eastAsia" w:ascii="宋体" w:hAnsi="宋体" w:cs="宋体"/>
          <w:color w:val="auto"/>
          <w:kern w:val="0"/>
          <w:szCs w:val="24"/>
          <w:highlight w:val="none"/>
          <w:lang w:val="en-US" w:eastAsia="zh-CN"/>
        </w:rPr>
        <w:t>承接企业</w:t>
      </w:r>
      <w:r>
        <w:rPr>
          <w:rFonts w:ascii="宋体" w:hAnsi="宋体" w:cs="宋体"/>
          <w:color w:val="auto"/>
          <w:kern w:val="0"/>
          <w:szCs w:val="24"/>
          <w:highlight w:val="none"/>
        </w:rPr>
        <w:t>为</w:t>
      </w:r>
      <w:r>
        <w:rPr>
          <w:rFonts w:ascii="宋体" w:hAnsi="宋体" w:cs="宋体"/>
          <w:color w:val="auto"/>
          <w:kern w:val="0"/>
          <w:szCs w:val="24"/>
          <w:highlight w:val="none"/>
          <w:u w:val="single"/>
        </w:rPr>
        <w:t xml:space="preserve">   （企业名称）  </w:t>
      </w:r>
      <w:r>
        <w:rPr>
          <w:rFonts w:ascii="宋体" w:hAnsi="宋体" w:cs="宋体"/>
          <w:color w:val="auto"/>
          <w:kern w:val="0"/>
          <w:szCs w:val="24"/>
          <w:highlight w:val="none"/>
        </w:rPr>
        <w:t>，从业人员</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人，营业收入为</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万元，资产总额为</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万元，属于（</w:t>
      </w:r>
      <w:r>
        <w:rPr>
          <w:rFonts w:ascii="宋体" w:hAnsi="宋体" w:cs="宋体"/>
          <w:color w:val="auto"/>
          <w:kern w:val="0"/>
          <w:szCs w:val="24"/>
          <w:highlight w:val="none"/>
          <w:u w:val="single"/>
        </w:rPr>
        <w:t>中型企业、 小型企业、微型企业）</w:t>
      </w:r>
      <w:r>
        <w:rPr>
          <w:rFonts w:ascii="宋体" w:hAnsi="宋体" w:cs="宋体"/>
          <w:color w:val="auto"/>
          <w:kern w:val="0"/>
          <w:szCs w:val="24"/>
          <w:highlight w:val="none"/>
        </w:rPr>
        <w:t>；</w:t>
      </w:r>
    </w:p>
    <w:p>
      <w:pPr>
        <w:widowControl/>
        <w:spacing w:before="24" w:after="24"/>
        <w:jc w:val="left"/>
        <w:rPr>
          <w:rFonts w:hint="default" w:ascii="宋体" w:hAnsi="宋体" w:cs="宋体"/>
          <w:color w:val="auto"/>
          <w:szCs w:val="24"/>
          <w:highlight w:val="none"/>
        </w:rPr>
      </w:pPr>
      <w:r>
        <w:rPr>
          <w:rFonts w:ascii="宋体" w:hAnsi="宋体" w:cs="宋体"/>
          <w:color w:val="auto"/>
          <w:kern w:val="0"/>
          <w:szCs w:val="24"/>
          <w:highlight w:val="none"/>
        </w:rPr>
        <w:t>……</w:t>
      </w:r>
    </w:p>
    <w:p>
      <w:pPr>
        <w:widowControl/>
        <w:spacing w:before="24" w:after="24"/>
        <w:ind w:firstLine="480" w:firstLineChars="200"/>
        <w:jc w:val="left"/>
        <w:rPr>
          <w:rFonts w:hint="default" w:ascii="宋体" w:hAnsi="宋体" w:cs="宋体"/>
          <w:color w:val="auto"/>
          <w:kern w:val="0"/>
          <w:szCs w:val="24"/>
          <w:highlight w:val="none"/>
        </w:rPr>
      </w:pPr>
      <w:r>
        <w:rPr>
          <w:rFonts w:ascii="宋体" w:hAnsi="宋体" w:cs="宋体"/>
          <w:color w:val="auto"/>
          <w:kern w:val="0"/>
          <w:szCs w:val="24"/>
          <w:highlight w:val="none"/>
        </w:rPr>
        <w:t xml:space="preserve">以上企业，不属于大企业的分支机构，不存在控股股东为大企业的情形，也不存在与大企业的负责人为同一人的情形。 </w:t>
      </w:r>
    </w:p>
    <w:p>
      <w:pPr>
        <w:widowControl/>
        <w:spacing w:before="24" w:after="24"/>
        <w:ind w:firstLine="480" w:firstLineChars="200"/>
        <w:jc w:val="left"/>
        <w:rPr>
          <w:rFonts w:hint="default" w:ascii="宋体" w:hAnsi="宋体" w:cs="宋体"/>
          <w:color w:val="auto"/>
          <w:szCs w:val="24"/>
          <w:highlight w:val="none"/>
        </w:rPr>
      </w:pPr>
      <w:r>
        <w:rPr>
          <w:rFonts w:ascii="宋体" w:hAnsi="宋体" w:cs="宋体"/>
          <w:color w:val="auto"/>
          <w:kern w:val="0"/>
          <w:szCs w:val="24"/>
          <w:highlight w:val="none"/>
        </w:rPr>
        <w:t xml:space="preserve">本企业对上述声明内容的真实性负责。如有虚假，将依法承担相应责任。 </w:t>
      </w:r>
    </w:p>
    <w:p>
      <w:pPr>
        <w:widowControl/>
        <w:spacing w:before="24" w:after="24"/>
        <w:jc w:val="left"/>
        <w:rPr>
          <w:rFonts w:hint="default" w:ascii="宋体" w:hAnsi="宋体" w:cs="宋体"/>
          <w:color w:val="auto"/>
          <w:kern w:val="0"/>
          <w:szCs w:val="24"/>
          <w:highlight w:val="none"/>
        </w:rPr>
      </w:pPr>
    </w:p>
    <w:p>
      <w:pPr>
        <w:widowControl/>
        <w:spacing w:before="24" w:after="24"/>
        <w:jc w:val="left"/>
        <w:rPr>
          <w:rFonts w:hint="default" w:ascii="宋体" w:hAnsi="宋体" w:cs="宋体"/>
          <w:color w:val="auto"/>
          <w:kern w:val="0"/>
          <w:szCs w:val="24"/>
          <w:highlight w:val="none"/>
        </w:rPr>
      </w:pPr>
    </w:p>
    <w:p>
      <w:pPr>
        <w:widowControl/>
        <w:spacing w:before="24" w:after="24"/>
        <w:ind w:firstLine="5280" w:firstLineChars="2200"/>
        <w:jc w:val="left"/>
        <w:rPr>
          <w:rFonts w:hint="default" w:ascii="宋体" w:hAnsi="宋体" w:cs="宋体"/>
          <w:color w:val="auto"/>
          <w:szCs w:val="24"/>
          <w:highlight w:val="none"/>
        </w:rPr>
      </w:pPr>
      <w:r>
        <w:rPr>
          <w:rFonts w:ascii="宋体" w:hAnsi="宋体" w:cs="宋体"/>
          <w:color w:val="auto"/>
          <w:kern w:val="0"/>
          <w:szCs w:val="24"/>
          <w:highlight w:val="none"/>
        </w:rPr>
        <w:t>企业名称（盖章）：</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 xml:space="preserve"> </w:t>
      </w:r>
    </w:p>
    <w:p>
      <w:pPr>
        <w:widowControl/>
        <w:spacing w:before="24" w:after="24"/>
        <w:ind w:firstLine="5280" w:firstLineChars="2200"/>
        <w:jc w:val="left"/>
        <w:rPr>
          <w:rFonts w:hint="default" w:ascii="宋体" w:hAnsi="宋体" w:cs="宋体"/>
          <w:color w:val="auto"/>
          <w:szCs w:val="24"/>
          <w:highlight w:val="none"/>
          <w:u w:val="single"/>
        </w:rPr>
      </w:pPr>
      <w:r>
        <w:rPr>
          <w:rFonts w:ascii="宋体" w:hAnsi="宋体" w:cs="宋体"/>
          <w:color w:val="auto"/>
          <w:kern w:val="0"/>
          <w:szCs w:val="24"/>
          <w:highlight w:val="none"/>
        </w:rPr>
        <w:t>日  期：</w:t>
      </w:r>
      <w:r>
        <w:rPr>
          <w:rFonts w:ascii="宋体" w:hAnsi="宋体" w:cs="宋体"/>
          <w:color w:val="auto"/>
          <w:kern w:val="0"/>
          <w:szCs w:val="24"/>
          <w:highlight w:val="none"/>
          <w:u w:val="single"/>
        </w:rPr>
        <w:t xml:space="preserve">                      </w:t>
      </w:r>
    </w:p>
    <w:p>
      <w:pPr>
        <w:spacing w:before="24" w:after="24"/>
        <w:rPr>
          <w:rFonts w:hint="default" w:ascii="宋体" w:hAnsi="宋体" w:cs="宋体"/>
          <w:b/>
          <w:color w:val="auto"/>
          <w:sz w:val="28"/>
          <w:szCs w:val="28"/>
          <w:highlight w:val="none"/>
        </w:rPr>
      </w:pPr>
      <w:r>
        <w:rPr>
          <w:rFonts w:ascii="宋体" w:hAnsi="宋体" w:cs="宋体"/>
          <w:b/>
          <w:color w:val="auto"/>
          <w:sz w:val="28"/>
          <w:szCs w:val="28"/>
          <w:highlight w:val="none"/>
        </w:rPr>
        <w:br w:type="page"/>
      </w:r>
    </w:p>
    <w:p>
      <w:pPr>
        <w:autoSpaceDE w:val="0"/>
        <w:autoSpaceDN w:val="0"/>
        <w:adjustRightInd w:val="0"/>
        <w:snapToGrid w:val="0"/>
        <w:spacing w:before="24" w:after="24" w:line="336" w:lineRule="auto"/>
        <w:rPr>
          <w:rFonts w:hint="default" w:ascii="宋体" w:hAnsi="宋体" w:cs="宋体"/>
          <w:b/>
          <w:bCs/>
          <w:color w:val="auto"/>
          <w:sz w:val="30"/>
          <w:szCs w:val="30"/>
          <w:highlight w:val="none"/>
        </w:rPr>
      </w:pPr>
      <w:r>
        <w:rPr>
          <w:rFonts w:ascii="宋体" w:hAnsi="宋体" w:cs="宋体"/>
          <w:b/>
          <w:color w:val="auto"/>
          <w:sz w:val="28"/>
          <w:szCs w:val="28"/>
          <w:highlight w:val="none"/>
        </w:rPr>
        <w:t>附件8：</w:t>
      </w:r>
    </w:p>
    <w:p>
      <w:pPr>
        <w:adjustRightInd w:val="0"/>
        <w:snapToGrid w:val="0"/>
        <w:spacing w:before="24" w:after="24"/>
        <w:jc w:val="center"/>
        <w:rPr>
          <w:rFonts w:hint="default" w:ascii="宋体" w:hAnsi="宋体" w:cs="宋体"/>
          <w:b/>
          <w:bCs/>
          <w:color w:val="auto"/>
          <w:sz w:val="30"/>
          <w:szCs w:val="30"/>
          <w:highlight w:val="none"/>
        </w:rPr>
      </w:pPr>
    </w:p>
    <w:p>
      <w:pPr>
        <w:spacing w:before="24" w:after="24"/>
        <w:ind w:firstLine="301" w:firstLineChars="100"/>
        <w:jc w:val="center"/>
        <w:rPr>
          <w:rFonts w:hint="default" w:ascii="宋体" w:hAnsi="宋体" w:cs="宋体"/>
          <w:b/>
          <w:bCs/>
          <w:color w:val="auto"/>
          <w:sz w:val="30"/>
          <w:szCs w:val="30"/>
          <w:highlight w:val="none"/>
          <w:lang w:val="zh-CN"/>
        </w:rPr>
      </w:pPr>
      <w:r>
        <w:rPr>
          <w:rFonts w:ascii="宋体" w:hAnsi="宋体" w:cs="宋体"/>
          <w:b/>
          <w:color w:val="auto"/>
          <w:kern w:val="0"/>
          <w:sz w:val="30"/>
          <w:szCs w:val="30"/>
          <w:highlight w:val="none"/>
        </w:rPr>
        <w:t>残疾人福利性单位声明函（格式）</w:t>
      </w:r>
    </w:p>
    <w:p>
      <w:pPr>
        <w:pStyle w:val="21"/>
        <w:jc w:val="center"/>
        <w:rPr>
          <w:rFonts w:hint="default" w:ascii="宋体" w:hAnsi="宋体" w:cs="宋体"/>
          <w:b/>
          <w:color w:val="auto"/>
          <w:szCs w:val="21"/>
          <w:highlight w:val="none"/>
        </w:rPr>
      </w:pPr>
      <w:r>
        <w:rPr>
          <w:rFonts w:ascii="宋体" w:hAnsi="宋体" w:cs="宋体"/>
          <w:b/>
          <w:color w:val="auto"/>
          <w:szCs w:val="21"/>
          <w:highlight w:val="none"/>
        </w:rPr>
        <w:t>（不符合条件的无需提供）</w:t>
      </w:r>
    </w:p>
    <w:p>
      <w:pPr>
        <w:spacing w:before="24" w:after="24" w:line="588" w:lineRule="exact"/>
        <w:rPr>
          <w:rFonts w:hint="default" w:ascii="宋体" w:hAnsi="宋体" w:cs="宋体"/>
          <w:b/>
          <w:color w:val="auto"/>
          <w:spacing w:val="6"/>
          <w:sz w:val="30"/>
          <w:szCs w:val="30"/>
          <w:highlight w:val="none"/>
        </w:rPr>
      </w:pPr>
    </w:p>
    <w:p>
      <w:pPr>
        <w:spacing w:before="24" w:after="24" w:line="588" w:lineRule="exact"/>
        <w:ind w:firstLine="504" w:firstLineChars="200"/>
        <w:rPr>
          <w:rFonts w:hint="default" w:ascii="宋体" w:hAnsi="宋体" w:cs="宋体"/>
          <w:color w:val="auto"/>
          <w:spacing w:val="6"/>
          <w:szCs w:val="24"/>
          <w:highlight w:val="none"/>
        </w:rPr>
      </w:pPr>
      <w:r>
        <w:rPr>
          <w:rFonts w:ascii="宋体" w:hAnsi="宋体" w:cs="宋体"/>
          <w:color w:val="auto"/>
          <w:spacing w:val="6"/>
          <w:szCs w:val="24"/>
          <w:highlight w:val="none"/>
        </w:rPr>
        <w:t>本单位郑重声明，根据《财政部 民政部 中国残疾人联合会关于促进残疾人就业政府采购政策的通知》（财库</w:t>
      </w:r>
      <w:r>
        <w:rPr>
          <w:rFonts w:ascii="宋体" w:hAnsi="宋体" w:cs="宋体"/>
          <w:color w:val="auto"/>
          <w:szCs w:val="24"/>
          <w:highlight w:val="none"/>
        </w:rPr>
        <w:t>〔2017〕 141</w:t>
      </w:r>
      <w:r>
        <w:rPr>
          <w:rFonts w:ascii="宋体" w:hAnsi="宋体" w:cs="宋体"/>
          <w:color w:val="auto"/>
          <w:spacing w:val="6"/>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before="24" w:after="24" w:line="588" w:lineRule="exact"/>
        <w:ind w:firstLine="504" w:firstLineChars="200"/>
        <w:rPr>
          <w:rFonts w:hint="default" w:ascii="宋体" w:hAnsi="宋体" w:cs="宋体"/>
          <w:color w:val="auto"/>
          <w:spacing w:val="6"/>
          <w:szCs w:val="24"/>
          <w:highlight w:val="none"/>
        </w:rPr>
      </w:pPr>
      <w:r>
        <w:rPr>
          <w:rFonts w:ascii="宋体" w:hAnsi="宋体" w:cs="宋体"/>
          <w:color w:val="auto"/>
          <w:spacing w:val="6"/>
          <w:szCs w:val="24"/>
          <w:highlight w:val="none"/>
        </w:rPr>
        <w:t>本单位对上述声明的真实性负责。如有虚假，将依法承担相应责任。</w:t>
      </w:r>
    </w:p>
    <w:p>
      <w:pPr>
        <w:spacing w:before="24" w:after="24" w:line="588" w:lineRule="exact"/>
        <w:ind w:firstLine="504" w:firstLineChars="200"/>
        <w:rPr>
          <w:rFonts w:hint="default" w:ascii="宋体" w:hAnsi="宋体" w:cs="宋体"/>
          <w:color w:val="auto"/>
          <w:spacing w:val="6"/>
          <w:szCs w:val="24"/>
          <w:highlight w:val="none"/>
        </w:rPr>
      </w:pPr>
    </w:p>
    <w:p>
      <w:pPr>
        <w:spacing w:before="24" w:after="24" w:line="588" w:lineRule="exact"/>
        <w:ind w:firstLine="504" w:firstLineChars="200"/>
        <w:rPr>
          <w:rFonts w:hint="default" w:ascii="宋体" w:hAnsi="宋体" w:cs="宋体"/>
          <w:color w:val="auto"/>
          <w:spacing w:val="6"/>
          <w:szCs w:val="24"/>
          <w:highlight w:val="none"/>
        </w:rPr>
      </w:pPr>
    </w:p>
    <w:p>
      <w:pPr>
        <w:spacing w:before="24" w:after="24" w:line="588" w:lineRule="exact"/>
        <w:ind w:firstLine="504" w:firstLineChars="200"/>
        <w:rPr>
          <w:rFonts w:hint="default" w:ascii="宋体" w:hAnsi="宋体" w:cs="宋体"/>
          <w:color w:val="auto"/>
          <w:spacing w:val="6"/>
          <w:szCs w:val="24"/>
          <w:highlight w:val="none"/>
        </w:rPr>
      </w:pPr>
    </w:p>
    <w:p>
      <w:pPr>
        <w:spacing w:before="24" w:after="24" w:line="588" w:lineRule="exact"/>
        <w:ind w:firstLine="504" w:firstLineChars="200"/>
        <w:rPr>
          <w:rFonts w:hint="default" w:ascii="宋体" w:hAnsi="宋体" w:cs="宋体"/>
          <w:color w:val="auto"/>
          <w:spacing w:val="6"/>
          <w:szCs w:val="24"/>
          <w:highlight w:val="none"/>
        </w:rPr>
      </w:pPr>
    </w:p>
    <w:p>
      <w:pPr>
        <w:tabs>
          <w:tab w:val="left" w:pos="4860"/>
        </w:tabs>
        <w:spacing w:before="24" w:after="24" w:line="720" w:lineRule="auto"/>
        <w:ind w:right="1560" w:firstLine="504" w:firstLineChars="200"/>
        <w:jc w:val="center"/>
        <w:rPr>
          <w:rFonts w:hint="default" w:ascii="宋体" w:hAnsi="宋体" w:cs="宋体"/>
          <w:color w:val="auto"/>
          <w:spacing w:val="6"/>
          <w:szCs w:val="24"/>
          <w:highlight w:val="none"/>
        </w:rPr>
      </w:pPr>
      <w:r>
        <w:rPr>
          <w:rFonts w:ascii="宋体" w:hAnsi="宋体" w:cs="宋体"/>
          <w:color w:val="auto"/>
          <w:spacing w:val="6"/>
          <w:szCs w:val="24"/>
          <w:highlight w:val="none"/>
        </w:rPr>
        <w:t>供应商名称：</w:t>
      </w:r>
      <w:r>
        <w:rPr>
          <w:rFonts w:ascii="宋体" w:hAnsi="宋体" w:cs="宋体"/>
          <w:color w:val="auto"/>
          <w:spacing w:val="6"/>
          <w:szCs w:val="24"/>
          <w:highlight w:val="none"/>
          <w:u w:val="single"/>
        </w:rPr>
        <w:t xml:space="preserve">                       </w:t>
      </w:r>
      <w:r>
        <w:rPr>
          <w:rFonts w:ascii="宋体" w:hAnsi="宋体" w:cs="宋体"/>
          <w:color w:val="auto"/>
          <w:spacing w:val="6"/>
          <w:szCs w:val="24"/>
          <w:highlight w:val="none"/>
        </w:rPr>
        <w:t>（盖章）</w:t>
      </w:r>
    </w:p>
    <w:p>
      <w:pPr>
        <w:adjustRightInd w:val="0"/>
        <w:snapToGrid w:val="0"/>
        <w:spacing w:before="24" w:after="24" w:line="720" w:lineRule="auto"/>
        <w:ind w:firstLine="2880" w:firstLineChars="1200"/>
        <w:rPr>
          <w:rFonts w:hint="default" w:ascii="宋体" w:hAnsi="宋体" w:cs="宋体"/>
          <w:color w:val="auto"/>
          <w:highlight w:val="none"/>
        </w:rPr>
      </w:pPr>
      <w:r>
        <w:rPr>
          <w:rFonts w:ascii="宋体" w:hAnsi="宋体" w:cs="宋体"/>
          <w:color w:val="auto"/>
          <w:highlight w:val="none"/>
        </w:rPr>
        <w:t>日     期：</w:t>
      </w:r>
      <w:r>
        <w:rPr>
          <w:rFonts w:ascii="宋体" w:hAnsi="宋体" w:cs="宋体"/>
          <w:color w:val="auto"/>
          <w:highlight w:val="none"/>
          <w:u w:val="single"/>
        </w:rPr>
        <w:t xml:space="preserve">    </w:t>
      </w:r>
      <w:r>
        <w:rPr>
          <w:rFonts w:ascii="宋体" w:hAnsi="宋体" w:cs="宋体"/>
          <w:color w:val="auto"/>
          <w:highlight w:val="none"/>
        </w:rPr>
        <w:t>年</w:t>
      </w:r>
      <w:r>
        <w:rPr>
          <w:rFonts w:ascii="宋体" w:hAnsi="宋体" w:cs="宋体"/>
          <w:color w:val="auto"/>
          <w:highlight w:val="none"/>
          <w:u w:val="single"/>
        </w:rPr>
        <w:t xml:space="preserve">    </w:t>
      </w:r>
      <w:r>
        <w:rPr>
          <w:rFonts w:ascii="宋体" w:hAnsi="宋体" w:cs="宋体"/>
          <w:color w:val="auto"/>
          <w:highlight w:val="none"/>
        </w:rPr>
        <w:t>月</w:t>
      </w:r>
      <w:r>
        <w:rPr>
          <w:rFonts w:ascii="宋体" w:hAnsi="宋体" w:cs="宋体"/>
          <w:color w:val="auto"/>
          <w:highlight w:val="none"/>
          <w:u w:val="single"/>
        </w:rPr>
        <w:t xml:space="preserve">    </w:t>
      </w:r>
      <w:r>
        <w:rPr>
          <w:rFonts w:ascii="宋体" w:hAnsi="宋体" w:cs="宋体"/>
          <w:color w:val="auto"/>
          <w:highlight w:val="none"/>
        </w:rPr>
        <w:t>日</w:t>
      </w:r>
    </w:p>
    <w:p>
      <w:pPr>
        <w:spacing w:before="24" w:after="24"/>
        <w:rPr>
          <w:rFonts w:hint="default" w:ascii="宋体" w:hAnsi="宋体" w:cs="宋体"/>
          <w:b/>
          <w:bCs/>
          <w:color w:val="auto"/>
          <w:sz w:val="30"/>
          <w:szCs w:val="30"/>
          <w:highlight w:val="none"/>
        </w:rPr>
      </w:pPr>
      <w:r>
        <w:rPr>
          <w:rFonts w:ascii="宋体" w:hAnsi="宋体" w:cs="宋体"/>
          <w:b/>
          <w:bCs/>
          <w:color w:val="auto"/>
          <w:sz w:val="30"/>
          <w:szCs w:val="30"/>
          <w:highlight w:val="none"/>
        </w:rPr>
        <w:br w:type="page"/>
      </w:r>
    </w:p>
    <w:p>
      <w:pPr>
        <w:spacing w:before="24" w:after="24"/>
        <w:rPr>
          <w:rFonts w:hint="default" w:ascii="宋体" w:hAnsi="宋体" w:cs="宋体"/>
          <w:b/>
          <w:bCs/>
          <w:color w:val="auto"/>
          <w:sz w:val="30"/>
          <w:szCs w:val="30"/>
          <w:highlight w:val="none"/>
          <w:lang w:val="zh-CN"/>
        </w:rPr>
      </w:pPr>
      <w:r>
        <w:rPr>
          <w:rFonts w:ascii="宋体" w:hAnsi="宋体" w:cs="宋体"/>
          <w:b/>
          <w:color w:val="auto"/>
          <w:sz w:val="28"/>
          <w:szCs w:val="28"/>
          <w:highlight w:val="none"/>
        </w:rPr>
        <w:t>附件9：</w:t>
      </w:r>
    </w:p>
    <w:p>
      <w:pPr>
        <w:spacing w:before="24" w:after="24"/>
        <w:jc w:val="center"/>
        <w:rPr>
          <w:rFonts w:hint="default" w:ascii="宋体" w:hAnsi="宋体" w:cs="宋体"/>
          <w:b/>
          <w:bCs/>
          <w:color w:val="auto"/>
          <w:sz w:val="30"/>
          <w:szCs w:val="30"/>
          <w:highlight w:val="none"/>
          <w:lang w:val="zh-CN"/>
        </w:rPr>
      </w:pPr>
    </w:p>
    <w:p>
      <w:pPr>
        <w:spacing w:before="24" w:after="24"/>
        <w:jc w:val="center"/>
        <w:rPr>
          <w:rFonts w:hint="default" w:ascii="宋体" w:hAnsi="宋体" w:cs="宋体"/>
          <w:b/>
          <w:bCs/>
          <w:color w:val="auto"/>
          <w:sz w:val="30"/>
          <w:szCs w:val="30"/>
          <w:highlight w:val="none"/>
          <w:lang w:val="zh-CN"/>
        </w:rPr>
      </w:pPr>
      <w:r>
        <w:rPr>
          <w:rFonts w:ascii="宋体" w:hAnsi="宋体" w:cs="宋体"/>
          <w:b/>
          <w:bCs/>
          <w:color w:val="auto"/>
          <w:sz w:val="30"/>
          <w:szCs w:val="30"/>
          <w:highlight w:val="none"/>
          <w:lang w:val="zh-CN"/>
        </w:rPr>
        <w:t>监狱</w:t>
      </w:r>
      <w:r>
        <w:rPr>
          <w:rFonts w:ascii="宋体" w:hAnsi="宋体" w:cs="宋体"/>
          <w:b/>
          <w:color w:val="auto"/>
          <w:kern w:val="0"/>
          <w:sz w:val="30"/>
          <w:szCs w:val="30"/>
          <w:highlight w:val="none"/>
          <w:lang w:val="zh-CN"/>
        </w:rPr>
        <w:t>企业</w:t>
      </w:r>
      <w:r>
        <w:rPr>
          <w:rFonts w:ascii="宋体" w:hAnsi="宋体" w:cs="宋体"/>
          <w:b/>
          <w:bCs/>
          <w:color w:val="auto"/>
          <w:sz w:val="30"/>
          <w:szCs w:val="30"/>
          <w:highlight w:val="none"/>
          <w:lang w:val="zh-CN"/>
        </w:rPr>
        <w:t>证明函</w:t>
      </w:r>
    </w:p>
    <w:p>
      <w:pPr>
        <w:pStyle w:val="21"/>
        <w:jc w:val="center"/>
        <w:rPr>
          <w:rFonts w:hint="default" w:ascii="宋体" w:hAnsi="宋体" w:cs="宋体"/>
          <w:color w:val="auto"/>
          <w:highlight w:val="none"/>
          <w:lang w:val="zh-CN"/>
        </w:rPr>
      </w:pPr>
      <w:r>
        <w:rPr>
          <w:rFonts w:ascii="宋体" w:hAnsi="宋体" w:cs="宋体"/>
          <w:b/>
          <w:color w:val="auto"/>
          <w:szCs w:val="21"/>
          <w:highlight w:val="none"/>
        </w:rPr>
        <w:t>（不符合条件的无需提供）</w:t>
      </w:r>
    </w:p>
    <w:p>
      <w:pPr>
        <w:spacing w:before="24" w:after="24" w:line="560" w:lineRule="exact"/>
        <w:ind w:firstLine="480" w:firstLineChars="200"/>
        <w:rPr>
          <w:rFonts w:hint="default" w:ascii="宋体" w:hAnsi="宋体" w:cs="宋体"/>
          <w:color w:val="auto"/>
          <w:highlight w:val="none"/>
        </w:rPr>
      </w:pPr>
      <w:r>
        <w:rPr>
          <w:rFonts w:ascii="宋体" w:hAnsi="宋体" w:cs="宋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bookmarkEnd w:id="252"/>
    <w:bookmarkEnd w:id="253"/>
    <w:bookmarkEnd w:id="254"/>
    <w:bookmarkEnd w:id="255"/>
    <w:bookmarkEnd w:id="256"/>
    <w:bookmarkEnd w:id="257"/>
    <w:bookmarkEnd w:id="258"/>
    <w:bookmarkEnd w:id="259"/>
    <w:p>
      <w:pPr>
        <w:pStyle w:val="64"/>
        <w:spacing w:before="24" w:after="24"/>
        <w:ind w:firstLine="0" w:firstLineChars="0"/>
        <w:rPr>
          <w:rFonts w:hint="default" w:ascii="宋体" w:hAnsi="宋体" w:cs="宋体"/>
          <w:color w:val="auto"/>
          <w:highlight w:val="none"/>
        </w:rPr>
      </w:pPr>
    </w:p>
    <w:sectPr>
      <w:headerReference r:id="rId11" w:type="default"/>
      <w:footerReference r:id="rId12" w:type="default"/>
      <w:pgSz w:w="11906" w:h="16838"/>
      <w:pgMar w:top="1418" w:right="1418" w:bottom="1417" w:left="1417" w:header="850" w:footer="850" w:gutter="0"/>
      <w:pgBorders>
        <w:top w:val="none" w:sz="0" w:space="0"/>
        <w:left w:val="none" w:sz="0" w:space="0"/>
        <w:bottom w:val="none" w:sz="0" w:space="0"/>
        <w:right w:val="none" w:sz="0" w:space="0"/>
      </w:pgBorders>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16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38"/>
      </w:tabs>
      <w:spacing w:before="24" w:after="24"/>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24" w:after="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24" w:after="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24" w:after="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spacing w:before="24" w:after="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0"/>
                      <w:spacing w:before="24" w:after="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pacing w:beforeLines="0" w:after="24" w:line="240" w:lineRule="auto"/>
      <w:jc w:val="left"/>
      <w:rPr>
        <w:rFonts w:hint="default" w:ascii="宋体"/>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before="24" w:after="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before="24" w:after="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spacing w:before="24" w:after="24"/>
      <w:jc w:val="both"/>
    </w:pPr>
    <w:r>
      <w:rPr>
        <w:rFonts w:hint="eastAsia"/>
        <w:u w:val="double"/>
      </w:rPr>
      <w:t xml:space="preserve">数字档案馆创建项目竞争性磋商文件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8CEC7AC9"/>
    <w:multiLevelType w:val="singleLevel"/>
    <w:tmpl w:val="8CEC7AC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921D10EC"/>
    <w:multiLevelType w:val="singleLevel"/>
    <w:tmpl w:val="921D10EC"/>
    <w:lvl w:ilvl="0" w:tentative="0">
      <w:start w:val="1"/>
      <w:numFmt w:val="decimal"/>
      <w:lvlText w:val="%1."/>
      <w:lvlJc w:val="left"/>
      <w:pPr>
        <w:tabs>
          <w:tab w:val="left" w:pos="312"/>
        </w:tabs>
      </w:pPr>
    </w:lvl>
  </w:abstractNum>
  <w:abstractNum w:abstractNumId="3">
    <w:nsid w:val="E27D41DE"/>
    <w:multiLevelType w:val="singleLevel"/>
    <w:tmpl w:val="E27D41DE"/>
    <w:lvl w:ilvl="0" w:tentative="0">
      <w:start w:val="5"/>
      <w:numFmt w:val="chineseCounting"/>
      <w:suff w:val="nothing"/>
      <w:lvlText w:val="%1、"/>
      <w:lvlJc w:val="left"/>
      <w:rPr>
        <w:rFonts w:hint="eastAsia"/>
      </w:rPr>
    </w:lvl>
  </w:abstractNum>
  <w:abstractNum w:abstractNumId="4">
    <w:nsid w:val="F904D855"/>
    <w:multiLevelType w:val="singleLevel"/>
    <w:tmpl w:val="F904D855"/>
    <w:lvl w:ilvl="0" w:tentative="0">
      <w:start w:val="1"/>
      <w:numFmt w:val="decimal"/>
      <w:lvlText w:val="%1."/>
      <w:lvlJc w:val="left"/>
      <w:pPr>
        <w:tabs>
          <w:tab w:val="left" w:pos="312"/>
        </w:tabs>
      </w:pPr>
    </w:lvl>
  </w:abstractNum>
  <w:abstractNum w:abstractNumId="5">
    <w:nsid w:val="1265706D"/>
    <w:multiLevelType w:val="singleLevel"/>
    <w:tmpl w:val="1265706D"/>
    <w:lvl w:ilvl="0" w:tentative="0">
      <w:start w:val="1"/>
      <w:numFmt w:val="decimal"/>
      <w:lvlText w:val="%1."/>
      <w:lvlJc w:val="left"/>
      <w:pPr>
        <w:tabs>
          <w:tab w:val="left" w:pos="312"/>
        </w:tabs>
      </w:pPr>
    </w:lvl>
  </w:abstractNum>
  <w:abstractNum w:abstractNumId="6">
    <w:nsid w:val="192B548F"/>
    <w:multiLevelType w:val="singleLevel"/>
    <w:tmpl w:val="192B548F"/>
    <w:lvl w:ilvl="0" w:tentative="0">
      <w:start w:val="1"/>
      <w:numFmt w:val="decimal"/>
      <w:lvlText w:val="%1."/>
      <w:lvlJc w:val="left"/>
      <w:pPr>
        <w:tabs>
          <w:tab w:val="left" w:pos="312"/>
        </w:tabs>
        <w:ind w:left="-24"/>
      </w:pPr>
    </w:lvl>
  </w:abstractNum>
  <w:abstractNum w:abstractNumId="7">
    <w:nsid w:val="2E59679D"/>
    <w:multiLevelType w:val="singleLevel"/>
    <w:tmpl w:val="2E59679D"/>
    <w:lvl w:ilvl="0" w:tentative="0">
      <w:start w:val="2"/>
      <w:numFmt w:val="chineseCounting"/>
      <w:suff w:val="nothing"/>
      <w:lvlText w:val="%1、"/>
      <w:lvlJc w:val="left"/>
      <w:pPr>
        <w:ind w:left="-482"/>
      </w:pPr>
      <w:rPr>
        <w:rFonts w:hint="eastAsia"/>
      </w:rPr>
    </w:lvl>
  </w:abstractNum>
  <w:abstractNum w:abstractNumId="8">
    <w:nsid w:val="36CC2120"/>
    <w:multiLevelType w:val="singleLevel"/>
    <w:tmpl w:val="36CC2120"/>
    <w:lvl w:ilvl="0" w:tentative="0">
      <w:start w:val="1"/>
      <w:numFmt w:val="decimal"/>
      <w:lvlText w:val="%1."/>
      <w:lvlJc w:val="left"/>
      <w:pPr>
        <w:tabs>
          <w:tab w:val="left" w:pos="312"/>
        </w:tabs>
      </w:pPr>
    </w:lvl>
  </w:abstractNum>
  <w:abstractNum w:abstractNumId="9">
    <w:nsid w:val="628369FE"/>
    <w:multiLevelType w:val="singleLevel"/>
    <w:tmpl w:val="628369FE"/>
    <w:lvl w:ilvl="0" w:tentative="0">
      <w:start w:val="1"/>
      <w:numFmt w:val="decimal"/>
      <w:lvlText w:val="%1."/>
      <w:lvlJc w:val="left"/>
      <w:pPr>
        <w:tabs>
          <w:tab w:val="left" w:pos="312"/>
        </w:tabs>
      </w:pPr>
    </w:lvl>
  </w:abstractNum>
  <w:abstractNum w:abstractNumId="10">
    <w:nsid w:val="7F6053CB"/>
    <w:multiLevelType w:val="multilevel"/>
    <w:tmpl w:val="7F6053CB"/>
    <w:lvl w:ilvl="0" w:tentative="0">
      <w:start w:val="1"/>
      <w:numFmt w:val="decimal"/>
      <w:lvlText w:val="%1 "/>
      <w:lvlJc w:val="center"/>
      <w:pPr>
        <w:tabs>
          <w:tab w:val="left" w:pos="479"/>
        </w:tabs>
        <w:ind w:firstLine="119"/>
      </w:pPr>
      <w:rPr>
        <w:rFonts w:hint="default" w:ascii="Times New Roman" w:hAnsi="Times New Roman" w:eastAsia="宋体"/>
        <w:b/>
        <w:sz w:val="28"/>
      </w:rPr>
    </w:lvl>
    <w:lvl w:ilvl="1" w:tentative="0">
      <w:start w:val="1"/>
      <w:numFmt w:val="decimal"/>
      <w:pStyle w:val="5"/>
      <w:lvlText w:val="%1.%2"/>
      <w:lvlJc w:val="left"/>
      <w:pPr>
        <w:tabs>
          <w:tab w:val="left" w:pos="6295"/>
        </w:tabs>
        <w:ind w:left="6295" w:hanging="624"/>
      </w:pPr>
      <w:rPr>
        <w:rFonts w:hint="default" w:ascii="Times New Roman" w:hAnsi="Times New Roman" w:eastAsia="宋体"/>
        <w:b/>
        <w:sz w:val="24"/>
      </w:rPr>
    </w:lvl>
    <w:lvl w:ilvl="2" w:tentative="0">
      <w:start w:val="1"/>
      <w:numFmt w:val="decimal"/>
      <w:pStyle w:val="6"/>
      <w:lvlText w:val="%1.%2.%3"/>
      <w:lvlJc w:val="left"/>
      <w:pPr>
        <w:tabs>
          <w:tab w:val="left" w:pos="821"/>
        </w:tabs>
        <w:ind w:left="821" w:hanging="680"/>
      </w:pPr>
      <w:rPr>
        <w:rFonts w:hint="default" w:ascii="Times New Roman" w:hAnsi="Times New Roman" w:eastAsia="宋体"/>
        <w:color w:val="auto"/>
        <w:sz w:val="24"/>
      </w:rPr>
    </w:lvl>
    <w:lvl w:ilvl="3" w:tentative="0">
      <w:start w:val="1"/>
      <w:numFmt w:val="lowerLetter"/>
      <w:lvlText w:val="（%4）"/>
      <w:lvlJc w:val="left"/>
      <w:pPr>
        <w:tabs>
          <w:tab w:val="left" w:pos="695"/>
        </w:tabs>
        <w:ind w:left="695" w:hanging="864"/>
      </w:pPr>
      <w:rPr>
        <w:rFonts w:hint="default" w:ascii="Times New Roman" w:hAnsi="Times New Roman" w:eastAsia="宋体"/>
      </w:rPr>
    </w:lvl>
    <w:lvl w:ilvl="4" w:tentative="0">
      <w:start w:val="1"/>
      <w:numFmt w:val="lowerRoman"/>
      <w:lvlText w:val="（%5）"/>
      <w:lvlJc w:val="left"/>
      <w:pPr>
        <w:tabs>
          <w:tab w:val="left" w:pos="839"/>
        </w:tabs>
        <w:ind w:left="839" w:hanging="1008"/>
      </w:pPr>
      <w:rPr>
        <w:rFonts w:hint="default" w:ascii="Times New Roman" w:hAnsi="Times New Roman" w:eastAsia="宋体"/>
        <w:color w:val="auto"/>
      </w:rPr>
    </w:lvl>
    <w:lvl w:ilvl="5" w:tentative="0">
      <w:start w:val="1"/>
      <w:numFmt w:val="decimal"/>
      <w:lvlText w:val="%6）"/>
      <w:lvlJc w:val="left"/>
      <w:pPr>
        <w:tabs>
          <w:tab w:val="left" w:pos="256"/>
        </w:tabs>
        <w:ind w:left="256" w:hanging="425"/>
      </w:pPr>
      <w:rPr>
        <w:rFonts w:hint="default" w:ascii="Times New Roman" w:hAnsi="Times New Roman" w:eastAsia="宋体"/>
        <w:sz w:val="24"/>
      </w:rPr>
    </w:lvl>
    <w:lvl w:ilvl="6" w:tentative="0">
      <w:start w:val="1"/>
      <w:numFmt w:val="decimal"/>
      <w:lvlText w:val=""/>
      <w:lvlJc w:val="left"/>
      <w:pPr>
        <w:tabs>
          <w:tab w:val="left" w:pos="1127"/>
        </w:tabs>
        <w:ind w:left="1127" w:hanging="1296"/>
      </w:pPr>
      <w:rPr>
        <w:rFonts w:hint="default" w:ascii="Times New Roman" w:hAnsi="Times New Roman" w:eastAsia="宋体"/>
      </w:rPr>
    </w:lvl>
    <w:lvl w:ilvl="7" w:tentative="0">
      <w:start w:val="1"/>
      <w:numFmt w:val="decimal"/>
      <w:lvlText w:val="%1.%2.%3.%4.%5.%6..%8"/>
      <w:lvlJc w:val="left"/>
      <w:pPr>
        <w:tabs>
          <w:tab w:val="left" w:pos="1271"/>
        </w:tabs>
        <w:ind w:left="1271" w:hanging="1440"/>
      </w:pPr>
      <w:rPr>
        <w:rFonts w:hint="default" w:ascii="Times New Roman" w:hAnsi="Times New Roman" w:eastAsia="宋体"/>
      </w:rPr>
    </w:lvl>
    <w:lvl w:ilvl="8" w:tentative="0">
      <w:start w:val="1"/>
      <w:numFmt w:val="decimal"/>
      <w:lvlText w:val="%1.%2.%3.%4.%5.%6..%8.%9"/>
      <w:lvlJc w:val="left"/>
      <w:pPr>
        <w:tabs>
          <w:tab w:val="left" w:pos="1415"/>
        </w:tabs>
        <w:ind w:left="1415" w:hanging="1584"/>
      </w:pPr>
      <w:rPr>
        <w:rFonts w:hint="default" w:ascii="Times New Roman" w:hAnsi="Times New Roman" w:eastAsia="宋体"/>
      </w:rPr>
    </w:lvl>
  </w:abstractNum>
  <w:num w:numId="1">
    <w:abstractNumId w:val="10"/>
  </w:num>
  <w:num w:numId="2">
    <w:abstractNumId w:val="1"/>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num>
  <w:num w:numId="8">
    <w:abstractNumId w:val="8"/>
  </w:num>
  <w:num w:numId="9">
    <w:abstractNumId w:val="4"/>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jQ3ODUxYzczN2M0NjM3OTU1NWRhMjk1ODUyZDYifQ=="/>
  </w:docVars>
  <w:rsids>
    <w:rsidRoot w:val="00172A27"/>
    <w:rsid w:val="0000020C"/>
    <w:rsid w:val="0000031A"/>
    <w:rsid w:val="000008C4"/>
    <w:rsid w:val="00000945"/>
    <w:rsid w:val="0000096F"/>
    <w:rsid w:val="00000ADA"/>
    <w:rsid w:val="00000C75"/>
    <w:rsid w:val="00000DFF"/>
    <w:rsid w:val="00000F33"/>
    <w:rsid w:val="00001222"/>
    <w:rsid w:val="00001477"/>
    <w:rsid w:val="00001629"/>
    <w:rsid w:val="00001821"/>
    <w:rsid w:val="00001B53"/>
    <w:rsid w:val="00002417"/>
    <w:rsid w:val="0000241D"/>
    <w:rsid w:val="00003E30"/>
    <w:rsid w:val="000052C5"/>
    <w:rsid w:val="000052EA"/>
    <w:rsid w:val="0000547B"/>
    <w:rsid w:val="00005D64"/>
    <w:rsid w:val="00005E51"/>
    <w:rsid w:val="000060BD"/>
    <w:rsid w:val="00006303"/>
    <w:rsid w:val="000066B3"/>
    <w:rsid w:val="00006D2E"/>
    <w:rsid w:val="00007286"/>
    <w:rsid w:val="00007D82"/>
    <w:rsid w:val="0001125F"/>
    <w:rsid w:val="0001216D"/>
    <w:rsid w:val="00013427"/>
    <w:rsid w:val="0001344B"/>
    <w:rsid w:val="0001344C"/>
    <w:rsid w:val="00013491"/>
    <w:rsid w:val="000134EA"/>
    <w:rsid w:val="00013739"/>
    <w:rsid w:val="0001380C"/>
    <w:rsid w:val="00013B67"/>
    <w:rsid w:val="00013CDA"/>
    <w:rsid w:val="00014BA1"/>
    <w:rsid w:val="00014D0E"/>
    <w:rsid w:val="000153EF"/>
    <w:rsid w:val="0001582D"/>
    <w:rsid w:val="0001630C"/>
    <w:rsid w:val="00016DCD"/>
    <w:rsid w:val="000171EF"/>
    <w:rsid w:val="00020308"/>
    <w:rsid w:val="000203EF"/>
    <w:rsid w:val="00020954"/>
    <w:rsid w:val="00021337"/>
    <w:rsid w:val="0002162C"/>
    <w:rsid w:val="0002200D"/>
    <w:rsid w:val="0002257F"/>
    <w:rsid w:val="00023263"/>
    <w:rsid w:val="000232CC"/>
    <w:rsid w:val="000236FC"/>
    <w:rsid w:val="00023CBB"/>
    <w:rsid w:val="00023F9C"/>
    <w:rsid w:val="00024AF4"/>
    <w:rsid w:val="00024B62"/>
    <w:rsid w:val="00025281"/>
    <w:rsid w:val="00025A92"/>
    <w:rsid w:val="00027D22"/>
    <w:rsid w:val="00030092"/>
    <w:rsid w:val="00030319"/>
    <w:rsid w:val="0003062E"/>
    <w:rsid w:val="00030DE3"/>
    <w:rsid w:val="00031920"/>
    <w:rsid w:val="00031A88"/>
    <w:rsid w:val="00031F69"/>
    <w:rsid w:val="00032429"/>
    <w:rsid w:val="00032D5D"/>
    <w:rsid w:val="00033874"/>
    <w:rsid w:val="00033CAF"/>
    <w:rsid w:val="00033D36"/>
    <w:rsid w:val="00034406"/>
    <w:rsid w:val="0003444B"/>
    <w:rsid w:val="00034655"/>
    <w:rsid w:val="00034E82"/>
    <w:rsid w:val="000353E3"/>
    <w:rsid w:val="0003556E"/>
    <w:rsid w:val="0003593E"/>
    <w:rsid w:val="00035991"/>
    <w:rsid w:val="00036167"/>
    <w:rsid w:val="00036783"/>
    <w:rsid w:val="00036919"/>
    <w:rsid w:val="00036AE0"/>
    <w:rsid w:val="0003753F"/>
    <w:rsid w:val="000408AF"/>
    <w:rsid w:val="00040960"/>
    <w:rsid w:val="00040C15"/>
    <w:rsid w:val="00040C47"/>
    <w:rsid w:val="00040C57"/>
    <w:rsid w:val="00040FB3"/>
    <w:rsid w:val="0004114A"/>
    <w:rsid w:val="0004204D"/>
    <w:rsid w:val="00042191"/>
    <w:rsid w:val="000423A2"/>
    <w:rsid w:val="0004331D"/>
    <w:rsid w:val="000433D8"/>
    <w:rsid w:val="000434A6"/>
    <w:rsid w:val="0004376B"/>
    <w:rsid w:val="000443F3"/>
    <w:rsid w:val="000449C7"/>
    <w:rsid w:val="00044CDF"/>
    <w:rsid w:val="00045341"/>
    <w:rsid w:val="00045526"/>
    <w:rsid w:val="00045687"/>
    <w:rsid w:val="00045DDE"/>
    <w:rsid w:val="00045DFE"/>
    <w:rsid w:val="00045E74"/>
    <w:rsid w:val="000468A4"/>
    <w:rsid w:val="00046A66"/>
    <w:rsid w:val="00046AAD"/>
    <w:rsid w:val="00046E75"/>
    <w:rsid w:val="00046EB1"/>
    <w:rsid w:val="00046FA7"/>
    <w:rsid w:val="00047740"/>
    <w:rsid w:val="00047A58"/>
    <w:rsid w:val="00050E5C"/>
    <w:rsid w:val="000511A2"/>
    <w:rsid w:val="0005137E"/>
    <w:rsid w:val="000516D6"/>
    <w:rsid w:val="00052117"/>
    <w:rsid w:val="000527B3"/>
    <w:rsid w:val="0005294E"/>
    <w:rsid w:val="0005372E"/>
    <w:rsid w:val="00053869"/>
    <w:rsid w:val="00053F6F"/>
    <w:rsid w:val="00054206"/>
    <w:rsid w:val="000543A0"/>
    <w:rsid w:val="000549DC"/>
    <w:rsid w:val="000549FD"/>
    <w:rsid w:val="000553FA"/>
    <w:rsid w:val="000553FB"/>
    <w:rsid w:val="0005601E"/>
    <w:rsid w:val="00056804"/>
    <w:rsid w:val="00056D09"/>
    <w:rsid w:val="00056DA3"/>
    <w:rsid w:val="0005735B"/>
    <w:rsid w:val="00057C32"/>
    <w:rsid w:val="0006027E"/>
    <w:rsid w:val="000608BD"/>
    <w:rsid w:val="00060B1D"/>
    <w:rsid w:val="00060CEA"/>
    <w:rsid w:val="00060F92"/>
    <w:rsid w:val="00062107"/>
    <w:rsid w:val="0006318F"/>
    <w:rsid w:val="000631E0"/>
    <w:rsid w:val="000635A5"/>
    <w:rsid w:val="000636B7"/>
    <w:rsid w:val="00063B3D"/>
    <w:rsid w:val="0006544E"/>
    <w:rsid w:val="00065657"/>
    <w:rsid w:val="00065665"/>
    <w:rsid w:val="0006602A"/>
    <w:rsid w:val="000665AE"/>
    <w:rsid w:val="0006675B"/>
    <w:rsid w:val="00066B72"/>
    <w:rsid w:val="000673E6"/>
    <w:rsid w:val="0006784A"/>
    <w:rsid w:val="00067A3E"/>
    <w:rsid w:val="00067B58"/>
    <w:rsid w:val="000703D3"/>
    <w:rsid w:val="000708C7"/>
    <w:rsid w:val="000714EB"/>
    <w:rsid w:val="000717EF"/>
    <w:rsid w:val="000721F3"/>
    <w:rsid w:val="00072714"/>
    <w:rsid w:val="00072917"/>
    <w:rsid w:val="00072F1A"/>
    <w:rsid w:val="00072F9D"/>
    <w:rsid w:val="0007349B"/>
    <w:rsid w:val="00073C2D"/>
    <w:rsid w:val="00074051"/>
    <w:rsid w:val="00074236"/>
    <w:rsid w:val="0007462E"/>
    <w:rsid w:val="00074729"/>
    <w:rsid w:val="0007567A"/>
    <w:rsid w:val="00075A3B"/>
    <w:rsid w:val="00075B5D"/>
    <w:rsid w:val="00076950"/>
    <w:rsid w:val="00076A79"/>
    <w:rsid w:val="00077491"/>
    <w:rsid w:val="000806E0"/>
    <w:rsid w:val="00080EE8"/>
    <w:rsid w:val="000817A4"/>
    <w:rsid w:val="00081C72"/>
    <w:rsid w:val="00082605"/>
    <w:rsid w:val="00082A06"/>
    <w:rsid w:val="000832D4"/>
    <w:rsid w:val="0008338A"/>
    <w:rsid w:val="000833C9"/>
    <w:rsid w:val="000834AA"/>
    <w:rsid w:val="000848DF"/>
    <w:rsid w:val="0008527A"/>
    <w:rsid w:val="00085A14"/>
    <w:rsid w:val="00085D72"/>
    <w:rsid w:val="000861B7"/>
    <w:rsid w:val="00086FF5"/>
    <w:rsid w:val="00087446"/>
    <w:rsid w:val="0008769B"/>
    <w:rsid w:val="00087918"/>
    <w:rsid w:val="00087D83"/>
    <w:rsid w:val="0009039B"/>
    <w:rsid w:val="0009050F"/>
    <w:rsid w:val="000906FE"/>
    <w:rsid w:val="00091184"/>
    <w:rsid w:val="00091828"/>
    <w:rsid w:val="00091A14"/>
    <w:rsid w:val="00091A26"/>
    <w:rsid w:val="00091A61"/>
    <w:rsid w:val="00091B3B"/>
    <w:rsid w:val="00091C07"/>
    <w:rsid w:val="00091C97"/>
    <w:rsid w:val="00091E0E"/>
    <w:rsid w:val="0009248C"/>
    <w:rsid w:val="00092C8E"/>
    <w:rsid w:val="00092E9C"/>
    <w:rsid w:val="000931B8"/>
    <w:rsid w:val="00093231"/>
    <w:rsid w:val="00094666"/>
    <w:rsid w:val="00094774"/>
    <w:rsid w:val="00094B36"/>
    <w:rsid w:val="00094D8A"/>
    <w:rsid w:val="00095A90"/>
    <w:rsid w:val="00096076"/>
    <w:rsid w:val="00096D15"/>
    <w:rsid w:val="00096F59"/>
    <w:rsid w:val="000970B3"/>
    <w:rsid w:val="000978D4"/>
    <w:rsid w:val="00097947"/>
    <w:rsid w:val="000A03DA"/>
    <w:rsid w:val="000A0966"/>
    <w:rsid w:val="000A0A94"/>
    <w:rsid w:val="000A0B01"/>
    <w:rsid w:val="000A1C78"/>
    <w:rsid w:val="000A1F05"/>
    <w:rsid w:val="000A20E9"/>
    <w:rsid w:val="000A2869"/>
    <w:rsid w:val="000A2A6E"/>
    <w:rsid w:val="000A2ADF"/>
    <w:rsid w:val="000A2B6D"/>
    <w:rsid w:val="000A2DEB"/>
    <w:rsid w:val="000A2E41"/>
    <w:rsid w:val="000A31E0"/>
    <w:rsid w:val="000A39C1"/>
    <w:rsid w:val="000A3C46"/>
    <w:rsid w:val="000A3D9E"/>
    <w:rsid w:val="000A3E36"/>
    <w:rsid w:val="000A4137"/>
    <w:rsid w:val="000A4AC4"/>
    <w:rsid w:val="000A4C7E"/>
    <w:rsid w:val="000A5274"/>
    <w:rsid w:val="000A5426"/>
    <w:rsid w:val="000A580E"/>
    <w:rsid w:val="000A5A6C"/>
    <w:rsid w:val="000A7098"/>
    <w:rsid w:val="000A76D3"/>
    <w:rsid w:val="000A770B"/>
    <w:rsid w:val="000A78DD"/>
    <w:rsid w:val="000A7A25"/>
    <w:rsid w:val="000B04F8"/>
    <w:rsid w:val="000B0C66"/>
    <w:rsid w:val="000B0CFF"/>
    <w:rsid w:val="000B15D9"/>
    <w:rsid w:val="000B18EE"/>
    <w:rsid w:val="000B1B7D"/>
    <w:rsid w:val="000B1E17"/>
    <w:rsid w:val="000B2111"/>
    <w:rsid w:val="000B215C"/>
    <w:rsid w:val="000B2207"/>
    <w:rsid w:val="000B257A"/>
    <w:rsid w:val="000B2652"/>
    <w:rsid w:val="000B29AF"/>
    <w:rsid w:val="000B3E4E"/>
    <w:rsid w:val="000B3F3F"/>
    <w:rsid w:val="000B44C4"/>
    <w:rsid w:val="000B4A9D"/>
    <w:rsid w:val="000B4DF5"/>
    <w:rsid w:val="000B566E"/>
    <w:rsid w:val="000B5FF4"/>
    <w:rsid w:val="000B64EC"/>
    <w:rsid w:val="000B66A0"/>
    <w:rsid w:val="000B69ED"/>
    <w:rsid w:val="000B6AF6"/>
    <w:rsid w:val="000B6AFD"/>
    <w:rsid w:val="000B7297"/>
    <w:rsid w:val="000C2569"/>
    <w:rsid w:val="000C2BCD"/>
    <w:rsid w:val="000C2CFA"/>
    <w:rsid w:val="000C2DA2"/>
    <w:rsid w:val="000C2FDF"/>
    <w:rsid w:val="000C301E"/>
    <w:rsid w:val="000C3E8F"/>
    <w:rsid w:val="000C419B"/>
    <w:rsid w:val="000C4382"/>
    <w:rsid w:val="000C4654"/>
    <w:rsid w:val="000C4823"/>
    <w:rsid w:val="000C4D02"/>
    <w:rsid w:val="000C4EF4"/>
    <w:rsid w:val="000C54D8"/>
    <w:rsid w:val="000C55C5"/>
    <w:rsid w:val="000C5866"/>
    <w:rsid w:val="000C5F45"/>
    <w:rsid w:val="000C6256"/>
    <w:rsid w:val="000C63FC"/>
    <w:rsid w:val="000C69BE"/>
    <w:rsid w:val="000C6E38"/>
    <w:rsid w:val="000C7CE0"/>
    <w:rsid w:val="000D0486"/>
    <w:rsid w:val="000D0589"/>
    <w:rsid w:val="000D115B"/>
    <w:rsid w:val="000D19A2"/>
    <w:rsid w:val="000D19FB"/>
    <w:rsid w:val="000D1BEE"/>
    <w:rsid w:val="000D2164"/>
    <w:rsid w:val="000D2BD6"/>
    <w:rsid w:val="000D2C03"/>
    <w:rsid w:val="000D34FE"/>
    <w:rsid w:val="000D44DC"/>
    <w:rsid w:val="000D4672"/>
    <w:rsid w:val="000D4D81"/>
    <w:rsid w:val="000D525A"/>
    <w:rsid w:val="000D5264"/>
    <w:rsid w:val="000D5B71"/>
    <w:rsid w:val="000D5C3D"/>
    <w:rsid w:val="000D5DB3"/>
    <w:rsid w:val="000D5E9D"/>
    <w:rsid w:val="000D5ECC"/>
    <w:rsid w:val="000D5F0C"/>
    <w:rsid w:val="000D68F3"/>
    <w:rsid w:val="000D6D32"/>
    <w:rsid w:val="000D78D2"/>
    <w:rsid w:val="000E04B7"/>
    <w:rsid w:val="000E0C8A"/>
    <w:rsid w:val="000E13C8"/>
    <w:rsid w:val="000E14A2"/>
    <w:rsid w:val="000E195E"/>
    <w:rsid w:val="000E1B93"/>
    <w:rsid w:val="000E200F"/>
    <w:rsid w:val="000E2883"/>
    <w:rsid w:val="000E30AB"/>
    <w:rsid w:val="000E45B8"/>
    <w:rsid w:val="000E50D4"/>
    <w:rsid w:val="000E5234"/>
    <w:rsid w:val="000E5A61"/>
    <w:rsid w:val="000E62B2"/>
    <w:rsid w:val="000E6628"/>
    <w:rsid w:val="000E6865"/>
    <w:rsid w:val="000E71EE"/>
    <w:rsid w:val="000E79DF"/>
    <w:rsid w:val="000E7A33"/>
    <w:rsid w:val="000F06AB"/>
    <w:rsid w:val="000F0791"/>
    <w:rsid w:val="000F0C08"/>
    <w:rsid w:val="000F1237"/>
    <w:rsid w:val="000F1316"/>
    <w:rsid w:val="000F1320"/>
    <w:rsid w:val="000F2006"/>
    <w:rsid w:val="000F24DE"/>
    <w:rsid w:val="000F2BE4"/>
    <w:rsid w:val="000F2C11"/>
    <w:rsid w:val="000F30BB"/>
    <w:rsid w:val="000F3436"/>
    <w:rsid w:val="000F3C9B"/>
    <w:rsid w:val="000F3E0F"/>
    <w:rsid w:val="000F450C"/>
    <w:rsid w:val="000F4A86"/>
    <w:rsid w:val="000F55C8"/>
    <w:rsid w:val="000F5627"/>
    <w:rsid w:val="000F59F6"/>
    <w:rsid w:val="000F5B04"/>
    <w:rsid w:val="000F6215"/>
    <w:rsid w:val="000F6C7F"/>
    <w:rsid w:val="000F6C9F"/>
    <w:rsid w:val="000F7203"/>
    <w:rsid w:val="000F752D"/>
    <w:rsid w:val="000F7718"/>
    <w:rsid w:val="000F7AF6"/>
    <w:rsid w:val="000F7C1E"/>
    <w:rsid w:val="00100100"/>
    <w:rsid w:val="00100BB0"/>
    <w:rsid w:val="00101218"/>
    <w:rsid w:val="00101367"/>
    <w:rsid w:val="0010161D"/>
    <w:rsid w:val="00101DCC"/>
    <w:rsid w:val="0010290B"/>
    <w:rsid w:val="00102DAB"/>
    <w:rsid w:val="0010316E"/>
    <w:rsid w:val="00103626"/>
    <w:rsid w:val="00103D83"/>
    <w:rsid w:val="00104BAF"/>
    <w:rsid w:val="00104BFD"/>
    <w:rsid w:val="00104C55"/>
    <w:rsid w:val="00104E75"/>
    <w:rsid w:val="00104F17"/>
    <w:rsid w:val="0010524C"/>
    <w:rsid w:val="0010589D"/>
    <w:rsid w:val="00105E65"/>
    <w:rsid w:val="00106382"/>
    <w:rsid w:val="0010657C"/>
    <w:rsid w:val="00106888"/>
    <w:rsid w:val="00107442"/>
    <w:rsid w:val="00107928"/>
    <w:rsid w:val="00107DE0"/>
    <w:rsid w:val="00110AAD"/>
    <w:rsid w:val="00110AD6"/>
    <w:rsid w:val="00111444"/>
    <w:rsid w:val="00111688"/>
    <w:rsid w:val="00112538"/>
    <w:rsid w:val="00112976"/>
    <w:rsid w:val="00113F16"/>
    <w:rsid w:val="00114A06"/>
    <w:rsid w:val="00114C6F"/>
    <w:rsid w:val="00115620"/>
    <w:rsid w:val="00115629"/>
    <w:rsid w:val="00115BD4"/>
    <w:rsid w:val="00115F9B"/>
    <w:rsid w:val="0011613D"/>
    <w:rsid w:val="00116B27"/>
    <w:rsid w:val="00116CBD"/>
    <w:rsid w:val="00116F28"/>
    <w:rsid w:val="00120839"/>
    <w:rsid w:val="00120E85"/>
    <w:rsid w:val="001210C3"/>
    <w:rsid w:val="0012142F"/>
    <w:rsid w:val="0012178C"/>
    <w:rsid w:val="00122AF0"/>
    <w:rsid w:val="00122E68"/>
    <w:rsid w:val="00123375"/>
    <w:rsid w:val="00123893"/>
    <w:rsid w:val="00123937"/>
    <w:rsid w:val="0012401B"/>
    <w:rsid w:val="00124B25"/>
    <w:rsid w:val="00124D9A"/>
    <w:rsid w:val="001257EA"/>
    <w:rsid w:val="00125B54"/>
    <w:rsid w:val="0012686B"/>
    <w:rsid w:val="00126E42"/>
    <w:rsid w:val="001272CE"/>
    <w:rsid w:val="001274A6"/>
    <w:rsid w:val="00127679"/>
    <w:rsid w:val="00127C34"/>
    <w:rsid w:val="00130273"/>
    <w:rsid w:val="0013169E"/>
    <w:rsid w:val="001317A5"/>
    <w:rsid w:val="001317F1"/>
    <w:rsid w:val="0013182C"/>
    <w:rsid w:val="00132256"/>
    <w:rsid w:val="001325EF"/>
    <w:rsid w:val="001327C4"/>
    <w:rsid w:val="00133103"/>
    <w:rsid w:val="00133387"/>
    <w:rsid w:val="00133420"/>
    <w:rsid w:val="00133684"/>
    <w:rsid w:val="001339A6"/>
    <w:rsid w:val="00133CA9"/>
    <w:rsid w:val="00133D4F"/>
    <w:rsid w:val="0013422B"/>
    <w:rsid w:val="00134334"/>
    <w:rsid w:val="001344B0"/>
    <w:rsid w:val="001349F4"/>
    <w:rsid w:val="00134CD6"/>
    <w:rsid w:val="00135A0B"/>
    <w:rsid w:val="00136650"/>
    <w:rsid w:val="001369B0"/>
    <w:rsid w:val="00137ED3"/>
    <w:rsid w:val="00140542"/>
    <w:rsid w:val="00140638"/>
    <w:rsid w:val="00140709"/>
    <w:rsid w:val="001409F9"/>
    <w:rsid w:val="00141359"/>
    <w:rsid w:val="0014141E"/>
    <w:rsid w:val="00143195"/>
    <w:rsid w:val="00143F94"/>
    <w:rsid w:val="001446B3"/>
    <w:rsid w:val="00145840"/>
    <w:rsid w:val="00145DB0"/>
    <w:rsid w:val="00145DD7"/>
    <w:rsid w:val="00145E27"/>
    <w:rsid w:val="00146716"/>
    <w:rsid w:val="00146BCB"/>
    <w:rsid w:val="00146DE0"/>
    <w:rsid w:val="00147494"/>
    <w:rsid w:val="00147BED"/>
    <w:rsid w:val="00147D12"/>
    <w:rsid w:val="0015077C"/>
    <w:rsid w:val="00151A83"/>
    <w:rsid w:val="00152C02"/>
    <w:rsid w:val="00152DEB"/>
    <w:rsid w:val="00153C9C"/>
    <w:rsid w:val="00153F24"/>
    <w:rsid w:val="00154021"/>
    <w:rsid w:val="00154258"/>
    <w:rsid w:val="001548DE"/>
    <w:rsid w:val="00154CB0"/>
    <w:rsid w:val="00155E6A"/>
    <w:rsid w:val="00156616"/>
    <w:rsid w:val="00156688"/>
    <w:rsid w:val="001574B1"/>
    <w:rsid w:val="00157D48"/>
    <w:rsid w:val="00160523"/>
    <w:rsid w:val="00160559"/>
    <w:rsid w:val="001605BB"/>
    <w:rsid w:val="001608C5"/>
    <w:rsid w:val="00160A46"/>
    <w:rsid w:val="00160E86"/>
    <w:rsid w:val="00160FAE"/>
    <w:rsid w:val="00161902"/>
    <w:rsid w:val="00161A4D"/>
    <w:rsid w:val="001626A4"/>
    <w:rsid w:val="001628DE"/>
    <w:rsid w:val="00162EE2"/>
    <w:rsid w:val="00163551"/>
    <w:rsid w:val="0016391D"/>
    <w:rsid w:val="00163B83"/>
    <w:rsid w:val="0016402B"/>
    <w:rsid w:val="00164B1B"/>
    <w:rsid w:val="00164CFE"/>
    <w:rsid w:val="00165016"/>
    <w:rsid w:val="00165666"/>
    <w:rsid w:val="00165856"/>
    <w:rsid w:val="00165C03"/>
    <w:rsid w:val="0016612F"/>
    <w:rsid w:val="001666F4"/>
    <w:rsid w:val="001668B7"/>
    <w:rsid w:val="00166B8F"/>
    <w:rsid w:val="00166E94"/>
    <w:rsid w:val="00167154"/>
    <w:rsid w:val="001672B0"/>
    <w:rsid w:val="00167352"/>
    <w:rsid w:val="00167CE4"/>
    <w:rsid w:val="00170166"/>
    <w:rsid w:val="001707F5"/>
    <w:rsid w:val="00170C39"/>
    <w:rsid w:val="00171763"/>
    <w:rsid w:val="0017267E"/>
    <w:rsid w:val="00172A27"/>
    <w:rsid w:val="00172C71"/>
    <w:rsid w:val="00173855"/>
    <w:rsid w:val="00173CA4"/>
    <w:rsid w:val="00175987"/>
    <w:rsid w:val="00175D9A"/>
    <w:rsid w:val="00175E0D"/>
    <w:rsid w:val="00176791"/>
    <w:rsid w:val="00176981"/>
    <w:rsid w:val="00176AE1"/>
    <w:rsid w:val="00176FEE"/>
    <w:rsid w:val="0017785A"/>
    <w:rsid w:val="00177C6D"/>
    <w:rsid w:val="00180140"/>
    <w:rsid w:val="0018072B"/>
    <w:rsid w:val="0018118C"/>
    <w:rsid w:val="00181AFE"/>
    <w:rsid w:val="00181F1A"/>
    <w:rsid w:val="001821AB"/>
    <w:rsid w:val="00183035"/>
    <w:rsid w:val="00183786"/>
    <w:rsid w:val="00183AB2"/>
    <w:rsid w:val="001842BC"/>
    <w:rsid w:val="001848E0"/>
    <w:rsid w:val="00185C48"/>
    <w:rsid w:val="00185E6C"/>
    <w:rsid w:val="001864F0"/>
    <w:rsid w:val="00186BF0"/>
    <w:rsid w:val="00186F9B"/>
    <w:rsid w:val="00190ABF"/>
    <w:rsid w:val="00190B38"/>
    <w:rsid w:val="00190DA2"/>
    <w:rsid w:val="0019110D"/>
    <w:rsid w:val="0019141A"/>
    <w:rsid w:val="0019251F"/>
    <w:rsid w:val="00192E0F"/>
    <w:rsid w:val="0019309C"/>
    <w:rsid w:val="00193A69"/>
    <w:rsid w:val="00194653"/>
    <w:rsid w:val="00194AD2"/>
    <w:rsid w:val="001950A6"/>
    <w:rsid w:val="001958B1"/>
    <w:rsid w:val="00195922"/>
    <w:rsid w:val="00195DD2"/>
    <w:rsid w:val="00195F1B"/>
    <w:rsid w:val="001963E9"/>
    <w:rsid w:val="00196452"/>
    <w:rsid w:val="00196618"/>
    <w:rsid w:val="00196AC4"/>
    <w:rsid w:val="00196F70"/>
    <w:rsid w:val="00197464"/>
    <w:rsid w:val="00197C7A"/>
    <w:rsid w:val="00197C84"/>
    <w:rsid w:val="001A0054"/>
    <w:rsid w:val="001A06F6"/>
    <w:rsid w:val="001A0B3E"/>
    <w:rsid w:val="001A0E9B"/>
    <w:rsid w:val="001A125F"/>
    <w:rsid w:val="001A18CF"/>
    <w:rsid w:val="001A1AD0"/>
    <w:rsid w:val="001A1B33"/>
    <w:rsid w:val="001A1C79"/>
    <w:rsid w:val="001A2101"/>
    <w:rsid w:val="001A2771"/>
    <w:rsid w:val="001A2C1A"/>
    <w:rsid w:val="001A3624"/>
    <w:rsid w:val="001A37AB"/>
    <w:rsid w:val="001A3E5B"/>
    <w:rsid w:val="001A3FBF"/>
    <w:rsid w:val="001A5028"/>
    <w:rsid w:val="001A5066"/>
    <w:rsid w:val="001A51D2"/>
    <w:rsid w:val="001A520D"/>
    <w:rsid w:val="001A5E32"/>
    <w:rsid w:val="001A6B41"/>
    <w:rsid w:val="001A6B59"/>
    <w:rsid w:val="001A6DF3"/>
    <w:rsid w:val="001A7915"/>
    <w:rsid w:val="001B0152"/>
    <w:rsid w:val="001B015E"/>
    <w:rsid w:val="001B09C4"/>
    <w:rsid w:val="001B164F"/>
    <w:rsid w:val="001B1C9A"/>
    <w:rsid w:val="001B20C8"/>
    <w:rsid w:val="001B20E2"/>
    <w:rsid w:val="001B2950"/>
    <w:rsid w:val="001B2975"/>
    <w:rsid w:val="001B32A1"/>
    <w:rsid w:val="001B38FC"/>
    <w:rsid w:val="001B45BD"/>
    <w:rsid w:val="001B54E2"/>
    <w:rsid w:val="001B675B"/>
    <w:rsid w:val="001B68F3"/>
    <w:rsid w:val="001B74D7"/>
    <w:rsid w:val="001B7D3E"/>
    <w:rsid w:val="001C0094"/>
    <w:rsid w:val="001C074F"/>
    <w:rsid w:val="001C09A6"/>
    <w:rsid w:val="001C1D96"/>
    <w:rsid w:val="001C21CE"/>
    <w:rsid w:val="001C2B82"/>
    <w:rsid w:val="001C3376"/>
    <w:rsid w:val="001C37E0"/>
    <w:rsid w:val="001C3942"/>
    <w:rsid w:val="001C3D45"/>
    <w:rsid w:val="001C4937"/>
    <w:rsid w:val="001C4B5E"/>
    <w:rsid w:val="001C56E9"/>
    <w:rsid w:val="001C585F"/>
    <w:rsid w:val="001C5C85"/>
    <w:rsid w:val="001C602B"/>
    <w:rsid w:val="001C69BF"/>
    <w:rsid w:val="001C6AB8"/>
    <w:rsid w:val="001C6F9B"/>
    <w:rsid w:val="001C7AE8"/>
    <w:rsid w:val="001C7B89"/>
    <w:rsid w:val="001C7D0C"/>
    <w:rsid w:val="001C7FC6"/>
    <w:rsid w:val="001D019D"/>
    <w:rsid w:val="001D0AA0"/>
    <w:rsid w:val="001D0E91"/>
    <w:rsid w:val="001D0FBF"/>
    <w:rsid w:val="001D1989"/>
    <w:rsid w:val="001D279C"/>
    <w:rsid w:val="001D30C1"/>
    <w:rsid w:val="001D354F"/>
    <w:rsid w:val="001D3DB4"/>
    <w:rsid w:val="001D4F54"/>
    <w:rsid w:val="001D4FD5"/>
    <w:rsid w:val="001D548B"/>
    <w:rsid w:val="001D5764"/>
    <w:rsid w:val="001D5A1D"/>
    <w:rsid w:val="001D61CE"/>
    <w:rsid w:val="001D657C"/>
    <w:rsid w:val="001D6638"/>
    <w:rsid w:val="001D6A51"/>
    <w:rsid w:val="001D6DC6"/>
    <w:rsid w:val="001D7E58"/>
    <w:rsid w:val="001D7F18"/>
    <w:rsid w:val="001E00EE"/>
    <w:rsid w:val="001E0490"/>
    <w:rsid w:val="001E050E"/>
    <w:rsid w:val="001E2194"/>
    <w:rsid w:val="001E2212"/>
    <w:rsid w:val="001E22B0"/>
    <w:rsid w:val="001E2784"/>
    <w:rsid w:val="001E27C5"/>
    <w:rsid w:val="001E2822"/>
    <w:rsid w:val="001E2830"/>
    <w:rsid w:val="001E304B"/>
    <w:rsid w:val="001E32FB"/>
    <w:rsid w:val="001E3336"/>
    <w:rsid w:val="001E37A4"/>
    <w:rsid w:val="001E3CAF"/>
    <w:rsid w:val="001E4010"/>
    <w:rsid w:val="001E4256"/>
    <w:rsid w:val="001E4AB8"/>
    <w:rsid w:val="001E57AA"/>
    <w:rsid w:val="001E5C1A"/>
    <w:rsid w:val="001E648B"/>
    <w:rsid w:val="001E682B"/>
    <w:rsid w:val="001E68BA"/>
    <w:rsid w:val="001E71B3"/>
    <w:rsid w:val="001E7336"/>
    <w:rsid w:val="001E74DB"/>
    <w:rsid w:val="001F0794"/>
    <w:rsid w:val="001F09A7"/>
    <w:rsid w:val="001F0F72"/>
    <w:rsid w:val="001F1B01"/>
    <w:rsid w:val="001F1EF8"/>
    <w:rsid w:val="001F2449"/>
    <w:rsid w:val="001F2760"/>
    <w:rsid w:val="001F2F97"/>
    <w:rsid w:val="001F3212"/>
    <w:rsid w:val="001F3B5F"/>
    <w:rsid w:val="001F3DD3"/>
    <w:rsid w:val="001F48E4"/>
    <w:rsid w:val="001F4E84"/>
    <w:rsid w:val="001F5691"/>
    <w:rsid w:val="001F5776"/>
    <w:rsid w:val="001F589C"/>
    <w:rsid w:val="001F5A47"/>
    <w:rsid w:val="001F5AC8"/>
    <w:rsid w:val="001F5D42"/>
    <w:rsid w:val="001F639A"/>
    <w:rsid w:val="001F715D"/>
    <w:rsid w:val="001F7B3E"/>
    <w:rsid w:val="001F7BBE"/>
    <w:rsid w:val="001F7C8C"/>
    <w:rsid w:val="001F7F74"/>
    <w:rsid w:val="00200349"/>
    <w:rsid w:val="0020037F"/>
    <w:rsid w:val="002006EC"/>
    <w:rsid w:val="00200E12"/>
    <w:rsid w:val="00200F1E"/>
    <w:rsid w:val="002020F9"/>
    <w:rsid w:val="002020FF"/>
    <w:rsid w:val="002024D3"/>
    <w:rsid w:val="00202864"/>
    <w:rsid w:val="002032D0"/>
    <w:rsid w:val="00203343"/>
    <w:rsid w:val="00203851"/>
    <w:rsid w:val="00203BE2"/>
    <w:rsid w:val="00203BEE"/>
    <w:rsid w:val="00204321"/>
    <w:rsid w:val="00204498"/>
    <w:rsid w:val="0020471B"/>
    <w:rsid w:val="00204DFE"/>
    <w:rsid w:val="0020528D"/>
    <w:rsid w:val="00205983"/>
    <w:rsid w:val="00205CA5"/>
    <w:rsid w:val="00205CAE"/>
    <w:rsid w:val="00205FE9"/>
    <w:rsid w:val="00206BE1"/>
    <w:rsid w:val="002079E4"/>
    <w:rsid w:val="00210076"/>
    <w:rsid w:val="00210225"/>
    <w:rsid w:val="002103B4"/>
    <w:rsid w:val="0021071D"/>
    <w:rsid w:val="00210AC9"/>
    <w:rsid w:val="00210D3D"/>
    <w:rsid w:val="00211441"/>
    <w:rsid w:val="00211461"/>
    <w:rsid w:val="00211597"/>
    <w:rsid w:val="00211C31"/>
    <w:rsid w:val="00211CBC"/>
    <w:rsid w:val="0021241A"/>
    <w:rsid w:val="002130AA"/>
    <w:rsid w:val="002132F1"/>
    <w:rsid w:val="00213CAE"/>
    <w:rsid w:val="0021402A"/>
    <w:rsid w:val="00214850"/>
    <w:rsid w:val="00214C87"/>
    <w:rsid w:val="00214D43"/>
    <w:rsid w:val="002155D5"/>
    <w:rsid w:val="002158D3"/>
    <w:rsid w:val="0021595C"/>
    <w:rsid w:val="00216393"/>
    <w:rsid w:val="00216797"/>
    <w:rsid w:val="002167AC"/>
    <w:rsid w:val="0021741F"/>
    <w:rsid w:val="00217467"/>
    <w:rsid w:val="0022018E"/>
    <w:rsid w:val="002207A1"/>
    <w:rsid w:val="00220A78"/>
    <w:rsid w:val="00220F82"/>
    <w:rsid w:val="00221683"/>
    <w:rsid w:val="00221EC2"/>
    <w:rsid w:val="00222576"/>
    <w:rsid w:val="00222EF1"/>
    <w:rsid w:val="00222FB2"/>
    <w:rsid w:val="0022302B"/>
    <w:rsid w:val="00223052"/>
    <w:rsid w:val="00223298"/>
    <w:rsid w:val="00223A6D"/>
    <w:rsid w:val="00223A89"/>
    <w:rsid w:val="0022417A"/>
    <w:rsid w:val="002241AF"/>
    <w:rsid w:val="0022447D"/>
    <w:rsid w:val="00224950"/>
    <w:rsid w:val="00224FC6"/>
    <w:rsid w:val="00225258"/>
    <w:rsid w:val="002253C0"/>
    <w:rsid w:val="0022581A"/>
    <w:rsid w:val="00225855"/>
    <w:rsid w:val="002265B1"/>
    <w:rsid w:val="00226A6A"/>
    <w:rsid w:val="00227030"/>
    <w:rsid w:val="00227710"/>
    <w:rsid w:val="00227762"/>
    <w:rsid w:val="00227E45"/>
    <w:rsid w:val="002301BD"/>
    <w:rsid w:val="00230420"/>
    <w:rsid w:val="00230574"/>
    <w:rsid w:val="002307B8"/>
    <w:rsid w:val="00230822"/>
    <w:rsid w:val="00230839"/>
    <w:rsid w:val="00230BDE"/>
    <w:rsid w:val="00230C01"/>
    <w:rsid w:val="0023171E"/>
    <w:rsid w:val="002318B4"/>
    <w:rsid w:val="0023279D"/>
    <w:rsid w:val="00233762"/>
    <w:rsid w:val="002346FD"/>
    <w:rsid w:val="0023485B"/>
    <w:rsid w:val="00234C0F"/>
    <w:rsid w:val="00234F81"/>
    <w:rsid w:val="002350B1"/>
    <w:rsid w:val="002352D5"/>
    <w:rsid w:val="00235CC6"/>
    <w:rsid w:val="00235F31"/>
    <w:rsid w:val="00236613"/>
    <w:rsid w:val="002366EF"/>
    <w:rsid w:val="002366FC"/>
    <w:rsid w:val="00236BC9"/>
    <w:rsid w:val="00236D55"/>
    <w:rsid w:val="0023742D"/>
    <w:rsid w:val="002374C1"/>
    <w:rsid w:val="0023773B"/>
    <w:rsid w:val="00240073"/>
    <w:rsid w:val="002400EE"/>
    <w:rsid w:val="00240C61"/>
    <w:rsid w:val="00240F88"/>
    <w:rsid w:val="002413D3"/>
    <w:rsid w:val="00242549"/>
    <w:rsid w:val="0024261A"/>
    <w:rsid w:val="00242F33"/>
    <w:rsid w:val="00243266"/>
    <w:rsid w:val="00243365"/>
    <w:rsid w:val="00244148"/>
    <w:rsid w:val="002443C6"/>
    <w:rsid w:val="00246A89"/>
    <w:rsid w:val="00246B02"/>
    <w:rsid w:val="002472AD"/>
    <w:rsid w:val="00247380"/>
    <w:rsid w:val="00250664"/>
    <w:rsid w:val="0025081B"/>
    <w:rsid w:val="00250F73"/>
    <w:rsid w:val="00251AF4"/>
    <w:rsid w:val="00251D78"/>
    <w:rsid w:val="00251E05"/>
    <w:rsid w:val="00251F02"/>
    <w:rsid w:val="0025266A"/>
    <w:rsid w:val="0025273E"/>
    <w:rsid w:val="00252CAF"/>
    <w:rsid w:val="00253094"/>
    <w:rsid w:val="002531C7"/>
    <w:rsid w:val="0025339F"/>
    <w:rsid w:val="002537AC"/>
    <w:rsid w:val="00253C4C"/>
    <w:rsid w:val="00254039"/>
    <w:rsid w:val="002540E0"/>
    <w:rsid w:val="00254269"/>
    <w:rsid w:val="002547F2"/>
    <w:rsid w:val="00254D3B"/>
    <w:rsid w:val="002550F1"/>
    <w:rsid w:val="0025537B"/>
    <w:rsid w:val="00255A2F"/>
    <w:rsid w:val="00255C04"/>
    <w:rsid w:val="00255DA3"/>
    <w:rsid w:val="00255FE6"/>
    <w:rsid w:val="002573EB"/>
    <w:rsid w:val="0025756E"/>
    <w:rsid w:val="00257C60"/>
    <w:rsid w:val="002601CD"/>
    <w:rsid w:val="002602EA"/>
    <w:rsid w:val="00260EF8"/>
    <w:rsid w:val="00261218"/>
    <w:rsid w:val="0026124E"/>
    <w:rsid w:val="002616FF"/>
    <w:rsid w:val="00261ACB"/>
    <w:rsid w:val="00261C94"/>
    <w:rsid w:val="00261C98"/>
    <w:rsid w:val="00262B5A"/>
    <w:rsid w:val="00262D3A"/>
    <w:rsid w:val="0026315C"/>
    <w:rsid w:val="002632C2"/>
    <w:rsid w:val="00263399"/>
    <w:rsid w:val="00263ED2"/>
    <w:rsid w:val="00264598"/>
    <w:rsid w:val="00264DFE"/>
    <w:rsid w:val="00265C11"/>
    <w:rsid w:val="00265E41"/>
    <w:rsid w:val="0026661C"/>
    <w:rsid w:val="0026775E"/>
    <w:rsid w:val="0026795B"/>
    <w:rsid w:val="00267A36"/>
    <w:rsid w:val="00267C2C"/>
    <w:rsid w:val="002705E7"/>
    <w:rsid w:val="002705E9"/>
    <w:rsid w:val="00270936"/>
    <w:rsid w:val="00273A61"/>
    <w:rsid w:val="00273CF9"/>
    <w:rsid w:val="0027400F"/>
    <w:rsid w:val="0027480C"/>
    <w:rsid w:val="00274BA5"/>
    <w:rsid w:val="0027524E"/>
    <w:rsid w:val="002752B6"/>
    <w:rsid w:val="002754D4"/>
    <w:rsid w:val="002756D0"/>
    <w:rsid w:val="0027573C"/>
    <w:rsid w:val="00275A4C"/>
    <w:rsid w:val="00275EEC"/>
    <w:rsid w:val="00275F31"/>
    <w:rsid w:val="00276824"/>
    <w:rsid w:val="002771A6"/>
    <w:rsid w:val="00277487"/>
    <w:rsid w:val="002800C2"/>
    <w:rsid w:val="00280151"/>
    <w:rsid w:val="00280717"/>
    <w:rsid w:val="00280799"/>
    <w:rsid w:val="002816FF"/>
    <w:rsid w:val="00281F51"/>
    <w:rsid w:val="00282397"/>
    <w:rsid w:val="002825FA"/>
    <w:rsid w:val="00282C09"/>
    <w:rsid w:val="00283093"/>
    <w:rsid w:val="002838E0"/>
    <w:rsid w:val="00283E53"/>
    <w:rsid w:val="00283EB7"/>
    <w:rsid w:val="0028417A"/>
    <w:rsid w:val="00284605"/>
    <w:rsid w:val="00284814"/>
    <w:rsid w:val="002857AD"/>
    <w:rsid w:val="00286545"/>
    <w:rsid w:val="00287F1C"/>
    <w:rsid w:val="00290218"/>
    <w:rsid w:val="002907E8"/>
    <w:rsid w:val="00290991"/>
    <w:rsid w:val="00290A67"/>
    <w:rsid w:val="00290AE0"/>
    <w:rsid w:val="00290B1F"/>
    <w:rsid w:val="0029122C"/>
    <w:rsid w:val="002915C2"/>
    <w:rsid w:val="0029187E"/>
    <w:rsid w:val="00291ACD"/>
    <w:rsid w:val="00291EA2"/>
    <w:rsid w:val="002927C3"/>
    <w:rsid w:val="00292EDB"/>
    <w:rsid w:val="002943D2"/>
    <w:rsid w:val="00294BB9"/>
    <w:rsid w:val="00294CB1"/>
    <w:rsid w:val="00295828"/>
    <w:rsid w:val="002959C0"/>
    <w:rsid w:val="00296280"/>
    <w:rsid w:val="00296316"/>
    <w:rsid w:val="00297BE0"/>
    <w:rsid w:val="002A004B"/>
    <w:rsid w:val="002A005A"/>
    <w:rsid w:val="002A0226"/>
    <w:rsid w:val="002A027B"/>
    <w:rsid w:val="002A0935"/>
    <w:rsid w:val="002A0EAC"/>
    <w:rsid w:val="002A0FD1"/>
    <w:rsid w:val="002A1530"/>
    <w:rsid w:val="002A1953"/>
    <w:rsid w:val="002A1EE6"/>
    <w:rsid w:val="002A2A35"/>
    <w:rsid w:val="002A32DA"/>
    <w:rsid w:val="002A35E3"/>
    <w:rsid w:val="002A3640"/>
    <w:rsid w:val="002A4CE3"/>
    <w:rsid w:val="002A517E"/>
    <w:rsid w:val="002A51F4"/>
    <w:rsid w:val="002A5713"/>
    <w:rsid w:val="002A5DA1"/>
    <w:rsid w:val="002A5ED7"/>
    <w:rsid w:val="002A5EDD"/>
    <w:rsid w:val="002A5F0B"/>
    <w:rsid w:val="002A622D"/>
    <w:rsid w:val="002A66D2"/>
    <w:rsid w:val="002A6F5A"/>
    <w:rsid w:val="002A7ED4"/>
    <w:rsid w:val="002B00E1"/>
    <w:rsid w:val="002B039C"/>
    <w:rsid w:val="002B03FF"/>
    <w:rsid w:val="002B0416"/>
    <w:rsid w:val="002B089F"/>
    <w:rsid w:val="002B09ED"/>
    <w:rsid w:val="002B0EB6"/>
    <w:rsid w:val="002B100B"/>
    <w:rsid w:val="002B1904"/>
    <w:rsid w:val="002B31DF"/>
    <w:rsid w:val="002B36DF"/>
    <w:rsid w:val="002B3B0D"/>
    <w:rsid w:val="002B3C90"/>
    <w:rsid w:val="002B4583"/>
    <w:rsid w:val="002B45DE"/>
    <w:rsid w:val="002B486F"/>
    <w:rsid w:val="002B4F35"/>
    <w:rsid w:val="002B520D"/>
    <w:rsid w:val="002B62A2"/>
    <w:rsid w:val="002B63FB"/>
    <w:rsid w:val="002B6C65"/>
    <w:rsid w:val="002B6EF1"/>
    <w:rsid w:val="002B7177"/>
    <w:rsid w:val="002B7178"/>
    <w:rsid w:val="002B7628"/>
    <w:rsid w:val="002B76CE"/>
    <w:rsid w:val="002B774A"/>
    <w:rsid w:val="002B7F0E"/>
    <w:rsid w:val="002C120B"/>
    <w:rsid w:val="002C1243"/>
    <w:rsid w:val="002C2378"/>
    <w:rsid w:val="002C2C3E"/>
    <w:rsid w:val="002C3069"/>
    <w:rsid w:val="002C37B0"/>
    <w:rsid w:val="002C38EB"/>
    <w:rsid w:val="002C39DD"/>
    <w:rsid w:val="002C3A7F"/>
    <w:rsid w:val="002C3C9F"/>
    <w:rsid w:val="002C4302"/>
    <w:rsid w:val="002C4777"/>
    <w:rsid w:val="002C48AB"/>
    <w:rsid w:val="002C5086"/>
    <w:rsid w:val="002C554D"/>
    <w:rsid w:val="002C559C"/>
    <w:rsid w:val="002C5A61"/>
    <w:rsid w:val="002C5DCD"/>
    <w:rsid w:val="002C5F57"/>
    <w:rsid w:val="002C61B1"/>
    <w:rsid w:val="002C63A1"/>
    <w:rsid w:val="002C63CB"/>
    <w:rsid w:val="002C6E4C"/>
    <w:rsid w:val="002C703B"/>
    <w:rsid w:val="002C7133"/>
    <w:rsid w:val="002C7A0B"/>
    <w:rsid w:val="002C7C4C"/>
    <w:rsid w:val="002D09F9"/>
    <w:rsid w:val="002D0B38"/>
    <w:rsid w:val="002D10CB"/>
    <w:rsid w:val="002D18C4"/>
    <w:rsid w:val="002D1981"/>
    <w:rsid w:val="002D21E0"/>
    <w:rsid w:val="002D25DB"/>
    <w:rsid w:val="002D2615"/>
    <w:rsid w:val="002D3197"/>
    <w:rsid w:val="002D34BD"/>
    <w:rsid w:val="002D3793"/>
    <w:rsid w:val="002D390F"/>
    <w:rsid w:val="002D40C6"/>
    <w:rsid w:val="002D48E1"/>
    <w:rsid w:val="002D5546"/>
    <w:rsid w:val="002D5615"/>
    <w:rsid w:val="002D5E69"/>
    <w:rsid w:val="002D6681"/>
    <w:rsid w:val="002D67FA"/>
    <w:rsid w:val="002D6AEF"/>
    <w:rsid w:val="002D73E4"/>
    <w:rsid w:val="002D79B4"/>
    <w:rsid w:val="002D7FAE"/>
    <w:rsid w:val="002E0D8B"/>
    <w:rsid w:val="002E14D4"/>
    <w:rsid w:val="002E226C"/>
    <w:rsid w:val="002E271F"/>
    <w:rsid w:val="002E2C4C"/>
    <w:rsid w:val="002E2F91"/>
    <w:rsid w:val="002E30DF"/>
    <w:rsid w:val="002E31D9"/>
    <w:rsid w:val="002E32B3"/>
    <w:rsid w:val="002E3509"/>
    <w:rsid w:val="002E394D"/>
    <w:rsid w:val="002E4239"/>
    <w:rsid w:val="002E4DCA"/>
    <w:rsid w:val="002E51A6"/>
    <w:rsid w:val="002E562E"/>
    <w:rsid w:val="002E73EB"/>
    <w:rsid w:val="002E789D"/>
    <w:rsid w:val="002E7D37"/>
    <w:rsid w:val="002E7DD9"/>
    <w:rsid w:val="002F0295"/>
    <w:rsid w:val="002F1746"/>
    <w:rsid w:val="002F184D"/>
    <w:rsid w:val="002F22C5"/>
    <w:rsid w:val="002F2584"/>
    <w:rsid w:val="002F25FF"/>
    <w:rsid w:val="002F2933"/>
    <w:rsid w:val="002F3A2C"/>
    <w:rsid w:val="002F3DC0"/>
    <w:rsid w:val="002F412B"/>
    <w:rsid w:val="002F4652"/>
    <w:rsid w:val="002F4F8F"/>
    <w:rsid w:val="002F50E8"/>
    <w:rsid w:val="002F56A0"/>
    <w:rsid w:val="002F59A8"/>
    <w:rsid w:val="002F6CE7"/>
    <w:rsid w:val="003003F4"/>
    <w:rsid w:val="00300D26"/>
    <w:rsid w:val="00300F3B"/>
    <w:rsid w:val="00301AB3"/>
    <w:rsid w:val="00301C73"/>
    <w:rsid w:val="00301DEA"/>
    <w:rsid w:val="00302549"/>
    <w:rsid w:val="0030263B"/>
    <w:rsid w:val="0030266C"/>
    <w:rsid w:val="003027C6"/>
    <w:rsid w:val="00302B9E"/>
    <w:rsid w:val="00303577"/>
    <w:rsid w:val="00303971"/>
    <w:rsid w:val="00304F25"/>
    <w:rsid w:val="00305323"/>
    <w:rsid w:val="0030540A"/>
    <w:rsid w:val="00305936"/>
    <w:rsid w:val="00305C3B"/>
    <w:rsid w:val="003063C3"/>
    <w:rsid w:val="003065C5"/>
    <w:rsid w:val="003072BD"/>
    <w:rsid w:val="00307EE9"/>
    <w:rsid w:val="00310309"/>
    <w:rsid w:val="0031051C"/>
    <w:rsid w:val="003106B2"/>
    <w:rsid w:val="00310905"/>
    <w:rsid w:val="00310990"/>
    <w:rsid w:val="00310B02"/>
    <w:rsid w:val="00310C2A"/>
    <w:rsid w:val="00310ED8"/>
    <w:rsid w:val="00310FB2"/>
    <w:rsid w:val="003115CB"/>
    <w:rsid w:val="003120A0"/>
    <w:rsid w:val="003123F1"/>
    <w:rsid w:val="003128B0"/>
    <w:rsid w:val="003128F7"/>
    <w:rsid w:val="00312A54"/>
    <w:rsid w:val="0031339F"/>
    <w:rsid w:val="00313843"/>
    <w:rsid w:val="0031463E"/>
    <w:rsid w:val="00314729"/>
    <w:rsid w:val="00314EB4"/>
    <w:rsid w:val="0031572E"/>
    <w:rsid w:val="003158AB"/>
    <w:rsid w:val="0031640F"/>
    <w:rsid w:val="00316676"/>
    <w:rsid w:val="00316BAE"/>
    <w:rsid w:val="00316F28"/>
    <w:rsid w:val="00317656"/>
    <w:rsid w:val="00317661"/>
    <w:rsid w:val="00317F14"/>
    <w:rsid w:val="00320C1C"/>
    <w:rsid w:val="003215AF"/>
    <w:rsid w:val="00321933"/>
    <w:rsid w:val="00321C04"/>
    <w:rsid w:val="00322C19"/>
    <w:rsid w:val="00322D8B"/>
    <w:rsid w:val="00322E87"/>
    <w:rsid w:val="00323416"/>
    <w:rsid w:val="0032361B"/>
    <w:rsid w:val="00323ABE"/>
    <w:rsid w:val="00323EE8"/>
    <w:rsid w:val="003251B2"/>
    <w:rsid w:val="00325702"/>
    <w:rsid w:val="0032678D"/>
    <w:rsid w:val="00326A16"/>
    <w:rsid w:val="00326E2C"/>
    <w:rsid w:val="003270DC"/>
    <w:rsid w:val="003271A5"/>
    <w:rsid w:val="0032733C"/>
    <w:rsid w:val="003279C0"/>
    <w:rsid w:val="00330133"/>
    <w:rsid w:val="003304AE"/>
    <w:rsid w:val="00330668"/>
    <w:rsid w:val="003309AA"/>
    <w:rsid w:val="00330C28"/>
    <w:rsid w:val="0033118A"/>
    <w:rsid w:val="003318EB"/>
    <w:rsid w:val="003319BF"/>
    <w:rsid w:val="00331B19"/>
    <w:rsid w:val="00331DAC"/>
    <w:rsid w:val="0033220F"/>
    <w:rsid w:val="00332501"/>
    <w:rsid w:val="003327E3"/>
    <w:rsid w:val="00332D3E"/>
    <w:rsid w:val="00332DAF"/>
    <w:rsid w:val="00332FE6"/>
    <w:rsid w:val="003336F8"/>
    <w:rsid w:val="003338BF"/>
    <w:rsid w:val="003343CE"/>
    <w:rsid w:val="003349F0"/>
    <w:rsid w:val="003350D4"/>
    <w:rsid w:val="00335119"/>
    <w:rsid w:val="003353A5"/>
    <w:rsid w:val="003357DB"/>
    <w:rsid w:val="0033584A"/>
    <w:rsid w:val="00335D33"/>
    <w:rsid w:val="0033613E"/>
    <w:rsid w:val="00336A11"/>
    <w:rsid w:val="00337006"/>
    <w:rsid w:val="003370F1"/>
    <w:rsid w:val="00337309"/>
    <w:rsid w:val="00337617"/>
    <w:rsid w:val="003377D0"/>
    <w:rsid w:val="00337820"/>
    <w:rsid w:val="0034011B"/>
    <w:rsid w:val="0034019A"/>
    <w:rsid w:val="00340214"/>
    <w:rsid w:val="00340DAB"/>
    <w:rsid w:val="00342315"/>
    <w:rsid w:val="003427C1"/>
    <w:rsid w:val="00342E44"/>
    <w:rsid w:val="003433C8"/>
    <w:rsid w:val="003441E2"/>
    <w:rsid w:val="0034453A"/>
    <w:rsid w:val="00344A9F"/>
    <w:rsid w:val="00344C41"/>
    <w:rsid w:val="003458A7"/>
    <w:rsid w:val="003471CC"/>
    <w:rsid w:val="00347246"/>
    <w:rsid w:val="00347D87"/>
    <w:rsid w:val="00347EB2"/>
    <w:rsid w:val="00347EE2"/>
    <w:rsid w:val="00351429"/>
    <w:rsid w:val="0035157A"/>
    <w:rsid w:val="00351751"/>
    <w:rsid w:val="003518C8"/>
    <w:rsid w:val="00351B5D"/>
    <w:rsid w:val="00351D3E"/>
    <w:rsid w:val="003522CE"/>
    <w:rsid w:val="003523E9"/>
    <w:rsid w:val="00352A39"/>
    <w:rsid w:val="00352B40"/>
    <w:rsid w:val="003537B2"/>
    <w:rsid w:val="00353A65"/>
    <w:rsid w:val="003543F6"/>
    <w:rsid w:val="00355362"/>
    <w:rsid w:val="003553FC"/>
    <w:rsid w:val="00355697"/>
    <w:rsid w:val="003557F4"/>
    <w:rsid w:val="00355BFE"/>
    <w:rsid w:val="00355EC5"/>
    <w:rsid w:val="003562E3"/>
    <w:rsid w:val="00356340"/>
    <w:rsid w:val="00356439"/>
    <w:rsid w:val="0035796C"/>
    <w:rsid w:val="00360678"/>
    <w:rsid w:val="0036083C"/>
    <w:rsid w:val="00360C6A"/>
    <w:rsid w:val="00360F91"/>
    <w:rsid w:val="00361467"/>
    <w:rsid w:val="00361A2E"/>
    <w:rsid w:val="0036219B"/>
    <w:rsid w:val="0036238C"/>
    <w:rsid w:val="003625D7"/>
    <w:rsid w:val="00362A97"/>
    <w:rsid w:val="00362D63"/>
    <w:rsid w:val="00362FC6"/>
    <w:rsid w:val="0036327F"/>
    <w:rsid w:val="003633E3"/>
    <w:rsid w:val="00363A9B"/>
    <w:rsid w:val="00363FDE"/>
    <w:rsid w:val="0036440A"/>
    <w:rsid w:val="00364938"/>
    <w:rsid w:val="003662AE"/>
    <w:rsid w:val="00366524"/>
    <w:rsid w:val="003675D1"/>
    <w:rsid w:val="003676D7"/>
    <w:rsid w:val="00367879"/>
    <w:rsid w:val="00367A9E"/>
    <w:rsid w:val="00370540"/>
    <w:rsid w:val="00370A0C"/>
    <w:rsid w:val="00370A58"/>
    <w:rsid w:val="00371B5C"/>
    <w:rsid w:val="00371EEA"/>
    <w:rsid w:val="00372141"/>
    <w:rsid w:val="003721D8"/>
    <w:rsid w:val="003722A6"/>
    <w:rsid w:val="00372A6E"/>
    <w:rsid w:val="00372E32"/>
    <w:rsid w:val="00373F14"/>
    <w:rsid w:val="003740E9"/>
    <w:rsid w:val="003752C8"/>
    <w:rsid w:val="0037557D"/>
    <w:rsid w:val="00376651"/>
    <w:rsid w:val="00376805"/>
    <w:rsid w:val="00376AF6"/>
    <w:rsid w:val="00376C75"/>
    <w:rsid w:val="00376C8B"/>
    <w:rsid w:val="003771D3"/>
    <w:rsid w:val="0037744A"/>
    <w:rsid w:val="003775A6"/>
    <w:rsid w:val="003778D3"/>
    <w:rsid w:val="003779BF"/>
    <w:rsid w:val="00377D23"/>
    <w:rsid w:val="00377F5C"/>
    <w:rsid w:val="00380A38"/>
    <w:rsid w:val="00381251"/>
    <w:rsid w:val="00381C02"/>
    <w:rsid w:val="00381CF0"/>
    <w:rsid w:val="00381DD7"/>
    <w:rsid w:val="003821BF"/>
    <w:rsid w:val="00383895"/>
    <w:rsid w:val="00383F67"/>
    <w:rsid w:val="0038481A"/>
    <w:rsid w:val="00384B44"/>
    <w:rsid w:val="00384B6E"/>
    <w:rsid w:val="00384CF8"/>
    <w:rsid w:val="00384DA0"/>
    <w:rsid w:val="0038527E"/>
    <w:rsid w:val="0038566E"/>
    <w:rsid w:val="00385EA7"/>
    <w:rsid w:val="003861F2"/>
    <w:rsid w:val="003865A6"/>
    <w:rsid w:val="0038732B"/>
    <w:rsid w:val="00387430"/>
    <w:rsid w:val="00387A37"/>
    <w:rsid w:val="0039001E"/>
    <w:rsid w:val="003905D2"/>
    <w:rsid w:val="003907D8"/>
    <w:rsid w:val="00391739"/>
    <w:rsid w:val="003925A7"/>
    <w:rsid w:val="0039266E"/>
    <w:rsid w:val="00392CA7"/>
    <w:rsid w:val="00393087"/>
    <w:rsid w:val="00393BA9"/>
    <w:rsid w:val="0039404B"/>
    <w:rsid w:val="00394188"/>
    <w:rsid w:val="003941BC"/>
    <w:rsid w:val="003944C2"/>
    <w:rsid w:val="00394D04"/>
    <w:rsid w:val="00394D34"/>
    <w:rsid w:val="00394E0F"/>
    <w:rsid w:val="003952A8"/>
    <w:rsid w:val="00395354"/>
    <w:rsid w:val="00395562"/>
    <w:rsid w:val="00395783"/>
    <w:rsid w:val="003957EA"/>
    <w:rsid w:val="00395995"/>
    <w:rsid w:val="003959D5"/>
    <w:rsid w:val="00395B6D"/>
    <w:rsid w:val="00395B8C"/>
    <w:rsid w:val="00395C11"/>
    <w:rsid w:val="00395FAB"/>
    <w:rsid w:val="00396245"/>
    <w:rsid w:val="00396445"/>
    <w:rsid w:val="00396D50"/>
    <w:rsid w:val="00396D58"/>
    <w:rsid w:val="00396DC1"/>
    <w:rsid w:val="00397093"/>
    <w:rsid w:val="003976D9"/>
    <w:rsid w:val="003A000B"/>
    <w:rsid w:val="003A0029"/>
    <w:rsid w:val="003A02A7"/>
    <w:rsid w:val="003A07CE"/>
    <w:rsid w:val="003A122E"/>
    <w:rsid w:val="003A1C0C"/>
    <w:rsid w:val="003A1D73"/>
    <w:rsid w:val="003A1DD8"/>
    <w:rsid w:val="003A2435"/>
    <w:rsid w:val="003A2CA6"/>
    <w:rsid w:val="003A307F"/>
    <w:rsid w:val="003A3194"/>
    <w:rsid w:val="003A3649"/>
    <w:rsid w:val="003A47A1"/>
    <w:rsid w:val="003A4E02"/>
    <w:rsid w:val="003A586F"/>
    <w:rsid w:val="003A5B8E"/>
    <w:rsid w:val="003A5E1B"/>
    <w:rsid w:val="003A6345"/>
    <w:rsid w:val="003A72BD"/>
    <w:rsid w:val="003A74B5"/>
    <w:rsid w:val="003A7B9D"/>
    <w:rsid w:val="003A7D7A"/>
    <w:rsid w:val="003A7FD2"/>
    <w:rsid w:val="003B0932"/>
    <w:rsid w:val="003B14F2"/>
    <w:rsid w:val="003B18FF"/>
    <w:rsid w:val="003B1BFE"/>
    <w:rsid w:val="003B3247"/>
    <w:rsid w:val="003B3814"/>
    <w:rsid w:val="003B3BC4"/>
    <w:rsid w:val="003B4AC9"/>
    <w:rsid w:val="003B52D2"/>
    <w:rsid w:val="003B54F3"/>
    <w:rsid w:val="003B5B03"/>
    <w:rsid w:val="003B5D5C"/>
    <w:rsid w:val="003B5DAA"/>
    <w:rsid w:val="003B5E91"/>
    <w:rsid w:val="003B6703"/>
    <w:rsid w:val="003B6FD9"/>
    <w:rsid w:val="003B7196"/>
    <w:rsid w:val="003B7250"/>
    <w:rsid w:val="003B7767"/>
    <w:rsid w:val="003B7850"/>
    <w:rsid w:val="003B7B4E"/>
    <w:rsid w:val="003B7C2A"/>
    <w:rsid w:val="003B7C4F"/>
    <w:rsid w:val="003C032D"/>
    <w:rsid w:val="003C0341"/>
    <w:rsid w:val="003C0C39"/>
    <w:rsid w:val="003C0F64"/>
    <w:rsid w:val="003C1109"/>
    <w:rsid w:val="003C1183"/>
    <w:rsid w:val="003C1BD0"/>
    <w:rsid w:val="003C1F2E"/>
    <w:rsid w:val="003C2F4C"/>
    <w:rsid w:val="003C3626"/>
    <w:rsid w:val="003C3651"/>
    <w:rsid w:val="003C394A"/>
    <w:rsid w:val="003C3C3B"/>
    <w:rsid w:val="003C3F58"/>
    <w:rsid w:val="003C4FCA"/>
    <w:rsid w:val="003C504D"/>
    <w:rsid w:val="003C56E9"/>
    <w:rsid w:val="003C5748"/>
    <w:rsid w:val="003C5D16"/>
    <w:rsid w:val="003C5DD3"/>
    <w:rsid w:val="003C6C1F"/>
    <w:rsid w:val="003C755A"/>
    <w:rsid w:val="003C7F6A"/>
    <w:rsid w:val="003D0094"/>
    <w:rsid w:val="003D0EFC"/>
    <w:rsid w:val="003D1291"/>
    <w:rsid w:val="003D176F"/>
    <w:rsid w:val="003D26DE"/>
    <w:rsid w:val="003D2B60"/>
    <w:rsid w:val="003D3022"/>
    <w:rsid w:val="003D3785"/>
    <w:rsid w:val="003D3B6F"/>
    <w:rsid w:val="003D3F7D"/>
    <w:rsid w:val="003D45C5"/>
    <w:rsid w:val="003D467B"/>
    <w:rsid w:val="003D4687"/>
    <w:rsid w:val="003D664D"/>
    <w:rsid w:val="003D6B96"/>
    <w:rsid w:val="003D713D"/>
    <w:rsid w:val="003E019A"/>
    <w:rsid w:val="003E053F"/>
    <w:rsid w:val="003E065A"/>
    <w:rsid w:val="003E0940"/>
    <w:rsid w:val="003E099B"/>
    <w:rsid w:val="003E1102"/>
    <w:rsid w:val="003E12A4"/>
    <w:rsid w:val="003E1528"/>
    <w:rsid w:val="003E15B0"/>
    <w:rsid w:val="003E1B83"/>
    <w:rsid w:val="003E1D80"/>
    <w:rsid w:val="003E1FBB"/>
    <w:rsid w:val="003E2DB5"/>
    <w:rsid w:val="003E2F6B"/>
    <w:rsid w:val="003E340D"/>
    <w:rsid w:val="003E3433"/>
    <w:rsid w:val="003E3BAF"/>
    <w:rsid w:val="003E3CE6"/>
    <w:rsid w:val="003E4356"/>
    <w:rsid w:val="003E4B2B"/>
    <w:rsid w:val="003E61C0"/>
    <w:rsid w:val="003E6492"/>
    <w:rsid w:val="003E655E"/>
    <w:rsid w:val="003E6F65"/>
    <w:rsid w:val="003E724B"/>
    <w:rsid w:val="003E7D46"/>
    <w:rsid w:val="003F0332"/>
    <w:rsid w:val="003F0C21"/>
    <w:rsid w:val="003F1155"/>
    <w:rsid w:val="003F11A3"/>
    <w:rsid w:val="003F1BC8"/>
    <w:rsid w:val="003F3589"/>
    <w:rsid w:val="003F35DC"/>
    <w:rsid w:val="003F35F0"/>
    <w:rsid w:val="003F3B7A"/>
    <w:rsid w:val="003F426F"/>
    <w:rsid w:val="003F4A0A"/>
    <w:rsid w:val="003F4CCC"/>
    <w:rsid w:val="003F59F1"/>
    <w:rsid w:val="003F5F0C"/>
    <w:rsid w:val="003F6158"/>
    <w:rsid w:val="003F6236"/>
    <w:rsid w:val="003F636D"/>
    <w:rsid w:val="003F6B5A"/>
    <w:rsid w:val="003F7B04"/>
    <w:rsid w:val="003F7EAC"/>
    <w:rsid w:val="004001F5"/>
    <w:rsid w:val="004011C9"/>
    <w:rsid w:val="00401826"/>
    <w:rsid w:val="0040198B"/>
    <w:rsid w:val="00401B85"/>
    <w:rsid w:val="004025F2"/>
    <w:rsid w:val="0040262C"/>
    <w:rsid w:val="00402D44"/>
    <w:rsid w:val="00402FE3"/>
    <w:rsid w:val="004031F3"/>
    <w:rsid w:val="0040364B"/>
    <w:rsid w:val="00403755"/>
    <w:rsid w:val="0040467E"/>
    <w:rsid w:val="00404823"/>
    <w:rsid w:val="0040495C"/>
    <w:rsid w:val="00404DEB"/>
    <w:rsid w:val="00404EAC"/>
    <w:rsid w:val="004050E7"/>
    <w:rsid w:val="00405C9A"/>
    <w:rsid w:val="004069CF"/>
    <w:rsid w:val="00406BA7"/>
    <w:rsid w:val="004070B2"/>
    <w:rsid w:val="0040788D"/>
    <w:rsid w:val="00410096"/>
    <w:rsid w:val="00410290"/>
    <w:rsid w:val="004103A7"/>
    <w:rsid w:val="004106E1"/>
    <w:rsid w:val="00410B65"/>
    <w:rsid w:val="00410D51"/>
    <w:rsid w:val="00410DF0"/>
    <w:rsid w:val="00411329"/>
    <w:rsid w:val="00411833"/>
    <w:rsid w:val="00411B98"/>
    <w:rsid w:val="00411C39"/>
    <w:rsid w:val="00411C95"/>
    <w:rsid w:val="00411D7D"/>
    <w:rsid w:val="00411E06"/>
    <w:rsid w:val="004127EB"/>
    <w:rsid w:val="00412872"/>
    <w:rsid w:val="004128B7"/>
    <w:rsid w:val="004135B4"/>
    <w:rsid w:val="004135B9"/>
    <w:rsid w:val="004137C8"/>
    <w:rsid w:val="00413D3B"/>
    <w:rsid w:val="00413F9D"/>
    <w:rsid w:val="00414133"/>
    <w:rsid w:val="0041446E"/>
    <w:rsid w:val="0041480D"/>
    <w:rsid w:val="00415308"/>
    <w:rsid w:val="00415D2E"/>
    <w:rsid w:val="00415E4C"/>
    <w:rsid w:val="00416CC2"/>
    <w:rsid w:val="00416EE1"/>
    <w:rsid w:val="0041774D"/>
    <w:rsid w:val="00417E74"/>
    <w:rsid w:val="00420273"/>
    <w:rsid w:val="00420C61"/>
    <w:rsid w:val="00420F1E"/>
    <w:rsid w:val="00421248"/>
    <w:rsid w:val="00421700"/>
    <w:rsid w:val="004222DD"/>
    <w:rsid w:val="00422EC1"/>
    <w:rsid w:val="0042302E"/>
    <w:rsid w:val="00423ADF"/>
    <w:rsid w:val="0042400B"/>
    <w:rsid w:val="004248DF"/>
    <w:rsid w:val="0042493C"/>
    <w:rsid w:val="00425484"/>
    <w:rsid w:val="00425D31"/>
    <w:rsid w:val="00426815"/>
    <w:rsid w:val="0042795B"/>
    <w:rsid w:val="004303EA"/>
    <w:rsid w:val="00430CCC"/>
    <w:rsid w:val="00430F76"/>
    <w:rsid w:val="00431124"/>
    <w:rsid w:val="004321FA"/>
    <w:rsid w:val="00432342"/>
    <w:rsid w:val="0043266F"/>
    <w:rsid w:val="00432E21"/>
    <w:rsid w:val="004330D7"/>
    <w:rsid w:val="00433792"/>
    <w:rsid w:val="00433830"/>
    <w:rsid w:val="004346F3"/>
    <w:rsid w:val="00434D40"/>
    <w:rsid w:val="00435068"/>
    <w:rsid w:val="004355AB"/>
    <w:rsid w:val="00435B90"/>
    <w:rsid w:val="00435C35"/>
    <w:rsid w:val="00435C92"/>
    <w:rsid w:val="00436ABC"/>
    <w:rsid w:val="00436DD0"/>
    <w:rsid w:val="00437A96"/>
    <w:rsid w:val="00440091"/>
    <w:rsid w:val="00440D66"/>
    <w:rsid w:val="004412EC"/>
    <w:rsid w:val="00441882"/>
    <w:rsid w:val="00442FEE"/>
    <w:rsid w:val="00442FEF"/>
    <w:rsid w:val="004438CF"/>
    <w:rsid w:val="00443C66"/>
    <w:rsid w:val="00444131"/>
    <w:rsid w:val="0044448D"/>
    <w:rsid w:val="00444B01"/>
    <w:rsid w:val="00444D94"/>
    <w:rsid w:val="00444E23"/>
    <w:rsid w:val="00444E56"/>
    <w:rsid w:val="004467C3"/>
    <w:rsid w:val="0044740E"/>
    <w:rsid w:val="00447715"/>
    <w:rsid w:val="00451473"/>
    <w:rsid w:val="0045154E"/>
    <w:rsid w:val="0045156E"/>
    <w:rsid w:val="00451734"/>
    <w:rsid w:val="0045199A"/>
    <w:rsid w:val="004519F6"/>
    <w:rsid w:val="00451A52"/>
    <w:rsid w:val="00451C81"/>
    <w:rsid w:val="00451D96"/>
    <w:rsid w:val="00451DAC"/>
    <w:rsid w:val="0045211D"/>
    <w:rsid w:val="00452797"/>
    <w:rsid w:val="004527A4"/>
    <w:rsid w:val="004537E3"/>
    <w:rsid w:val="00453A32"/>
    <w:rsid w:val="00453AEE"/>
    <w:rsid w:val="00453E6B"/>
    <w:rsid w:val="0045478A"/>
    <w:rsid w:val="004547D4"/>
    <w:rsid w:val="00454876"/>
    <w:rsid w:val="00454B7F"/>
    <w:rsid w:val="00454F12"/>
    <w:rsid w:val="004554E9"/>
    <w:rsid w:val="00455714"/>
    <w:rsid w:val="00455889"/>
    <w:rsid w:val="00455A60"/>
    <w:rsid w:val="00456667"/>
    <w:rsid w:val="004567EF"/>
    <w:rsid w:val="004569AE"/>
    <w:rsid w:val="00456D9A"/>
    <w:rsid w:val="00457776"/>
    <w:rsid w:val="00457A98"/>
    <w:rsid w:val="00457ACB"/>
    <w:rsid w:val="004606FD"/>
    <w:rsid w:val="004609F7"/>
    <w:rsid w:val="00460ABC"/>
    <w:rsid w:val="00460D1F"/>
    <w:rsid w:val="00460EB1"/>
    <w:rsid w:val="004616D2"/>
    <w:rsid w:val="00461730"/>
    <w:rsid w:val="004623F8"/>
    <w:rsid w:val="00462434"/>
    <w:rsid w:val="004624C6"/>
    <w:rsid w:val="00462AC4"/>
    <w:rsid w:val="0046312F"/>
    <w:rsid w:val="00463989"/>
    <w:rsid w:val="00464184"/>
    <w:rsid w:val="00464944"/>
    <w:rsid w:val="00464B3A"/>
    <w:rsid w:val="00464B48"/>
    <w:rsid w:val="004659D2"/>
    <w:rsid w:val="00465D3F"/>
    <w:rsid w:val="00465F90"/>
    <w:rsid w:val="004660F0"/>
    <w:rsid w:val="00466183"/>
    <w:rsid w:val="004668BE"/>
    <w:rsid w:val="00466A9F"/>
    <w:rsid w:val="004673A0"/>
    <w:rsid w:val="0046747F"/>
    <w:rsid w:val="00467D7E"/>
    <w:rsid w:val="00470B32"/>
    <w:rsid w:val="00470C06"/>
    <w:rsid w:val="0047133A"/>
    <w:rsid w:val="00471D92"/>
    <w:rsid w:val="00471DA0"/>
    <w:rsid w:val="0047332A"/>
    <w:rsid w:val="00473454"/>
    <w:rsid w:val="00473A96"/>
    <w:rsid w:val="00473F4F"/>
    <w:rsid w:val="00474202"/>
    <w:rsid w:val="0047531F"/>
    <w:rsid w:val="00476121"/>
    <w:rsid w:val="004765B9"/>
    <w:rsid w:val="00476E64"/>
    <w:rsid w:val="004771F3"/>
    <w:rsid w:val="00477238"/>
    <w:rsid w:val="0047753D"/>
    <w:rsid w:val="00477657"/>
    <w:rsid w:val="00477AA6"/>
    <w:rsid w:val="00477F60"/>
    <w:rsid w:val="00480789"/>
    <w:rsid w:val="00480AF0"/>
    <w:rsid w:val="00480E23"/>
    <w:rsid w:val="0048111A"/>
    <w:rsid w:val="0048167D"/>
    <w:rsid w:val="00481D90"/>
    <w:rsid w:val="004820F3"/>
    <w:rsid w:val="004822CB"/>
    <w:rsid w:val="0048280C"/>
    <w:rsid w:val="00484108"/>
    <w:rsid w:val="0048414D"/>
    <w:rsid w:val="004843CC"/>
    <w:rsid w:val="0048541E"/>
    <w:rsid w:val="004857DA"/>
    <w:rsid w:val="0048673F"/>
    <w:rsid w:val="004867F6"/>
    <w:rsid w:val="0048734E"/>
    <w:rsid w:val="00490082"/>
    <w:rsid w:val="00491BD8"/>
    <w:rsid w:val="0049202A"/>
    <w:rsid w:val="004920FB"/>
    <w:rsid w:val="00492266"/>
    <w:rsid w:val="004932DC"/>
    <w:rsid w:val="00495443"/>
    <w:rsid w:val="0049696B"/>
    <w:rsid w:val="00496B9F"/>
    <w:rsid w:val="00496C6C"/>
    <w:rsid w:val="00496F06"/>
    <w:rsid w:val="004973D0"/>
    <w:rsid w:val="004977CC"/>
    <w:rsid w:val="00497F79"/>
    <w:rsid w:val="00497FD2"/>
    <w:rsid w:val="00497FE5"/>
    <w:rsid w:val="004A0282"/>
    <w:rsid w:val="004A0B79"/>
    <w:rsid w:val="004A0C9A"/>
    <w:rsid w:val="004A1F4E"/>
    <w:rsid w:val="004A21B2"/>
    <w:rsid w:val="004A30D7"/>
    <w:rsid w:val="004A31E1"/>
    <w:rsid w:val="004A37D9"/>
    <w:rsid w:val="004A3DFF"/>
    <w:rsid w:val="004A4345"/>
    <w:rsid w:val="004A571D"/>
    <w:rsid w:val="004A57B2"/>
    <w:rsid w:val="004A6385"/>
    <w:rsid w:val="004A64B1"/>
    <w:rsid w:val="004A71DC"/>
    <w:rsid w:val="004A7F3A"/>
    <w:rsid w:val="004B00F2"/>
    <w:rsid w:val="004B0308"/>
    <w:rsid w:val="004B0634"/>
    <w:rsid w:val="004B0CC2"/>
    <w:rsid w:val="004B10E9"/>
    <w:rsid w:val="004B1451"/>
    <w:rsid w:val="004B19D5"/>
    <w:rsid w:val="004B243C"/>
    <w:rsid w:val="004B2584"/>
    <w:rsid w:val="004B260A"/>
    <w:rsid w:val="004B2793"/>
    <w:rsid w:val="004B3678"/>
    <w:rsid w:val="004B3F0D"/>
    <w:rsid w:val="004B4C43"/>
    <w:rsid w:val="004B507F"/>
    <w:rsid w:val="004B5122"/>
    <w:rsid w:val="004B5B09"/>
    <w:rsid w:val="004B5D0F"/>
    <w:rsid w:val="004B6526"/>
    <w:rsid w:val="004B69B9"/>
    <w:rsid w:val="004B6E10"/>
    <w:rsid w:val="004B73D3"/>
    <w:rsid w:val="004C035F"/>
    <w:rsid w:val="004C0810"/>
    <w:rsid w:val="004C0E6C"/>
    <w:rsid w:val="004C16A9"/>
    <w:rsid w:val="004C25E0"/>
    <w:rsid w:val="004C2AD1"/>
    <w:rsid w:val="004C33F9"/>
    <w:rsid w:val="004C3477"/>
    <w:rsid w:val="004C38AE"/>
    <w:rsid w:val="004C3B6C"/>
    <w:rsid w:val="004C3CEF"/>
    <w:rsid w:val="004C421A"/>
    <w:rsid w:val="004C4379"/>
    <w:rsid w:val="004C4419"/>
    <w:rsid w:val="004C498F"/>
    <w:rsid w:val="004C4E59"/>
    <w:rsid w:val="004C4F1F"/>
    <w:rsid w:val="004C57E4"/>
    <w:rsid w:val="004C5D2C"/>
    <w:rsid w:val="004C5DA3"/>
    <w:rsid w:val="004C5F94"/>
    <w:rsid w:val="004C6B65"/>
    <w:rsid w:val="004C6CE9"/>
    <w:rsid w:val="004C7173"/>
    <w:rsid w:val="004C738B"/>
    <w:rsid w:val="004C74A7"/>
    <w:rsid w:val="004C764A"/>
    <w:rsid w:val="004C7D07"/>
    <w:rsid w:val="004D077A"/>
    <w:rsid w:val="004D1493"/>
    <w:rsid w:val="004D19FA"/>
    <w:rsid w:val="004D1AF3"/>
    <w:rsid w:val="004D27B3"/>
    <w:rsid w:val="004D3228"/>
    <w:rsid w:val="004D36CA"/>
    <w:rsid w:val="004D3F61"/>
    <w:rsid w:val="004D4EEB"/>
    <w:rsid w:val="004D534A"/>
    <w:rsid w:val="004D537B"/>
    <w:rsid w:val="004D5417"/>
    <w:rsid w:val="004D55CA"/>
    <w:rsid w:val="004D5684"/>
    <w:rsid w:val="004D59BB"/>
    <w:rsid w:val="004D5AAA"/>
    <w:rsid w:val="004D5C2E"/>
    <w:rsid w:val="004D5D0E"/>
    <w:rsid w:val="004D61FD"/>
    <w:rsid w:val="004D7523"/>
    <w:rsid w:val="004D78A6"/>
    <w:rsid w:val="004D7AA5"/>
    <w:rsid w:val="004D7D3D"/>
    <w:rsid w:val="004D7E53"/>
    <w:rsid w:val="004D7EC7"/>
    <w:rsid w:val="004E01DC"/>
    <w:rsid w:val="004E03D7"/>
    <w:rsid w:val="004E0E28"/>
    <w:rsid w:val="004E105E"/>
    <w:rsid w:val="004E18E0"/>
    <w:rsid w:val="004E1B87"/>
    <w:rsid w:val="004E2447"/>
    <w:rsid w:val="004E2681"/>
    <w:rsid w:val="004E30BA"/>
    <w:rsid w:val="004E393A"/>
    <w:rsid w:val="004E3FE2"/>
    <w:rsid w:val="004E41AF"/>
    <w:rsid w:val="004E422B"/>
    <w:rsid w:val="004E4B68"/>
    <w:rsid w:val="004E505C"/>
    <w:rsid w:val="004E5261"/>
    <w:rsid w:val="004E586A"/>
    <w:rsid w:val="004E5A42"/>
    <w:rsid w:val="004E5B44"/>
    <w:rsid w:val="004E6282"/>
    <w:rsid w:val="004E6836"/>
    <w:rsid w:val="004E68DA"/>
    <w:rsid w:val="004E7116"/>
    <w:rsid w:val="004F0033"/>
    <w:rsid w:val="004F0F2F"/>
    <w:rsid w:val="004F13A9"/>
    <w:rsid w:val="004F1B43"/>
    <w:rsid w:val="004F1BC7"/>
    <w:rsid w:val="004F20DE"/>
    <w:rsid w:val="004F212C"/>
    <w:rsid w:val="004F23A5"/>
    <w:rsid w:val="004F2C88"/>
    <w:rsid w:val="004F2EBF"/>
    <w:rsid w:val="004F3A2C"/>
    <w:rsid w:val="004F3B69"/>
    <w:rsid w:val="004F44E7"/>
    <w:rsid w:val="004F47CD"/>
    <w:rsid w:val="004F503C"/>
    <w:rsid w:val="004F50C9"/>
    <w:rsid w:val="004F5B16"/>
    <w:rsid w:val="004F5D85"/>
    <w:rsid w:val="004F5D92"/>
    <w:rsid w:val="004F6AD6"/>
    <w:rsid w:val="004F6E39"/>
    <w:rsid w:val="004F7013"/>
    <w:rsid w:val="0050038E"/>
    <w:rsid w:val="005004BF"/>
    <w:rsid w:val="00500C28"/>
    <w:rsid w:val="00500E07"/>
    <w:rsid w:val="0050131F"/>
    <w:rsid w:val="005019FC"/>
    <w:rsid w:val="00501CED"/>
    <w:rsid w:val="0050201C"/>
    <w:rsid w:val="0050354A"/>
    <w:rsid w:val="005035EF"/>
    <w:rsid w:val="00504A28"/>
    <w:rsid w:val="005052E8"/>
    <w:rsid w:val="005054B3"/>
    <w:rsid w:val="00505747"/>
    <w:rsid w:val="00505A1F"/>
    <w:rsid w:val="00506595"/>
    <w:rsid w:val="00506CCB"/>
    <w:rsid w:val="00507101"/>
    <w:rsid w:val="005071B8"/>
    <w:rsid w:val="00507457"/>
    <w:rsid w:val="005077CC"/>
    <w:rsid w:val="00507B3C"/>
    <w:rsid w:val="005102CE"/>
    <w:rsid w:val="005105E4"/>
    <w:rsid w:val="00510938"/>
    <w:rsid w:val="0051128E"/>
    <w:rsid w:val="00511498"/>
    <w:rsid w:val="005115C2"/>
    <w:rsid w:val="005118E1"/>
    <w:rsid w:val="00512987"/>
    <w:rsid w:val="00512F2D"/>
    <w:rsid w:val="00513907"/>
    <w:rsid w:val="00514939"/>
    <w:rsid w:val="00514ADD"/>
    <w:rsid w:val="00515046"/>
    <w:rsid w:val="00517174"/>
    <w:rsid w:val="00517583"/>
    <w:rsid w:val="00517F23"/>
    <w:rsid w:val="005206EC"/>
    <w:rsid w:val="005214AD"/>
    <w:rsid w:val="0052166D"/>
    <w:rsid w:val="005239C9"/>
    <w:rsid w:val="005241FA"/>
    <w:rsid w:val="005243DB"/>
    <w:rsid w:val="00524AE8"/>
    <w:rsid w:val="00524E2F"/>
    <w:rsid w:val="00524F2B"/>
    <w:rsid w:val="00524F95"/>
    <w:rsid w:val="00524FEF"/>
    <w:rsid w:val="00525802"/>
    <w:rsid w:val="005262E1"/>
    <w:rsid w:val="0052685F"/>
    <w:rsid w:val="00526B29"/>
    <w:rsid w:val="00526C36"/>
    <w:rsid w:val="00526DE1"/>
    <w:rsid w:val="005273B2"/>
    <w:rsid w:val="00527434"/>
    <w:rsid w:val="005276BB"/>
    <w:rsid w:val="00527A42"/>
    <w:rsid w:val="0053056E"/>
    <w:rsid w:val="00530FBA"/>
    <w:rsid w:val="00530FD5"/>
    <w:rsid w:val="005311A1"/>
    <w:rsid w:val="005315E4"/>
    <w:rsid w:val="005319B9"/>
    <w:rsid w:val="005322C6"/>
    <w:rsid w:val="00532526"/>
    <w:rsid w:val="005329C8"/>
    <w:rsid w:val="00532BAA"/>
    <w:rsid w:val="00532BF1"/>
    <w:rsid w:val="00532C52"/>
    <w:rsid w:val="005336F4"/>
    <w:rsid w:val="00534D3F"/>
    <w:rsid w:val="00535647"/>
    <w:rsid w:val="005359CC"/>
    <w:rsid w:val="00535EAE"/>
    <w:rsid w:val="00536303"/>
    <w:rsid w:val="005369EE"/>
    <w:rsid w:val="005372EE"/>
    <w:rsid w:val="005400CE"/>
    <w:rsid w:val="005403CD"/>
    <w:rsid w:val="00541C4D"/>
    <w:rsid w:val="00541DDA"/>
    <w:rsid w:val="00543798"/>
    <w:rsid w:val="00543F61"/>
    <w:rsid w:val="00544A55"/>
    <w:rsid w:val="00545A2D"/>
    <w:rsid w:val="00545DDF"/>
    <w:rsid w:val="00546663"/>
    <w:rsid w:val="00546A47"/>
    <w:rsid w:val="005472F7"/>
    <w:rsid w:val="0054782C"/>
    <w:rsid w:val="00547E2D"/>
    <w:rsid w:val="00547F74"/>
    <w:rsid w:val="005501E9"/>
    <w:rsid w:val="005506DF"/>
    <w:rsid w:val="005507FF"/>
    <w:rsid w:val="00550882"/>
    <w:rsid w:val="00550A47"/>
    <w:rsid w:val="00550B38"/>
    <w:rsid w:val="00550C1B"/>
    <w:rsid w:val="00550E07"/>
    <w:rsid w:val="005510BA"/>
    <w:rsid w:val="005510FD"/>
    <w:rsid w:val="005512A1"/>
    <w:rsid w:val="005517F5"/>
    <w:rsid w:val="00551AA3"/>
    <w:rsid w:val="00551AE4"/>
    <w:rsid w:val="0055203E"/>
    <w:rsid w:val="00552111"/>
    <w:rsid w:val="0055246A"/>
    <w:rsid w:val="0055313E"/>
    <w:rsid w:val="0055399F"/>
    <w:rsid w:val="00553B16"/>
    <w:rsid w:val="00553DB0"/>
    <w:rsid w:val="0055471C"/>
    <w:rsid w:val="00554992"/>
    <w:rsid w:val="00554E69"/>
    <w:rsid w:val="00555368"/>
    <w:rsid w:val="005554E3"/>
    <w:rsid w:val="00555567"/>
    <w:rsid w:val="005562A9"/>
    <w:rsid w:val="005567B1"/>
    <w:rsid w:val="00556CCF"/>
    <w:rsid w:val="00556F41"/>
    <w:rsid w:val="005573B4"/>
    <w:rsid w:val="0055788C"/>
    <w:rsid w:val="00557F4E"/>
    <w:rsid w:val="00560021"/>
    <w:rsid w:val="00560ADA"/>
    <w:rsid w:val="00560BF3"/>
    <w:rsid w:val="00561B42"/>
    <w:rsid w:val="00561B65"/>
    <w:rsid w:val="00561BEB"/>
    <w:rsid w:val="00562029"/>
    <w:rsid w:val="0056261B"/>
    <w:rsid w:val="005629A3"/>
    <w:rsid w:val="00562FCA"/>
    <w:rsid w:val="00563346"/>
    <w:rsid w:val="00563525"/>
    <w:rsid w:val="00563E8A"/>
    <w:rsid w:val="0056434F"/>
    <w:rsid w:val="00564B75"/>
    <w:rsid w:val="00564C40"/>
    <w:rsid w:val="00564EF7"/>
    <w:rsid w:val="0056511D"/>
    <w:rsid w:val="005653C8"/>
    <w:rsid w:val="0056553F"/>
    <w:rsid w:val="005657AA"/>
    <w:rsid w:val="00565976"/>
    <w:rsid w:val="00565A8F"/>
    <w:rsid w:val="00565AA1"/>
    <w:rsid w:val="00565AF2"/>
    <w:rsid w:val="00565FEF"/>
    <w:rsid w:val="00566560"/>
    <w:rsid w:val="00566B68"/>
    <w:rsid w:val="00566B8B"/>
    <w:rsid w:val="00567753"/>
    <w:rsid w:val="00567CDA"/>
    <w:rsid w:val="00570A9D"/>
    <w:rsid w:val="00571285"/>
    <w:rsid w:val="005714BB"/>
    <w:rsid w:val="00571548"/>
    <w:rsid w:val="0057213B"/>
    <w:rsid w:val="00573EAE"/>
    <w:rsid w:val="00574486"/>
    <w:rsid w:val="005744B2"/>
    <w:rsid w:val="005748B0"/>
    <w:rsid w:val="00574D85"/>
    <w:rsid w:val="00574E98"/>
    <w:rsid w:val="005757EA"/>
    <w:rsid w:val="00575A89"/>
    <w:rsid w:val="005766B9"/>
    <w:rsid w:val="005766FA"/>
    <w:rsid w:val="00576818"/>
    <w:rsid w:val="0057685F"/>
    <w:rsid w:val="00577DFC"/>
    <w:rsid w:val="00580445"/>
    <w:rsid w:val="005816D3"/>
    <w:rsid w:val="005817FC"/>
    <w:rsid w:val="0058203D"/>
    <w:rsid w:val="00582698"/>
    <w:rsid w:val="00582AE9"/>
    <w:rsid w:val="00583426"/>
    <w:rsid w:val="005836B4"/>
    <w:rsid w:val="005837CE"/>
    <w:rsid w:val="00584084"/>
    <w:rsid w:val="00584B4C"/>
    <w:rsid w:val="00584C44"/>
    <w:rsid w:val="00584D7B"/>
    <w:rsid w:val="0058645B"/>
    <w:rsid w:val="005865F1"/>
    <w:rsid w:val="00586AF4"/>
    <w:rsid w:val="0058728A"/>
    <w:rsid w:val="00587329"/>
    <w:rsid w:val="00587B81"/>
    <w:rsid w:val="00587C00"/>
    <w:rsid w:val="005902A0"/>
    <w:rsid w:val="005908CF"/>
    <w:rsid w:val="00591289"/>
    <w:rsid w:val="00592227"/>
    <w:rsid w:val="005930BA"/>
    <w:rsid w:val="0059408B"/>
    <w:rsid w:val="0059419E"/>
    <w:rsid w:val="005949DA"/>
    <w:rsid w:val="00594F43"/>
    <w:rsid w:val="00595651"/>
    <w:rsid w:val="00595B0A"/>
    <w:rsid w:val="00595B66"/>
    <w:rsid w:val="00595D9B"/>
    <w:rsid w:val="005963A8"/>
    <w:rsid w:val="00596906"/>
    <w:rsid w:val="005969BF"/>
    <w:rsid w:val="0059719C"/>
    <w:rsid w:val="00597281"/>
    <w:rsid w:val="0059755C"/>
    <w:rsid w:val="00597A07"/>
    <w:rsid w:val="00597B30"/>
    <w:rsid w:val="00597C3C"/>
    <w:rsid w:val="005A0224"/>
    <w:rsid w:val="005A078A"/>
    <w:rsid w:val="005A07A7"/>
    <w:rsid w:val="005A0C6D"/>
    <w:rsid w:val="005A11A6"/>
    <w:rsid w:val="005A19E3"/>
    <w:rsid w:val="005A1BE7"/>
    <w:rsid w:val="005A24EB"/>
    <w:rsid w:val="005A2603"/>
    <w:rsid w:val="005A2B62"/>
    <w:rsid w:val="005A2C70"/>
    <w:rsid w:val="005A3302"/>
    <w:rsid w:val="005A339E"/>
    <w:rsid w:val="005A3435"/>
    <w:rsid w:val="005A3DA7"/>
    <w:rsid w:val="005A3F08"/>
    <w:rsid w:val="005A3F2B"/>
    <w:rsid w:val="005A4BE3"/>
    <w:rsid w:val="005A4EE6"/>
    <w:rsid w:val="005A4F31"/>
    <w:rsid w:val="005A4FD2"/>
    <w:rsid w:val="005A553C"/>
    <w:rsid w:val="005A5809"/>
    <w:rsid w:val="005A6174"/>
    <w:rsid w:val="005A6550"/>
    <w:rsid w:val="005A664A"/>
    <w:rsid w:val="005A675E"/>
    <w:rsid w:val="005A68DF"/>
    <w:rsid w:val="005A698C"/>
    <w:rsid w:val="005A7782"/>
    <w:rsid w:val="005A7F58"/>
    <w:rsid w:val="005B0018"/>
    <w:rsid w:val="005B0564"/>
    <w:rsid w:val="005B0621"/>
    <w:rsid w:val="005B06CD"/>
    <w:rsid w:val="005B1611"/>
    <w:rsid w:val="005B240F"/>
    <w:rsid w:val="005B2546"/>
    <w:rsid w:val="005B2CC0"/>
    <w:rsid w:val="005B2D4D"/>
    <w:rsid w:val="005B3946"/>
    <w:rsid w:val="005B3A65"/>
    <w:rsid w:val="005B46D5"/>
    <w:rsid w:val="005B47BC"/>
    <w:rsid w:val="005B5794"/>
    <w:rsid w:val="005B583C"/>
    <w:rsid w:val="005B5898"/>
    <w:rsid w:val="005B593D"/>
    <w:rsid w:val="005B5B7B"/>
    <w:rsid w:val="005B5E4E"/>
    <w:rsid w:val="005B64AC"/>
    <w:rsid w:val="005B6A64"/>
    <w:rsid w:val="005B6EA5"/>
    <w:rsid w:val="005B75F6"/>
    <w:rsid w:val="005B770D"/>
    <w:rsid w:val="005B7F44"/>
    <w:rsid w:val="005C06EA"/>
    <w:rsid w:val="005C10DD"/>
    <w:rsid w:val="005C1687"/>
    <w:rsid w:val="005C16DE"/>
    <w:rsid w:val="005C1B4E"/>
    <w:rsid w:val="005C1D74"/>
    <w:rsid w:val="005C1E50"/>
    <w:rsid w:val="005C2368"/>
    <w:rsid w:val="005C2DAF"/>
    <w:rsid w:val="005C32A5"/>
    <w:rsid w:val="005C398D"/>
    <w:rsid w:val="005C3AA2"/>
    <w:rsid w:val="005C44D8"/>
    <w:rsid w:val="005C4566"/>
    <w:rsid w:val="005C46EA"/>
    <w:rsid w:val="005C4B41"/>
    <w:rsid w:val="005C54D6"/>
    <w:rsid w:val="005C5806"/>
    <w:rsid w:val="005C6109"/>
    <w:rsid w:val="005C69FA"/>
    <w:rsid w:val="005C6A3F"/>
    <w:rsid w:val="005C6BB2"/>
    <w:rsid w:val="005C6C25"/>
    <w:rsid w:val="005C6D5B"/>
    <w:rsid w:val="005C6F9C"/>
    <w:rsid w:val="005C736B"/>
    <w:rsid w:val="005C78AD"/>
    <w:rsid w:val="005D01F7"/>
    <w:rsid w:val="005D0F65"/>
    <w:rsid w:val="005D1394"/>
    <w:rsid w:val="005D139B"/>
    <w:rsid w:val="005D14D0"/>
    <w:rsid w:val="005D1890"/>
    <w:rsid w:val="005D1AC5"/>
    <w:rsid w:val="005D1F58"/>
    <w:rsid w:val="005D242F"/>
    <w:rsid w:val="005D29FB"/>
    <w:rsid w:val="005D3A34"/>
    <w:rsid w:val="005D3C5E"/>
    <w:rsid w:val="005D47F4"/>
    <w:rsid w:val="005D49C0"/>
    <w:rsid w:val="005D4D65"/>
    <w:rsid w:val="005D58EB"/>
    <w:rsid w:val="005D6114"/>
    <w:rsid w:val="005D6A22"/>
    <w:rsid w:val="005E0663"/>
    <w:rsid w:val="005E0AB9"/>
    <w:rsid w:val="005E1497"/>
    <w:rsid w:val="005E1DBA"/>
    <w:rsid w:val="005E2218"/>
    <w:rsid w:val="005E251B"/>
    <w:rsid w:val="005E2EC4"/>
    <w:rsid w:val="005E2F0E"/>
    <w:rsid w:val="005E313D"/>
    <w:rsid w:val="005E31E4"/>
    <w:rsid w:val="005E331A"/>
    <w:rsid w:val="005E3586"/>
    <w:rsid w:val="005E3F30"/>
    <w:rsid w:val="005E41D1"/>
    <w:rsid w:val="005E44C3"/>
    <w:rsid w:val="005E46DD"/>
    <w:rsid w:val="005E55A2"/>
    <w:rsid w:val="005E5A18"/>
    <w:rsid w:val="005E5D8A"/>
    <w:rsid w:val="005E606A"/>
    <w:rsid w:val="005E6748"/>
    <w:rsid w:val="005E682F"/>
    <w:rsid w:val="005E6C49"/>
    <w:rsid w:val="005E72D6"/>
    <w:rsid w:val="005E784A"/>
    <w:rsid w:val="005E7B96"/>
    <w:rsid w:val="005F0199"/>
    <w:rsid w:val="005F02B3"/>
    <w:rsid w:val="005F0447"/>
    <w:rsid w:val="005F0EBB"/>
    <w:rsid w:val="005F205C"/>
    <w:rsid w:val="005F25C5"/>
    <w:rsid w:val="005F2CC0"/>
    <w:rsid w:val="005F31EE"/>
    <w:rsid w:val="005F344B"/>
    <w:rsid w:val="005F36FD"/>
    <w:rsid w:val="005F383A"/>
    <w:rsid w:val="005F3B32"/>
    <w:rsid w:val="005F408B"/>
    <w:rsid w:val="005F44A9"/>
    <w:rsid w:val="005F4D6C"/>
    <w:rsid w:val="005F5C05"/>
    <w:rsid w:val="005F5C1B"/>
    <w:rsid w:val="005F6376"/>
    <w:rsid w:val="005F6CB9"/>
    <w:rsid w:val="005F6D09"/>
    <w:rsid w:val="005F7384"/>
    <w:rsid w:val="005F7B45"/>
    <w:rsid w:val="005F7B86"/>
    <w:rsid w:val="00600439"/>
    <w:rsid w:val="006006A0"/>
    <w:rsid w:val="006017BB"/>
    <w:rsid w:val="00601C97"/>
    <w:rsid w:val="00601D1D"/>
    <w:rsid w:val="00603054"/>
    <w:rsid w:val="006036D1"/>
    <w:rsid w:val="00603879"/>
    <w:rsid w:val="00603890"/>
    <w:rsid w:val="00603B41"/>
    <w:rsid w:val="00605F74"/>
    <w:rsid w:val="0060714E"/>
    <w:rsid w:val="006076CD"/>
    <w:rsid w:val="00607A3D"/>
    <w:rsid w:val="00607BF6"/>
    <w:rsid w:val="00607C04"/>
    <w:rsid w:val="00607E39"/>
    <w:rsid w:val="00610813"/>
    <w:rsid w:val="00610945"/>
    <w:rsid w:val="00610A2D"/>
    <w:rsid w:val="00610BC4"/>
    <w:rsid w:val="00611DAA"/>
    <w:rsid w:val="006122C0"/>
    <w:rsid w:val="006125B0"/>
    <w:rsid w:val="00612911"/>
    <w:rsid w:val="00613158"/>
    <w:rsid w:val="00613726"/>
    <w:rsid w:val="00613893"/>
    <w:rsid w:val="00613F3A"/>
    <w:rsid w:val="006146AB"/>
    <w:rsid w:val="006152CC"/>
    <w:rsid w:val="006155B0"/>
    <w:rsid w:val="00615734"/>
    <w:rsid w:val="00615DDC"/>
    <w:rsid w:val="00616BC1"/>
    <w:rsid w:val="00616D25"/>
    <w:rsid w:val="00617199"/>
    <w:rsid w:val="0061770C"/>
    <w:rsid w:val="00620037"/>
    <w:rsid w:val="0062077D"/>
    <w:rsid w:val="00620840"/>
    <w:rsid w:val="00620CCA"/>
    <w:rsid w:val="00620F95"/>
    <w:rsid w:val="006216CD"/>
    <w:rsid w:val="00621A1B"/>
    <w:rsid w:val="00621A81"/>
    <w:rsid w:val="00621B79"/>
    <w:rsid w:val="00621E3D"/>
    <w:rsid w:val="006220B9"/>
    <w:rsid w:val="00622926"/>
    <w:rsid w:val="00622D9A"/>
    <w:rsid w:val="00623111"/>
    <w:rsid w:val="006237EA"/>
    <w:rsid w:val="00623FF8"/>
    <w:rsid w:val="006246AC"/>
    <w:rsid w:val="0062475E"/>
    <w:rsid w:val="00624F67"/>
    <w:rsid w:val="006250AD"/>
    <w:rsid w:val="006258FB"/>
    <w:rsid w:val="00625951"/>
    <w:rsid w:val="006278A3"/>
    <w:rsid w:val="00627905"/>
    <w:rsid w:val="00630C77"/>
    <w:rsid w:val="00630CC6"/>
    <w:rsid w:val="00630E2C"/>
    <w:rsid w:val="00631723"/>
    <w:rsid w:val="00631C07"/>
    <w:rsid w:val="00631EB0"/>
    <w:rsid w:val="00632838"/>
    <w:rsid w:val="00632E3F"/>
    <w:rsid w:val="006330E5"/>
    <w:rsid w:val="006331E9"/>
    <w:rsid w:val="006335F5"/>
    <w:rsid w:val="00633CE1"/>
    <w:rsid w:val="00633FDF"/>
    <w:rsid w:val="00634499"/>
    <w:rsid w:val="00634F0B"/>
    <w:rsid w:val="006355B0"/>
    <w:rsid w:val="006359AB"/>
    <w:rsid w:val="00635C45"/>
    <w:rsid w:val="00635D8F"/>
    <w:rsid w:val="00637265"/>
    <w:rsid w:val="00637448"/>
    <w:rsid w:val="00637618"/>
    <w:rsid w:val="00637BA8"/>
    <w:rsid w:val="00640532"/>
    <w:rsid w:val="006406E1"/>
    <w:rsid w:val="00640F63"/>
    <w:rsid w:val="00641182"/>
    <w:rsid w:val="00641309"/>
    <w:rsid w:val="006414F6"/>
    <w:rsid w:val="0064161D"/>
    <w:rsid w:val="00641999"/>
    <w:rsid w:val="00641A90"/>
    <w:rsid w:val="006427FE"/>
    <w:rsid w:val="00643091"/>
    <w:rsid w:val="00643109"/>
    <w:rsid w:val="0064334B"/>
    <w:rsid w:val="006437F7"/>
    <w:rsid w:val="00643A88"/>
    <w:rsid w:val="00643CC2"/>
    <w:rsid w:val="00643E95"/>
    <w:rsid w:val="00644351"/>
    <w:rsid w:val="00644E14"/>
    <w:rsid w:val="006450BF"/>
    <w:rsid w:val="00645BA5"/>
    <w:rsid w:val="006464E8"/>
    <w:rsid w:val="00646CF9"/>
    <w:rsid w:val="00646D1B"/>
    <w:rsid w:val="0064736D"/>
    <w:rsid w:val="0064740D"/>
    <w:rsid w:val="006476E1"/>
    <w:rsid w:val="00647729"/>
    <w:rsid w:val="00647A8B"/>
    <w:rsid w:val="006504B7"/>
    <w:rsid w:val="0065067A"/>
    <w:rsid w:val="00650F24"/>
    <w:rsid w:val="00651080"/>
    <w:rsid w:val="00651B2D"/>
    <w:rsid w:val="00651C1C"/>
    <w:rsid w:val="006520AC"/>
    <w:rsid w:val="00652BA1"/>
    <w:rsid w:val="006534F0"/>
    <w:rsid w:val="00653562"/>
    <w:rsid w:val="00654156"/>
    <w:rsid w:val="00654A6F"/>
    <w:rsid w:val="00655332"/>
    <w:rsid w:val="006554DA"/>
    <w:rsid w:val="0065658A"/>
    <w:rsid w:val="00656B40"/>
    <w:rsid w:val="00657340"/>
    <w:rsid w:val="006575FB"/>
    <w:rsid w:val="006604EB"/>
    <w:rsid w:val="00660581"/>
    <w:rsid w:val="00660DC5"/>
    <w:rsid w:val="006617F9"/>
    <w:rsid w:val="00661A9B"/>
    <w:rsid w:val="00661F68"/>
    <w:rsid w:val="00662A94"/>
    <w:rsid w:val="00662D19"/>
    <w:rsid w:val="00662DB4"/>
    <w:rsid w:val="00662FA1"/>
    <w:rsid w:val="0066304F"/>
    <w:rsid w:val="0066324B"/>
    <w:rsid w:val="0066352D"/>
    <w:rsid w:val="00663568"/>
    <w:rsid w:val="00663B58"/>
    <w:rsid w:val="006647DB"/>
    <w:rsid w:val="00664A39"/>
    <w:rsid w:val="006652AA"/>
    <w:rsid w:val="00665C86"/>
    <w:rsid w:val="00666656"/>
    <w:rsid w:val="00666676"/>
    <w:rsid w:val="00666695"/>
    <w:rsid w:val="006668E0"/>
    <w:rsid w:val="00667260"/>
    <w:rsid w:val="00667330"/>
    <w:rsid w:val="006676BD"/>
    <w:rsid w:val="00667919"/>
    <w:rsid w:val="00670011"/>
    <w:rsid w:val="00670A31"/>
    <w:rsid w:val="00670BD4"/>
    <w:rsid w:val="006716FD"/>
    <w:rsid w:val="00671D7F"/>
    <w:rsid w:val="00671F44"/>
    <w:rsid w:val="006728E7"/>
    <w:rsid w:val="00672C29"/>
    <w:rsid w:val="00673355"/>
    <w:rsid w:val="006734F6"/>
    <w:rsid w:val="00673558"/>
    <w:rsid w:val="006738A2"/>
    <w:rsid w:val="00673C19"/>
    <w:rsid w:val="00673ED7"/>
    <w:rsid w:val="00674200"/>
    <w:rsid w:val="00674FA5"/>
    <w:rsid w:val="00675066"/>
    <w:rsid w:val="006750C1"/>
    <w:rsid w:val="0067599F"/>
    <w:rsid w:val="0067661D"/>
    <w:rsid w:val="00676687"/>
    <w:rsid w:val="00676AAF"/>
    <w:rsid w:val="00676D93"/>
    <w:rsid w:val="00677E9E"/>
    <w:rsid w:val="00677FC6"/>
    <w:rsid w:val="0068092F"/>
    <w:rsid w:val="00681D93"/>
    <w:rsid w:val="00682242"/>
    <w:rsid w:val="00682504"/>
    <w:rsid w:val="0068252B"/>
    <w:rsid w:val="0068323E"/>
    <w:rsid w:val="006836F6"/>
    <w:rsid w:val="00683EF9"/>
    <w:rsid w:val="00683FE5"/>
    <w:rsid w:val="006840E8"/>
    <w:rsid w:val="006845C3"/>
    <w:rsid w:val="006846BD"/>
    <w:rsid w:val="006847E8"/>
    <w:rsid w:val="00684BC5"/>
    <w:rsid w:val="006853DB"/>
    <w:rsid w:val="0068590D"/>
    <w:rsid w:val="00685FFC"/>
    <w:rsid w:val="006863DF"/>
    <w:rsid w:val="00686658"/>
    <w:rsid w:val="006866CE"/>
    <w:rsid w:val="00686A5E"/>
    <w:rsid w:val="00687153"/>
    <w:rsid w:val="00687901"/>
    <w:rsid w:val="00687C20"/>
    <w:rsid w:val="00687E74"/>
    <w:rsid w:val="0069086D"/>
    <w:rsid w:val="00691604"/>
    <w:rsid w:val="0069170F"/>
    <w:rsid w:val="0069267E"/>
    <w:rsid w:val="00692F7C"/>
    <w:rsid w:val="00693873"/>
    <w:rsid w:val="006939B1"/>
    <w:rsid w:val="00693E63"/>
    <w:rsid w:val="00694127"/>
    <w:rsid w:val="0069412F"/>
    <w:rsid w:val="00694426"/>
    <w:rsid w:val="006948BF"/>
    <w:rsid w:val="00694BF2"/>
    <w:rsid w:val="00694C31"/>
    <w:rsid w:val="00694DAD"/>
    <w:rsid w:val="006950B6"/>
    <w:rsid w:val="0069510D"/>
    <w:rsid w:val="0069517C"/>
    <w:rsid w:val="006951AC"/>
    <w:rsid w:val="00695AAB"/>
    <w:rsid w:val="0069691B"/>
    <w:rsid w:val="00696A9C"/>
    <w:rsid w:val="00696B82"/>
    <w:rsid w:val="006974B9"/>
    <w:rsid w:val="00697581"/>
    <w:rsid w:val="0069772E"/>
    <w:rsid w:val="00697A87"/>
    <w:rsid w:val="006A016A"/>
    <w:rsid w:val="006A03E0"/>
    <w:rsid w:val="006A09F7"/>
    <w:rsid w:val="006A0EE3"/>
    <w:rsid w:val="006A11D1"/>
    <w:rsid w:val="006A19A0"/>
    <w:rsid w:val="006A1F58"/>
    <w:rsid w:val="006A2187"/>
    <w:rsid w:val="006A219B"/>
    <w:rsid w:val="006A2303"/>
    <w:rsid w:val="006A250A"/>
    <w:rsid w:val="006A2599"/>
    <w:rsid w:val="006A2BF2"/>
    <w:rsid w:val="006A2D7E"/>
    <w:rsid w:val="006A4034"/>
    <w:rsid w:val="006A4333"/>
    <w:rsid w:val="006A433C"/>
    <w:rsid w:val="006A5037"/>
    <w:rsid w:val="006A5A61"/>
    <w:rsid w:val="006A5B15"/>
    <w:rsid w:val="006A5BDB"/>
    <w:rsid w:val="006A6762"/>
    <w:rsid w:val="006A6D97"/>
    <w:rsid w:val="006A72F7"/>
    <w:rsid w:val="006A7302"/>
    <w:rsid w:val="006A7809"/>
    <w:rsid w:val="006B002B"/>
    <w:rsid w:val="006B09A7"/>
    <w:rsid w:val="006B12DB"/>
    <w:rsid w:val="006B152D"/>
    <w:rsid w:val="006B179D"/>
    <w:rsid w:val="006B1F17"/>
    <w:rsid w:val="006B210D"/>
    <w:rsid w:val="006B263A"/>
    <w:rsid w:val="006B2774"/>
    <w:rsid w:val="006B2834"/>
    <w:rsid w:val="006B296E"/>
    <w:rsid w:val="006B3209"/>
    <w:rsid w:val="006B3736"/>
    <w:rsid w:val="006B4450"/>
    <w:rsid w:val="006B4968"/>
    <w:rsid w:val="006B4999"/>
    <w:rsid w:val="006B4B48"/>
    <w:rsid w:val="006B57F9"/>
    <w:rsid w:val="006B5B1D"/>
    <w:rsid w:val="006B5C82"/>
    <w:rsid w:val="006B62BF"/>
    <w:rsid w:val="006B6551"/>
    <w:rsid w:val="006B6AFD"/>
    <w:rsid w:val="006B6C6F"/>
    <w:rsid w:val="006B6D1F"/>
    <w:rsid w:val="006B6D4D"/>
    <w:rsid w:val="006B6F63"/>
    <w:rsid w:val="006B71AA"/>
    <w:rsid w:val="006B7871"/>
    <w:rsid w:val="006B78B9"/>
    <w:rsid w:val="006B7994"/>
    <w:rsid w:val="006B7A5B"/>
    <w:rsid w:val="006C0446"/>
    <w:rsid w:val="006C06FC"/>
    <w:rsid w:val="006C0892"/>
    <w:rsid w:val="006C08D2"/>
    <w:rsid w:val="006C0A86"/>
    <w:rsid w:val="006C0E0C"/>
    <w:rsid w:val="006C1814"/>
    <w:rsid w:val="006C19ED"/>
    <w:rsid w:val="006C22BD"/>
    <w:rsid w:val="006C22FE"/>
    <w:rsid w:val="006C2DDD"/>
    <w:rsid w:val="006C2F24"/>
    <w:rsid w:val="006C3703"/>
    <w:rsid w:val="006C395F"/>
    <w:rsid w:val="006C4530"/>
    <w:rsid w:val="006C4679"/>
    <w:rsid w:val="006C5ABA"/>
    <w:rsid w:val="006C5D22"/>
    <w:rsid w:val="006C5FF3"/>
    <w:rsid w:val="006C62E1"/>
    <w:rsid w:val="006C6566"/>
    <w:rsid w:val="006C6991"/>
    <w:rsid w:val="006C6FD8"/>
    <w:rsid w:val="006D0206"/>
    <w:rsid w:val="006D09BC"/>
    <w:rsid w:val="006D12AA"/>
    <w:rsid w:val="006D1EA1"/>
    <w:rsid w:val="006D2708"/>
    <w:rsid w:val="006D29D3"/>
    <w:rsid w:val="006D2CA2"/>
    <w:rsid w:val="006D2D2B"/>
    <w:rsid w:val="006D2D62"/>
    <w:rsid w:val="006D2EB0"/>
    <w:rsid w:val="006D3625"/>
    <w:rsid w:val="006D3F05"/>
    <w:rsid w:val="006D4135"/>
    <w:rsid w:val="006D4253"/>
    <w:rsid w:val="006D48AE"/>
    <w:rsid w:val="006D4ABC"/>
    <w:rsid w:val="006D51F5"/>
    <w:rsid w:val="006D570F"/>
    <w:rsid w:val="006D59FB"/>
    <w:rsid w:val="006D60C9"/>
    <w:rsid w:val="006D633E"/>
    <w:rsid w:val="006D6664"/>
    <w:rsid w:val="006D6A26"/>
    <w:rsid w:val="006D6DEC"/>
    <w:rsid w:val="006D7BDF"/>
    <w:rsid w:val="006E0E32"/>
    <w:rsid w:val="006E21D9"/>
    <w:rsid w:val="006E2430"/>
    <w:rsid w:val="006E2970"/>
    <w:rsid w:val="006E3052"/>
    <w:rsid w:val="006E3C77"/>
    <w:rsid w:val="006E3EDF"/>
    <w:rsid w:val="006E5A78"/>
    <w:rsid w:val="006E5B81"/>
    <w:rsid w:val="006E61B9"/>
    <w:rsid w:val="006E6810"/>
    <w:rsid w:val="006E699E"/>
    <w:rsid w:val="006E6DB9"/>
    <w:rsid w:val="006E7066"/>
    <w:rsid w:val="006E77BC"/>
    <w:rsid w:val="006F0472"/>
    <w:rsid w:val="006F1A42"/>
    <w:rsid w:val="006F1E30"/>
    <w:rsid w:val="006F3501"/>
    <w:rsid w:val="006F457D"/>
    <w:rsid w:val="006F4F26"/>
    <w:rsid w:val="006F57A9"/>
    <w:rsid w:val="006F5A6E"/>
    <w:rsid w:val="006F5F14"/>
    <w:rsid w:val="006F6384"/>
    <w:rsid w:val="006F65BE"/>
    <w:rsid w:val="006F6844"/>
    <w:rsid w:val="006F6964"/>
    <w:rsid w:val="006F6B93"/>
    <w:rsid w:val="006F7855"/>
    <w:rsid w:val="006F79AA"/>
    <w:rsid w:val="006F7CC2"/>
    <w:rsid w:val="0070078D"/>
    <w:rsid w:val="007007F6"/>
    <w:rsid w:val="00700B87"/>
    <w:rsid w:val="007011AC"/>
    <w:rsid w:val="00701418"/>
    <w:rsid w:val="007015C0"/>
    <w:rsid w:val="00701851"/>
    <w:rsid w:val="0070272C"/>
    <w:rsid w:val="00702863"/>
    <w:rsid w:val="00702A06"/>
    <w:rsid w:val="00702B81"/>
    <w:rsid w:val="00703568"/>
    <w:rsid w:val="00703CC1"/>
    <w:rsid w:val="007041D8"/>
    <w:rsid w:val="007048AF"/>
    <w:rsid w:val="00704F81"/>
    <w:rsid w:val="00705203"/>
    <w:rsid w:val="0070525A"/>
    <w:rsid w:val="007053ED"/>
    <w:rsid w:val="00705510"/>
    <w:rsid w:val="00705729"/>
    <w:rsid w:val="00707586"/>
    <w:rsid w:val="00710995"/>
    <w:rsid w:val="00710CB2"/>
    <w:rsid w:val="0071159A"/>
    <w:rsid w:val="00711699"/>
    <w:rsid w:val="0071191E"/>
    <w:rsid w:val="00711A17"/>
    <w:rsid w:val="00712504"/>
    <w:rsid w:val="00712DBA"/>
    <w:rsid w:val="007131E9"/>
    <w:rsid w:val="00713DF8"/>
    <w:rsid w:val="0071411A"/>
    <w:rsid w:val="007142DE"/>
    <w:rsid w:val="007148C8"/>
    <w:rsid w:val="00714A92"/>
    <w:rsid w:val="00714CC8"/>
    <w:rsid w:val="00714DD3"/>
    <w:rsid w:val="0071503B"/>
    <w:rsid w:val="007150C4"/>
    <w:rsid w:val="0071537F"/>
    <w:rsid w:val="007155E4"/>
    <w:rsid w:val="00715F1D"/>
    <w:rsid w:val="00716563"/>
    <w:rsid w:val="00716821"/>
    <w:rsid w:val="00716CA0"/>
    <w:rsid w:val="00717C8F"/>
    <w:rsid w:val="00720001"/>
    <w:rsid w:val="007201E6"/>
    <w:rsid w:val="00720366"/>
    <w:rsid w:val="007210F4"/>
    <w:rsid w:val="00721944"/>
    <w:rsid w:val="0072197E"/>
    <w:rsid w:val="00721F1E"/>
    <w:rsid w:val="00722032"/>
    <w:rsid w:val="007223B3"/>
    <w:rsid w:val="00722790"/>
    <w:rsid w:val="00723C17"/>
    <w:rsid w:val="00724A64"/>
    <w:rsid w:val="00724AEE"/>
    <w:rsid w:val="00724D82"/>
    <w:rsid w:val="00724EF9"/>
    <w:rsid w:val="00724F4A"/>
    <w:rsid w:val="00725065"/>
    <w:rsid w:val="007252CB"/>
    <w:rsid w:val="00725479"/>
    <w:rsid w:val="007254D7"/>
    <w:rsid w:val="00725DDB"/>
    <w:rsid w:val="007265B6"/>
    <w:rsid w:val="00726DE5"/>
    <w:rsid w:val="00726E27"/>
    <w:rsid w:val="007271E6"/>
    <w:rsid w:val="007276B7"/>
    <w:rsid w:val="00727C59"/>
    <w:rsid w:val="007300A9"/>
    <w:rsid w:val="007304FD"/>
    <w:rsid w:val="007308B1"/>
    <w:rsid w:val="00730DEA"/>
    <w:rsid w:val="00731564"/>
    <w:rsid w:val="00731681"/>
    <w:rsid w:val="007317D8"/>
    <w:rsid w:val="007317F9"/>
    <w:rsid w:val="00731D5A"/>
    <w:rsid w:val="00731DB2"/>
    <w:rsid w:val="00732191"/>
    <w:rsid w:val="007325DF"/>
    <w:rsid w:val="00732AB4"/>
    <w:rsid w:val="00732C93"/>
    <w:rsid w:val="007336D6"/>
    <w:rsid w:val="007337E7"/>
    <w:rsid w:val="0073393F"/>
    <w:rsid w:val="00734442"/>
    <w:rsid w:val="007346E5"/>
    <w:rsid w:val="0073483A"/>
    <w:rsid w:val="00734E25"/>
    <w:rsid w:val="00734FDC"/>
    <w:rsid w:val="00735372"/>
    <w:rsid w:val="00735532"/>
    <w:rsid w:val="00735A83"/>
    <w:rsid w:val="00735E56"/>
    <w:rsid w:val="00736231"/>
    <w:rsid w:val="00736E69"/>
    <w:rsid w:val="00736F93"/>
    <w:rsid w:val="007372E9"/>
    <w:rsid w:val="0073780A"/>
    <w:rsid w:val="00737ACC"/>
    <w:rsid w:val="00737E6F"/>
    <w:rsid w:val="00740AC1"/>
    <w:rsid w:val="00740ACD"/>
    <w:rsid w:val="00740DEA"/>
    <w:rsid w:val="00741149"/>
    <w:rsid w:val="00742D7B"/>
    <w:rsid w:val="0074349E"/>
    <w:rsid w:val="00743562"/>
    <w:rsid w:val="00743976"/>
    <w:rsid w:val="007439AA"/>
    <w:rsid w:val="00743B90"/>
    <w:rsid w:val="00743CD7"/>
    <w:rsid w:val="0074477F"/>
    <w:rsid w:val="007447B5"/>
    <w:rsid w:val="00745120"/>
    <w:rsid w:val="007452D3"/>
    <w:rsid w:val="00745783"/>
    <w:rsid w:val="00746124"/>
    <w:rsid w:val="00746560"/>
    <w:rsid w:val="00746BE4"/>
    <w:rsid w:val="00746D78"/>
    <w:rsid w:val="00747B07"/>
    <w:rsid w:val="00747C98"/>
    <w:rsid w:val="00747FDD"/>
    <w:rsid w:val="007500A2"/>
    <w:rsid w:val="007514E4"/>
    <w:rsid w:val="007517CA"/>
    <w:rsid w:val="00751A19"/>
    <w:rsid w:val="00751CF2"/>
    <w:rsid w:val="00752140"/>
    <w:rsid w:val="00752606"/>
    <w:rsid w:val="00752CB8"/>
    <w:rsid w:val="00752F9E"/>
    <w:rsid w:val="007534BD"/>
    <w:rsid w:val="007539B5"/>
    <w:rsid w:val="00753DC1"/>
    <w:rsid w:val="00753F00"/>
    <w:rsid w:val="007541C0"/>
    <w:rsid w:val="0075455B"/>
    <w:rsid w:val="00754610"/>
    <w:rsid w:val="00754A6B"/>
    <w:rsid w:val="00754C16"/>
    <w:rsid w:val="00754FD3"/>
    <w:rsid w:val="00755F1E"/>
    <w:rsid w:val="007569C0"/>
    <w:rsid w:val="00757942"/>
    <w:rsid w:val="00757FF6"/>
    <w:rsid w:val="007607B5"/>
    <w:rsid w:val="00760EF4"/>
    <w:rsid w:val="00760FE5"/>
    <w:rsid w:val="00761541"/>
    <w:rsid w:val="00761A71"/>
    <w:rsid w:val="00761BFB"/>
    <w:rsid w:val="00762687"/>
    <w:rsid w:val="007626B1"/>
    <w:rsid w:val="00762A92"/>
    <w:rsid w:val="00763002"/>
    <w:rsid w:val="0076313A"/>
    <w:rsid w:val="0076327D"/>
    <w:rsid w:val="00763420"/>
    <w:rsid w:val="007634D9"/>
    <w:rsid w:val="0076381A"/>
    <w:rsid w:val="007642D3"/>
    <w:rsid w:val="007648A3"/>
    <w:rsid w:val="0076504E"/>
    <w:rsid w:val="00765159"/>
    <w:rsid w:val="0076538A"/>
    <w:rsid w:val="00765BD4"/>
    <w:rsid w:val="0076715F"/>
    <w:rsid w:val="007673E4"/>
    <w:rsid w:val="00767896"/>
    <w:rsid w:val="00767B70"/>
    <w:rsid w:val="00767DBC"/>
    <w:rsid w:val="00770176"/>
    <w:rsid w:val="0077125A"/>
    <w:rsid w:val="0077130C"/>
    <w:rsid w:val="007716B6"/>
    <w:rsid w:val="00771A7C"/>
    <w:rsid w:val="00771B7A"/>
    <w:rsid w:val="00771F59"/>
    <w:rsid w:val="00772539"/>
    <w:rsid w:val="007728E4"/>
    <w:rsid w:val="00772F29"/>
    <w:rsid w:val="00773069"/>
    <w:rsid w:val="00773312"/>
    <w:rsid w:val="007740BC"/>
    <w:rsid w:val="007741F4"/>
    <w:rsid w:val="007742ED"/>
    <w:rsid w:val="007745DE"/>
    <w:rsid w:val="007749C4"/>
    <w:rsid w:val="00774B56"/>
    <w:rsid w:val="00774C88"/>
    <w:rsid w:val="007750CB"/>
    <w:rsid w:val="00775186"/>
    <w:rsid w:val="007753E5"/>
    <w:rsid w:val="0077601C"/>
    <w:rsid w:val="00776600"/>
    <w:rsid w:val="00777074"/>
    <w:rsid w:val="00777247"/>
    <w:rsid w:val="00777356"/>
    <w:rsid w:val="00777DE4"/>
    <w:rsid w:val="007801A9"/>
    <w:rsid w:val="0078095B"/>
    <w:rsid w:val="00780AE1"/>
    <w:rsid w:val="00780AFB"/>
    <w:rsid w:val="00780BD8"/>
    <w:rsid w:val="00780E83"/>
    <w:rsid w:val="007811EF"/>
    <w:rsid w:val="0078188B"/>
    <w:rsid w:val="00781EA6"/>
    <w:rsid w:val="0078248F"/>
    <w:rsid w:val="00782BB2"/>
    <w:rsid w:val="0078332B"/>
    <w:rsid w:val="00783AB2"/>
    <w:rsid w:val="00783D95"/>
    <w:rsid w:val="007842FC"/>
    <w:rsid w:val="007849F2"/>
    <w:rsid w:val="00784B2E"/>
    <w:rsid w:val="00785072"/>
    <w:rsid w:val="0078538E"/>
    <w:rsid w:val="00785BFF"/>
    <w:rsid w:val="00786554"/>
    <w:rsid w:val="007869C1"/>
    <w:rsid w:val="00786BCA"/>
    <w:rsid w:val="00786C98"/>
    <w:rsid w:val="007872AC"/>
    <w:rsid w:val="0078768C"/>
    <w:rsid w:val="0078768E"/>
    <w:rsid w:val="00787796"/>
    <w:rsid w:val="00787920"/>
    <w:rsid w:val="00787E38"/>
    <w:rsid w:val="0079049F"/>
    <w:rsid w:val="007906FF"/>
    <w:rsid w:val="00790986"/>
    <w:rsid w:val="00790A38"/>
    <w:rsid w:val="00790D4B"/>
    <w:rsid w:val="0079136C"/>
    <w:rsid w:val="00791AAC"/>
    <w:rsid w:val="00791D97"/>
    <w:rsid w:val="007923EB"/>
    <w:rsid w:val="00792948"/>
    <w:rsid w:val="00793B59"/>
    <w:rsid w:val="00793CFB"/>
    <w:rsid w:val="00793EA1"/>
    <w:rsid w:val="00794B50"/>
    <w:rsid w:val="00794D73"/>
    <w:rsid w:val="00794E9D"/>
    <w:rsid w:val="007952FD"/>
    <w:rsid w:val="00795D1A"/>
    <w:rsid w:val="007961B2"/>
    <w:rsid w:val="0079632F"/>
    <w:rsid w:val="007964A9"/>
    <w:rsid w:val="007966BC"/>
    <w:rsid w:val="00796FBC"/>
    <w:rsid w:val="0079730C"/>
    <w:rsid w:val="00797326"/>
    <w:rsid w:val="00797461"/>
    <w:rsid w:val="007978EC"/>
    <w:rsid w:val="007A0750"/>
    <w:rsid w:val="007A0AC5"/>
    <w:rsid w:val="007A1528"/>
    <w:rsid w:val="007A17DA"/>
    <w:rsid w:val="007A1F90"/>
    <w:rsid w:val="007A22F4"/>
    <w:rsid w:val="007A2821"/>
    <w:rsid w:val="007A6C35"/>
    <w:rsid w:val="007A7526"/>
    <w:rsid w:val="007A77B9"/>
    <w:rsid w:val="007A7839"/>
    <w:rsid w:val="007A7F8B"/>
    <w:rsid w:val="007B00C6"/>
    <w:rsid w:val="007B00D8"/>
    <w:rsid w:val="007B0159"/>
    <w:rsid w:val="007B01B2"/>
    <w:rsid w:val="007B0216"/>
    <w:rsid w:val="007B265A"/>
    <w:rsid w:val="007B29A5"/>
    <w:rsid w:val="007B2B58"/>
    <w:rsid w:val="007B2D16"/>
    <w:rsid w:val="007B3427"/>
    <w:rsid w:val="007B3553"/>
    <w:rsid w:val="007B37C3"/>
    <w:rsid w:val="007B3C16"/>
    <w:rsid w:val="007B4243"/>
    <w:rsid w:val="007B4A20"/>
    <w:rsid w:val="007B4DDA"/>
    <w:rsid w:val="007B50E2"/>
    <w:rsid w:val="007B5A92"/>
    <w:rsid w:val="007B5B62"/>
    <w:rsid w:val="007B5BCC"/>
    <w:rsid w:val="007B5BFB"/>
    <w:rsid w:val="007B68BB"/>
    <w:rsid w:val="007B713E"/>
    <w:rsid w:val="007C00D5"/>
    <w:rsid w:val="007C02C4"/>
    <w:rsid w:val="007C04B2"/>
    <w:rsid w:val="007C15BE"/>
    <w:rsid w:val="007C1BFA"/>
    <w:rsid w:val="007C1DF3"/>
    <w:rsid w:val="007C2E62"/>
    <w:rsid w:val="007C307D"/>
    <w:rsid w:val="007C33AC"/>
    <w:rsid w:val="007C47A5"/>
    <w:rsid w:val="007C547D"/>
    <w:rsid w:val="007C56AF"/>
    <w:rsid w:val="007C5BED"/>
    <w:rsid w:val="007C5C3A"/>
    <w:rsid w:val="007C5C9A"/>
    <w:rsid w:val="007C72BE"/>
    <w:rsid w:val="007C7810"/>
    <w:rsid w:val="007C79F8"/>
    <w:rsid w:val="007C7D5F"/>
    <w:rsid w:val="007D00B7"/>
    <w:rsid w:val="007D06B4"/>
    <w:rsid w:val="007D07EB"/>
    <w:rsid w:val="007D0925"/>
    <w:rsid w:val="007D0D24"/>
    <w:rsid w:val="007D125C"/>
    <w:rsid w:val="007D15DD"/>
    <w:rsid w:val="007D167A"/>
    <w:rsid w:val="007D16A7"/>
    <w:rsid w:val="007D16E4"/>
    <w:rsid w:val="007D17F8"/>
    <w:rsid w:val="007D18CA"/>
    <w:rsid w:val="007D1A2E"/>
    <w:rsid w:val="007D1E24"/>
    <w:rsid w:val="007D433D"/>
    <w:rsid w:val="007D5033"/>
    <w:rsid w:val="007D53EB"/>
    <w:rsid w:val="007D593E"/>
    <w:rsid w:val="007D5C25"/>
    <w:rsid w:val="007D5CB4"/>
    <w:rsid w:val="007D7633"/>
    <w:rsid w:val="007E00EA"/>
    <w:rsid w:val="007E031A"/>
    <w:rsid w:val="007E04C0"/>
    <w:rsid w:val="007E07C2"/>
    <w:rsid w:val="007E10B7"/>
    <w:rsid w:val="007E16A0"/>
    <w:rsid w:val="007E1BB7"/>
    <w:rsid w:val="007E24BF"/>
    <w:rsid w:val="007E27E1"/>
    <w:rsid w:val="007E2E2A"/>
    <w:rsid w:val="007E3910"/>
    <w:rsid w:val="007E3971"/>
    <w:rsid w:val="007E3DFC"/>
    <w:rsid w:val="007E3E5E"/>
    <w:rsid w:val="007E4927"/>
    <w:rsid w:val="007E51DA"/>
    <w:rsid w:val="007E5664"/>
    <w:rsid w:val="007E5CE0"/>
    <w:rsid w:val="007E60CA"/>
    <w:rsid w:val="007E64E2"/>
    <w:rsid w:val="007E6564"/>
    <w:rsid w:val="007E6F70"/>
    <w:rsid w:val="007E7123"/>
    <w:rsid w:val="007E7693"/>
    <w:rsid w:val="007E77A9"/>
    <w:rsid w:val="007E7900"/>
    <w:rsid w:val="007F06F0"/>
    <w:rsid w:val="007F0D4B"/>
    <w:rsid w:val="007F19BC"/>
    <w:rsid w:val="007F1A8F"/>
    <w:rsid w:val="007F1FD5"/>
    <w:rsid w:val="007F22EE"/>
    <w:rsid w:val="007F2C3A"/>
    <w:rsid w:val="007F321C"/>
    <w:rsid w:val="007F3310"/>
    <w:rsid w:val="007F3B18"/>
    <w:rsid w:val="007F3B42"/>
    <w:rsid w:val="007F3BD2"/>
    <w:rsid w:val="007F4EF0"/>
    <w:rsid w:val="007F53F3"/>
    <w:rsid w:val="007F59AB"/>
    <w:rsid w:val="007F64E9"/>
    <w:rsid w:val="007F6E9F"/>
    <w:rsid w:val="007F760D"/>
    <w:rsid w:val="007F7E86"/>
    <w:rsid w:val="008000AF"/>
    <w:rsid w:val="00800318"/>
    <w:rsid w:val="00800A31"/>
    <w:rsid w:val="00800B53"/>
    <w:rsid w:val="00800C65"/>
    <w:rsid w:val="0080182C"/>
    <w:rsid w:val="00801DF8"/>
    <w:rsid w:val="00801E42"/>
    <w:rsid w:val="00801F49"/>
    <w:rsid w:val="0080235D"/>
    <w:rsid w:val="008025F8"/>
    <w:rsid w:val="0080294C"/>
    <w:rsid w:val="00802C4B"/>
    <w:rsid w:val="00803C61"/>
    <w:rsid w:val="00803DB3"/>
    <w:rsid w:val="00803F4B"/>
    <w:rsid w:val="008048C9"/>
    <w:rsid w:val="008051CF"/>
    <w:rsid w:val="008052ED"/>
    <w:rsid w:val="0080587C"/>
    <w:rsid w:val="008058DE"/>
    <w:rsid w:val="00805B43"/>
    <w:rsid w:val="008060B4"/>
    <w:rsid w:val="008067A1"/>
    <w:rsid w:val="008068E0"/>
    <w:rsid w:val="0080716B"/>
    <w:rsid w:val="008071CE"/>
    <w:rsid w:val="00807649"/>
    <w:rsid w:val="00807837"/>
    <w:rsid w:val="00807D92"/>
    <w:rsid w:val="00807FE3"/>
    <w:rsid w:val="0081001F"/>
    <w:rsid w:val="008102A7"/>
    <w:rsid w:val="00810D62"/>
    <w:rsid w:val="00810FE2"/>
    <w:rsid w:val="008112FF"/>
    <w:rsid w:val="00811777"/>
    <w:rsid w:val="008129AA"/>
    <w:rsid w:val="00812A5B"/>
    <w:rsid w:val="00812B35"/>
    <w:rsid w:val="00812BD9"/>
    <w:rsid w:val="0081346B"/>
    <w:rsid w:val="008134F3"/>
    <w:rsid w:val="00813A6D"/>
    <w:rsid w:val="00814D0F"/>
    <w:rsid w:val="0081579E"/>
    <w:rsid w:val="00816175"/>
    <w:rsid w:val="00816734"/>
    <w:rsid w:val="008169C9"/>
    <w:rsid w:val="00816D0A"/>
    <w:rsid w:val="00816D1E"/>
    <w:rsid w:val="00816E79"/>
    <w:rsid w:val="008175E5"/>
    <w:rsid w:val="00817D08"/>
    <w:rsid w:val="00817E5D"/>
    <w:rsid w:val="008202FF"/>
    <w:rsid w:val="0082098E"/>
    <w:rsid w:val="0082110D"/>
    <w:rsid w:val="00821226"/>
    <w:rsid w:val="0082153A"/>
    <w:rsid w:val="00821BDF"/>
    <w:rsid w:val="00821DF0"/>
    <w:rsid w:val="00821E04"/>
    <w:rsid w:val="00822249"/>
    <w:rsid w:val="00822909"/>
    <w:rsid w:val="00822BF3"/>
    <w:rsid w:val="00822C1A"/>
    <w:rsid w:val="00822C3F"/>
    <w:rsid w:val="00822F71"/>
    <w:rsid w:val="0082335F"/>
    <w:rsid w:val="00823652"/>
    <w:rsid w:val="008244E0"/>
    <w:rsid w:val="008245F0"/>
    <w:rsid w:val="00824C1B"/>
    <w:rsid w:val="00824EAE"/>
    <w:rsid w:val="00824F69"/>
    <w:rsid w:val="008250E6"/>
    <w:rsid w:val="00825224"/>
    <w:rsid w:val="00825911"/>
    <w:rsid w:val="00825C87"/>
    <w:rsid w:val="0082638B"/>
    <w:rsid w:val="00826399"/>
    <w:rsid w:val="00827A5F"/>
    <w:rsid w:val="00827DD4"/>
    <w:rsid w:val="0083011B"/>
    <w:rsid w:val="00830287"/>
    <w:rsid w:val="008302A5"/>
    <w:rsid w:val="00830A02"/>
    <w:rsid w:val="00830A52"/>
    <w:rsid w:val="008311CF"/>
    <w:rsid w:val="00831609"/>
    <w:rsid w:val="008316A9"/>
    <w:rsid w:val="00831F3C"/>
    <w:rsid w:val="00832025"/>
    <w:rsid w:val="0083202D"/>
    <w:rsid w:val="00832314"/>
    <w:rsid w:val="008323EB"/>
    <w:rsid w:val="008328FF"/>
    <w:rsid w:val="00832E7D"/>
    <w:rsid w:val="00832EE9"/>
    <w:rsid w:val="00833381"/>
    <w:rsid w:val="008334E0"/>
    <w:rsid w:val="0083364F"/>
    <w:rsid w:val="0083376A"/>
    <w:rsid w:val="00833B00"/>
    <w:rsid w:val="00833B46"/>
    <w:rsid w:val="0083498F"/>
    <w:rsid w:val="00834BEC"/>
    <w:rsid w:val="00835069"/>
    <w:rsid w:val="00835464"/>
    <w:rsid w:val="008365C1"/>
    <w:rsid w:val="00836B5B"/>
    <w:rsid w:val="0083717B"/>
    <w:rsid w:val="008372B9"/>
    <w:rsid w:val="00837A9D"/>
    <w:rsid w:val="00837E74"/>
    <w:rsid w:val="00840156"/>
    <w:rsid w:val="00840BA5"/>
    <w:rsid w:val="00840DAF"/>
    <w:rsid w:val="00841656"/>
    <w:rsid w:val="008416E4"/>
    <w:rsid w:val="00841B55"/>
    <w:rsid w:val="00841BE9"/>
    <w:rsid w:val="00841DAF"/>
    <w:rsid w:val="00841EFC"/>
    <w:rsid w:val="00842EED"/>
    <w:rsid w:val="00842EFD"/>
    <w:rsid w:val="00843181"/>
    <w:rsid w:val="00843612"/>
    <w:rsid w:val="008441E0"/>
    <w:rsid w:val="0084492C"/>
    <w:rsid w:val="00844AC8"/>
    <w:rsid w:val="00845E4D"/>
    <w:rsid w:val="00846094"/>
    <w:rsid w:val="0084619D"/>
    <w:rsid w:val="00846428"/>
    <w:rsid w:val="00846513"/>
    <w:rsid w:val="0084706E"/>
    <w:rsid w:val="008472DA"/>
    <w:rsid w:val="008475E8"/>
    <w:rsid w:val="008477CC"/>
    <w:rsid w:val="008479B1"/>
    <w:rsid w:val="008504C6"/>
    <w:rsid w:val="00851BCD"/>
    <w:rsid w:val="00852746"/>
    <w:rsid w:val="00852B8A"/>
    <w:rsid w:val="00852EDC"/>
    <w:rsid w:val="00853037"/>
    <w:rsid w:val="008530A0"/>
    <w:rsid w:val="00853455"/>
    <w:rsid w:val="00855129"/>
    <w:rsid w:val="0085566D"/>
    <w:rsid w:val="0085642D"/>
    <w:rsid w:val="008565CC"/>
    <w:rsid w:val="008566FE"/>
    <w:rsid w:val="008573E1"/>
    <w:rsid w:val="008577B3"/>
    <w:rsid w:val="00860E2E"/>
    <w:rsid w:val="00860EAE"/>
    <w:rsid w:val="00861102"/>
    <w:rsid w:val="008613F1"/>
    <w:rsid w:val="00861C60"/>
    <w:rsid w:val="0086201F"/>
    <w:rsid w:val="00862579"/>
    <w:rsid w:val="00862A7F"/>
    <w:rsid w:val="00863258"/>
    <w:rsid w:val="00863788"/>
    <w:rsid w:val="00863CA6"/>
    <w:rsid w:val="008642D1"/>
    <w:rsid w:val="0086498E"/>
    <w:rsid w:val="00864E58"/>
    <w:rsid w:val="00864FFB"/>
    <w:rsid w:val="008661AB"/>
    <w:rsid w:val="0086640C"/>
    <w:rsid w:val="00866ACB"/>
    <w:rsid w:val="00866D3E"/>
    <w:rsid w:val="00867155"/>
    <w:rsid w:val="00867FB5"/>
    <w:rsid w:val="0087090D"/>
    <w:rsid w:val="00871D28"/>
    <w:rsid w:val="00871DB5"/>
    <w:rsid w:val="00872D05"/>
    <w:rsid w:val="0087399C"/>
    <w:rsid w:val="008740D9"/>
    <w:rsid w:val="00874130"/>
    <w:rsid w:val="00875308"/>
    <w:rsid w:val="00875A06"/>
    <w:rsid w:val="008764E9"/>
    <w:rsid w:val="00876AE7"/>
    <w:rsid w:val="00876BF2"/>
    <w:rsid w:val="00876F02"/>
    <w:rsid w:val="008771A7"/>
    <w:rsid w:val="00877B72"/>
    <w:rsid w:val="008802FA"/>
    <w:rsid w:val="008805F1"/>
    <w:rsid w:val="008806A7"/>
    <w:rsid w:val="00880B66"/>
    <w:rsid w:val="00881440"/>
    <w:rsid w:val="0088217E"/>
    <w:rsid w:val="0088266A"/>
    <w:rsid w:val="00882F89"/>
    <w:rsid w:val="0088305C"/>
    <w:rsid w:val="00883397"/>
    <w:rsid w:val="008835AE"/>
    <w:rsid w:val="008835CF"/>
    <w:rsid w:val="00883B84"/>
    <w:rsid w:val="008844B7"/>
    <w:rsid w:val="0088465C"/>
    <w:rsid w:val="00884C4A"/>
    <w:rsid w:val="008852AA"/>
    <w:rsid w:val="00885385"/>
    <w:rsid w:val="00885C88"/>
    <w:rsid w:val="008861F3"/>
    <w:rsid w:val="00886B93"/>
    <w:rsid w:val="00887144"/>
    <w:rsid w:val="008873BB"/>
    <w:rsid w:val="008873E5"/>
    <w:rsid w:val="008873F0"/>
    <w:rsid w:val="008874C2"/>
    <w:rsid w:val="00887A2A"/>
    <w:rsid w:val="00887AE7"/>
    <w:rsid w:val="00887DA1"/>
    <w:rsid w:val="0089203C"/>
    <w:rsid w:val="00892D14"/>
    <w:rsid w:val="00892F7E"/>
    <w:rsid w:val="00893AE2"/>
    <w:rsid w:val="00893C3F"/>
    <w:rsid w:val="008942D2"/>
    <w:rsid w:val="0089453E"/>
    <w:rsid w:val="0089459D"/>
    <w:rsid w:val="0089487C"/>
    <w:rsid w:val="008950A3"/>
    <w:rsid w:val="0089580D"/>
    <w:rsid w:val="00895E0C"/>
    <w:rsid w:val="008968B6"/>
    <w:rsid w:val="00896D7B"/>
    <w:rsid w:val="0089716A"/>
    <w:rsid w:val="008972AE"/>
    <w:rsid w:val="008972F1"/>
    <w:rsid w:val="0089732F"/>
    <w:rsid w:val="008973D1"/>
    <w:rsid w:val="008976F5"/>
    <w:rsid w:val="00897757"/>
    <w:rsid w:val="008978E5"/>
    <w:rsid w:val="008A034B"/>
    <w:rsid w:val="008A0675"/>
    <w:rsid w:val="008A087D"/>
    <w:rsid w:val="008A096D"/>
    <w:rsid w:val="008A12BE"/>
    <w:rsid w:val="008A138E"/>
    <w:rsid w:val="008A1812"/>
    <w:rsid w:val="008A1BB2"/>
    <w:rsid w:val="008A1D77"/>
    <w:rsid w:val="008A1DCB"/>
    <w:rsid w:val="008A23E0"/>
    <w:rsid w:val="008A2443"/>
    <w:rsid w:val="008A25B3"/>
    <w:rsid w:val="008A2712"/>
    <w:rsid w:val="008A295C"/>
    <w:rsid w:val="008A2A72"/>
    <w:rsid w:val="008A2AD0"/>
    <w:rsid w:val="008A3A07"/>
    <w:rsid w:val="008A3BB3"/>
    <w:rsid w:val="008A3EE1"/>
    <w:rsid w:val="008A467B"/>
    <w:rsid w:val="008A4A85"/>
    <w:rsid w:val="008A520F"/>
    <w:rsid w:val="008A529F"/>
    <w:rsid w:val="008A53AC"/>
    <w:rsid w:val="008A5437"/>
    <w:rsid w:val="008A56EA"/>
    <w:rsid w:val="008A5877"/>
    <w:rsid w:val="008A5A53"/>
    <w:rsid w:val="008A5D65"/>
    <w:rsid w:val="008A5EFE"/>
    <w:rsid w:val="008A5FC1"/>
    <w:rsid w:val="008A60BB"/>
    <w:rsid w:val="008A624D"/>
    <w:rsid w:val="008A7D02"/>
    <w:rsid w:val="008A7E2E"/>
    <w:rsid w:val="008A7FE2"/>
    <w:rsid w:val="008B01EA"/>
    <w:rsid w:val="008B0DE3"/>
    <w:rsid w:val="008B0F57"/>
    <w:rsid w:val="008B122D"/>
    <w:rsid w:val="008B1662"/>
    <w:rsid w:val="008B1804"/>
    <w:rsid w:val="008B2107"/>
    <w:rsid w:val="008B2374"/>
    <w:rsid w:val="008B23C6"/>
    <w:rsid w:val="008B2554"/>
    <w:rsid w:val="008B29A6"/>
    <w:rsid w:val="008B3327"/>
    <w:rsid w:val="008B3763"/>
    <w:rsid w:val="008B442F"/>
    <w:rsid w:val="008B4453"/>
    <w:rsid w:val="008B4BC7"/>
    <w:rsid w:val="008B4EE9"/>
    <w:rsid w:val="008B5421"/>
    <w:rsid w:val="008B5644"/>
    <w:rsid w:val="008B5C64"/>
    <w:rsid w:val="008B5EE9"/>
    <w:rsid w:val="008B6550"/>
    <w:rsid w:val="008B69C7"/>
    <w:rsid w:val="008B6BBC"/>
    <w:rsid w:val="008B6DA2"/>
    <w:rsid w:val="008B6FCD"/>
    <w:rsid w:val="008B7B63"/>
    <w:rsid w:val="008B7BB2"/>
    <w:rsid w:val="008B7EA6"/>
    <w:rsid w:val="008C0026"/>
    <w:rsid w:val="008C01AC"/>
    <w:rsid w:val="008C03DE"/>
    <w:rsid w:val="008C0FB1"/>
    <w:rsid w:val="008C1274"/>
    <w:rsid w:val="008C14B3"/>
    <w:rsid w:val="008C1A4E"/>
    <w:rsid w:val="008C20D3"/>
    <w:rsid w:val="008C30AD"/>
    <w:rsid w:val="008C3CFC"/>
    <w:rsid w:val="008C3D42"/>
    <w:rsid w:val="008C4E52"/>
    <w:rsid w:val="008C50B6"/>
    <w:rsid w:val="008C530B"/>
    <w:rsid w:val="008C5646"/>
    <w:rsid w:val="008C590A"/>
    <w:rsid w:val="008C5C9E"/>
    <w:rsid w:val="008C5FF2"/>
    <w:rsid w:val="008C61B9"/>
    <w:rsid w:val="008C655C"/>
    <w:rsid w:val="008C65CF"/>
    <w:rsid w:val="008C6694"/>
    <w:rsid w:val="008C6E6C"/>
    <w:rsid w:val="008C7379"/>
    <w:rsid w:val="008C76F6"/>
    <w:rsid w:val="008C79DD"/>
    <w:rsid w:val="008D13CB"/>
    <w:rsid w:val="008D22D8"/>
    <w:rsid w:val="008D273A"/>
    <w:rsid w:val="008D2830"/>
    <w:rsid w:val="008D2DB7"/>
    <w:rsid w:val="008D2F94"/>
    <w:rsid w:val="008D373C"/>
    <w:rsid w:val="008D390B"/>
    <w:rsid w:val="008D3A7A"/>
    <w:rsid w:val="008D3B90"/>
    <w:rsid w:val="008D3EC6"/>
    <w:rsid w:val="008D4888"/>
    <w:rsid w:val="008D5198"/>
    <w:rsid w:val="008D61D8"/>
    <w:rsid w:val="008D621D"/>
    <w:rsid w:val="008D62BD"/>
    <w:rsid w:val="008D6EED"/>
    <w:rsid w:val="008D7A3E"/>
    <w:rsid w:val="008D7B98"/>
    <w:rsid w:val="008E025B"/>
    <w:rsid w:val="008E056D"/>
    <w:rsid w:val="008E0803"/>
    <w:rsid w:val="008E1C6B"/>
    <w:rsid w:val="008E21A9"/>
    <w:rsid w:val="008E22C5"/>
    <w:rsid w:val="008E260A"/>
    <w:rsid w:val="008E2AFC"/>
    <w:rsid w:val="008E2D7A"/>
    <w:rsid w:val="008E2E13"/>
    <w:rsid w:val="008E30DC"/>
    <w:rsid w:val="008E3388"/>
    <w:rsid w:val="008E3A2D"/>
    <w:rsid w:val="008E3B6D"/>
    <w:rsid w:val="008E40F1"/>
    <w:rsid w:val="008E55A2"/>
    <w:rsid w:val="008E57A3"/>
    <w:rsid w:val="008E5A07"/>
    <w:rsid w:val="008E5B43"/>
    <w:rsid w:val="008E5E94"/>
    <w:rsid w:val="008E5F85"/>
    <w:rsid w:val="008E5FD2"/>
    <w:rsid w:val="008E6172"/>
    <w:rsid w:val="008E617E"/>
    <w:rsid w:val="008E6497"/>
    <w:rsid w:val="008E64F5"/>
    <w:rsid w:val="008E6560"/>
    <w:rsid w:val="008E7AEF"/>
    <w:rsid w:val="008E7C6C"/>
    <w:rsid w:val="008F02B1"/>
    <w:rsid w:val="008F0AC0"/>
    <w:rsid w:val="008F0E83"/>
    <w:rsid w:val="008F16DC"/>
    <w:rsid w:val="008F2B88"/>
    <w:rsid w:val="008F2DE2"/>
    <w:rsid w:val="008F388B"/>
    <w:rsid w:val="008F3BE6"/>
    <w:rsid w:val="008F3D1E"/>
    <w:rsid w:val="008F3E46"/>
    <w:rsid w:val="008F3E92"/>
    <w:rsid w:val="008F407F"/>
    <w:rsid w:val="008F4331"/>
    <w:rsid w:val="008F55D4"/>
    <w:rsid w:val="008F588C"/>
    <w:rsid w:val="008F65B3"/>
    <w:rsid w:val="008F66D7"/>
    <w:rsid w:val="008F73ED"/>
    <w:rsid w:val="008F7472"/>
    <w:rsid w:val="008F7D7A"/>
    <w:rsid w:val="008F7FC6"/>
    <w:rsid w:val="00900544"/>
    <w:rsid w:val="009008E5"/>
    <w:rsid w:val="00901461"/>
    <w:rsid w:val="00901496"/>
    <w:rsid w:val="009018F8"/>
    <w:rsid w:val="0090201E"/>
    <w:rsid w:val="009023C4"/>
    <w:rsid w:val="009026CC"/>
    <w:rsid w:val="00903218"/>
    <w:rsid w:val="00903395"/>
    <w:rsid w:val="009034D2"/>
    <w:rsid w:val="009039A0"/>
    <w:rsid w:val="00903D51"/>
    <w:rsid w:val="00903FDE"/>
    <w:rsid w:val="00904381"/>
    <w:rsid w:val="00904855"/>
    <w:rsid w:val="00905120"/>
    <w:rsid w:val="00905244"/>
    <w:rsid w:val="009069F4"/>
    <w:rsid w:val="00906C65"/>
    <w:rsid w:val="00906D93"/>
    <w:rsid w:val="00906F53"/>
    <w:rsid w:val="0090709E"/>
    <w:rsid w:val="00907DD1"/>
    <w:rsid w:val="00907E67"/>
    <w:rsid w:val="009109C5"/>
    <w:rsid w:val="0091151E"/>
    <w:rsid w:val="0091154A"/>
    <w:rsid w:val="009125EE"/>
    <w:rsid w:val="00912D8F"/>
    <w:rsid w:val="00912E8C"/>
    <w:rsid w:val="009131B9"/>
    <w:rsid w:val="00913D58"/>
    <w:rsid w:val="00914050"/>
    <w:rsid w:val="00914B1C"/>
    <w:rsid w:val="0091520E"/>
    <w:rsid w:val="009161CA"/>
    <w:rsid w:val="009162BD"/>
    <w:rsid w:val="00916A34"/>
    <w:rsid w:val="00916C2D"/>
    <w:rsid w:val="009174AF"/>
    <w:rsid w:val="00917503"/>
    <w:rsid w:val="009203A0"/>
    <w:rsid w:val="009203FC"/>
    <w:rsid w:val="00920869"/>
    <w:rsid w:val="0092106A"/>
    <w:rsid w:val="00921EAE"/>
    <w:rsid w:val="00922B66"/>
    <w:rsid w:val="00922BB4"/>
    <w:rsid w:val="00922C33"/>
    <w:rsid w:val="0092310B"/>
    <w:rsid w:val="0092329A"/>
    <w:rsid w:val="00923BA2"/>
    <w:rsid w:val="00923C9B"/>
    <w:rsid w:val="00924519"/>
    <w:rsid w:val="00924595"/>
    <w:rsid w:val="00924C80"/>
    <w:rsid w:val="00924F82"/>
    <w:rsid w:val="009254A5"/>
    <w:rsid w:val="00925592"/>
    <w:rsid w:val="00925670"/>
    <w:rsid w:val="00925A30"/>
    <w:rsid w:val="00927039"/>
    <w:rsid w:val="009270A8"/>
    <w:rsid w:val="009272E9"/>
    <w:rsid w:val="00927743"/>
    <w:rsid w:val="00927C3D"/>
    <w:rsid w:val="00930519"/>
    <w:rsid w:val="00930A14"/>
    <w:rsid w:val="00930C2D"/>
    <w:rsid w:val="0093248C"/>
    <w:rsid w:val="00932636"/>
    <w:rsid w:val="00932FC6"/>
    <w:rsid w:val="0093319F"/>
    <w:rsid w:val="00933F87"/>
    <w:rsid w:val="00934C4C"/>
    <w:rsid w:val="00934D67"/>
    <w:rsid w:val="0093511D"/>
    <w:rsid w:val="0093560E"/>
    <w:rsid w:val="009357F8"/>
    <w:rsid w:val="0093593F"/>
    <w:rsid w:val="00936830"/>
    <w:rsid w:val="00936ACE"/>
    <w:rsid w:val="0093721C"/>
    <w:rsid w:val="009372E6"/>
    <w:rsid w:val="0093746E"/>
    <w:rsid w:val="00937AC1"/>
    <w:rsid w:val="00937DA4"/>
    <w:rsid w:val="00937FFB"/>
    <w:rsid w:val="00940763"/>
    <w:rsid w:val="00940961"/>
    <w:rsid w:val="00940ABA"/>
    <w:rsid w:val="00940C2A"/>
    <w:rsid w:val="009415F2"/>
    <w:rsid w:val="009419F7"/>
    <w:rsid w:val="00941B82"/>
    <w:rsid w:val="00941FB8"/>
    <w:rsid w:val="009423F6"/>
    <w:rsid w:val="00942645"/>
    <w:rsid w:val="009427BE"/>
    <w:rsid w:val="00942AAA"/>
    <w:rsid w:val="00942B34"/>
    <w:rsid w:val="00942FBB"/>
    <w:rsid w:val="009431FB"/>
    <w:rsid w:val="00943328"/>
    <w:rsid w:val="00943456"/>
    <w:rsid w:val="009434F3"/>
    <w:rsid w:val="00943B69"/>
    <w:rsid w:val="00943C39"/>
    <w:rsid w:val="00943D0E"/>
    <w:rsid w:val="00943D83"/>
    <w:rsid w:val="009448E4"/>
    <w:rsid w:val="00944D32"/>
    <w:rsid w:val="00945AD0"/>
    <w:rsid w:val="00945AD1"/>
    <w:rsid w:val="00945C9C"/>
    <w:rsid w:val="0094624B"/>
    <w:rsid w:val="009471A6"/>
    <w:rsid w:val="009472A7"/>
    <w:rsid w:val="009476E6"/>
    <w:rsid w:val="00947942"/>
    <w:rsid w:val="00947E84"/>
    <w:rsid w:val="00950C29"/>
    <w:rsid w:val="00951862"/>
    <w:rsid w:val="00951939"/>
    <w:rsid w:val="009522BC"/>
    <w:rsid w:val="00952374"/>
    <w:rsid w:val="0095273D"/>
    <w:rsid w:val="0095299E"/>
    <w:rsid w:val="00952D6C"/>
    <w:rsid w:val="00952DA4"/>
    <w:rsid w:val="009536B1"/>
    <w:rsid w:val="009538C2"/>
    <w:rsid w:val="00953B6B"/>
    <w:rsid w:val="0095405A"/>
    <w:rsid w:val="00954697"/>
    <w:rsid w:val="00955118"/>
    <w:rsid w:val="00955CFF"/>
    <w:rsid w:val="0095620D"/>
    <w:rsid w:val="00956B2A"/>
    <w:rsid w:val="00956CC5"/>
    <w:rsid w:val="009571E6"/>
    <w:rsid w:val="009572BE"/>
    <w:rsid w:val="009572F0"/>
    <w:rsid w:val="00957898"/>
    <w:rsid w:val="00957C64"/>
    <w:rsid w:val="00957F20"/>
    <w:rsid w:val="0096062D"/>
    <w:rsid w:val="00960722"/>
    <w:rsid w:val="00960931"/>
    <w:rsid w:val="00960E83"/>
    <w:rsid w:val="009613CB"/>
    <w:rsid w:val="00961A04"/>
    <w:rsid w:val="00961E9B"/>
    <w:rsid w:val="0096202F"/>
    <w:rsid w:val="0096282A"/>
    <w:rsid w:val="00963008"/>
    <w:rsid w:val="00963B16"/>
    <w:rsid w:val="00964B08"/>
    <w:rsid w:val="00964DE0"/>
    <w:rsid w:val="00966314"/>
    <w:rsid w:val="0097116C"/>
    <w:rsid w:val="00971822"/>
    <w:rsid w:val="009718E0"/>
    <w:rsid w:val="00971953"/>
    <w:rsid w:val="00971B76"/>
    <w:rsid w:val="00971DAB"/>
    <w:rsid w:val="00972036"/>
    <w:rsid w:val="00972733"/>
    <w:rsid w:val="00972CF5"/>
    <w:rsid w:val="00972D81"/>
    <w:rsid w:val="00972EBF"/>
    <w:rsid w:val="0097369B"/>
    <w:rsid w:val="00973E3C"/>
    <w:rsid w:val="0097435E"/>
    <w:rsid w:val="00974C2B"/>
    <w:rsid w:val="00975205"/>
    <w:rsid w:val="009752E9"/>
    <w:rsid w:val="0097564A"/>
    <w:rsid w:val="00975693"/>
    <w:rsid w:val="00975814"/>
    <w:rsid w:val="0097611A"/>
    <w:rsid w:val="009768DC"/>
    <w:rsid w:val="0097768E"/>
    <w:rsid w:val="009776D2"/>
    <w:rsid w:val="0097785C"/>
    <w:rsid w:val="0098054A"/>
    <w:rsid w:val="00981513"/>
    <w:rsid w:val="00981EA3"/>
    <w:rsid w:val="00982271"/>
    <w:rsid w:val="009828E3"/>
    <w:rsid w:val="009828E7"/>
    <w:rsid w:val="00982A81"/>
    <w:rsid w:val="009839D4"/>
    <w:rsid w:val="009839E7"/>
    <w:rsid w:val="00983D70"/>
    <w:rsid w:val="00983F62"/>
    <w:rsid w:val="0098477D"/>
    <w:rsid w:val="00984963"/>
    <w:rsid w:val="00984B1C"/>
    <w:rsid w:val="00984E04"/>
    <w:rsid w:val="00984F5E"/>
    <w:rsid w:val="009853A1"/>
    <w:rsid w:val="00985975"/>
    <w:rsid w:val="00985B6A"/>
    <w:rsid w:val="00985EA7"/>
    <w:rsid w:val="00986872"/>
    <w:rsid w:val="00986975"/>
    <w:rsid w:val="00987960"/>
    <w:rsid w:val="00987E11"/>
    <w:rsid w:val="00987FE8"/>
    <w:rsid w:val="00987FEA"/>
    <w:rsid w:val="00990914"/>
    <w:rsid w:val="00990998"/>
    <w:rsid w:val="00990B0D"/>
    <w:rsid w:val="00991E97"/>
    <w:rsid w:val="009921B9"/>
    <w:rsid w:val="009927D4"/>
    <w:rsid w:val="00992CEB"/>
    <w:rsid w:val="00993712"/>
    <w:rsid w:val="00994029"/>
    <w:rsid w:val="00994BB0"/>
    <w:rsid w:val="00994F95"/>
    <w:rsid w:val="00995419"/>
    <w:rsid w:val="009954FB"/>
    <w:rsid w:val="00995C95"/>
    <w:rsid w:val="00996071"/>
    <w:rsid w:val="0099689F"/>
    <w:rsid w:val="009975FC"/>
    <w:rsid w:val="00997B8D"/>
    <w:rsid w:val="009A0410"/>
    <w:rsid w:val="009A0520"/>
    <w:rsid w:val="009A0BBC"/>
    <w:rsid w:val="009A13AA"/>
    <w:rsid w:val="009A1982"/>
    <w:rsid w:val="009A1D75"/>
    <w:rsid w:val="009A233E"/>
    <w:rsid w:val="009A27F2"/>
    <w:rsid w:val="009A2DB3"/>
    <w:rsid w:val="009A3716"/>
    <w:rsid w:val="009A390D"/>
    <w:rsid w:val="009A3E41"/>
    <w:rsid w:val="009A4910"/>
    <w:rsid w:val="009A4BA7"/>
    <w:rsid w:val="009A59D6"/>
    <w:rsid w:val="009A6484"/>
    <w:rsid w:val="009A6DDA"/>
    <w:rsid w:val="009A7405"/>
    <w:rsid w:val="009B11A5"/>
    <w:rsid w:val="009B1266"/>
    <w:rsid w:val="009B1272"/>
    <w:rsid w:val="009B1568"/>
    <w:rsid w:val="009B17D3"/>
    <w:rsid w:val="009B18E8"/>
    <w:rsid w:val="009B1D58"/>
    <w:rsid w:val="009B2223"/>
    <w:rsid w:val="009B25AF"/>
    <w:rsid w:val="009B27A3"/>
    <w:rsid w:val="009B2AFB"/>
    <w:rsid w:val="009B2ED3"/>
    <w:rsid w:val="009B3492"/>
    <w:rsid w:val="009B3508"/>
    <w:rsid w:val="009B3CC2"/>
    <w:rsid w:val="009B449F"/>
    <w:rsid w:val="009B45AB"/>
    <w:rsid w:val="009B4845"/>
    <w:rsid w:val="009B59F9"/>
    <w:rsid w:val="009B6754"/>
    <w:rsid w:val="009B6796"/>
    <w:rsid w:val="009B6B92"/>
    <w:rsid w:val="009B6FBC"/>
    <w:rsid w:val="009B7820"/>
    <w:rsid w:val="009C031B"/>
    <w:rsid w:val="009C061F"/>
    <w:rsid w:val="009C06E7"/>
    <w:rsid w:val="009C0820"/>
    <w:rsid w:val="009C0FD6"/>
    <w:rsid w:val="009C16C1"/>
    <w:rsid w:val="009C17EB"/>
    <w:rsid w:val="009C1C95"/>
    <w:rsid w:val="009C2076"/>
    <w:rsid w:val="009C2973"/>
    <w:rsid w:val="009C29BC"/>
    <w:rsid w:val="009C2C2C"/>
    <w:rsid w:val="009C2CCA"/>
    <w:rsid w:val="009C3165"/>
    <w:rsid w:val="009C493C"/>
    <w:rsid w:val="009C4FCE"/>
    <w:rsid w:val="009C53C8"/>
    <w:rsid w:val="009C54CD"/>
    <w:rsid w:val="009C5671"/>
    <w:rsid w:val="009C5A08"/>
    <w:rsid w:val="009C5DA9"/>
    <w:rsid w:val="009C5E6B"/>
    <w:rsid w:val="009C6590"/>
    <w:rsid w:val="009C74C2"/>
    <w:rsid w:val="009C75C1"/>
    <w:rsid w:val="009C7781"/>
    <w:rsid w:val="009C7F27"/>
    <w:rsid w:val="009D0076"/>
    <w:rsid w:val="009D015C"/>
    <w:rsid w:val="009D0200"/>
    <w:rsid w:val="009D0815"/>
    <w:rsid w:val="009D0B6B"/>
    <w:rsid w:val="009D1828"/>
    <w:rsid w:val="009D1B78"/>
    <w:rsid w:val="009D1F87"/>
    <w:rsid w:val="009D2631"/>
    <w:rsid w:val="009D2AA2"/>
    <w:rsid w:val="009D2C5D"/>
    <w:rsid w:val="009D44BB"/>
    <w:rsid w:val="009D4B93"/>
    <w:rsid w:val="009D4F2C"/>
    <w:rsid w:val="009D4FC5"/>
    <w:rsid w:val="009D4FDF"/>
    <w:rsid w:val="009D54AE"/>
    <w:rsid w:val="009D5AFA"/>
    <w:rsid w:val="009D60B5"/>
    <w:rsid w:val="009D6E12"/>
    <w:rsid w:val="009D6E9C"/>
    <w:rsid w:val="009D75E3"/>
    <w:rsid w:val="009D7EB8"/>
    <w:rsid w:val="009D7FE7"/>
    <w:rsid w:val="009E08AE"/>
    <w:rsid w:val="009E09E3"/>
    <w:rsid w:val="009E131D"/>
    <w:rsid w:val="009E14F9"/>
    <w:rsid w:val="009E19C0"/>
    <w:rsid w:val="009E1A91"/>
    <w:rsid w:val="009E2279"/>
    <w:rsid w:val="009E27C1"/>
    <w:rsid w:val="009E398A"/>
    <w:rsid w:val="009E3D14"/>
    <w:rsid w:val="009E3E93"/>
    <w:rsid w:val="009E41A9"/>
    <w:rsid w:val="009E4C61"/>
    <w:rsid w:val="009E4CB4"/>
    <w:rsid w:val="009E521E"/>
    <w:rsid w:val="009E5A2E"/>
    <w:rsid w:val="009E5CB8"/>
    <w:rsid w:val="009E60DA"/>
    <w:rsid w:val="009E63FA"/>
    <w:rsid w:val="009E657E"/>
    <w:rsid w:val="009E6612"/>
    <w:rsid w:val="009E6980"/>
    <w:rsid w:val="009E6A5E"/>
    <w:rsid w:val="009E6A74"/>
    <w:rsid w:val="009E6E71"/>
    <w:rsid w:val="009E7D35"/>
    <w:rsid w:val="009E7E72"/>
    <w:rsid w:val="009E7E8D"/>
    <w:rsid w:val="009F01DE"/>
    <w:rsid w:val="009F0435"/>
    <w:rsid w:val="009F11F0"/>
    <w:rsid w:val="009F1E07"/>
    <w:rsid w:val="009F1F32"/>
    <w:rsid w:val="009F31FA"/>
    <w:rsid w:val="009F338E"/>
    <w:rsid w:val="009F34A4"/>
    <w:rsid w:val="009F360C"/>
    <w:rsid w:val="009F3619"/>
    <w:rsid w:val="009F4762"/>
    <w:rsid w:val="009F4A73"/>
    <w:rsid w:val="009F58D7"/>
    <w:rsid w:val="009F5D79"/>
    <w:rsid w:val="009F5DB3"/>
    <w:rsid w:val="009F5F5E"/>
    <w:rsid w:val="009F7174"/>
    <w:rsid w:val="009F7C97"/>
    <w:rsid w:val="009F7D5E"/>
    <w:rsid w:val="009F7F37"/>
    <w:rsid w:val="00A00468"/>
    <w:rsid w:val="00A00A25"/>
    <w:rsid w:val="00A00BC7"/>
    <w:rsid w:val="00A01A7F"/>
    <w:rsid w:val="00A02837"/>
    <w:rsid w:val="00A02BF3"/>
    <w:rsid w:val="00A02C32"/>
    <w:rsid w:val="00A03134"/>
    <w:rsid w:val="00A03985"/>
    <w:rsid w:val="00A04155"/>
    <w:rsid w:val="00A05190"/>
    <w:rsid w:val="00A053C4"/>
    <w:rsid w:val="00A0568F"/>
    <w:rsid w:val="00A05F76"/>
    <w:rsid w:val="00A06054"/>
    <w:rsid w:val="00A0626E"/>
    <w:rsid w:val="00A065CB"/>
    <w:rsid w:val="00A069DA"/>
    <w:rsid w:val="00A06D88"/>
    <w:rsid w:val="00A06E95"/>
    <w:rsid w:val="00A070A3"/>
    <w:rsid w:val="00A07863"/>
    <w:rsid w:val="00A07AF7"/>
    <w:rsid w:val="00A07B3E"/>
    <w:rsid w:val="00A106FD"/>
    <w:rsid w:val="00A10F74"/>
    <w:rsid w:val="00A1109C"/>
    <w:rsid w:val="00A11204"/>
    <w:rsid w:val="00A11859"/>
    <w:rsid w:val="00A11A46"/>
    <w:rsid w:val="00A11D98"/>
    <w:rsid w:val="00A12099"/>
    <w:rsid w:val="00A12556"/>
    <w:rsid w:val="00A12C65"/>
    <w:rsid w:val="00A13319"/>
    <w:rsid w:val="00A1350C"/>
    <w:rsid w:val="00A13EE9"/>
    <w:rsid w:val="00A1441D"/>
    <w:rsid w:val="00A145D9"/>
    <w:rsid w:val="00A15454"/>
    <w:rsid w:val="00A15818"/>
    <w:rsid w:val="00A16091"/>
    <w:rsid w:val="00A16C13"/>
    <w:rsid w:val="00A17037"/>
    <w:rsid w:val="00A17A65"/>
    <w:rsid w:val="00A202A4"/>
    <w:rsid w:val="00A20485"/>
    <w:rsid w:val="00A2073E"/>
    <w:rsid w:val="00A214BE"/>
    <w:rsid w:val="00A218D0"/>
    <w:rsid w:val="00A2195C"/>
    <w:rsid w:val="00A222DF"/>
    <w:rsid w:val="00A227F0"/>
    <w:rsid w:val="00A234B5"/>
    <w:rsid w:val="00A2401B"/>
    <w:rsid w:val="00A24166"/>
    <w:rsid w:val="00A24723"/>
    <w:rsid w:val="00A24A1B"/>
    <w:rsid w:val="00A25795"/>
    <w:rsid w:val="00A258DC"/>
    <w:rsid w:val="00A30348"/>
    <w:rsid w:val="00A3042D"/>
    <w:rsid w:val="00A30943"/>
    <w:rsid w:val="00A30C7A"/>
    <w:rsid w:val="00A30F38"/>
    <w:rsid w:val="00A315C0"/>
    <w:rsid w:val="00A31C57"/>
    <w:rsid w:val="00A31D7C"/>
    <w:rsid w:val="00A324C1"/>
    <w:rsid w:val="00A324FD"/>
    <w:rsid w:val="00A32634"/>
    <w:rsid w:val="00A32825"/>
    <w:rsid w:val="00A32C37"/>
    <w:rsid w:val="00A33353"/>
    <w:rsid w:val="00A33A89"/>
    <w:rsid w:val="00A33E91"/>
    <w:rsid w:val="00A3467F"/>
    <w:rsid w:val="00A3470B"/>
    <w:rsid w:val="00A3573A"/>
    <w:rsid w:val="00A3584A"/>
    <w:rsid w:val="00A35A3F"/>
    <w:rsid w:val="00A36E18"/>
    <w:rsid w:val="00A3712F"/>
    <w:rsid w:val="00A3740F"/>
    <w:rsid w:val="00A378DA"/>
    <w:rsid w:val="00A37A6E"/>
    <w:rsid w:val="00A37E92"/>
    <w:rsid w:val="00A40230"/>
    <w:rsid w:val="00A40344"/>
    <w:rsid w:val="00A410B0"/>
    <w:rsid w:val="00A41101"/>
    <w:rsid w:val="00A413DA"/>
    <w:rsid w:val="00A41892"/>
    <w:rsid w:val="00A4256E"/>
    <w:rsid w:val="00A431E8"/>
    <w:rsid w:val="00A439FE"/>
    <w:rsid w:val="00A4479D"/>
    <w:rsid w:val="00A4529E"/>
    <w:rsid w:val="00A45BC9"/>
    <w:rsid w:val="00A46B66"/>
    <w:rsid w:val="00A474DA"/>
    <w:rsid w:val="00A47DE9"/>
    <w:rsid w:val="00A50767"/>
    <w:rsid w:val="00A51F1B"/>
    <w:rsid w:val="00A52050"/>
    <w:rsid w:val="00A53543"/>
    <w:rsid w:val="00A5391D"/>
    <w:rsid w:val="00A53D40"/>
    <w:rsid w:val="00A54A8B"/>
    <w:rsid w:val="00A54BF3"/>
    <w:rsid w:val="00A56E86"/>
    <w:rsid w:val="00A573D2"/>
    <w:rsid w:val="00A5783B"/>
    <w:rsid w:val="00A57F42"/>
    <w:rsid w:val="00A57F50"/>
    <w:rsid w:val="00A604D5"/>
    <w:rsid w:val="00A60B35"/>
    <w:rsid w:val="00A614DE"/>
    <w:rsid w:val="00A61877"/>
    <w:rsid w:val="00A620CB"/>
    <w:rsid w:val="00A6295F"/>
    <w:rsid w:val="00A63244"/>
    <w:rsid w:val="00A63344"/>
    <w:rsid w:val="00A63D06"/>
    <w:rsid w:val="00A63FD6"/>
    <w:rsid w:val="00A6449D"/>
    <w:rsid w:val="00A64A4D"/>
    <w:rsid w:val="00A651E2"/>
    <w:rsid w:val="00A65346"/>
    <w:rsid w:val="00A65D0B"/>
    <w:rsid w:val="00A66019"/>
    <w:rsid w:val="00A66833"/>
    <w:rsid w:val="00A66B80"/>
    <w:rsid w:val="00A66FAA"/>
    <w:rsid w:val="00A670D8"/>
    <w:rsid w:val="00A6754C"/>
    <w:rsid w:val="00A67D9C"/>
    <w:rsid w:val="00A700EF"/>
    <w:rsid w:val="00A70416"/>
    <w:rsid w:val="00A7157D"/>
    <w:rsid w:val="00A717DC"/>
    <w:rsid w:val="00A7210E"/>
    <w:rsid w:val="00A725E0"/>
    <w:rsid w:val="00A72AED"/>
    <w:rsid w:val="00A73104"/>
    <w:rsid w:val="00A73138"/>
    <w:rsid w:val="00A73E33"/>
    <w:rsid w:val="00A74140"/>
    <w:rsid w:val="00A74253"/>
    <w:rsid w:val="00A74311"/>
    <w:rsid w:val="00A7481F"/>
    <w:rsid w:val="00A749C4"/>
    <w:rsid w:val="00A75A3A"/>
    <w:rsid w:val="00A75B00"/>
    <w:rsid w:val="00A75DA4"/>
    <w:rsid w:val="00A762F5"/>
    <w:rsid w:val="00A7658A"/>
    <w:rsid w:val="00A76844"/>
    <w:rsid w:val="00A773BF"/>
    <w:rsid w:val="00A778F0"/>
    <w:rsid w:val="00A80008"/>
    <w:rsid w:val="00A80063"/>
    <w:rsid w:val="00A800B8"/>
    <w:rsid w:val="00A806FB"/>
    <w:rsid w:val="00A80AEF"/>
    <w:rsid w:val="00A80D0D"/>
    <w:rsid w:val="00A81369"/>
    <w:rsid w:val="00A81B3E"/>
    <w:rsid w:val="00A8214E"/>
    <w:rsid w:val="00A822AB"/>
    <w:rsid w:val="00A82876"/>
    <w:rsid w:val="00A82A3C"/>
    <w:rsid w:val="00A82FD0"/>
    <w:rsid w:val="00A8324B"/>
    <w:rsid w:val="00A83AE1"/>
    <w:rsid w:val="00A8418E"/>
    <w:rsid w:val="00A84245"/>
    <w:rsid w:val="00A843CE"/>
    <w:rsid w:val="00A843D1"/>
    <w:rsid w:val="00A8448E"/>
    <w:rsid w:val="00A84A06"/>
    <w:rsid w:val="00A85526"/>
    <w:rsid w:val="00A85BE7"/>
    <w:rsid w:val="00A8668D"/>
    <w:rsid w:val="00A8694A"/>
    <w:rsid w:val="00A869C4"/>
    <w:rsid w:val="00A86A59"/>
    <w:rsid w:val="00A86EFB"/>
    <w:rsid w:val="00A87639"/>
    <w:rsid w:val="00A877B4"/>
    <w:rsid w:val="00A90333"/>
    <w:rsid w:val="00A90B0D"/>
    <w:rsid w:val="00A910C9"/>
    <w:rsid w:val="00A92164"/>
    <w:rsid w:val="00A929AA"/>
    <w:rsid w:val="00A92B74"/>
    <w:rsid w:val="00A92B8B"/>
    <w:rsid w:val="00A9428B"/>
    <w:rsid w:val="00A952BA"/>
    <w:rsid w:val="00A953F2"/>
    <w:rsid w:val="00A95478"/>
    <w:rsid w:val="00A9576E"/>
    <w:rsid w:val="00A964B9"/>
    <w:rsid w:val="00A96503"/>
    <w:rsid w:val="00A96542"/>
    <w:rsid w:val="00A97016"/>
    <w:rsid w:val="00A9705E"/>
    <w:rsid w:val="00A973AB"/>
    <w:rsid w:val="00A97B05"/>
    <w:rsid w:val="00AA046D"/>
    <w:rsid w:val="00AA0A89"/>
    <w:rsid w:val="00AA21B4"/>
    <w:rsid w:val="00AA26F5"/>
    <w:rsid w:val="00AA291B"/>
    <w:rsid w:val="00AA347D"/>
    <w:rsid w:val="00AA3CD6"/>
    <w:rsid w:val="00AA425A"/>
    <w:rsid w:val="00AA4699"/>
    <w:rsid w:val="00AA57B0"/>
    <w:rsid w:val="00AA59F5"/>
    <w:rsid w:val="00AA5E98"/>
    <w:rsid w:val="00AA64D3"/>
    <w:rsid w:val="00AA6F48"/>
    <w:rsid w:val="00AA7036"/>
    <w:rsid w:val="00AA7279"/>
    <w:rsid w:val="00AA757A"/>
    <w:rsid w:val="00AA760A"/>
    <w:rsid w:val="00AA7B3E"/>
    <w:rsid w:val="00AA7BF0"/>
    <w:rsid w:val="00AB0680"/>
    <w:rsid w:val="00AB089A"/>
    <w:rsid w:val="00AB0AB9"/>
    <w:rsid w:val="00AB0B2A"/>
    <w:rsid w:val="00AB1120"/>
    <w:rsid w:val="00AB1691"/>
    <w:rsid w:val="00AB1B66"/>
    <w:rsid w:val="00AB1FD7"/>
    <w:rsid w:val="00AB2629"/>
    <w:rsid w:val="00AB38A6"/>
    <w:rsid w:val="00AB401D"/>
    <w:rsid w:val="00AB45D5"/>
    <w:rsid w:val="00AB4648"/>
    <w:rsid w:val="00AB46C2"/>
    <w:rsid w:val="00AB4835"/>
    <w:rsid w:val="00AB4A50"/>
    <w:rsid w:val="00AB4CE6"/>
    <w:rsid w:val="00AB5375"/>
    <w:rsid w:val="00AB5777"/>
    <w:rsid w:val="00AB6292"/>
    <w:rsid w:val="00AB6395"/>
    <w:rsid w:val="00AB6527"/>
    <w:rsid w:val="00AB7A14"/>
    <w:rsid w:val="00AB7AD1"/>
    <w:rsid w:val="00AB7C31"/>
    <w:rsid w:val="00AC0468"/>
    <w:rsid w:val="00AC049A"/>
    <w:rsid w:val="00AC0D5F"/>
    <w:rsid w:val="00AC1070"/>
    <w:rsid w:val="00AC276F"/>
    <w:rsid w:val="00AC29A2"/>
    <w:rsid w:val="00AC2C4A"/>
    <w:rsid w:val="00AC30E0"/>
    <w:rsid w:val="00AC376F"/>
    <w:rsid w:val="00AC3838"/>
    <w:rsid w:val="00AC470C"/>
    <w:rsid w:val="00AC4BCA"/>
    <w:rsid w:val="00AC4CF9"/>
    <w:rsid w:val="00AC4D0C"/>
    <w:rsid w:val="00AC51B5"/>
    <w:rsid w:val="00AC620D"/>
    <w:rsid w:val="00AC6283"/>
    <w:rsid w:val="00AC6321"/>
    <w:rsid w:val="00AC6941"/>
    <w:rsid w:val="00AC7921"/>
    <w:rsid w:val="00AC7F87"/>
    <w:rsid w:val="00AD00F9"/>
    <w:rsid w:val="00AD02A8"/>
    <w:rsid w:val="00AD0300"/>
    <w:rsid w:val="00AD084F"/>
    <w:rsid w:val="00AD1266"/>
    <w:rsid w:val="00AD205E"/>
    <w:rsid w:val="00AD2A23"/>
    <w:rsid w:val="00AD3211"/>
    <w:rsid w:val="00AD4D2D"/>
    <w:rsid w:val="00AD567A"/>
    <w:rsid w:val="00AD5CC1"/>
    <w:rsid w:val="00AD607F"/>
    <w:rsid w:val="00AD6552"/>
    <w:rsid w:val="00AD661B"/>
    <w:rsid w:val="00AD6A1F"/>
    <w:rsid w:val="00AD6D4D"/>
    <w:rsid w:val="00AD6FE5"/>
    <w:rsid w:val="00AD7239"/>
    <w:rsid w:val="00AD7D45"/>
    <w:rsid w:val="00AE0AE9"/>
    <w:rsid w:val="00AE0BB2"/>
    <w:rsid w:val="00AE1E09"/>
    <w:rsid w:val="00AE24CF"/>
    <w:rsid w:val="00AE2A33"/>
    <w:rsid w:val="00AE30B1"/>
    <w:rsid w:val="00AE353F"/>
    <w:rsid w:val="00AE3718"/>
    <w:rsid w:val="00AE37E6"/>
    <w:rsid w:val="00AE3CF4"/>
    <w:rsid w:val="00AE4B42"/>
    <w:rsid w:val="00AE4C54"/>
    <w:rsid w:val="00AE4E93"/>
    <w:rsid w:val="00AE504E"/>
    <w:rsid w:val="00AE50AF"/>
    <w:rsid w:val="00AE5349"/>
    <w:rsid w:val="00AE566A"/>
    <w:rsid w:val="00AE5697"/>
    <w:rsid w:val="00AE5954"/>
    <w:rsid w:val="00AE5E9B"/>
    <w:rsid w:val="00AE713C"/>
    <w:rsid w:val="00AE7541"/>
    <w:rsid w:val="00AE7AA8"/>
    <w:rsid w:val="00AF124B"/>
    <w:rsid w:val="00AF25D1"/>
    <w:rsid w:val="00AF2803"/>
    <w:rsid w:val="00AF2B49"/>
    <w:rsid w:val="00AF2B6D"/>
    <w:rsid w:val="00AF340A"/>
    <w:rsid w:val="00AF3F28"/>
    <w:rsid w:val="00AF6856"/>
    <w:rsid w:val="00AF73CD"/>
    <w:rsid w:val="00AF73F2"/>
    <w:rsid w:val="00AF75A8"/>
    <w:rsid w:val="00AF7A5C"/>
    <w:rsid w:val="00B0112D"/>
    <w:rsid w:val="00B016B7"/>
    <w:rsid w:val="00B019C1"/>
    <w:rsid w:val="00B0205A"/>
    <w:rsid w:val="00B020C2"/>
    <w:rsid w:val="00B038AA"/>
    <w:rsid w:val="00B03A48"/>
    <w:rsid w:val="00B0469A"/>
    <w:rsid w:val="00B04A0D"/>
    <w:rsid w:val="00B04CB2"/>
    <w:rsid w:val="00B05419"/>
    <w:rsid w:val="00B0556F"/>
    <w:rsid w:val="00B0557B"/>
    <w:rsid w:val="00B05760"/>
    <w:rsid w:val="00B06804"/>
    <w:rsid w:val="00B071D9"/>
    <w:rsid w:val="00B072A5"/>
    <w:rsid w:val="00B07327"/>
    <w:rsid w:val="00B074D5"/>
    <w:rsid w:val="00B100EE"/>
    <w:rsid w:val="00B10310"/>
    <w:rsid w:val="00B10B42"/>
    <w:rsid w:val="00B10E7F"/>
    <w:rsid w:val="00B118FE"/>
    <w:rsid w:val="00B11965"/>
    <w:rsid w:val="00B11C9E"/>
    <w:rsid w:val="00B11E78"/>
    <w:rsid w:val="00B12E19"/>
    <w:rsid w:val="00B130C9"/>
    <w:rsid w:val="00B132FA"/>
    <w:rsid w:val="00B13ADF"/>
    <w:rsid w:val="00B1446F"/>
    <w:rsid w:val="00B14579"/>
    <w:rsid w:val="00B146F6"/>
    <w:rsid w:val="00B14D10"/>
    <w:rsid w:val="00B14E21"/>
    <w:rsid w:val="00B15008"/>
    <w:rsid w:val="00B161DD"/>
    <w:rsid w:val="00B161F0"/>
    <w:rsid w:val="00B16DEC"/>
    <w:rsid w:val="00B16E59"/>
    <w:rsid w:val="00B17362"/>
    <w:rsid w:val="00B177DA"/>
    <w:rsid w:val="00B179FF"/>
    <w:rsid w:val="00B205B7"/>
    <w:rsid w:val="00B214CD"/>
    <w:rsid w:val="00B215EB"/>
    <w:rsid w:val="00B2191E"/>
    <w:rsid w:val="00B2223B"/>
    <w:rsid w:val="00B22495"/>
    <w:rsid w:val="00B224B2"/>
    <w:rsid w:val="00B22587"/>
    <w:rsid w:val="00B227C2"/>
    <w:rsid w:val="00B23BAD"/>
    <w:rsid w:val="00B2414F"/>
    <w:rsid w:val="00B24605"/>
    <w:rsid w:val="00B247FD"/>
    <w:rsid w:val="00B24865"/>
    <w:rsid w:val="00B248E1"/>
    <w:rsid w:val="00B25448"/>
    <w:rsid w:val="00B258D0"/>
    <w:rsid w:val="00B25EE8"/>
    <w:rsid w:val="00B264B5"/>
    <w:rsid w:val="00B26926"/>
    <w:rsid w:val="00B2704C"/>
    <w:rsid w:val="00B275B3"/>
    <w:rsid w:val="00B27A16"/>
    <w:rsid w:val="00B27F83"/>
    <w:rsid w:val="00B302EF"/>
    <w:rsid w:val="00B30970"/>
    <w:rsid w:val="00B30D05"/>
    <w:rsid w:val="00B30DE0"/>
    <w:rsid w:val="00B319DB"/>
    <w:rsid w:val="00B31DA9"/>
    <w:rsid w:val="00B33C58"/>
    <w:rsid w:val="00B35461"/>
    <w:rsid w:val="00B3582A"/>
    <w:rsid w:val="00B36575"/>
    <w:rsid w:val="00B36867"/>
    <w:rsid w:val="00B3714D"/>
    <w:rsid w:val="00B372D6"/>
    <w:rsid w:val="00B403F5"/>
    <w:rsid w:val="00B409FD"/>
    <w:rsid w:val="00B413B7"/>
    <w:rsid w:val="00B41E0B"/>
    <w:rsid w:val="00B41F75"/>
    <w:rsid w:val="00B4205C"/>
    <w:rsid w:val="00B426FD"/>
    <w:rsid w:val="00B42B7C"/>
    <w:rsid w:val="00B43857"/>
    <w:rsid w:val="00B43BFA"/>
    <w:rsid w:val="00B44416"/>
    <w:rsid w:val="00B44448"/>
    <w:rsid w:val="00B446C0"/>
    <w:rsid w:val="00B4518D"/>
    <w:rsid w:val="00B4547A"/>
    <w:rsid w:val="00B45D9F"/>
    <w:rsid w:val="00B45F19"/>
    <w:rsid w:val="00B4622F"/>
    <w:rsid w:val="00B46649"/>
    <w:rsid w:val="00B46A62"/>
    <w:rsid w:val="00B46F5F"/>
    <w:rsid w:val="00B4728E"/>
    <w:rsid w:val="00B50052"/>
    <w:rsid w:val="00B51248"/>
    <w:rsid w:val="00B51999"/>
    <w:rsid w:val="00B51F5C"/>
    <w:rsid w:val="00B52722"/>
    <w:rsid w:val="00B53043"/>
    <w:rsid w:val="00B5328F"/>
    <w:rsid w:val="00B53BDF"/>
    <w:rsid w:val="00B53D75"/>
    <w:rsid w:val="00B53ECE"/>
    <w:rsid w:val="00B541BA"/>
    <w:rsid w:val="00B54640"/>
    <w:rsid w:val="00B5466D"/>
    <w:rsid w:val="00B5473A"/>
    <w:rsid w:val="00B54B3F"/>
    <w:rsid w:val="00B54DA7"/>
    <w:rsid w:val="00B55033"/>
    <w:rsid w:val="00B55632"/>
    <w:rsid w:val="00B56510"/>
    <w:rsid w:val="00B56588"/>
    <w:rsid w:val="00B5658A"/>
    <w:rsid w:val="00B56626"/>
    <w:rsid w:val="00B56BCC"/>
    <w:rsid w:val="00B56E14"/>
    <w:rsid w:val="00B56F46"/>
    <w:rsid w:val="00B57296"/>
    <w:rsid w:val="00B5734D"/>
    <w:rsid w:val="00B5744B"/>
    <w:rsid w:val="00B57902"/>
    <w:rsid w:val="00B57C04"/>
    <w:rsid w:val="00B60773"/>
    <w:rsid w:val="00B60E23"/>
    <w:rsid w:val="00B616A5"/>
    <w:rsid w:val="00B6207E"/>
    <w:rsid w:val="00B625DA"/>
    <w:rsid w:val="00B62777"/>
    <w:rsid w:val="00B627F6"/>
    <w:rsid w:val="00B629BB"/>
    <w:rsid w:val="00B62AFE"/>
    <w:rsid w:val="00B62D97"/>
    <w:rsid w:val="00B632D6"/>
    <w:rsid w:val="00B63351"/>
    <w:rsid w:val="00B6346A"/>
    <w:rsid w:val="00B635EE"/>
    <w:rsid w:val="00B63601"/>
    <w:rsid w:val="00B63BC2"/>
    <w:rsid w:val="00B63E30"/>
    <w:rsid w:val="00B63E4B"/>
    <w:rsid w:val="00B63F6B"/>
    <w:rsid w:val="00B6440F"/>
    <w:rsid w:val="00B64599"/>
    <w:rsid w:val="00B64751"/>
    <w:rsid w:val="00B64ECD"/>
    <w:rsid w:val="00B64F24"/>
    <w:rsid w:val="00B6577F"/>
    <w:rsid w:val="00B657BB"/>
    <w:rsid w:val="00B660B6"/>
    <w:rsid w:val="00B666CF"/>
    <w:rsid w:val="00B66CC9"/>
    <w:rsid w:val="00B66E4D"/>
    <w:rsid w:val="00B7038A"/>
    <w:rsid w:val="00B704F9"/>
    <w:rsid w:val="00B707CE"/>
    <w:rsid w:val="00B70D03"/>
    <w:rsid w:val="00B71D53"/>
    <w:rsid w:val="00B71EC0"/>
    <w:rsid w:val="00B71F79"/>
    <w:rsid w:val="00B730C9"/>
    <w:rsid w:val="00B7355A"/>
    <w:rsid w:val="00B747E5"/>
    <w:rsid w:val="00B74970"/>
    <w:rsid w:val="00B74FEB"/>
    <w:rsid w:val="00B752E0"/>
    <w:rsid w:val="00B75C2F"/>
    <w:rsid w:val="00B75DEE"/>
    <w:rsid w:val="00B763D7"/>
    <w:rsid w:val="00B768DA"/>
    <w:rsid w:val="00B76D00"/>
    <w:rsid w:val="00B7707E"/>
    <w:rsid w:val="00B80E7B"/>
    <w:rsid w:val="00B8118E"/>
    <w:rsid w:val="00B818E9"/>
    <w:rsid w:val="00B81B76"/>
    <w:rsid w:val="00B8219A"/>
    <w:rsid w:val="00B82294"/>
    <w:rsid w:val="00B83122"/>
    <w:rsid w:val="00B83C78"/>
    <w:rsid w:val="00B840A8"/>
    <w:rsid w:val="00B848C1"/>
    <w:rsid w:val="00B84A76"/>
    <w:rsid w:val="00B84F18"/>
    <w:rsid w:val="00B85210"/>
    <w:rsid w:val="00B85768"/>
    <w:rsid w:val="00B8641D"/>
    <w:rsid w:val="00B8648A"/>
    <w:rsid w:val="00B873AB"/>
    <w:rsid w:val="00B90071"/>
    <w:rsid w:val="00B9009F"/>
    <w:rsid w:val="00B90201"/>
    <w:rsid w:val="00B90D87"/>
    <w:rsid w:val="00B91328"/>
    <w:rsid w:val="00B9162A"/>
    <w:rsid w:val="00B91E2F"/>
    <w:rsid w:val="00B91E3D"/>
    <w:rsid w:val="00B92A85"/>
    <w:rsid w:val="00B92B11"/>
    <w:rsid w:val="00B93302"/>
    <w:rsid w:val="00B933AC"/>
    <w:rsid w:val="00B93D85"/>
    <w:rsid w:val="00B94559"/>
    <w:rsid w:val="00B9497A"/>
    <w:rsid w:val="00B94D66"/>
    <w:rsid w:val="00B950EF"/>
    <w:rsid w:val="00B96029"/>
    <w:rsid w:val="00B969E8"/>
    <w:rsid w:val="00B96C8C"/>
    <w:rsid w:val="00B975DC"/>
    <w:rsid w:val="00B9792B"/>
    <w:rsid w:val="00B979C1"/>
    <w:rsid w:val="00BA03ED"/>
    <w:rsid w:val="00BA066C"/>
    <w:rsid w:val="00BA0F85"/>
    <w:rsid w:val="00BA1046"/>
    <w:rsid w:val="00BA189A"/>
    <w:rsid w:val="00BA1D3C"/>
    <w:rsid w:val="00BA2759"/>
    <w:rsid w:val="00BA2C66"/>
    <w:rsid w:val="00BA3627"/>
    <w:rsid w:val="00BA3B75"/>
    <w:rsid w:val="00BA48F0"/>
    <w:rsid w:val="00BA49E2"/>
    <w:rsid w:val="00BA506A"/>
    <w:rsid w:val="00BA5274"/>
    <w:rsid w:val="00BA54DC"/>
    <w:rsid w:val="00BA5B3E"/>
    <w:rsid w:val="00BA60AB"/>
    <w:rsid w:val="00BA662B"/>
    <w:rsid w:val="00BA6E3F"/>
    <w:rsid w:val="00BA6F30"/>
    <w:rsid w:val="00BA7110"/>
    <w:rsid w:val="00BA737B"/>
    <w:rsid w:val="00BA7B1D"/>
    <w:rsid w:val="00BB03B4"/>
    <w:rsid w:val="00BB0461"/>
    <w:rsid w:val="00BB0524"/>
    <w:rsid w:val="00BB0B35"/>
    <w:rsid w:val="00BB11FF"/>
    <w:rsid w:val="00BB13AB"/>
    <w:rsid w:val="00BB20E3"/>
    <w:rsid w:val="00BB241C"/>
    <w:rsid w:val="00BB256D"/>
    <w:rsid w:val="00BB4333"/>
    <w:rsid w:val="00BB549A"/>
    <w:rsid w:val="00BB5C9E"/>
    <w:rsid w:val="00BB5E97"/>
    <w:rsid w:val="00BB609D"/>
    <w:rsid w:val="00BB70F4"/>
    <w:rsid w:val="00BB7333"/>
    <w:rsid w:val="00BB74A9"/>
    <w:rsid w:val="00BB77F8"/>
    <w:rsid w:val="00BB7A35"/>
    <w:rsid w:val="00BC0E0C"/>
    <w:rsid w:val="00BC1BC3"/>
    <w:rsid w:val="00BC1EB9"/>
    <w:rsid w:val="00BC2354"/>
    <w:rsid w:val="00BC259F"/>
    <w:rsid w:val="00BC2F14"/>
    <w:rsid w:val="00BC3173"/>
    <w:rsid w:val="00BC3216"/>
    <w:rsid w:val="00BC3356"/>
    <w:rsid w:val="00BC3CAE"/>
    <w:rsid w:val="00BC4F2A"/>
    <w:rsid w:val="00BC513D"/>
    <w:rsid w:val="00BC5AEB"/>
    <w:rsid w:val="00BC6199"/>
    <w:rsid w:val="00BC64F4"/>
    <w:rsid w:val="00BC66F0"/>
    <w:rsid w:val="00BC71AD"/>
    <w:rsid w:val="00BC7214"/>
    <w:rsid w:val="00BC728C"/>
    <w:rsid w:val="00BC7FDB"/>
    <w:rsid w:val="00BD032F"/>
    <w:rsid w:val="00BD0BAE"/>
    <w:rsid w:val="00BD0E9B"/>
    <w:rsid w:val="00BD0EF6"/>
    <w:rsid w:val="00BD12DD"/>
    <w:rsid w:val="00BD13A5"/>
    <w:rsid w:val="00BD147E"/>
    <w:rsid w:val="00BD172E"/>
    <w:rsid w:val="00BD17E1"/>
    <w:rsid w:val="00BD1A06"/>
    <w:rsid w:val="00BD1DAC"/>
    <w:rsid w:val="00BD2534"/>
    <w:rsid w:val="00BD45E9"/>
    <w:rsid w:val="00BD4CB6"/>
    <w:rsid w:val="00BD5104"/>
    <w:rsid w:val="00BD5591"/>
    <w:rsid w:val="00BD5985"/>
    <w:rsid w:val="00BD5D0E"/>
    <w:rsid w:val="00BD5D3C"/>
    <w:rsid w:val="00BD6354"/>
    <w:rsid w:val="00BD642A"/>
    <w:rsid w:val="00BD7052"/>
    <w:rsid w:val="00BD71ED"/>
    <w:rsid w:val="00BD7804"/>
    <w:rsid w:val="00BD7AA9"/>
    <w:rsid w:val="00BE0300"/>
    <w:rsid w:val="00BE0338"/>
    <w:rsid w:val="00BE073D"/>
    <w:rsid w:val="00BE0BA4"/>
    <w:rsid w:val="00BE2198"/>
    <w:rsid w:val="00BE2FAE"/>
    <w:rsid w:val="00BE3356"/>
    <w:rsid w:val="00BE41F3"/>
    <w:rsid w:val="00BE4333"/>
    <w:rsid w:val="00BE4ADC"/>
    <w:rsid w:val="00BE532C"/>
    <w:rsid w:val="00BE553F"/>
    <w:rsid w:val="00BE5C6C"/>
    <w:rsid w:val="00BE661B"/>
    <w:rsid w:val="00BE6E82"/>
    <w:rsid w:val="00BE71C2"/>
    <w:rsid w:val="00BE7CE4"/>
    <w:rsid w:val="00BE7D39"/>
    <w:rsid w:val="00BF0469"/>
    <w:rsid w:val="00BF0559"/>
    <w:rsid w:val="00BF059A"/>
    <w:rsid w:val="00BF0E88"/>
    <w:rsid w:val="00BF1447"/>
    <w:rsid w:val="00BF1A7D"/>
    <w:rsid w:val="00BF1E7F"/>
    <w:rsid w:val="00BF2070"/>
    <w:rsid w:val="00BF24A9"/>
    <w:rsid w:val="00BF25ED"/>
    <w:rsid w:val="00BF2862"/>
    <w:rsid w:val="00BF2B24"/>
    <w:rsid w:val="00BF2DEC"/>
    <w:rsid w:val="00BF3A25"/>
    <w:rsid w:val="00BF43C5"/>
    <w:rsid w:val="00BF47B7"/>
    <w:rsid w:val="00BF47D7"/>
    <w:rsid w:val="00BF4B2C"/>
    <w:rsid w:val="00BF56C9"/>
    <w:rsid w:val="00BF5997"/>
    <w:rsid w:val="00BF5A84"/>
    <w:rsid w:val="00BF5E85"/>
    <w:rsid w:val="00BF7150"/>
    <w:rsid w:val="00BF7241"/>
    <w:rsid w:val="00BF74B2"/>
    <w:rsid w:val="00BF75E9"/>
    <w:rsid w:val="00BF792C"/>
    <w:rsid w:val="00C0041A"/>
    <w:rsid w:val="00C00C40"/>
    <w:rsid w:val="00C00CF8"/>
    <w:rsid w:val="00C0137D"/>
    <w:rsid w:val="00C01B0C"/>
    <w:rsid w:val="00C0221E"/>
    <w:rsid w:val="00C02A03"/>
    <w:rsid w:val="00C037A5"/>
    <w:rsid w:val="00C03863"/>
    <w:rsid w:val="00C0393A"/>
    <w:rsid w:val="00C03BD0"/>
    <w:rsid w:val="00C03C6F"/>
    <w:rsid w:val="00C041ED"/>
    <w:rsid w:val="00C044B2"/>
    <w:rsid w:val="00C04561"/>
    <w:rsid w:val="00C04F0F"/>
    <w:rsid w:val="00C05137"/>
    <w:rsid w:val="00C05269"/>
    <w:rsid w:val="00C05564"/>
    <w:rsid w:val="00C061BE"/>
    <w:rsid w:val="00C061D7"/>
    <w:rsid w:val="00C06B0F"/>
    <w:rsid w:val="00C06F70"/>
    <w:rsid w:val="00C1031B"/>
    <w:rsid w:val="00C1036A"/>
    <w:rsid w:val="00C10F4F"/>
    <w:rsid w:val="00C113B5"/>
    <w:rsid w:val="00C11B68"/>
    <w:rsid w:val="00C11BCE"/>
    <w:rsid w:val="00C11E37"/>
    <w:rsid w:val="00C1283D"/>
    <w:rsid w:val="00C12D21"/>
    <w:rsid w:val="00C12DAC"/>
    <w:rsid w:val="00C13547"/>
    <w:rsid w:val="00C13D24"/>
    <w:rsid w:val="00C1415C"/>
    <w:rsid w:val="00C14D34"/>
    <w:rsid w:val="00C14DCD"/>
    <w:rsid w:val="00C151F0"/>
    <w:rsid w:val="00C151F3"/>
    <w:rsid w:val="00C1526F"/>
    <w:rsid w:val="00C1542F"/>
    <w:rsid w:val="00C157A0"/>
    <w:rsid w:val="00C1606B"/>
    <w:rsid w:val="00C16BD0"/>
    <w:rsid w:val="00C16C0F"/>
    <w:rsid w:val="00C16D7B"/>
    <w:rsid w:val="00C17FFE"/>
    <w:rsid w:val="00C204FE"/>
    <w:rsid w:val="00C20C38"/>
    <w:rsid w:val="00C20F58"/>
    <w:rsid w:val="00C22096"/>
    <w:rsid w:val="00C22A14"/>
    <w:rsid w:val="00C22A7D"/>
    <w:rsid w:val="00C22AE3"/>
    <w:rsid w:val="00C22D80"/>
    <w:rsid w:val="00C233B6"/>
    <w:rsid w:val="00C236AE"/>
    <w:rsid w:val="00C23AFE"/>
    <w:rsid w:val="00C23CBA"/>
    <w:rsid w:val="00C23F0F"/>
    <w:rsid w:val="00C2516E"/>
    <w:rsid w:val="00C26599"/>
    <w:rsid w:val="00C268E4"/>
    <w:rsid w:val="00C26DC5"/>
    <w:rsid w:val="00C27215"/>
    <w:rsid w:val="00C27897"/>
    <w:rsid w:val="00C278E5"/>
    <w:rsid w:val="00C27C28"/>
    <w:rsid w:val="00C30658"/>
    <w:rsid w:val="00C30964"/>
    <w:rsid w:val="00C30C96"/>
    <w:rsid w:val="00C30FAF"/>
    <w:rsid w:val="00C313EB"/>
    <w:rsid w:val="00C320C4"/>
    <w:rsid w:val="00C32B6F"/>
    <w:rsid w:val="00C32F14"/>
    <w:rsid w:val="00C341F9"/>
    <w:rsid w:val="00C34D65"/>
    <w:rsid w:val="00C34DB7"/>
    <w:rsid w:val="00C35080"/>
    <w:rsid w:val="00C351FF"/>
    <w:rsid w:val="00C358EF"/>
    <w:rsid w:val="00C35E94"/>
    <w:rsid w:val="00C3650F"/>
    <w:rsid w:val="00C3676E"/>
    <w:rsid w:val="00C36C3D"/>
    <w:rsid w:val="00C36EB5"/>
    <w:rsid w:val="00C37332"/>
    <w:rsid w:val="00C37EF9"/>
    <w:rsid w:val="00C416CA"/>
    <w:rsid w:val="00C41C19"/>
    <w:rsid w:val="00C41CBF"/>
    <w:rsid w:val="00C41FD1"/>
    <w:rsid w:val="00C427FC"/>
    <w:rsid w:val="00C428AD"/>
    <w:rsid w:val="00C4293A"/>
    <w:rsid w:val="00C42CB8"/>
    <w:rsid w:val="00C42F35"/>
    <w:rsid w:val="00C438ED"/>
    <w:rsid w:val="00C44281"/>
    <w:rsid w:val="00C4448E"/>
    <w:rsid w:val="00C4497A"/>
    <w:rsid w:val="00C44A9F"/>
    <w:rsid w:val="00C44B73"/>
    <w:rsid w:val="00C44F39"/>
    <w:rsid w:val="00C45847"/>
    <w:rsid w:val="00C46058"/>
    <w:rsid w:val="00C467B1"/>
    <w:rsid w:val="00C46AE8"/>
    <w:rsid w:val="00C46B50"/>
    <w:rsid w:val="00C46C4F"/>
    <w:rsid w:val="00C46FDB"/>
    <w:rsid w:val="00C47D5A"/>
    <w:rsid w:val="00C50598"/>
    <w:rsid w:val="00C50B38"/>
    <w:rsid w:val="00C50F72"/>
    <w:rsid w:val="00C517E7"/>
    <w:rsid w:val="00C51E13"/>
    <w:rsid w:val="00C520E2"/>
    <w:rsid w:val="00C5275F"/>
    <w:rsid w:val="00C52C54"/>
    <w:rsid w:val="00C53849"/>
    <w:rsid w:val="00C53AEF"/>
    <w:rsid w:val="00C53C29"/>
    <w:rsid w:val="00C547C1"/>
    <w:rsid w:val="00C54E7C"/>
    <w:rsid w:val="00C55016"/>
    <w:rsid w:val="00C5509F"/>
    <w:rsid w:val="00C556B1"/>
    <w:rsid w:val="00C556DF"/>
    <w:rsid w:val="00C55897"/>
    <w:rsid w:val="00C55D78"/>
    <w:rsid w:val="00C564F1"/>
    <w:rsid w:val="00C56645"/>
    <w:rsid w:val="00C56DCD"/>
    <w:rsid w:val="00C573B2"/>
    <w:rsid w:val="00C57FDD"/>
    <w:rsid w:val="00C601FF"/>
    <w:rsid w:val="00C606CD"/>
    <w:rsid w:val="00C608BF"/>
    <w:rsid w:val="00C611EB"/>
    <w:rsid w:val="00C6191F"/>
    <w:rsid w:val="00C61B50"/>
    <w:rsid w:val="00C622C7"/>
    <w:rsid w:val="00C6235D"/>
    <w:rsid w:val="00C62E12"/>
    <w:rsid w:val="00C638D3"/>
    <w:rsid w:val="00C6397A"/>
    <w:rsid w:val="00C63E61"/>
    <w:rsid w:val="00C64168"/>
    <w:rsid w:val="00C642C2"/>
    <w:rsid w:val="00C64402"/>
    <w:rsid w:val="00C64C1B"/>
    <w:rsid w:val="00C64D7A"/>
    <w:rsid w:val="00C656C2"/>
    <w:rsid w:val="00C657DB"/>
    <w:rsid w:val="00C65FEF"/>
    <w:rsid w:val="00C66888"/>
    <w:rsid w:val="00C66C2C"/>
    <w:rsid w:val="00C66D77"/>
    <w:rsid w:val="00C670FE"/>
    <w:rsid w:val="00C67539"/>
    <w:rsid w:val="00C6758F"/>
    <w:rsid w:val="00C675F9"/>
    <w:rsid w:val="00C6787C"/>
    <w:rsid w:val="00C679FA"/>
    <w:rsid w:val="00C67BC1"/>
    <w:rsid w:val="00C70110"/>
    <w:rsid w:val="00C71295"/>
    <w:rsid w:val="00C71C47"/>
    <w:rsid w:val="00C71C83"/>
    <w:rsid w:val="00C71DAA"/>
    <w:rsid w:val="00C7215D"/>
    <w:rsid w:val="00C72520"/>
    <w:rsid w:val="00C729DA"/>
    <w:rsid w:val="00C72D1A"/>
    <w:rsid w:val="00C72F69"/>
    <w:rsid w:val="00C730CA"/>
    <w:rsid w:val="00C736BC"/>
    <w:rsid w:val="00C74864"/>
    <w:rsid w:val="00C74881"/>
    <w:rsid w:val="00C74909"/>
    <w:rsid w:val="00C74ED6"/>
    <w:rsid w:val="00C755CD"/>
    <w:rsid w:val="00C75C95"/>
    <w:rsid w:val="00C7610E"/>
    <w:rsid w:val="00C7613B"/>
    <w:rsid w:val="00C764C1"/>
    <w:rsid w:val="00C765C2"/>
    <w:rsid w:val="00C76E9B"/>
    <w:rsid w:val="00C770D7"/>
    <w:rsid w:val="00C771C7"/>
    <w:rsid w:val="00C77983"/>
    <w:rsid w:val="00C77A12"/>
    <w:rsid w:val="00C800BA"/>
    <w:rsid w:val="00C80999"/>
    <w:rsid w:val="00C80AFB"/>
    <w:rsid w:val="00C80C53"/>
    <w:rsid w:val="00C81427"/>
    <w:rsid w:val="00C81E96"/>
    <w:rsid w:val="00C8236A"/>
    <w:rsid w:val="00C82C07"/>
    <w:rsid w:val="00C83089"/>
    <w:rsid w:val="00C831B5"/>
    <w:rsid w:val="00C835D4"/>
    <w:rsid w:val="00C84576"/>
    <w:rsid w:val="00C847AB"/>
    <w:rsid w:val="00C85493"/>
    <w:rsid w:val="00C8558E"/>
    <w:rsid w:val="00C8584E"/>
    <w:rsid w:val="00C859A8"/>
    <w:rsid w:val="00C85FF5"/>
    <w:rsid w:val="00C863FB"/>
    <w:rsid w:val="00C8647D"/>
    <w:rsid w:val="00C865FD"/>
    <w:rsid w:val="00C86EE1"/>
    <w:rsid w:val="00C870DE"/>
    <w:rsid w:val="00C87A3B"/>
    <w:rsid w:val="00C91ADB"/>
    <w:rsid w:val="00C91FD8"/>
    <w:rsid w:val="00C92435"/>
    <w:rsid w:val="00C92553"/>
    <w:rsid w:val="00C925F9"/>
    <w:rsid w:val="00C92AF6"/>
    <w:rsid w:val="00C92B2B"/>
    <w:rsid w:val="00C9364E"/>
    <w:rsid w:val="00C939B6"/>
    <w:rsid w:val="00C93B22"/>
    <w:rsid w:val="00C93E9C"/>
    <w:rsid w:val="00C9425C"/>
    <w:rsid w:val="00C94415"/>
    <w:rsid w:val="00C94B1F"/>
    <w:rsid w:val="00C94DCE"/>
    <w:rsid w:val="00C94FCC"/>
    <w:rsid w:val="00C954C7"/>
    <w:rsid w:val="00C95E93"/>
    <w:rsid w:val="00C962A5"/>
    <w:rsid w:val="00C96338"/>
    <w:rsid w:val="00C96418"/>
    <w:rsid w:val="00C96462"/>
    <w:rsid w:val="00C970D2"/>
    <w:rsid w:val="00C97BCD"/>
    <w:rsid w:val="00CA01A6"/>
    <w:rsid w:val="00CA0285"/>
    <w:rsid w:val="00CA048E"/>
    <w:rsid w:val="00CA05D7"/>
    <w:rsid w:val="00CA0F6E"/>
    <w:rsid w:val="00CA2726"/>
    <w:rsid w:val="00CA2CCD"/>
    <w:rsid w:val="00CA3052"/>
    <w:rsid w:val="00CA30AF"/>
    <w:rsid w:val="00CA4BD7"/>
    <w:rsid w:val="00CA524F"/>
    <w:rsid w:val="00CA6304"/>
    <w:rsid w:val="00CA64B8"/>
    <w:rsid w:val="00CA6809"/>
    <w:rsid w:val="00CA686C"/>
    <w:rsid w:val="00CA6A48"/>
    <w:rsid w:val="00CA716E"/>
    <w:rsid w:val="00CA749B"/>
    <w:rsid w:val="00CA755F"/>
    <w:rsid w:val="00CA784B"/>
    <w:rsid w:val="00CA7A4F"/>
    <w:rsid w:val="00CB0118"/>
    <w:rsid w:val="00CB098F"/>
    <w:rsid w:val="00CB0DFF"/>
    <w:rsid w:val="00CB0F88"/>
    <w:rsid w:val="00CB131B"/>
    <w:rsid w:val="00CB14E5"/>
    <w:rsid w:val="00CB167F"/>
    <w:rsid w:val="00CB1C96"/>
    <w:rsid w:val="00CB2116"/>
    <w:rsid w:val="00CB2510"/>
    <w:rsid w:val="00CB2A1B"/>
    <w:rsid w:val="00CB2E6A"/>
    <w:rsid w:val="00CB2F99"/>
    <w:rsid w:val="00CB30A0"/>
    <w:rsid w:val="00CB332F"/>
    <w:rsid w:val="00CB33DD"/>
    <w:rsid w:val="00CB3892"/>
    <w:rsid w:val="00CB43D5"/>
    <w:rsid w:val="00CB47A1"/>
    <w:rsid w:val="00CB4A85"/>
    <w:rsid w:val="00CB4AF9"/>
    <w:rsid w:val="00CB504A"/>
    <w:rsid w:val="00CB53FB"/>
    <w:rsid w:val="00CB54C5"/>
    <w:rsid w:val="00CB58E8"/>
    <w:rsid w:val="00CB5A10"/>
    <w:rsid w:val="00CB5E54"/>
    <w:rsid w:val="00CB6074"/>
    <w:rsid w:val="00CB650A"/>
    <w:rsid w:val="00CB67AD"/>
    <w:rsid w:val="00CB6F68"/>
    <w:rsid w:val="00CB6F80"/>
    <w:rsid w:val="00CB733E"/>
    <w:rsid w:val="00CC00C1"/>
    <w:rsid w:val="00CC0590"/>
    <w:rsid w:val="00CC10C9"/>
    <w:rsid w:val="00CC12AD"/>
    <w:rsid w:val="00CC15A0"/>
    <w:rsid w:val="00CC280E"/>
    <w:rsid w:val="00CC2DFB"/>
    <w:rsid w:val="00CC2E98"/>
    <w:rsid w:val="00CC352C"/>
    <w:rsid w:val="00CC3A2C"/>
    <w:rsid w:val="00CC3AEB"/>
    <w:rsid w:val="00CC3BB2"/>
    <w:rsid w:val="00CC4194"/>
    <w:rsid w:val="00CC47EF"/>
    <w:rsid w:val="00CC49D0"/>
    <w:rsid w:val="00CC4A9C"/>
    <w:rsid w:val="00CC4FCB"/>
    <w:rsid w:val="00CC5297"/>
    <w:rsid w:val="00CC59E2"/>
    <w:rsid w:val="00CC5D4B"/>
    <w:rsid w:val="00CC683F"/>
    <w:rsid w:val="00CC6E6C"/>
    <w:rsid w:val="00CC72DC"/>
    <w:rsid w:val="00CC73F6"/>
    <w:rsid w:val="00CC7418"/>
    <w:rsid w:val="00CC74F2"/>
    <w:rsid w:val="00CC750A"/>
    <w:rsid w:val="00CC7BA9"/>
    <w:rsid w:val="00CD0569"/>
    <w:rsid w:val="00CD063C"/>
    <w:rsid w:val="00CD1849"/>
    <w:rsid w:val="00CD2B97"/>
    <w:rsid w:val="00CD2F91"/>
    <w:rsid w:val="00CD304D"/>
    <w:rsid w:val="00CD32B3"/>
    <w:rsid w:val="00CD3D17"/>
    <w:rsid w:val="00CD45F3"/>
    <w:rsid w:val="00CD45FB"/>
    <w:rsid w:val="00CD4CD3"/>
    <w:rsid w:val="00CD4D3A"/>
    <w:rsid w:val="00CD4DB0"/>
    <w:rsid w:val="00CD4F8F"/>
    <w:rsid w:val="00CD529D"/>
    <w:rsid w:val="00CD67E1"/>
    <w:rsid w:val="00CD6A07"/>
    <w:rsid w:val="00CD77A6"/>
    <w:rsid w:val="00CE05D4"/>
    <w:rsid w:val="00CE0788"/>
    <w:rsid w:val="00CE0901"/>
    <w:rsid w:val="00CE0D71"/>
    <w:rsid w:val="00CE10B1"/>
    <w:rsid w:val="00CE17B9"/>
    <w:rsid w:val="00CE20A6"/>
    <w:rsid w:val="00CE25D8"/>
    <w:rsid w:val="00CE2D35"/>
    <w:rsid w:val="00CE2E37"/>
    <w:rsid w:val="00CE2FDE"/>
    <w:rsid w:val="00CE32A4"/>
    <w:rsid w:val="00CE39A2"/>
    <w:rsid w:val="00CE39EE"/>
    <w:rsid w:val="00CE3C80"/>
    <w:rsid w:val="00CE4268"/>
    <w:rsid w:val="00CE4826"/>
    <w:rsid w:val="00CE4D9C"/>
    <w:rsid w:val="00CE5191"/>
    <w:rsid w:val="00CE6902"/>
    <w:rsid w:val="00CE6B23"/>
    <w:rsid w:val="00CE6C1C"/>
    <w:rsid w:val="00CE72AE"/>
    <w:rsid w:val="00CE7F0D"/>
    <w:rsid w:val="00CF0255"/>
    <w:rsid w:val="00CF04CA"/>
    <w:rsid w:val="00CF19FE"/>
    <w:rsid w:val="00CF1B43"/>
    <w:rsid w:val="00CF241E"/>
    <w:rsid w:val="00CF27FA"/>
    <w:rsid w:val="00CF28F7"/>
    <w:rsid w:val="00CF298A"/>
    <w:rsid w:val="00CF2B58"/>
    <w:rsid w:val="00CF2CFF"/>
    <w:rsid w:val="00CF355C"/>
    <w:rsid w:val="00CF39D5"/>
    <w:rsid w:val="00CF39F3"/>
    <w:rsid w:val="00CF3B25"/>
    <w:rsid w:val="00CF3E6F"/>
    <w:rsid w:val="00CF5534"/>
    <w:rsid w:val="00CF57E1"/>
    <w:rsid w:val="00CF5829"/>
    <w:rsid w:val="00CF5A21"/>
    <w:rsid w:val="00CF5A95"/>
    <w:rsid w:val="00CF6259"/>
    <w:rsid w:val="00CF6297"/>
    <w:rsid w:val="00CF673A"/>
    <w:rsid w:val="00CF7206"/>
    <w:rsid w:val="00CF7DF3"/>
    <w:rsid w:val="00CF7F34"/>
    <w:rsid w:val="00D00178"/>
    <w:rsid w:val="00D00647"/>
    <w:rsid w:val="00D00793"/>
    <w:rsid w:val="00D009CF"/>
    <w:rsid w:val="00D009EA"/>
    <w:rsid w:val="00D00B9E"/>
    <w:rsid w:val="00D00CFE"/>
    <w:rsid w:val="00D00D4B"/>
    <w:rsid w:val="00D00E90"/>
    <w:rsid w:val="00D00FEF"/>
    <w:rsid w:val="00D0145D"/>
    <w:rsid w:val="00D0182D"/>
    <w:rsid w:val="00D019E0"/>
    <w:rsid w:val="00D01B83"/>
    <w:rsid w:val="00D01BAE"/>
    <w:rsid w:val="00D01BEF"/>
    <w:rsid w:val="00D02460"/>
    <w:rsid w:val="00D02E0A"/>
    <w:rsid w:val="00D02ED3"/>
    <w:rsid w:val="00D0316E"/>
    <w:rsid w:val="00D03C5E"/>
    <w:rsid w:val="00D03CF0"/>
    <w:rsid w:val="00D04910"/>
    <w:rsid w:val="00D04A8E"/>
    <w:rsid w:val="00D04AF3"/>
    <w:rsid w:val="00D04B1D"/>
    <w:rsid w:val="00D04D4C"/>
    <w:rsid w:val="00D04FA4"/>
    <w:rsid w:val="00D04FBB"/>
    <w:rsid w:val="00D053A3"/>
    <w:rsid w:val="00D05592"/>
    <w:rsid w:val="00D05791"/>
    <w:rsid w:val="00D05D71"/>
    <w:rsid w:val="00D05DFB"/>
    <w:rsid w:val="00D066A5"/>
    <w:rsid w:val="00D07A26"/>
    <w:rsid w:val="00D07C2F"/>
    <w:rsid w:val="00D10372"/>
    <w:rsid w:val="00D10522"/>
    <w:rsid w:val="00D10850"/>
    <w:rsid w:val="00D10B3F"/>
    <w:rsid w:val="00D10EBC"/>
    <w:rsid w:val="00D11DA9"/>
    <w:rsid w:val="00D12D7E"/>
    <w:rsid w:val="00D13088"/>
    <w:rsid w:val="00D1384C"/>
    <w:rsid w:val="00D1558B"/>
    <w:rsid w:val="00D15A3A"/>
    <w:rsid w:val="00D15D4F"/>
    <w:rsid w:val="00D170E5"/>
    <w:rsid w:val="00D17713"/>
    <w:rsid w:val="00D179FD"/>
    <w:rsid w:val="00D17AF5"/>
    <w:rsid w:val="00D2127C"/>
    <w:rsid w:val="00D215D4"/>
    <w:rsid w:val="00D22113"/>
    <w:rsid w:val="00D22BBF"/>
    <w:rsid w:val="00D22CE4"/>
    <w:rsid w:val="00D23759"/>
    <w:rsid w:val="00D238F8"/>
    <w:rsid w:val="00D23A39"/>
    <w:rsid w:val="00D24365"/>
    <w:rsid w:val="00D24AF4"/>
    <w:rsid w:val="00D2534E"/>
    <w:rsid w:val="00D25D40"/>
    <w:rsid w:val="00D2631F"/>
    <w:rsid w:val="00D2660D"/>
    <w:rsid w:val="00D2666A"/>
    <w:rsid w:val="00D26C67"/>
    <w:rsid w:val="00D26D1A"/>
    <w:rsid w:val="00D27016"/>
    <w:rsid w:val="00D3014C"/>
    <w:rsid w:val="00D3015A"/>
    <w:rsid w:val="00D308DE"/>
    <w:rsid w:val="00D30DBB"/>
    <w:rsid w:val="00D3128D"/>
    <w:rsid w:val="00D3146A"/>
    <w:rsid w:val="00D3167F"/>
    <w:rsid w:val="00D31688"/>
    <w:rsid w:val="00D328A8"/>
    <w:rsid w:val="00D32A2A"/>
    <w:rsid w:val="00D32D02"/>
    <w:rsid w:val="00D32DC7"/>
    <w:rsid w:val="00D32F7F"/>
    <w:rsid w:val="00D333E3"/>
    <w:rsid w:val="00D33441"/>
    <w:rsid w:val="00D33924"/>
    <w:rsid w:val="00D33B38"/>
    <w:rsid w:val="00D33D7B"/>
    <w:rsid w:val="00D33DB1"/>
    <w:rsid w:val="00D354AD"/>
    <w:rsid w:val="00D357F3"/>
    <w:rsid w:val="00D36E5E"/>
    <w:rsid w:val="00D37448"/>
    <w:rsid w:val="00D37A3B"/>
    <w:rsid w:val="00D414AC"/>
    <w:rsid w:val="00D41672"/>
    <w:rsid w:val="00D41FC9"/>
    <w:rsid w:val="00D42316"/>
    <w:rsid w:val="00D42754"/>
    <w:rsid w:val="00D432DD"/>
    <w:rsid w:val="00D43782"/>
    <w:rsid w:val="00D438C8"/>
    <w:rsid w:val="00D447E0"/>
    <w:rsid w:val="00D44919"/>
    <w:rsid w:val="00D44C6E"/>
    <w:rsid w:val="00D44EC7"/>
    <w:rsid w:val="00D45644"/>
    <w:rsid w:val="00D45689"/>
    <w:rsid w:val="00D4568B"/>
    <w:rsid w:val="00D45945"/>
    <w:rsid w:val="00D45D5F"/>
    <w:rsid w:val="00D45F79"/>
    <w:rsid w:val="00D46347"/>
    <w:rsid w:val="00D46526"/>
    <w:rsid w:val="00D469E0"/>
    <w:rsid w:val="00D46DBD"/>
    <w:rsid w:val="00D47133"/>
    <w:rsid w:val="00D47134"/>
    <w:rsid w:val="00D473D9"/>
    <w:rsid w:val="00D47717"/>
    <w:rsid w:val="00D47B09"/>
    <w:rsid w:val="00D47D2B"/>
    <w:rsid w:val="00D5091A"/>
    <w:rsid w:val="00D511F2"/>
    <w:rsid w:val="00D51433"/>
    <w:rsid w:val="00D519AF"/>
    <w:rsid w:val="00D520E5"/>
    <w:rsid w:val="00D522B9"/>
    <w:rsid w:val="00D52457"/>
    <w:rsid w:val="00D5253F"/>
    <w:rsid w:val="00D525E0"/>
    <w:rsid w:val="00D52BBB"/>
    <w:rsid w:val="00D54D64"/>
    <w:rsid w:val="00D55050"/>
    <w:rsid w:val="00D555D2"/>
    <w:rsid w:val="00D55807"/>
    <w:rsid w:val="00D5667C"/>
    <w:rsid w:val="00D56B2C"/>
    <w:rsid w:val="00D56DBD"/>
    <w:rsid w:val="00D56DE0"/>
    <w:rsid w:val="00D572B9"/>
    <w:rsid w:val="00D5765D"/>
    <w:rsid w:val="00D57A3D"/>
    <w:rsid w:val="00D6030B"/>
    <w:rsid w:val="00D606E6"/>
    <w:rsid w:val="00D609C3"/>
    <w:rsid w:val="00D60C5F"/>
    <w:rsid w:val="00D6127B"/>
    <w:rsid w:val="00D612B9"/>
    <w:rsid w:val="00D624AA"/>
    <w:rsid w:val="00D63EF7"/>
    <w:rsid w:val="00D63F7C"/>
    <w:rsid w:val="00D643EB"/>
    <w:rsid w:val="00D64D3B"/>
    <w:rsid w:val="00D64DDA"/>
    <w:rsid w:val="00D653EC"/>
    <w:rsid w:val="00D655C2"/>
    <w:rsid w:val="00D65C44"/>
    <w:rsid w:val="00D66039"/>
    <w:rsid w:val="00D672E6"/>
    <w:rsid w:val="00D673AC"/>
    <w:rsid w:val="00D67525"/>
    <w:rsid w:val="00D67D7A"/>
    <w:rsid w:val="00D705BD"/>
    <w:rsid w:val="00D70808"/>
    <w:rsid w:val="00D7081F"/>
    <w:rsid w:val="00D70E2D"/>
    <w:rsid w:val="00D710A6"/>
    <w:rsid w:val="00D716DC"/>
    <w:rsid w:val="00D71A0B"/>
    <w:rsid w:val="00D71A35"/>
    <w:rsid w:val="00D71B42"/>
    <w:rsid w:val="00D71C91"/>
    <w:rsid w:val="00D720A2"/>
    <w:rsid w:val="00D721B2"/>
    <w:rsid w:val="00D72232"/>
    <w:rsid w:val="00D7255B"/>
    <w:rsid w:val="00D72589"/>
    <w:rsid w:val="00D72AA8"/>
    <w:rsid w:val="00D73A58"/>
    <w:rsid w:val="00D74062"/>
    <w:rsid w:val="00D7537C"/>
    <w:rsid w:val="00D754F4"/>
    <w:rsid w:val="00D756C5"/>
    <w:rsid w:val="00D75C45"/>
    <w:rsid w:val="00D75D8E"/>
    <w:rsid w:val="00D767C0"/>
    <w:rsid w:val="00D76F21"/>
    <w:rsid w:val="00D77310"/>
    <w:rsid w:val="00D777A7"/>
    <w:rsid w:val="00D77AB2"/>
    <w:rsid w:val="00D77D1A"/>
    <w:rsid w:val="00D8029E"/>
    <w:rsid w:val="00D802F9"/>
    <w:rsid w:val="00D80325"/>
    <w:rsid w:val="00D80DBB"/>
    <w:rsid w:val="00D80E17"/>
    <w:rsid w:val="00D8117C"/>
    <w:rsid w:val="00D81263"/>
    <w:rsid w:val="00D81547"/>
    <w:rsid w:val="00D8184C"/>
    <w:rsid w:val="00D81D2F"/>
    <w:rsid w:val="00D8236A"/>
    <w:rsid w:val="00D83654"/>
    <w:rsid w:val="00D83C51"/>
    <w:rsid w:val="00D849E3"/>
    <w:rsid w:val="00D85145"/>
    <w:rsid w:val="00D85432"/>
    <w:rsid w:val="00D85565"/>
    <w:rsid w:val="00D85C64"/>
    <w:rsid w:val="00D86449"/>
    <w:rsid w:val="00D8658E"/>
    <w:rsid w:val="00D8669C"/>
    <w:rsid w:val="00D86AEE"/>
    <w:rsid w:val="00D86E9C"/>
    <w:rsid w:val="00D86EB7"/>
    <w:rsid w:val="00D8718E"/>
    <w:rsid w:val="00D8748B"/>
    <w:rsid w:val="00D87693"/>
    <w:rsid w:val="00D877A6"/>
    <w:rsid w:val="00D8788E"/>
    <w:rsid w:val="00D87E7E"/>
    <w:rsid w:val="00D9052A"/>
    <w:rsid w:val="00D90CFB"/>
    <w:rsid w:val="00D910A9"/>
    <w:rsid w:val="00D91145"/>
    <w:rsid w:val="00D919EC"/>
    <w:rsid w:val="00D92C9A"/>
    <w:rsid w:val="00D936EA"/>
    <w:rsid w:val="00D9375B"/>
    <w:rsid w:val="00D93AD2"/>
    <w:rsid w:val="00D93F2B"/>
    <w:rsid w:val="00D93F81"/>
    <w:rsid w:val="00D94081"/>
    <w:rsid w:val="00D95375"/>
    <w:rsid w:val="00D9575D"/>
    <w:rsid w:val="00D95EE1"/>
    <w:rsid w:val="00D9605E"/>
    <w:rsid w:val="00D96228"/>
    <w:rsid w:val="00D96AE9"/>
    <w:rsid w:val="00D96DF7"/>
    <w:rsid w:val="00D97052"/>
    <w:rsid w:val="00D9705E"/>
    <w:rsid w:val="00D97445"/>
    <w:rsid w:val="00DA02C1"/>
    <w:rsid w:val="00DA107A"/>
    <w:rsid w:val="00DA114A"/>
    <w:rsid w:val="00DA1A98"/>
    <w:rsid w:val="00DA1BA4"/>
    <w:rsid w:val="00DA1D6C"/>
    <w:rsid w:val="00DA2041"/>
    <w:rsid w:val="00DA2123"/>
    <w:rsid w:val="00DA2EA1"/>
    <w:rsid w:val="00DA37CA"/>
    <w:rsid w:val="00DA3991"/>
    <w:rsid w:val="00DA40DD"/>
    <w:rsid w:val="00DA4494"/>
    <w:rsid w:val="00DA4AC6"/>
    <w:rsid w:val="00DA535D"/>
    <w:rsid w:val="00DA54BE"/>
    <w:rsid w:val="00DA5B20"/>
    <w:rsid w:val="00DA64D3"/>
    <w:rsid w:val="00DA683F"/>
    <w:rsid w:val="00DA6B6C"/>
    <w:rsid w:val="00DA6EFD"/>
    <w:rsid w:val="00DA71E9"/>
    <w:rsid w:val="00DA74AA"/>
    <w:rsid w:val="00DB0405"/>
    <w:rsid w:val="00DB0B9B"/>
    <w:rsid w:val="00DB11F0"/>
    <w:rsid w:val="00DB18B1"/>
    <w:rsid w:val="00DB1ABA"/>
    <w:rsid w:val="00DB2F86"/>
    <w:rsid w:val="00DB31C8"/>
    <w:rsid w:val="00DB45B2"/>
    <w:rsid w:val="00DB488E"/>
    <w:rsid w:val="00DB4FED"/>
    <w:rsid w:val="00DB54B7"/>
    <w:rsid w:val="00DB58AD"/>
    <w:rsid w:val="00DB6388"/>
    <w:rsid w:val="00DB6541"/>
    <w:rsid w:val="00DB68B3"/>
    <w:rsid w:val="00DB6D26"/>
    <w:rsid w:val="00DB6D99"/>
    <w:rsid w:val="00DB7819"/>
    <w:rsid w:val="00DB7904"/>
    <w:rsid w:val="00DC0D1C"/>
    <w:rsid w:val="00DC1095"/>
    <w:rsid w:val="00DC15FE"/>
    <w:rsid w:val="00DC1D2B"/>
    <w:rsid w:val="00DC2942"/>
    <w:rsid w:val="00DC2EEB"/>
    <w:rsid w:val="00DC2FB0"/>
    <w:rsid w:val="00DC3FCD"/>
    <w:rsid w:val="00DC5CD9"/>
    <w:rsid w:val="00DC6528"/>
    <w:rsid w:val="00DC716E"/>
    <w:rsid w:val="00DC740D"/>
    <w:rsid w:val="00DD0B92"/>
    <w:rsid w:val="00DD0F5C"/>
    <w:rsid w:val="00DD11F5"/>
    <w:rsid w:val="00DD139B"/>
    <w:rsid w:val="00DD1510"/>
    <w:rsid w:val="00DD1700"/>
    <w:rsid w:val="00DD1AAA"/>
    <w:rsid w:val="00DD2625"/>
    <w:rsid w:val="00DD26FB"/>
    <w:rsid w:val="00DD2879"/>
    <w:rsid w:val="00DD331B"/>
    <w:rsid w:val="00DD34E6"/>
    <w:rsid w:val="00DD3580"/>
    <w:rsid w:val="00DD35D6"/>
    <w:rsid w:val="00DD42A0"/>
    <w:rsid w:val="00DD45C5"/>
    <w:rsid w:val="00DD4D8D"/>
    <w:rsid w:val="00DD59B9"/>
    <w:rsid w:val="00DD5C86"/>
    <w:rsid w:val="00DD5CEC"/>
    <w:rsid w:val="00DD61FB"/>
    <w:rsid w:val="00DD6710"/>
    <w:rsid w:val="00DD6AAC"/>
    <w:rsid w:val="00DD6EA9"/>
    <w:rsid w:val="00DD727D"/>
    <w:rsid w:val="00DD7A13"/>
    <w:rsid w:val="00DD7C14"/>
    <w:rsid w:val="00DD7D0E"/>
    <w:rsid w:val="00DE03A5"/>
    <w:rsid w:val="00DE08C7"/>
    <w:rsid w:val="00DE0E6D"/>
    <w:rsid w:val="00DE0EB5"/>
    <w:rsid w:val="00DE1398"/>
    <w:rsid w:val="00DE171A"/>
    <w:rsid w:val="00DE1B8D"/>
    <w:rsid w:val="00DE1D5B"/>
    <w:rsid w:val="00DE1F53"/>
    <w:rsid w:val="00DE2072"/>
    <w:rsid w:val="00DE29ED"/>
    <w:rsid w:val="00DE2CBB"/>
    <w:rsid w:val="00DE35F9"/>
    <w:rsid w:val="00DE3B90"/>
    <w:rsid w:val="00DE4272"/>
    <w:rsid w:val="00DE601B"/>
    <w:rsid w:val="00DE6193"/>
    <w:rsid w:val="00DE6AC1"/>
    <w:rsid w:val="00DE6C13"/>
    <w:rsid w:val="00DE72BD"/>
    <w:rsid w:val="00DE7317"/>
    <w:rsid w:val="00DE7B7C"/>
    <w:rsid w:val="00DF034F"/>
    <w:rsid w:val="00DF0F5F"/>
    <w:rsid w:val="00DF1F5B"/>
    <w:rsid w:val="00DF2AA2"/>
    <w:rsid w:val="00DF2D46"/>
    <w:rsid w:val="00DF313C"/>
    <w:rsid w:val="00DF355B"/>
    <w:rsid w:val="00DF3669"/>
    <w:rsid w:val="00DF38C7"/>
    <w:rsid w:val="00DF3EF5"/>
    <w:rsid w:val="00DF475C"/>
    <w:rsid w:val="00DF49E0"/>
    <w:rsid w:val="00DF4AF1"/>
    <w:rsid w:val="00DF5892"/>
    <w:rsid w:val="00DF62CE"/>
    <w:rsid w:val="00DF650A"/>
    <w:rsid w:val="00DF66BE"/>
    <w:rsid w:val="00DF6A61"/>
    <w:rsid w:val="00DF6CC4"/>
    <w:rsid w:val="00DF7A44"/>
    <w:rsid w:val="00DF7F33"/>
    <w:rsid w:val="00E000CD"/>
    <w:rsid w:val="00E0026C"/>
    <w:rsid w:val="00E00405"/>
    <w:rsid w:val="00E008ED"/>
    <w:rsid w:val="00E00C79"/>
    <w:rsid w:val="00E013F4"/>
    <w:rsid w:val="00E01614"/>
    <w:rsid w:val="00E0228B"/>
    <w:rsid w:val="00E02989"/>
    <w:rsid w:val="00E02AAD"/>
    <w:rsid w:val="00E02F20"/>
    <w:rsid w:val="00E047AF"/>
    <w:rsid w:val="00E04844"/>
    <w:rsid w:val="00E04BE4"/>
    <w:rsid w:val="00E04F36"/>
    <w:rsid w:val="00E051CD"/>
    <w:rsid w:val="00E0538B"/>
    <w:rsid w:val="00E05C04"/>
    <w:rsid w:val="00E06D0D"/>
    <w:rsid w:val="00E077A8"/>
    <w:rsid w:val="00E07855"/>
    <w:rsid w:val="00E07A26"/>
    <w:rsid w:val="00E07DB5"/>
    <w:rsid w:val="00E100E7"/>
    <w:rsid w:val="00E1035C"/>
    <w:rsid w:val="00E1049D"/>
    <w:rsid w:val="00E10706"/>
    <w:rsid w:val="00E108FC"/>
    <w:rsid w:val="00E10CE6"/>
    <w:rsid w:val="00E1190C"/>
    <w:rsid w:val="00E11DC1"/>
    <w:rsid w:val="00E1263A"/>
    <w:rsid w:val="00E12B1C"/>
    <w:rsid w:val="00E12CB9"/>
    <w:rsid w:val="00E12E4A"/>
    <w:rsid w:val="00E12F2B"/>
    <w:rsid w:val="00E13158"/>
    <w:rsid w:val="00E13965"/>
    <w:rsid w:val="00E13DD4"/>
    <w:rsid w:val="00E14A51"/>
    <w:rsid w:val="00E14CAD"/>
    <w:rsid w:val="00E156D0"/>
    <w:rsid w:val="00E1599C"/>
    <w:rsid w:val="00E15DC8"/>
    <w:rsid w:val="00E1647E"/>
    <w:rsid w:val="00E16D74"/>
    <w:rsid w:val="00E1721C"/>
    <w:rsid w:val="00E1726D"/>
    <w:rsid w:val="00E17886"/>
    <w:rsid w:val="00E17DC5"/>
    <w:rsid w:val="00E17E9D"/>
    <w:rsid w:val="00E21131"/>
    <w:rsid w:val="00E217E3"/>
    <w:rsid w:val="00E219D4"/>
    <w:rsid w:val="00E21C56"/>
    <w:rsid w:val="00E21D09"/>
    <w:rsid w:val="00E21EA9"/>
    <w:rsid w:val="00E22C97"/>
    <w:rsid w:val="00E23387"/>
    <w:rsid w:val="00E23693"/>
    <w:rsid w:val="00E23EA3"/>
    <w:rsid w:val="00E2470A"/>
    <w:rsid w:val="00E24B84"/>
    <w:rsid w:val="00E2554E"/>
    <w:rsid w:val="00E25C27"/>
    <w:rsid w:val="00E25FB7"/>
    <w:rsid w:val="00E26762"/>
    <w:rsid w:val="00E2689F"/>
    <w:rsid w:val="00E27062"/>
    <w:rsid w:val="00E27097"/>
    <w:rsid w:val="00E27346"/>
    <w:rsid w:val="00E27559"/>
    <w:rsid w:val="00E279D3"/>
    <w:rsid w:val="00E30278"/>
    <w:rsid w:val="00E305C0"/>
    <w:rsid w:val="00E31006"/>
    <w:rsid w:val="00E31940"/>
    <w:rsid w:val="00E3196A"/>
    <w:rsid w:val="00E32213"/>
    <w:rsid w:val="00E32B77"/>
    <w:rsid w:val="00E32D8C"/>
    <w:rsid w:val="00E32F75"/>
    <w:rsid w:val="00E332BF"/>
    <w:rsid w:val="00E34130"/>
    <w:rsid w:val="00E34488"/>
    <w:rsid w:val="00E34CFC"/>
    <w:rsid w:val="00E35030"/>
    <w:rsid w:val="00E354FB"/>
    <w:rsid w:val="00E355EE"/>
    <w:rsid w:val="00E3576C"/>
    <w:rsid w:val="00E35A97"/>
    <w:rsid w:val="00E35CA0"/>
    <w:rsid w:val="00E35D31"/>
    <w:rsid w:val="00E35D5B"/>
    <w:rsid w:val="00E378E0"/>
    <w:rsid w:val="00E37966"/>
    <w:rsid w:val="00E37ED8"/>
    <w:rsid w:val="00E40566"/>
    <w:rsid w:val="00E4057E"/>
    <w:rsid w:val="00E4136F"/>
    <w:rsid w:val="00E4161D"/>
    <w:rsid w:val="00E4171E"/>
    <w:rsid w:val="00E41BCB"/>
    <w:rsid w:val="00E427BA"/>
    <w:rsid w:val="00E42D15"/>
    <w:rsid w:val="00E430FA"/>
    <w:rsid w:val="00E43121"/>
    <w:rsid w:val="00E448D5"/>
    <w:rsid w:val="00E44949"/>
    <w:rsid w:val="00E44CC5"/>
    <w:rsid w:val="00E44E19"/>
    <w:rsid w:val="00E44F58"/>
    <w:rsid w:val="00E45933"/>
    <w:rsid w:val="00E462DA"/>
    <w:rsid w:val="00E476D0"/>
    <w:rsid w:val="00E47783"/>
    <w:rsid w:val="00E47BA2"/>
    <w:rsid w:val="00E5028D"/>
    <w:rsid w:val="00E507F5"/>
    <w:rsid w:val="00E50DF8"/>
    <w:rsid w:val="00E51204"/>
    <w:rsid w:val="00E5185A"/>
    <w:rsid w:val="00E51BF5"/>
    <w:rsid w:val="00E51F22"/>
    <w:rsid w:val="00E5206F"/>
    <w:rsid w:val="00E52A29"/>
    <w:rsid w:val="00E5368E"/>
    <w:rsid w:val="00E53DE6"/>
    <w:rsid w:val="00E541F9"/>
    <w:rsid w:val="00E5422D"/>
    <w:rsid w:val="00E545D8"/>
    <w:rsid w:val="00E54A10"/>
    <w:rsid w:val="00E553B7"/>
    <w:rsid w:val="00E55F7A"/>
    <w:rsid w:val="00E567DB"/>
    <w:rsid w:val="00E574C3"/>
    <w:rsid w:val="00E5759A"/>
    <w:rsid w:val="00E60629"/>
    <w:rsid w:val="00E61245"/>
    <w:rsid w:val="00E61B54"/>
    <w:rsid w:val="00E621F5"/>
    <w:rsid w:val="00E62206"/>
    <w:rsid w:val="00E62660"/>
    <w:rsid w:val="00E62774"/>
    <w:rsid w:val="00E62E09"/>
    <w:rsid w:val="00E62F04"/>
    <w:rsid w:val="00E631DD"/>
    <w:rsid w:val="00E635C3"/>
    <w:rsid w:val="00E63A5F"/>
    <w:rsid w:val="00E63BFF"/>
    <w:rsid w:val="00E647F4"/>
    <w:rsid w:val="00E64F56"/>
    <w:rsid w:val="00E651ED"/>
    <w:rsid w:val="00E665D1"/>
    <w:rsid w:val="00E66DF6"/>
    <w:rsid w:val="00E66EF5"/>
    <w:rsid w:val="00E67081"/>
    <w:rsid w:val="00E675A0"/>
    <w:rsid w:val="00E6786C"/>
    <w:rsid w:val="00E7118C"/>
    <w:rsid w:val="00E71CDF"/>
    <w:rsid w:val="00E71E5F"/>
    <w:rsid w:val="00E720F8"/>
    <w:rsid w:val="00E7224B"/>
    <w:rsid w:val="00E72F17"/>
    <w:rsid w:val="00E733F2"/>
    <w:rsid w:val="00E7364F"/>
    <w:rsid w:val="00E73665"/>
    <w:rsid w:val="00E73A65"/>
    <w:rsid w:val="00E7448A"/>
    <w:rsid w:val="00E745C3"/>
    <w:rsid w:val="00E745DC"/>
    <w:rsid w:val="00E74B2A"/>
    <w:rsid w:val="00E74BAB"/>
    <w:rsid w:val="00E75029"/>
    <w:rsid w:val="00E75905"/>
    <w:rsid w:val="00E760FF"/>
    <w:rsid w:val="00E76DF3"/>
    <w:rsid w:val="00E772FF"/>
    <w:rsid w:val="00E777E7"/>
    <w:rsid w:val="00E8009C"/>
    <w:rsid w:val="00E8091B"/>
    <w:rsid w:val="00E80BD2"/>
    <w:rsid w:val="00E80C91"/>
    <w:rsid w:val="00E810B6"/>
    <w:rsid w:val="00E81501"/>
    <w:rsid w:val="00E8221F"/>
    <w:rsid w:val="00E82279"/>
    <w:rsid w:val="00E828DC"/>
    <w:rsid w:val="00E82F0E"/>
    <w:rsid w:val="00E8381C"/>
    <w:rsid w:val="00E83987"/>
    <w:rsid w:val="00E83D12"/>
    <w:rsid w:val="00E83F8C"/>
    <w:rsid w:val="00E842E3"/>
    <w:rsid w:val="00E84FD7"/>
    <w:rsid w:val="00E851BA"/>
    <w:rsid w:val="00E85412"/>
    <w:rsid w:val="00E85F40"/>
    <w:rsid w:val="00E862B3"/>
    <w:rsid w:val="00E865F8"/>
    <w:rsid w:val="00E8703F"/>
    <w:rsid w:val="00E870F9"/>
    <w:rsid w:val="00E8770C"/>
    <w:rsid w:val="00E87793"/>
    <w:rsid w:val="00E87E28"/>
    <w:rsid w:val="00E905B5"/>
    <w:rsid w:val="00E90609"/>
    <w:rsid w:val="00E90A3E"/>
    <w:rsid w:val="00E91775"/>
    <w:rsid w:val="00E917DE"/>
    <w:rsid w:val="00E91D47"/>
    <w:rsid w:val="00E92AD7"/>
    <w:rsid w:val="00E9341D"/>
    <w:rsid w:val="00E93818"/>
    <w:rsid w:val="00E94B67"/>
    <w:rsid w:val="00E9528A"/>
    <w:rsid w:val="00E953CB"/>
    <w:rsid w:val="00E95CFF"/>
    <w:rsid w:val="00E96545"/>
    <w:rsid w:val="00E9677D"/>
    <w:rsid w:val="00E96FD1"/>
    <w:rsid w:val="00E97057"/>
    <w:rsid w:val="00E97EE1"/>
    <w:rsid w:val="00EA0B11"/>
    <w:rsid w:val="00EA0D00"/>
    <w:rsid w:val="00EA111A"/>
    <w:rsid w:val="00EA2124"/>
    <w:rsid w:val="00EA24C3"/>
    <w:rsid w:val="00EA2BC7"/>
    <w:rsid w:val="00EA2D53"/>
    <w:rsid w:val="00EA2D78"/>
    <w:rsid w:val="00EA3717"/>
    <w:rsid w:val="00EA379D"/>
    <w:rsid w:val="00EA40BA"/>
    <w:rsid w:val="00EA4135"/>
    <w:rsid w:val="00EA4291"/>
    <w:rsid w:val="00EA4672"/>
    <w:rsid w:val="00EA50C3"/>
    <w:rsid w:val="00EA5444"/>
    <w:rsid w:val="00EA5734"/>
    <w:rsid w:val="00EA6B49"/>
    <w:rsid w:val="00EA71AB"/>
    <w:rsid w:val="00EA7472"/>
    <w:rsid w:val="00EA7589"/>
    <w:rsid w:val="00EA7BB7"/>
    <w:rsid w:val="00EB0142"/>
    <w:rsid w:val="00EB05A4"/>
    <w:rsid w:val="00EB1032"/>
    <w:rsid w:val="00EB1489"/>
    <w:rsid w:val="00EB1CB3"/>
    <w:rsid w:val="00EB1FE9"/>
    <w:rsid w:val="00EB2391"/>
    <w:rsid w:val="00EB2A93"/>
    <w:rsid w:val="00EB409F"/>
    <w:rsid w:val="00EB425F"/>
    <w:rsid w:val="00EB43A7"/>
    <w:rsid w:val="00EB553C"/>
    <w:rsid w:val="00EB5939"/>
    <w:rsid w:val="00EB5D87"/>
    <w:rsid w:val="00EB5EAB"/>
    <w:rsid w:val="00EB5FC2"/>
    <w:rsid w:val="00EB6112"/>
    <w:rsid w:val="00EB6181"/>
    <w:rsid w:val="00EB66E7"/>
    <w:rsid w:val="00EB6E1B"/>
    <w:rsid w:val="00EB6F54"/>
    <w:rsid w:val="00EB6F77"/>
    <w:rsid w:val="00EB71C5"/>
    <w:rsid w:val="00EB7811"/>
    <w:rsid w:val="00EB7959"/>
    <w:rsid w:val="00EB7B9C"/>
    <w:rsid w:val="00EB7D71"/>
    <w:rsid w:val="00EC085C"/>
    <w:rsid w:val="00EC1112"/>
    <w:rsid w:val="00EC2AB6"/>
    <w:rsid w:val="00EC3716"/>
    <w:rsid w:val="00EC44BF"/>
    <w:rsid w:val="00EC4ED9"/>
    <w:rsid w:val="00EC5FD3"/>
    <w:rsid w:val="00EC63B5"/>
    <w:rsid w:val="00EC64B2"/>
    <w:rsid w:val="00EC6B16"/>
    <w:rsid w:val="00EC6DF0"/>
    <w:rsid w:val="00EC70F7"/>
    <w:rsid w:val="00EC76A9"/>
    <w:rsid w:val="00EC7D37"/>
    <w:rsid w:val="00ED0F03"/>
    <w:rsid w:val="00ED13A2"/>
    <w:rsid w:val="00ED1651"/>
    <w:rsid w:val="00ED177C"/>
    <w:rsid w:val="00ED1DA3"/>
    <w:rsid w:val="00ED1E16"/>
    <w:rsid w:val="00ED2935"/>
    <w:rsid w:val="00ED2A45"/>
    <w:rsid w:val="00ED2EBA"/>
    <w:rsid w:val="00ED3746"/>
    <w:rsid w:val="00ED4241"/>
    <w:rsid w:val="00ED4601"/>
    <w:rsid w:val="00ED4A50"/>
    <w:rsid w:val="00ED4AC5"/>
    <w:rsid w:val="00ED5AAE"/>
    <w:rsid w:val="00ED5E7B"/>
    <w:rsid w:val="00ED66C7"/>
    <w:rsid w:val="00ED6FE5"/>
    <w:rsid w:val="00ED7049"/>
    <w:rsid w:val="00ED7692"/>
    <w:rsid w:val="00ED7B3B"/>
    <w:rsid w:val="00EE09B5"/>
    <w:rsid w:val="00EE1BA0"/>
    <w:rsid w:val="00EE2355"/>
    <w:rsid w:val="00EE321F"/>
    <w:rsid w:val="00EE32FD"/>
    <w:rsid w:val="00EE3BF1"/>
    <w:rsid w:val="00EE407D"/>
    <w:rsid w:val="00EE4091"/>
    <w:rsid w:val="00EE44DB"/>
    <w:rsid w:val="00EE4939"/>
    <w:rsid w:val="00EE51A2"/>
    <w:rsid w:val="00EE5222"/>
    <w:rsid w:val="00EE58D3"/>
    <w:rsid w:val="00EE5C93"/>
    <w:rsid w:val="00EE6144"/>
    <w:rsid w:val="00EE6331"/>
    <w:rsid w:val="00EE6DE7"/>
    <w:rsid w:val="00EE78B1"/>
    <w:rsid w:val="00EE7B30"/>
    <w:rsid w:val="00EE7B5D"/>
    <w:rsid w:val="00EF0464"/>
    <w:rsid w:val="00EF0707"/>
    <w:rsid w:val="00EF0940"/>
    <w:rsid w:val="00EF114B"/>
    <w:rsid w:val="00EF1745"/>
    <w:rsid w:val="00EF1935"/>
    <w:rsid w:val="00EF1CC5"/>
    <w:rsid w:val="00EF2026"/>
    <w:rsid w:val="00EF2624"/>
    <w:rsid w:val="00EF2685"/>
    <w:rsid w:val="00EF2D4E"/>
    <w:rsid w:val="00EF2E81"/>
    <w:rsid w:val="00EF3585"/>
    <w:rsid w:val="00EF4429"/>
    <w:rsid w:val="00EF51B4"/>
    <w:rsid w:val="00EF54F5"/>
    <w:rsid w:val="00EF5F48"/>
    <w:rsid w:val="00EF621A"/>
    <w:rsid w:val="00EF65FC"/>
    <w:rsid w:val="00EF6DBA"/>
    <w:rsid w:val="00EF7386"/>
    <w:rsid w:val="00EF7E14"/>
    <w:rsid w:val="00F00F82"/>
    <w:rsid w:val="00F00FF6"/>
    <w:rsid w:val="00F01037"/>
    <w:rsid w:val="00F01303"/>
    <w:rsid w:val="00F01530"/>
    <w:rsid w:val="00F01A3F"/>
    <w:rsid w:val="00F01C7A"/>
    <w:rsid w:val="00F02890"/>
    <w:rsid w:val="00F03328"/>
    <w:rsid w:val="00F03AE4"/>
    <w:rsid w:val="00F03BC1"/>
    <w:rsid w:val="00F03F8E"/>
    <w:rsid w:val="00F043EB"/>
    <w:rsid w:val="00F0484A"/>
    <w:rsid w:val="00F049E4"/>
    <w:rsid w:val="00F04C31"/>
    <w:rsid w:val="00F063C6"/>
    <w:rsid w:val="00F06451"/>
    <w:rsid w:val="00F06BE8"/>
    <w:rsid w:val="00F071E2"/>
    <w:rsid w:val="00F07680"/>
    <w:rsid w:val="00F07D1C"/>
    <w:rsid w:val="00F07FD0"/>
    <w:rsid w:val="00F10CDC"/>
    <w:rsid w:val="00F112AC"/>
    <w:rsid w:val="00F1167C"/>
    <w:rsid w:val="00F120B2"/>
    <w:rsid w:val="00F12769"/>
    <w:rsid w:val="00F12828"/>
    <w:rsid w:val="00F12B60"/>
    <w:rsid w:val="00F13481"/>
    <w:rsid w:val="00F1384A"/>
    <w:rsid w:val="00F138AD"/>
    <w:rsid w:val="00F13AF0"/>
    <w:rsid w:val="00F13B63"/>
    <w:rsid w:val="00F13C90"/>
    <w:rsid w:val="00F13F7A"/>
    <w:rsid w:val="00F14100"/>
    <w:rsid w:val="00F14346"/>
    <w:rsid w:val="00F14FCA"/>
    <w:rsid w:val="00F150C4"/>
    <w:rsid w:val="00F15127"/>
    <w:rsid w:val="00F152B4"/>
    <w:rsid w:val="00F154E4"/>
    <w:rsid w:val="00F16841"/>
    <w:rsid w:val="00F168ED"/>
    <w:rsid w:val="00F16DB8"/>
    <w:rsid w:val="00F16DCE"/>
    <w:rsid w:val="00F17740"/>
    <w:rsid w:val="00F17CB4"/>
    <w:rsid w:val="00F17F0E"/>
    <w:rsid w:val="00F205BD"/>
    <w:rsid w:val="00F207D3"/>
    <w:rsid w:val="00F22219"/>
    <w:rsid w:val="00F22EA6"/>
    <w:rsid w:val="00F233B7"/>
    <w:rsid w:val="00F2355B"/>
    <w:rsid w:val="00F235CD"/>
    <w:rsid w:val="00F2398C"/>
    <w:rsid w:val="00F23C1B"/>
    <w:rsid w:val="00F24665"/>
    <w:rsid w:val="00F24F99"/>
    <w:rsid w:val="00F2516C"/>
    <w:rsid w:val="00F2527B"/>
    <w:rsid w:val="00F2608E"/>
    <w:rsid w:val="00F2660C"/>
    <w:rsid w:val="00F26959"/>
    <w:rsid w:val="00F26995"/>
    <w:rsid w:val="00F27B6E"/>
    <w:rsid w:val="00F27CB4"/>
    <w:rsid w:val="00F3030D"/>
    <w:rsid w:val="00F30706"/>
    <w:rsid w:val="00F31184"/>
    <w:rsid w:val="00F31AA7"/>
    <w:rsid w:val="00F323BC"/>
    <w:rsid w:val="00F326DA"/>
    <w:rsid w:val="00F32A91"/>
    <w:rsid w:val="00F352DF"/>
    <w:rsid w:val="00F365CF"/>
    <w:rsid w:val="00F369AA"/>
    <w:rsid w:val="00F36E04"/>
    <w:rsid w:val="00F36EEF"/>
    <w:rsid w:val="00F36FEC"/>
    <w:rsid w:val="00F37C2F"/>
    <w:rsid w:val="00F40105"/>
    <w:rsid w:val="00F40B50"/>
    <w:rsid w:val="00F40B85"/>
    <w:rsid w:val="00F40DB9"/>
    <w:rsid w:val="00F410AB"/>
    <w:rsid w:val="00F410F1"/>
    <w:rsid w:val="00F41BE3"/>
    <w:rsid w:val="00F42657"/>
    <w:rsid w:val="00F42703"/>
    <w:rsid w:val="00F42921"/>
    <w:rsid w:val="00F42D86"/>
    <w:rsid w:val="00F42F1E"/>
    <w:rsid w:val="00F43A82"/>
    <w:rsid w:val="00F4431A"/>
    <w:rsid w:val="00F44C5C"/>
    <w:rsid w:val="00F45CE6"/>
    <w:rsid w:val="00F45DCE"/>
    <w:rsid w:val="00F4629B"/>
    <w:rsid w:val="00F467E3"/>
    <w:rsid w:val="00F4681E"/>
    <w:rsid w:val="00F474D7"/>
    <w:rsid w:val="00F4756E"/>
    <w:rsid w:val="00F477D1"/>
    <w:rsid w:val="00F507D7"/>
    <w:rsid w:val="00F50DC7"/>
    <w:rsid w:val="00F51F05"/>
    <w:rsid w:val="00F52391"/>
    <w:rsid w:val="00F524C3"/>
    <w:rsid w:val="00F52557"/>
    <w:rsid w:val="00F525E3"/>
    <w:rsid w:val="00F52634"/>
    <w:rsid w:val="00F52697"/>
    <w:rsid w:val="00F527D7"/>
    <w:rsid w:val="00F5310D"/>
    <w:rsid w:val="00F531C8"/>
    <w:rsid w:val="00F53279"/>
    <w:rsid w:val="00F53353"/>
    <w:rsid w:val="00F54B2D"/>
    <w:rsid w:val="00F54FB9"/>
    <w:rsid w:val="00F551C8"/>
    <w:rsid w:val="00F5574D"/>
    <w:rsid w:val="00F558B6"/>
    <w:rsid w:val="00F559B4"/>
    <w:rsid w:val="00F56169"/>
    <w:rsid w:val="00F56503"/>
    <w:rsid w:val="00F5655C"/>
    <w:rsid w:val="00F569A7"/>
    <w:rsid w:val="00F56FA9"/>
    <w:rsid w:val="00F5733D"/>
    <w:rsid w:val="00F578B4"/>
    <w:rsid w:val="00F603D1"/>
    <w:rsid w:val="00F60833"/>
    <w:rsid w:val="00F60DC6"/>
    <w:rsid w:val="00F6150A"/>
    <w:rsid w:val="00F61656"/>
    <w:rsid w:val="00F61B92"/>
    <w:rsid w:val="00F622F0"/>
    <w:rsid w:val="00F62FF1"/>
    <w:rsid w:val="00F63286"/>
    <w:rsid w:val="00F63328"/>
    <w:rsid w:val="00F637B2"/>
    <w:rsid w:val="00F638ED"/>
    <w:rsid w:val="00F63C2E"/>
    <w:rsid w:val="00F63EEB"/>
    <w:rsid w:val="00F6570A"/>
    <w:rsid w:val="00F65758"/>
    <w:rsid w:val="00F65D32"/>
    <w:rsid w:val="00F65E3E"/>
    <w:rsid w:val="00F6656D"/>
    <w:rsid w:val="00F66734"/>
    <w:rsid w:val="00F66D4E"/>
    <w:rsid w:val="00F66F0E"/>
    <w:rsid w:val="00F66F99"/>
    <w:rsid w:val="00F67AC7"/>
    <w:rsid w:val="00F700FC"/>
    <w:rsid w:val="00F70CD1"/>
    <w:rsid w:val="00F71E72"/>
    <w:rsid w:val="00F71E98"/>
    <w:rsid w:val="00F72328"/>
    <w:rsid w:val="00F7253A"/>
    <w:rsid w:val="00F7278B"/>
    <w:rsid w:val="00F72D34"/>
    <w:rsid w:val="00F72F30"/>
    <w:rsid w:val="00F72F97"/>
    <w:rsid w:val="00F72FEA"/>
    <w:rsid w:val="00F73347"/>
    <w:rsid w:val="00F73895"/>
    <w:rsid w:val="00F73FA4"/>
    <w:rsid w:val="00F745A7"/>
    <w:rsid w:val="00F74A93"/>
    <w:rsid w:val="00F74C36"/>
    <w:rsid w:val="00F74E6B"/>
    <w:rsid w:val="00F7519C"/>
    <w:rsid w:val="00F751C3"/>
    <w:rsid w:val="00F755E5"/>
    <w:rsid w:val="00F765F4"/>
    <w:rsid w:val="00F7679E"/>
    <w:rsid w:val="00F77112"/>
    <w:rsid w:val="00F77403"/>
    <w:rsid w:val="00F77907"/>
    <w:rsid w:val="00F77C42"/>
    <w:rsid w:val="00F80166"/>
    <w:rsid w:val="00F80F53"/>
    <w:rsid w:val="00F82182"/>
    <w:rsid w:val="00F82221"/>
    <w:rsid w:val="00F8358E"/>
    <w:rsid w:val="00F835D3"/>
    <w:rsid w:val="00F839E4"/>
    <w:rsid w:val="00F83E76"/>
    <w:rsid w:val="00F84931"/>
    <w:rsid w:val="00F84D61"/>
    <w:rsid w:val="00F84E2B"/>
    <w:rsid w:val="00F8516A"/>
    <w:rsid w:val="00F85E79"/>
    <w:rsid w:val="00F862B9"/>
    <w:rsid w:val="00F86C7B"/>
    <w:rsid w:val="00F86EDF"/>
    <w:rsid w:val="00F875ED"/>
    <w:rsid w:val="00F90278"/>
    <w:rsid w:val="00F916CF"/>
    <w:rsid w:val="00F91A29"/>
    <w:rsid w:val="00F91CAA"/>
    <w:rsid w:val="00F926A7"/>
    <w:rsid w:val="00F927E0"/>
    <w:rsid w:val="00F92C10"/>
    <w:rsid w:val="00F93194"/>
    <w:rsid w:val="00F93210"/>
    <w:rsid w:val="00F933E0"/>
    <w:rsid w:val="00F933FA"/>
    <w:rsid w:val="00F9353F"/>
    <w:rsid w:val="00F93AB2"/>
    <w:rsid w:val="00F93F3A"/>
    <w:rsid w:val="00F94760"/>
    <w:rsid w:val="00F949A8"/>
    <w:rsid w:val="00F94B85"/>
    <w:rsid w:val="00F951D5"/>
    <w:rsid w:val="00F953F7"/>
    <w:rsid w:val="00F959ED"/>
    <w:rsid w:val="00F95A62"/>
    <w:rsid w:val="00F95C80"/>
    <w:rsid w:val="00F962D8"/>
    <w:rsid w:val="00F9714E"/>
    <w:rsid w:val="00F973F3"/>
    <w:rsid w:val="00F97A62"/>
    <w:rsid w:val="00FA038F"/>
    <w:rsid w:val="00FA081D"/>
    <w:rsid w:val="00FA126A"/>
    <w:rsid w:val="00FA149D"/>
    <w:rsid w:val="00FA15AF"/>
    <w:rsid w:val="00FA1B0B"/>
    <w:rsid w:val="00FA1E32"/>
    <w:rsid w:val="00FA2757"/>
    <w:rsid w:val="00FA34E6"/>
    <w:rsid w:val="00FA3557"/>
    <w:rsid w:val="00FA453C"/>
    <w:rsid w:val="00FA5255"/>
    <w:rsid w:val="00FA54A2"/>
    <w:rsid w:val="00FA5751"/>
    <w:rsid w:val="00FA5E8C"/>
    <w:rsid w:val="00FA677D"/>
    <w:rsid w:val="00FA6A72"/>
    <w:rsid w:val="00FA7104"/>
    <w:rsid w:val="00FA7A1E"/>
    <w:rsid w:val="00FB091E"/>
    <w:rsid w:val="00FB0D2A"/>
    <w:rsid w:val="00FB114F"/>
    <w:rsid w:val="00FB1248"/>
    <w:rsid w:val="00FB1B43"/>
    <w:rsid w:val="00FB2154"/>
    <w:rsid w:val="00FB24FC"/>
    <w:rsid w:val="00FB2533"/>
    <w:rsid w:val="00FB2B87"/>
    <w:rsid w:val="00FB2B98"/>
    <w:rsid w:val="00FB35D6"/>
    <w:rsid w:val="00FB36BB"/>
    <w:rsid w:val="00FB4941"/>
    <w:rsid w:val="00FB4E37"/>
    <w:rsid w:val="00FB5293"/>
    <w:rsid w:val="00FB54B2"/>
    <w:rsid w:val="00FB5918"/>
    <w:rsid w:val="00FB59A9"/>
    <w:rsid w:val="00FB6981"/>
    <w:rsid w:val="00FB73BA"/>
    <w:rsid w:val="00FB7421"/>
    <w:rsid w:val="00FC00DF"/>
    <w:rsid w:val="00FC0267"/>
    <w:rsid w:val="00FC03D7"/>
    <w:rsid w:val="00FC0B6B"/>
    <w:rsid w:val="00FC0F28"/>
    <w:rsid w:val="00FC11E1"/>
    <w:rsid w:val="00FC225E"/>
    <w:rsid w:val="00FC262A"/>
    <w:rsid w:val="00FC293E"/>
    <w:rsid w:val="00FC2E5F"/>
    <w:rsid w:val="00FC3994"/>
    <w:rsid w:val="00FC42BF"/>
    <w:rsid w:val="00FC453A"/>
    <w:rsid w:val="00FC4F6E"/>
    <w:rsid w:val="00FC57BF"/>
    <w:rsid w:val="00FC5B79"/>
    <w:rsid w:val="00FC5F53"/>
    <w:rsid w:val="00FC643B"/>
    <w:rsid w:val="00FC653A"/>
    <w:rsid w:val="00FC6A26"/>
    <w:rsid w:val="00FC6ACB"/>
    <w:rsid w:val="00FC6B19"/>
    <w:rsid w:val="00FC6DAC"/>
    <w:rsid w:val="00FC73ED"/>
    <w:rsid w:val="00FC7451"/>
    <w:rsid w:val="00FC7B5A"/>
    <w:rsid w:val="00FC7D5A"/>
    <w:rsid w:val="00FD0465"/>
    <w:rsid w:val="00FD0470"/>
    <w:rsid w:val="00FD071E"/>
    <w:rsid w:val="00FD0D21"/>
    <w:rsid w:val="00FD0FC0"/>
    <w:rsid w:val="00FD267A"/>
    <w:rsid w:val="00FD2B7B"/>
    <w:rsid w:val="00FD2DD7"/>
    <w:rsid w:val="00FD358A"/>
    <w:rsid w:val="00FD4226"/>
    <w:rsid w:val="00FD4235"/>
    <w:rsid w:val="00FD47F6"/>
    <w:rsid w:val="00FD52A9"/>
    <w:rsid w:val="00FD56F0"/>
    <w:rsid w:val="00FD5CE0"/>
    <w:rsid w:val="00FD6057"/>
    <w:rsid w:val="00FD6627"/>
    <w:rsid w:val="00FD67A0"/>
    <w:rsid w:val="00FD6EBE"/>
    <w:rsid w:val="00FD7188"/>
    <w:rsid w:val="00FD7499"/>
    <w:rsid w:val="00FD776B"/>
    <w:rsid w:val="00FD795E"/>
    <w:rsid w:val="00FD7B54"/>
    <w:rsid w:val="00FD7E2D"/>
    <w:rsid w:val="00FE097B"/>
    <w:rsid w:val="00FE1054"/>
    <w:rsid w:val="00FE11FA"/>
    <w:rsid w:val="00FE22A2"/>
    <w:rsid w:val="00FE23F8"/>
    <w:rsid w:val="00FE2A08"/>
    <w:rsid w:val="00FE33D1"/>
    <w:rsid w:val="00FE3684"/>
    <w:rsid w:val="00FE37F8"/>
    <w:rsid w:val="00FE3DAF"/>
    <w:rsid w:val="00FE47BF"/>
    <w:rsid w:val="00FE482D"/>
    <w:rsid w:val="00FE4A31"/>
    <w:rsid w:val="00FE4C81"/>
    <w:rsid w:val="00FE4D03"/>
    <w:rsid w:val="00FE5ADC"/>
    <w:rsid w:val="00FE5F13"/>
    <w:rsid w:val="00FE638B"/>
    <w:rsid w:val="00FE6423"/>
    <w:rsid w:val="00FE6632"/>
    <w:rsid w:val="00FE6700"/>
    <w:rsid w:val="00FE7B94"/>
    <w:rsid w:val="00FF08F1"/>
    <w:rsid w:val="00FF0AA9"/>
    <w:rsid w:val="00FF0C50"/>
    <w:rsid w:val="00FF0FFB"/>
    <w:rsid w:val="00FF1506"/>
    <w:rsid w:val="00FF167A"/>
    <w:rsid w:val="00FF1A5C"/>
    <w:rsid w:val="00FF1B74"/>
    <w:rsid w:val="00FF2364"/>
    <w:rsid w:val="00FF2731"/>
    <w:rsid w:val="00FF2C16"/>
    <w:rsid w:val="00FF2EA7"/>
    <w:rsid w:val="00FF305E"/>
    <w:rsid w:val="00FF322D"/>
    <w:rsid w:val="00FF32E9"/>
    <w:rsid w:val="00FF42CF"/>
    <w:rsid w:val="00FF4721"/>
    <w:rsid w:val="00FF48ED"/>
    <w:rsid w:val="00FF5CDC"/>
    <w:rsid w:val="00FF6F70"/>
    <w:rsid w:val="00FF7023"/>
    <w:rsid w:val="00FF72E5"/>
    <w:rsid w:val="00FF7D25"/>
    <w:rsid w:val="01042E39"/>
    <w:rsid w:val="01060B15"/>
    <w:rsid w:val="010911A3"/>
    <w:rsid w:val="010A34E4"/>
    <w:rsid w:val="010B0AC8"/>
    <w:rsid w:val="01102F03"/>
    <w:rsid w:val="01111FE9"/>
    <w:rsid w:val="01162075"/>
    <w:rsid w:val="01237DED"/>
    <w:rsid w:val="012D66CB"/>
    <w:rsid w:val="01365AE2"/>
    <w:rsid w:val="013B3E05"/>
    <w:rsid w:val="014577E3"/>
    <w:rsid w:val="01486753"/>
    <w:rsid w:val="014D5ED4"/>
    <w:rsid w:val="014E304B"/>
    <w:rsid w:val="014F03EF"/>
    <w:rsid w:val="01510B7E"/>
    <w:rsid w:val="0156177E"/>
    <w:rsid w:val="015A5CB3"/>
    <w:rsid w:val="01674004"/>
    <w:rsid w:val="016E2F6B"/>
    <w:rsid w:val="01741A4F"/>
    <w:rsid w:val="01754A54"/>
    <w:rsid w:val="017A6482"/>
    <w:rsid w:val="018001B5"/>
    <w:rsid w:val="018122B2"/>
    <w:rsid w:val="018554C7"/>
    <w:rsid w:val="01883520"/>
    <w:rsid w:val="018977AB"/>
    <w:rsid w:val="018C16B8"/>
    <w:rsid w:val="01947D8B"/>
    <w:rsid w:val="019B4498"/>
    <w:rsid w:val="019B5EE3"/>
    <w:rsid w:val="01AA1160"/>
    <w:rsid w:val="01AA1AC9"/>
    <w:rsid w:val="01AC01B8"/>
    <w:rsid w:val="01B12E58"/>
    <w:rsid w:val="01B2127A"/>
    <w:rsid w:val="01B3097E"/>
    <w:rsid w:val="01B71243"/>
    <w:rsid w:val="01B96204"/>
    <w:rsid w:val="01C659B2"/>
    <w:rsid w:val="01D715E4"/>
    <w:rsid w:val="01E45FA9"/>
    <w:rsid w:val="01EA5E55"/>
    <w:rsid w:val="01EC19FE"/>
    <w:rsid w:val="01EC725D"/>
    <w:rsid w:val="01EF65A7"/>
    <w:rsid w:val="01F113F4"/>
    <w:rsid w:val="01F406BB"/>
    <w:rsid w:val="01FC1FA9"/>
    <w:rsid w:val="01FF11DB"/>
    <w:rsid w:val="020455F1"/>
    <w:rsid w:val="020658D3"/>
    <w:rsid w:val="020F3DDF"/>
    <w:rsid w:val="02140465"/>
    <w:rsid w:val="021776EC"/>
    <w:rsid w:val="021C2231"/>
    <w:rsid w:val="021F222E"/>
    <w:rsid w:val="02282BC9"/>
    <w:rsid w:val="022C0730"/>
    <w:rsid w:val="023744C1"/>
    <w:rsid w:val="023A4F4B"/>
    <w:rsid w:val="02537A57"/>
    <w:rsid w:val="02630138"/>
    <w:rsid w:val="0265558B"/>
    <w:rsid w:val="026A0EFF"/>
    <w:rsid w:val="027804D1"/>
    <w:rsid w:val="02861DF7"/>
    <w:rsid w:val="028713BC"/>
    <w:rsid w:val="028E58DA"/>
    <w:rsid w:val="02944266"/>
    <w:rsid w:val="02994018"/>
    <w:rsid w:val="029C1412"/>
    <w:rsid w:val="02A14C7A"/>
    <w:rsid w:val="02AE1EB0"/>
    <w:rsid w:val="02B12BD2"/>
    <w:rsid w:val="02B706B6"/>
    <w:rsid w:val="02B80216"/>
    <w:rsid w:val="02BD78CB"/>
    <w:rsid w:val="02BF2642"/>
    <w:rsid w:val="02C32E43"/>
    <w:rsid w:val="02C52C3E"/>
    <w:rsid w:val="02C53B9E"/>
    <w:rsid w:val="02DC0E4C"/>
    <w:rsid w:val="02DF57A3"/>
    <w:rsid w:val="02E354F4"/>
    <w:rsid w:val="02E74086"/>
    <w:rsid w:val="02F238F9"/>
    <w:rsid w:val="02FB46A7"/>
    <w:rsid w:val="030146F0"/>
    <w:rsid w:val="030410AB"/>
    <w:rsid w:val="0306702B"/>
    <w:rsid w:val="030811BE"/>
    <w:rsid w:val="0309245C"/>
    <w:rsid w:val="030A661D"/>
    <w:rsid w:val="031B174F"/>
    <w:rsid w:val="032A5067"/>
    <w:rsid w:val="032C4E8C"/>
    <w:rsid w:val="033144FB"/>
    <w:rsid w:val="03321D76"/>
    <w:rsid w:val="0332621A"/>
    <w:rsid w:val="03351867"/>
    <w:rsid w:val="033968BE"/>
    <w:rsid w:val="03422DE7"/>
    <w:rsid w:val="0347216D"/>
    <w:rsid w:val="034C1FDE"/>
    <w:rsid w:val="034E2364"/>
    <w:rsid w:val="03635C74"/>
    <w:rsid w:val="036363D4"/>
    <w:rsid w:val="036534E2"/>
    <w:rsid w:val="03686275"/>
    <w:rsid w:val="03687D13"/>
    <w:rsid w:val="036A1054"/>
    <w:rsid w:val="036B7036"/>
    <w:rsid w:val="03706BCD"/>
    <w:rsid w:val="03717066"/>
    <w:rsid w:val="037577EA"/>
    <w:rsid w:val="037E320E"/>
    <w:rsid w:val="038028C5"/>
    <w:rsid w:val="03857DB9"/>
    <w:rsid w:val="038D3D53"/>
    <w:rsid w:val="039244A5"/>
    <w:rsid w:val="03924C87"/>
    <w:rsid w:val="039364D3"/>
    <w:rsid w:val="039905DA"/>
    <w:rsid w:val="03A214A6"/>
    <w:rsid w:val="03A72764"/>
    <w:rsid w:val="03B636EC"/>
    <w:rsid w:val="03B665FB"/>
    <w:rsid w:val="03BE22F8"/>
    <w:rsid w:val="03C52734"/>
    <w:rsid w:val="03C74BB5"/>
    <w:rsid w:val="03D55BFC"/>
    <w:rsid w:val="03DB6FED"/>
    <w:rsid w:val="03E74DC5"/>
    <w:rsid w:val="03EC461B"/>
    <w:rsid w:val="03EE2141"/>
    <w:rsid w:val="03EF41C8"/>
    <w:rsid w:val="03FD4132"/>
    <w:rsid w:val="04074FB1"/>
    <w:rsid w:val="041651F4"/>
    <w:rsid w:val="041B5E96"/>
    <w:rsid w:val="041F05AD"/>
    <w:rsid w:val="04294F27"/>
    <w:rsid w:val="042C2460"/>
    <w:rsid w:val="043358A2"/>
    <w:rsid w:val="04424BB0"/>
    <w:rsid w:val="04426977"/>
    <w:rsid w:val="04581E8E"/>
    <w:rsid w:val="045A3333"/>
    <w:rsid w:val="045C3DC9"/>
    <w:rsid w:val="04683158"/>
    <w:rsid w:val="046C723A"/>
    <w:rsid w:val="046E344B"/>
    <w:rsid w:val="04705679"/>
    <w:rsid w:val="04706FFA"/>
    <w:rsid w:val="04755803"/>
    <w:rsid w:val="04772867"/>
    <w:rsid w:val="04774ACF"/>
    <w:rsid w:val="04802EA0"/>
    <w:rsid w:val="0482007E"/>
    <w:rsid w:val="048639CF"/>
    <w:rsid w:val="048E3E45"/>
    <w:rsid w:val="049B38DA"/>
    <w:rsid w:val="049D3B67"/>
    <w:rsid w:val="04A20BFF"/>
    <w:rsid w:val="04A40A52"/>
    <w:rsid w:val="04B33582"/>
    <w:rsid w:val="04BB76A3"/>
    <w:rsid w:val="04BF1FDB"/>
    <w:rsid w:val="04BF3ADE"/>
    <w:rsid w:val="04BF59F8"/>
    <w:rsid w:val="04C904B8"/>
    <w:rsid w:val="04D002A5"/>
    <w:rsid w:val="04D12C50"/>
    <w:rsid w:val="04D63F1D"/>
    <w:rsid w:val="04DB28B4"/>
    <w:rsid w:val="04DF50B0"/>
    <w:rsid w:val="04E11CA6"/>
    <w:rsid w:val="04E12C66"/>
    <w:rsid w:val="04F15CD9"/>
    <w:rsid w:val="04FC6A9A"/>
    <w:rsid w:val="04FE695A"/>
    <w:rsid w:val="04FF5EB3"/>
    <w:rsid w:val="05137703"/>
    <w:rsid w:val="05155281"/>
    <w:rsid w:val="05264C43"/>
    <w:rsid w:val="052664C1"/>
    <w:rsid w:val="052E656D"/>
    <w:rsid w:val="05325CE0"/>
    <w:rsid w:val="0537640D"/>
    <w:rsid w:val="053843EC"/>
    <w:rsid w:val="05452235"/>
    <w:rsid w:val="054A784B"/>
    <w:rsid w:val="054F0585"/>
    <w:rsid w:val="055E1C2A"/>
    <w:rsid w:val="056D5624"/>
    <w:rsid w:val="057160CE"/>
    <w:rsid w:val="057226F9"/>
    <w:rsid w:val="05744494"/>
    <w:rsid w:val="05832D5D"/>
    <w:rsid w:val="058D598A"/>
    <w:rsid w:val="059A7058"/>
    <w:rsid w:val="05AB5E10"/>
    <w:rsid w:val="05B45924"/>
    <w:rsid w:val="05B468C8"/>
    <w:rsid w:val="05BE5B43"/>
    <w:rsid w:val="05C11D64"/>
    <w:rsid w:val="05C4653B"/>
    <w:rsid w:val="05CF5FA2"/>
    <w:rsid w:val="05D86291"/>
    <w:rsid w:val="05D9472B"/>
    <w:rsid w:val="05DF5574"/>
    <w:rsid w:val="05E7509A"/>
    <w:rsid w:val="05E8396D"/>
    <w:rsid w:val="05F06CDD"/>
    <w:rsid w:val="05FF1F77"/>
    <w:rsid w:val="06026ED2"/>
    <w:rsid w:val="06036CEE"/>
    <w:rsid w:val="06062B41"/>
    <w:rsid w:val="060D2627"/>
    <w:rsid w:val="060E6ACB"/>
    <w:rsid w:val="061C7581"/>
    <w:rsid w:val="063632B4"/>
    <w:rsid w:val="063A78C0"/>
    <w:rsid w:val="063B26AE"/>
    <w:rsid w:val="06431183"/>
    <w:rsid w:val="06451DC1"/>
    <w:rsid w:val="064F1FC8"/>
    <w:rsid w:val="065155D2"/>
    <w:rsid w:val="06561A74"/>
    <w:rsid w:val="065665C6"/>
    <w:rsid w:val="065A70AE"/>
    <w:rsid w:val="065E260B"/>
    <w:rsid w:val="06606919"/>
    <w:rsid w:val="06614DA2"/>
    <w:rsid w:val="066606B5"/>
    <w:rsid w:val="06685540"/>
    <w:rsid w:val="066A067B"/>
    <w:rsid w:val="066B3A0C"/>
    <w:rsid w:val="06763091"/>
    <w:rsid w:val="06820C59"/>
    <w:rsid w:val="068728FD"/>
    <w:rsid w:val="0687694B"/>
    <w:rsid w:val="068D48C8"/>
    <w:rsid w:val="0691169D"/>
    <w:rsid w:val="069527DD"/>
    <w:rsid w:val="069C35A5"/>
    <w:rsid w:val="06A91BBE"/>
    <w:rsid w:val="06B363FF"/>
    <w:rsid w:val="06BC71D2"/>
    <w:rsid w:val="06C13B06"/>
    <w:rsid w:val="06D56BF4"/>
    <w:rsid w:val="06EF1613"/>
    <w:rsid w:val="06F477B8"/>
    <w:rsid w:val="06F5516A"/>
    <w:rsid w:val="070B4DB8"/>
    <w:rsid w:val="072A18CF"/>
    <w:rsid w:val="072C2F1E"/>
    <w:rsid w:val="073A569E"/>
    <w:rsid w:val="073D6965"/>
    <w:rsid w:val="07414C7E"/>
    <w:rsid w:val="0745044B"/>
    <w:rsid w:val="074B1659"/>
    <w:rsid w:val="074B78AB"/>
    <w:rsid w:val="074E44D4"/>
    <w:rsid w:val="07500A1D"/>
    <w:rsid w:val="075378EC"/>
    <w:rsid w:val="07541947"/>
    <w:rsid w:val="075560B4"/>
    <w:rsid w:val="07646502"/>
    <w:rsid w:val="07646F6C"/>
    <w:rsid w:val="0767398C"/>
    <w:rsid w:val="076E7165"/>
    <w:rsid w:val="07813618"/>
    <w:rsid w:val="07877BF3"/>
    <w:rsid w:val="07886409"/>
    <w:rsid w:val="078F7C16"/>
    <w:rsid w:val="0792028A"/>
    <w:rsid w:val="07927288"/>
    <w:rsid w:val="07963FFD"/>
    <w:rsid w:val="079713D8"/>
    <w:rsid w:val="079F11D3"/>
    <w:rsid w:val="079F2D2E"/>
    <w:rsid w:val="07A02C73"/>
    <w:rsid w:val="07A123E2"/>
    <w:rsid w:val="07A32F29"/>
    <w:rsid w:val="07A66A12"/>
    <w:rsid w:val="07AA45D1"/>
    <w:rsid w:val="07B15223"/>
    <w:rsid w:val="07B33EB4"/>
    <w:rsid w:val="07C17B6D"/>
    <w:rsid w:val="07C84CAA"/>
    <w:rsid w:val="07D25995"/>
    <w:rsid w:val="07D67FAE"/>
    <w:rsid w:val="07D7780C"/>
    <w:rsid w:val="07DA320F"/>
    <w:rsid w:val="07DE24CD"/>
    <w:rsid w:val="07E65191"/>
    <w:rsid w:val="07EA0D24"/>
    <w:rsid w:val="07EA387C"/>
    <w:rsid w:val="07F346D2"/>
    <w:rsid w:val="07F87624"/>
    <w:rsid w:val="080526AF"/>
    <w:rsid w:val="08090BA5"/>
    <w:rsid w:val="080A2E1A"/>
    <w:rsid w:val="080F2959"/>
    <w:rsid w:val="081D18D1"/>
    <w:rsid w:val="081D2FF5"/>
    <w:rsid w:val="081F20D7"/>
    <w:rsid w:val="082378CB"/>
    <w:rsid w:val="08264AE7"/>
    <w:rsid w:val="08292AD2"/>
    <w:rsid w:val="083352DD"/>
    <w:rsid w:val="08381BDD"/>
    <w:rsid w:val="083B791F"/>
    <w:rsid w:val="08432EA4"/>
    <w:rsid w:val="084F0CC5"/>
    <w:rsid w:val="0855705D"/>
    <w:rsid w:val="085A7CAE"/>
    <w:rsid w:val="08640C24"/>
    <w:rsid w:val="08642B12"/>
    <w:rsid w:val="0864468D"/>
    <w:rsid w:val="086C0E96"/>
    <w:rsid w:val="087749D9"/>
    <w:rsid w:val="087A3CC0"/>
    <w:rsid w:val="087A518E"/>
    <w:rsid w:val="08843074"/>
    <w:rsid w:val="0886017D"/>
    <w:rsid w:val="08872860"/>
    <w:rsid w:val="088816F4"/>
    <w:rsid w:val="0894167D"/>
    <w:rsid w:val="08950218"/>
    <w:rsid w:val="08964B56"/>
    <w:rsid w:val="08A15365"/>
    <w:rsid w:val="08A214FC"/>
    <w:rsid w:val="08A41020"/>
    <w:rsid w:val="08AC1D9A"/>
    <w:rsid w:val="08B33D39"/>
    <w:rsid w:val="08BB202B"/>
    <w:rsid w:val="08C10041"/>
    <w:rsid w:val="08C22F8A"/>
    <w:rsid w:val="08C276F9"/>
    <w:rsid w:val="08C547D6"/>
    <w:rsid w:val="08DA192F"/>
    <w:rsid w:val="08E97F8B"/>
    <w:rsid w:val="08EB6C4F"/>
    <w:rsid w:val="08ED0205"/>
    <w:rsid w:val="08F07492"/>
    <w:rsid w:val="08F13E1A"/>
    <w:rsid w:val="08F17FDE"/>
    <w:rsid w:val="090221EB"/>
    <w:rsid w:val="09047D11"/>
    <w:rsid w:val="0907189E"/>
    <w:rsid w:val="090917CB"/>
    <w:rsid w:val="091222DD"/>
    <w:rsid w:val="09175638"/>
    <w:rsid w:val="091837BC"/>
    <w:rsid w:val="09193A6E"/>
    <w:rsid w:val="091E0E27"/>
    <w:rsid w:val="09254E05"/>
    <w:rsid w:val="09265ED9"/>
    <w:rsid w:val="092B34F0"/>
    <w:rsid w:val="092E4807"/>
    <w:rsid w:val="093A3733"/>
    <w:rsid w:val="093C394F"/>
    <w:rsid w:val="094C09DD"/>
    <w:rsid w:val="09510A7C"/>
    <w:rsid w:val="095B1632"/>
    <w:rsid w:val="095D2DB0"/>
    <w:rsid w:val="096864F2"/>
    <w:rsid w:val="096A4DF8"/>
    <w:rsid w:val="09743B3B"/>
    <w:rsid w:val="09790415"/>
    <w:rsid w:val="09801E69"/>
    <w:rsid w:val="098B2C81"/>
    <w:rsid w:val="09996C18"/>
    <w:rsid w:val="09997C71"/>
    <w:rsid w:val="099A2079"/>
    <w:rsid w:val="099A2423"/>
    <w:rsid w:val="09A303B5"/>
    <w:rsid w:val="09A953C4"/>
    <w:rsid w:val="09AB0D67"/>
    <w:rsid w:val="09AC3103"/>
    <w:rsid w:val="09B518D2"/>
    <w:rsid w:val="09B76DD9"/>
    <w:rsid w:val="09C22999"/>
    <w:rsid w:val="09D27E0F"/>
    <w:rsid w:val="09DB4F16"/>
    <w:rsid w:val="09DB77FA"/>
    <w:rsid w:val="09DF42DA"/>
    <w:rsid w:val="09E86111"/>
    <w:rsid w:val="09F077B4"/>
    <w:rsid w:val="09F70523"/>
    <w:rsid w:val="0A074672"/>
    <w:rsid w:val="0A1960D4"/>
    <w:rsid w:val="0A1C1BD5"/>
    <w:rsid w:val="0A1F4B71"/>
    <w:rsid w:val="0A1F622D"/>
    <w:rsid w:val="0A206935"/>
    <w:rsid w:val="0A2763AD"/>
    <w:rsid w:val="0A2B379C"/>
    <w:rsid w:val="0A314FF4"/>
    <w:rsid w:val="0A3B54EC"/>
    <w:rsid w:val="0A4247FB"/>
    <w:rsid w:val="0A474359"/>
    <w:rsid w:val="0A4B37EA"/>
    <w:rsid w:val="0A634F0B"/>
    <w:rsid w:val="0A681E7F"/>
    <w:rsid w:val="0A6B4A3C"/>
    <w:rsid w:val="0A8632A3"/>
    <w:rsid w:val="0A8C686B"/>
    <w:rsid w:val="0A957E0E"/>
    <w:rsid w:val="0A9F0288"/>
    <w:rsid w:val="0AA43D7C"/>
    <w:rsid w:val="0AA823AD"/>
    <w:rsid w:val="0AB0768E"/>
    <w:rsid w:val="0AB12390"/>
    <w:rsid w:val="0AB85257"/>
    <w:rsid w:val="0AC27E84"/>
    <w:rsid w:val="0AC33DBE"/>
    <w:rsid w:val="0AC41E4E"/>
    <w:rsid w:val="0AC802BB"/>
    <w:rsid w:val="0ACE53C0"/>
    <w:rsid w:val="0AD55E09"/>
    <w:rsid w:val="0ADD2F10"/>
    <w:rsid w:val="0AED6EE1"/>
    <w:rsid w:val="0AEE0C79"/>
    <w:rsid w:val="0AFA4452"/>
    <w:rsid w:val="0B002E7A"/>
    <w:rsid w:val="0B1D330C"/>
    <w:rsid w:val="0B1F2F20"/>
    <w:rsid w:val="0B221271"/>
    <w:rsid w:val="0B3353EF"/>
    <w:rsid w:val="0B3A206E"/>
    <w:rsid w:val="0B4C599F"/>
    <w:rsid w:val="0B4F0DC4"/>
    <w:rsid w:val="0B512FB6"/>
    <w:rsid w:val="0B525F03"/>
    <w:rsid w:val="0B534683"/>
    <w:rsid w:val="0B5700B6"/>
    <w:rsid w:val="0B6136A0"/>
    <w:rsid w:val="0B6158EF"/>
    <w:rsid w:val="0B6F332F"/>
    <w:rsid w:val="0B6F4394"/>
    <w:rsid w:val="0B734C2C"/>
    <w:rsid w:val="0B7B52FD"/>
    <w:rsid w:val="0B88410D"/>
    <w:rsid w:val="0B8B5D86"/>
    <w:rsid w:val="0B90094C"/>
    <w:rsid w:val="0BA52E65"/>
    <w:rsid w:val="0BB0400C"/>
    <w:rsid w:val="0BBA3934"/>
    <w:rsid w:val="0BBB4DFC"/>
    <w:rsid w:val="0BC75DDA"/>
    <w:rsid w:val="0BCA6DAA"/>
    <w:rsid w:val="0BCF2858"/>
    <w:rsid w:val="0BD45322"/>
    <w:rsid w:val="0BD47E59"/>
    <w:rsid w:val="0BD518E8"/>
    <w:rsid w:val="0BD8666E"/>
    <w:rsid w:val="0BE1258C"/>
    <w:rsid w:val="0BE6586C"/>
    <w:rsid w:val="0BEB3EFF"/>
    <w:rsid w:val="0BEC4815"/>
    <w:rsid w:val="0BED12B1"/>
    <w:rsid w:val="0BFC367F"/>
    <w:rsid w:val="0C006A1C"/>
    <w:rsid w:val="0C011543"/>
    <w:rsid w:val="0C0E422C"/>
    <w:rsid w:val="0C104C1F"/>
    <w:rsid w:val="0C1B5EA3"/>
    <w:rsid w:val="0C1C5C8B"/>
    <w:rsid w:val="0C2B3EC6"/>
    <w:rsid w:val="0C2D57D1"/>
    <w:rsid w:val="0C33596D"/>
    <w:rsid w:val="0C344DB1"/>
    <w:rsid w:val="0C3776F6"/>
    <w:rsid w:val="0C434056"/>
    <w:rsid w:val="0C456EA8"/>
    <w:rsid w:val="0C4843B9"/>
    <w:rsid w:val="0C5412D3"/>
    <w:rsid w:val="0C655003"/>
    <w:rsid w:val="0C6954E8"/>
    <w:rsid w:val="0C6D1403"/>
    <w:rsid w:val="0C770DBD"/>
    <w:rsid w:val="0C77382F"/>
    <w:rsid w:val="0C7E602C"/>
    <w:rsid w:val="0C830380"/>
    <w:rsid w:val="0C833643"/>
    <w:rsid w:val="0C851169"/>
    <w:rsid w:val="0C8A2C23"/>
    <w:rsid w:val="0C8B4387"/>
    <w:rsid w:val="0C94660C"/>
    <w:rsid w:val="0C965124"/>
    <w:rsid w:val="0C974E1B"/>
    <w:rsid w:val="0CA1519B"/>
    <w:rsid w:val="0CA9311B"/>
    <w:rsid w:val="0CA93709"/>
    <w:rsid w:val="0CAC51AC"/>
    <w:rsid w:val="0CAE4519"/>
    <w:rsid w:val="0CB47B28"/>
    <w:rsid w:val="0CB51D2C"/>
    <w:rsid w:val="0CB72FA4"/>
    <w:rsid w:val="0CB91DDC"/>
    <w:rsid w:val="0CC102A7"/>
    <w:rsid w:val="0CC55A09"/>
    <w:rsid w:val="0CCD48BE"/>
    <w:rsid w:val="0CD84C47"/>
    <w:rsid w:val="0CD914B5"/>
    <w:rsid w:val="0CDE1E26"/>
    <w:rsid w:val="0CDE2982"/>
    <w:rsid w:val="0CDF619E"/>
    <w:rsid w:val="0CE06A9C"/>
    <w:rsid w:val="0CE94166"/>
    <w:rsid w:val="0CF0378C"/>
    <w:rsid w:val="0CF462EF"/>
    <w:rsid w:val="0CF9072A"/>
    <w:rsid w:val="0CFC4C5E"/>
    <w:rsid w:val="0D0349EC"/>
    <w:rsid w:val="0D057885"/>
    <w:rsid w:val="0D0F4D5E"/>
    <w:rsid w:val="0D1771C4"/>
    <w:rsid w:val="0D1D4ECB"/>
    <w:rsid w:val="0D222C48"/>
    <w:rsid w:val="0D2C17FD"/>
    <w:rsid w:val="0D3D5EE8"/>
    <w:rsid w:val="0D47415D"/>
    <w:rsid w:val="0D48299E"/>
    <w:rsid w:val="0D4A3D02"/>
    <w:rsid w:val="0D63594E"/>
    <w:rsid w:val="0D645222"/>
    <w:rsid w:val="0D6B7B8A"/>
    <w:rsid w:val="0D7B1E67"/>
    <w:rsid w:val="0D817B82"/>
    <w:rsid w:val="0D962C16"/>
    <w:rsid w:val="0D9769DC"/>
    <w:rsid w:val="0D980E7F"/>
    <w:rsid w:val="0D9F625A"/>
    <w:rsid w:val="0DA90E87"/>
    <w:rsid w:val="0DB15165"/>
    <w:rsid w:val="0DB3360C"/>
    <w:rsid w:val="0DBC0BBA"/>
    <w:rsid w:val="0DBC1E78"/>
    <w:rsid w:val="0DBD6763"/>
    <w:rsid w:val="0DBF0B28"/>
    <w:rsid w:val="0DC06C4E"/>
    <w:rsid w:val="0DC14268"/>
    <w:rsid w:val="0DC21F49"/>
    <w:rsid w:val="0DC30866"/>
    <w:rsid w:val="0DC3317C"/>
    <w:rsid w:val="0DC466FA"/>
    <w:rsid w:val="0DC6653B"/>
    <w:rsid w:val="0DCC544A"/>
    <w:rsid w:val="0DD4188A"/>
    <w:rsid w:val="0DD507EC"/>
    <w:rsid w:val="0DD54FC0"/>
    <w:rsid w:val="0DD908D4"/>
    <w:rsid w:val="0DE100BF"/>
    <w:rsid w:val="0DE767FB"/>
    <w:rsid w:val="0DED16BC"/>
    <w:rsid w:val="0DF12D3B"/>
    <w:rsid w:val="0DF540CC"/>
    <w:rsid w:val="0DF72FBB"/>
    <w:rsid w:val="0DFE5677"/>
    <w:rsid w:val="0E016211"/>
    <w:rsid w:val="0E023144"/>
    <w:rsid w:val="0E0A0173"/>
    <w:rsid w:val="0E0A3A8F"/>
    <w:rsid w:val="0E0D48E5"/>
    <w:rsid w:val="0E0E24C4"/>
    <w:rsid w:val="0E0F33E0"/>
    <w:rsid w:val="0E106B35"/>
    <w:rsid w:val="0E112937"/>
    <w:rsid w:val="0E1E0A72"/>
    <w:rsid w:val="0E211365"/>
    <w:rsid w:val="0E2844A2"/>
    <w:rsid w:val="0E2869DB"/>
    <w:rsid w:val="0E2A729F"/>
    <w:rsid w:val="0E323785"/>
    <w:rsid w:val="0E392C77"/>
    <w:rsid w:val="0E3A232B"/>
    <w:rsid w:val="0E44618F"/>
    <w:rsid w:val="0E484B44"/>
    <w:rsid w:val="0E4B0190"/>
    <w:rsid w:val="0E4D215A"/>
    <w:rsid w:val="0E545297"/>
    <w:rsid w:val="0E5A581A"/>
    <w:rsid w:val="0E631178"/>
    <w:rsid w:val="0E63197E"/>
    <w:rsid w:val="0E6C67C5"/>
    <w:rsid w:val="0E6C761D"/>
    <w:rsid w:val="0E6D0107"/>
    <w:rsid w:val="0E7F247D"/>
    <w:rsid w:val="0E815854"/>
    <w:rsid w:val="0E8522FF"/>
    <w:rsid w:val="0E8D07A9"/>
    <w:rsid w:val="0E96765D"/>
    <w:rsid w:val="0E9B2EC6"/>
    <w:rsid w:val="0E9D5403"/>
    <w:rsid w:val="0EA5248B"/>
    <w:rsid w:val="0EA56EC1"/>
    <w:rsid w:val="0EAD21FD"/>
    <w:rsid w:val="0EAF18C6"/>
    <w:rsid w:val="0EB243F4"/>
    <w:rsid w:val="0EBC1367"/>
    <w:rsid w:val="0EC1269E"/>
    <w:rsid w:val="0EC35F79"/>
    <w:rsid w:val="0ECD2CAC"/>
    <w:rsid w:val="0ED939EE"/>
    <w:rsid w:val="0EDD7801"/>
    <w:rsid w:val="0EDF1399"/>
    <w:rsid w:val="0EE54B85"/>
    <w:rsid w:val="0EE65C80"/>
    <w:rsid w:val="0EEA6B98"/>
    <w:rsid w:val="0EF645A0"/>
    <w:rsid w:val="0EF71B93"/>
    <w:rsid w:val="0EF820C6"/>
    <w:rsid w:val="0EF957B9"/>
    <w:rsid w:val="0EFE5203"/>
    <w:rsid w:val="0EFE7BEA"/>
    <w:rsid w:val="0EFF45DA"/>
    <w:rsid w:val="0F016132"/>
    <w:rsid w:val="0F056591"/>
    <w:rsid w:val="0F0F715C"/>
    <w:rsid w:val="0F1113DA"/>
    <w:rsid w:val="0F16254C"/>
    <w:rsid w:val="0F1B582A"/>
    <w:rsid w:val="0F234C69"/>
    <w:rsid w:val="0F243940"/>
    <w:rsid w:val="0F333783"/>
    <w:rsid w:val="0F434521"/>
    <w:rsid w:val="0F435E85"/>
    <w:rsid w:val="0F457660"/>
    <w:rsid w:val="0F4A0448"/>
    <w:rsid w:val="0F4E1CE6"/>
    <w:rsid w:val="0F534709"/>
    <w:rsid w:val="0F5512C6"/>
    <w:rsid w:val="0F5D31CF"/>
    <w:rsid w:val="0F657030"/>
    <w:rsid w:val="0F7554C5"/>
    <w:rsid w:val="0F900551"/>
    <w:rsid w:val="0F98271A"/>
    <w:rsid w:val="0F986A37"/>
    <w:rsid w:val="0FA057AC"/>
    <w:rsid w:val="0FAB2F9F"/>
    <w:rsid w:val="0FAB4B30"/>
    <w:rsid w:val="0FAE6AEF"/>
    <w:rsid w:val="0FB83603"/>
    <w:rsid w:val="0FBE1A6A"/>
    <w:rsid w:val="0FC73BC6"/>
    <w:rsid w:val="0FCC70AF"/>
    <w:rsid w:val="0FD03043"/>
    <w:rsid w:val="0FD348E1"/>
    <w:rsid w:val="0FE32D76"/>
    <w:rsid w:val="0FE34463"/>
    <w:rsid w:val="0FE75B1D"/>
    <w:rsid w:val="0FEE7821"/>
    <w:rsid w:val="0FF01DB6"/>
    <w:rsid w:val="0FFA6007"/>
    <w:rsid w:val="0FFB17D4"/>
    <w:rsid w:val="0FFE28A8"/>
    <w:rsid w:val="1007316A"/>
    <w:rsid w:val="10086339"/>
    <w:rsid w:val="10101691"/>
    <w:rsid w:val="10172A20"/>
    <w:rsid w:val="101947F3"/>
    <w:rsid w:val="10196798"/>
    <w:rsid w:val="101A2510"/>
    <w:rsid w:val="101D7896"/>
    <w:rsid w:val="10222E9B"/>
    <w:rsid w:val="1026765E"/>
    <w:rsid w:val="102D7410"/>
    <w:rsid w:val="10313FD4"/>
    <w:rsid w:val="1038399B"/>
    <w:rsid w:val="104128DF"/>
    <w:rsid w:val="10422BEC"/>
    <w:rsid w:val="10575291"/>
    <w:rsid w:val="105A22C5"/>
    <w:rsid w:val="105D4761"/>
    <w:rsid w:val="105E0360"/>
    <w:rsid w:val="106043C7"/>
    <w:rsid w:val="1060766C"/>
    <w:rsid w:val="10675755"/>
    <w:rsid w:val="106C23CE"/>
    <w:rsid w:val="106D43EE"/>
    <w:rsid w:val="106F0166"/>
    <w:rsid w:val="10771666"/>
    <w:rsid w:val="107E4C16"/>
    <w:rsid w:val="10863711"/>
    <w:rsid w:val="10870FEE"/>
    <w:rsid w:val="10982B6E"/>
    <w:rsid w:val="109B3B44"/>
    <w:rsid w:val="109D50F6"/>
    <w:rsid w:val="10AB77CC"/>
    <w:rsid w:val="10BC55BB"/>
    <w:rsid w:val="10BD0690"/>
    <w:rsid w:val="10C60D00"/>
    <w:rsid w:val="10CD45CC"/>
    <w:rsid w:val="10D916A1"/>
    <w:rsid w:val="10DD1E7D"/>
    <w:rsid w:val="10DD5A17"/>
    <w:rsid w:val="10E70DB1"/>
    <w:rsid w:val="10EF574B"/>
    <w:rsid w:val="10F62635"/>
    <w:rsid w:val="11072A94"/>
    <w:rsid w:val="11077082"/>
    <w:rsid w:val="110F7B9B"/>
    <w:rsid w:val="11146F5F"/>
    <w:rsid w:val="1130658B"/>
    <w:rsid w:val="1134360A"/>
    <w:rsid w:val="1138169A"/>
    <w:rsid w:val="11387AB5"/>
    <w:rsid w:val="113B1BA1"/>
    <w:rsid w:val="114062DF"/>
    <w:rsid w:val="114535BD"/>
    <w:rsid w:val="114E39B3"/>
    <w:rsid w:val="115B4B3F"/>
    <w:rsid w:val="11665F8A"/>
    <w:rsid w:val="11683CE4"/>
    <w:rsid w:val="11781CA4"/>
    <w:rsid w:val="117A5B19"/>
    <w:rsid w:val="11827FDF"/>
    <w:rsid w:val="1188678A"/>
    <w:rsid w:val="11895257"/>
    <w:rsid w:val="11895BAE"/>
    <w:rsid w:val="119F2CCD"/>
    <w:rsid w:val="11A97F84"/>
    <w:rsid w:val="11AE2F10"/>
    <w:rsid w:val="11B41AFC"/>
    <w:rsid w:val="11BB76C8"/>
    <w:rsid w:val="11C34FB9"/>
    <w:rsid w:val="11C65C33"/>
    <w:rsid w:val="11CF0257"/>
    <w:rsid w:val="11D0732A"/>
    <w:rsid w:val="11D230A2"/>
    <w:rsid w:val="11D41B62"/>
    <w:rsid w:val="11DA3D05"/>
    <w:rsid w:val="11DF7EC4"/>
    <w:rsid w:val="11E132E5"/>
    <w:rsid w:val="11EE6603"/>
    <w:rsid w:val="121062A2"/>
    <w:rsid w:val="121932E6"/>
    <w:rsid w:val="12205B03"/>
    <w:rsid w:val="122932C0"/>
    <w:rsid w:val="12311043"/>
    <w:rsid w:val="12386C7D"/>
    <w:rsid w:val="125910CE"/>
    <w:rsid w:val="125A4E46"/>
    <w:rsid w:val="125C25E9"/>
    <w:rsid w:val="125C2CB6"/>
    <w:rsid w:val="125F420A"/>
    <w:rsid w:val="1262159F"/>
    <w:rsid w:val="12624FAB"/>
    <w:rsid w:val="12684544"/>
    <w:rsid w:val="12725554"/>
    <w:rsid w:val="12857864"/>
    <w:rsid w:val="128A526B"/>
    <w:rsid w:val="128A6113"/>
    <w:rsid w:val="12A172AF"/>
    <w:rsid w:val="12A276C0"/>
    <w:rsid w:val="12A437F8"/>
    <w:rsid w:val="12A64C48"/>
    <w:rsid w:val="12AD1419"/>
    <w:rsid w:val="12B91B6C"/>
    <w:rsid w:val="12BD70F5"/>
    <w:rsid w:val="12C34BF4"/>
    <w:rsid w:val="12CB58EF"/>
    <w:rsid w:val="12D154CF"/>
    <w:rsid w:val="12D20E80"/>
    <w:rsid w:val="12D95A4D"/>
    <w:rsid w:val="12DE2CC5"/>
    <w:rsid w:val="12E84200"/>
    <w:rsid w:val="12F239DB"/>
    <w:rsid w:val="12F46A27"/>
    <w:rsid w:val="12F47BA1"/>
    <w:rsid w:val="12F56C08"/>
    <w:rsid w:val="12F62873"/>
    <w:rsid w:val="12F74B87"/>
    <w:rsid w:val="130B3697"/>
    <w:rsid w:val="13130252"/>
    <w:rsid w:val="131B15DC"/>
    <w:rsid w:val="131C1BD8"/>
    <w:rsid w:val="1320032F"/>
    <w:rsid w:val="13313DF9"/>
    <w:rsid w:val="133236CD"/>
    <w:rsid w:val="134107CF"/>
    <w:rsid w:val="13437950"/>
    <w:rsid w:val="13616570"/>
    <w:rsid w:val="136252FA"/>
    <w:rsid w:val="13633213"/>
    <w:rsid w:val="136A60AB"/>
    <w:rsid w:val="136B20B6"/>
    <w:rsid w:val="136B5E5B"/>
    <w:rsid w:val="13704A81"/>
    <w:rsid w:val="13715D15"/>
    <w:rsid w:val="137A57A0"/>
    <w:rsid w:val="13802C4D"/>
    <w:rsid w:val="13823BB8"/>
    <w:rsid w:val="13870998"/>
    <w:rsid w:val="138C1447"/>
    <w:rsid w:val="13923D70"/>
    <w:rsid w:val="13944834"/>
    <w:rsid w:val="13961EAE"/>
    <w:rsid w:val="13963C5C"/>
    <w:rsid w:val="13A66595"/>
    <w:rsid w:val="13AA7707"/>
    <w:rsid w:val="13AC7923"/>
    <w:rsid w:val="13AE5449"/>
    <w:rsid w:val="13AE61C1"/>
    <w:rsid w:val="13B3480E"/>
    <w:rsid w:val="13B46365"/>
    <w:rsid w:val="13B56CC5"/>
    <w:rsid w:val="13BD7408"/>
    <w:rsid w:val="13C11741"/>
    <w:rsid w:val="13C23BDC"/>
    <w:rsid w:val="13C7280B"/>
    <w:rsid w:val="13C831E4"/>
    <w:rsid w:val="13CD3142"/>
    <w:rsid w:val="13D15EF7"/>
    <w:rsid w:val="13D162F7"/>
    <w:rsid w:val="13D529D6"/>
    <w:rsid w:val="13D55CF2"/>
    <w:rsid w:val="13D97653"/>
    <w:rsid w:val="13DD7ADC"/>
    <w:rsid w:val="13DF1439"/>
    <w:rsid w:val="13E635C3"/>
    <w:rsid w:val="13F64410"/>
    <w:rsid w:val="13FD4FDA"/>
    <w:rsid w:val="14014F25"/>
    <w:rsid w:val="140376D6"/>
    <w:rsid w:val="14052454"/>
    <w:rsid w:val="140D14AB"/>
    <w:rsid w:val="14123C2A"/>
    <w:rsid w:val="14133696"/>
    <w:rsid w:val="14194C7E"/>
    <w:rsid w:val="141C425F"/>
    <w:rsid w:val="141D189E"/>
    <w:rsid w:val="141E7CE7"/>
    <w:rsid w:val="142324AB"/>
    <w:rsid w:val="14244CC2"/>
    <w:rsid w:val="1424599C"/>
    <w:rsid w:val="14292D22"/>
    <w:rsid w:val="142B6A9A"/>
    <w:rsid w:val="14335033"/>
    <w:rsid w:val="1433594E"/>
    <w:rsid w:val="1436071A"/>
    <w:rsid w:val="143E46DA"/>
    <w:rsid w:val="14420425"/>
    <w:rsid w:val="14467632"/>
    <w:rsid w:val="144C35F7"/>
    <w:rsid w:val="1452466C"/>
    <w:rsid w:val="145305E0"/>
    <w:rsid w:val="14537D9F"/>
    <w:rsid w:val="14573222"/>
    <w:rsid w:val="145F4995"/>
    <w:rsid w:val="146D6284"/>
    <w:rsid w:val="146E3933"/>
    <w:rsid w:val="147674AE"/>
    <w:rsid w:val="14787FC3"/>
    <w:rsid w:val="147A62FA"/>
    <w:rsid w:val="147C3823"/>
    <w:rsid w:val="14811103"/>
    <w:rsid w:val="14883EEC"/>
    <w:rsid w:val="148C2DA1"/>
    <w:rsid w:val="149D4F1F"/>
    <w:rsid w:val="14A10B0A"/>
    <w:rsid w:val="14A72B92"/>
    <w:rsid w:val="14AB407D"/>
    <w:rsid w:val="14BD11D1"/>
    <w:rsid w:val="14C2351C"/>
    <w:rsid w:val="14C44BFF"/>
    <w:rsid w:val="14C8078D"/>
    <w:rsid w:val="14CC6FF8"/>
    <w:rsid w:val="14D138CD"/>
    <w:rsid w:val="14D72849"/>
    <w:rsid w:val="14DB7EAB"/>
    <w:rsid w:val="14DE1FFB"/>
    <w:rsid w:val="14E13784"/>
    <w:rsid w:val="14E23643"/>
    <w:rsid w:val="14ED33E3"/>
    <w:rsid w:val="14EF46DF"/>
    <w:rsid w:val="14F126E6"/>
    <w:rsid w:val="14F74BCE"/>
    <w:rsid w:val="150B01F2"/>
    <w:rsid w:val="15140F42"/>
    <w:rsid w:val="151613CF"/>
    <w:rsid w:val="151A2EED"/>
    <w:rsid w:val="151A4EEB"/>
    <w:rsid w:val="15205ED3"/>
    <w:rsid w:val="152235F9"/>
    <w:rsid w:val="152F5B6E"/>
    <w:rsid w:val="15301410"/>
    <w:rsid w:val="15357167"/>
    <w:rsid w:val="153853D1"/>
    <w:rsid w:val="154400C5"/>
    <w:rsid w:val="154A11A2"/>
    <w:rsid w:val="155B33AF"/>
    <w:rsid w:val="155F286E"/>
    <w:rsid w:val="156404B5"/>
    <w:rsid w:val="15671886"/>
    <w:rsid w:val="1568787A"/>
    <w:rsid w:val="156E30E2"/>
    <w:rsid w:val="156F01F0"/>
    <w:rsid w:val="15811EE4"/>
    <w:rsid w:val="159318B2"/>
    <w:rsid w:val="15AD586E"/>
    <w:rsid w:val="15C1427B"/>
    <w:rsid w:val="15DF7B3C"/>
    <w:rsid w:val="15E909BB"/>
    <w:rsid w:val="15F52E9A"/>
    <w:rsid w:val="15FA205C"/>
    <w:rsid w:val="15FB249C"/>
    <w:rsid w:val="160550C9"/>
    <w:rsid w:val="16062266"/>
    <w:rsid w:val="160D1D9B"/>
    <w:rsid w:val="160E21CF"/>
    <w:rsid w:val="16102DDA"/>
    <w:rsid w:val="161870ED"/>
    <w:rsid w:val="161D04BD"/>
    <w:rsid w:val="16225FF7"/>
    <w:rsid w:val="16246E49"/>
    <w:rsid w:val="162906EE"/>
    <w:rsid w:val="162C08A7"/>
    <w:rsid w:val="162C0D14"/>
    <w:rsid w:val="164272BB"/>
    <w:rsid w:val="1666200B"/>
    <w:rsid w:val="1668519C"/>
    <w:rsid w:val="166B54B2"/>
    <w:rsid w:val="16741082"/>
    <w:rsid w:val="16753C9B"/>
    <w:rsid w:val="167C538B"/>
    <w:rsid w:val="1683496B"/>
    <w:rsid w:val="16851B23"/>
    <w:rsid w:val="16A3500D"/>
    <w:rsid w:val="16BE7A36"/>
    <w:rsid w:val="16C32FBA"/>
    <w:rsid w:val="16CF7BB0"/>
    <w:rsid w:val="16D374E3"/>
    <w:rsid w:val="16F21D83"/>
    <w:rsid w:val="16F7077D"/>
    <w:rsid w:val="16F83EB4"/>
    <w:rsid w:val="16FD6828"/>
    <w:rsid w:val="17005FBC"/>
    <w:rsid w:val="17017F86"/>
    <w:rsid w:val="17071953"/>
    <w:rsid w:val="171033DB"/>
    <w:rsid w:val="171146E1"/>
    <w:rsid w:val="1725783C"/>
    <w:rsid w:val="17283764"/>
    <w:rsid w:val="172A336E"/>
    <w:rsid w:val="172A7D62"/>
    <w:rsid w:val="172C333B"/>
    <w:rsid w:val="1736147A"/>
    <w:rsid w:val="173B74D4"/>
    <w:rsid w:val="173E52EE"/>
    <w:rsid w:val="174760E2"/>
    <w:rsid w:val="174B68F5"/>
    <w:rsid w:val="17544DD8"/>
    <w:rsid w:val="17556A22"/>
    <w:rsid w:val="175F7AA4"/>
    <w:rsid w:val="17670628"/>
    <w:rsid w:val="176F7017"/>
    <w:rsid w:val="176F7711"/>
    <w:rsid w:val="17707DE7"/>
    <w:rsid w:val="178169D1"/>
    <w:rsid w:val="17870A7F"/>
    <w:rsid w:val="178F7E56"/>
    <w:rsid w:val="179130B8"/>
    <w:rsid w:val="179D0A35"/>
    <w:rsid w:val="179D6165"/>
    <w:rsid w:val="17A21448"/>
    <w:rsid w:val="17A24CA9"/>
    <w:rsid w:val="17AC1CA0"/>
    <w:rsid w:val="17B62B1E"/>
    <w:rsid w:val="17B73651"/>
    <w:rsid w:val="17BC3565"/>
    <w:rsid w:val="17C15844"/>
    <w:rsid w:val="17C7621F"/>
    <w:rsid w:val="17D51034"/>
    <w:rsid w:val="17D835A3"/>
    <w:rsid w:val="17E67631"/>
    <w:rsid w:val="17FF52A4"/>
    <w:rsid w:val="18011F66"/>
    <w:rsid w:val="18086B6C"/>
    <w:rsid w:val="18147845"/>
    <w:rsid w:val="1815563C"/>
    <w:rsid w:val="18163A88"/>
    <w:rsid w:val="182A7068"/>
    <w:rsid w:val="182E254D"/>
    <w:rsid w:val="182F314C"/>
    <w:rsid w:val="18363C5F"/>
    <w:rsid w:val="183D6D9C"/>
    <w:rsid w:val="183F2B14"/>
    <w:rsid w:val="183F5957"/>
    <w:rsid w:val="184031F8"/>
    <w:rsid w:val="18435DF8"/>
    <w:rsid w:val="184375F0"/>
    <w:rsid w:val="184B76D2"/>
    <w:rsid w:val="184C0E91"/>
    <w:rsid w:val="18601B2C"/>
    <w:rsid w:val="186207BD"/>
    <w:rsid w:val="186F06A4"/>
    <w:rsid w:val="187325D8"/>
    <w:rsid w:val="1881093C"/>
    <w:rsid w:val="188350F6"/>
    <w:rsid w:val="18884A66"/>
    <w:rsid w:val="188E57A6"/>
    <w:rsid w:val="189354AC"/>
    <w:rsid w:val="18985511"/>
    <w:rsid w:val="18990B44"/>
    <w:rsid w:val="189F7A56"/>
    <w:rsid w:val="18A44A84"/>
    <w:rsid w:val="18A82EED"/>
    <w:rsid w:val="18BA663E"/>
    <w:rsid w:val="18BC23B6"/>
    <w:rsid w:val="18BC5F12"/>
    <w:rsid w:val="18C1177B"/>
    <w:rsid w:val="18C11EDC"/>
    <w:rsid w:val="18C354F3"/>
    <w:rsid w:val="18C5133E"/>
    <w:rsid w:val="18C63872"/>
    <w:rsid w:val="18CA79B7"/>
    <w:rsid w:val="18CD0120"/>
    <w:rsid w:val="18CD7D24"/>
    <w:rsid w:val="18CE5C46"/>
    <w:rsid w:val="18D21D7A"/>
    <w:rsid w:val="18D454B5"/>
    <w:rsid w:val="18D56FD4"/>
    <w:rsid w:val="18E15979"/>
    <w:rsid w:val="18E5190D"/>
    <w:rsid w:val="18F112E8"/>
    <w:rsid w:val="18F31E7F"/>
    <w:rsid w:val="18F94FA1"/>
    <w:rsid w:val="18FF22A3"/>
    <w:rsid w:val="19022E68"/>
    <w:rsid w:val="19035662"/>
    <w:rsid w:val="190A3122"/>
    <w:rsid w:val="19117B57"/>
    <w:rsid w:val="19145D4E"/>
    <w:rsid w:val="19146508"/>
    <w:rsid w:val="191D6AA8"/>
    <w:rsid w:val="1922490A"/>
    <w:rsid w:val="1930084C"/>
    <w:rsid w:val="1931271E"/>
    <w:rsid w:val="19314A6F"/>
    <w:rsid w:val="1939180A"/>
    <w:rsid w:val="193F4C1D"/>
    <w:rsid w:val="19450F70"/>
    <w:rsid w:val="194B6FBF"/>
    <w:rsid w:val="194F322A"/>
    <w:rsid w:val="19540B22"/>
    <w:rsid w:val="19561D26"/>
    <w:rsid w:val="19570331"/>
    <w:rsid w:val="195F0267"/>
    <w:rsid w:val="19617D83"/>
    <w:rsid w:val="19642E5A"/>
    <w:rsid w:val="196547FC"/>
    <w:rsid w:val="196652D1"/>
    <w:rsid w:val="196A7CE8"/>
    <w:rsid w:val="197C747E"/>
    <w:rsid w:val="197D64BD"/>
    <w:rsid w:val="1989243F"/>
    <w:rsid w:val="198C1F33"/>
    <w:rsid w:val="198D751E"/>
    <w:rsid w:val="19923117"/>
    <w:rsid w:val="199476EA"/>
    <w:rsid w:val="19973E19"/>
    <w:rsid w:val="19A35324"/>
    <w:rsid w:val="19A90B8D"/>
    <w:rsid w:val="19AD7F51"/>
    <w:rsid w:val="19B17A41"/>
    <w:rsid w:val="19B70977"/>
    <w:rsid w:val="19CC6629"/>
    <w:rsid w:val="19D41982"/>
    <w:rsid w:val="19DB4ABE"/>
    <w:rsid w:val="19DD529B"/>
    <w:rsid w:val="19DD6E26"/>
    <w:rsid w:val="19DF5A19"/>
    <w:rsid w:val="19EC1855"/>
    <w:rsid w:val="19ED7B9D"/>
    <w:rsid w:val="19EE2A43"/>
    <w:rsid w:val="19EF47FE"/>
    <w:rsid w:val="19FB2A6A"/>
    <w:rsid w:val="19FD1640"/>
    <w:rsid w:val="1A0E6CE1"/>
    <w:rsid w:val="1A132CB1"/>
    <w:rsid w:val="1A1477D5"/>
    <w:rsid w:val="1A1717C2"/>
    <w:rsid w:val="1A185727"/>
    <w:rsid w:val="1A1C7CD0"/>
    <w:rsid w:val="1A2B4CF1"/>
    <w:rsid w:val="1A34439D"/>
    <w:rsid w:val="1A3F0772"/>
    <w:rsid w:val="1A3F2C92"/>
    <w:rsid w:val="1A46462D"/>
    <w:rsid w:val="1A4A57A0"/>
    <w:rsid w:val="1A4F5473"/>
    <w:rsid w:val="1A516B2E"/>
    <w:rsid w:val="1A5F2FF9"/>
    <w:rsid w:val="1A645825"/>
    <w:rsid w:val="1A6479F4"/>
    <w:rsid w:val="1A681A81"/>
    <w:rsid w:val="1A845156"/>
    <w:rsid w:val="1A886DC5"/>
    <w:rsid w:val="1A8B607D"/>
    <w:rsid w:val="1A8D2637"/>
    <w:rsid w:val="1A9623F3"/>
    <w:rsid w:val="1AAF78EF"/>
    <w:rsid w:val="1AB55071"/>
    <w:rsid w:val="1ABD4ED9"/>
    <w:rsid w:val="1AC21C4C"/>
    <w:rsid w:val="1AC35C7E"/>
    <w:rsid w:val="1AC619FC"/>
    <w:rsid w:val="1AC84601"/>
    <w:rsid w:val="1AD43A48"/>
    <w:rsid w:val="1ADB7EE2"/>
    <w:rsid w:val="1AE06B60"/>
    <w:rsid w:val="1AE6371B"/>
    <w:rsid w:val="1AE654C9"/>
    <w:rsid w:val="1AF30AEA"/>
    <w:rsid w:val="1B097409"/>
    <w:rsid w:val="1B11491A"/>
    <w:rsid w:val="1B1265D8"/>
    <w:rsid w:val="1B1D674C"/>
    <w:rsid w:val="1B2B1A69"/>
    <w:rsid w:val="1B326960"/>
    <w:rsid w:val="1B35372F"/>
    <w:rsid w:val="1B373F76"/>
    <w:rsid w:val="1B3816FC"/>
    <w:rsid w:val="1B405268"/>
    <w:rsid w:val="1B411A81"/>
    <w:rsid w:val="1B4D114B"/>
    <w:rsid w:val="1B53318F"/>
    <w:rsid w:val="1B565211"/>
    <w:rsid w:val="1B607876"/>
    <w:rsid w:val="1B633DB1"/>
    <w:rsid w:val="1B634ECB"/>
    <w:rsid w:val="1B66097E"/>
    <w:rsid w:val="1B6E3607"/>
    <w:rsid w:val="1B707488"/>
    <w:rsid w:val="1B816C29"/>
    <w:rsid w:val="1B9E4A44"/>
    <w:rsid w:val="1BB630ED"/>
    <w:rsid w:val="1BB90E2F"/>
    <w:rsid w:val="1BB92BDD"/>
    <w:rsid w:val="1BBC5A17"/>
    <w:rsid w:val="1BBC6AF7"/>
    <w:rsid w:val="1BBD0BAF"/>
    <w:rsid w:val="1BC838BC"/>
    <w:rsid w:val="1BCA6A9D"/>
    <w:rsid w:val="1BCF0347"/>
    <w:rsid w:val="1BD01DD5"/>
    <w:rsid w:val="1BD41DFC"/>
    <w:rsid w:val="1BDE5478"/>
    <w:rsid w:val="1BE1655F"/>
    <w:rsid w:val="1BE20386"/>
    <w:rsid w:val="1BE339AB"/>
    <w:rsid w:val="1BEA548C"/>
    <w:rsid w:val="1BEC4439"/>
    <w:rsid w:val="1C0270B9"/>
    <w:rsid w:val="1C073948"/>
    <w:rsid w:val="1C0E69AE"/>
    <w:rsid w:val="1C245511"/>
    <w:rsid w:val="1C2458CD"/>
    <w:rsid w:val="1C251185"/>
    <w:rsid w:val="1C3F6057"/>
    <w:rsid w:val="1C472018"/>
    <w:rsid w:val="1C4A3CAE"/>
    <w:rsid w:val="1C4B4AAD"/>
    <w:rsid w:val="1C4C445D"/>
    <w:rsid w:val="1C4D7C38"/>
    <w:rsid w:val="1C50287F"/>
    <w:rsid w:val="1C597F1C"/>
    <w:rsid w:val="1C607DC4"/>
    <w:rsid w:val="1C614CC3"/>
    <w:rsid w:val="1C63291C"/>
    <w:rsid w:val="1C82570F"/>
    <w:rsid w:val="1C860AFD"/>
    <w:rsid w:val="1C8E6EA3"/>
    <w:rsid w:val="1C99382A"/>
    <w:rsid w:val="1C9D7FB7"/>
    <w:rsid w:val="1CA400E5"/>
    <w:rsid w:val="1CA93011"/>
    <w:rsid w:val="1CB05D8E"/>
    <w:rsid w:val="1CB3587A"/>
    <w:rsid w:val="1CBA06A7"/>
    <w:rsid w:val="1CBF1D99"/>
    <w:rsid w:val="1CC94337"/>
    <w:rsid w:val="1CCA5160"/>
    <w:rsid w:val="1CCE4B05"/>
    <w:rsid w:val="1CD040F8"/>
    <w:rsid w:val="1CED40F8"/>
    <w:rsid w:val="1CF8474D"/>
    <w:rsid w:val="1CF878D7"/>
    <w:rsid w:val="1CF9441A"/>
    <w:rsid w:val="1CFA04CA"/>
    <w:rsid w:val="1D060931"/>
    <w:rsid w:val="1D091942"/>
    <w:rsid w:val="1D183933"/>
    <w:rsid w:val="1D214EDE"/>
    <w:rsid w:val="1D3276DA"/>
    <w:rsid w:val="1D36784B"/>
    <w:rsid w:val="1D3B0B6C"/>
    <w:rsid w:val="1D3C44B4"/>
    <w:rsid w:val="1D404AF3"/>
    <w:rsid w:val="1D480FFB"/>
    <w:rsid w:val="1D4C01CC"/>
    <w:rsid w:val="1D50113D"/>
    <w:rsid w:val="1D5232E9"/>
    <w:rsid w:val="1D5C2F5D"/>
    <w:rsid w:val="1D5F76A2"/>
    <w:rsid w:val="1D640472"/>
    <w:rsid w:val="1D671108"/>
    <w:rsid w:val="1D6F3EF4"/>
    <w:rsid w:val="1D8D2BC4"/>
    <w:rsid w:val="1D8F1E47"/>
    <w:rsid w:val="1DA57042"/>
    <w:rsid w:val="1DAF52AA"/>
    <w:rsid w:val="1DB21C3C"/>
    <w:rsid w:val="1DB50E31"/>
    <w:rsid w:val="1DB70593"/>
    <w:rsid w:val="1DB853A3"/>
    <w:rsid w:val="1DC34A36"/>
    <w:rsid w:val="1DC41641"/>
    <w:rsid w:val="1DD058F9"/>
    <w:rsid w:val="1DD76367"/>
    <w:rsid w:val="1DDD64A1"/>
    <w:rsid w:val="1DE15174"/>
    <w:rsid w:val="1DE771CB"/>
    <w:rsid w:val="1DEA6CE6"/>
    <w:rsid w:val="1DF42D29"/>
    <w:rsid w:val="1DFA53C5"/>
    <w:rsid w:val="1E08787F"/>
    <w:rsid w:val="1E103734"/>
    <w:rsid w:val="1E134910"/>
    <w:rsid w:val="1E187E55"/>
    <w:rsid w:val="1E1A06FD"/>
    <w:rsid w:val="1E1D07FB"/>
    <w:rsid w:val="1E28404A"/>
    <w:rsid w:val="1E2B6265"/>
    <w:rsid w:val="1E423D3F"/>
    <w:rsid w:val="1E460928"/>
    <w:rsid w:val="1E481BE1"/>
    <w:rsid w:val="1E4A3E57"/>
    <w:rsid w:val="1E560874"/>
    <w:rsid w:val="1E572FF0"/>
    <w:rsid w:val="1E5906A7"/>
    <w:rsid w:val="1E5F294C"/>
    <w:rsid w:val="1E605592"/>
    <w:rsid w:val="1E687FAB"/>
    <w:rsid w:val="1E7C669E"/>
    <w:rsid w:val="1E7E4CB2"/>
    <w:rsid w:val="1E803169"/>
    <w:rsid w:val="1E833121"/>
    <w:rsid w:val="1E92015F"/>
    <w:rsid w:val="1E975794"/>
    <w:rsid w:val="1EA02502"/>
    <w:rsid w:val="1EAA2D24"/>
    <w:rsid w:val="1EAB0192"/>
    <w:rsid w:val="1EAD1ACF"/>
    <w:rsid w:val="1EAD227C"/>
    <w:rsid w:val="1EB31147"/>
    <w:rsid w:val="1EB51139"/>
    <w:rsid w:val="1EB8717C"/>
    <w:rsid w:val="1EBA2EF4"/>
    <w:rsid w:val="1EBB0A1A"/>
    <w:rsid w:val="1EC21ADC"/>
    <w:rsid w:val="1ECC49AC"/>
    <w:rsid w:val="1ECF44C6"/>
    <w:rsid w:val="1EEC4358"/>
    <w:rsid w:val="1EEC49B0"/>
    <w:rsid w:val="1EEE508B"/>
    <w:rsid w:val="1EF40894"/>
    <w:rsid w:val="1EF410DF"/>
    <w:rsid w:val="1EF844B3"/>
    <w:rsid w:val="1EFDE94A"/>
    <w:rsid w:val="1F094A8E"/>
    <w:rsid w:val="1F0D387B"/>
    <w:rsid w:val="1F111F4E"/>
    <w:rsid w:val="1F193BA3"/>
    <w:rsid w:val="1F1D414B"/>
    <w:rsid w:val="1F1F369F"/>
    <w:rsid w:val="1F311DC5"/>
    <w:rsid w:val="1F3436D9"/>
    <w:rsid w:val="1F352860"/>
    <w:rsid w:val="1F3709E9"/>
    <w:rsid w:val="1F3C2EAE"/>
    <w:rsid w:val="1F4D2260"/>
    <w:rsid w:val="1F4E5D32"/>
    <w:rsid w:val="1F502D64"/>
    <w:rsid w:val="1F505A04"/>
    <w:rsid w:val="1F527E99"/>
    <w:rsid w:val="1F6761DB"/>
    <w:rsid w:val="1F6D9ACD"/>
    <w:rsid w:val="1F7FBDE5"/>
    <w:rsid w:val="1F8107A8"/>
    <w:rsid w:val="1F856FB2"/>
    <w:rsid w:val="1F9256C9"/>
    <w:rsid w:val="1F9A1362"/>
    <w:rsid w:val="1F9A4AD4"/>
    <w:rsid w:val="1F9B4831"/>
    <w:rsid w:val="1FAA11BB"/>
    <w:rsid w:val="1FAA740D"/>
    <w:rsid w:val="1FBE34F2"/>
    <w:rsid w:val="1FC102B2"/>
    <w:rsid w:val="1FC92B93"/>
    <w:rsid w:val="1FCE24B0"/>
    <w:rsid w:val="1FE93755"/>
    <w:rsid w:val="1FEA2E1B"/>
    <w:rsid w:val="1FFB7C68"/>
    <w:rsid w:val="1FFF3FC2"/>
    <w:rsid w:val="200600AD"/>
    <w:rsid w:val="20066870"/>
    <w:rsid w:val="20093B6E"/>
    <w:rsid w:val="20151312"/>
    <w:rsid w:val="202A37BD"/>
    <w:rsid w:val="202B1D8E"/>
    <w:rsid w:val="202C32C1"/>
    <w:rsid w:val="20347C8E"/>
    <w:rsid w:val="205253AE"/>
    <w:rsid w:val="20536154"/>
    <w:rsid w:val="20547378"/>
    <w:rsid w:val="205E3D53"/>
    <w:rsid w:val="206162C1"/>
    <w:rsid w:val="20652A5C"/>
    <w:rsid w:val="20773983"/>
    <w:rsid w:val="207C77D5"/>
    <w:rsid w:val="207F0328"/>
    <w:rsid w:val="20801E06"/>
    <w:rsid w:val="20915ED7"/>
    <w:rsid w:val="20987265"/>
    <w:rsid w:val="20A90DDD"/>
    <w:rsid w:val="20AF2C12"/>
    <w:rsid w:val="20B2642A"/>
    <w:rsid w:val="20B47E17"/>
    <w:rsid w:val="20BE23CE"/>
    <w:rsid w:val="20BE33B4"/>
    <w:rsid w:val="20CE45D5"/>
    <w:rsid w:val="20D00B04"/>
    <w:rsid w:val="20D840D8"/>
    <w:rsid w:val="20E01330"/>
    <w:rsid w:val="20E2709B"/>
    <w:rsid w:val="20EC5449"/>
    <w:rsid w:val="20F86EA1"/>
    <w:rsid w:val="21082710"/>
    <w:rsid w:val="210A7A37"/>
    <w:rsid w:val="210D4A83"/>
    <w:rsid w:val="21137619"/>
    <w:rsid w:val="21143D19"/>
    <w:rsid w:val="21185F86"/>
    <w:rsid w:val="21295608"/>
    <w:rsid w:val="21370BF1"/>
    <w:rsid w:val="21372A21"/>
    <w:rsid w:val="21391E9C"/>
    <w:rsid w:val="213F386A"/>
    <w:rsid w:val="215F6031"/>
    <w:rsid w:val="216A668D"/>
    <w:rsid w:val="216D03EB"/>
    <w:rsid w:val="216E2604"/>
    <w:rsid w:val="216F4B26"/>
    <w:rsid w:val="217152B9"/>
    <w:rsid w:val="21725D08"/>
    <w:rsid w:val="21742C4A"/>
    <w:rsid w:val="217B6F12"/>
    <w:rsid w:val="217F21D3"/>
    <w:rsid w:val="21867A05"/>
    <w:rsid w:val="218E0668"/>
    <w:rsid w:val="21B429BA"/>
    <w:rsid w:val="21B64D5B"/>
    <w:rsid w:val="21B849C5"/>
    <w:rsid w:val="21BC51D5"/>
    <w:rsid w:val="21BD1FF8"/>
    <w:rsid w:val="21C71506"/>
    <w:rsid w:val="21C85AF1"/>
    <w:rsid w:val="21D05F56"/>
    <w:rsid w:val="21D32B67"/>
    <w:rsid w:val="21D44925"/>
    <w:rsid w:val="21DA0AC6"/>
    <w:rsid w:val="21E47D16"/>
    <w:rsid w:val="21F3583C"/>
    <w:rsid w:val="21F90EDC"/>
    <w:rsid w:val="21FC7CC7"/>
    <w:rsid w:val="21FD1A9E"/>
    <w:rsid w:val="21FE3920"/>
    <w:rsid w:val="220067FB"/>
    <w:rsid w:val="22087909"/>
    <w:rsid w:val="220D1827"/>
    <w:rsid w:val="220E7A84"/>
    <w:rsid w:val="22284619"/>
    <w:rsid w:val="222C642F"/>
    <w:rsid w:val="22335509"/>
    <w:rsid w:val="22355531"/>
    <w:rsid w:val="223B434C"/>
    <w:rsid w:val="223E5BEA"/>
    <w:rsid w:val="2243130E"/>
    <w:rsid w:val="22434A15"/>
    <w:rsid w:val="224405CD"/>
    <w:rsid w:val="22457E4C"/>
    <w:rsid w:val="22503D82"/>
    <w:rsid w:val="2250591D"/>
    <w:rsid w:val="22505C8D"/>
    <w:rsid w:val="2254540E"/>
    <w:rsid w:val="22680EB9"/>
    <w:rsid w:val="22700244"/>
    <w:rsid w:val="227022F2"/>
    <w:rsid w:val="22807AC7"/>
    <w:rsid w:val="228E10CE"/>
    <w:rsid w:val="228E785E"/>
    <w:rsid w:val="22962F1E"/>
    <w:rsid w:val="229638DB"/>
    <w:rsid w:val="229A02D1"/>
    <w:rsid w:val="229B379B"/>
    <w:rsid w:val="229D4DC1"/>
    <w:rsid w:val="229F6ABD"/>
    <w:rsid w:val="22A068A5"/>
    <w:rsid w:val="22A76172"/>
    <w:rsid w:val="22A825E4"/>
    <w:rsid w:val="22A93E41"/>
    <w:rsid w:val="22AC524A"/>
    <w:rsid w:val="22B05416"/>
    <w:rsid w:val="22B3482A"/>
    <w:rsid w:val="22B42350"/>
    <w:rsid w:val="22C74897"/>
    <w:rsid w:val="22C95DFC"/>
    <w:rsid w:val="22CD6158"/>
    <w:rsid w:val="22E16EF8"/>
    <w:rsid w:val="22E54E8B"/>
    <w:rsid w:val="22EC7010"/>
    <w:rsid w:val="22FB2285"/>
    <w:rsid w:val="23025BB3"/>
    <w:rsid w:val="23117193"/>
    <w:rsid w:val="231457C0"/>
    <w:rsid w:val="231B44AB"/>
    <w:rsid w:val="231E56C9"/>
    <w:rsid w:val="231E5AA6"/>
    <w:rsid w:val="2324704B"/>
    <w:rsid w:val="232F75D1"/>
    <w:rsid w:val="23407A9A"/>
    <w:rsid w:val="235B6069"/>
    <w:rsid w:val="23672234"/>
    <w:rsid w:val="236D3D96"/>
    <w:rsid w:val="236F7CAC"/>
    <w:rsid w:val="237E01F4"/>
    <w:rsid w:val="237E129C"/>
    <w:rsid w:val="23843168"/>
    <w:rsid w:val="239161EE"/>
    <w:rsid w:val="239B7867"/>
    <w:rsid w:val="239D2DE4"/>
    <w:rsid w:val="23A33CB0"/>
    <w:rsid w:val="23A6731C"/>
    <w:rsid w:val="23A95620"/>
    <w:rsid w:val="23AC3027"/>
    <w:rsid w:val="23AE0B4E"/>
    <w:rsid w:val="23B14932"/>
    <w:rsid w:val="23B2794F"/>
    <w:rsid w:val="23C622B2"/>
    <w:rsid w:val="23C9118F"/>
    <w:rsid w:val="23CE61CB"/>
    <w:rsid w:val="23D96A20"/>
    <w:rsid w:val="23E46C65"/>
    <w:rsid w:val="23E8277C"/>
    <w:rsid w:val="23EE0275"/>
    <w:rsid w:val="23FE69E8"/>
    <w:rsid w:val="240A66CC"/>
    <w:rsid w:val="24157361"/>
    <w:rsid w:val="241750B5"/>
    <w:rsid w:val="241B4BA0"/>
    <w:rsid w:val="241C1588"/>
    <w:rsid w:val="242B0905"/>
    <w:rsid w:val="242B6642"/>
    <w:rsid w:val="243454F7"/>
    <w:rsid w:val="24347F94"/>
    <w:rsid w:val="246D7524"/>
    <w:rsid w:val="24700C1C"/>
    <w:rsid w:val="247022A7"/>
    <w:rsid w:val="248649C3"/>
    <w:rsid w:val="24870DF6"/>
    <w:rsid w:val="248B0E8F"/>
    <w:rsid w:val="248B5112"/>
    <w:rsid w:val="248D33C0"/>
    <w:rsid w:val="24930575"/>
    <w:rsid w:val="249E1651"/>
    <w:rsid w:val="249E4EFE"/>
    <w:rsid w:val="24A00DDE"/>
    <w:rsid w:val="24A97BB9"/>
    <w:rsid w:val="24AC7783"/>
    <w:rsid w:val="24B228BF"/>
    <w:rsid w:val="24C4005E"/>
    <w:rsid w:val="24DA1393"/>
    <w:rsid w:val="24DB1E16"/>
    <w:rsid w:val="24E12851"/>
    <w:rsid w:val="24E80EF6"/>
    <w:rsid w:val="24E8562A"/>
    <w:rsid w:val="24E93B2C"/>
    <w:rsid w:val="24EB5F4F"/>
    <w:rsid w:val="24F23980"/>
    <w:rsid w:val="24F37160"/>
    <w:rsid w:val="25004951"/>
    <w:rsid w:val="25010D91"/>
    <w:rsid w:val="25050508"/>
    <w:rsid w:val="250E00B9"/>
    <w:rsid w:val="25113A8A"/>
    <w:rsid w:val="25184572"/>
    <w:rsid w:val="251945A1"/>
    <w:rsid w:val="251D41DD"/>
    <w:rsid w:val="251D6A3B"/>
    <w:rsid w:val="25225C9E"/>
    <w:rsid w:val="25254AB7"/>
    <w:rsid w:val="25261402"/>
    <w:rsid w:val="253138BE"/>
    <w:rsid w:val="253D1D7F"/>
    <w:rsid w:val="253F3A28"/>
    <w:rsid w:val="25441BFC"/>
    <w:rsid w:val="25453664"/>
    <w:rsid w:val="254F5877"/>
    <w:rsid w:val="255D6D71"/>
    <w:rsid w:val="2561056D"/>
    <w:rsid w:val="25660EC1"/>
    <w:rsid w:val="25673A66"/>
    <w:rsid w:val="256B13EC"/>
    <w:rsid w:val="2574774F"/>
    <w:rsid w:val="257563DF"/>
    <w:rsid w:val="257D7C6B"/>
    <w:rsid w:val="25844CB4"/>
    <w:rsid w:val="259243B0"/>
    <w:rsid w:val="2598022D"/>
    <w:rsid w:val="25AB3969"/>
    <w:rsid w:val="25B032A3"/>
    <w:rsid w:val="25C3214F"/>
    <w:rsid w:val="25CC30D2"/>
    <w:rsid w:val="25D9413E"/>
    <w:rsid w:val="25ED0739"/>
    <w:rsid w:val="25ED1E01"/>
    <w:rsid w:val="25EE57A4"/>
    <w:rsid w:val="25EE7A0F"/>
    <w:rsid w:val="25F172E5"/>
    <w:rsid w:val="25FB35AA"/>
    <w:rsid w:val="26065BCC"/>
    <w:rsid w:val="260A560B"/>
    <w:rsid w:val="260E516D"/>
    <w:rsid w:val="261B5E49"/>
    <w:rsid w:val="261C68A6"/>
    <w:rsid w:val="262477ED"/>
    <w:rsid w:val="26294891"/>
    <w:rsid w:val="262C7F82"/>
    <w:rsid w:val="262D65B3"/>
    <w:rsid w:val="26373035"/>
    <w:rsid w:val="26393298"/>
    <w:rsid w:val="26404DEC"/>
    <w:rsid w:val="26431A21"/>
    <w:rsid w:val="26464A10"/>
    <w:rsid w:val="264659B5"/>
    <w:rsid w:val="264C5B9F"/>
    <w:rsid w:val="26536D02"/>
    <w:rsid w:val="26555BF8"/>
    <w:rsid w:val="2666276E"/>
    <w:rsid w:val="266801D6"/>
    <w:rsid w:val="266B347E"/>
    <w:rsid w:val="266C46B1"/>
    <w:rsid w:val="266D4E92"/>
    <w:rsid w:val="26725D73"/>
    <w:rsid w:val="26751DF6"/>
    <w:rsid w:val="2678761C"/>
    <w:rsid w:val="26834A45"/>
    <w:rsid w:val="2688208B"/>
    <w:rsid w:val="268E457A"/>
    <w:rsid w:val="268F0349"/>
    <w:rsid w:val="269E79BD"/>
    <w:rsid w:val="26AA7CF2"/>
    <w:rsid w:val="26AB75C6"/>
    <w:rsid w:val="26B91CE3"/>
    <w:rsid w:val="26BB5BFD"/>
    <w:rsid w:val="26BC4513"/>
    <w:rsid w:val="26BD60A4"/>
    <w:rsid w:val="26BF13E6"/>
    <w:rsid w:val="26CF4C83"/>
    <w:rsid w:val="26D20FF7"/>
    <w:rsid w:val="26D703BB"/>
    <w:rsid w:val="26E74AA2"/>
    <w:rsid w:val="26EA00EF"/>
    <w:rsid w:val="26ED398E"/>
    <w:rsid w:val="26F44384"/>
    <w:rsid w:val="26FA1081"/>
    <w:rsid w:val="26FC40C5"/>
    <w:rsid w:val="27017661"/>
    <w:rsid w:val="27074945"/>
    <w:rsid w:val="270A0791"/>
    <w:rsid w:val="270D7139"/>
    <w:rsid w:val="27144B49"/>
    <w:rsid w:val="27161B21"/>
    <w:rsid w:val="271B2BFC"/>
    <w:rsid w:val="271C3514"/>
    <w:rsid w:val="271E7BE9"/>
    <w:rsid w:val="27201D62"/>
    <w:rsid w:val="27251453"/>
    <w:rsid w:val="272963A5"/>
    <w:rsid w:val="272E0305"/>
    <w:rsid w:val="27304F3C"/>
    <w:rsid w:val="273B6B9C"/>
    <w:rsid w:val="273F2B8B"/>
    <w:rsid w:val="274A6B4E"/>
    <w:rsid w:val="275163C0"/>
    <w:rsid w:val="2758774E"/>
    <w:rsid w:val="275D08F0"/>
    <w:rsid w:val="2767173F"/>
    <w:rsid w:val="276B56D3"/>
    <w:rsid w:val="27710810"/>
    <w:rsid w:val="277E7B88"/>
    <w:rsid w:val="278A3680"/>
    <w:rsid w:val="278B07F0"/>
    <w:rsid w:val="278C28F9"/>
    <w:rsid w:val="27942F63"/>
    <w:rsid w:val="27960276"/>
    <w:rsid w:val="279E050E"/>
    <w:rsid w:val="27B35A50"/>
    <w:rsid w:val="27B52FC0"/>
    <w:rsid w:val="27B90E99"/>
    <w:rsid w:val="27BB7CDD"/>
    <w:rsid w:val="27C430D8"/>
    <w:rsid w:val="27DB213D"/>
    <w:rsid w:val="27E22A55"/>
    <w:rsid w:val="27E56B08"/>
    <w:rsid w:val="27F8195E"/>
    <w:rsid w:val="27F9372F"/>
    <w:rsid w:val="280C55F9"/>
    <w:rsid w:val="280F4F7D"/>
    <w:rsid w:val="281206CE"/>
    <w:rsid w:val="282A6096"/>
    <w:rsid w:val="282C0958"/>
    <w:rsid w:val="28312C96"/>
    <w:rsid w:val="28327EF9"/>
    <w:rsid w:val="2833463B"/>
    <w:rsid w:val="2838643A"/>
    <w:rsid w:val="28404233"/>
    <w:rsid w:val="28413DE7"/>
    <w:rsid w:val="28436AAA"/>
    <w:rsid w:val="2849353B"/>
    <w:rsid w:val="284D3BEF"/>
    <w:rsid w:val="28500425"/>
    <w:rsid w:val="28501B35"/>
    <w:rsid w:val="285223EF"/>
    <w:rsid w:val="2859083D"/>
    <w:rsid w:val="285E7E8A"/>
    <w:rsid w:val="28636D18"/>
    <w:rsid w:val="28664406"/>
    <w:rsid w:val="286E7BAC"/>
    <w:rsid w:val="286F7871"/>
    <w:rsid w:val="28732366"/>
    <w:rsid w:val="28771E56"/>
    <w:rsid w:val="287F4593"/>
    <w:rsid w:val="288514B1"/>
    <w:rsid w:val="288D1912"/>
    <w:rsid w:val="288D61F7"/>
    <w:rsid w:val="288E2831"/>
    <w:rsid w:val="28927A6E"/>
    <w:rsid w:val="28971262"/>
    <w:rsid w:val="289728FC"/>
    <w:rsid w:val="289960A2"/>
    <w:rsid w:val="28A52AAA"/>
    <w:rsid w:val="28A73A4B"/>
    <w:rsid w:val="28A833E0"/>
    <w:rsid w:val="28AF009D"/>
    <w:rsid w:val="28B45E8E"/>
    <w:rsid w:val="28C2194E"/>
    <w:rsid w:val="28C558B1"/>
    <w:rsid w:val="28C826B1"/>
    <w:rsid w:val="28C86851"/>
    <w:rsid w:val="28CB64F6"/>
    <w:rsid w:val="28CC4D32"/>
    <w:rsid w:val="28D51539"/>
    <w:rsid w:val="28DC207E"/>
    <w:rsid w:val="28DC4B7E"/>
    <w:rsid w:val="28E53263"/>
    <w:rsid w:val="28E74279"/>
    <w:rsid w:val="28E9556D"/>
    <w:rsid w:val="28EB26C9"/>
    <w:rsid w:val="28F03AC9"/>
    <w:rsid w:val="28F45255"/>
    <w:rsid w:val="28F83366"/>
    <w:rsid w:val="28FE17A6"/>
    <w:rsid w:val="28FE39F9"/>
    <w:rsid w:val="290478E3"/>
    <w:rsid w:val="29052359"/>
    <w:rsid w:val="29072352"/>
    <w:rsid w:val="291F156B"/>
    <w:rsid w:val="292425B0"/>
    <w:rsid w:val="29377DCA"/>
    <w:rsid w:val="293D6AC5"/>
    <w:rsid w:val="293E0DFC"/>
    <w:rsid w:val="29416A72"/>
    <w:rsid w:val="294D233E"/>
    <w:rsid w:val="29520964"/>
    <w:rsid w:val="295A504D"/>
    <w:rsid w:val="296D5007"/>
    <w:rsid w:val="2974683A"/>
    <w:rsid w:val="29772170"/>
    <w:rsid w:val="2978459A"/>
    <w:rsid w:val="297B5976"/>
    <w:rsid w:val="297C696D"/>
    <w:rsid w:val="297E0123"/>
    <w:rsid w:val="298169B7"/>
    <w:rsid w:val="298704AF"/>
    <w:rsid w:val="29873769"/>
    <w:rsid w:val="298D4686"/>
    <w:rsid w:val="298E7457"/>
    <w:rsid w:val="29910339"/>
    <w:rsid w:val="29A16A7A"/>
    <w:rsid w:val="29A40465"/>
    <w:rsid w:val="29B449E4"/>
    <w:rsid w:val="29BD5B76"/>
    <w:rsid w:val="29C2283B"/>
    <w:rsid w:val="29CB301D"/>
    <w:rsid w:val="29D023FF"/>
    <w:rsid w:val="29D073BD"/>
    <w:rsid w:val="29D2177B"/>
    <w:rsid w:val="29D25A37"/>
    <w:rsid w:val="29E04AE7"/>
    <w:rsid w:val="29EC23D0"/>
    <w:rsid w:val="29EC5ADA"/>
    <w:rsid w:val="29F10F4E"/>
    <w:rsid w:val="29F13744"/>
    <w:rsid w:val="2A0004EC"/>
    <w:rsid w:val="2A05348C"/>
    <w:rsid w:val="2A0B2396"/>
    <w:rsid w:val="2A0D3EE1"/>
    <w:rsid w:val="2A111E36"/>
    <w:rsid w:val="2A1A35DD"/>
    <w:rsid w:val="2A3041C5"/>
    <w:rsid w:val="2A310999"/>
    <w:rsid w:val="2A332D1E"/>
    <w:rsid w:val="2A3A138D"/>
    <w:rsid w:val="2A3C5105"/>
    <w:rsid w:val="2A3D2C2B"/>
    <w:rsid w:val="2A3F2B90"/>
    <w:rsid w:val="2A420242"/>
    <w:rsid w:val="2A4614A7"/>
    <w:rsid w:val="2A465F84"/>
    <w:rsid w:val="2A47476E"/>
    <w:rsid w:val="2A49744F"/>
    <w:rsid w:val="2A522B37"/>
    <w:rsid w:val="2A572E0A"/>
    <w:rsid w:val="2A5C5215"/>
    <w:rsid w:val="2A6115FC"/>
    <w:rsid w:val="2A64653D"/>
    <w:rsid w:val="2A694B4E"/>
    <w:rsid w:val="2A77438F"/>
    <w:rsid w:val="2A8940C2"/>
    <w:rsid w:val="2A9A007E"/>
    <w:rsid w:val="2AB85BC9"/>
    <w:rsid w:val="2ABA5D46"/>
    <w:rsid w:val="2ABC7A02"/>
    <w:rsid w:val="2ABF7B81"/>
    <w:rsid w:val="2AC5334C"/>
    <w:rsid w:val="2ACA0963"/>
    <w:rsid w:val="2AD3221D"/>
    <w:rsid w:val="2AD74450"/>
    <w:rsid w:val="2ADA0CDC"/>
    <w:rsid w:val="2AE35406"/>
    <w:rsid w:val="2AE3729E"/>
    <w:rsid w:val="2AE564CC"/>
    <w:rsid w:val="2AE60DB0"/>
    <w:rsid w:val="2AF06B21"/>
    <w:rsid w:val="2AFE2B5A"/>
    <w:rsid w:val="2B03738F"/>
    <w:rsid w:val="2B123AEA"/>
    <w:rsid w:val="2B157704"/>
    <w:rsid w:val="2B165956"/>
    <w:rsid w:val="2B17611A"/>
    <w:rsid w:val="2B1A5DEF"/>
    <w:rsid w:val="2B2E0861"/>
    <w:rsid w:val="2B317A7A"/>
    <w:rsid w:val="2B3D7003"/>
    <w:rsid w:val="2B3F5AE6"/>
    <w:rsid w:val="2B477E0A"/>
    <w:rsid w:val="2B50432A"/>
    <w:rsid w:val="2B5356B9"/>
    <w:rsid w:val="2B563FA5"/>
    <w:rsid w:val="2B634913"/>
    <w:rsid w:val="2B6C2D74"/>
    <w:rsid w:val="2B6C331D"/>
    <w:rsid w:val="2B6D5A90"/>
    <w:rsid w:val="2B7408CF"/>
    <w:rsid w:val="2B7C0A3E"/>
    <w:rsid w:val="2B8054C5"/>
    <w:rsid w:val="2B856638"/>
    <w:rsid w:val="2B893F9F"/>
    <w:rsid w:val="2B8F5708"/>
    <w:rsid w:val="2B9E507B"/>
    <w:rsid w:val="2BA15B47"/>
    <w:rsid w:val="2BA80578"/>
    <w:rsid w:val="2BAE3DE1"/>
    <w:rsid w:val="2BB118A0"/>
    <w:rsid w:val="2BB807BB"/>
    <w:rsid w:val="2BBB385F"/>
    <w:rsid w:val="2BC50696"/>
    <w:rsid w:val="2BCC24B9"/>
    <w:rsid w:val="2BDA67DF"/>
    <w:rsid w:val="2BE22F5A"/>
    <w:rsid w:val="2BE524D9"/>
    <w:rsid w:val="2BE628FC"/>
    <w:rsid w:val="2BED4190"/>
    <w:rsid w:val="2BEF7F55"/>
    <w:rsid w:val="2BF95A9B"/>
    <w:rsid w:val="2BFA3455"/>
    <w:rsid w:val="2BFA73E5"/>
    <w:rsid w:val="2BFB4038"/>
    <w:rsid w:val="2BFC0FF0"/>
    <w:rsid w:val="2C155EB8"/>
    <w:rsid w:val="2C15621F"/>
    <w:rsid w:val="2C171B84"/>
    <w:rsid w:val="2C221B1D"/>
    <w:rsid w:val="2C287400"/>
    <w:rsid w:val="2C2B26EB"/>
    <w:rsid w:val="2C2D3671"/>
    <w:rsid w:val="2C2D6BFB"/>
    <w:rsid w:val="2C33672C"/>
    <w:rsid w:val="2C46226B"/>
    <w:rsid w:val="2C4A7614"/>
    <w:rsid w:val="2C5A5D16"/>
    <w:rsid w:val="2C5D519A"/>
    <w:rsid w:val="2C621612"/>
    <w:rsid w:val="2C663039"/>
    <w:rsid w:val="2C6A190D"/>
    <w:rsid w:val="2C6A77D7"/>
    <w:rsid w:val="2C713442"/>
    <w:rsid w:val="2C787C89"/>
    <w:rsid w:val="2C7A0167"/>
    <w:rsid w:val="2C83526D"/>
    <w:rsid w:val="2C8C2E7F"/>
    <w:rsid w:val="2C8E2653"/>
    <w:rsid w:val="2C8E3C12"/>
    <w:rsid w:val="2C981ADB"/>
    <w:rsid w:val="2CA05B1F"/>
    <w:rsid w:val="2CB06FB2"/>
    <w:rsid w:val="2CB228F1"/>
    <w:rsid w:val="2CB25B52"/>
    <w:rsid w:val="2CB43F9B"/>
    <w:rsid w:val="2CB82034"/>
    <w:rsid w:val="2CBB71DD"/>
    <w:rsid w:val="2CBD51C2"/>
    <w:rsid w:val="2CC969F8"/>
    <w:rsid w:val="2CD01DD4"/>
    <w:rsid w:val="2CD325E4"/>
    <w:rsid w:val="2CDC3776"/>
    <w:rsid w:val="2CDC672B"/>
    <w:rsid w:val="2CDC7A8E"/>
    <w:rsid w:val="2CDE17E2"/>
    <w:rsid w:val="2CE07FEF"/>
    <w:rsid w:val="2CE74D12"/>
    <w:rsid w:val="2CF36B24"/>
    <w:rsid w:val="2D027788"/>
    <w:rsid w:val="2D0429D2"/>
    <w:rsid w:val="2D0D4B37"/>
    <w:rsid w:val="2D151C3D"/>
    <w:rsid w:val="2D167FFE"/>
    <w:rsid w:val="2D190516"/>
    <w:rsid w:val="2D1E4904"/>
    <w:rsid w:val="2D371BB4"/>
    <w:rsid w:val="2D376B9E"/>
    <w:rsid w:val="2D3D0F3A"/>
    <w:rsid w:val="2D412EBE"/>
    <w:rsid w:val="2D480265"/>
    <w:rsid w:val="2D4C404B"/>
    <w:rsid w:val="2D4F514F"/>
    <w:rsid w:val="2D50703B"/>
    <w:rsid w:val="2D5122F5"/>
    <w:rsid w:val="2D53181B"/>
    <w:rsid w:val="2D544483"/>
    <w:rsid w:val="2D5F09B8"/>
    <w:rsid w:val="2D6A01DB"/>
    <w:rsid w:val="2D6D3766"/>
    <w:rsid w:val="2D720CBF"/>
    <w:rsid w:val="2D752F55"/>
    <w:rsid w:val="2D8572C2"/>
    <w:rsid w:val="2D8D5C78"/>
    <w:rsid w:val="2D9A219E"/>
    <w:rsid w:val="2D9B25C2"/>
    <w:rsid w:val="2DB16F26"/>
    <w:rsid w:val="2DB63420"/>
    <w:rsid w:val="2DBD0E7C"/>
    <w:rsid w:val="2DC46B63"/>
    <w:rsid w:val="2DC7118A"/>
    <w:rsid w:val="2DCF180E"/>
    <w:rsid w:val="2DD00A71"/>
    <w:rsid w:val="2DD50990"/>
    <w:rsid w:val="2DD85145"/>
    <w:rsid w:val="2DD97E07"/>
    <w:rsid w:val="2DDA6597"/>
    <w:rsid w:val="2DE00058"/>
    <w:rsid w:val="2DE01502"/>
    <w:rsid w:val="2DFA1F3A"/>
    <w:rsid w:val="2DFE7AFD"/>
    <w:rsid w:val="2E02644B"/>
    <w:rsid w:val="2E172F9E"/>
    <w:rsid w:val="2E180AFD"/>
    <w:rsid w:val="2E28505E"/>
    <w:rsid w:val="2E2B1751"/>
    <w:rsid w:val="2E2E6BB7"/>
    <w:rsid w:val="2E310CF9"/>
    <w:rsid w:val="2E3D144C"/>
    <w:rsid w:val="2E4C7C9B"/>
    <w:rsid w:val="2E520D12"/>
    <w:rsid w:val="2E526ABA"/>
    <w:rsid w:val="2E536EC1"/>
    <w:rsid w:val="2E6B3952"/>
    <w:rsid w:val="2E731090"/>
    <w:rsid w:val="2E7958D3"/>
    <w:rsid w:val="2E8746A6"/>
    <w:rsid w:val="2E925C33"/>
    <w:rsid w:val="2E9F1B28"/>
    <w:rsid w:val="2EA66FF1"/>
    <w:rsid w:val="2EAE5EA6"/>
    <w:rsid w:val="2EB87E9D"/>
    <w:rsid w:val="2EBC2BC9"/>
    <w:rsid w:val="2EBC4CDE"/>
    <w:rsid w:val="2EBD433B"/>
    <w:rsid w:val="2EC15934"/>
    <w:rsid w:val="2EC165A6"/>
    <w:rsid w:val="2EC70374"/>
    <w:rsid w:val="2EC97183"/>
    <w:rsid w:val="2ECB2258"/>
    <w:rsid w:val="2ECC6291"/>
    <w:rsid w:val="2EDA2D7A"/>
    <w:rsid w:val="2EE157AA"/>
    <w:rsid w:val="2EFC30B5"/>
    <w:rsid w:val="2EFD623F"/>
    <w:rsid w:val="2F02080D"/>
    <w:rsid w:val="2F02233A"/>
    <w:rsid w:val="2F0347D2"/>
    <w:rsid w:val="2F053C82"/>
    <w:rsid w:val="2F0C0003"/>
    <w:rsid w:val="2F0C2302"/>
    <w:rsid w:val="2F120B2A"/>
    <w:rsid w:val="2F20036D"/>
    <w:rsid w:val="2F243F5D"/>
    <w:rsid w:val="2F2E3E34"/>
    <w:rsid w:val="2F336237"/>
    <w:rsid w:val="2F337710"/>
    <w:rsid w:val="2F3B1B4F"/>
    <w:rsid w:val="2F3F5C11"/>
    <w:rsid w:val="2F401BA0"/>
    <w:rsid w:val="2F4066A7"/>
    <w:rsid w:val="2F4120FF"/>
    <w:rsid w:val="2F4406F2"/>
    <w:rsid w:val="2F464330"/>
    <w:rsid w:val="2F4C2924"/>
    <w:rsid w:val="2F4C6D25"/>
    <w:rsid w:val="2F4D7864"/>
    <w:rsid w:val="2F501D80"/>
    <w:rsid w:val="2F58499A"/>
    <w:rsid w:val="2F5C7FF7"/>
    <w:rsid w:val="2F6F5C12"/>
    <w:rsid w:val="2F7658A7"/>
    <w:rsid w:val="2F775374"/>
    <w:rsid w:val="2F794880"/>
    <w:rsid w:val="2F7C4FE5"/>
    <w:rsid w:val="2F7E2EF4"/>
    <w:rsid w:val="2F864494"/>
    <w:rsid w:val="2F8A3BC4"/>
    <w:rsid w:val="2F8B68E0"/>
    <w:rsid w:val="2F8C7DDF"/>
    <w:rsid w:val="2F962A45"/>
    <w:rsid w:val="2F996B56"/>
    <w:rsid w:val="2F9A506B"/>
    <w:rsid w:val="2FA770EB"/>
    <w:rsid w:val="2FA8323D"/>
    <w:rsid w:val="2FAF7D9C"/>
    <w:rsid w:val="2FB0092D"/>
    <w:rsid w:val="2FBA5D99"/>
    <w:rsid w:val="2FBB2494"/>
    <w:rsid w:val="2FC31E25"/>
    <w:rsid w:val="2FCC2A87"/>
    <w:rsid w:val="2FCD06E8"/>
    <w:rsid w:val="2FCD41E3"/>
    <w:rsid w:val="2FCD4F29"/>
    <w:rsid w:val="2FD23E16"/>
    <w:rsid w:val="2FD46518"/>
    <w:rsid w:val="2FD56EF6"/>
    <w:rsid w:val="2FDF5666"/>
    <w:rsid w:val="2FE6176D"/>
    <w:rsid w:val="2FEBFCF0"/>
    <w:rsid w:val="30085A89"/>
    <w:rsid w:val="30144A23"/>
    <w:rsid w:val="3019022C"/>
    <w:rsid w:val="30212855"/>
    <w:rsid w:val="30254539"/>
    <w:rsid w:val="3025732C"/>
    <w:rsid w:val="303314B4"/>
    <w:rsid w:val="3034333B"/>
    <w:rsid w:val="30393E95"/>
    <w:rsid w:val="30571A9C"/>
    <w:rsid w:val="305A59E1"/>
    <w:rsid w:val="305F38FB"/>
    <w:rsid w:val="306440C0"/>
    <w:rsid w:val="30670A02"/>
    <w:rsid w:val="30675ABF"/>
    <w:rsid w:val="3075311F"/>
    <w:rsid w:val="307B625B"/>
    <w:rsid w:val="3087718C"/>
    <w:rsid w:val="3091782D"/>
    <w:rsid w:val="30980606"/>
    <w:rsid w:val="30985B87"/>
    <w:rsid w:val="309F019C"/>
    <w:rsid w:val="30A457B2"/>
    <w:rsid w:val="30B33C47"/>
    <w:rsid w:val="30B654E5"/>
    <w:rsid w:val="30B6612C"/>
    <w:rsid w:val="30D234D7"/>
    <w:rsid w:val="30D64BEE"/>
    <w:rsid w:val="30D76949"/>
    <w:rsid w:val="30F304E8"/>
    <w:rsid w:val="30F524B2"/>
    <w:rsid w:val="30FA1876"/>
    <w:rsid w:val="30FC1DCD"/>
    <w:rsid w:val="30FD659C"/>
    <w:rsid w:val="30FF39E1"/>
    <w:rsid w:val="31031C2F"/>
    <w:rsid w:val="31067E15"/>
    <w:rsid w:val="310942C8"/>
    <w:rsid w:val="310C2EB0"/>
    <w:rsid w:val="31111D16"/>
    <w:rsid w:val="311605E8"/>
    <w:rsid w:val="3116302B"/>
    <w:rsid w:val="31216367"/>
    <w:rsid w:val="31241AA5"/>
    <w:rsid w:val="3132654A"/>
    <w:rsid w:val="31374878"/>
    <w:rsid w:val="31387924"/>
    <w:rsid w:val="313C59EB"/>
    <w:rsid w:val="313E44DB"/>
    <w:rsid w:val="314636F5"/>
    <w:rsid w:val="31496359"/>
    <w:rsid w:val="314D298C"/>
    <w:rsid w:val="315A2315"/>
    <w:rsid w:val="315B18F5"/>
    <w:rsid w:val="316311C9"/>
    <w:rsid w:val="316660C4"/>
    <w:rsid w:val="31692558"/>
    <w:rsid w:val="316C274A"/>
    <w:rsid w:val="31715BEB"/>
    <w:rsid w:val="31750EFD"/>
    <w:rsid w:val="31772EC7"/>
    <w:rsid w:val="317F5B12"/>
    <w:rsid w:val="31833619"/>
    <w:rsid w:val="318552CB"/>
    <w:rsid w:val="318706B2"/>
    <w:rsid w:val="318E657A"/>
    <w:rsid w:val="318F3889"/>
    <w:rsid w:val="319B5A90"/>
    <w:rsid w:val="31A2448D"/>
    <w:rsid w:val="31A24783"/>
    <w:rsid w:val="31A53E3F"/>
    <w:rsid w:val="31AD3054"/>
    <w:rsid w:val="31AF4DC9"/>
    <w:rsid w:val="31B05E6D"/>
    <w:rsid w:val="31B45EC9"/>
    <w:rsid w:val="31B655B6"/>
    <w:rsid w:val="31B934DF"/>
    <w:rsid w:val="31C1040F"/>
    <w:rsid w:val="31C66883"/>
    <w:rsid w:val="31CA1B5D"/>
    <w:rsid w:val="31CE4AEE"/>
    <w:rsid w:val="31D35CFD"/>
    <w:rsid w:val="31D76B6B"/>
    <w:rsid w:val="31E16592"/>
    <w:rsid w:val="31E21704"/>
    <w:rsid w:val="31EB11BF"/>
    <w:rsid w:val="31F00C81"/>
    <w:rsid w:val="31F14A27"/>
    <w:rsid w:val="32036508"/>
    <w:rsid w:val="3207249C"/>
    <w:rsid w:val="32232664"/>
    <w:rsid w:val="322766C8"/>
    <w:rsid w:val="323625D3"/>
    <w:rsid w:val="32364B30"/>
    <w:rsid w:val="3238253D"/>
    <w:rsid w:val="323C07A5"/>
    <w:rsid w:val="323D51D9"/>
    <w:rsid w:val="323E5792"/>
    <w:rsid w:val="3242404A"/>
    <w:rsid w:val="324914B1"/>
    <w:rsid w:val="324A02A9"/>
    <w:rsid w:val="325057C8"/>
    <w:rsid w:val="3255248D"/>
    <w:rsid w:val="32586854"/>
    <w:rsid w:val="325E57AC"/>
    <w:rsid w:val="326810EA"/>
    <w:rsid w:val="32681903"/>
    <w:rsid w:val="326F6620"/>
    <w:rsid w:val="32706AF4"/>
    <w:rsid w:val="327537BC"/>
    <w:rsid w:val="32780EDB"/>
    <w:rsid w:val="327A5F7C"/>
    <w:rsid w:val="327F0285"/>
    <w:rsid w:val="328064EA"/>
    <w:rsid w:val="3281168B"/>
    <w:rsid w:val="32847B84"/>
    <w:rsid w:val="32905F7C"/>
    <w:rsid w:val="329939BD"/>
    <w:rsid w:val="329C24A3"/>
    <w:rsid w:val="32A050A3"/>
    <w:rsid w:val="32B31CAE"/>
    <w:rsid w:val="32B323AE"/>
    <w:rsid w:val="32B55A55"/>
    <w:rsid w:val="32C51706"/>
    <w:rsid w:val="32CD4C41"/>
    <w:rsid w:val="32CE4D68"/>
    <w:rsid w:val="32D0288E"/>
    <w:rsid w:val="32E22F20"/>
    <w:rsid w:val="32ED636F"/>
    <w:rsid w:val="32F905DE"/>
    <w:rsid w:val="32FA3A8A"/>
    <w:rsid w:val="33025AF6"/>
    <w:rsid w:val="332213FC"/>
    <w:rsid w:val="332266C2"/>
    <w:rsid w:val="33262CDE"/>
    <w:rsid w:val="332B5D17"/>
    <w:rsid w:val="332F4EA4"/>
    <w:rsid w:val="332F5719"/>
    <w:rsid w:val="333905CB"/>
    <w:rsid w:val="333B1717"/>
    <w:rsid w:val="334124BF"/>
    <w:rsid w:val="334F7942"/>
    <w:rsid w:val="33541711"/>
    <w:rsid w:val="33616E50"/>
    <w:rsid w:val="338B163D"/>
    <w:rsid w:val="338D4C23"/>
    <w:rsid w:val="3398485E"/>
    <w:rsid w:val="339E4E63"/>
    <w:rsid w:val="33A83126"/>
    <w:rsid w:val="33AD7074"/>
    <w:rsid w:val="33B144FC"/>
    <w:rsid w:val="33B26438"/>
    <w:rsid w:val="33B96584"/>
    <w:rsid w:val="33C338E3"/>
    <w:rsid w:val="33C43F49"/>
    <w:rsid w:val="33C77C0C"/>
    <w:rsid w:val="33D2266D"/>
    <w:rsid w:val="33D26ADA"/>
    <w:rsid w:val="33D62126"/>
    <w:rsid w:val="33DB773D"/>
    <w:rsid w:val="33E215D5"/>
    <w:rsid w:val="33E412D1"/>
    <w:rsid w:val="33E56C49"/>
    <w:rsid w:val="33EF174B"/>
    <w:rsid w:val="33F06095"/>
    <w:rsid w:val="33F320BE"/>
    <w:rsid w:val="33F8099A"/>
    <w:rsid w:val="33FB1B8D"/>
    <w:rsid w:val="340B78F6"/>
    <w:rsid w:val="34315E27"/>
    <w:rsid w:val="34331532"/>
    <w:rsid w:val="343424B5"/>
    <w:rsid w:val="343E25DE"/>
    <w:rsid w:val="34476452"/>
    <w:rsid w:val="34487258"/>
    <w:rsid w:val="34555DB1"/>
    <w:rsid w:val="345B11AF"/>
    <w:rsid w:val="34661856"/>
    <w:rsid w:val="34670FD0"/>
    <w:rsid w:val="34692F9B"/>
    <w:rsid w:val="346A6D13"/>
    <w:rsid w:val="346F2BCC"/>
    <w:rsid w:val="347504CD"/>
    <w:rsid w:val="34857CF0"/>
    <w:rsid w:val="34881010"/>
    <w:rsid w:val="34897199"/>
    <w:rsid w:val="348A1163"/>
    <w:rsid w:val="34951FE2"/>
    <w:rsid w:val="349D679B"/>
    <w:rsid w:val="349E0E18"/>
    <w:rsid w:val="34A059F8"/>
    <w:rsid w:val="34A22DDC"/>
    <w:rsid w:val="34A35D81"/>
    <w:rsid w:val="34B37D7C"/>
    <w:rsid w:val="34BB50B4"/>
    <w:rsid w:val="34BE7041"/>
    <w:rsid w:val="34C24459"/>
    <w:rsid w:val="34C55C53"/>
    <w:rsid w:val="34C9130F"/>
    <w:rsid w:val="34DB3A9B"/>
    <w:rsid w:val="34E82FE1"/>
    <w:rsid w:val="34F1032B"/>
    <w:rsid w:val="34FE0C39"/>
    <w:rsid w:val="35001DE2"/>
    <w:rsid w:val="351010ED"/>
    <w:rsid w:val="35107379"/>
    <w:rsid w:val="35110EC8"/>
    <w:rsid w:val="35132F06"/>
    <w:rsid w:val="352B7DFB"/>
    <w:rsid w:val="35315720"/>
    <w:rsid w:val="35330C46"/>
    <w:rsid w:val="35337C9F"/>
    <w:rsid w:val="3534529B"/>
    <w:rsid w:val="353551C0"/>
    <w:rsid w:val="35440045"/>
    <w:rsid w:val="35452AE8"/>
    <w:rsid w:val="35466E38"/>
    <w:rsid w:val="35481A37"/>
    <w:rsid w:val="35511F9B"/>
    <w:rsid w:val="35523A2F"/>
    <w:rsid w:val="355359F9"/>
    <w:rsid w:val="35593052"/>
    <w:rsid w:val="355966AB"/>
    <w:rsid w:val="355A29E7"/>
    <w:rsid w:val="355F0240"/>
    <w:rsid w:val="35613C72"/>
    <w:rsid w:val="35651BFE"/>
    <w:rsid w:val="357A66C5"/>
    <w:rsid w:val="358D4A67"/>
    <w:rsid w:val="35944ED6"/>
    <w:rsid w:val="359A6B0C"/>
    <w:rsid w:val="359D1932"/>
    <w:rsid w:val="35A267CC"/>
    <w:rsid w:val="35B5220F"/>
    <w:rsid w:val="35B60279"/>
    <w:rsid w:val="35BC7210"/>
    <w:rsid w:val="35C10BB4"/>
    <w:rsid w:val="35C9186B"/>
    <w:rsid w:val="35CA5380"/>
    <w:rsid w:val="35D33642"/>
    <w:rsid w:val="35D54660"/>
    <w:rsid w:val="35D72186"/>
    <w:rsid w:val="35D732BF"/>
    <w:rsid w:val="35DA3942"/>
    <w:rsid w:val="35DC154A"/>
    <w:rsid w:val="35F44B72"/>
    <w:rsid w:val="36053519"/>
    <w:rsid w:val="36075770"/>
    <w:rsid w:val="360F5ED5"/>
    <w:rsid w:val="361551BC"/>
    <w:rsid w:val="361749E3"/>
    <w:rsid w:val="3620298F"/>
    <w:rsid w:val="36227AEA"/>
    <w:rsid w:val="362A7765"/>
    <w:rsid w:val="363311DA"/>
    <w:rsid w:val="3641124D"/>
    <w:rsid w:val="364812ED"/>
    <w:rsid w:val="36487FA1"/>
    <w:rsid w:val="36494560"/>
    <w:rsid w:val="36522EDB"/>
    <w:rsid w:val="36671A5D"/>
    <w:rsid w:val="366F4241"/>
    <w:rsid w:val="36701C9E"/>
    <w:rsid w:val="36756D17"/>
    <w:rsid w:val="36797333"/>
    <w:rsid w:val="36806379"/>
    <w:rsid w:val="368609F1"/>
    <w:rsid w:val="368E5A0D"/>
    <w:rsid w:val="368F480F"/>
    <w:rsid w:val="369406BF"/>
    <w:rsid w:val="369678E6"/>
    <w:rsid w:val="36BF54B8"/>
    <w:rsid w:val="36C50792"/>
    <w:rsid w:val="36CD7A02"/>
    <w:rsid w:val="36CE5BCB"/>
    <w:rsid w:val="36D73C67"/>
    <w:rsid w:val="36EA3E80"/>
    <w:rsid w:val="37006F46"/>
    <w:rsid w:val="370812AF"/>
    <w:rsid w:val="370967B2"/>
    <w:rsid w:val="370E1BD7"/>
    <w:rsid w:val="371371EE"/>
    <w:rsid w:val="371511B8"/>
    <w:rsid w:val="37162DB2"/>
    <w:rsid w:val="37250B32"/>
    <w:rsid w:val="37283124"/>
    <w:rsid w:val="372F0A32"/>
    <w:rsid w:val="37300A83"/>
    <w:rsid w:val="37391AD9"/>
    <w:rsid w:val="373D05E3"/>
    <w:rsid w:val="373D24BC"/>
    <w:rsid w:val="374C1686"/>
    <w:rsid w:val="374D0857"/>
    <w:rsid w:val="37500A5E"/>
    <w:rsid w:val="37522B4E"/>
    <w:rsid w:val="375840A2"/>
    <w:rsid w:val="376E5261"/>
    <w:rsid w:val="376E6E12"/>
    <w:rsid w:val="37977E1F"/>
    <w:rsid w:val="379C5F03"/>
    <w:rsid w:val="379F5A3F"/>
    <w:rsid w:val="37A460DD"/>
    <w:rsid w:val="37A47E71"/>
    <w:rsid w:val="37A70B41"/>
    <w:rsid w:val="37AE115F"/>
    <w:rsid w:val="37C20225"/>
    <w:rsid w:val="37C46A1D"/>
    <w:rsid w:val="37C549CE"/>
    <w:rsid w:val="37C63ADA"/>
    <w:rsid w:val="37C66C9B"/>
    <w:rsid w:val="37CB67CB"/>
    <w:rsid w:val="37CC3E94"/>
    <w:rsid w:val="37D03079"/>
    <w:rsid w:val="37D03331"/>
    <w:rsid w:val="37D47487"/>
    <w:rsid w:val="37D83F93"/>
    <w:rsid w:val="37DA2287"/>
    <w:rsid w:val="37E02210"/>
    <w:rsid w:val="37E37083"/>
    <w:rsid w:val="37F24B08"/>
    <w:rsid w:val="37FC2378"/>
    <w:rsid w:val="37FE05F8"/>
    <w:rsid w:val="3801597C"/>
    <w:rsid w:val="38066D52"/>
    <w:rsid w:val="38076782"/>
    <w:rsid w:val="380855BD"/>
    <w:rsid w:val="380F50B6"/>
    <w:rsid w:val="381350B1"/>
    <w:rsid w:val="38136AF9"/>
    <w:rsid w:val="381C5F66"/>
    <w:rsid w:val="382947EF"/>
    <w:rsid w:val="382E031F"/>
    <w:rsid w:val="383218F5"/>
    <w:rsid w:val="38390ED6"/>
    <w:rsid w:val="383B2799"/>
    <w:rsid w:val="383B5E41"/>
    <w:rsid w:val="3845787B"/>
    <w:rsid w:val="38465F30"/>
    <w:rsid w:val="384A56DD"/>
    <w:rsid w:val="384E47F8"/>
    <w:rsid w:val="38567DC8"/>
    <w:rsid w:val="385968D4"/>
    <w:rsid w:val="385C6972"/>
    <w:rsid w:val="385D234B"/>
    <w:rsid w:val="386121DB"/>
    <w:rsid w:val="38635F53"/>
    <w:rsid w:val="38677BF1"/>
    <w:rsid w:val="38692AF7"/>
    <w:rsid w:val="388D6379"/>
    <w:rsid w:val="38945985"/>
    <w:rsid w:val="389556D6"/>
    <w:rsid w:val="389742C1"/>
    <w:rsid w:val="389D1465"/>
    <w:rsid w:val="38A6089C"/>
    <w:rsid w:val="38A6138B"/>
    <w:rsid w:val="38B44DA6"/>
    <w:rsid w:val="38B55EE9"/>
    <w:rsid w:val="38C070B8"/>
    <w:rsid w:val="38C27306"/>
    <w:rsid w:val="38C34A1C"/>
    <w:rsid w:val="38C35D26"/>
    <w:rsid w:val="38D40BFF"/>
    <w:rsid w:val="38DD5D05"/>
    <w:rsid w:val="38DE7BED"/>
    <w:rsid w:val="38DF64C6"/>
    <w:rsid w:val="38DF78CD"/>
    <w:rsid w:val="38E01351"/>
    <w:rsid w:val="38F720EF"/>
    <w:rsid w:val="38F93B84"/>
    <w:rsid w:val="38FC1678"/>
    <w:rsid w:val="38FC29F8"/>
    <w:rsid w:val="39111E53"/>
    <w:rsid w:val="39276354"/>
    <w:rsid w:val="39340B24"/>
    <w:rsid w:val="39531546"/>
    <w:rsid w:val="39565AB7"/>
    <w:rsid w:val="395C488A"/>
    <w:rsid w:val="3963069A"/>
    <w:rsid w:val="39720005"/>
    <w:rsid w:val="397F32F8"/>
    <w:rsid w:val="398422F1"/>
    <w:rsid w:val="3986639D"/>
    <w:rsid w:val="398E34A3"/>
    <w:rsid w:val="3991089E"/>
    <w:rsid w:val="39925F7E"/>
    <w:rsid w:val="39996F76"/>
    <w:rsid w:val="39A62FC6"/>
    <w:rsid w:val="39AC56D7"/>
    <w:rsid w:val="39C3314D"/>
    <w:rsid w:val="39C92A35"/>
    <w:rsid w:val="39CC78FE"/>
    <w:rsid w:val="39CF33FD"/>
    <w:rsid w:val="39D71106"/>
    <w:rsid w:val="39D93CD3"/>
    <w:rsid w:val="39DC5C92"/>
    <w:rsid w:val="39E135D3"/>
    <w:rsid w:val="39F23556"/>
    <w:rsid w:val="39F552D0"/>
    <w:rsid w:val="39F96B6F"/>
    <w:rsid w:val="3A00614F"/>
    <w:rsid w:val="3A03379A"/>
    <w:rsid w:val="3A1922ED"/>
    <w:rsid w:val="3A1D0062"/>
    <w:rsid w:val="3A1E35A8"/>
    <w:rsid w:val="3A2D4A6A"/>
    <w:rsid w:val="3A352F3D"/>
    <w:rsid w:val="3A393F88"/>
    <w:rsid w:val="3A3D13E0"/>
    <w:rsid w:val="3A3F0D6F"/>
    <w:rsid w:val="3A451DB4"/>
    <w:rsid w:val="3A4F6138"/>
    <w:rsid w:val="3A4F678F"/>
    <w:rsid w:val="3A515F62"/>
    <w:rsid w:val="3A540249"/>
    <w:rsid w:val="3A556F57"/>
    <w:rsid w:val="3A575643"/>
    <w:rsid w:val="3A5B3385"/>
    <w:rsid w:val="3A693609"/>
    <w:rsid w:val="3A6C1BAB"/>
    <w:rsid w:val="3A7B3A28"/>
    <w:rsid w:val="3A865F28"/>
    <w:rsid w:val="3A8D5509"/>
    <w:rsid w:val="3A8E44C6"/>
    <w:rsid w:val="3AA36ADA"/>
    <w:rsid w:val="3AA86EA9"/>
    <w:rsid w:val="3AAD38BE"/>
    <w:rsid w:val="3AB164CE"/>
    <w:rsid w:val="3AB408A4"/>
    <w:rsid w:val="3AB40E24"/>
    <w:rsid w:val="3AB61855"/>
    <w:rsid w:val="3ABC7B9C"/>
    <w:rsid w:val="3AC7429A"/>
    <w:rsid w:val="3AD513CA"/>
    <w:rsid w:val="3AD56D04"/>
    <w:rsid w:val="3ADD394F"/>
    <w:rsid w:val="3AEF3ACE"/>
    <w:rsid w:val="3AF767F8"/>
    <w:rsid w:val="3AFE09DA"/>
    <w:rsid w:val="3B00277C"/>
    <w:rsid w:val="3B110D40"/>
    <w:rsid w:val="3B126257"/>
    <w:rsid w:val="3B141F1B"/>
    <w:rsid w:val="3B190B4B"/>
    <w:rsid w:val="3B1B0D67"/>
    <w:rsid w:val="3B20561A"/>
    <w:rsid w:val="3B2324F5"/>
    <w:rsid w:val="3B297B5B"/>
    <w:rsid w:val="3B2F6341"/>
    <w:rsid w:val="3B3E4391"/>
    <w:rsid w:val="3B4007CD"/>
    <w:rsid w:val="3B4016A5"/>
    <w:rsid w:val="3B40257B"/>
    <w:rsid w:val="3B434D01"/>
    <w:rsid w:val="3B4B11B7"/>
    <w:rsid w:val="3B4C0F20"/>
    <w:rsid w:val="3B4E7BAA"/>
    <w:rsid w:val="3B4F3C71"/>
    <w:rsid w:val="3B556698"/>
    <w:rsid w:val="3B5B73B5"/>
    <w:rsid w:val="3B64626A"/>
    <w:rsid w:val="3B6500B7"/>
    <w:rsid w:val="3B650AA8"/>
    <w:rsid w:val="3B653D90"/>
    <w:rsid w:val="3B691A17"/>
    <w:rsid w:val="3B70237C"/>
    <w:rsid w:val="3B733985"/>
    <w:rsid w:val="3B742225"/>
    <w:rsid w:val="3B7476E3"/>
    <w:rsid w:val="3B7B70CC"/>
    <w:rsid w:val="3B7E293E"/>
    <w:rsid w:val="3B8E1539"/>
    <w:rsid w:val="3B99399A"/>
    <w:rsid w:val="3B996932"/>
    <w:rsid w:val="3BA708B5"/>
    <w:rsid w:val="3BC02281"/>
    <w:rsid w:val="3BC41C6C"/>
    <w:rsid w:val="3BD133EB"/>
    <w:rsid w:val="3BDD1892"/>
    <w:rsid w:val="3BE253E0"/>
    <w:rsid w:val="3BE455FD"/>
    <w:rsid w:val="3BEDECCB"/>
    <w:rsid w:val="3C095063"/>
    <w:rsid w:val="3C0F209E"/>
    <w:rsid w:val="3C171A29"/>
    <w:rsid w:val="3C1C08F2"/>
    <w:rsid w:val="3C1D0543"/>
    <w:rsid w:val="3C200251"/>
    <w:rsid w:val="3C231005"/>
    <w:rsid w:val="3C3255E3"/>
    <w:rsid w:val="3C333E8E"/>
    <w:rsid w:val="3C352253"/>
    <w:rsid w:val="3C483CA4"/>
    <w:rsid w:val="3C5F1966"/>
    <w:rsid w:val="3C6162E6"/>
    <w:rsid w:val="3C616C4D"/>
    <w:rsid w:val="3C6612FB"/>
    <w:rsid w:val="3C690363"/>
    <w:rsid w:val="3C706E90"/>
    <w:rsid w:val="3C797005"/>
    <w:rsid w:val="3C807AB7"/>
    <w:rsid w:val="3C863929"/>
    <w:rsid w:val="3C8A6FE3"/>
    <w:rsid w:val="3C944DD1"/>
    <w:rsid w:val="3C947BBC"/>
    <w:rsid w:val="3CA300CC"/>
    <w:rsid w:val="3CA31C66"/>
    <w:rsid w:val="3CC4097D"/>
    <w:rsid w:val="3CD4155C"/>
    <w:rsid w:val="3CD58A00"/>
    <w:rsid w:val="3CE70850"/>
    <w:rsid w:val="3CEB1C71"/>
    <w:rsid w:val="3CEC13BE"/>
    <w:rsid w:val="3CEC7DD6"/>
    <w:rsid w:val="3CEF24AB"/>
    <w:rsid w:val="3CF8135F"/>
    <w:rsid w:val="3CFE449C"/>
    <w:rsid w:val="3D033455"/>
    <w:rsid w:val="3D0803B2"/>
    <w:rsid w:val="3D082A0C"/>
    <w:rsid w:val="3D092CC0"/>
    <w:rsid w:val="3D0C0967"/>
    <w:rsid w:val="3D0F655F"/>
    <w:rsid w:val="3D12755C"/>
    <w:rsid w:val="3D1E4B3E"/>
    <w:rsid w:val="3D2124E3"/>
    <w:rsid w:val="3D227DA8"/>
    <w:rsid w:val="3D231171"/>
    <w:rsid w:val="3D2A675A"/>
    <w:rsid w:val="3D2B3661"/>
    <w:rsid w:val="3D2B37F8"/>
    <w:rsid w:val="3D2E2A58"/>
    <w:rsid w:val="3D2F31D7"/>
    <w:rsid w:val="3D3A2FA2"/>
    <w:rsid w:val="3D413F8B"/>
    <w:rsid w:val="3D427B66"/>
    <w:rsid w:val="3D47568D"/>
    <w:rsid w:val="3D475FF3"/>
    <w:rsid w:val="3D4A74D8"/>
    <w:rsid w:val="3D4D0A95"/>
    <w:rsid w:val="3D583BAC"/>
    <w:rsid w:val="3D5F68A8"/>
    <w:rsid w:val="3D6A2D9E"/>
    <w:rsid w:val="3D6C58AA"/>
    <w:rsid w:val="3D7172DD"/>
    <w:rsid w:val="3D7906A5"/>
    <w:rsid w:val="3D7A6218"/>
    <w:rsid w:val="3D7E647C"/>
    <w:rsid w:val="3D872689"/>
    <w:rsid w:val="3D8E572C"/>
    <w:rsid w:val="3D8E5820"/>
    <w:rsid w:val="3D9372DA"/>
    <w:rsid w:val="3D954DD5"/>
    <w:rsid w:val="3D954E00"/>
    <w:rsid w:val="3D9A641C"/>
    <w:rsid w:val="3DA05553"/>
    <w:rsid w:val="3DA46DF1"/>
    <w:rsid w:val="3DB074AE"/>
    <w:rsid w:val="3DB1150E"/>
    <w:rsid w:val="3DBB238D"/>
    <w:rsid w:val="3DBD4357"/>
    <w:rsid w:val="3DC67CE6"/>
    <w:rsid w:val="3DCE33C2"/>
    <w:rsid w:val="3DD3077D"/>
    <w:rsid w:val="3DD915F7"/>
    <w:rsid w:val="3DE15345"/>
    <w:rsid w:val="3DE56543"/>
    <w:rsid w:val="3DE63767"/>
    <w:rsid w:val="3DEB16E4"/>
    <w:rsid w:val="3DFF6EB9"/>
    <w:rsid w:val="3E064EB2"/>
    <w:rsid w:val="3E123C25"/>
    <w:rsid w:val="3E1349EF"/>
    <w:rsid w:val="3E135D25"/>
    <w:rsid w:val="3E173616"/>
    <w:rsid w:val="3E1C3CAE"/>
    <w:rsid w:val="3E200EDF"/>
    <w:rsid w:val="3E23624A"/>
    <w:rsid w:val="3E287566"/>
    <w:rsid w:val="3E2D22BE"/>
    <w:rsid w:val="3E3179FF"/>
    <w:rsid w:val="3E346F58"/>
    <w:rsid w:val="3E3631DE"/>
    <w:rsid w:val="3E36381E"/>
    <w:rsid w:val="3E376DEA"/>
    <w:rsid w:val="3E3F58F3"/>
    <w:rsid w:val="3E510B14"/>
    <w:rsid w:val="3E601442"/>
    <w:rsid w:val="3E617C22"/>
    <w:rsid w:val="3E652DA6"/>
    <w:rsid w:val="3E6D75DA"/>
    <w:rsid w:val="3E724288"/>
    <w:rsid w:val="3E7E36F0"/>
    <w:rsid w:val="3E8135D7"/>
    <w:rsid w:val="3E853E4C"/>
    <w:rsid w:val="3E854E75"/>
    <w:rsid w:val="3E8572A5"/>
    <w:rsid w:val="3E8727F4"/>
    <w:rsid w:val="3E8E3CD9"/>
    <w:rsid w:val="3E9355B9"/>
    <w:rsid w:val="3E9560FF"/>
    <w:rsid w:val="3E970ADC"/>
    <w:rsid w:val="3E9A31F5"/>
    <w:rsid w:val="3E9D6273"/>
    <w:rsid w:val="3E9F2F12"/>
    <w:rsid w:val="3E9F346A"/>
    <w:rsid w:val="3EA9462C"/>
    <w:rsid w:val="3EAB1103"/>
    <w:rsid w:val="3EAD1881"/>
    <w:rsid w:val="3EB63280"/>
    <w:rsid w:val="3EC83AF8"/>
    <w:rsid w:val="3EDE6059"/>
    <w:rsid w:val="3EDF3E59"/>
    <w:rsid w:val="3EE25050"/>
    <w:rsid w:val="3EE63834"/>
    <w:rsid w:val="3EEE26B2"/>
    <w:rsid w:val="3EF81492"/>
    <w:rsid w:val="3EFA7852"/>
    <w:rsid w:val="3F146020"/>
    <w:rsid w:val="3F1629FC"/>
    <w:rsid w:val="3F1D6ECB"/>
    <w:rsid w:val="3F241F10"/>
    <w:rsid w:val="3F2D2E17"/>
    <w:rsid w:val="3F2F35E8"/>
    <w:rsid w:val="3F3E6353"/>
    <w:rsid w:val="3F3F01B9"/>
    <w:rsid w:val="3F4400A1"/>
    <w:rsid w:val="3F466B9C"/>
    <w:rsid w:val="3F4F7231"/>
    <w:rsid w:val="3F550E3F"/>
    <w:rsid w:val="3F5A0161"/>
    <w:rsid w:val="3F677D74"/>
    <w:rsid w:val="3F6B7E40"/>
    <w:rsid w:val="3F7157E4"/>
    <w:rsid w:val="3F762442"/>
    <w:rsid w:val="3F8663DE"/>
    <w:rsid w:val="3F8671C9"/>
    <w:rsid w:val="3F894B5A"/>
    <w:rsid w:val="3F9B2476"/>
    <w:rsid w:val="3FA52752"/>
    <w:rsid w:val="3FAC01DF"/>
    <w:rsid w:val="3FBD0D61"/>
    <w:rsid w:val="3FC25C55"/>
    <w:rsid w:val="3FD61700"/>
    <w:rsid w:val="3FDA4D4C"/>
    <w:rsid w:val="3FE53A07"/>
    <w:rsid w:val="3FE75DC3"/>
    <w:rsid w:val="3FF027C2"/>
    <w:rsid w:val="3FF322B2"/>
    <w:rsid w:val="400621EE"/>
    <w:rsid w:val="400B26B3"/>
    <w:rsid w:val="40104C12"/>
    <w:rsid w:val="4013025E"/>
    <w:rsid w:val="40194BE4"/>
    <w:rsid w:val="401B225A"/>
    <w:rsid w:val="401C35B7"/>
    <w:rsid w:val="4041565C"/>
    <w:rsid w:val="40464190"/>
    <w:rsid w:val="404928AB"/>
    <w:rsid w:val="405C1C05"/>
    <w:rsid w:val="40822309"/>
    <w:rsid w:val="408C1311"/>
    <w:rsid w:val="409612E3"/>
    <w:rsid w:val="40A714DC"/>
    <w:rsid w:val="40AF442B"/>
    <w:rsid w:val="40AF5F7E"/>
    <w:rsid w:val="40B41A41"/>
    <w:rsid w:val="40BA182F"/>
    <w:rsid w:val="40C94DC1"/>
    <w:rsid w:val="40CE04E9"/>
    <w:rsid w:val="40CF687B"/>
    <w:rsid w:val="40D15ACB"/>
    <w:rsid w:val="40D243EE"/>
    <w:rsid w:val="40DE2319"/>
    <w:rsid w:val="40DE3088"/>
    <w:rsid w:val="40F122B1"/>
    <w:rsid w:val="40F24318"/>
    <w:rsid w:val="40F46836"/>
    <w:rsid w:val="41024E8C"/>
    <w:rsid w:val="41070D54"/>
    <w:rsid w:val="410A1661"/>
    <w:rsid w:val="411577FE"/>
    <w:rsid w:val="411B386E"/>
    <w:rsid w:val="41200E85"/>
    <w:rsid w:val="41214D68"/>
    <w:rsid w:val="412479F7"/>
    <w:rsid w:val="41275289"/>
    <w:rsid w:val="41287548"/>
    <w:rsid w:val="412B2E4B"/>
    <w:rsid w:val="41393A46"/>
    <w:rsid w:val="413D3450"/>
    <w:rsid w:val="41437038"/>
    <w:rsid w:val="415E175E"/>
    <w:rsid w:val="41635187"/>
    <w:rsid w:val="41661A92"/>
    <w:rsid w:val="416A343F"/>
    <w:rsid w:val="41742F7F"/>
    <w:rsid w:val="41801923"/>
    <w:rsid w:val="41876567"/>
    <w:rsid w:val="41893A0D"/>
    <w:rsid w:val="41896D31"/>
    <w:rsid w:val="418A3092"/>
    <w:rsid w:val="419B49AF"/>
    <w:rsid w:val="419D7C6F"/>
    <w:rsid w:val="41A24A13"/>
    <w:rsid w:val="41A65A5F"/>
    <w:rsid w:val="41AE7FB2"/>
    <w:rsid w:val="41B36A6C"/>
    <w:rsid w:val="41B50168"/>
    <w:rsid w:val="41B950FF"/>
    <w:rsid w:val="41C7357B"/>
    <w:rsid w:val="41C77552"/>
    <w:rsid w:val="41CF1185"/>
    <w:rsid w:val="41D3020E"/>
    <w:rsid w:val="41D32D35"/>
    <w:rsid w:val="41DB2FFE"/>
    <w:rsid w:val="41DF1AD5"/>
    <w:rsid w:val="41F25735"/>
    <w:rsid w:val="41FB4538"/>
    <w:rsid w:val="4204794F"/>
    <w:rsid w:val="420C765B"/>
    <w:rsid w:val="420E79A8"/>
    <w:rsid w:val="42156456"/>
    <w:rsid w:val="421D2E5F"/>
    <w:rsid w:val="421E30FC"/>
    <w:rsid w:val="422A188F"/>
    <w:rsid w:val="42334BE8"/>
    <w:rsid w:val="423740BD"/>
    <w:rsid w:val="423F4F68"/>
    <w:rsid w:val="424528FB"/>
    <w:rsid w:val="424A186C"/>
    <w:rsid w:val="42503768"/>
    <w:rsid w:val="425C0EBC"/>
    <w:rsid w:val="42691A78"/>
    <w:rsid w:val="426948D8"/>
    <w:rsid w:val="426D5E63"/>
    <w:rsid w:val="427C60AB"/>
    <w:rsid w:val="427D40B5"/>
    <w:rsid w:val="42893C7E"/>
    <w:rsid w:val="42932C01"/>
    <w:rsid w:val="42947239"/>
    <w:rsid w:val="42953E14"/>
    <w:rsid w:val="429D02B3"/>
    <w:rsid w:val="42A2404A"/>
    <w:rsid w:val="42A45FD6"/>
    <w:rsid w:val="42AA526B"/>
    <w:rsid w:val="42BC698B"/>
    <w:rsid w:val="42C12350"/>
    <w:rsid w:val="42C24D3B"/>
    <w:rsid w:val="42C817D4"/>
    <w:rsid w:val="42D17F20"/>
    <w:rsid w:val="42D40179"/>
    <w:rsid w:val="42DE0FF8"/>
    <w:rsid w:val="42DE4B54"/>
    <w:rsid w:val="42DE51D9"/>
    <w:rsid w:val="42E47DEF"/>
    <w:rsid w:val="42E61C5A"/>
    <w:rsid w:val="42E6700C"/>
    <w:rsid w:val="42EB0770"/>
    <w:rsid w:val="42F471AB"/>
    <w:rsid w:val="42F81915"/>
    <w:rsid w:val="43064C77"/>
    <w:rsid w:val="431067B0"/>
    <w:rsid w:val="431247FD"/>
    <w:rsid w:val="431A4510"/>
    <w:rsid w:val="43282273"/>
    <w:rsid w:val="432F0402"/>
    <w:rsid w:val="432F3601"/>
    <w:rsid w:val="43385D00"/>
    <w:rsid w:val="4339622E"/>
    <w:rsid w:val="43396597"/>
    <w:rsid w:val="433A1DE3"/>
    <w:rsid w:val="43472ED5"/>
    <w:rsid w:val="434E1A0B"/>
    <w:rsid w:val="43585740"/>
    <w:rsid w:val="43650DD1"/>
    <w:rsid w:val="43666627"/>
    <w:rsid w:val="436908F6"/>
    <w:rsid w:val="436F39FE"/>
    <w:rsid w:val="437E6337"/>
    <w:rsid w:val="43872AE3"/>
    <w:rsid w:val="43874A27"/>
    <w:rsid w:val="438D4DC9"/>
    <w:rsid w:val="43935311"/>
    <w:rsid w:val="439924C7"/>
    <w:rsid w:val="439E5FCB"/>
    <w:rsid w:val="43A37B4B"/>
    <w:rsid w:val="43A55671"/>
    <w:rsid w:val="43B45946"/>
    <w:rsid w:val="43B57FC0"/>
    <w:rsid w:val="43B64581"/>
    <w:rsid w:val="43B671AA"/>
    <w:rsid w:val="43B92ECB"/>
    <w:rsid w:val="43BF4DC5"/>
    <w:rsid w:val="43C141FA"/>
    <w:rsid w:val="43C819B0"/>
    <w:rsid w:val="43CC5082"/>
    <w:rsid w:val="43DD19F1"/>
    <w:rsid w:val="43DE36B2"/>
    <w:rsid w:val="43E03B8F"/>
    <w:rsid w:val="43E109AD"/>
    <w:rsid w:val="43E575A1"/>
    <w:rsid w:val="43EC14F2"/>
    <w:rsid w:val="43F563B6"/>
    <w:rsid w:val="4400083E"/>
    <w:rsid w:val="440C749E"/>
    <w:rsid w:val="4416031D"/>
    <w:rsid w:val="44292756"/>
    <w:rsid w:val="442C019A"/>
    <w:rsid w:val="44393950"/>
    <w:rsid w:val="44394CC5"/>
    <w:rsid w:val="443B21A0"/>
    <w:rsid w:val="44503AB3"/>
    <w:rsid w:val="44540B6A"/>
    <w:rsid w:val="44557097"/>
    <w:rsid w:val="44597AF2"/>
    <w:rsid w:val="4461411E"/>
    <w:rsid w:val="44775AEC"/>
    <w:rsid w:val="44867251"/>
    <w:rsid w:val="44892344"/>
    <w:rsid w:val="449341A5"/>
    <w:rsid w:val="44A81522"/>
    <w:rsid w:val="44A90C70"/>
    <w:rsid w:val="44AC1DDC"/>
    <w:rsid w:val="44AD3639"/>
    <w:rsid w:val="44C6441E"/>
    <w:rsid w:val="44C71206"/>
    <w:rsid w:val="44C935E1"/>
    <w:rsid w:val="44CE5D0D"/>
    <w:rsid w:val="44DA7BD8"/>
    <w:rsid w:val="44DB63E5"/>
    <w:rsid w:val="44E07817"/>
    <w:rsid w:val="44E171BA"/>
    <w:rsid w:val="44EA2C23"/>
    <w:rsid w:val="44F6473A"/>
    <w:rsid w:val="44F83538"/>
    <w:rsid w:val="44FB6BB0"/>
    <w:rsid w:val="44FF3C3C"/>
    <w:rsid w:val="45030FF4"/>
    <w:rsid w:val="45062140"/>
    <w:rsid w:val="45091C30"/>
    <w:rsid w:val="45154A79"/>
    <w:rsid w:val="452151CC"/>
    <w:rsid w:val="452208A0"/>
    <w:rsid w:val="45347D12"/>
    <w:rsid w:val="453C1FB2"/>
    <w:rsid w:val="454A29A1"/>
    <w:rsid w:val="454B1853"/>
    <w:rsid w:val="454B68F2"/>
    <w:rsid w:val="456034A1"/>
    <w:rsid w:val="45617CBE"/>
    <w:rsid w:val="45684BA8"/>
    <w:rsid w:val="457A3B0F"/>
    <w:rsid w:val="458C4D3B"/>
    <w:rsid w:val="459C5731"/>
    <w:rsid w:val="459E05CA"/>
    <w:rsid w:val="45A2455E"/>
    <w:rsid w:val="45A35051"/>
    <w:rsid w:val="45A70CB3"/>
    <w:rsid w:val="45AB4CCB"/>
    <w:rsid w:val="45B53E8C"/>
    <w:rsid w:val="45BB4C0B"/>
    <w:rsid w:val="45C5024D"/>
    <w:rsid w:val="45D41E7F"/>
    <w:rsid w:val="45E45236"/>
    <w:rsid w:val="45E515BF"/>
    <w:rsid w:val="45E65FD8"/>
    <w:rsid w:val="45E923B9"/>
    <w:rsid w:val="45EC40EC"/>
    <w:rsid w:val="45EE595F"/>
    <w:rsid w:val="45EE7D2F"/>
    <w:rsid w:val="45F53A5D"/>
    <w:rsid w:val="45FB0A10"/>
    <w:rsid w:val="45FB555A"/>
    <w:rsid w:val="45FC106F"/>
    <w:rsid w:val="4608133F"/>
    <w:rsid w:val="46146D6E"/>
    <w:rsid w:val="46181169"/>
    <w:rsid w:val="4618788A"/>
    <w:rsid w:val="46236484"/>
    <w:rsid w:val="46325A6A"/>
    <w:rsid w:val="463325C9"/>
    <w:rsid w:val="4640501B"/>
    <w:rsid w:val="46427DBD"/>
    <w:rsid w:val="46565E27"/>
    <w:rsid w:val="466510E8"/>
    <w:rsid w:val="466B2BA2"/>
    <w:rsid w:val="466C1349"/>
    <w:rsid w:val="46753A21"/>
    <w:rsid w:val="467A2DE5"/>
    <w:rsid w:val="468B6A1A"/>
    <w:rsid w:val="468C0D6B"/>
    <w:rsid w:val="469D0882"/>
    <w:rsid w:val="46A05A9E"/>
    <w:rsid w:val="46A15889"/>
    <w:rsid w:val="46BD0E21"/>
    <w:rsid w:val="46BE2DAA"/>
    <w:rsid w:val="46C60825"/>
    <w:rsid w:val="46D539AB"/>
    <w:rsid w:val="46DA1AD6"/>
    <w:rsid w:val="46DD15C6"/>
    <w:rsid w:val="46DD3793"/>
    <w:rsid w:val="46E807D2"/>
    <w:rsid w:val="46F26D29"/>
    <w:rsid w:val="46FE38CD"/>
    <w:rsid w:val="46FF32EA"/>
    <w:rsid w:val="47014B93"/>
    <w:rsid w:val="4707766D"/>
    <w:rsid w:val="470920B7"/>
    <w:rsid w:val="471B4C99"/>
    <w:rsid w:val="4722152B"/>
    <w:rsid w:val="47224F0F"/>
    <w:rsid w:val="473B77D1"/>
    <w:rsid w:val="474653BD"/>
    <w:rsid w:val="474E5F77"/>
    <w:rsid w:val="47503247"/>
    <w:rsid w:val="47535D23"/>
    <w:rsid w:val="475815BE"/>
    <w:rsid w:val="47597D57"/>
    <w:rsid w:val="475A6773"/>
    <w:rsid w:val="475E363D"/>
    <w:rsid w:val="475F1FDB"/>
    <w:rsid w:val="47617B01"/>
    <w:rsid w:val="47685442"/>
    <w:rsid w:val="476C0FA5"/>
    <w:rsid w:val="47715003"/>
    <w:rsid w:val="47726B3C"/>
    <w:rsid w:val="477571C5"/>
    <w:rsid w:val="477C2B8D"/>
    <w:rsid w:val="47801CFC"/>
    <w:rsid w:val="47886CFE"/>
    <w:rsid w:val="478C7274"/>
    <w:rsid w:val="479C6D8B"/>
    <w:rsid w:val="47A20030"/>
    <w:rsid w:val="47AC0706"/>
    <w:rsid w:val="47AD5260"/>
    <w:rsid w:val="47AD6CD9"/>
    <w:rsid w:val="47B91835"/>
    <w:rsid w:val="47BF2C77"/>
    <w:rsid w:val="47C45AC5"/>
    <w:rsid w:val="47C82CF2"/>
    <w:rsid w:val="47D62679"/>
    <w:rsid w:val="47D74267"/>
    <w:rsid w:val="47D743A4"/>
    <w:rsid w:val="47D77DC3"/>
    <w:rsid w:val="47DB78B4"/>
    <w:rsid w:val="47DC362C"/>
    <w:rsid w:val="47E51F2D"/>
    <w:rsid w:val="47E57CB5"/>
    <w:rsid w:val="47EA16A7"/>
    <w:rsid w:val="47F2068D"/>
    <w:rsid w:val="47F3406F"/>
    <w:rsid w:val="47F6286B"/>
    <w:rsid w:val="47F62D92"/>
    <w:rsid w:val="47F92ACA"/>
    <w:rsid w:val="480A69F9"/>
    <w:rsid w:val="48227446"/>
    <w:rsid w:val="48242C73"/>
    <w:rsid w:val="4847145D"/>
    <w:rsid w:val="48494F12"/>
    <w:rsid w:val="484F02A2"/>
    <w:rsid w:val="4860742F"/>
    <w:rsid w:val="487457ED"/>
    <w:rsid w:val="48831AC5"/>
    <w:rsid w:val="488C1CA8"/>
    <w:rsid w:val="48965ED0"/>
    <w:rsid w:val="48A32A4A"/>
    <w:rsid w:val="48A67558"/>
    <w:rsid w:val="48A74E1E"/>
    <w:rsid w:val="48B3438D"/>
    <w:rsid w:val="48B620CF"/>
    <w:rsid w:val="48BB76E5"/>
    <w:rsid w:val="48BD4CF8"/>
    <w:rsid w:val="48C44AB4"/>
    <w:rsid w:val="48C90285"/>
    <w:rsid w:val="48D42AFB"/>
    <w:rsid w:val="48D4604B"/>
    <w:rsid w:val="48DB426D"/>
    <w:rsid w:val="48E16C26"/>
    <w:rsid w:val="48E375AF"/>
    <w:rsid w:val="48E409EA"/>
    <w:rsid w:val="48E656D3"/>
    <w:rsid w:val="48EA6EC8"/>
    <w:rsid w:val="48F05C18"/>
    <w:rsid w:val="48F21359"/>
    <w:rsid w:val="48F3252A"/>
    <w:rsid w:val="48F7696F"/>
    <w:rsid w:val="48FD385A"/>
    <w:rsid w:val="48FE4818"/>
    <w:rsid w:val="49064E04"/>
    <w:rsid w:val="4909289D"/>
    <w:rsid w:val="490D2B76"/>
    <w:rsid w:val="491016BC"/>
    <w:rsid w:val="49145F12"/>
    <w:rsid w:val="49161DAB"/>
    <w:rsid w:val="492139EC"/>
    <w:rsid w:val="49225B33"/>
    <w:rsid w:val="49265EDC"/>
    <w:rsid w:val="493304C8"/>
    <w:rsid w:val="49366D6C"/>
    <w:rsid w:val="493E459E"/>
    <w:rsid w:val="493F7B3B"/>
    <w:rsid w:val="495158D6"/>
    <w:rsid w:val="49597178"/>
    <w:rsid w:val="495D16F3"/>
    <w:rsid w:val="496F136D"/>
    <w:rsid w:val="497F23D6"/>
    <w:rsid w:val="497F46F8"/>
    <w:rsid w:val="49822495"/>
    <w:rsid w:val="49836455"/>
    <w:rsid w:val="4994168F"/>
    <w:rsid w:val="49967F6D"/>
    <w:rsid w:val="499C3B4A"/>
    <w:rsid w:val="49A05639"/>
    <w:rsid w:val="49A36744"/>
    <w:rsid w:val="49C375D6"/>
    <w:rsid w:val="49C660D4"/>
    <w:rsid w:val="49CA5E32"/>
    <w:rsid w:val="49CE0630"/>
    <w:rsid w:val="49E36EF3"/>
    <w:rsid w:val="49E60792"/>
    <w:rsid w:val="49EA3B87"/>
    <w:rsid w:val="49F00B0D"/>
    <w:rsid w:val="49F04905"/>
    <w:rsid w:val="49F85D7B"/>
    <w:rsid w:val="49FA2857"/>
    <w:rsid w:val="4A0155CC"/>
    <w:rsid w:val="4A03621F"/>
    <w:rsid w:val="4A1452FF"/>
    <w:rsid w:val="4A1E2145"/>
    <w:rsid w:val="4A2236C7"/>
    <w:rsid w:val="4A225C6E"/>
    <w:rsid w:val="4A275B89"/>
    <w:rsid w:val="4A285FC7"/>
    <w:rsid w:val="4A2D016F"/>
    <w:rsid w:val="4A397724"/>
    <w:rsid w:val="4A3D7C26"/>
    <w:rsid w:val="4A464202"/>
    <w:rsid w:val="4A594B59"/>
    <w:rsid w:val="4A6A13C3"/>
    <w:rsid w:val="4A7028E9"/>
    <w:rsid w:val="4A791A2B"/>
    <w:rsid w:val="4A7E60C6"/>
    <w:rsid w:val="4A842484"/>
    <w:rsid w:val="4A87734A"/>
    <w:rsid w:val="4A886F41"/>
    <w:rsid w:val="4A950741"/>
    <w:rsid w:val="4AA64C4C"/>
    <w:rsid w:val="4AAF3699"/>
    <w:rsid w:val="4ABB5642"/>
    <w:rsid w:val="4AC2023E"/>
    <w:rsid w:val="4ACD07DD"/>
    <w:rsid w:val="4AD04569"/>
    <w:rsid w:val="4AD324E7"/>
    <w:rsid w:val="4AD95100"/>
    <w:rsid w:val="4ADA0C95"/>
    <w:rsid w:val="4ADB7BCB"/>
    <w:rsid w:val="4AE72A13"/>
    <w:rsid w:val="4AED5AA3"/>
    <w:rsid w:val="4AF00A6E"/>
    <w:rsid w:val="4AF018C8"/>
    <w:rsid w:val="4AF55EB4"/>
    <w:rsid w:val="4B015EBA"/>
    <w:rsid w:val="4B0175CF"/>
    <w:rsid w:val="4B0323BD"/>
    <w:rsid w:val="4B0655B3"/>
    <w:rsid w:val="4B1A06F3"/>
    <w:rsid w:val="4B2073FD"/>
    <w:rsid w:val="4B252EF5"/>
    <w:rsid w:val="4B287329"/>
    <w:rsid w:val="4B363501"/>
    <w:rsid w:val="4B385DAA"/>
    <w:rsid w:val="4B3A3C87"/>
    <w:rsid w:val="4B3B77D4"/>
    <w:rsid w:val="4B4172F1"/>
    <w:rsid w:val="4B4461AF"/>
    <w:rsid w:val="4B4D172F"/>
    <w:rsid w:val="4B4F45C8"/>
    <w:rsid w:val="4B5106D2"/>
    <w:rsid w:val="4B561AB8"/>
    <w:rsid w:val="4B5671F1"/>
    <w:rsid w:val="4B577B99"/>
    <w:rsid w:val="4B5873DA"/>
    <w:rsid w:val="4B587BE1"/>
    <w:rsid w:val="4B5A31E5"/>
    <w:rsid w:val="4B5B2852"/>
    <w:rsid w:val="4B6350E3"/>
    <w:rsid w:val="4B77606A"/>
    <w:rsid w:val="4B7A3427"/>
    <w:rsid w:val="4B7A6647"/>
    <w:rsid w:val="4B7F1E53"/>
    <w:rsid w:val="4B876078"/>
    <w:rsid w:val="4B893DEC"/>
    <w:rsid w:val="4B897627"/>
    <w:rsid w:val="4B90329D"/>
    <w:rsid w:val="4B920BD1"/>
    <w:rsid w:val="4B9304A5"/>
    <w:rsid w:val="4B97551A"/>
    <w:rsid w:val="4B980607"/>
    <w:rsid w:val="4B983AFF"/>
    <w:rsid w:val="4B9A5CD8"/>
    <w:rsid w:val="4B9E1FC2"/>
    <w:rsid w:val="4BA40904"/>
    <w:rsid w:val="4BA62DEA"/>
    <w:rsid w:val="4BB74FCE"/>
    <w:rsid w:val="4BC47A14"/>
    <w:rsid w:val="4BC86E71"/>
    <w:rsid w:val="4BD31936"/>
    <w:rsid w:val="4BD51021"/>
    <w:rsid w:val="4BDA3A10"/>
    <w:rsid w:val="4BE046DA"/>
    <w:rsid w:val="4BE07531"/>
    <w:rsid w:val="4BE100BE"/>
    <w:rsid w:val="4BE13907"/>
    <w:rsid w:val="4BF24861"/>
    <w:rsid w:val="4BF8745B"/>
    <w:rsid w:val="4BFA4766"/>
    <w:rsid w:val="4C0035A5"/>
    <w:rsid w:val="4C06327B"/>
    <w:rsid w:val="4C0B2731"/>
    <w:rsid w:val="4C1415E6"/>
    <w:rsid w:val="4C1C0C25"/>
    <w:rsid w:val="4C1E70AF"/>
    <w:rsid w:val="4C211F55"/>
    <w:rsid w:val="4C235CCD"/>
    <w:rsid w:val="4C2B6543"/>
    <w:rsid w:val="4C2F7699"/>
    <w:rsid w:val="4C333FCB"/>
    <w:rsid w:val="4C3359AB"/>
    <w:rsid w:val="4C381420"/>
    <w:rsid w:val="4C3D0F59"/>
    <w:rsid w:val="4C3E4ACD"/>
    <w:rsid w:val="4C404322"/>
    <w:rsid w:val="4C431ECB"/>
    <w:rsid w:val="4C450C1A"/>
    <w:rsid w:val="4C542495"/>
    <w:rsid w:val="4C5654A3"/>
    <w:rsid w:val="4C894304"/>
    <w:rsid w:val="4C8F66F6"/>
    <w:rsid w:val="4C960B6E"/>
    <w:rsid w:val="4C9921DF"/>
    <w:rsid w:val="4CA14918"/>
    <w:rsid w:val="4CB132D9"/>
    <w:rsid w:val="4CB6353F"/>
    <w:rsid w:val="4CCC0113"/>
    <w:rsid w:val="4CCC3C6F"/>
    <w:rsid w:val="4CE52F83"/>
    <w:rsid w:val="4CED3657"/>
    <w:rsid w:val="4CEE6222"/>
    <w:rsid w:val="4CF82CB6"/>
    <w:rsid w:val="4CFC2AE3"/>
    <w:rsid w:val="4D0553D3"/>
    <w:rsid w:val="4D113D78"/>
    <w:rsid w:val="4D1F0B47"/>
    <w:rsid w:val="4D202FDB"/>
    <w:rsid w:val="4D2770F7"/>
    <w:rsid w:val="4D2A6727"/>
    <w:rsid w:val="4D2F43E2"/>
    <w:rsid w:val="4D3006A2"/>
    <w:rsid w:val="4D3160FC"/>
    <w:rsid w:val="4D327392"/>
    <w:rsid w:val="4D336CA8"/>
    <w:rsid w:val="4D34196A"/>
    <w:rsid w:val="4D3F3767"/>
    <w:rsid w:val="4D4B7C4B"/>
    <w:rsid w:val="4D4C4DB0"/>
    <w:rsid w:val="4D4C6FD2"/>
    <w:rsid w:val="4D4D6285"/>
    <w:rsid w:val="4D505078"/>
    <w:rsid w:val="4D553C64"/>
    <w:rsid w:val="4D5A127B"/>
    <w:rsid w:val="4D5C45F0"/>
    <w:rsid w:val="4D5C474B"/>
    <w:rsid w:val="4D6D2EF2"/>
    <w:rsid w:val="4D8026B4"/>
    <w:rsid w:val="4D8D7BD5"/>
    <w:rsid w:val="4D92310A"/>
    <w:rsid w:val="4D950505"/>
    <w:rsid w:val="4D9859EC"/>
    <w:rsid w:val="4DA00C33"/>
    <w:rsid w:val="4DA60964"/>
    <w:rsid w:val="4DA92202"/>
    <w:rsid w:val="4DAB5F7A"/>
    <w:rsid w:val="4DAB7D28"/>
    <w:rsid w:val="4DAE51E3"/>
    <w:rsid w:val="4DB34E2F"/>
    <w:rsid w:val="4DB87291"/>
    <w:rsid w:val="4DCA28A4"/>
    <w:rsid w:val="4DD06597"/>
    <w:rsid w:val="4DD23EFA"/>
    <w:rsid w:val="4DD510CD"/>
    <w:rsid w:val="4DEA6AA2"/>
    <w:rsid w:val="4DF07E31"/>
    <w:rsid w:val="4E013DFE"/>
    <w:rsid w:val="4E031CB3"/>
    <w:rsid w:val="4E0F475B"/>
    <w:rsid w:val="4E233508"/>
    <w:rsid w:val="4E2450A3"/>
    <w:rsid w:val="4E335D5F"/>
    <w:rsid w:val="4E41243B"/>
    <w:rsid w:val="4E467A51"/>
    <w:rsid w:val="4E555EE6"/>
    <w:rsid w:val="4E5B79A0"/>
    <w:rsid w:val="4E616639"/>
    <w:rsid w:val="4E640A2C"/>
    <w:rsid w:val="4E6C1333"/>
    <w:rsid w:val="4E832A53"/>
    <w:rsid w:val="4E8B5894"/>
    <w:rsid w:val="4E8C43A7"/>
    <w:rsid w:val="4E8C679B"/>
    <w:rsid w:val="4E8E0BCF"/>
    <w:rsid w:val="4EA22C33"/>
    <w:rsid w:val="4EA2737D"/>
    <w:rsid w:val="4EAC01FC"/>
    <w:rsid w:val="4EB21D84"/>
    <w:rsid w:val="4EB25C17"/>
    <w:rsid w:val="4EB74DBE"/>
    <w:rsid w:val="4EB85E4D"/>
    <w:rsid w:val="4EB90223"/>
    <w:rsid w:val="4EBA6DEA"/>
    <w:rsid w:val="4EC24D4D"/>
    <w:rsid w:val="4EC821CD"/>
    <w:rsid w:val="4EEA6C78"/>
    <w:rsid w:val="4EEB0A37"/>
    <w:rsid w:val="4EF15C0F"/>
    <w:rsid w:val="4EF474AD"/>
    <w:rsid w:val="4EF53333"/>
    <w:rsid w:val="4EF54775"/>
    <w:rsid w:val="4EFD0A57"/>
    <w:rsid w:val="4F0A14BC"/>
    <w:rsid w:val="4F0D3DD8"/>
    <w:rsid w:val="4F0F6031"/>
    <w:rsid w:val="4F11005F"/>
    <w:rsid w:val="4F1952B6"/>
    <w:rsid w:val="4F2134A8"/>
    <w:rsid w:val="4F22401A"/>
    <w:rsid w:val="4F2811C9"/>
    <w:rsid w:val="4F2E3C33"/>
    <w:rsid w:val="4F3D36AA"/>
    <w:rsid w:val="4F42290E"/>
    <w:rsid w:val="4F4D3F0F"/>
    <w:rsid w:val="4F4F41AD"/>
    <w:rsid w:val="4F546CA3"/>
    <w:rsid w:val="4F5533D8"/>
    <w:rsid w:val="4F580548"/>
    <w:rsid w:val="4F5B5BAC"/>
    <w:rsid w:val="4F645186"/>
    <w:rsid w:val="4F6C5502"/>
    <w:rsid w:val="4F76212D"/>
    <w:rsid w:val="4F7725A6"/>
    <w:rsid w:val="4F7A5177"/>
    <w:rsid w:val="4F934F18"/>
    <w:rsid w:val="4F9667B6"/>
    <w:rsid w:val="4F9739B0"/>
    <w:rsid w:val="4FA90080"/>
    <w:rsid w:val="4FB05ACA"/>
    <w:rsid w:val="4FB31116"/>
    <w:rsid w:val="4FC210EF"/>
    <w:rsid w:val="4FC41575"/>
    <w:rsid w:val="4FC774ED"/>
    <w:rsid w:val="4FCC2237"/>
    <w:rsid w:val="4FD43D7D"/>
    <w:rsid w:val="4FD76ED4"/>
    <w:rsid w:val="4FDB7324"/>
    <w:rsid w:val="4FDD43E5"/>
    <w:rsid w:val="4FEA6818"/>
    <w:rsid w:val="4FEB3448"/>
    <w:rsid w:val="4FEE476A"/>
    <w:rsid w:val="4FF2438D"/>
    <w:rsid w:val="500856D8"/>
    <w:rsid w:val="500C1528"/>
    <w:rsid w:val="500E649E"/>
    <w:rsid w:val="50131BB5"/>
    <w:rsid w:val="50152BC5"/>
    <w:rsid w:val="5023629C"/>
    <w:rsid w:val="50265D8C"/>
    <w:rsid w:val="50394F99"/>
    <w:rsid w:val="503F29AA"/>
    <w:rsid w:val="504A5D1E"/>
    <w:rsid w:val="504D4761"/>
    <w:rsid w:val="50630D8E"/>
    <w:rsid w:val="50653308"/>
    <w:rsid w:val="506978CA"/>
    <w:rsid w:val="507A1C34"/>
    <w:rsid w:val="507B0EE8"/>
    <w:rsid w:val="507F015F"/>
    <w:rsid w:val="5081370A"/>
    <w:rsid w:val="508D2674"/>
    <w:rsid w:val="50917B09"/>
    <w:rsid w:val="50923421"/>
    <w:rsid w:val="509947B0"/>
    <w:rsid w:val="5099655E"/>
    <w:rsid w:val="509B4084"/>
    <w:rsid w:val="50A81C7B"/>
    <w:rsid w:val="50A91182"/>
    <w:rsid w:val="50AE1900"/>
    <w:rsid w:val="50B601F2"/>
    <w:rsid w:val="50BB64D4"/>
    <w:rsid w:val="50BD049E"/>
    <w:rsid w:val="50C01D3C"/>
    <w:rsid w:val="50C171B3"/>
    <w:rsid w:val="50C730CB"/>
    <w:rsid w:val="50C9399D"/>
    <w:rsid w:val="50D11D12"/>
    <w:rsid w:val="50D26532"/>
    <w:rsid w:val="50DE0415"/>
    <w:rsid w:val="50E31B77"/>
    <w:rsid w:val="50F44930"/>
    <w:rsid w:val="50FD742B"/>
    <w:rsid w:val="50FE0786"/>
    <w:rsid w:val="51065B19"/>
    <w:rsid w:val="51167BAE"/>
    <w:rsid w:val="511A70B3"/>
    <w:rsid w:val="51234079"/>
    <w:rsid w:val="51271DBC"/>
    <w:rsid w:val="512D665A"/>
    <w:rsid w:val="513A7F40"/>
    <w:rsid w:val="513B26CF"/>
    <w:rsid w:val="513E4E7A"/>
    <w:rsid w:val="513F6CFE"/>
    <w:rsid w:val="51402E7D"/>
    <w:rsid w:val="51446E55"/>
    <w:rsid w:val="514722C2"/>
    <w:rsid w:val="51516AC9"/>
    <w:rsid w:val="515554ED"/>
    <w:rsid w:val="516506C4"/>
    <w:rsid w:val="51713037"/>
    <w:rsid w:val="51724B82"/>
    <w:rsid w:val="51757429"/>
    <w:rsid w:val="517C21D6"/>
    <w:rsid w:val="51831D38"/>
    <w:rsid w:val="518574BA"/>
    <w:rsid w:val="518A0B0E"/>
    <w:rsid w:val="518A40B1"/>
    <w:rsid w:val="51915487"/>
    <w:rsid w:val="519A2BDA"/>
    <w:rsid w:val="51A52CE0"/>
    <w:rsid w:val="51B3364F"/>
    <w:rsid w:val="51B63880"/>
    <w:rsid w:val="51C94C21"/>
    <w:rsid w:val="51CD0950"/>
    <w:rsid w:val="51DA6E2E"/>
    <w:rsid w:val="51DD0925"/>
    <w:rsid w:val="51E4221C"/>
    <w:rsid w:val="51E47CAD"/>
    <w:rsid w:val="51EF312F"/>
    <w:rsid w:val="51FE4891"/>
    <w:rsid w:val="52132A23"/>
    <w:rsid w:val="52154A70"/>
    <w:rsid w:val="521666AA"/>
    <w:rsid w:val="52171E30"/>
    <w:rsid w:val="52190B91"/>
    <w:rsid w:val="521E1AF5"/>
    <w:rsid w:val="52262F88"/>
    <w:rsid w:val="52295317"/>
    <w:rsid w:val="5233653E"/>
    <w:rsid w:val="52351AE4"/>
    <w:rsid w:val="52391DA6"/>
    <w:rsid w:val="5239284E"/>
    <w:rsid w:val="523C17D3"/>
    <w:rsid w:val="524349D3"/>
    <w:rsid w:val="52490110"/>
    <w:rsid w:val="524B58E0"/>
    <w:rsid w:val="524F06A3"/>
    <w:rsid w:val="525D6EA9"/>
    <w:rsid w:val="526A3ED9"/>
    <w:rsid w:val="526B34B6"/>
    <w:rsid w:val="526B4A11"/>
    <w:rsid w:val="526B7D14"/>
    <w:rsid w:val="526D0728"/>
    <w:rsid w:val="526E55E3"/>
    <w:rsid w:val="52700958"/>
    <w:rsid w:val="527567C3"/>
    <w:rsid w:val="527E2994"/>
    <w:rsid w:val="527E39FC"/>
    <w:rsid w:val="52841B23"/>
    <w:rsid w:val="52846D9A"/>
    <w:rsid w:val="528809E3"/>
    <w:rsid w:val="528B18CD"/>
    <w:rsid w:val="528C45CC"/>
    <w:rsid w:val="528D74D5"/>
    <w:rsid w:val="528F5678"/>
    <w:rsid w:val="52946FDD"/>
    <w:rsid w:val="52A41800"/>
    <w:rsid w:val="52AE4213"/>
    <w:rsid w:val="52AF4B8F"/>
    <w:rsid w:val="52B21B59"/>
    <w:rsid w:val="52BE6589"/>
    <w:rsid w:val="52C30DEB"/>
    <w:rsid w:val="52C35B14"/>
    <w:rsid w:val="52CC2216"/>
    <w:rsid w:val="52CC3C6A"/>
    <w:rsid w:val="52D238CB"/>
    <w:rsid w:val="52D360B9"/>
    <w:rsid w:val="52D609C7"/>
    <w:rsid w:val="52D827BF"/>
    <w:rsid w:val="52DC7D53"/>
    <w:rsid w:val="52E00474"/>
    <w:rsid w:val="52E1310E"/>
    <w:rsid w:val="52EA1CE3"/>
    <w:rsid w:val="52F85532"/>
    <w:rsid w:val="52FC4B82"/>
    <w:rsid w:val="53004457"/>
    <w:rsid w:val="530225C8"/>
    <w:rsid w:val="530246B7"/>
    <w:rsid w:val="53056E0A"/>
    <w:rsid w:val="53081779"/>
    <w:rsid w:val="530D51CC"/>
    <w:rsid w:val="53121C15"/>
    <w:rsid w:val="531B5950"/>
    <w:rsid w:val="531C32A5"/>
    <w:rsid w:val="532306E5"/>
    <w:rsid w:val="53234EB7"/>
    <w:rsid w:val="533267F6"/>
    <w:rsid w:val="53364538"/>
    <w:rsid w:val="533B0511"/>
    <w:rsid w:val="533E33EC"/>
    <w:rsid w:val="53407165"/>
    <w:rsid w:val="5346032D"/>
    <w:rsid w:val="534A33D9"/>
    <w:rsid w:val="534F6D46"/>
    <w:rsid w:val="535D7D90"/>
    <w:rsid w:val="536B0B11"/>
    <w:rsid w:val="536D782E"/>
    <w:rsid w:val="536F17F8"/>
    <w:rsid w:val="537C1E5F"/>
    <w:rsid w:val="53826F4B"/>
    <w:rsid w:val="53903B78"/>
    <w:rsid w:val="5394125E"/>
    <w:rsid w:val="539711AE"/>
    <w:rsid w:val="53982991"/>
    <w:rsid w:val="53982AFD"/>
    <w:rsid w:val="539A2060"/>
    <w:rsid w:val="539A41FF"/>
    <w:rsid w:val="53A06B9D"/>
    <w:rsid w:val="53A94D0A"/>
    <w:rsid w:val="53B85C2C"/>
    <w:rsid w:val="53C2401E"/>
    <w:rsid w:val="53C80688"/>
    <w:rsid w:val="53CB1124"/>
    <w:rsid w:val="53CF390B"/>
    <w:rsid w:val="53E84FD2"/>
    <w:rsid w:val="53EC4BF7"/>
    <w:rsid w:val="53F16F64"/>
    <w:rsid w:val="53F561A1"/>
    <w:rsid w:val="53F57F4F"/>
    <w:rsid w:val="54014B46"/>
    <w:rsid w:val="54181F44"/>
    <w:rsid w:val="541902DA"/>
    <w:rsid w:val="541C1F4D"/>
    <w:rsid w:val="542E6134"/>
    <w:rsid w:val="54325479"/>
    <w:rsid w:val="543418AC"/>
    <w:rsid w:val="543A0058"/>
    <w:rsid w:val="5444538C"/>
    <w:rsid w:val="544C545F"/>
    <w:rsid w:val="544D03FC"/>
    <w:rsid w:val="544D24CD"/>
    <w:rsid w:val="544E5604"/>
    <w:rsid w:val="54512D1F"/>
    <w:rsid w:val="54576514"/>
    <w:rsid w:val="545E17CF"/>
    <w:rsid w:val="546430D5"/>
    <w:rsid w:val="5466378F"/>
    <w:rsid w:val="546A088A"/>
    <w:rsid w:val="546D053E"/>
    <w:rsid w:val="546F0524"/>
    <w:rsid w:val="54813C3D"/>
    <w:rsid w:val="548A6A90"/>
    <w:rsid w:val="549643FF"/>
    <w:rsid w:val="54993E6D"/>
    <w:rsid w:val="549F610D"/>
    <w:rsid w:val="54A6749B"/>
    <w:rsid w:val="54A742B1"/>
    <w:rsid w:val="54AC7FE1"/>
    <w:rsid w:val="54B25C4C"/>
    <w:rsid w:val="54B5558C"/>
    <w:rsid w:val="54B67F09"/>
    <w:rsid w:val="54B716A8"/>
    <w:rsid w:val="54B95421"/>
    <w:rsid w:val="54BA1039"/>
    <w:rsid w:val="54D72D05"/>
    <w:rsid w:val="54F55D2D"/>
    <w:rsid w:val="54F5779A"/>
    <w:rsid w:val="54FF095A"/>
    <w:rsid w:val="550010E6"/>
    <w:rsid w:val="550930D3"/>
    <w:rsid w:val="550C0774"/>
    <w:rsid w:val="550F6DEF"/>
    <w:rsid w:val="55107147"/>
    <w:rsid w:val="5518125A"/>
    <w:rsid w:val="551B0CE6"/>
    <w:rsid w:val="551B4DF5"/>
    <w:rsid w:val="551E7032"/>
    <w:rsid w:val="551F0965"/>
    <w:rsid w:val="552D597F"/>
    <w:rsid w:val="553252A5"/>
    <w:rsid w:val="55395D7B"/>
    <w:rsid w:val="55464970"/>
    <w:rsid w:val="554C0043"/>
    <w:rsid w:val="55501752"/>
    <w:rsid w:val="55524739"/>
    <w:rsid w:val="556405DD"/>
    <w:rsid w:val="55667D12"/>
    <w:rsid w:val="556E4B85"/>
    <w:rsid w:val="556F639A"/>
    <w:rsid w:val="557355CF"/>
    <w:rsid w:val="557576E0"/>
    <w:rsid w:val="557F37AC"/>
    <w:rsid w:val="55824A33"/>
    <w:rsid w:val="558861CA"/>
    <w:rsid w:val="5589185E"/>
    <w:rsid w:val="559079A3"/>
    <w:rsid w:val="55961F56"/>
    <w:rsid w:val="559F6852"/>
    <w:rsid w:val="55A00C94"/>
    <w:rsid w:val="55AA427B"/>
    <w:rsid w:val="55AC6D33"/>
    <w:rsid w:val="55B53C63"/>
    <w:rsid w:val="55CB6554"/>
    <w:rsid w:val="55D725D2"/>
    <w:rsid w:val="55DA73FC"/>
    <w:rsid w:val="55DE4D21"/>
    <w:rsid w:val="55E46F31"/>
    <w:rsid w:val="55E616FD"/>
    <w:rsid w:val="55EB21C5"/>
    <w:rsid w:val="55F33240"/>
    <w:rsid w:val="55F53D97"/>
    <w:rsid w:val="55F83D27"/>
    <w:rsid w:val="55FC6F31"/>
    <w:rsid w:val="560920B2"/>
    <w:rsid w:val="56095F34"/>
    <w:rsid w:val="560C1580"/>
    <w:rsid w:val="560D6F51"/>
    <w:rsid w:val="56156ECC"/>
    <w:rsid w:val="561D5EDD"/>
    <w:rsid w:val="561D5EDE"/>
    <w:rsid w:val="56220DA3"/>
    <w:rsid w:val="56250239"/>
    <w:rsid w:val="562E3715"/>
    <w:rsid w:val="56404933"/>
    <w:rsid w:val="56433A8E"/>
    <w:rsid w:val="56460955"/>
    <w:rsid w:val="56626910"/>
    <w:rsid w:val="5664316A"/>
    <w:rsid w:val="56667034"/>
    <w:rsid w:val="566A7ADD"/>
    <w:rsid w:val="56703AA0"/>
    <w:rsid w:val="567A0BDF"/>
    <w:rsid w:val="567E247E"/>
    <w:rsid w:val="5684262D"/>
    <w:rsid w:val="56896A2B"/>
    <w:rsid w:val="56923C22"/>
    <w:rsid w:val="56941CA1"/>
    <w:rsid w:val="56951575"/>
    <w:rsid w:val="56987F79"/>
    <w:rsid w:val="569A6B8C"/>
    <w:rsid w:val="569B4064"/>
    <w:rsid w:val="569C4215"/>
    <w:rsid w:val="56AD742C"/>
    <w:rsid w:val="56B02E34"/>
    <w:rsid w:val="56B451D1"/>
    <w:rsid w:val="56B51061"/>
    <w:rsid w:val="56B76DCC"/>
    <w:rsid w:val="56B85264"/>
    <w:rsid w:val="56BE6F8E"/>
    <w:rsid w:val="56D402F0"/>
    <w:rsid w:val="56D86DFC"/>
    <w:rsid w:val="56DF6C95"/>
    <w:rsid w:val="56E07864"/>
    <w:rsid w:val="56E66275"/>
    <w:rsid w:val="56E83AD4"/>
    <w:rsid w:val="56E945E1"/>
    <w:rsid w:val="56ED222D"/>
    <w:rsid w:val="56F033B7"/>
    <w:rsid w:val="56F2391D"/>
    <w:rsid w:val="56F71BFE"/>
    <w:rsid w:val="56FF12A3"/>
    <w:rsid w:val="57064277"/>
    <w:rsid w:val="57072111"/>
    <w:rsid w:val="57124E23"/>
    <w:rsid w:val="571406EC"/>
    <w:rsid w:val="57200433"/>
    <w:rsid w:val="57234DD3"/>
    <w:rsid w:val="57272B15"/>
    <w:rsid w:val="57295635"/>
    <w:rsid w:val="57303BA8"/>
    <w:rsid w:val="573214BA"/>
    <w:rsid w:val="57323268"/>
    <w:rsid w:val="57336C9E"/>
    <w:rsid w:val="573E39BB"/>
    <w:rsid w:val="57482A8C"/>
    <w:rsid w:val="574D1620"/>
    <w:rsid w:val="574F5BC8"/>
    <w:rsid w:val="57521214"/>
    <w:rsid w:val="575460F4"/>
    <w:rsid w:val="57553409"/>
    <w:rsid w:val="57565B42"/>
    <w:rsid w:val="575B0C56"/>
    <w:rsid w:val="575D6537"/>
    <w:rsid w:val="57646128"/>
    <w:rsid w:val="57673818"/>
    <w:rsid w:val="576738B5"/>
    <w:rsid w:val="57727B09"/>
    <w:rsid w:val="5775727D"/>
    <w:rsid w:val="57761E20"/>
    <w:rsid w:val="577621F0"/>
    <w:rsid w:val="577724FF"/>
    <w:rsid w:val="57882E88"/>
    <w:rsid w:val="579E21B4"/>
    <w:rsid w:val="57AE400A"/>
    <w:rsid w:val="57AF630E"/>
    <w:rsid w:val="57B5178F"/>
    <w:rsid w:val="57C5780D"/>
    <w:rsid w:val="57C77675"/>
    <w:rsid w:val="57CA524F"/>
    <w:rsid w:val="57CB4402"/>
    <w:rsid w:val="57D305A7"/>
    <w:rsid w:val="57DF4F97"/>
    <w:rsid w:val="57E22206"/>
    <w:rsid w:val="57E970C1"/>
    <w:rsid w:val="57EB11AB"/>
    <w:rsid w:val="57F11EC8"/>
    <w:rsid w:val="580346CF"/>
    <w:rsid w:val="58067DCD"/>
    <w:rsid w:val="5808605C"/>
    <w:rsid w:val="581018FD"/>
    <w:rsid w:val="58116BEA"/>
    <w:rsid w:val="581657FB"/>
    <w:rsid w:val="581C337E"/>
    <w:rsid w:val="58222A21"/>
    <w:rsid w:val="58230753"/>
    <w:rsid w:val="582A63D3"/>
    <w:rsid w:val="582C44B9"/>
    <w:rsid w:val="58372C91"/>
    <w:rsid w:val="58385C5A"/>
    <w:rsid w:val="583B3CE1"/>
    <w:rsid w:val="583C1B8F"/>
    <w:rsid w:val="58417C07"/>
    <w:rsid w:val="584576D9"/>
    <w:rsid w:val="5846550D"/>
    <w:rsid w:val="584A527A"/>
    <w:rsid w:val="58512DC6"/>
    <w:rsid w:val="585A0367"/>
    <w:rsid w:val="58611A30"/>
    <w:rsid w:val="58623D40"/>
    <w:rsid w:val="58660AE1"/>
    <w:rsid w:val="586A5021"/>
    <w:rsid w:val="58737694"/>
    <w:rsid w:val="58744561"/>
    <w:rsid w:val="5878114F"/>
    <w:rsid w:val="58816255"/>
    <w:rsid w:val="58947DF0"/>
    <w:rsid w:val="58A61737"/>
    <w:rsid w:val="58AE2D19"/>
    <w:rsid w:val="58C46142"/>
    <w:rsid w:val="58C96EBA"/>
    <w:rsid w:val="58CA3121"/>
    <w:rsid w:val="58CB7187"/>
    <w:rsid w:val="58DD38A8"/>
    <w:rsid w:val="58E115D0"/>
    <w:rsid w:val="58E9171D"/>
    <w:rsid w:val="58EB5D66"/>
    <w:rsid w:val="58F40AA5"/>
    <w:rsid w:val="590B0658"/>
    <w:rsid w:val="59123374"/>
    <w:rsid w:val="5919260D"/>
    <w:rsid w:val="59264C1A"/>
    <w:rsid w:val="593D4A28"/>
    <w:rsid w:val="5941153C"/>
    <w:rsid w:val="594B43B4"/>
    <w:rsid w:val="594D78A5"/>
    <w:rsid w:val="59680580"/>
    <w:rsid w:val="59780623"/>
    <w:rsid w:val="59823F2B"/>
    <w:rsid w:val="59837DAB"/>
    <w:rsid w:val="598B3E67"/>
    <w:rsid w:val="5995772E"/>
    <w:rsid w:val="599A164B"/>
    <w:rsid w:val="59A55E5B"/>
    <w:rsid w:val="59BA4BAA"/>
    <w:rsid w:val="59C1469D"/>
    <w:rsid w:val="59C24660"/>
    <w:rsid w:val="59C41B42"/>
    <w:rsid w:val="59C82CA5"/>
    <w:rsid w:val="59CD5900"/>
    <w:rsid w:val="59D07BDD"/>
    <w:rsid w:val="59D538D4"/>
    <w:rsid w:val="59DC75B0"/>
    <w:rsid w:val="59DE6975"/>
    <w:rsid w:val="59E07947"/>
    <w:rsid w:val="59E61836"/>
    <w:rsid w:val="59ED322A"/>
    <w:rsid w:val="59F34F31"/>
    <w:rsid w:val="59F972BF"/>
    <w:rsid w:val="59FC011D"/>
    <w:rsid w:val="59FD6501"/>
    <w:rsid w:val="5A0308BC"/>
    <w:rsid w:val="5A043BCB"/>
    <w:rsid w:val="5A0E58C7"/>
    <w:rsid w:val="5A1306D0"/>
    <w:rsid w:val="5A2E4BA9"/>
    <w:rsid w:val="5A2E7D17"/>
    <w:rsid w:val="5A3C5197"/>
    <w:rsid w:val="5A3D3860"/>
    <w:rsid w:val="5A551EF4"/>
    <w:rsid w:val="5A623E64"/>
    <w:rsid w:val="5A6574B1"/>
    <w:rsid w:val="5A6D5441"/>
    <w:rsid w:val="5A8811AF"/>
    <w:rsid w:val="5A9009D2"/>
    <w:rsid w:val="5A9A53AC"/>
    <w:rsid w:val="5A9D308F"/>
    <w:rsid w:val="5AA61FA3"/>
    <w:rsid w:val="5AAA2224"/>
    <w:rsid w:val="5AB9061D"/>
    <w:rsid w:val="5ABD063B"/>
    <w:rsid w:val="5AC24B0C"/>
    <w:rsid w:val="5AC579AF"/>
    <w:rsid w:val="5AC672ED"/>
    <w:rsid w:val="5AC67587"/>
    <w:rsid w:val="5AC756D4"/>
    <w:rsid w:val="5ACB3CB1"/>
    <w:rsid w:val="5AD0409E"/>
    <w:rsid w:val="5AD41729"/>
    <w:rsid w:val="5ADE6BC3"/>
    <w:rsid w:val="5AE06D0C"/>
    <w:rsid w:val="5AEB0991"/>
    <w:rsid w:val="5AF003A1"/>
    <w:rsid w:val="5B060C94"/>
    <w:rsid w:val="5B09771F"/>
    <w:rsid w:val="5B191C34"/>
    <w:rsid w:val="5B1B0B7B"/>
    <w:rsid w:val="5B1E7D8B"/>
    <w:rsid w:val="5B290181"/>
    <w:rsid w:val="5B2A051C"/>
    <w:rsid w:val="5B2B24A8"/>
    <w:rsid w:val="5B2D6220"/>
    <w:rsid w:val="5B332018"/>
    <w:rsid w:val="5B362AEC"/>
    <w:rsid w:val="5B386FA5"/>
    <w:rsid w:val="5B395AE4"/>
    <w:rsid w:val="5B3F12C0"/>
    <w:rsid w:val="5B4B4DFE"/>
    <w:rsid w:val="5B501D91"/>
    <w:rsid w:val="5B582AE6"/>
    <w:rsid w:val="5B594944"/>
    <w:rsid w:val="5B5D3679"/>
    <w:rsid w:val="5B617A3F"/>
    <w:rsid w:val="5B641A5C"/>
    <w:rsid w:val="5B6B5FB9"/>
    <w:rsid w:val="5B7D7076"/>
    <w:rsid w:val="5B865931"/>
    <w:rsid w:val="5B870596"/>
    <w:rsid w:val="5B8816A9"/>
    <w:rsid w:val="5B9067AF"/>
    <w:rsid w:val="5B936B93"/>
    <w:rsid w:val="5B970F97"/>
    <w:rsid w:val="5B9A4AEE"/>
    <w:rsid w:val="5B9B6F15"/>
    <w:rsid w:val="5B9F16BD"/>
    <w:rsid w:val="5B9F2FEE"/>
    <w:rsid w:val="5BA04C44"/>
    <w:rsid w:val="5BAA0FA4"/>
    <w:rsid w:val="5BAF789E"/>
    <w:rsid w:val="5BC326E1"/>
    <w:rsid w:val="5BC34C9D"/>
    <w:rsid w:val="5BCA33FE"/>
    <w:rsid w:val="5BCF38BC"/>
    <w:rsid w:val="5BDC04DA"/>
    <w:rsid w:val="5BE445A4"/>
    <w:rsid w:val="5BF603EF"/>
    <w:rsid w:val="5BF72A97"/>
    <w:rsid w:val="5BF85F07"/>
    <w:rsid w:val="5BFD5215"/>
    <w:rsid w:val="5C013209"/>
    <w:rsid w:val="5C046AB9"/>
    <w:rsid w:val="5C11069E"/>
    <w:rsid w:val="5C1369CF"/>
    <w:rsid w:val="5C1D2746"/>
    <w:rsid w:val="5C2C0286"/>
    <w:rsid w:val="5C317F92"/>
    <w:rsid w:val="5C341831"/>
    <w:rsid w:val="5C3D12F5"/>
    <w:rsid w:val="5C3D60D2"/>
    <w:rsid w:val="5C456CAC"/>
    <w:rsid w:val="5C5123E2"/>
    <w:rsid w:val="5C534B96"/>
    <w:rsid w:val="5C5D2DDD"/>
    <w:rsid w:val="5C665EA7"/>
    <w:rsid w:val="5C666820"/>
    <w:rsid w:val="5C6914DA"/>
    <w:rsid w:val="5C693288"/>
    <w:rsid w:val="5C6A1F22"/>
    <w:rsid w:val="5C6F3137"/>
    <w:rsid w:val="5C7457A4"/>
    <w:rsid w:val="5C783D36"/>
    <w:rsid w:val="5C7C0F03"/>
    <w:rsid w:val="5C806554"/>
    <w:rsid w:val="5C892629"/>
    <w:rsid w:val="5C927BB3"/>
    <w:rsid w:val="5C974D52"/>
    <w:rsid w:val="5C9B5122"/>
    <w:rsid w:val="5C9D73D6"/>
    <w:rsid w:val="5CA93FCD"/>
    <w:rsid w:val="5CAA567E"/>
    <w:rsid w:val="5CB309A7"/>
    <w:rsid w:val="5CB70836"/>
    <w:rsid w:val="5CBF450A"/>
    <w:rsid w:val="5CC330F2"/>
    <w:rsid w:val="5CCF4FA9"/>
    <w:rsid w:val="5CD06F28"/>
    <w:rsid w:val="5CD64800"/>
    <w:rsid w:val="5CD852B1"/>
    <w:rsid w:val="5CDF354A"/>
    <w:rsid w:val="5CE1167C"/>
    <w:rsid w:val="5CE32707"/>
    <w:rsid w:val="5CEA26B0"/>
    <w:rsid w:val="5CEF4FF7"/>
    <w:rsid w:val="5CEF629F"/>
    <w:rsid w:val="5CF92159"/>
    <w:rsid w:val="5CFC311A"/>
    <w:rsid w:val="5CFFB207"/>
    <w:rsid w:val="5D032C24"/>
    <w:rsid w:val="5D055256"/>
    <w:rsid w:val="5D082A48"/>
    <w:rsid w:val="5D0B6E1B"/>
    <w:rsid w:val="5D0F55AE"/>
    <w:rsid w:val="5D1F70FB"/>
    <w:rsid w:val="5D231FA4"/>
    <w:rsid w:val="5D2E44D2"/>
    <w:rsid w:val="5D36260E"/>
    <w:rsid w:val="5D380EAD"/>
    <w:rsid w:val="5D3C52C8"/>
    <w:rsid w:val="5D3D69F6"/>
    <w:rsid w:val="5D400766"/>
    <w:rsid w:val="5D4C2FC5"/>
    <w:rsid w:val="5D5714F2"/>
    <w:rsid w:val="5D5B4E2D"/>
    <w:rsid w:val="5D5C22F5"/>
    <w:rsid w:val="5D625377"/>
    <w:rsid w:val="5D633C06"/>
    <w:rsid w:val="5D72222B"/>
    <w:rsid w:val="5D7364CF"/>
    <w:rsid w:val="5D766CCD"/>
    <w:rsid w:val="5D7B644E"/>
    <w:rsid w:val="5D7E2AED"/>
    <w:rsid w:val="5D812854"/>
    <w:rsid w:val="5D862EED"/>
    <w:rsid w:val="5D8C1B52"/>
    <w:rsid w:val="5D912207"/>
    <w:rsid w:val="5D916F3A"/>
    <w:rsid w:val="5D987000"/>
    <w:rsid w:val="5D9A7C5F"/>
    <w:rsid w:val="5DA74877"/>
    <w:rsid w:val="5DA8583F"/>
    <w:rsid w:val="5DB7097B"/>
    <w:rsid w:val="5DBB5D65"/>
    <w:rsid w:val="5DCA3B7E"/>
    <w:rsid w:val="5DCB3ACF"/>
    <w:rsid w:val="5DCD4736"/>
    <w:rsid w:val="5DCD7847"/>
    <w:rsid w:val="5DD03151"/>
    <w:rsid w:val="5DD045F3"/>
    <w:rsid w:val="5DD06F4F"/>
    <w:rsid w:val="5DD60DF1"/>
    <w:rsid w:val="5DDC5CDC"/>
    <w:rsid w:val="5E015742"/>
    <w:rsid w:val="5E02133E"/>
    <w:rsid w:val="5E0F5A21"/>
    <w:rsid w:val="5E1216FE"/>
    <w:rsid w:val="5E1611EE"/>
    <w:rsid w:val="5E170B22"/>
    <w:rsid w:val="5E225DE5"/>
    <w:rsid w:val="5E2558D5"/>
    <w:rsid w:val="5E36630D"/>
    <w:rsid w:val="5E3C24CA"/>
    <w:rsid w:val="5E3E6F6A"/>
    <w:rsid w:val="5E411660"/>
    <w:rsid w:val="5E5874DB"/>
    <w:rsid w:val="5E5D128F"/>
    <w:rsid w:val="5E5F02CB"/>
    <w:rsid w:val="5E6475C7"/>
    <w:rsid w:val="5E711F1E"/>
    <w:rsid w:val="5E755843"/>
    <w:rsid w:val="5E7A79CF"/>
    <w:rsid w:val="5E7B7CDB"/>
    <w:rsid w:val="5E8E1F03"/>
    <w:rsid w:val="5E98445A"/>
    <w:rsid w:val="5E9D36BD"/>
    <w:rsid w:val="5E9F7D90"/>
    <w:rsid w:val="5EA20CD3"/>
    <w:rsid w:val="5EB34D0E"/>
    <w:rsid w:val="5EB629D1"/>
    <w:rsid w:val="5EB65440"/>
    <w:rsid w:val="5EBB0C1A"/>
    <w:rsid w:val="5EC41165"/>
    <w:rsid w:val="5ECF5BFC"/>
    <w:rsid w:val="5ED327B2"/>
    <w:rsid w:val="5ED63D3A"/>
    <w:rsid w:val="5EE02ECC"/>
    <w:rsid w:val="5EE367B5"/>
    <w:rsid w:val="5EE6151A"/>
    <w:rsid w:val="5EEB76E0"/>
    <w:rsid w:val="5EEE28D9"/>
    <w:rsid w:val="5EF55450"/>
    <w:rsid w:val="5EFB03E4"/>
    <w:rsid w:val="5EFC7CE0"/>
    <w:rsid w:val="5EFE4ECB"/>
    <w:rsid w:val="5F025C16"/>
    <w:rsid w:val="5F047173"/>
    <w:rsid w:val="5F092B01"/>
    <w:rsid w:val="5F100333"/>
    <w:rsid w:val="5F283A1C"/>
    <w:rsid w:val="5F352FDE"/>
    <w:rsid w:val="5F3A45D1"/>
    <w:rsid w:val="5F3B2C65"/>
    <w:rsid w:val="5F3E6C4E"/>
    <w:rsid w:val="5F401A2C"/>
    <w:rsid w:val="5F4520E4"/>
    <w:rsid w:val="5F5E109E"/>
    <w:rsid w:val="5F6667FB"/>
    <w:rsid w:val="5F684EC4"/>
    <w:rsid w:val="5F6E3D1C"/>
    <w:rsid w:val="5F716F23"/>
    <w:rsid w:val="5F7C28B1"/>
    <w:rsid w:val="5F7E1D1E"/>
    <w:rsid w:val="5F7F1015"/>
    <w:rsid w:val="5F8831F1"/>
    <w:rsid w:val="5F8953ED"/>
    <w:rsid w:val="5F8E3006"/>
    <w:rsid w:val="5F9422B9"/>
    <w:rsid w:val="5FA22BCB"/>
    <w:rsid w:val="5FA51EAF"/>
    <w:rsid w:val="5FAD1004"/>
    <w:rsid w:val="5FB46F10"/>
    <w:rsid w:val="5FC024B0"/>
    <w:rsid w:val="5FC05CD1"/>
    <w:rsid w:val="5FC1162D"/>
    <w:rsid w:val="5FC516A6"/>
    <w:rsid w:val="5FC609F2"/>
    <w:rsid w:val="5FC81F8A"/>
    <w:rsid w:val="5FCB2BD8"/>
    <w:rsid w:val="5FD069BE"/>
    <w:rsid w:val="5FD37BD2"/>
    <w:rsid w:val="5FD50BDC"/>
    <w:rsid w:val="5FD61B2E"/>
    <w:rsid w:val="5FD8731C"/>
    <w:rsid w:val="5FDB4C33"/>
    <w:rsid w:val="5FE33352"/>
    <w:rsid w:val="5FE76354"/>
    <w:rsid w:val="5FE80968"/>
    <w:rsid w:val="5FE86BBA"/>
    <w:rsid w:val="5FEA0B84"/>
    <w:rsid w:val="5FF51F1B"/>
    <w:rsid w:val="5FFD04B8"/>
    <w:rsid w:val="60006442"/>
    <w:rsid w:val="60011A2A"/>
    <w:rsid w:val="600121BF"/>
    <w:rsid w:val="600A26C1"/>
    <w:rsid w:val="600E059D"/>
    <w:rsid w:val="60110B22"/>
    <w:rsid w:val="601504FC"/>
    <w:rsid w:val="601856F1"/>
    <w:rsid w:val="60196D73"/>
    <w:rsid w:val="601A532E"/>
    <w:rsid w:val="601B2AEB"/>
    <w:rsid w:val="60275934"/>
    <w:rsid w:val="602A0C51"/>
    <w:rsid w:val="602A310A"/>
    <w:rsid w:val="603554D2"/>
    <w:rsid w:val="603970EB"/>
    <w:rsid w:val="603D2D41"/>
    <w:rsid w:val="604B7542"/>
    <w:rsid w:val="604C270F"/>
    <w:rsid w:val="606370F6"/>
    <w:rsid w:val="606721D5"/>
    <w:rsid w:val="60695F4D"/>
    <w:rsid w:val="607935AE"/>
    <w:rsid w:val="60837A69"/>
    <w:rsid w:val="608467AE"/>
    <w:rsid w:val="60885CA7"/>
    <w:rsid w:val="608A5EC3"/>
    <w:rsid w:val="608E6436"/>
    <w:rsid w:val="608F714E"/>
    <w:rsid w:val="60950955"/>
    <w:rsid w:val="60A10657"/>
    <w:rsid w:val="60A371A8"/>
    <w:rsid w:val="60AB3898"/>
    <w:rsid w:val="60AD71D1"/>
    <w:rsid w:val="60B01019"/>
    <w:rsid w:val="60B3486B"/>
    <w:rsid w:val="60BB42CE"/>
    <w:rsid w:val="60C81420"/>
    <w:rsid w:val="60CF396D"/>
    <w:rsid w:val="60DF0352"/>
    <w:rsid w:val="60E90E3C"/>
    <w:rsid w:val="60EA2CD5"/>
    <w:rsid w:val="60EB2216"/>
    <w:rsid w:val="61070549"/>
    <w:rsid w:val="61077514"/>
    <w:rsid w:val="610E0593"/>
    <w:rsid w:val="610E2650"/>
    <w:rsid w:val="610E7170"/>
    <w:rsid w:val="61112140"/>
    <w:rsid w:val="61120392"/>
    <w:rsid w:val="61185639"/>
    <w:rsid w:val="61202383"/>
    <w:rsid w:val="612301E6"/>
    <w:rsid w:val="612E2CF2"/>
    <w:rsid w:val="61332B14"/>
    <w:rsid w:val="61363955"/>
    <w:rsid w:val="6137230E"/>
    <w:rsid w:val="613B0F6B"/>
    <w:rsid w:val="61406CF5"/>
    <w:rsid w:val="61412A26"/>
    <w:rsid w:val="6142054C"/>
    <w:rsid w:val="61477910"/>
    <w:rsid w:val="615121F0"/>
    <w:rsid w:val="61532E0C"/>
    <w:rsid w:val="61583FF8"/>
    <w:rsid w:val="615A6F0F"/>
    <w:rsid w:val="615B376C"/>
    <w:rsid w:val="616567D7"/>
    <w:rsid w:val="61701709"/>
    <w:rsid w:val="6175075A"/>
    <w:rsid w:val="618155CB"/>
    <w:rsid w:val="618464F7"/>
    <w:rsid w:val="61897824"/>
    <w:rsid w:val="61930A8B"/>
    <w:rsid w:val="6193391D"/>
    <w:rsid w:val="619A3EE4"/>
    <w:rsid w:val="619D761A"/>
    <w:rsid w:val="619F14FA"/>
    <w:rsid w:val="61A06578"/>
    <w:rsid w:val="61AB4343"/>
    <w:rsid w:val="61B01959"/>
    <w:rsid w:val="61B12737"/>
    <w:rsid w:val="61B50D1E"/>
    <w:rsid w:val="61B90296"/>
    <w:rsid w:val="61B9080E"/>
    <w:rsid w:val="61C251E9"/>
    <w:rsid w:val="61C67DB4"/>
    <w:rsid w:val="61C84147"/>
    <w:rsid w:val="61CD4D68"/>
    <w:rsid w:val="61D8132E"/>
    <w:rsid w:val="61DC7E02"/>
    <w:rsid w:val="61DD0516"/>
    <w:rsid w:val="61EA6C19"/>
    <w:rsid w:val="61F12620"/>
    <w:rsid w:val="61F127F3"/>
    <w:rsid w:val="61F661E7"/>
    <w:rsid w:val="620D6DAC"/>
    <w:rsid w:val="621023F8"/>
    <w:rsid w:val="62177E27"/>
    <w:rsid w:val="62193503"/>
    <w:rsid w:val="622F4AD7"/>
    <w:rsid w:val="623C31ED"/>
    <w:rsid w:val="623E7783"/>
    <w:rsid w:val="62404A8B"/>
    <w:rsid w:val="62446BD8"/>
    <w:rsid w:val="62467472"/>
    <w:rsid w:val="624A5041"/>
    <w:rsid w:val="624D0F56"/>
    <w:rsid w:val="62550559"/>
    <w:rsid w:val="62563FDD"/>
    <w:rsid w:val="625A4C70"/>
    <w:rsid w:val="625D5526"/>
    <w:rsid w:val="6260552E"/>
    <w:rsid w:val="62703FD7"/>
    <w:rsid w:val="62731DC4"/>
    <w:rsid w:val="62737B38"/>
    <w:rsid w:val="62741C11"/>
    <w:rsid w:val="628E00D4"/>
    <w:rsid w:val="6292105F"/>
    <w:rsid w:val="629B1A00"/>
    <w:rsid w:val="629D6E1A"/>
    <w:rsid w:val="629F6B9D"/>
    <w:rsid w:val="62A0377C"/>
    <w:rsid w:val="62A0536E"/>
    <w:rsid w:val="62A274F4"/>
    <w:rsid w:val="62AF596B"/>
    <w:rsid w:val="62B40FD5"/>
    <w:rsid w:val="62B56719"/>
    <w:rsid w:val="62C82B5C"/>
    <w:rsid w:val="62CC4571"/>
    <w:rsid w:val="62D13935"/>
    <w:rsid w:val="62D33D65"/>
    <w:rsid w:val="62DB7E7B"/>
    <w:rsid w:val="62E062CD"/>
    <w:rsid w:val="62EE7367"/>
    <w:rsid w:val="62F165A5"/>
    <w:rsid w:val="62F243B2"/>
    <w:rsid w:val="62F77CDB"/>
    <w:rsid w:val="62F87114"/>
    <w:rsid w:val="630930CF"/>
    <w:rsid w:val="631552CE"/>
    <w:rsid w:val="631A52DC"/>
    <w:rsid w:val="632B37AC"/>
    <w:rsid w:val="632F33B0"/>
    <w:rsid w:val="633B16F7"/>
    <w:rsid w:val="63484F36"/>
    <w:rsid w:val="634D6CB0"/>
    <w:rsid w:val="635A5861"/>
    <w:rsid w:val="635D5256"/>
    <w:rsid w:val="636300F2"/>
    <w:rsid w:val="636468DA"/>
    <w:rsid w:val="636D5263"/>
    <w:rsid w:val="636E072A"/>
    <w:rsid w:val="63701C0F"/>
    <w:rsid w:val="63736F24"/>
    <w:rsid w:val="63747349"/>
    <w:rsid w:val="63754C08"/>
    <w:rsid w:val="6377272F"/>
    <w:rsid w:val="637760F0"/>
    <w:rsid w:val="637D0E20"/>
    <w:rsid w:val="637D68C6"/>
    <w:rsid w:val="63827325"/>
    <w:rsid w:val="63860BC4"/>
    <w:rsid w:val="638B7F88"/>
    <w:rsid w:val="63936E3D"/>
    <w:rsid w:val="639543A7"/>
    <w:rsid w:val="639950FF"/>
    <w:rsid w:val="639E670B"/>
    <w:rsid w:val="63A1155A"/>
    <w:rsid w:val="63A52898"/>
    <w:rsid w:val="63AA1DC0"/>
    <w:rsid w:val="63BF4416"/>
    <w:rsid w:val="63C11729"/>
    <w:rsid w:val="63C91E44"/>
    <w:rsid w:val="63CD05A1"/>
    <w:rsid w:val="63D2491D"/>
    <w:rsid w:val="63D6217E"/>
    <w:rsid w:val="63D6495B"/>
    <w:rsid w:val="63D90663"/>
    <w:rsid w:val="63ED29F1"/>
    <w:rsid w:val="63F14875"/>
    <w:rsid w:val="63F75123"/>
    <w:rsid w:val="63FB5C17"/>
    <w:rsid w:val="63FF1705"/>
    <w:rsid w:val="64025D70"/>
    <w:rsid w:val="640C789D"/>
    <w:rsid w:val="64152A93"/>
    <w:rsid w:val="64181637"/>
    <w:rsid w:val="641C2848"/>
    <w:rsid w:val="642108EC"/>
    <w:rsid w:val="64267CB1"/>
    <w:rsid w:val="642A59F3"/>
    <w:rsid w:val="64345325"/>
    <w:rsid w:val="643554F1"/>
    <w:rsid w:val="643B7D83"/>
    <w:rsid w:val="64412D3D"/>
    <w:rsid w:val="64434876"/>
    <w:rsid w:val="645342A2"/>
    <w:rsid w:val="645C0705"/>
    <w:rsid w:val="645D2F10"/>
    <w:rsid w:val="645E744B"/>
    <w:rsid w:val="6466153D"/>
    <w:rsid w:val="646A67A4"/>
    <w:rsid w:val="646D7D8C"/>
    <w:rsid w:val="6472739A"/>
    <w:rsid w:val="647548B5"/>
    <w:rsid w:val="64775E15"/>
    <w:rsid w:val="64791B66"/>
    <w:rsid w:val="647B5340"/>
    <w:rsid w:val="64867F1D"/>
    <w:rsid w:val="64894D7D"/>
    <w:rsid w:val="649A5B95"/>
    <w:rsid w:val="649F0BE6"/>
    <w:rsid w:val="64B108FB"/>
    <w:rsid w:val="64B324CB"/>
    <w:rsid w:val="64B6505B"/>
    <w:rsid w:val="64BD43DB"/>
    <w:rsid w:val="64C60576"/>
    <w:rsid w:val="64C73275"/>
    <w:rsid w:val="64C87474"/>
    <w:rsid w:val="64C95AE5"/>
    <w:rsid w:val="64D12823"/>
    <w:rsid w:val="64D43742"/>
    <w:rsid w:val="64D46089"/>
    <w:rsid w:val="64DE086C"/>
    <w:rsid w:val="64DE3E1A"/>
    <w:rsid w:val="64E24CBC"/>
    <w:rsid w:val="64EC1084"/>
    <w:rsid w:val="64F84C41"/>
    <w:rsid w:val="650900F8"/>
    <w:rsid w:val="650B69B9"/>
    <w:rsid w:val="650F4BE9"/>
    <w:rsid w:val="651075ED"/>
    <w:rsid w:val="65157C0F"/>
    <w:rsid w:val="652D1F8D"/>
    <w:rsid w:val="653777AB"/>
    <w:rsid w:val="654A3F75"/>
    <w:rsid w:val="654E73BC"/>
    <w:rsid w:val="6553287A"/>
    <w:rsid w:val="655F347A"/>
    <w:rsid w:val="656960A7"/>
    <w:rsid w:val="65750352"/>
    <w:rsid w:val="657632E7"/>
    <w:rsid w:val="657A1B96"/>
    <w:rsid w:val="65810D24"/>
    <w:rsid w:val="65841AA9"/>
    <w:rsid w:val="658729D1"/>
    <w:rsid w:val="65893B9D"/>
    <w:rsid w:val="658A3B47"/>
    <w:rsid w:val="658C7C0F"/>
    <w:rsid w:val="6598102F"/>
    <w:rsid w:val="659837F1"/>
    <w:rsid w:val="65A2569C"/>
    <w:rsid w:val="65AC068A"/>
    <w:rsid w:val="65B11DA0"/>
    <w:rsid w:val="65B575E2"/>
    <w:rsid w:val="65BD4645"/>
    <w:rsid w:val="65C078DB"/>
    <w:rsid w:val="65C10301"/>
    <w:rsid w:val="65C20915"/>
    <w:rsid w:val="65C97354"/>
    <w:rsid w:val="65CB0636"/>
    <w:rsid w:val="65CD6400"/>
    <w:rsid w:val="65D64F50"/>
    <w:rsid w:val="65D76039"/>
    <w:rsid w:val="65D93BF8"/>
    <w:rsid w:val="65DC71BC"/>
    <w:rsid w:val="65E25E59"/>
    <w:rsid w:val="65E73DA2"/>
    <w:rsid w:val="65E83C54"/>
    <w:rsid w:val="65E92B06"/>
    <w:rsid w:val="65EE71AA"/>
    <w:rsid w:val="65F82B70"/>
    <w:rsid w:val="66042EF6"/>
    <w:rsid w:val="660A1590"/>
    <w:rsid w:val="661026E9"/>
    <w:rsid w:val="66154481"/>
    <w:rsid w:val="66173D55"/>
    <w:rsid w:val="66252A1D"/>
    <w:rsid w:val="66303069"/>
    <w:rsid w:val="663C2A54"/>
    <w:rsid w:val="663D1A5D"/>
    <w:rsid w:val="663D5FA4"/>
    <w:rsid w:val="66486A55"/>
    <w:rsid w:val="664D0A5A"/>
    <w:rsid w:val="664D2EB9"/>
    <w:rsid w:val="664D4A5B"/>
    <w:rsid w:val="665A2A46"/>
    <w:rsid w:val="6663434B"/>
    <w:rsid w:val="66636F9A"/>
    <w:rsid w:val="6669027E"/>
    <w:rsid w:val="666E4067"/>
    <w:rsid w:val="66700C31"/>
    <w:rsid w:val="667273BE"/>
    <w:rsid w:val="66776748"/>
    <w:rsid w:val="66797780"/>
    <w:rsid w:val="667C1E0A"/>
    <w:rsid w:val="66836FCA"/>
    <w:rsid w:val="66923C21"/>
    <w:rsid w:val="66A01F9C"/>
    <w:rsid w:val="66AB07D3"/>
    <w:rsid w:val="66AB7916"/>
    <w:rsid w:val="66AF0431"/>
    <w:rsid w:val="66B46BFE"/>
    <w:rsid w:val="66B772E6"/>
    <w:rsid w:val="66BB1A4D"/>
    <w:rsid w:val="66BF5C1F"/>
    <w:rsid w:val="66C544B3"/>
    <w:rsid w:val="66CB05B6"/>
    <w:rsid w:val="66D82400"/>
    <w:rsid w:val="66DE0D17"/>
    <w:rsid w:val="66E26729"/>
    <w:rsid w:val="66EA0B9F"/>
    <w:rsid w:val="66F978FF"/>
    <w:rsid w:val="66FB32FF"/>
    <w:rsid w:val="67095D94"/>
    <w:rsid w:val="671023F9"/>
    <w:rsid w:val="671865AC"/>
    <w:rsid w:val="6723497B"/>
    <w:rsid w:val="672C71B7"/>
    <w:rsid w:val="673263BA"/>
    <w:rsid w:val="67340937"/>
    <w:rsid w:val="67351BB5"/>
    <w:rsid w:val="6739419F"/>
    <w:rsid w:val="673F0278"/>
    <w:rsid w:val="674C7A2E"/>
    <w:rsid w:val="67513297"/>
    <w:rsid w:val="6759039D"/>
    <w:rsid w:val="67657F11"/>
    <w:rsid w:val="676858CF"/>
    <w:rsid w:val="67687AB2"/>
    <w:rsid w:val="67705D26"/>
    <w:rsid w:val="67742481"/>
    <w:rsid w:val="67773D2A"/>
    <w:rsid w:val="678371C8"/>
    <w:rsid w:val="679835F8"/>
    <w:rsid w:val="679C3B27"/>
    <w:rsid w:val="679E3795"/>
    <w:rsid w:val="679F2DE3"/>
    <w:rsid w:val="67A2685A"/>
    <w:rsid w:val="67A437B5"/>
    <w:rsid w:val="67A61834"/>
    <w:rsid w:val="67B33C77"/>
    <w:rsid w:val="67B62797"/>
    <w:rsid w:val="67B71535"/>
    <w:rsid w:val="67B76000"/>
    <w:rsid w:val="67C1144F"/>
    <w:rsid w:val="67C7049A"/>
    <w:rsid w:val="67C84B50"/>
    <w:rsid w:val="67CB6913"/>
    <w:rsid w:val="67D25CC8"/>
    <w:rsid w:val="67D45883"/>
    <w:rsid w:val="67D54949"/>
    <w:rsid w:val="67DC3183"/>
    <w:rsid w:val="67E36CE0"/>
    <w:rsid w:val="67E50A46"/>
    <w:rsid w:val="67FC4D41"/>
    <w:rsid w:val="67FD341E"/>
    <w:rsid w:val="680C2DD0"/>
    <w:rsid w:val="6821710D"/>
    <w:rsid w:val="68241AA5"/>
    <w:rsid w:val="682E1D13"/>
    <w:rsid w:val="68306437"/>
    <w:rsid w:val="68425D95"/>
    <w:rsid w:val="684832B2"/>
    <w:rsid w:val="68534DEC"/>
    <w:rsid w:val="686009C3"/>
    <w:rsid w:val="686B0388"/>
    <w:rsid w:val="686F6B61"/>
    <w:rsid w:val="68737814"/>
    <w:rsid w:val="687E12C9"/>
    <w:rsid w:val="68805109"/>
    <w:rsid w:val="68837C07"/>
    <w:rsid w:val="68840C6D"/>
    <w:rsid w:val="688D3120"/>
    <w:rsid w:val="688F52BE"/>
    <w:rsid w:val="688F5916"/>
    <w:rsid w:val="68921DB9"/>
    <w:rsid w:val="6896012B"/>
    <w:rsid w:val="68AA7EE1"/>
    <w:rsid w:val="68B153CB"/>
    <w:rsid w:val="68B51DFC"/>
    <w:rsid w:val="68BE670A"/>
    <w:rsid w:val="68C161FA"/>
    <w:rsid w:val="68C36416"/>
    <w:rsid w:val="68C41A78"/>
    <w:rsid w:val="68CB2A09"/>
    <w:rsid w:val="68D51B0C"/>
    <w:rsid w:val="68D9389C"/>
    <w:rsid w:val="68E623BC"/>
    <w:rsid w:val="68EF4B15"/>
    <w:rsid w:val="68F15FA9"/>
    <w:rsid w:val="68F45F46"/>
    <w:rsid w:val="68FA2A2D"/>
    <w:rsid w:val="690305C3"/>
    <w:rsid w:val="69074239"/>
    <w:rsid w:val="690C1B6B"/>
    <w:rsid w:val="690C6B54"/>
    <w:rsid w:val="692756CF"/>
    <w:rsid w:val="692A362D"/>
    <w:rsid w:val="69322121"/>
    <w:rsid w:val="693253B0"/>
    <w:rsid w:val="6946235C"/>
    <w:rsid w:val="69474951"/>
    <w:rsid w:val="69481A60"/>
    <w:rsid w:val="6949691B"/>
    <w:rsid w:val="694C01BA"/>
    <w:rsid w:val="694E53F5"/>
    <w:rsid w:val="69522026"/>
    <w:rsid w:val="69552F6B"/>
    <w:rsid w:val="695F4713"/>
    <w:rsid w:val="697302E6"/>
    <w:rsid w:val="697E38D1"/>
    <w:rsid w:val="69832C25"/>
    <w:rsid w:val="69913E1E"/>
    <w:rsid w:val="69972D25"/>
    <w:rsid w:val="699C1451"/>
    <w:rsid w:val="699D0A15"/>
    <w:rsid w:val="69A039FD"/>
    <w:rsid w:val="69A973AB"/>
    <w:rsid w:val="69A973BA"/>
    <w:rsid w:val="69B52CE4"/>
    <w:rsid w:val="69BA2CC8"/>
    <w:rsid w:val="69C92C6C"/>
    <w:rsid w:val="69DC5593"/>
    <w:rsid w:val="69E9095B"/>
    <w:rsid w:val="69F218B5"/>
    <w:rsid w:val="69F21D3F"/>
    <w:rsid w:val="69F2797E"/>
    <w:rsid w:val="69F62DE5"/>
    <w:rsid w:val="69FC4DC8"/>
    <w:rsid w:val="6A022DDA"/>
    <w:rsid w:val="6A066745"/>
    <w:rsid w:val="6A070584"/>
    <w:rsid w:val="6A072332"/>
    <w:rsid w:val="6A1707C7"/>
    <w:rsid w:val="6A1A3E14"/>
    <w:rsid w:val="6A1B7BEA"/>
    <w:rsid w:val="6A2151A2"/>
    <w:rsid w:val="6A22716C"/>
    <w:rsid w:val="6A24696A"/>
    <w:rsid w:val="6A2F66D1"/>
    <w:rsid w:val="6A3010B0"/>
    <w:rsid w:val="6A332405"/>
    <w:rsid w:val="6A4470E3"/>
    <w:rsid w:val="6A49280D"/>
    <w:rsid w:val="6A522B9D"/>
    <w:rsid w:val="6A5A06B4"/>
    <w:rsid w:val="6A5B5C77"/>
    <w:rsid w:val="6A5D1F52"/>
    <w:rsid w:val="6A611A43"/>
    <w:rsid w:val="6A670554"/>
    <w:rsid w:val="6A7A70E7"/>
    <w:rsid w:val="6A7F6EA8"/>
    <w:rsid w:val="6A8133DA"/>
    <w:rsid w:val="6A823D7C"/>
    <w:rsid w:val="6A84364B"/>
    <w:rsid w:val="6A885221"/>
    <w:rsid w:val="6A973F27"/>
    <w:rsid w:val="6AA14558"/>
    <w:rsid w:val="6AA95198"/>
    <w:rsid w:val="6AAF762E"/>
    <w:rsid w:val="6AB10A34"/>
    <w:rsid w:val="6ABF6769"/>
    <w:rsid w:val="6AD87DE3"/>
    <w:rsid w:val="6AE56593"/>
    <w:rsid w:val="6AF53C9C"/>
    <w:rsid w:val="6AF6662F"/>
    <w:rsid w:val="6AF7189E"/>
    <w:rsid w:val="6AF84926"/>
    <w:rsid w:val="6B115656"/>
    <w:rsid w:val="6B1504E7"/>
    <w:rsid w:val="6B151114"/>
    <w:rsid w:val="6B1D5EA4"/>
    <w:rsid w:val="6B2840DD"/>
    <w:rsid w:val="6B2D5DC9"/>
    <w:rsid w:val="6B2F1B41"/>
    <w:rsid w:val="6B30370C"/>
    <w:rsid w:val="6B36006C"/>
    <w:rsid w:val="6B373792"/>
    <w:rsid w:val="6B39397C"/>
    <w:rsid w:val="6B49748C"/>
    <w:rsid w:val="6B4A24D7"/>
    <w:rsid w:val="6B4A514E"/>
    <w:rsid w:val="6B543355"/>
    <w:rsid w:val="6B5B4FBD"/>
    <w:rsid w:val="6B651AF1"/>
    <w:rsid w:val="6B6730CA"/>
    <w:rsid w:val="6B67417E"/>
    <w:rsid w:val="6B696A4D"/>
    <w:rsid w:val="6B697DBF"/>
    <w:rsid w:val="6B6C68F1"/>
    <w:rsid w:val="6B7B2218"/>
    <w:rsid w:val="6B7B4D86"/>
    <w:rsid w:val="6B7C0C31"/>
    <w:rsid w:val="6B83550E"/>
    <w:rsid w:val="6B871C4A"/>
    <w:rsid w:val="6B951AF1"/>
    <w:rsid w:val="6B9D65B9"/>
    <w:rsid w:val="6BB078F2"/>
    <w:rsid w:val="6BBB4BF8"/>
    <w:rsid w:val="6BBD6B8D"/>
    <w:rsid w:val="6BC12008"/>
    <w:rsid w:val="6BC87B36"/>
    <w:rsid w:val="6BCE661C"/>
    <w:rsid w:val="6BD17F63"/>
    <w:rsid w:val="6BD23F79"/>
    <w:rsid w:val="6BD31709"/>
    <w:rsid w:val="6BD46244"/>
    <w:rsid w:val="6BEA2935"/>
    <w:rsid w:val="6BED1243"/>
    <w:rsid w:val="6BF475A0"/>
    <w:rsid w:val="6BF746BF"/>
    <w:rsid w:val="6BF8008C"/>
    <w:rsid w:val="6BF84E01"/>
    <w:rsid w:val="6C074D93"/>
    <w:rsid w:val="6C0B094A"/>
    <w:rsid w:val="6C1444B5"/>
    <w:rsid w:val="6C1D257E"/>
    <w:rsid w:val="6C2C6E87"/>
    <w:rsid w:val="6C3107EA"/>
    <w:rsid w:val="6C360CAD"/>
    <w:rsid w:val="6C4715A8"/>
    <w:rsid w:val="6C5960E6"/>
    <w:rsid w:val="6C694DDB"/>
    <w:rsid w:val="6C6A0B8F"/>
    <w:rsid w:val="6C6B0420"/>
    <w:rsid w:val="6C6D5C7A"/>
    <w:rsid w:val="6C761D16"/>
    <w:rsid w:val="6C7878EF"/>
    <w:rsid w:val="6C7E3750"/>
    <w:rsid w:val="6C7F4402"/>
    <w:rsid w:val="6C836CBB"/>
    <w:rsid w:val="6C970AD5"/>
    <w:rsid w:val="6C9A67F6"/>
    <w:rsid w:val="6CA125CA"/>
    <w:rsid w:val="6CA65C02"/>
    <w:rsid w:val="6CB0359C"/>
    <w:rsid w:val="6CB2035C"/>
    <w:rsid w:val="6CB72EAA"/>
    <w:rsid w:val="6CB873FF"/>
    <w:rsid w:val="6CBC7404"/>
    <w:rsid w:val="6CC22A47"/>
    <w:rsid w:val="6CD808D8"/>
    <w:rsid w:val="6CDB1F80"/>
    <w:rsid w:val="6CEB1A97"/>
    <w:rsid w:val="6CF375A3"/>
    <w:rsid w:val="6CFE5C6F"/>
    <w:rsid w:val="6D074842"/>
    <w:rsid w:val="6D0F106D"/>
    <w:rsid w:val="6D147240"/>
    <w:rsid w:val="6D1F019E"/>
    <w:rsid w:val="6D2034A9"/>
    <w:rsid w:val="6D25111F"/>
    <w:rsid w:val="6D262AD0"/>
    <w:rsid w:val="6D2F285F"/>
    <w:rsid w:val="6D303920"/>
    <w:rsid w:val="6D320545"/>
    <w:rsid w:val="6D332A3B"/>
    <w:rsid w:val="6D3F3DD3"/>
    <w:rsid w:val="6D422E1C"/>
    <w:rsid w:val="6D433682"/>
    <w:rsid w:val="6D475D82"/>
    <w:rsid w:val="6D4A197F"/>
    <w:rsid w:val="6D4A310F"/>
    <w:rsid w:val="6D4C0D8D"/>
    <w:rsid w:val="6D51127B"/>
    <w:rsid w:val="6D611D5A"/>
    <w:rsid w:val="6D655CEE"/>
    <w:rsid w:val="6D6F091A"/>
    <w:rsid w:val="6D6F1517"/>
    <w:rsid w:val="6D747CDF"/>
    <w:rsid w:val="6D804631"/>
    <w:rsid w:val="6D877A12"/>
    <w:rsid w:val="6D8A032E"/>
    <w:rsid w:val="6D8A6239"/>
    <w:rsid w:val="6DA57E98"/>
    <w:rsid w:val="6DA671F9"/>
    <w:rsid w:val="6DA97083"/>
    <w:rsid w:val="6DAC25DC"/>
    <w:rsid w:val="6DBE7E8B"/>
    <w:rsid w:val="6DCB2C20"/>
    <w:rsid w:val="6DD52E08"/>
    <w:rsid w:val="6DD56114"/>
    <w:rsid w:val="6DD712F2"/>
    <w:rsid w:val="6DD73D8A"/>
    <w:rsid w:val="6DDE33AA"/>
    <w:rsid w:val="6DDF319B"/>
    <w:rsid w:val="6E0814EF"/>
    <w:rsid w:val="6E082D97"/>
    <w:rsid w:val="6E0C08C1"/>
    <w:rsid w:val="6E1119D2"/>
    <w:rsid w:val="6E162D9A"/>
    <w:rsid w:val="6E2F41C9"/>
    <w:rsid w:val="6E337B9A"/>
    <w:rsid w:val="6E37177E"/>
    <w:rsid w:val="6E3E69E8"/>
    <w:rsid w:val="6E400A55"/>
    <w:rsid w:val="6E471691"/>
    <w:rsid w:val="6E4870FC"/>
    <w:rsid w:val="6E493E1B"/>
    <w:rsid w:val="6E4D5088"/>
    <w:rsid w:val="6E4F0DF7"/>
    <w:rsid w:val="6E526272"/>
    <w:rsid w:val="6E5C0E9F"/>
    <w:rsid w:val="6E5D0773"/>
    <w:rsid w:val="6E61275F"/>
    <w:rsid w:val="6E66587A"/>
    <w:rsid w:val="6E6F6CD0"/>
    <w:rsid w:val="6E8403F6"/>
    <w:rsid w:val="6E884AA3"/>
    <w:rsid w:val="6E957F0D"/>
    <w:rsid w:val="6E9F6CC3"/>
    <w:rsid w:val="6EA6211A"/>
    <w:rsid w:val="6EA72E43"/>
    <w:rsid w:val="6EAC5256"/>
    <w:rsid w:val="6EBCB45D"/>
    <w:rsid w:val="6EBE2B55"/>
    <w:rsid w:val="6ED07197"/>
    <w:rsid w:val="6ED22A79"/>
    <w:rsid w:val="6ED40B4D"/>
    <w:rsid w:val="6EDB4A38"/>
    <w:rsid w:val="6EE41A31"/>
    <w:rsid w:val="6EE92007"/>
    <w:rsid w:val="6EED1AF7"/>
    <w:rsid w:val="6EEE3AC1"/>
    <w:rsid w:val="6EEF1D13"/>
    <w:rsid w:val="6EF41116"/>
    <w:rsid w:val="6EF764A0"/>
    <w:rsid w:val="6EFA06B8"/>
    <w:rsid w:val="6F0E047F"/>
    <w:rsid w:val="6F1F3F9A"/>
    <w:rsid w:val="6F337356"/>
    <w:rsid w:val="6F361351"/>
    <w:rsid w:val="6F364E8D"/>
    <w:rsid w:val="6F404B59"/>
    <w:rsid w:val="6F44165D"/>
    <w:rsid w:val="6F463275"/>
    <w:rsid w:val="6F4C3550"/>
    <w:rsid w:val="6F4D17AD"/>
    <w:rsid w:val="6F4D3949"/>
    <w:rsid w:val="6F502086"/>
    <w:rsid w:val="6F523017"/>
    <w:rsid w:val="6F530EBD"/>
    <w:rsid w:val="6F5337C0"/>
    <w:rsid w:val="6F620E01"/>
    <w:rsid w:val="6F624352"/>
    <w:rsid w:val="6F651FD5"/>
    <w:rsid w:val="6F6639CE"/>
    <w:rsid w:val="6F664F80"/>
    <w:rsid w:val="6F6B6A10"/>
    <w:rsid w:val="6F7ED073"/>
    <w:rsid w:val="6F863CF9"/>
    <w:rsid w:val="6FA66085"/>
    <w:rsid w:val="6FA753AE"/>
    <w:rsid w:val="6FA95DFA"/>
    <w:rsid w:val="6FB1521A"/>
    <w:rsid w:val="6FB41DC6"/>
    <w:rsid w:val="6FB6284C"/>
    <w:rsid w:val="6FB82C15"/>
    <w:rsid w:val="6FB84DEB"/>
    <w:rsid w:val="6FB95E7D"/>
    <w:rsid w:val="6FB98A8C"/>
    <w:rsid w:val="6FC211D5"/>
    <w:rsid w:val="6FC961D8"/>
    <w:rsid w:val="6FCC3E02"/>
    <w:rsid w:val="6FCD36D6"/>
    <w:rsid w:val="6FD02939"/>
    <w:rsid w:val="6FD84138"/>
    <w:rsid w:val="6FDA060C"/>
    <w:rsid w:val="6FE50A20"/>
    <w:rsid w:val="6FE51145"/>
    <w:rsid w:val="6FE570C1"/>
    <w:rsid w:val="6FE920D0"/>
    <w:rsid w:val="6FF07630"/>
    <w:rsid w:val="6FF77146"/>
    <w:rsid w:val="6FFC61CC"/>
    <w:rsid w:val="6FFE2C88"/>
    <w:rsid w:val="7011352F"/>
    <w:rsid w:val="70172C3B"/>
    <w:rsid w:val="701D1DB6"/>
    <w:rsid w:val="70216507"/>
    <w:rsid w:val="702355CC"/>
    <w:rsid w:val="70261031"/>
    <w:rsid w:val="702715A0"/>
    <w:rsid w:val="702C2E99"/>
    <w:rsid w:val="702D6744"/>
    <w:rsid w:val="703B657F"/>
    <w:rsid w:val="703E44C9"/>
    <w:rsid w:val="703E4D2D"/>
    <w:rsid w:val="705722FE"/>
    <w:rsid w:val="70585662"/>
    <w:rsid w:val="70590B1F"/>
    <w:rsid w:val="705D515A"/>
    <w:rsid w:val="706067FF"/>
    <w:rsid w:val="706349F9"/>
    <w:rsid w:val="70645DE9"/>
    <w:rsid w:val="706918C7"/>
    <w:rsid w:val="706B361B"/>
    <w:rsid w:val="706E310B"/>
    <w:rsid w:val="70854FEF"/>
    <w:rsid w:val="70895CD0"/>
    <w:rsid w:val="70904E30"/>
    <w:rsid w:val="70926DFA"/>
    <w:rsid w:val="709E274E"/>
    <w:rsid w:val="709E5464"/>
    <w:rsid w:val="709E547B"/>
    <w:rsid w:val="70A64653"/>
    <w:rsid w:val="70B20D25"/>
    <w:rsid w:val="70B370E1"/>
    <w:rsid w:val="70B94097"/>
    <w:rsid w:val="70C20D61"/>
    <w:rsid w:val="70C525FF"/>
    <w:rsid w:val="70CA4DC5"/>
    <w:rsid w:val="70CF476F"/>
    <w:rsid w:val="70D130DE"/>
    <w:rsid w:val="70D2709E"/>
    <w:rsid w:val="70E061FE"/>
    <w:rsid w:val="70E63A34"/>
    <w:rsid w:val="70E76A1A"/>
    <w:rsid w:val="70EB4BD9"/>
    <w:rsid w:val="70FB10C6"/>
    <w:rsid w:val="710475CC"/>
    <w:rsid w:val="710E3FA6"/>
    <w:rsid w:val="71212716"/>
    <w:rsid w:val="71234851"/>
    <w:rsid w:val="712C787C"/>
    <w:rsid w:val="713225A6"/>
    <w:rsid w:val="713314BC"/>
    <w:rsid w:val="713A4D31"/>
    <w:rsid w:val="714818E2"/>
    <w:rsid w:val="714874B8"/>
    <w:rsid w:val="71570A7D"/>
    <w:rsid w:val="715D7EAB"/>
    <w:rsid w:val="715E727B"/>
    <w:rsid w:val="71671AAB"/>
    <w:rsid w:val="716F1B40"/>
    <w:rsid w:val="717C6937"/>
    <w:rsid w:val="71883D59"/>
    <w:rsid w:val="718D27CB"/>
    <w:rsid w:val="71926986"/>
    <w:rsid w:val="719A7073"/>
    <w:rsid w:val="71A072F4"/>
    <w:rsid w:val="71A71DB7"/>
    <w:rsid w:val="71AE3154"/>
    <w:rsid w:val="71B403F8"/>
    <w:rsid w:val="71BE3C1E"/>
    <w:rsid w:val="71C034F3"/>
    <w:rsid w:val="71C453DC"/>
    <w:rsid w:val="71D074AE"/>
    <w:rsid w:val="71DA6BD4"/>
    <w:rsid w:val="71DE1BCB"/>
    <w:rsid w:val="71E01DE7"/>
    <w:rsid w:val="71E60A7F"/>
    <w:rsid w:val="71F0722C"/>
    <w:rsid w:val="71F163E4"/>
    <w:rsid w:val="71F3778E"/>
    <w:rsid w:val="71FB5575"/>
    <w:rsid w:val="71FE401B"/>
    <w:rsid w:val="720143CF"/>
    <w:rsid w:val="72176B53"/>
    <w:rsid w:val="7228602C"/>
    <w:rsid w:val="722E2A9D"/>
    <w:rsid w:val="722F0678"/>
    <w:rsid w:val="72385554"/>
    <w:rsid w:val="723914F7"/>
    <w:rsid w:val="72416FF8"/>
    <w:rsid w:val="724B1A09"/>
    <w:rsid w:val="724D0AFE"/>
    <w:rsid w:val="725A78CD"/>
    <w:rsid w:val="725F7E4C"/>
    <w:rsid w:val="72631761"/>
    <w:rsid w:val="726553A5"/>
    <w:rsid w:val="72725AFF"/>
    <w:rsid w:val="7275252F"/>
    <w:rsid w:val="7282060B"/>
    <w:rsid w:val="72852423"/>
    <w:rsid w:val="72920071"/>
    <w:rsid w:val="729459B7"/>
    <w:rsid w:val="72980501"/>
    <w:rsid w:val="729F16CB"/>
    <w:rsid w:val="729F3E50"/>
    <w:rsid w:val="729F57FE"/>
    <w:rsid w:val="72AD321A"/>
    <w:rsid w:val="72AE7FD1"/>
    <w:rsid w:val="72AF56A8"/>
    <w:rsid w:val="72B20DD8"/>
    <w:rsid w:val="72B93A36"/>
    <w:rsid w:val="72C7752F"/>
    <w:rsid w:val="72D04525"/>
    <w:rsid w:val="72DC2C3D"/>
    <w:rsid w:val="72DF562A"/>
    <w:rsid w:val="72E0414B"/>
    <w:rsid w:val="72E71432"/>
    <w:rsid w:val="72E7455A"/>
    <w:rsid w:val="72FD6BDE"/>
    <w:rsid w:val="72FF004B"/>
    <w:rsid w:val="73025D8D"/>
    <w:rsid w:val="73101EFB"/>
    <w:rsid w:val="73117E7C"/>
    <w:rsid w:val="731273FC"/>
    <w:rsid w:val="73132C66"/>
    <w:rsid w:val="731351DA"/>
    <w:rsid w:val="731E3759"/>
    <w:rsid w:val="732260FE"/>
    <w:rsid w:val="733E5017"/>
    <w:rsid w:val="73475766"/>
    <w:rsid w:val="734B28DA"/>
    <w:rsid w:val="73563120"/>
    <w:rsid w:val="735B0E38"/>
    <w:rsid w:val="73614861"/>
    <w:rsid w:val="736D64FA"/>
    <w:rsid w:val="73727DA8"/>
    <w:rsid w:val="737853C6"/>
    <w:rsid w:val="7379604F"/>
    <w:rsid w:val="737D3406"/>
    <w:rsid w:val="7381387F"/>
    <w:rsid w:val="73830C7C"/>
    <w:rsid w:val="73853123"/>
    <w:rsid w:val="73857C2B"/>
    <w:rsid w:val="738A6A6E"/>
    <w:rsid w:val="738B768C"/>
    <w:rsid w:val="738D0AF9"/>
    <w:rsid w:val="738F5872"/>
    <w:rsid w:val="738F72F4"/>
    <w:rsid w:val="739261B6"/>
    <w:rsid w:val="739801C5"/>
    <w:rsid w:val="739957CD"/>
    <w:rsid w:val="73B75DD5"/>
    <w:rsid w:val="73B85EE8"/>
    <w:rsid w:val="73BA7886"/>
    <w:rsid w:val="73C10413"/>
    <w:rsid w:val="73C3551C"/>
    <w:rsid w:val="73C746C2"/>
    <w:rsid w:val="73CA481B"/>
    <w:rsid w:val="73CB76F9"/>
    <w:rsid w:val="73D64D13"/>
    <w:rsid w:val="73DD19BD"/>
    <w:rsid w:val="73E45CD1"/>
    <w:rsid w:val="73E8034F"/>
    <w:rsid w:val="74062304"/>
    <w:rsid w:val="740722D2"/>
    <w:rsid w:val="740F0E8F"/>
    <w:rsid w:val="741514F8"/>
    <w:rsid w:val="741E5FE1"/>
    <w:rsid w:val="741E6BF6"/>
    <w:rsid w:val="74263AE2"/>
    <w:rsid w:val="742A559B"/>
    <w:rsid w:val="742C08D5"/>
    <w:rsid w:val="742D0110"/>
    <w:rsid w:val="74310057"/>
    <w:rsid w:val="74393A30"/>
    <w:rsid w:val="743E3371"/>
    <w:rsid w:val="74437770"/>
    <w:rsid w:val="744869DB"/>
    <w:rsid w:val="744B610D"/>
    <w:rsid w:val="745101BC"/>
    <w:rsid w:val="74512B28"/>
    <w:rsid w:val="745D771F"/>
    <w:rsid w:val="7461646F"/>
    <w:rsid w:val="746320AA"/>
    <w:rsid w:val="74645DF8"/>
    <w:rsid w:val="746D7253"/>
    <w:rsid w:val="74745B75"/>
    <w:rsid w:val="74752EFD"/>
    <w:rsid w:val="74787ED7"/>
    <w:rsid w:val="74812A1D"/>
    <w:rsid w:val="748721DA"/>
    <w:rsid w:val="748B683C"/>
    <w:rsid w:val="748D25CC"/>
    <w:rsid w:val="748F3650"/>
    <w:rsid w:val="748F598F"/>
    <w:rsid w:val="74944F22"/>
    <w:rsid w:val="74A42141"/>
    <w:rsid w:val="74AA2238"/>
    <w:rsid w:val="74AC4202"/>
    <w:rsid w:val="74AF564E"/>
    <w:rsid w:val="74B53EAD"/>
    <w:rsid w:val="74C927AB"/>
    <w:rsid w:val="74CC6652"/>
    <w:rsid w:val="74D311F5"/>
    <w:rsid w:val="74E024A3"/>
    <w:rsid w:val="74E06753"/>
    <w:rsid w:val="74E12EBF"/>
    <w:rsid w:val="74E30E0F"/>
    <w:rsid w:val="74E4574A"/>
    <w:rsid w:val="74E602F9"/>
    <w:rsid w:val="74F00F06"/>
    <w:rsid w:val="750F3D15"/>
    <w:rsid w:val="75114D45"/>
    <w:rsid w:val="75294A06"/>
    <w:rsid w:val="75383019"/>
    <w:rsid w:val="753A0B8D"/>
    <w:rsid w:val="753A3AC8"/>
    <w:rsid w:val="753E3C54"/>
    <w:rsid w:val="754057E7"/>
    <w:rsid w:val="75413F2D"/>
    <w:rsid w:val="75502DDF"/>
    <w:rsid w:val="75547960"/>
    <w:rsid w:val="756E2AFA"/>
    <w:rsid w:val="75752F8A"/>
    <w:rsid w:val="7576579F"/>
    <w:rsid w:val="757C1E03"/>
    <w:rsid w:val="75885F91"/>
    <w:rsid w:val="758978A9"/>
    <w:rsid w:val="758C7301"/>
    <w:rsid w:val="758E62F2"/>
    <w:rsid w:val="7597019C"/>
    <w:rsid w:val="75994786"/>
    <w:rsid w:val="759F359B"/>
    <w:rsid w:val="75A85132"/>
    <w:rsid w:val="75B94496"/>
    <w:rsid w:val="75BA5B80"/>
    <w:rsid w:val="75BF7019"/>
    <w:rsid w:val="75C7444F"/>
    <w:rsid w:val="75CA0CA9"/>
    <w:rsid w:val="75CE17D9"/>
    <w:rsid w:val="75D05E1C"/>
    <w:rsid w:val="75D76EB9"/>
    <w:rsid w:val="75DA6DA6"/>
    <w:rsid w:val="75E476CC"/>
    <w:rsid w:val="75F220E9"/>
    <w:rsid w:val="75F759F1"/>
    <w:rsid w:val="76003BD3"/>
    <w:rsid w:val="760214F3"/>
    <w:rsid w:val="7610256F"/>
    <w:rsid w:val="76202240"/>
    <w:rsid w:val="76476C11"/>
    <w:rsid w:val="764F6C3B"/>
    <w:rsid w:val="76626D6A"/>
    <w:rsid w:val="766C59F7"/>
    <w:rsid w:val="767548AD"/>
    <w:rsid w:val="76756D36"/>
    <w:rsid w:val="767E572A"/>
    <w:rsid w:val="76837C43"/>
    <w:rsid w:val="76942D27"/>
    <w:rsid w:val="76A038F3"/>
    <w:rsid w:val="76A21A41"/>
    <w:rsid w:val="76A30471"/>
    <w:rsid w:val="76A761BB"/>
    <w:rsid w:val="76B662E2"/>
    <w:rsid w:val="76BA7066"/>
    <w:rsid w:val="76C75323"/>
    <w:rsid w:val="76CE1DE9"/>
    <w:rsid w:val="76D34545"/>
    <w:rsid w:val="76D637B8"/>
    <w:rsid w:val="76DF4949"/>
    <w:rsid w:val="76E95493"/>
    <w:rsid w:val="76EB0307"/>
    <w:rsid w:val="76F37EC6"/>
    <w:rsid w:val="77073972"/>
    <w:rsid w:val="77073D60"/>
    <w:rsid w:val="770C3AB7"/>
    <w:rsid w:val="7715608F"/>
    <w:rsid w:val="771912A4"/>
    <w:rsid w:val="77226DA0"/>
    <w:rsid w:val="77253DF8"/>
    <w:rsid w:val="772A140E"/>
    <w:rsid w:val="77437C30"/>
    <w:rsid w:val="7748013D"/>
    <w:rsid w:val="77511136"/>
    <w:rsid w:val="7754756E"/>
    <w:rsid w:val="77547F56"/>
    <w:rsid w:val="7759091C"/>
    <w:rsid w:val="775B37C1"/>
    <w:rsid w:val="7767290F"/>
    <w:rsid w:val="77732DB5"/>
    <w:rsid w:val="77754D7F"/>
    <w:rsid w:val="777C4746"/>
    <w:rsid w:val="77811976"/>
    <w:rsid w:val="7781332D"/>
    <w:rsid w:val="77815064"/>
    <w:rsid w:val="7788396F"/>
    <w:rsid w:val="77935205"/>
    <w:rsid w:val="77972F48"/>
    <w:rsid w:val="77980A54"/>
    <w:rsid w:val="779A756A"/>
    <w:rsid w:val="779B738A"/>
    <w:rsid w:val="77AA31AA"/>
    <w:rsid w:val="77B43DD9"/>
    <w:rsid w:val="77C3455C"/>
    <w:rsid w:val="77D14B0B"/>
    <w:rsid w:val="77DC08A5"/>
    <w:rsid w:val="77DD53AF"/>
    <w:rsid w:val="77EF6DDB"/>
    <w:rsid w:val="78064E23"/>
    <w:rsid w:val="780A1873"/>
    <w:rsid w:val="780F7C7B"/>
    <w:rsid w:val="781C344D"/>
    <w:rsid w:val="78305A41"/>
    <w:rsid w:val="783562BD"/>
    <w:rsid w:val="783D0CD1"/>
    <w:rsid w:val="78404C8B"/>
    <w:rsid w:val="78484242"/>
    <w:rsid w:val="78485F38"/>
    <w:rsid w:val="784E5209"/>
    <w:rsid w:val="7859644F"/>
    <w:rsid w:val="785E1CB7"/>
    <w:rsid w:val="78675868"/>
    <w:rsid w:val="78710519"/>
    <w:rsid w:val="78722E3E"/>
    <w:rsid w:val="78745037"/>
    <w:rsid w:val="787C0298"/>
    <w:rsid w:val="78812AEA"/>
    <w:rsid w:val="78875A37"/>
    <w:rsid w:val="788764D2"/>
    <w:rsid w:val="788F3C1F"/>
    <w:rsid w:val="789F10F2"/>
    <w:rsid w:val="78AF4275"/>
    <w:rsid w:val="78B0445A"/>
    <w:rsid w:val="78B2098A"/>
    <w:rsid w:val="78B475DC"/>
    <w:rsid w:val="78B55B12"/>
    <w:rsid w:val="78B813C8"/>
    <w:rsid w:val="78BC2C7C"/>
    <w:rsid w:val="78BE09F8"/>
    <w:rsid w:val="78CC6D70"/>
    <w:rsid w:val="78D211F9"/>
    <w:rsid w:val="78DA6355"/>
    <w:rsid w:val="78DB37F7"/>
    <w:rsid w:val="78DE0702"/>
    <w:rsid w:val="78E06F2C"/>
    <w:rsid w:val="78E06FC1"/>
    <w:rsid w:val="78EA52F9"/>
    <w:rsid w:val="78F023DB"/>
    <w:rsid w:val="78F12C90"/>
    <w:rsid w:val="78F504E2"/>
    <w:rsid w:val="78FC190F"/>
    <w:rsid w:val="79020AE0"/>
    <w:rsid w:val="790218A3"/>
    <w:rsid w:val="79043C71"/>
    <w:rsid w:val="79072250"/>
    <w:rsid w:val="790F0381"/>
    <w:rsid w:val="79197864"/>
    <w:rsid w:val="791F31F5"/>
    <w:rsid w:val="79260F28"/>
    <w:rsid w:val="792A3C5A"/>
    <w:rsid w:val="792E168A"/>
    <w:rsid w:val="792E7E08"/>
    <w:rsid w:val="793B5E3E"/>
    <w:rsid w:val="794008DA"/>
    <w:rsid w:val="794168F2"/>
    <w:rsid w:val="794E2014"/>
    <w:rsid w:val="794F42B4"/>
    <w:rsid w:val="795458EF"/>
    <w:rsid w:val="795659D4"/>
    <w:rsid w:val="79582B5F"/>
    <w:rsid w:val="79611A2A"/>
    <w:rsid w:val="7961502C"/>
    <w:rsid w:val="79634233"/>
    <w:rsid w:val="79676D86"/>
    <w:rsid w:val="796B21BC"/>
    <w:rsid w:val="79704018"/>
    <w:rsid w:val="79735AD6"/>
    <w:rsid w:val="79757B9B"/>
    <w:rsid w:val="797D3861"/>
    <w:rsid w:val="79817482"/>
    <w:rsid w:val="79820EAA"/>
    <w:rsid w:val="798631AD"/>
    <w:rsid w:val="7988100B"/>
    <w:rsid w:val="798963D4"/>
    <w:rsid w:val="7990695D"/>
    <w:rsid w:val="7992572C"/>
    <w:rsid w:val="799731B6"/>
    <w:rsid w:val="799C2A97"/>
    <w:rsid w:val="799D7E04"/>
    <w:rsid w:val="79A11E5C"/>
    <w:rsid w:val="79A30057"/>
    <w:rsid w:val="79A451C0"/>
    <w:rsid w:val="79A73B0B"/>
    <w:rsid w:val="79AB7ADD"/>
    <w:rsid w:val="79B3189F"/>
    <w:rsid w:val="79B51300"/>
    <w:rsid w:val="79BC6C95"/>
    <w:rsid w:val="79C341DB"/>
    <w:rsid w:val="79C52E01"/>
    <w:rsid w:val="79C53187"/>
    <w:rsid w:val="79CB19ED"/>
    <w:rsid w:val="79CD01D3"/>
    <w:rsid w:val="79D044EF"/>
    <w:rsid w:val="79D815F5"/>
    <w:rsid w:val="79DD416C"/>
    <w:rsid w:val="79DE2737"/>
    <w:rsid w:val="79E71EC0"/>
    <w:rsid w:val="79EB37BC"/>
    <w:rsid w:val="79F140A0"/>
    <w:rsid w:val="79F6769E"/>
    <w:rsid w:val="79FB400B"/>
    <w:rsid w:val="79FC2920"/>
    <w:rsid w:val="7A084C1A"/>
    <w:rsid w:val="7A24483B"/>
    <w:rsid w:val="7A2D21ED"/>
    <w:rsid w:val="7A2E10AD"/>
    <w:rsid w:val="7A361CE1"/>
    <w:rsid w:val="7A3B22B0"/>
    <w:rsid w:val="7A4153ED"/>
    <w:rsid w:val="7A4576D8"/>
    <w:rsid w:val="7A4953A0"/>
    <w:rsid w:val="7A5B0839"/>
    <w:rsid w:val="7A5E5F9F"/>
    <w:rsid w:val="7A66727B"/>
    <w:rsid w:val="7A685CDA"/>
    <w:rsid w:val="7A6F2F0E"/>
    <w:rsid w:val="7A737C7B"/>
    <w:rsid w:val="7A753CE8"/>
    <w:rsid w:val="7A764BAE"/>
    <w:rsid w:val="7A783014"/>
    <w:rsid w:val="7A896F77"/>
    <w:rsid w:val="7A8E460F"/>
    <w:rsid w:val="7A955846"/>
    <w:rsid w:val="7AA25728"/>
    <w:rsid w:val="7AA643D4"/>
    <w:rsid w:val="7AB548FC"/>
    <w:rsid w:val="7AC86F7F"/>
    <w:rsid w:val="7ACF47A6"/>
    <w:rsid w:val="7ADE0817"/>
    <w:rsid w:val="7AE72C67"/>
    <w:rsid w:val="7AEC7106"/>
    <w:rsid w:val="7AEC7428"/>
    <w:rsid w:val="7AF16E13"/>
    <w:rsid w:val="7AF4245F"/>
    <w:rsid w:val="7AF86D21"/>
    <w:rsid w:val="7B09112C"/>
    <w:rsid w:val="7B0B7DF8"/>
    <w:rsid w:val="7B130B37"/>
    <w:rsid w:val="7B1400FF"/>
    <w:rsid w:val="7B187CF7"/>
    <w:rsid w:val="7B276EBC"/>
    <w:rsid w:val="7B2A2BAF"/>
    <w:rsid w:val="7B320662"/>
    <w:rsid w:val="7B322F4D"/>
    <w:rsid w:val="7B362A78"/>
    <w:rsid w:val="7B3D7962"/>
    <w:rsid w:val="7B40008C"/>
    <w:rsid w:val="7B454A69"/>
    <w:rsid w:val="7B465ED8"/>
    <w:rsid w:val="7B490040"/>
    <w:rsid w:val="7B5632D6"/>
    <w:rsid w:val="7B58283E"/>
    <w:rsid w:val="7B592902"/>
    <w:rsid w:val="7B5F49AD"/>
    <w:rsid w:val="7B676FEA"/>
    <w:rsid w:val="7B6A2721"/>
    <w:rsid w:val="7B6D14D7"/>
    <w:rsid w:val="7B6E2211"/>
    <w:rsid w:val="7B8966B8"/>
    <w:rsid w:val="7B8B2DC3"/>
    <w:rsid w:val="7B8C1C4B"/>
    <w:rsid w:val="7B8D4DAB"/>
    <w:rsid w:val="7B9B28DB"/>
    <w:rsid w:val="7B9C4DF9"/>
    <w:rsid w:val="7B9D79CC"/>
    <w:rsid w:val="7BA43E85"/>
    <w:rsid w:val="7BA711B5"/>
    <w:rsid w:val="7BAC4441"/>
    <w:rsid w:val="7BAD433D"/>
    <w:rsid w:val="7BB045D8"/>
    <w:rsid w:val="7BBA6B87"/>
    <w:rsid w:val="7BC6204D"/>
    <w:rsid w:val="7BC8694B"/>
    <w:rsid w:val="7BC97448"/>
    <w:rsid w:val="7BCB76B9"/>
    <w:rsid w:val="7BD051CB"/>
    <w:rsid w:val="7BD08D30"/>
    <w:rsid w:val="7BDD69CE"/>
    <w:rsid w:val="7BDE429C"/>
    <w:rsid w:val="7BE24DB3"/>
    <w:rsid w:val="7BE4732A"/>
    <w:rsid w:val="7BE6217A"/>
    <w:rsid w:val="7BF25B6F"/>
    <w:rsid w:val="7BFE52D1"/>
    <w:rsid w:val="7C03337E"/>
    <w:rsid w:val="7C135AF3"/>
    <w:rsid w:val="7C155A41"/>
    <w:rsid w:val="7C170552"/>
    <w:rsid w:val="7C1904E6"/>
    <w:rsid w:val="7C2F0707"/>
    <w:rsid w:val="7C32323F"/>
    <w:rsid w:val="7C33557C"/>
    <w:rsid w:val="7C47509F"/>
    <w:rsid w:val="7C4B60AF"/>
    <w:rsid w:val="7C4F3DF1"/>
    <w:rsid w:val="7C573309"/>
    <w:rsid w:val="7C5854EE"/>
    <w:rsid w:val="7C60590E"/>
    <w:rsid w:val="7C6554E6"/>
    <w:rsid w:val="7C6B49A3"/>
    <w:rsid w:val="7C745605"/>
    <w:rsid w:val="7C776EA4"/>
    <w:rsid w:val="7C920181"/>
    <w:rsid w:val="7CA3413D"/>
    <w:rsid w:val="7CAB0EBC"/>
    <w:rsid w:val="7CB74F7C"/>
    <w:rsid w:val="7CBA4FE2"/>
    <w:rsid w:val="7CD24477"/>
    <w:rsid w:val="7CEE4BE1"/>
    <w:rsid w:val="7CF700D4"/>
    <w:rsid w:val="7CFA7594"/>
    <w:rsid w:val="7CFC5110"/>
    <w:rsid w:val="7CFC5838"/>
    <w:rsid w:val="7D006E99"/>
    <w:rsid w:val="7D06278B"/>
    <w:rsid w:val="7D073C69"/>
    <w:rsid w:val="7D097123"/>
    <w:rsid w:val="7D0A138B"/>
    <w:rsid w:val="7D0D7808"/>
    <w:rsid w:val="7D193C5D"/>
    <w:rsid w:val="7D2112CA"/>
    <w:rsid w:val="7D2124A7"/>
    <w:rsid w:val="7D262D24"/>
    <w:rsid w:val="7D266921"/>
    <w:rsid w:val="7D2C3464"/>
    <w:rsid w:val="7D2D782F"/>
    <w:rsid w:val="7D2E5BC4"/>
    <w:rsid w:val="7D3354C1"/>
    <w:rsid w:val="7D346662"/>
    <w:rsid w:val="7D3F6BBA"/>
    <w:rsid w:val="7D43322A"/>
    <w:rsid w:val="7D456FA2"/>
    <w:rsid w:val="7D5C02DF"/>
    <w:rsid w:val="7D5F5D5E"/>
    <w:rsid w:val="7D6756B3"/>
    <w:rsid w:val="7D690EEA"/>
    <w:rsid w:val="7D6969F5"/>
    <w:rsid w:val="7D702AD8"/>
    <w:rsid w:val="7D7C7E91"/>
    <w:rsid w:val="7D7E4262"/>
    <w:rsid w:val="7D8225B5"/>
    <w:rsid w:val="7D8B477D"/>
    <w:rsid w:val="7D8E563B"/>
    <w:rsid w:val="7D936E93"/>
    <w:rsid w:val="7D9677FD"/>
    <w:rsid w:val="7D9B7BC8"/>
    <w:rsid w:val="7D9D3861"/>
    <w:rsid w:val="7D9F4904"/>
    <w:rsid w:val="7DA176B4"/>
    <w:rsid w:val="7DAD45D1"/>
    <w:rsid w:val="7DB732D3"/>
    <w:rsid w:val="7DB97706"/>
    <w:rsid w:val="7DC35729"/>
    <w:rsid w:val="7DCB51B9"/>
    <w:rsid w:val="7DCC1B3F"/>
    <w:rsid w:val="7DCC759E"/>
    <w:rsid w:val="7DD345AE"/>
    <w:rsid w:val="7DE6500D"/>
    <w:rsid w:val="7DEF3980"/>
    <w:rsid w:val="7DEF575E"/>
    <w:rsid w:val="7DF1137B"/>
    <w:rsid w:val="7DF715A2"/>
    <w:rsid w:val="7DF97385"/>
    <w:rsid w:val="7E03043E"/>
    <w:rsid w:val="7E0B4B47"/>
    <w:rsid w:val="7E103490"/>
    <w:rsid w:val="7E1075B0"/>
    <w:rsid w:val="7E1448F8"/>
    <w:rsid w:val="7E1615E5"/>
    <w:rsid w:val="7E1C5525"/>
    <w:rsid w:val="7E1F0D8B"/>
    <w:rsid w:val="7E2E3EDA"/>
    <w:rsid w:val="7E300FC1"/>
    <w:rsid w:val="7E301108"/>
    <w:rsid w:val="7E3133CC"/>
    <w:rsid w:val="7E3314F0"/>
    <w:rsid w:val="7E4436FD"/>
    <w:rsid w:val="7E45318D"/>
    <w:rsid w:val="7E5711C2"/>
    <w:rsid w:val="7E5867BD"/>
    <w:rsid w:val="7E587AC0"/>
    <w:rsid w:val="7E5F2A03"/>
    <w:rsid w:val="7E625F6F"/>
    <w:rsid w:val="7E663674"/>
    <w:rsid w:val="7E694A06"/>
    <w:rsid w:val="7E6A655A"/>
    <w:rsid w:val="7E6D5AF7"/>
    <w:rsid w:val="7E734CB9"/>
    <w:rsid w:val="7E736392"/>
    <w:rsid w:val="7E7C4AC9"/>
    <w:rsid w:val="7E865AC4"/>
    <w:rsid w:val="7EA265AD"/>
    <w:rsid w:val="7EA36A23"/>
    <w:rsid w:val="7EA75DB4"/>
    <w:rsid w:val="7EAB5B8D"/>
    <w:rsid w:val="7EB667FC"/>
    <w:rsid w:val="7EB92F26"/>
    <w:rsid w:val="7EC126FF"/>
    <w:rsid w:val="7ECB34D7"/>
    <w:rsid w:val="7ECC11A8"/>
    <w:rsid w:val="7ECD2539"/>
    <w:rsid w:val="7ED43C8A"/>
    <w:rsid w:val="7EE60576"/>
    <w:rsid w:val="7EEC31D7"/>
    <w:rsid w:val="7EF127DF"/>
    <w:rsid w:val="7EF70770"/>
    <w:rsid w:val="7EF73413"/>
    <w:rsid w:val="7F057011"/>
    <w:rsid w:val="7F080287"/>
    <w:rsid w:val="7F0F15D0"/>
    <w:rsid w:val="7F144E7E"/>
    <w:rsid w:val="7F1E7AAB"/>
    <w:rsid w:val="7F2072AA"/>
    <w:rsid w:val="7F215B98"/>
    <w:rsid w:val="7F225D2F"/>
    <w:rsid w:val="7F243C51"/>
    <w:rsid w:val="7F250854"/>
    <w:rsid w:val="7F2D377B"/>
    <w:rsid w:val="7F3217A8"/>
    <w:rsid w:val="7F323556"/>
    <w:rsid w:val="7F3623F7"/>
    <w:rsid w:val="7F387126"/>
    <w:rsid w:val="7F3C6183"/>
    <w:rsid w:val="7F3D2627"/>
    <w:rsid w:val="7F4D34C0"/>
    <w:rsid w:val="7F626F61"/>
    <w:rsid w:val="7F644737"/>
    <w:rsid w:val="7F6C4CBA"/>
    <w:rsid w:val="7F6C78FE"/>
    <w:rsid w:val="7F7D6EC7"/>
    <w:rsid w:val="7F831BE8"/>
    <w:rsid w:val="7F8650BF"/>
    <w:rsid w:val="7F947FA3"/>
    <w:rsid w:val="7F9D30C5"/>
    <w:rsid w:val="7F9F122A"/>
    <w:rsid w:val="7FA31088"/>
    <w:rsid w:val="7FAB7766"/>
    <w:rsid w:val="7FB33283"/>
    <w:rsid w:val="7FB96327"/>
    <w:rsid w:val="7FBA3B60"/>
    <w:rsid w:val="7FBA5235"/>
    <w:rsid w:val="7FC40652"/>
    <w:rsid w:val="7FCF0637"/>
    <w:rsid w:val="7FDB6F59"/>
    <w:rsid w:val="7FE149A5"/>
    <w:rsid w:val="7FE264FA"/>
    <w:rsid w:val="7FE84098"/>
    <w:rsid w:val="7FEA191F"/>
    <w:rsid w:val="7FF32CE5"/>
    <w:rsid w:val="7FF54CAF"/>
    <w:rsid w:val="7FFBE8DE"/>
    <w:rsid w:val="7FFC2D0A"/>
    <w:rsid w:val="7FFF0A93"/>
    <w:rsid w:val="B2FF5CB1"/>
    <w:rsid w:val="B45E5CAE"/>
    <w:rsid w:val="B7D61F3C"/>
    <w:rsid w:val="BBED1FA1"/>
    <w:rsid w:val="CAEB85EA"/>
    <w:rsid w:val="DBBF62B3"/>
    <w:rsid w:val="E317F3BF"/>
    <w:rsid w:val="E7E2285F"/>
    <w:rsid w:val="EBCEF75B"/>
    <w:rsid w:val="EFBFEDFA"/>
    <w:rsid w:val="EFF9DD31"/>
    <w:rsid w:val="F1AD775A"/>
    <w:rsid w:val="F7CF820E"/>
    <w:rsid w:val="F7FE107D"/>
    <w:rsid w:val="FBFB875D"/>
    <w:rsid w:val="FD75E856"/>
    <w:rsid w:val="FEFE173A"/>
    <w:rsid w:val="FFBED5F4"/>
    <w:rsid w:val="FFC6DE3D"/>
    <w:rsid w:val="FFCBE7F1"/>
    <w:rsid w:val="FFFFE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iPriority="99" w:semiHidden="0" w:name="index 8"/>
    <w:lsdException w:qFormat="1" w:unhideWhenUsed="0" w:uiPriority="99" w:semiHidden="0" w:name="index 9"/>
    <w:lsdException w:qFormat="1" w:uiPriority="39" w:semiHidden="0" w:name="toc 1"/>
    <w:lsdException w:qFormat="1" w:uiPriority="3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iPriority="99" w:semiHidden="0" w:name="Body Text 2"/>
    <w:lsdException w:qFormat="1" w:unhideWhenUsed="0" w:uiPriority="99" w:semiHidden="0" w:name="Body Text 3"/>
    <w:lsdException w:qFormat="1"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iPriority="99" w:name="HTML Sample"/>
    <w:lsdException w:qFormat="1" w:unhideWhenUsed="0"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5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spacing w:beforeLines="10" w:afterLines="10" w:line="360" w:lineRule="auto"/>
      <w:jc w:val="both"/>
    </w:pPr>
    <w:rPr>
      <w:rFonts w:hint="eastAsia" w:ascii="Times New Roman" w:hAnsi="Times New Roman" w:eastAsia="宋体" w:cs="Times New Roman"/>
      <w:kern w:val="2"/>
      <w:sz w:val="24"/>
      <w:lang w:val="en-US" w:eastAsia="zh-CN" w:bidi="ar-SA"/>
    </w:rPr>
  </w:style>
  <w:style w:type="paragraph" w:styleId="4">
    <w:name w:val="heading 1"/>
    <w:basedOn w:val="1"/>
    <w:next w:val="1"/>
    <w:link w:val="62"/>
    <w:qFormat/>
    <w:uiPriority w:val="99"/>
    <w:pPr>
      <w:keepNext/>
      <w:widowControl/>
      <w:autoSpaceDE w:val="0"/>
      <w:autoSpaceDN w:val="0"/>
      <w:adjustRightInd w:val="0"/>
      <w:spacing w:beforeLines="100" w:afterLines="50" w:line="480" w:lineRule="exact"/>
      <w:jc w:val="left"/>
      <w:outlineLvl w:val="0"/>
    </w:pPr>
    <w:rPr>
      <w:rFonts w:ascii="宋体" w:hAnsi="CG Times"/>
      <w:b/>
      <w:kern w:val="0"/>
      <w:sz w:val="20"/>
    </w:rPr>
  </w:style>
  <w:style w:type="paragraph" w:styleId="5">
    <w:name w:val="heading 2"/>
    <w:basedOn w:val="1"/>
    <w:next w:val="1"/>
    <w:link w:val="68"/>
    <w:qFormat/>
    <w:uiPriority w:val="99"/>
    <w:pPr>
      <w:widowControl/>
      <w:numPr>
        <w:ilvl w:val="1"/>
        <w:numId w:val="1"/>
      </w:numPr>
      <w:autoSpaceDE w:val="0"/>
      <w:autoSpaceDN w:val="0"/>
      <w:adjustRightInd w:val="0"/>
      <w:spacing w:beforeLines="50"/>
      <w:jc w:val="left"/>
      <w:outlineLvl w:val="1"/>
    </w:pPr>
    <w:rPr>
      <w:rFonts w:hint="default" w:ascii="宋体" w:hAnsi="CG Times"/>
    </w:rPr>
  </w:style>
  <w:style w:type="paragraph" w:styleId="6">
    <w:name w:val="heading 3"/>
    <w:basedOn w:val="1"/>
    <w:next w:val="1"/>
    <w:link w:val="61"/>
    <w:qFormat/>
    <w:uiPriority w:val="0"/>
    <w:pPr>
      <w:widowControl/>
      <w:numPr>
        <w:ilvl w:val="2"/>
        <w:numId w:val="1"/>
      </w:numPr>
      <w:tabs>
        <w:tab w:val="left" w:pos="0"/>
        <w:tab w:val="left" w:pos="1316"/>
      </w:tabs>
      <w:autoSpaceDE w:val="0"/>
      <w:autoSpaceDN w:val="0"/>
      <w:adjustRightInd w:val="0"/>
      <w:spacing w:beforeLines="50" w:afterLines="50" w:line="480" w:lineRule="exact"/>
      <w:outlineLvl w:val="2"/>
    </w:pPr>
    <w:rPr>
      <w:rFonts w:hint="default" w:ascii="CG Times" w:hAnsi="CG Times"/>
      <w:color w:val="000000"/>
    </w:rPr>
  </w:style>
  <w:style w:type="paragraph" w:styleId="7">
    <w:name w:val="heading 4"/>
    <w:basedOn w:val="1"/>
    <w:next w:val="1"/>
    <w:link w:val="69"/>
    <w:qFormat/>
    <w:uiPriority w:val="99"/>
    <w:pPr>
      <w:widowControl/>
      <w:tabs>
        <w:tab w:val="left" w:pos="695"/>
      </w:tabs>
      <w:autoSpaceDE w:val="0"/>
      <w:autoSpaceDN w:val="0"/>
      <w:adjustRightInd w:val="0"/>
      <w:spacing w:before="31" w:after="31"/>
      <w:outlineLvl w:val="3"/>
    </w:pPr>
    <w:rPr>
      <w:rFonts w:ascii="CG Times" w:hAnsi="CG Times"/>
      <w:color w:val="000000"/>
      <w:kern w:val="0"/>
      <w:sz w:val="20"/>
    </w:rPr>
  </w:style>
  <w:style w:type="paragraph" w:styleId="8">
    <w:name w:val="heading 5"/>
    <w:basedOn w:val="1"/>
    <w:next w:val="1"/>
    <w:link w:val="59"/>
    <w:qFormat/>
    <w:uiPriority w:val="99"/>
    <w:pPr>
      <w:widowControl/>
      <w:tabs>
        <w:tab w:val="left" w:pos="839"/>
      </w:tabs>
      <w:autoSpaceDE w:val="0"/>
      <w:autoSpaceDN w:val="0"/>
      <w:adjustRightInd w:val="0"/>
      <w:spacing w:beforeLines="50" w:afterLines="50" w:line="480" w:lineRule="exact"/>
      <w:ind w:left="839" w:hanging="1008"/>
      <w:outlineLvl w:val="4"/>
    </w:pPr>
    <w:rPr>
      <w:rFonts w:hint="default" w:ascii="CG Times" w:hAnsi="CG Times"/>
    </w:rPr>
  </w:style>
  <w:style w:type="paragraph" w:styleId="9">
    <w:name w:val="heading 6"/>
    <w:basedOn w:val="1"/>
    <w:next w:val="1"/>
    <w:link w:val="60"/>
    <w:qFormat/>
    <w:uiPriority w:val="99"/>
    <w:pPr>
      <w:widowControl/>
      <w:autoSpaceDE w:val="0"/>
      <w:autoSpaceDN w:val="0"/>
      <w:adjustRightInd w:val="0"/>
      <w:spacing w:before="240" w:after="60" w:line="480" w:lineRule="exact"/>
      <w:ind w:right="389"/>
      <w:outlineLvl w:val="5"/>
    </w:pPr>
    <w:rPr>
      <w:rFonts w:ascii="CG Times" w:hAnsi="CG Times"/>
      <w:b/>
      <w:kern w:val="0"/>
      <w:sz w:val="20"/>
    </w:rPr>
  </w:style>
  <w:style w:type="paragraph" w:styleId="10">
    <w:name w:val="heading 7"/>
    <w:basedOn w:val="1"/>
    <w:next w:val="1"/>
    <w:link w:val="70"/>
    <w:qFormat/>
    <w:uiPriority w:val="99"/>
    <w:pPr>
      <w:widowControl/>
      <w:tabs>
        <w:tab w:val="left" w:pos="1127"/>
      </w:tabs>
      <w:autoSpaceDE w:val="0"/>
      <w:autoSpaceDN w:val="0"/>
      <w:adjustRightInd w:val="0"/>
      <w:spacing w:before="240" w:after="60" w:line="480" w:lineRule="exact"/>
      <w:ind w:left="1127" w:right="389" w:hanging="1296"/>
      <w:outlineLvl w:val="6"/>
    </w:pPr>
    <w:rPr>
      <w:rFonts w:hint="default" w:ascii="CG Times" w:hAnsi="CG Times"/>
    </w:rPr>
  </w:style>
  <w:style w:type="paragraph" w:styleId="11">
    <w:name w:val="heading 8"/>
    <w:basedOn w:val="1"/>
    <w:next w:val="1"/>
    <w:link w:val="71"/>
    <w:qFormat/>
    <w:uiPriority w:val="99"/>
    <w:pPr>
      <w:widowControl/>
      <w:tabs>
        <w:tab w:val="left" w:pos="1271"/>
      </w:tabs>
      <w:autoSpaceDE w:val="0"/>
      <w:autoSpaceDN w:val="0"/>
      <w:adjustRightInd w:val="0"/>
      <w:spacing w:before="240" w:after="60" w:line="480" w:lineRule="exact"/>
      <w:ind w:left="1271" w:right="389" w:hanging="1440"/>
      <w:outlineLvl w:val="7"/>
    </w:pPr>
    <w:rPr>
      <w:rFonts w:hint="default" w:ascii="CG Times" w:hAnsi="CG Times"/>
      <w:i/>
    </w:rPr>
  </w:style>
  <w:style w:type="paragraph" w:styleId="12">
    <w:name w:val="heading 9"/>
    <w:basedOn w:val="1"/>
    <w:next w:val="1"/>
    <w:link w:val="72"/>
    <w:qFormat/>
    <w:uiPriority w:val="99"/>
    <w:pPr>
      <w:widowControl/>
      <w:tabs>
        <w:tab w:val="left" w:pos="1415"/>
      </w:tabs>
      <w:autoSpaceDE w:val="0"/>
      <w:autoSpaceDN w:val="0"/>
      <w:adjustRightInd w:val="0"/>
      <w:spacing w:before="240" w:after="60" w:line="480" w:lineRule="exact"/>
      <w:ind w:left="1415" w:right="389" w:hanging="1584"/>
      <w:outlineLvl w:val="8"/>
    </w:pPr>
    <w:rPr>
      <w:rFonts w:hint="default" w:ascii="Arial" w:hAnsi="Arial"/>
      <w:sz w:val="22"/>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unhideWhenUsed/>
    <w:qFormat/>
    <w:uiPriority w:val="0"/>
    <w:pPr>
      <w:spacing w:before="24" w:after="24"/>
      <w:ind w:left="-107" w:leftChars="-175" w:right="18" w:hanging="313" w:hangingChars="87"/>
      <w:jc w:val="center"/>
    </w:pPr>
    <w:rPr>
      <w:rFonts w:ascii="CG Times" w:hAnsi="CG Times" w:eastAsia="黑体"/>
      <w:sz w:val="36"/>
    </w:rPr>
  </w:style>
  <w:style w:type="paragraph" w:styleId="3">
    <w:name w:val="Plain Text"/>
    <w:basedOn w:val="1"/>
    <w:link w:val="80"/>
    <w:unhideWhenUsed/>
    <w:qFormat/>
    <w:uiPriority w:val="99"/>
    <w:pPr>
      <w:spacing w:beforeLines="0" w:afterLines="50" w:line="312" w:lineRule="auto"/>
      <w:ind w:firstLine="200" w:firstLineChars="200"/>
    </w:pPr>
    <w:rPr>
      <w:rFonts w:ascii="宋体" w:hAnsi="Courier New"/>
      <w:kern w:val="0"/>
      <w:sz w:val="21"/>
    </w:rPr>
  </w:style>
  <w:style w:type="paragraph" w:styleId="13">
    <w:name w:val="toc 7"/>
    <w:basedOn w:val="1"/>
    <w:next w:val="1"/>
    <w:unhideWhenUsed/>
    <w:qFormat/>
    <w:uiPriority w:val="99"/>
    <w:pPr>
      <w:ind w:left="1440"/>
      <w:jc w:val="left"/>
    </w:pPr>
  </w:style>
  <w:style w:type="paragraph" w:styleId="14">
    <w:name w:val="index 8"/>
    <w:basedOn w:val="1"/>
    <w:next w:val="1"/>
    <w:unhideWhenUsed/>
    <w:qFormat/>
    <w:uiPriority w:val="99"/>
  </w:style>
  <w:style w:type="paragraph" w:styleId="15">
    <w:name w:val="List Number"/>
    <w:basedOn w:val="1"/>
    <w:unhideWhenUsed/>
    <w:qFormat/>
    <w:uiPriority w:val="99"/>
    <w:pPr>
      <w:widowControl/>
      <w:spacing w:beforeLines="0" w:afterLines="0" w:line="240" w:lineRule="auto"/>
      <w:ind w:left="5812" w:hanging="200" w:hangingChars="200"/>
      <w:jc w:val="left"/>
    </w:pPr>
    <w:rPr>
      <w:rFonts w:ascii="Calibri" w:hAnsi="Calibri"/>
    </w:rPr>
  </w:style>
  <w:style w:type="paragraph" w:styleId="16">
    <w:name w:val="Normal Indent"/>
    <w:basedOn w:val="1"/>
    <w:next w:val="1"/>
    <w:link w:val="73"/>
    <w:unhideWhenUsed/>
    <w:qFormat/>
    <w:uiPriority w:val="0"/>
    <w:pPr>
      <w:ind w:firstLine="420" w:firstLineChars="200"/>
    </w:pPr>
    <w:rPr>
      <w:rFonts w:hint="default"/>
    </w:rPr>
  </w:style>
  <w:style w:type="paragraph" w:styleId="17">
    <w:name w:val="List Bullet"/>
    <w:basedOn w:val="1"/>
    <w:qFormat/>
    <w:uiPriority w:val="99"/>
    <w:pPr>
      <w:numPr>
        <w:ilvl w:val="0"/>
        <w:numId w:val="2"/>
      </w:numPr>
    </w:pPr>
  </w:style>
  <w:style w:type="paragraph" w:styleId="18">
    <w:name w:val="Document Map"/>
    <w:basedOn w:val="1"/>
    <w:link w:val="74"/>
    <w:unhideWhenUsed/>
    <w:qFormat/>
    <w:uiPriority w:val="99"/>
    <w:pPr>
      <w:shd w:val="clear" w:color="auto" w:fill="000080"/>
    </w:pPr>
    <w:rPr>
      <w:kern w:val="0"/>
    </w:rPr>
  </w:style>
  <w:style w:type="paragraph" w:styleId="19">
    <w:name w:val="annotation text"/>
    <w:basedOn w:val="1"/>
    <w:link w:val="75"/>
    <w:unhideWhenUsed/>
    <w:qFormat/>
    <w:uiPriority w:val="99"/>
    <w:pPr>
      <w:widowControl/>
      <w:autoSpaceDE w:val="0"/>
      <w:autoSpaceDN w:val="0"/>
      <w:adjustRightInd w:val="0"/>
      <w:spacing w:before="120" w:after="120" w:line="480" w:lineRule="exact"/>
      <w:ind w:left="1610" w:right="-12" w:firstLine="14"/>
      <w:jc w:val="left"/>
    </w:pPr>
    <w:rPr>
      <w:rFonts w:ascii="宋体" w:hAnsi="CG Times"/>
      <w:kern w:val="0"/>
      <w:sz w:val="20"/>
    </w:rPr>
  </w:style>
  <w:style w:type="paragraph" w:styleId="20">
    <w:name w:val="Body Text 3"/>
    <w:basedOn w:val="1"/>
    <w:link w:val="76"/>
    <w:qFormat/>
    <w:uiPriority w:val="99"/>
    <w:pPr>
      <w:spacing w:after="120"/>
    </w:pPr>
    <w:rPr>
      <w:sz w:val="16"/>
      <w:szCs w:val="16"/>
    </w:rPr>
  </w:style>
  <w:style w:type="paragraph" w:styleId="21">
    <w:name w:val="Body Text"/>
    <w:basedOn w:val="1"/>
    <w:next w:val="22"/>
    <w:link w:val="77"/>
    <w:unhideWhenUsed/>
    <w:qFormat/>
    <w:uiPriority w:val="99"/>
    <w:pPr>
      <w:spacing w:beforeLines="0" w:afterLines="0" w:line="240" w:lineRule="auto"/>
    </w:pPr>
    <w:rPr>
      <w:kern w:val="0"/>
    </w:rPr>
  </w:style>
  <w:style w:type="paragraph" w:customStyle="1" w:styleId="22">
    <w:name w:val="标题 2 Char1"/>
    <w:basedOn w:val="1"/>
    <w:qFormat/>
    <w:uiPriority w:val="0"/>
  </w:style>
  <w:style w:type="paragraph" w:styleId="23">
    <w:name w:val="Body Text Indent"/>
    <w:basedOn w:val="1"/>
    <w:next w:val="1"/>
    <w:link w:val="79"/>
    <w:unhideWhenUsed/>
    <w:qFormat/>
    <w:uiPriority w:val="99"/>
    <w:pPr>
      <w:spacing w:before="120" w:after="120"/>
      <w:ind w:left="2205"/>
    </w:pPr>
    <w:rPr>
      <w:rFonts w:ascii="宋体"/>
      <w:kern w:val="0"/>
      <w:sz w:val="20"/>
    </w:rPr>
  </w:style>
  <w:style w:type="paragraph" w:styleId="24">
    <w:name w:val="toc 5"/>
    <w:basedOn w:val="1"/>
    <w:next w:val="1"/>
    <w:unhideWhenUsed/>
    <w:qFormat/>
    <w:uiPriority w:val="99"/>
    <w:pPr>
      <w:ind w:left="960"/>
      <w:jc w:val="left"/>
    </w:pPr>
  </w:style>
  <w:style w:type="paragraph" w:styleId="25">
    <w:name w:val="toc 3"/>
    <w:basedOn w:val="1"/>
    <w:next w:val="1"/>
    <w:unhideWhenUsed/>
    <w:qFormat/>
    <w:uiPriority w:val="99"/>
    <w:pPr>
      <w:ind w:left="480"/>
      <w:jc w:val="left"/>
    </w:pPr>
    <w:rPr>
      <w:i/>
    </w:rPr>
  </w:style>
  <w:style w:type="paragraph" w:styleId="26">
    <w:name w:val="toc 8"/>
    <w:basedOn w:val="1"/>
    <w:next w:val="1"/>
    <w:unhideWhenUsed/>
    <w:qFormat/>
    <w:uiPriority w:val="99"/>
    <w:pPr>
      <w:ind w:left="1680"/>
      <w:jc w:val="left"/>
    </w:pPr>
  </w:style>
  <w:style w:type="paragraph" w:styleId="27">
    <w:name w:val="Date"/>
    <w:basedOn w:val="1"/>
    <w:next w:val="1"/>
    <w:link w:val="81"/>
    <w:unhideWhenUsed/>
    <w:qFormat/>
    <w:uiPriority w:val="99"/>
    <w:pPr>
      <w:widowControl/>
      <w:autoSpaceDE w:val="0"/>
      <w:autoSpaceDN w:val="0"/>
      <w:adjustRightInd w:val="0"/>
      <w:spacing w:before="120" w:after="120" w:line="480" w:lineRule="exact"/>
      <w:ind w:left="1610" w:right="-12" w:firstLine="14"/>
    </w:pPr>
    <w:rPr>
      <w:rFonts w:hint="default" w:ascii="CG Times"/>
      <w:kern w:val="0"/>
    </w:rPr>
  </w:style>
  <w:style w:type="paragraph" w:styleId="28">
    <w:name w:val="Body Text Indent 2"/>
    <w:basedOn w:val="1"/>
    <w:link w:val="67"/>
    <w:unhideWhenUsed/>
    <w:qFormat/>
    <w:uiPriority w:val="99"/>
    <w:pPr>
      <w:ind w:left="720"/>
    </w:pPr>
    <w:rPr>
      <w:kern w:val="0"/>
      <w:sz w:val="20"/>
      <w:lang w:val="en-GB"/>
    </w:rPr>
  </w:style>
  <w:style w:type="paragraph" w:styleId="29">
    <w:name w:val="Balloon Text"/>
    <w:basedOn w:val="1"/>
    <w:link w:val="82"/>
    <w:unhideWhenUsed/>
    <w:qFormat/>
    <w:uiPriority w:val="99"/>
    <w:rPr>
      <w:kern w:val="0"/>
      <w:sz w:val="18"/>
    </w:rPr>
  </w:style>
  <w:style w:type="paragraph" w:styleId="30">
    <w:name w:val="footer"/>
    <w:basedOn w:val="1"/>
    <w:next w:val="21"/>
    <w:link w:val="83"/>
    <w:unhideWhenUsed/>
    <w:qFormat/>
    <w:uiPriority w:val="99"/>
    <w:pPr>
      <w:tabs>
        <w:tab w:val="center" w:pos="4153"/>
        <w:tab w:val="right" w:pos="8306"/>
      </w:tabs>
      <w:snapToGrid w:val="0"/>
      <w:jc w:val="left"/>
    </w:pPr>
    <w:rPr>
      <w:rFonts w:hint="default"/>
      <w:kern w:val="0"/>
      <w:sz w:val="18"/>
    </w:rPr>
  </w:style>
  <w:style w:type="paragraph" w:styleId="31">
    <w:name w:val="header"/>
    <w:basedOn w:val="1"/>
    <w:next w:val="1"/>
    <w:link w:val="84"/>
    <w:unhideWhenUsed/>
    <w:qFormat/>
    <w:uiPriority w:val="99"/>
    <w:pPr>
      <w:pBdr>
        <w:bottom w:val="single" w:color="auto" w:sz="6" w:space="1"/>
      </w:pBdr>
      <w:tabs>
        <w:tab w:val="center" w:pos="4153"/>
        <w:tab w:val="right" w:pos="8306"/>
      </w:tabs>
      <w:snapToGrid w:val="0"/>
      <w:jc w:val="center"/>
    </w:pPr>
    <w:rPr>
      <w:rFonts w:hint="default"/>
      <w:kern w:val="0"/>
      <w:sz w:val="18"/>
    </w:rPr>
  </w:style>
  <w:style w:type="paragraph" w:styleId="32">
    <w:name w:val="toc 1"/>
    <w:basedOn w:val="1"/>
    <w:next w:val="1"/>
    <w:unhideWhenUsed/>
    <w:qFormat/>
    <w:uiPriority w:val="39"/>
    <w:pPr>
      <w:tabs>
        <w:tab w:val="right" w:leader="dot" w:pos="8302"/>
      </w:tabs>
      <w:spacing w:beforeLines="50" w:afterLines="50"/>
      <w:jc w:val="left"/>
    </w:pPr>
    <w:rPr>
      <w:b/>
      <w:caps/>
    </w:rPr>
  </w:style>
  <w:style w:type="paragraph" w:styleId="33">
    <w:name w:val="toc 4"/>
    <w:basedOn w:val="1"/>
    <w:next w:val="1"/>
    <w:unhideWhenUsed/>
    <w:qFormat/>
    <w:uiPriority w:val="99"/>
    <w:pPr>
      <w:ind w:left="720"/>
      <w:jc w:val="left"/>
    </w:pPr>
  </w:style>
  <w:style w:type="paragraph" w:styleId="34">
    <w:name w:val="Subtitle"/>
    <w:basedOn w:val="1"/>
    <w:next w:val="1"/>
    <w:link w:val="95"/>
    <w:qFormat/>
    <w:uiPriority w:val="99"/>
    <w:pPr>
      <w:spacing w:before="240" w:after="60" w:line="312" w:lineRule="auto"/>
      <w:jc w:val="center"/>
      <w:outlineLvl w:val="1"/>
    </w:pPr>
    <w:rPr>
      <w:rFonts w:hint="default" w:ascii="Cambria"/>
      <w:b/>
      <w:kern w:val="28"/>
      <w:sz w:val="32"/>
    </w:rPr>
  </w:style>
  <w:style w:type="paragraph" w:styleId="35">
    <w:name w:val="footnote text"/>
    <w:basedOn w:val="1"/>
    <w:link w:val="86"/>
    <w:unhideWhenUsed/>
    <w:qFormat/>
    <w:uiPriority w:val="99"/>
    <w:pPr>
      <w:widowControl/>
      <w:tabs>
        <w:tab w:val="left" w:pos="1440"/>
      </w:tabs>
      <w:autoSpaceDE w:val="0"/>
      <w:autoSpaceDN w:val="0"/>
      <w:adjustRightInd w:val="0"/>
      <w:spacing w:beforeLines="0" w:afterLines="0" w:line="480" w:lineRule="exact"/>
      <w:ind w:left="1440" w:right="389" w:hanging="720"/>
      <w:jc w:val="left"/>
    </w:pPr>
    <w:rPr>
      <w:rFonts w:ascii="CG Times" w:hAnsi="CG Times"/>
      <w:kern w:val="0"/>
      <w:sz w:val="20"/>
    </w:rPr>
  </w:style>
  <w:style w:type="paragraph" w:styleId="36">
    <w:name w:val="toc 6"/>
    <w:basedOn w:val="1"/>
    <w:next w:val="1"/>
    <w:unhideWhenUsed/>
    <w:qFormat/>
    <w:uiPriority w:val="99"/>
    <w:pPr>
      <w:ind w:left="1200"/>
      <w:jc w:val="left"/>
    </w:pPr>
  </w:style>
  <w:style w:type="paragraph" w:styleId="37">
    <w:name w:val="Body Text Indent 3"/>
    <w:basedOn w:val="1"/>
    <w:link w:val="87"/>
    <w:unhideWhenUsed/>
    <w:qFormat/>
    <w:uiPriority w:val="99"/>
    <w:pPr>
      <w:spacing w:before="31" w:after="31"/>
      <w:ind w:left="900" w:hanging="60"/>
    </w:pPr>
    <w:rPr>
      <w:kern w:val="0"/>
    </w:rPr>
  </w:style>
  <w:style w:type="paragraph" w:styleId="38">
    <w:name w:val="toc 2"/>
    <w:basedOn w:val="1"/>
    <w:next w:val="1"/>
    <w:unhideWhenUsed/>
    <w:qFormat/>
    <w:uiPriority w:val="39"/>
    <w:pPr>
      <w:tabs>
        <w:tab w:val="left" w:pos="720"/>
        <w:tab w:val="right" w:leader="dot" w:pos="8302"/>
      </w:tabs>
      <w:spacing w:beforeLines="50" w:afterLines="50"/>
      <w:ind w:left="238"/>
      <w:jc w:val="left"/>
    </w:pPr>
    <w:rPr>
      <w:smallCaps/>
    </w:rPr>
  </w:style>
  <w:style w:type="paragraph" w:styleId="39">
    <w:name w:val="toc 9"/>
    <w:basedOn w:val="1"/>
    <w:next w:val="1"/>
    <w:unhideWhenUsed/>
    <w:qFormat/>
    <w:uiPriority w:val="99"/>
    <w:pPr>
      <w:ind w:left="1920"/>
      <w:jc w:val="left"/>
    </w:pPr>
  </w:style>
  <w:style w:type="paragraph" w:styleId="40">
    <w:name w:val="Body Text 2"/>
    <w:basedOn w:val="1"/>
    <w:link w:val="78"/>
    <w:unhideWhenUsed/>
    <w:qFormat/>
    <w:uiPriority w:val="99"/>
    <w:pPr>
      <w:widowControl/>
      <w:spacing w:before="360" w:line="336" w:lineRule="auto"/>
      <w:jc w:val="left"/>
    </w:pPr>
    <w:rPr>
      <w:rFonts w:eastAsia="黑体"/>
      <w:kern w:val="0"/>
      <w:sz w:val="20"/>
      <w:lang w:val="en-GB"/>
    </w:rPr>
  </w:style>
  <w:style w:type="paragraph" w:styleId="41">
    <w:name w:val="Normal (Web)"/>
    <w:basedOn w:val="1"/>
    <w:link w:val="88"/>
    <w:qFormat/>
    <w:uiPriority w:val="0"/>
    <w:pPr>
      <w:widowControl/>
      <w:spacing w:beforeLines="0" w:beforeAutospacing="1" w:afterLines="0" w:afterAutospacing="1" w:line="240" w:lineRule="auto"/>
      <w:jc w:val="left"/>
    </w:pPr>
    <w:rPr>
      <w:rFonts w:hint="default" w:ascii="宋体" w:hAnsi="宋体"/>
      <w:kern w:val="0"/>
      <w:szCs w:val="24"/>
    </w:rPr>
  </w:style>
  <w:style w:type="paragraph" w:styleId="42">
    <w:name w:val="Title"/>
    <w:basedOn w:val="1"/>
    <w:next w:val="1"/>
    <w:link w:val="89"/>
    <w:qFormat/>
    <w:uiPriority w:val="0"/>
    <w:pPr>
      <w:tabs>
        <w:tab w:val="left" w:pos="1080"/>
      </w:tabs>
      <w:spacing w:before="240" w:after="60"/>
      <w:ind w:left="720" w:hanging="720"/>
      <w:jc w:val="center"/>
      <w:outlineLvl w:val="0"/>
    </w:pPr>
    <w:rPr>
      <w:rFonts w:hint="default" w:ascii="Arial" w:hAnsi="Arial"/>
      <w:b/>
      <w:sz w:val="28"/>
    </w:rPr>
  </w:style>
  <w:style w:type="paragraph" w:styleId="43">
    <w:name w:val="annotation subject"/>
    <w:basedOn w:val="19"/>
    <w:next w:val="19"/>
    <w:link w:val="90"/>
    <w:unhideWhenUsed/>
    <w:qFormat/>
    <w:uiPriority w:val="99"/>
    <w:pPr>
      <w:widowControl w:val="0"/>
      <w:autoSpaceDE/>
      <w:autoSpaceDN/>
      <w:adjustRightInd/>
      <w:spacing w:before="10" w:after="10" w:line="360" w:lineRule="auto"/>
      <w:ind w:left="0" w:right="0" w:firstLine="0"/>
      <w:jc w:val="both"/>
    </w:pPr>
    <w:rPr>
      <w:rFonts w:ascii="Times New Roman" w:hAnsi="Times New Roman"/>
      <w:b/>
    </w:rPr>
  </w:style>
  <w:style w:type="paragraph" w:styleId="44">
    <w:name w:val="Body Text First Indent"/>
    <w:basedOn w:val="21"/>
    <w:next w:val="45"/>
    <w:qFormat/>
    <w:uiPriority w:val="0"/>
    <w:pPr>
      <w:ind w:firstLine="420" w:firstLineChars="100"/>
    </w:pPr>
    <w:rPr>
      <w:sz w:val="18"/>
      <w:szCs w:val="18"/>
    </w:rPr>
  </w:style>
  <w:style w:type="paragraph" w:styleId="45">
    <w:name w:val="Body Text First Indent 2"/>
    <w:basedOn w:val="23"/>
    <w:next w:val="44"/>
    <w:qFormat/>
    <w:uiPriority w:val="0"/>
    <w:pPr>
      <w:ind w:firstLine="420" w:firstLineChars="200"/>
    </w:p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rFonts w:hint="default"/>
      <w:b/>
      <w:bCs/>
      <w:sz w:val="24"/>
    </w:rPr>
  </w:style>
  <w:style w:type="character" w:styleId="50">
    <w:name w:val="page number"/>
    <w:basedOn w:val="48"/>
    <w:unhideWhenUsed/>
    <w:qFormat/>
    <w:uiPriority w:val="99"/>
    <w:rPr>
      <w:rFonts w:hint="default" w:ascii="Times New Roman" w:hAnsi="Times New Roman" w:eastAsia="宋体"/>
      <w:sz w:val="24"/>
    </w:rPr>
  </w:style>
  <w:style w:type="character" w:styleId="51">
    <w:name w:val="FollowedHyperlink"/>
    <w:unhideWhenUsed/>
    <w:qFormat/>
    <w:uiPriority w:val="99"/>
    <w:rPr>
      <w:rFonts w:hint="default" w:ascii="Times New Roman" w:hAnsi="Times New Roman" w:eastAsia="宋体"/>
      <w:color w:val="auto"/>
      <w:sz w:val="24"/>
      <w:u w:val="single"/>
    </w:rPr>
  </w:style>
  <w:style w:type="character" w:styleId="52">
    <w:name w:val="Emphasis"/>
    <w:qFormat/>
    <w:uiPriority w:val="0"/>
    <w:rPr>
      <w:i/>
      <w:iCs/>
    </w:rPr>
  </w:style>
  <w:style w:type="character" w:styleId="53">
    <w:name w:val="HTML Definition"/>
    <w:basedOn w:val="48"/>
    <w:qFormat/>
    <w:uiPriority w:val="99"/>
    <w:rPr>
      <w:i/>
      <w:iCs/>
    </w:rPr>
  </w:style>
  <w:style w:type="character" w:styleId="54">
    <w:name w:val="Hyperlink"/>
    <w:basedOn w:val="48"/>
    <w:unhideWhenUsed/>
    <w:qFormat/>
    <w:uiPriority w:val="99"/>
    <w:rPr>
      <w:rFonts w:hint="default" w:ascii="Times New Roman" w:hAnsi="Times New Roman" w:eastAsia="宋体"/>
      <w:color w:val="0000FF"/>
      <w:sz w:val="24"/>
      <w:u w:val="single"/>
    </w:rPr>
  </w:style>
  <w:style w:type="character" w:styleId="55">
    <w:name w:val="HTML Code"/>
    <w:basedOn w:val="48"/>
    <w:qFormat/>
    <w:uiPriority w:val="99"/>
    <w:rPr>
      <w:rFonts w:hint="default" w:ascii="Consolas" w:hAnsi="Consolas" w:eastAsia="Consolas" w:cs="Consolas"/>
      <w:vanish/>
      <w:color w:val="C7254E"/>
      <w:sz w:val="21"/>
      <w:szCs w:val="21"/>
      <w:shd w:val="clear" w:color="auto" w:fill="F9F2F4"/>
    </w:rPr>
  </w:style>
  <w:style w:type="character" w:styleId="56">
    <w:name w:val="annotation reference"/>
    <w:unhideWhenUsed/>
    <w:qFormat/>
    <w:uiPriority w:val="99"/>
    <w:rPr>
      <w:rFonts w:hint="default" w:ascii="Times New Roman" w:hAnsi="Times New Roman" w:eastAsia="宋体"/>
      <w:sz w:val="21"/>
    </w:rPr>
  </w:style>
  <w:style w:type="character" w:styleId="57">
    <w:name w:val="HTML Keyboard"/>
    <w:basedOn w:val="48"/>
    <w:qFormat/>
    <w:uiPriority w:val="99"/>
    <w:rPr>
      <w:rFonts w:hint="default" w:ascii="Consolas" w:hAnsi="Consolas" w:eastAsia="Consolas" w:cs="Consolas"/>
      <w:color w:val="FFFFFF"/>
      <w:sz w:val="21"/>
      <w:szCs w:val="21"/>
      <w:shd w:val="clear" w:color="auto" w:fill="333333"/>
    </w:rPr>
  </w:style>
  <w:style w:type="character" w:styleId="58">
    <w:name w:val="HTML Sample"/>
    <w:basedOn w:val="48"/>
    <w:semiHidden/>
    <w:unhideWhenUsed/>
    <w:qFormat/>
    <w:uiPriority w:val="99"/>
    <w:rPr>
      <w:rFonts w:ascii="Consolas" w:hAnsi="Consolas" w:eastAsia="Consolas" w:cs="Consolas"/>
      <w:sz w:val="21"/>
      <w:szCs w:val="21"/>
    </w:rPr>
  </w:style>
  <w:style w:type="character" w:customStyle="1" w:styleId="59">
    <w:name w:val="标题 5 Char"/>
    <w:link w:val="8"/>
    <w:unhideWhenUsed/>
    <w:qFormat/>
    <w:locked/>
    <w:uiPriority w:val="99"/>
    <w:rPr>
      <w:rFonts w:ascii="CG Times" w:hAnsi="CG Times"/>
      <w:kern w:val="2"/>
      <w:sz w:val="24"/>
    </w:rPr>
  </w:style>
  <w:style w:type="character" w:customStyle="1" w:styleId="60">
    <w:name w:val="标题 6 Char"/>
    <w:link w:val="9"/>
    <w:unhideWhenUsed/>
    <w:qFormat/>
    <w:locked/>
    <w:uiPriority w:val="99"/>
    <w:rPr>
      <w:rFonts w:hint="eastAsia" w:ascii="CG Times" w:hAnsi="CG Times" w:eastAsia="宋体"/>
      <w:b/>
      <w:sz w:val="20"/>
    </w:rPr>
  </w:style>
  <w:style w:type="character" w:customStyle="1" w:styleId="61">
    <w:name w:val="标题 3 Char"/>
    <w:link w:val="6"/>
    <w:unhideWhenUsed/>
    <w:qFormat/>
    <w:locked/>
    <w:uiPriority w:val="0"/>
    <w:rPr>
      <w:rFonts w:ascii="CG Times" w:hAnsi="CG Times"/>
      <w:color w:val="000000"/>
      <w:kern w:val="2"/>
      <w:sz w:val="24"/>
    </w:rPr>
  </w:style>
  <w:style w:type="character" w:customStyle="1" w:styleId="62">
    <w:name w:val="标题 1 Char"/>
    <w:link w:val="4"/>
    <w:unhideWhenUsed/>
    <w:qFormat/>
    <w:locked/>
    <w:uiPriority w:val="99"/>
    <w:rPr>
      <w:rFonts w:hint="eastAsia" w:ascii="宋体" w:hAnsi="CG Times" w:eastAsia="宋体"/>
      <w:b/>
      <w:sz w:val="20"/>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列出段落1"/>
    <w:basedOn w:val="1"/>
    <w:unhideWhenUsed/>
    <w:qFormat/>
    <w:uiPriority w:val="99"/>
    <w:pPr>
      <w:ind w:firstLine="420" w:firstLineChars="200"/>
    </w:pPr>
  </w:style>
  <w:style w:type="paragraph" w:customStyle="1" w:styleId="65">
    <w:name w:val="Char"/>
    <w:basedOn w:val="18"/>
    <w:next w:val="6"/>
    <w:qFormat/>
    <w:uiPriority w:val="0"/>
  </w:style>
  <w:style w:type="paragraph" w:customStyle="1" w:styleId="66">
    <w:name w:val="列出段落112"/>
    <w:basedOn w:val="1"/>
    <w:qFormat/>
    <w:uiPriority w:val="0"/>
    <w:pPr>
      <w:ind w:firstLine="420" w:firstLineChars="200"/>
    </w:pPr>
    <w:rPr>
      <w:rFonts w:ascii="Calibri" w:hAnsi="Calibri"/>
    </w:rPr>
  </w:style>
  <w:style w:type="character" w:customStyle="1" w:styleId="67">
    <w:name w:val="正文文本缩进 2 Char"/>
    <w:link w:val="28"/>
    <w:unhideWhenUsed/>
    <w:qFormat/>
    <w:locked/>
    <w:uiPriority w:val="99"/>
    <w:rPr>
      <w:rFonts w:hint="eastAsia" w:ascii="Times New Roman" w:hAnsi="Times New Roman" w:eastAsia="宋体"/>
      <w:sz w:val="20"/>
      <w:lang w:val="en-GB"/>
    </w:rPr>
  </w:style>
  <w:style w:type="character" w:customStyle="1" w:styleId="68">
    <w:name w:val="标题 2 Char"/>
    <w:link w:val="5"/>
    <w:unhideWhenUsed/>
    <w:qFormat/>
    <w:locked/>
    <w:uiPriority w:val="99"/>
    <w:rPr>
      <w:rFonts w:ascii="宋体" w:hAnsi="CG Times"/>
      <w:kern w:val="2"/>
      <w:sz w:val="24"/>
    </w:rPr>
  </w:style>
  <w:style w:type="character" w:customStyle="1" w:styleId="69">
    <w:name w:val="标题 4 Char"/>
    <w:link w:val="7"/>
    <w:unhideWhenUsed/>
    <w:qFormat/>
    <w:locked/>
    <w:uiPriority w:val="99"/>
    <w:rPr>
      <w:rFonts w:hint="eastAsia" w:ascii="CG Times" w:hAnsi="CG Times" w:eastAsia="宋体"/>
      <w:color w:val="000000"/>
      <w:sz w:val="20"/>
    </w:rPr>
  </w:style>
  <w:style w:type="character" w:customStyle="1" w:styleId="70">
    <w:name w:val="标题 7 Char"/>
    <w:link w:val="10"/>
    <w:unhideWhenUsed/>
    <w:qFormat/>
    <w:locked/>
    <w:uiPriority w:val="99"/>
    <w:rPr>
      <w:rFonts w:ascii="CG Times" w:hAnsi="CG Times"/>
      <w:kern w:val="2"/>
      <w:sz w:val="24"/>
    </w:rPr>
  </w:style>
  <w:style w:type="character" w:customStyle="1" w:styleId="71">
    <w:name w:val="标题 8 Char"/>
    <w:link w:val="11"/>
    <w:unhideWhenUsed/>
    <w:qFormat/>
    <w:locked/>
    <w:uiPriority w:val="99"/>
    <w:rPr>
      <w:rFonts w:ascii="CG Times" w:hAnsi="CG Times"/>
      <w:i/>
      <w:kern w:val="2"/>
      <w:sz w:val="24"/>
    </w:rPr>
  </w:style>
  <w:style w:type="character" w:customStyle="1" w:styleId="72">
    <w:name w:val="标题 9 Char"/>
    <w:link w:val="12"/>
    <w:unhideWhenUsed/>
    <w:qFormat/>
    <w:locked/>
    <w:uiPriority w:val="99"/>
    <w:rPr>
      <w:rFonts w:ascii="Arial" w:hAnsi="Arial"/>
      <w:kern w:val="2"/>
      <w:sz w:val="22"/>
    </w:rPr>
  </w:style>
  <w:style w:type="character" w:customStyle="1" w:styleId="73">
    <w:name w:val="正文缩进 Char"/>
    <w:link w:val="16"/>
    <w:qFormat/>
    <w:uiPriority w:val="0"/>
    <w:rPr>
      <w:kern w:val="2"/>
      <w:sz w:val="24"/>
    </w:rPr>
  </w:style>
  <w:style w:type="character" w:customStyle="1" w:styleId="74">
    <w:name w:val="文档结构图 Char"/>
    <w:link w:val="18"/>
    <w:unhideWhenUsed/>
    <w:qFormat/>
    <w:locked/>
    <w:uiPriority w:val="99"/>
    <w:rPr>
      <w:rFonts w:hint="eastAsia" w:ascii="Times New Roman" w:hAnsi="Times New Roman" w:eastAsia="宋体"/>
      <w:sz w:val="24"/>
      <w:shd w:val="clear" w:color="auto" w:fill="000080"/>
    </w:rPr>
  </w:style>
  <w:style w:type="character" w:customStyle="1" w:styleId="75">
    <w:name w:val="批注文字 Char"/>
    <w:link w:val="19"/>
    <w:unhideWhenUsed/>
    <w:qFormat/>
    <w:locked/>
    <w:uiPriority w:val="99"/>
    <w:rPr>
      <w:rFonts w:hint="eastAsia" w:ascii="宋体" w:hAnsi="CG Times" w:eastAsia="宋体"/>
      <w:sz w:val="20"/>
    </w:rPr>
  </w:style>
  <w:style w:type="character" w:customStyle="1" w:styleId="76">
    <w:name w:val="正文文本 3 Char"/>
    <w:basedOn w:val="48"/>
    <w:link w:val="20"/>
    <w:qFormat/>
    <w:uiPriority w:val="99"/>
    <w:rPr>
      <w:kern w:val="2"/>
      <w:sz w:val="16"/>
      <w:szCs w:val="16"/>
    </w:rPr>
  </w:style>
  <w:style w:type="character" w:customStyle="1" w:styleId="77">
    <w:name w:val="正文文本 Char"/>
    <w:link w:val="21"/>
    <w:unhideWhenUsed/>
    <w:qFormat/>
    <w:locked/>
    <w:uiPriority w:val="99"/>
    <w:rPr>
      <w:rFonts w:hint="eastAsia" w:ascii="Times New Roman" w:hAnsi="Times New Roman" w:eastAsia="宋体"/>
      <w:sz w:val="24"/>
    </w:rPr>
  </w:style>
  <w:style w:type="character" w:customStyle="1" w:styleId="78">
    <w:name w:val="正文文本 2 Char"/>
    <w:link w:val="40"/>
    <w:unhideWhenUsed/>
    <w:qFormat/>
    <w:locked/>
    <w:uiPriority w:val="99"/>
    <w:rPr>
      <w:rFonts w:hint="eastAsia" w:ascii="Times New Roman" w:hAnsi="Times New Roman" w:eastAsia="黑体"/>
      <w:sz w:val="20"/>
      <w:lang w:val="en-GB"/>
    </w:rPr>
  </w:style>
  <w:style w:type="character" w:customStyle="1" w:styleId="79">
    <w:name w:val="正文文本缩进 Char"/>
    <w:link w:val="23"/>
    <w:unhideWhenUsed/>
    <w:qFormat/>
    <w:locked/>
    <w:uiPriority w:val="99"/>
    <w:rPr>
      <w:rFonts w:hint="eastAsia" w:ascii="宋体" w:hAnsi="Times New Roman" w:eastAsia="宋体"/>
      <w:sz w:val="20"/>
    </w:rPr>
  </w:style>
  <w:style w:type="character" w:customStyle="1" w:styleId="80">
    <w:name w:val="纯文本 Char2"/>
    <w:link w:val="3"/>
    <w:unhideWhenUsed/>
    <w:qFormat/>
    <w:locked/>
    <w:uiPriority w:val="99"/>
    <w:rPr>
      <w:rFonts w:hint="eastAsia" w:ascii="宋体" w:hAnsi="Courier New" w:eastAsia="宋体"/>
      <w:sz w:val="21"/>
    </w:rPr>
  </w:style>
  <w:style w:type="character" w:customStyle="1" w:styleId="81">
    <w:name w:val="日期 Char"/>
    <w:link w:val="27"/>
    <w:unhideWhenUsed/>
    <w:qFormat/>
    <w:locked/>
    <w:uiPriority w:val="99"/>
    <w:rPr>
      <w:rFonts w:hint="default" w:ascii="CG Times" w:hAnsi="Times New Roman" w:eastAsia="宋体"/>
      <w:sz w:val="24"/>
    </w:rPr>
  </w:style>
  <w:style w:type="character" w:customStyle="1" w:styleId="82">
    <w:name w:val="批注框文本 Char"/>
    <w:link w:val="29"/>
    <w:unhideWhenUsed/>
    <w:qFormat/>
    <w:locked/>
    <w:uiPriority w:val="99"/>
    <w:rPr>
      <w:rFonts w:hint="eastAsia" w:ascii="Times New Roman" w:hAnsi="Times New Roman" w:eastAsia="宋体"/>
      <w:sz w:val="18"/>
    </w:rPr>
  </w:style>
  <w:style w:type="character" w:customStyle="1" w:styleId="83">
    <w:name w:val="页脚 Char"/>
    <w:link w:val="30"/>
    <w:unhideWhenUsed/>
    <w:qFormat/>
    <w:locked/>
    <w:uiPriority w:val="99"/>
    <w:rPr>
      <w:rFonts w:hint="default" w:ascii="Times New Roman" w:hAnsi="Times New Roman" w:eastAsia="宋体"/>
      <w:sz w:val="18"/>
    </w:rPr>
  </w:style>
  <w:style w:type="character" w:customStyle="1" w:styleId="84">
    <w:name w:val="页眉 Char"/>
    <w:link w:val="31"/>
    <w:unhideWhenUsed/>
    <w:qFormat/>
    <w:locked/>
    <w:uiPriority w:val="99"/>
    <w:rPr>
      <w:rFonts w:hint="default" w:ascii="Times New Roman" w:hAnsi="Times New Roman" w:eastAsia="宋体"/>
      <w:sz w:val="18"/>
    </w:rPr>
  </w:style>
  <w:style w:type="character" w:customStyle="1" w:styleId="85">
    <w:name w:val="副标题 Char2"/>
    <w:unhideWhenUsed/>
    <w:qFormat/>
    <w:locked/>
    <w:uiPriority w:val="99"/>
    <w:rPr>
      <w:rFonts w:hint="default" w:ascii="Cambria" w:hAnsi="Times New Roman" w:eastAsia="宋体"/>
      <w:b/>
      <w:kern w:val="28"/>
      <w:sz w:val="32"/>
    </w:rPr>
  </w:style>
  <w:style w:type="character" w:customStyle="1" w:styleId="86">
    <w:name w:val="脚注文本 Char"/>
    <w:link w:val="35"/>
    <w:unhideWhenUsed/>
    <w:qFormat/>
    <w:locked/>
    <w:uiPriority w:val="99"/>
    <w:rPr>
      <w:rFonts w:hint="eastAsia" w:ascii="CG Times" w:hAnsi="CG Times" w:eastAsia="宋体"/>
      <w:sz w:val="20"/>
    </w:rPr>
  </w:style>
  <w:style w:type="character" w:customStyle="1" w:styleId="87">
    <w:name w:val="正文文本缩进 3 Char"/>
    <w:link w:val="37"/>
    <w:unhideWhenUsed/>
    <w:qFormat/>
    <w:locked/>
    <w:uiPriority w:val="99"/>
    <w:rPr>
      <w:rFonts w:hint="eastAsia" w:ascii="Times New Roman" w:hAnsi="Times New Roman" w:eastAsia="宋体"/>
      <w:sz w:val="24"/>
    </w:rPr>
  </w:style>
  <w:style w:type="character" w:customStyle="1" w:styleId="88">
    <w:name w:val="普通(网站) Char"/>
    <w:link w:val="41"/>
    <w:qFormat/>
    <w:locked/>
    <w:uiPriority w:val="0"/>
    <w:rPr>
      <w:rFonts w:ascii="宋体" w:hAnsi="宋体"/>
      <w:sz w:val="24"/>
      <w:szCs w:val="24"/>
    </w:rPr>
  </w:style>
  <w:style w:type="character" w:customStyle="1" w:styleId="89">
    <w:name w:val="标题 Char"/>
    <w:link w:val="42"/>
    <w:unhideWhenUsed/>
    <w:qFormat/>
    <w:locked/>
    <w:uiPriority w:val="0"/>
    <w:rPr>
      <w:rFonts w:ascii="Arial" w:hAnsi="Arial"/>
      <w:b/>
      <w:kern w:val="2"/>
      <w:sz w:val="28"/>
    </w:rPr>
  </w:style>
  <w:style w:type="character" w:customStyle="1" w:styleId="90">
    <w:name w:val="批注主题 Char"/>
    <w:link w:val="43"/>
    <w:unhideWhenUsed/>
    <w:qFormat/>
    <w:locked/>
    <w:uiPriority w:val="99"/>
    <w:rPr>
      <w:rFonts w:hint="eastAsia" w:ascii="Times New Roman" w:hAnsi="Times New Roman" w:eastAsia="宋体"/>
      <w:b/>
      <w:sz w:val="20"/>
    </w:rPr>
  </w:style>
  <w:style w:type="character" w:customStyle="1" w:styleId="91">
    <w:name w:val="副标题 Char1"/>
    <w:unhideWhenUsed/>
    <w:qFormat/>
    <w:uiPriority w:val="99"/>
    <w:rPr>
      <w:rFonts w:hint="eastAsia" w:ascii="Calibri Light" w:hAnsi="Calibri Light" w:eastAsia="宋体"/>
      <w:b/>
      <w:kern w:val="28"/>
      <w:sz w:val="32"/>
    </w:rPr>
  </w:style>
  <w:style w:type="character" w:customStyle="1" w:styleId="92">
    <w:name w:val="已访问的超链接1"/>
    <w:unhideWhenUsed/>
    <w:qFormat/>
    <w:uiPriority w:val="99"/>
    <w:rPr>
      <w:rFonts w:hint="default"/>
      <w:color w:val="800080"/>
      <w:sz w:val="24"/>
      <w:u w:val="single"/>
    </w:rPr>
  </w:style>
  <w:style w:type="character" w:customStyle="1" w:styleId="93">
    <w:name w:val="_Style 80"/>
    <w:qFormat/>
    <w:uiPriority w:val="31"/>
    <w:rPr>
      <w:rFonts w:hint="default"/>
      <w:smallCaps/>
      <w:color w:val="5A5A5A"/>
      <w:sz w:val="24"/>
    </w:rPr>
  </w:style>
  <w:style w:type="character" w:customStyle="1" w:styleId="94">
    <w:name w:val="纯文本 Char1"/>
    <w:unhideWhenUsed/>
    <w:qFormat/>
    <w:uiPriority w:val="99"/>
    <w:rPr>
      <w:rFonts w:hint="eastAsia" w:ascii="宋体" w:hAnsi="Courier New" w:eastAsia="宋体"/>
      <w:sz w:val="21"/>
    </w:rPr>
  </w:style>
  <w:style w:type="character" w:customStyle="1" w:styleId="95">
    <w:name w:val="副标题 Char"/>
    <w:link w:val="34"/>
    <w:unhideWhenUsed/>
    <w:qFormat/>
    <w:locked/>
    <w:uiPriority w:val="99"/>
    <w:rPr>
      <w:rFonts w:hint="default" w:ascii="Calibri Light" w:hAnsi="Times New Roman" w:eastAsia="宋体"/>
      <w:b/>
      <w:kern w:val="28"/>
      <w:sz w:val="32"/>
    </w:rPr>
  </w:style>
  <w:style w:type="character" w:customStyle="1" w:styleId="96">
    <w:name w:val="apple-style-span"/>
    <w:unhideWhenUsed/>
    <w:qFormat/>
    <w:uiPriority w:val="99"/>
    <w:rPr>
      <w:rFonts w:hint="default"/>
      <w:sz w:val="24"/>
    </w:rPr>
  </w:style>
  <w:style w:type="character" w:customStyle="1" w:styleId="97">
    <w:name w:val="纯文本 Char"/>
    <w:unhideWhenUsed/>
    <w:qFormat/>
    <w:locked/>
    <w:uiPriority w:val="0"/>
    <w:rPr>
      <w:rFonts w:hint="default"/>
      <w:sz w:val="21"/>
    </w:rPr>
  </w:style>
  <w:style w:type="character" w:customStyle="1" w:styleId="98">
    <w:name w:val="Char Char2"/>
    <w:basedOn w:val="48"/>
    <w:qFormat/>
    <w:uiPriority w:val="0"/>
    <w:rPr>
      <w:rFonts w:hint="eastAsia" w:ascii="宋体" w:hAnsi="宋体" w:eastAsia="宋体"/>
      <w:kern w:val="2"/>
      <w:sz w:val="28"/>
      <w:lang w:val="en-US" w:eastAsia="zh-CN" w:bidi="ar-SA"/>
    </w:rPr>
  </w:style>
  <w:style w:type="character" w:customStyle="1" w:styleId="99">
    <w:name w:val="1.1下正文 Char"/>
    <w:link w:val="100"/>
    <w:unhideWhenUsed/>
    <w:qFormat/>
    <w:locked/>
    <w:uiPriority w:val="99"/>
    <w:rPr>
      <w:rFonts w:hint="default"/>
      <w:sz w:val="24"/>
    </w:rPr>
  </w:style>
  <w:style w:type="paragraph" w:customStyle="1" w:styleId="100">
    <w:name w:val="1.1下正文"/>
    <w:basedOn w:val="1"/>
    <w:link w:val="99"/>
    <w:unhideWhenUsed/>
    <w:qFormat/>
    <w:uiPriority w:val="99"/>
    <w:pPr>
      <w:widowControl/>
      <w:spacing w:beforeLines="50" w:afterLines="50"/>
      <w:ind w:firstLine="200" w:firstLineChars="200"/>
      <w:jc w:val="left"/>
    </w:pPr>
    <w:rPr>
      <w:rFonts w:hint="default"/>
      <w:kern w:val="0"/>
    </w:rPr>
  </w:style>
  <w:style w:type="character" w:customStyle="1" w:styleId="101">
    <w:name w:val="Date Char1"/>
    <w:unhideWhenUsed/>
    <w:qFormat/>
    <w:locked/>
    <w:uiPriority w:val="99"/>
    <w:rPr>
      <w:rFonts w:hint="default" w:ascii="Times New Roman" w:hAnsi="Times New Roman" w:eastAsia="宋体"/>
      <w:sz w:val="24"/>
    </w:rPr>
  </w:style>
  <w:style w:type="character" w:customStyle="1" w:styleId="102">
    <w:name w:val="日期 Char1"/>
    <w:unhideWhenUsed/>
    <w:qFormat/>
    <w:uiPriority w:val="99"/>
    <w:rPr>
      <w:rFonts w:hint="eastAsia" w:ascii="Times New Roman" w:hAnsi="Times New Roman" w:eastAsia="宋体"/>
      <w:sz w:val="24"/>
    </w:rPr>
  </w:style>
  <w:style w:type="character" w:customStyle="1" w:styleId="103">
    <w:name w:val="正文1 Char"/>
    <w:link w:val="104"/>
    <w:qFormat/>
    <w:uiPriority w:val="0"/>
    <w:rPr>
      <w:rFonts w:ascii="宋体"/>
      <w:spacing w:val="4"/>
      <w:sz w:val="24"/>
      <w:szCs w:val="22"/>
      <w:lang w:val="en-US" w:eastAsia="zh-CN" w:bidi="ar-SA"/>
    </w:rPr>
  </w:style>
  <w:style w:type="paragraph" w:customStyle="1" w:styleId="104">
    <w:name w:val="正文1"/>
    <w:link w:val="103"/>
    <w:qFormat/>
    <w:uiPriority w:val="0"/>
    <w:pPr>
      <w:adjustRightInd w:val="0"/>
      <w:snapToGrid w:val="0"/>
      <w:spacing w:after="50" w:line="300" w:lineRule="auto"/>
      <w:ind w:firstLine="539"/>
      <w:jc w:val="both"/>
    </w:pPr>
    <w:rPr>
      <w:rFonts w:ascii="宋体" w:hAnsi="Times New Roman" w:eastAsia="宋体" w:cs="Times New Roman"/>
      <w:spacing w:val="4"/>
      <w:sz w:val="24"/>
      <w:szCs w:val="22"/>
      <w:lang w:val="en-US" w:eastAsia="zh-CN" w:bidi="ar-SA"/>
    </w:rPr>
  </w:style>
  <w:style w:type="paragraph" w:customStyle="1" w:styleId="105">
    <w:name w:val="alpha 3"/>
    <w:basedOn w:val="1"/>
    <w:unhideWhenUsed/>
    <w:qFormat/>
    <w:uiPriority w:val="99"/>
    <w:pPr>
      <w:widowControl/>
      <w:tabs>
        <w:tab w:val="left" w:pos="720"/>
      </w:tabs>
      <w:ind w:left="720" w:hanging="720"/>
    </w:pPr>
    <w:rPr>
      <w:lang w:val="en-GB"/>
    </w:rPr>
  </w:style>
  <w:style w:type="paragraph" w:customStyle="1" w:styleId="106">
    <w:name w:val="正文三级"/>
    <w:basedOn w:val="1"/>
    <w:unhideWhenUsed/>
    <w:qFormat/>
    <w:uiPriority w:val="99"/>
    <w:pPr>
      <w:widowControl/>
      <w:autoSpaceDE w:val="0"/>
      <w:autoSpaceDN w:val="0"/>
      <w:adjustRightInd w:val="0"/>
      <w:spacing w:beforeLines="50" w:afterLines="50" w:line="480" w:lineRule="exact"/>
      <w:ind w:left="722" w:leftChars="300" w:right="-12" w:hanging="2"/>
    </w:pPr>
    <w:rPr>
      <w:rFonts w:ascii="CG Times" w:hAnsi="CG Times"/>
      <w:color w:val="0000FF"/>
    </w:rPr>
  </w:style>
  <w:style w:type="paragraph" w:customStyle="1" w:styleId="107">
    <w:name w:val="Style1"/>
    <w:basedOn w:val="4"/>
    <w:unhideWhenUsed/>
    <w:qFormat/>
    <w:uiPriority w:val="99"/>
    <w:pPr>
      <w:tabs>
        <w:tab w:val="left" w:pos="360"/>
      </w:tabs>
      <w:spacing w:before="156" w:after="156" w:line="360" w:lineRule="auto"/>
      <w:jc w:val="center"/>
    </w:pPr>
    <w:rPr>
      <w:sz w:val="36"/>
    </w:rPr>
  </w:style>
  <w:style w:type="paragraph" w:customStyle="1" w:styleId="108">
    <w:name w:val="列出段落11"/>
    <w:basedOn w:val="1"/>
    <w:unhideWhenUsed/>
    <w:qFormat/>
    <w:uiPriority w:val="99"/>
    <w:pPr>
      <w:spacing w:beforeLines="0" w:afterLines="0" w:line="240" w:lineRule="auto"/>
      <w:ind w:firstLine="420" w:firstLineChars="200"/>
    </w:pPr>
    <w:rPr>
      <w:sz w:val="21"/>
    </w:rPr>
  </w:style>
  <w:style w:type="paragraph" w:customStyle="1" w:styleId="109">
    <w:name w:val="三级样式"/>
    <w:basedOn w:val="6"/>
    <w:unhideWhenUsed/>
    <w:qFormat/>
    <w:uiPriority w:val="99"/>
    <w:pPr>
      <w:widowControl w:val="0"/>
      <w:numPr>
        <w:ilvl w:val="0"/>
        <w:numId w:val="0"/>
      </w:numPr>
      <w:tabs>
        <w:tab w:val="left" w:pos="360"/>
        <w:tab w:val="left" w:pos="840"/>
        <w:tab w:val="clear" w:pos="0"/>
        <w:tab w:val="clear" w:pos="821"/>
        <w:tab w:val="clear" w:pos="1316"/>
      </w:tabs>
      <w:autoSpaceDE/>
      <w:autoSpaceDN/>
      <w:adjustRightInd/>
      <w:spacing w:before="120" w:after="120" w:line="400" w:lineRule="exact"/>
      <w:ind w:left="360" w:hanging="360" w:hangingChars="350"/>
    </w:pPr>
    <w:rPr>
      <w:rFonts w:ascii="Times New Roman" w:hAnsi="Times New Roman"/>
      <w:sz w:val="21"/>
    </w:rPr>
  </w:style>
  <w:style w:type="paragraph" w:customStyle="1" w:styleId="110">
    <w:name w:val="s19qjli960sb120sa120sl36"/>
    <w:unhideWhenUsed/>
    <w:qFormat/>
    <w:uiPriority w:val="99"/>
    <w:pPr>
      <w:widowControl w:val="0"/>
      <w:autoSpaceDE w:val="0"/>
      <w:autoSpaceDN w:val="0"/>
      <w:adjustRightInd w:val="0"/>
    </w:pPr>
    <w:rPr>
      <w:rFonts w:hint="eastAsia" w:ascii="仿宋体" w:hAnsi="Times New Roman" w:eastAsia="仿宋体" w:cs="Times New Roman"/>
      <w:lang w:val="en-US" w:eastAsia="zh-CN" w:bidi="ar-SA"/>
    </w:rPr>
  </w:style>
  <w:style w:type="paragraph" w:customStyle="1" w:styleId="111">
    <w:name w:val="title11"/>
    <w:basedOn w:val="1"/>
    <w:qFormat/>
    <w:uiPriority w:val="0"/>
    <w:pPr>
      <w:spacing w:before="150" w:line="450" w:lineRule="atLeast"/>
      <w:jc w:val="left"/>
    </w:pPr>
    <w:rPr>
      <w:b/>
      <w:kern w:val="0"/>
      <w:szCs w:val="24"/>
    </w:rPr>
  </w:style>
  <w:style w:type="paragraph" w:customStyle="1" w:styleId="112">
    <w:name w:val="中等深浅列表 2 - 强调文字颜色 21"/>
    <w:unhideWhenUsed/>
    <w:qFormat/>
    <w:uiPriority w:val="99"/>
    <w:rPr>
      <w:rFonts w:hint="eastAsia" w:ascii="Times New Roman" w:hAnsi="Times New Roman" w:eastAsia="宋体" w:cs="Times New Roman"/>
      <w:kern w:val="2"/>
      <w:sz w:val="24"/>
      <w:lang w:val="en-US" w:eastAsia="zh-CN" w:bidi="ar-SA"/>
    </w:rPr>
  </w:style>
  <w:style w:type="paragraph" w:customStyle="1" w:styleId="113">
    <w:name w:val="二级样式"/>
    <w:basedOn w:val="5"/>
    <w:unhideWhenUsed/>
    <w:qFormat/>
    <w:uiPriority w:val="99"/>
    <w:pPr>
      <w:widowControl w:val="0"/>
      <w:numPr>
        <w:ilvl w:val="0"/>
        <w:numId w:val="0"/>
      </w:numPr>
      <w:tabs>
        <w:tab w:val="left" w:pos="360"/>
        <w:tab w:val="left" w:pos="540"/>
        <w:tab w:val="left" w:pos="600"/>
      </w:tabs>
      <w:adjustRightInd/>
      <w:spacing w:beforeLines="100" w:afterLines="50" w:line="400" w:lineRule="exact"/>
      <w:ind w:left="360" w:hanging="360"/>
      <w:jc w:val="both"/>
    </w:pPr>
    <w:rPr>
      <w:rFonts w:hAnsi="宋体"/>
      <w:b/>
      <w:sz w:val="21"/>
    </w:rPr>
  </w:style>
  <w:style w:type="paragraph" w:customStyle="1" w:styleId="114">
    <w:name w:val="Definition List"/>
    <w:basedOn w:val="1"/>
    <w:next w:val="115"/>
    <w:unhideWhenUsed/>
    <w:qFormat/>
    <w:uiPriority w:val="99"/>
    <w:pPr>
      <w:spacing w:beforeLines="100" w:afterLines="50"/>
      <w:ind w:left="360" w:firstLine="527"/>
    </w:pPr>
  </w:style>
  <w:style w:type="paragraph" w:customStyle="1" w:styleId="115">
    <w:name w:val="Definition Term"/>
    <w:basedOn w:val="1"/>
    <w:next w:val="114"/>
    <w:unhideWhenUsed/>
    <w:qFormat/>
    <w:uiPriority w:val="99"/>
    <w:pPr>
      <w:spacing w:beforeLines="100" w:afterLines="50"/>
      <w:ind w:firstLine="527"/>
    </w:pPr>
  </w:style>
  <w:style w:type="paragraph" w:customStyle="1" w:styleId="116">
    <w:name w:val="纯文本1"/>
    <w:basedOn w:val="1"/>
    <w:qFormat/>
    <w:uiPriority w:val="0"/>
    <w:rPr>
      <w:rFonts w:ascii="宋体" w:hAnsi="Courier New"/>
      <w:szCs w:val="22"/>
    </w:rPr>
  </w:style>
  <w:style w:type="paragraph" w:customStyle="1" w:styleId="117">
    <w:name w:val="样式 标题 3 + 小四 非加粗 段前: 7.8 磅 段后: 7.8 磅 行距: 1.5 倍行距"/>
    <w:basedOn w:val="6"/>
    <w:unhideWhenUsed/>
    <w:qFormat/>
    <w:uiPriority w:val="99"/>
    <w:pPr>
      <w:numPr>
        <w:ilvl w:val="0"/>
        <w:numId w:val="0"/>
      </w:numPr>
      <w:tabs>
        <w:tab w:val="left" w:pos="1440"/>
        <w:tab w:val="clear" w:pos="0"/>
        <w:tab w:val="clear" w:pos="1316"/>
      </w:tabs>
      <w:autoSpaceDE/>
      <w:autoSpaceDN/>
      <w:adjustRightInd/>
      <w:spacing w:beforeLines="0" w:afterLines="0" w:line="360" w:lineRule="auto"/>
      <w:ind w:left="567" w:hanging="720"/>
      <w:jc w:val="left"/>
    </w:pPr>
    <w:rPr>
      <w:rFonts w:ascii="Times New Roman" w:hAnsi="Times New Roman"/>
    </w:rPr>
  </w:style>
  <w:style w:type="paragraph" w:customStyle="1" w:styleId="118">
    <w:name w:val="一级样式"/>
    <w:basedOn w:val="4"/>
    <w:unhideWhenUsed/>
    <w:qFormat/>
    <w:uiPriority w:val="99"/>
    <w:pPr>
      <w:keepLines/>
      <w:pageBreakBefore/>
      <w:widowControl w:val="0"/>
      <w:tabs>
        <w:tab w:val="left" w:pos="360"/>
      </w:tabs>
      <w:autoSpaceDE/>
      <w:autoSpaceDN/>
      <w:snapToGrid w:val="0"/>
      <w:spacing w:before="240" w:after="120" w:line="400" w:lineRule="exact"/>
      <w:ind w:left="360" w:hanging="360"/>
      <w:jc w:val="both"/>
    </w:pPr>
    <w:rPr>
      <w:rFonts w:ascii="Times New Roman" w:hAnsi="Times New Roman"/>
      <w:kern w:val="44"/>
      <w:sz w:val="21"/>
    </w:rPr>
  </w:style>
  <w:style w:type="paragraph" w:customStyle="1" w:styleId="119">
    <w:name w:val="List Paragraph1"/>
    <w:basedOn w:val="1"/>
    <w:qFormat/>
    <w:uiPriority w:val="34"/>
    <w:pPr>
      <w:ind w:firstLine="420" w:firstLineChars="200"/>
    </w:pPr>
  </w:style>
  <w:style w:type="paragraph" w:customStyle="1" w:styleId="120">
    <w:name w:val="_Style 107"/>
    <w:unhideWhenUsed/>
    <w:qFormat/>
    <w:uiPriority w:val="99"/>
    <w:rPr>
      <w:rFonts w:hint="eastAsia" w:ascii="Times New Roman" w:hAnsi="Times New Roman" w:eastAsia="宋体" w:cs="Times New Roman"/>
      <w:kern w:val="2"/>
      <w:sz w:val="24"/>
      <w:lang w:val="en-US" w:eastAsia="zh-CN" w:bidi="ar-SA"/>
    </w:rPr>
  </w:style>
  <w:style w:type="paragraph" w:customStyle="1" w:styleId="121">
    <w:name w:val="正文二级"/>
    <w:basedOn w:val="1"/>
    <w:unhideWhenUsed/>
    <w:qFormat/>
    <w:uiPriority w:val="99"/>
    <w:pPr>
      <w:spacing w:beforeLines="50" w:afterLines="50"/>
      <w:ind w:left="709" w:leftChars="295" w:hanging="1"/>
    </w:pPr>
    <w:rPr>
      <w:rFonts w:ascii="CG Times" w:hAnsi="CG Times"/>
      <w:color w:val="000000"/>
      <w:lang w:val="fr-FR"/>
    </w:rPr>
  </w:style>
  <w:style w:type="paragraph" w:customStyle="1" w:styleId="122">
    <w:name w:val="修订1"/>
    <w:unhideWhenUsed/>
    <w:qFormat/>
    <w:uiPriority w:val="99"/>
    <w:rPr>
      <w:rFonts w:hint="eastAsia" w:ascii="Times New Roman" w:hAnsi="Times New Roman" w:eastAsia="宋体" w:cs="Times New Roman"/>
      <w:kern w:val="2"/>
      <w:sz w:val="24"/>
      <w:lang w:val="en-US" w:eastAsia="zh-CN" w:bidi="ar-SA"/>
    </w:rPr>
  </w:style>
  <w:style w:type="paragraph" w:customStyle="1" w:styleId="123">
    <w:name w:val="正文四级"/>
    <w:basedOn w:val="1"/>
    <w:unhideWhenUsed/>
    <w:qFormat/>
    <w:uiPriority w:val="99"/>
    <w:pPr>
      <w:widowControl/>
      <w:autoSpaceDE w:val="0"/>
      <w:autoSpaceDN w:val="0"/>
      <w:adjustRightInd w:val="0"/>
      <w:spacing w:beforeLines="50" w:afterLines="50" w:line="480" w:lineRule="exact"/>
      <w:ind w:left="720" w:leftChars="300" w:right="-12"/>
    </w:pPr>
    <w:rPr>
      <w:rFonts w:ascii="CG Times" w:hAnsi="CG Times"/>
      <w:color w:val="000000"/>
    </w:rPr>
  </w:style>
  <w:style w:type="paragraph" w:customStyle="1" w:styleId="124">
    <w:name w:val="SOW正文"/>
    <w:basedOn w:val="1"/>
    <w:qFormat/>
    <w:uiPriority w:val="0"/>
    <w:pPr>
      <w:snapToGrid w:val="0"/>
      <w:spacing w:beforeLines="0" w:beforeAutospacing="1" w:afterLines="0" w:afterAutospacing="1"/>
      <w:ind w:firstLine="200" w:firstLineChars="200"/>
    </w:pPr>
    <w:rPr>
      <w:rFonts w:hint="default" w:ascii="Arial" w:hAnsi="Arial"/>
    </w:rPr>
  </w:style>
  <w:style w:type="paragraph" w:customStyle="1" w:styleId="125">
    <w:name w:val="Footer Odd"/>
    <w:basedOn w:val="1"/>
    <w:unhideWhenUsed/>
    <w:qFormat/>
    <w:uiPriority w:val="99"/>
    <w:pPr>
      <w:widowControl/>
      <w:pBdr>
        <w:top w:val="single" w:color="auto" w:sz="4" w:space="1"/>
      </w:pBdr>
      <w:spacing w:beforeLines="0" w:afterLines="0" w:line="264" w:lineRule="auto"/>
      <w:jc w:val="right"/>
    </w:pPr>
    <w:rPr>
      <w:rFonts w:ascii="Calibri" w:hAnsi="Calibri"/>
      <w:sz w:val="20"/>
    </w:rPr>
  </w:style>
  <w:style w:type="paragraph" w:customStyle="1" w:styleId="126">
    <w:name w:val="页眉1"/>
    <w:basedOn w:val="1"/>
    <w:unhideWhenUsed/>
    <w:qFormat/>
    <w:uiPriority w:val="99"/>
    <w:pPr>
      <w:pBdr>
        <w:bottom w:val="single" w:color="auto" w:sz="6" w:space="1"/>
      </w:pBdr>
      <w:tabs>
        <w:tab w:val="center" w:pos="4153"/>
        <w:tab w:val="right" w:pos="8306"/>
      </w:tabs>
      <w:snapToGrid w:val="0"/>
      <w:spacing w:beforeLines="0" w:afterLines="0" w:line="240" w:lineRule="auto"/>
      <w:jc w:val="center"/>
    </w:pPr>
    <w:rPr>
      <w:sz w:val="18"/>
    </w:rPr>
  </w:style>
  <w:style w:type="paragraph" w:customStyle="1" w:styleId="127">
    <w:name w:val="样式 左侧:  1.27 厘米 段前: 6 磅 段后: 7.8 磅"/>
    <w:basedOn w:val="1"/>
    <w:qFormat/>
    <w:uiPriority w:val="0"/>
    <w:pPr>
      <w:spacing w:beforeLines="0" w:afterLines="0" w:line="240" w:lineRule="auto"/>
      <w:ind w:left="720"/>
    </w:pPr>
    <w:rPr>
      <w:rFonts w:hint="default" w:cs="宋体"/>
    </w:rPr>
  </w:style>
  <w:style w:type="paragraph" w:customStyle="1" w:styleId="1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9">
    <w:name w:val="正文五级"/>
    <w:basedOn w:val="123"/>
    <w:unhideWhenUsed/>
    <w:qFormat/>
    <w:uiPriority w:val="99"/>
    <w:pPr>
      <w:ind w:left="3150"/>
    </w:pPr>
  </w:style>
  <w:style w:type="paragraph" w:customStyle="1" w:styleId="130">
    <w:name w:val="Z表格标题"/>
    <w:basedOn w:val="1"/>
    <w:unhideWhenUsed/>
    <w:qFormat/>
    <w:uiPriority w:val="99"/>
    <w:pPr>
      <w:tabs>
        <w:tab w:val="left" w:pos="1559"/>
      </w:tabs>
      <w:adjustRightInd w:val="0"/>
      <w:snapToGrid w:val="0"/>
      <w:spacing w:beforeLines="0" w:afterLines="0" w:line="360" w:lineRule="atLeast"/>
      <w:ind w:left="1559" w:hanging="1559"/>
      <w:jc w:val="center"/>
      <w:textAlignment w:val="baseline"/>
      <w:outlineLvl w:val="8"/>
    </w:pPr>
    <w:rPr>
      <w:rFonts w:ascii="黑体" w:eastAsia="黑体"/>
      <w:sz w:val="30"/>
    </w:rPr>
  </w:style>
  <w:style w:type="paragraph" w:customStyle="1" w:styleId="1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2">
    <w:name w:val="WPSOffice手动目录 1"/>
    <w:qFormat/>
    <w:uiPriority w:val="0"/>
    <w:rPr>
      <w:rFonts w:ascii="Times New Roman" w:hAnsi="Times New Roman" w:eastAsia="宋体" w:cs="Times New Roman"/>
      <w:lang w:val="en-US" w:eastAsia="zh-CN" w:bidi="ar-SA"/>
    </w:rPr>
  </w:style>
  <w:style w:type="paragraph" w:customStyle="1" w:styleId="133">
    <w:name w:val="四级样式"/>
    <w:basedOn w:val="7"/>
    <w:unhideWhenUsed/>
    <w:qFormat/>
    <w:uiPriority w:val="99"/>
    <w:pPr>
      <w:keepLines/>
      <w:widowControl w:val="0"/>
      <w:tabs>
        <w:tab w:val="left" w:pos="360"/>
        <w:tab w:val="clear" w:pos="695"/>
      </w:tabs>
      <w:autoSpaceDE/>
      <w:autoSpaceDN/>
      <w:adjustRightInd/>
      <w:spacing w:beforeLines="100" w:afterLines="50" w:line="400" w:lineRule="exact"/>
      <w:ind w:left="360" w:leftChars="450" w:hanging="360" w:hangingChars="375"/>
    </w:pPr>
    <w:rPr>
      <w:rFonts w:ascii="Arial" w:hAnsi="Arial"/>
      <w:sz w:val="21"/>
    </w:rPr>
  </w:style>
  <w:style w:type="paragraph" w:customStyle="1" w:styleId="134">
    <w:name w:val="样式 标题 3 + 段前: 0.5 行 段后: 0.5 行"/>
    <w:basedOn w:val="6"/>
    <w:unhideWhenUsed/>
    <w:qFormat/>
    <w:uiPriority w:val="99"/>
    <w:pPr>
      <w:keepNext/>
      <w:keepLines/>
      <w:widowControl w:val="0"/>
      <w:numPr>
        <w:ilvl w:val="0"/>
        <w:numId w:val="0"/>
      </w:numPr>
      <w:tabs>
        <w:tab w:val="left" w:pos="1080"/>
        <w:tab w:val="clear" w:pos="0"/>
        <w:tab w:val="clear" w:pos="1316"/>
      </w:tabs>
      <w:autoSpaceDE/>
      <w:autoSpaceDN/>
      <w:adjustRightInd/>
      <w:spacing w:before="298" w:afterLines="25" w:line="400" w:lineRule="exact"/>
      <w:ind w:left="709" w:hanging="709"/>
    </w:pPr>
    <w:rPr>
      <w:rFonts w:ascii="Times New Roman" w:hAnsi="Times New Roman" w:eastAsia="黑体"/>
      <w:b/>
      <w:spacing w:val="10"/>
      <w:sz w:val="30"/>
    </w:rPr>
  </w:style>
  <w:style w:type="paragraph" w:customStyle="1" w:styleId="135">
    <w:name w:val="彩色底纹 - 强调文字颜色 11"/>
    <w:unhideWhenUsed/>
    <w:qFormat/>
    <w:uiPriority w:val="99"/>
    <w:rPr>
      <w:rFonts w:hint="eastAsia" w:ascii="Times New Roman" w:hAnsi="Times New Roman" w:eastAsia="宋体" w:cs="Times New Roman"/>
      <w:kern w:val="2"/>
      <w:sz w:val="24"/>
      <w:lang w:val="en-US" w:eastAsia="zh-CN" w:bidi="ar-SA"/>
    </w:rPr>
  </w:style>
  <w:style w:type="paragraph" w:customStyle="1" w:styleId="136">
    <w:name w:val="样式 标题 4 + 段前: 0.5 行 段后: 0.5 行"/>
    <w:basedOn w:val="7"/>
    <w:unhideWhenUsed/>
    <w:qFormat/>
    <w:uiPriority w:val="99"/>
    <w:pPr>
      <w:tabs>
        <w:tab w:val="clear" w:pos="695"/>
      </w:tabs>
      <w:autoSpaceDE/>
      <w:autoSpaceDN/>
      <w:adjustRightInd/>
      <w:spacing w:beforeLines="50" w:afterLines="50"/>
      <w:ind w:left="709" w:hanging="709"/>
      <w:jc w:val="left"/>
    </w:pPr>
    <w:rPr>
      <w:rFonts w:ascii="Times New Roman" w:hAnsi="Times New Roman"/>
    </w:rPr>
  </w:style>
  <w:style w:type="paragraph" w:customStyle="1" w:styleId="137">
    <w:name w:val="title12"/>
    <w:basedOn w:val="1"/>
    <w:qFormat/>
    <w:uiPriority w:val="0"/>
    <w:pPr>
      <w:widowControl/>
      <w:spacing w:beforeLines="0" w:afterLines="0" w:line="392" w:lineRule="atLeast"/>
      <w:jc w:val="left"/>
    </w:pPr>
    <w:rPr>
      <w:rFonts w:hint="default" w:ascii="宋体" w:hAnsi="宋体" w:cs="宋体"/>
      <w:b/>
      <w:bCs/>
      <w:kern w:val="0"/>
      <w:sz w:val="17"/>
      <w:szCs w:val="17"/>
    </w:rPr>
  </w:style>
  <w:style w:type="paragraph" w:customStyle="1" w:styleId="138">
    <w:name w:val="样式 标题 2 + 段前: 1 行 段后: 0.5 行"/>
    <w:basedOn w:val="5"/>
    <w:unhideWhenUsed/>
    <w:qFormat/>
    <w:uiPriority w:val="99"/>
    <w:pPr>
      <w:keepNext/>
      <w:keepLines/>
      <w:widowControl w:val="0"/>
      <w:numPr>
        <w:ilvl w:val="0"/>
        <w:numId w:val="0"/>
      </w:numPr>
      <w:tabs>
        <w:tab w:val="left" w:pos="567"/>
      </w:tabs>
      <w:autoSpaceDE/>
      <w:autoSpaceDN/>
      <w:adjustRightInd/>
      <w:spacing w:beforeLines="100" w:afterLines="50" w:line="500" w:lineRule="atLeast"/>
      <w:ind w:left="567" w:hanging="567"/>
      <w:jc w:val="both"/>
    </w:pPr>
    <w:rPr>
      <w:rFonts w:ascii="Times New Roman" w:hAnsi="Times New Roman" w:eastAsia="黑体"/>
      <w:b/>
      <w:spacing w:val="10"/>
      <w:sz w:val="32"/>
    </w:rPr>
  </w:style>
  <w:style w:type="paragraph" w:customStyle="1" w:styleId="139">
    <w:name w:val="1正文"/>
    <w:basedOn w:val="41"/>
    <w:qFormat/>
    <w:uiPriority w:val="0"/>
    <w:pPr>
      <w:spacing w:beforeAutospacing="0" w:afterAutospacing="0" w:line="360" w:lineRule="auto"/>
      <w:ind w:firstLine="960" w:firstLineChars="200"/>
      <w:jc w:val="both"/>
    </w:pPr>
    <w:rPr>
      <w:rFonts w:ascii="Times New Roman" w:hAnsi="Times New Roman"/>
    </w:rPr>
  </w:style>
  <w:style w:type="paragraph" w:customStyle="1" w:styleId="140">
    <w:name w:val="TOC 标题1"/>
    <w:basedOn w:val="4"/>
    <w:next w:val="1"/>
    <w:unhideWhenUsed/>
    <w:qFormat/>
    <w:uiPriority w:val="99"/>
    <w:pPr>
      <w:keepLines/>
      <w:tabs>
        <w:tab w:val="left" w:pos="479"/>
      </w:tabs>
      <w:autoSpaceDE/>
      <w:autoSpaceDN/>
      <w:adjustRightInd/>
      <w:spacing w:beforeLines="0" w:afterLines="0" w:line="259" w:lineRule="auto"/>
    </w:pPr>
    <w:rPr>
      <w:rFonts w:ascii="Calibri Light" w:hAnsi="Calibri Light"/>
      <w:b w:val="0"/>
      <w:sz w:val="32"/>
    </w:rPr>
  </w:style>
  <w:style w:type="paragraph" w:styleId="141">
    <w:name w:val="List Paragraph"/>
    <w:basedOn w:val="1"/>
    <w:qFormat/>
    <w:uiPriority w:val="34"/>
    <w:pPr>
      <w:spacing w:beforeLines="0" w:afterLines="0" w:line="240" w:lineRule="auto"/>
      <w:ind w:firstLine="420" w:firstLineChars="200"/>
    </w:pPr>
    <w:rPr>
      <w:rFonts w:hint="default" w:ascii="Calibri" w:hAnsi="Calibri"/>
      <w:sz w:val="21"/>
      <w:szCs w:val="22"/>
    </w:rPr>
  </w:style>
  <w:style w:type="paragraph" w:customStyle="1" w:styleId="142">
    <w:name w:val="正文一级"/>
    <w:basedOn w:val="1"/>
    <w:unhideWhenUsed/>
    <w:qFormat/>
    <w:uiPriority w:val="99"/>
    <w:pPr>
      <w:widowControl/>
      <w:autoSpaceDE w:val="0"/>
      <w:autoSpaceDN w:val="0"/>
      <w:adjustRightInd w:val="0"/>
      <w:spacing w:before="120" w:after="120"/>
      <w:ind w:left="567" w:right="-11"/>
    </w:pPr>
    <w:rPr>
      <w:rFonts w:ascii="宋体" w:hAnsi="CG Times"/>
    </w:rPr>
  </w:style>
  <w:style w:type="paragraph" w:customStyle="1" w:styleId="143">
    <w:name w:val="Char1"/>
    <w:basedOn w:val="1"/>
    <w:qFormat/>
    <w:uiPriority w:val="0"/>
    <w:pPr>
      <w:spacing w:beforeLines="0" w:afterLines="0" w:line="240" w:lineRule="auto"/>
    </w:pPr>
    <w:rPr>
      <w:rFonts w:hint="default"/>
      <w:sz w:val="21"/>
      <w:szCs w:val="21"/>
    </w:rPr>
  </w:style>
  <w:style w:type="paragraph" w:customStyle="1" w:styleId="144">
    <w:name w:val="样式 标题 3 + (中文) 黑体 小四 非加粗 段前: 7.8 磅 段后: 0 磅 行距: 固定值 20 磅"/>
    <w:basedOn w:val="6"/>
    <w:qFormat/>
    <w:uiPriority w:val="0"/>
    <w:pPr>
      <w:keepNext/>
      <w:keepLines/>
      <w:widowControl w:val="0"/>
      <w:numPr>
        <w:ilvl w:val="0"/>
        <w:numId w:val="0"/>
      </w:numPr>
      <w:tabs>
        <w:tab w:val="clear" w:pos="0"/>
        <w:tab w:val="clear" w:pos="1316"/>
      </w:tabs>
      <w:autoSpaceDE/>
      <w:autoSpaceDN/>
      <w:adjustRightInd/>
      <w:spacing w:beforeLines="0" w:afterLines="0" w:line="400" w:lineRule="exact"/>
    </w:pPr>
    <w:rPr>
      <w:rFonts w:ascii="Times New Roman" w:hAnsi="Times New Roman" w:eastAsia="黑体" w:cs="宋体"/>
      <w:color w:val="auto"/>
    </w:rPr>
  </w:style>
  <w:style w:type="paragraph" w:customStyle="1" w:styleId="145">
    <w:name w:val="Table Paragraph"/>
    <w:basedOn w:val="1"/>
    <w:qFormat/>
    <w:uiPriority w:val="1"/>
    <w:rPr>
      <w:rFonts w:ascii="Calibri" w:hAnsi="Calibri"/>
    </w:rPr>
  </w:style>
  <w:style w:type="character" w:customStyle="1" w:styleId="146">
    <w:name w:val="qxdate"/>
    <w:basedOn w:val="48"/>
    <w:qFormat/>
    <w:uiPriority w:val="0"/>
    <w:rPr>
      <w:color w:val="333333"/>
      <w:sz w:val="18"/>
      <w:szCs w:val="18"/>
    </w:rPr>
  </w:style>
  <w:style w:type="character" w:customStyle="1" w:styleId="147">
    <w:name w:val="prev"/>
    <w:basedOn w:val="48"/>
    <w:qFormat/>
    <w:uiPriority w:val="0"/>
    <w:rPr>
      <w:color w:val="888888"/>
    </w:rPr>
  </w:style>
  <w:style w:type="character" w:customStyle="1" w:styleId="148">
    <w:name w:val="prev1"/>
    <w:basedOn w:val="48"/>
    <w:qFormat/>
    <w:uiPriority w:val="0"/>
    <w:rPr>
      <w:rFonts w:ascii="微软雅黑" w:hAnsi="微软雅黑" w:eastAsia="微软雅黑" w:cs="微软雅黑"/>
      <w:sz w:val="21"/>
      <w:szCs w:val="21"/>
    </w:rPr>
  </w:style>
  <w:style w:type="character" w:customStyle="1" w:styleId="149">
    <w:name w:val="redfilenumber"/>
    <w:basedOn w:val="48"/>
    <w:qFormat/>
    <w:uiPriority w:val="0"/>
    <w:rPr>
      <w:color w:val="BA2636"/>
      <w:sz w:val="18"/>
      <w:szCs w:val="18"/>
    </w:rPr>
  </w:style>
  <w:style w:type="character" w:customStyle="1" w:styleId="150">
    <w:name w:val="next"/>
    <w:basedOn w:val="48"/>
    <w:qFormat/>
    <w:uiPriority w:val="0"/>
    <w:rPr>
      <w:color w:val="888888"/>
    </w:rPr>
  </w:style>
  <w:style w:type="character" w:customStyle="1" w:styleId="151">
    <w:name w:val="next1"/>
    <w:basedOn w:val="48"/>
    <w:qFormat/>
    <w:uiPriority w:val="0"/>
    <w:rPr>
      <w:rFonts w:hint="eastAsia" w:ascii="微软雅黑" w:hAnsi="微软雅黑" w:eastAsia="微软雅黑" w:cs="微软雅黑"/>
      <w:sz w:val="21"/>
      <w:szCs w:val="21"/>
    </w:rPr>
  </w:style>
  <w:style w:type="character" w:customStyle="1" w:styleId="152">
    <w:name w:val="gjfg"/>
    <w:basedOn w:val="48"/>
    <w:qFormat/>
    <w:uiPriority w:val="0"/>
  </w:style>
  <w:style w:type="character" w:customStyle="1" w:styleId="153">
    <w:name w:val="redfilefwwh"/>
    <w:basedOn w:val="48"/>
    <w:qFormat/>
    <w:uiPriority w:val="0"/>
    <w:rPr>
      <w:color w:val="BA2636"/>
      <w:sz w:val="18"/>
      <w:szCs w:val="18"/>
    </w:rPr>
  </w:style>
  <w:style w:type="character" w:customStyle="1" w:styleId="154">
    <w:name w:val="displayarti"/>
    <w:basedOn w:val="48"/>
    <w:qFormat/>
    <w:uiPriority w:val="0"/>
    <w:rPr>
      <w:color w:val="FFFFFF"/>
      <w:shd w:val="clear" w:color="auto" w:fill="A00000"/>
    </w:rPr>
  </w:style>
  <w:style w:type="character" w:customStyle="1" w:styleId="155">
    <w:name w:val="cfdate"/>
    <w:basedOn w:val="48"/>
    <w:qFormat/>
    <w:uiPriority w:val="0"/>
    <w:rPr>
      <w:color w:val="333333"/>
      <w:sz w:val="18"/>
      <w:szCs w:val="18"/>
    </w:rPr>
  </w:style>
  <w:style w:type="character" w:customStyle="1" w:styleId="156">
    <w:name w:val="next2"/>
    <w:basedOn w:val="48"/>
    <w:qFormat/>
    <w:uiPriority w:val="0"/>
    <w:rPr>
      <w:color w:val="888888"/>
    </w:rPr>
  </w:style>
  <w:style w:type="character" w:customStyle="1" w:styleId="157">
    <w:name w:val="next3"/>
    <w:basedOn w:val="48"/>
    <w:qFormat/>
    <w:uiPriority w:val="0"/>
    <w:rPr>
      <w:rFonts w:hint="eastAsia" w:ascii="微软雅黑" w:hAnsi="微软雅黑" w:eastAsia="微软雅黑" w:cs="微软雅黑"/>
      <w:sz w:val="21"/>
      <w:szCs w:val="21"/>
    </w:rPr>
  </w:style>
  <w:style w:type="character" w:customStyle="1" w:styleId="158">
    <w:name w:val="prev2"/>
    <w:basedOn w:val="48"/>
    <w:qFormat/>
    <w:uiPriority w:val="0"/>
    <w:rPr>
      <w:color w:val="888888"/>
    </w:rPr>
  </w:style>
  <w:style w:type="character" w:customStyle="1" w:styleId="159">
    <w:name w:val="prev3"/>
    <w:basedOn w:val="48"/>
    <w:qFormat/>
    <w:uiPriority w:val="0"/>
    <w:rPr>
      <w:rFonts w:ascii="微软雅黑" w:hAnsi="微软雅黑" w:eastAsia="微软雅黑" w:cs="微软雅黑"/>
      <w:sz w:val="21"/>
      <w:szCs w:val="21"/>
    </w:rPr>
  </w:style>
  <w:style w:type="paragraph" w:customStyle="1" w:styleId="1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p141_0"/>
    <w:qFormat/>
    <w:uiPriority w:val="0"/>
    <w:rPr>
      <w:rFonts w:ascii="Calibri" w:hAnsi="Calibri"/>
      <w:sz w:val="21"/>
      <w:szCs w:val="21"/>
    </w:rPr>
  </w:style>
  <w:style w:type="paragraph" w:customStyle="1" w:styleId="162">
    <w:name w:val="正文3"/>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3">
    <w:name w:val="普通(网站)_0"/>
    <w:basedOn w:val="160"/>
    <w:qFormat/>
    <w:uiPriority w:val="0"/>
    <w:pPr>
      <w:widowControl/>
      <w:spacing w:before="100" w:beforeAutospacing="1" w:after="100" w:afterAutospacing="1"/>
      <w:jc w:val="left"/>
    </w:pPr>
    <w:rPr>
      <w:rFonts w:ascii="宋体" w:hAnsi="宋体" w:cs="宋体"/>
      <w:kern w:val="0"/>
      <w:sz w:val="24"/>
    </w:rPr>
  </w:style>
  <w:style w:type="paragraph" w:customStyle="1" w:styleId="164">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5">
    <w:name w:val="font21"/>
    <w:basedOn w:val="48"/>
    <w:qFormat/>
    <w:uiPriority w:val="0"/>
    <w:rPr>
      <w:rFonts w:hint="eastAsia" w:ascii="宋体" w:hAnsi="宋体" w:eastAsia="宋体" w:cs="宋体"/>
      <w:b/>
      <w:bCs/>
      <w:color w:val="000000"/>
      <w:sz w:val="22"/>
      <w:szCs w:val="22"/>
      <w:u w:val="none"/>
    </w:rPr>
  </w:style>
  <w:style w:type="character" w:customStyle="1" w:styleId="166">
    <w:name w:val="font11"/>
    <w:basedOn w:val="48"/>
    <w:qFormat/>
    <w:uiPriority w:val="0"/>
    <w:rPr>
      <w:rFonts w:hint="eastAsia" w:ascii="仿宋" w:hAnsi="仿宋" w:eastAsia="仿宋" w:cs="仿宋"/>
      <w:color w:val="000000"/>
      <w:sz w:val="21"/>
      <w:szCs w:val="21"/>
      <w:u w:val="none"/>
    </w:rPr>
  </w:style>
  <w:style w:type="character" w:customStyle="1" w:styleId="167">
    <w:name w:val="nth-of-type(9)"/>
    <w:basedOn w:val="48"/>
    <w:qFormat/>
    <w:uiPriority w:val="0"/>
  </w:style>
  <w:style w:type="character" w:customStyle="1" w:styleId="168">
    <w:name w:val="hover25"/>
    <w:basedOn w:val="48"/>
    <w:qFormat/>
    <w:uiPriority w:val="0"/>
    <w:rPr>
      <w:color w:val="167AE0"/>
    </w:rPr>
  </w:style>
  <w:style w:type="character" w:customStyle="1" w:styleId="169">
    <w:name w:val="nth-of-type(6)"/>
    <w:basedOn w:val="48"/>
    <w:qFormat/>
    <w:uiPriority w:val="0"/>
  </w:style>
  <w:style w:type="character" w:customStyle="1" w:styleId="170">
    <w:name w:val="nth-of-type(6)1"/>
    <w:basedOn w:val="48"/>
    <w:qFormat/>
    <w:uiPriority w:val="0"/>
  </w:style>
  <w:style w:type="character" w:customStyle="1" w:styleId="171">
    <w:name w:val="nth-of-type(6)2"/>
    <w:basedOn w:val="48"/>
    <w:qFormat/>
    <w:uiPriority w:val="0"/>
  </w:style>
  <w:style w:type="character" w:customStyle="1" w:styleId="172">
    <w:name w:val="nth-of-type(6)3"/>
    <w:basedOn w:val="48"/>
    <w:qFormat/>
    <w:uiPriority w:val="0"/>
  </w:style>
  <w:style w:type="character" w:customStyle="1" w:styleId="173">
    <w:name w:val="nth-of-type(6)4"/>
    <w:basedOn w:val="48"/>
    <w:qFormat/>
    <w:uiPriority w:val="0"/>
    <w:rPr>
      <w:color w:val="0082DF"/>
    </w:rPr>
  </w:style>
  <w:style w:type="character" w:customStyle="1" w:styleId="174">
    <w:name w:val="nth-of-type(6)5"/>
    <w:basedOn w:val="48"/>
    <w:qFormat/>
    <w:uiPriority w:val="0"/>
  </w:style>
  <w:style w:type="character" w:customStyle="1" w:styleId="175">
    <w:name w:val="nth-of-type(1)"/>
    <w:basedOn w:val="48"/>
    <w:qFormat/>
    <w:uiPriority w:val="0"/>
  </w:style>
  <w:style w:type="character" w:customStyle="1" w:styleId="176">
    <w:name w:val="nth-of-type(1)1"/>
    <w:basedOn w:val="48"/>
    <w:qFormat/>
    <w:uiPriority w:val="0"/>
  </w:style>
  <w:style w:type="character" w:customStyle="1" w:styleId="177">
    <w:name w:val="nth-of-type(1)2"/>
    <w:basedOn w:val="48"/>
    <w:qFormat/>
    <w:uiPriority w:val="0"/>
  </w:style>
  <w:style w:type="character" w:customStyle="1" w:styleId="178">
    <w:name w:val="nth-of-type(1)3"/>
    <w:basedOn w:val="48"/>
    <w:qFormat/>
    <w:uiPriority w:val="0"/>
    <w:rPr>
      <w:rFonts w:ascii="SourceHanSansCN-Regular" w:hAnsi="SourceHanSansCN-Regular" w:eastAsia="SourceHanSansCN-Regular" w:cs="SourceHanSansCN-Regular"/>
      <w:color w:val="FB560A"/>
      <w:sz w:val="21"/>
      <w:szCs w:val="21"/>
    </w:rPr>
  </w:style>
  <w:style w:type="character" w:customStyle="1" w:styleId="179">
    <w:name w:val="nth-of-type(1)4"/>
    <w:basedOn w:val="48"/>
    <w:qFormat/>
    <w:uiPriority w:val="0"/>
  </w:style>
  <w:style w:type="character" w:customStyle="1" w:styleId="180">
    <w:name w:val="nth-of-type(1)5"/>
    <w:basedOn w:val="48"/>
    <w:qFormat/>
    <w:uiPriority w:val="0"/>
  </w:style>
  <w:style w:type="character" w:customStyle="1" w:styleId="181">
    <w:name w:val="nth-of-type(1)6"/>
    <w:basedOn w:val="48"/>
    <w:qFormat/>
    <w:uiPriority w:val="0"/>
  </w:style>
  <w:style w:type="character" w:customStyle="1" w:styleId="182">
    <w:name w:val="nth-of-type(1)7"/>
    <w:basedOn w:val="48"/>
    <w:qFormat/>
    <w:uiPriority w:val="0"/>
  </w:style>
  <w:style w:type="character" w:customStyle="1" w:styleId="183">
    <w:name w:val="nth-of-type(1)8"/>
    <w:basedOn w:val="48"/>
    <w:qFormat/>
    <w:uiPriority w:val="0"/>
  </w:style>
  <w:style w:type="character" w:customStyle="1" w:styleId="184">
    <w:name w:val="nth-of-type(1)9"/>
    <w:basedOn w:val="48"/>
    <w:qFormat/>
    <w:uiPriority w:val="0"/>
  </w:style>
  <w:style w:type="character" w:customStyle="1" w:styleId="185">
    <w:name w:val="nth-of-type(1)10"/>
    <w:basedOn w:val="48"/>
    <w:qFormat/>
    <w:uiPriority w:val="0"/>
  </w:style>
  <w:style w:type="character" w:customStyle="1" w:styleId="186">
    <w:name w:val="nth-of-type(1)11"/>
    <w:basedOn w:val="48"/>
    <w:qFormat/>
    <w:uiPriority w:val="0"/>
  </w:style>
  <w:style w:type="character" w:customStyle="1" w:styleId="187">
    <w:name w:val="nth-of-type(1)12"/>
    <w:basedOn w:val="48"/>
    <w:qFormat/>
    <w:uiPriority w:val="0"/>
  </w:style>
  <w:style w:type="character" w:customStyle="1" w:styleId="188">
    <w:name w:val="nth-of-type(1)13"/>
    <w:basedOn w:val="48"/>
    <w:qFormat/>
    <w:uiPriority w:val="0"/>
  </w:style>
  <w:style w:type="character" w:customStyle="1" w:styleId="189">
    <w:name w:val="nth-of-type(1)14"/>
    <w:basedOn w:val="48"/>
    <w:qFormat/>
    <w:uiPriority w:val="0"/>
  </w:style>
  <w:style w:type="character" w:customStyle="1" w:styleId="190">
    <w:name w:val="nth-of-type(1)15"/>
    <w:basedOn w:val="48"/>
    <w:qFormat/>
    <w:uiPriority w:val="0"/>
  </w:style>
  <w:style w:type="character" w:customStyle="1" w:styleId="191">
    <w:name w:val="nth-of-type(1)16"/>
    <w:basedOn w:val="48"/>
    <w:qFormat/>
    <w:uiPriority w:val="0"/>
  </w:style>
  <w:style w:type="character" w:customStyle="1" w:styleId="192">
    <w:name w:val="nth-of-type(1)17"/>
    <w:basedOn w:val="48"/>
    <w:qFormat/>
    <w:uiPriority w:val="0"/>
    <w:rPr>
      <w:sz w:val="21"/>
      <w:szCs w:val="21"/>
    </w:rPr>
  </w:style>
  <w:style w:type="character" w:customStyle="1" w:styleId="193">
    <w:name w:val="nth-of-type(1)18"/>
    <w:basedOn w:val="48"/>
    <w:qFormat/>
    <w:uiPriority w:val="0"/>
  </w:style>
  <w:style w:type="character" w:customStyle="1" w:styleId="194">
    <w:name w:val="nth-of-type(2)"/>
    <w:basedOn w:val="48"/>
    <w:qFormat/>
    <w:uiPriority w:val="0"/>
  </w:style>
  <w:style w:type="character" w:customStyle="1" w:styleId="195">
    <w:name w:val="nth-of-type(2)1"/>
    <w:basedOn w:val="48"/>
    <w:qFormat/>
    <w:uiPriority w:val="0"/>
  </w:style>
  <w:style w:type="character" w:customStyle="1" w:styleId="196">
    <w:name w:val="nth-of-type(2)2"/>
    <w:basedOn w:val="48"/>
    <w:qFormat/>
    <w:uiPriority w:val="0"/>
  </w:style>
  <w:style w:type="character" w:customStyle="1" w:styleId="197">
    <w:name w:val="nth-of-type(2)3"/>
    <w:basedOn w:val="48"/>
    <w:qFormat/>
    <w:uiPriority w:val="0"/>
  </w:style>
  <w:style w:type="character" w:customStyle="1" w:styleId="198">
    <w:name w:val="nth-of-type(2)4"/>
    <w:basedOn w:val="48"/>
    <w:qFormat/>
    <w:uiPriority w:val="0"/>
  </w:style>
  <w:style w:type="character" w:customStyle="1" w:styleId="199">
    <w:name w:val="nth-of-type(2)5"/>
    <w:basedOn w:val="48"/>
    <w:qFormat/>
    <w:uiPriority w:val="0"/>
  </w:style>
  <w:style w:type="character" w:customStyle="1" w:styleId="200">
    <w:name w:val="nth-of-type(2)6"/>
    <w:basedOn w:val="48"/>
    <w:qFormat/>
    <w:uiPriority w:val="0"/>
  </w:style>
  <w:style w:type="character" w:customStyle="1" w:styleId="201">
    <w:name w:val="nth-of-type(2)7"/>
    <w:basedOn w:val="48"/>
    <w:qFormat/>
    <w:uiPriority w:val="0"/>
  </w:style>
  <w:style w:type="character" w:customStyle="1" w:styleId="202">
    <w:name w:val="nth-of-type(2)8"/>
    <w:basedOn w:val="48"/>
    <w:qFormat/>
    <w:uiPriority w:val="0"/>
  </w:style>
  <w:style w:type="character" w:customStyle="1" w:styleId="203">
    <w:name w:val="nth-of-type(2)9"/>
    <w:basedOn w:val="48"/>
    <w:qFormat/>
    <w:uiPriority w:val="0"/>
  </w:style>
  <w:style w:type="character" w:customStyle="1" w:styleId="204">
    <w:name w:val="nth-of-type(2)10"/>
    <w:basedOn w:val="48"/>
    <w:qFormat/>
    <w:uiPriority w:val="0"/>
  </w:style>
  <w:style w:type="character" w:customStyle="1" w:styleId="205">
    <w:name w:val="nth-of-type(2)11"/>
    <w:basedOn w:val="48"/>
    <w:qFormat/>
    <w:uiPriority w:val="0"/>
  </w:style>
  <w:style w:type="character" w:customStyle="1" w:styleId="206">
    <w:name w:val="nth-of-type(2)12"/>
    <w:basedOn w:val="48"/>
    <w:qFormat/>
    <w:uiPriority w:val="0"/>
  </w:style>
  <w:style w:type="character" w:customStyle="1" w:styleId="207">
    <w:name w:val="nth-of-type(2)13"/>
    <w:basedOn w:val="48"/>
    <w:qFormat/>
    <w:uiPriority w:val="0"/>
    <w:rPr>
      <w:sz w:val="21"/>
      <w:szCs w:val="21"/>
    </w:rPr>
  </w:style>
  <w:style w:type="character" w:customStyle="1" w:styleId="208">
    <w:name w:val="nth-of-type(2)14"/>
    <w:basedOn w:val="48"/>
    <w:qFormat/>
    <w:uiPriority w:val="0"/>
  </w:style>
  <w:style w:type="character" w:customStyle="1" w:styleId="209">
    <w:name w:val="lineshow"/>
    <w:basedOn w:val="48"/>
    <w:qFormat/>
    <w:uiPriority w:val="0"/>
  </w:style>
  <w:style w:type="character" w:customStyle="1" w:styleId="210">
    <w:name w:val="lineshow1"/>
    <w:basedOn w:val="48"/>
    <w:qFormat/>
    <w:uiPriority w:val="0"/>
  </w:style>
  <w:style w:type="character" w:customStyle="1" w:styleId="211">
    <w:name w:val="nth-of-type(3)"/>
    <w:basedOn w:val="48"/>
    <w:qFormat/>
    <w:uiPriority w:val="0"/>
  </w:style>
  <w:style w:type="character" w:customStyle="1" w:styleId="212">
    <w:name w:val="nth-of-type(3)1"/>
    <w:basedOn w:val="48"/>
    <w:qFormat/>
    <w:uiPriority w:val="0"/>
  </w:style>
  <w:style w:type="character" w:customStyle="1" w:styleId="213">
    <w:name w:val="nth-of-type(3)2"/>
    <w:basedOn w:val="48"/>
    <w:qFormat/>
    <w:uiPriority w:val="0"/>
  </w:style>
  <w:style w:type="character" w:customStyle="1" w:styleId="214">
    <w:name w:val="nth-of-type(3)3"/>
    <w:basedOn w:val="48"/>
    <w:qFormat/>
    <w:uiPriority w:val="0"/>
  </w:style>
  <w:style w:type="character" w:customStyle="1" w:styleId="215">
    <w:name w:val="nth-of-type(3)4"/>
    <w:basedOn w:val="48"/>
    <w:qFormat/>
    <w:uiPriority w:val="0"/>
  </w:style>
  <w:style w:type="character" w:customStyle="1" w:styleId="216">
    <w:name w:val="nth-of-type(3)5"/>
    <w:basedOn w:val="48"/>
    <w:qFormat/>
    <w:uiPriority w:val="0"/>
  </w:style>
  <w:style w:type="character" w:customStyle="1" w:styleId="217">
    <w:name w:val="nth-of-type(3)6"/>
    <w:basedOn w:val="48"/>
    <w:qFormat/>
    <w:uiPriority w:val="0"/>
    <w:rPr>
      <w:sz w:val="21"/>
      <w:szCs w:val="21"/>
    </w:rPr>
  </w:style>
  <w:style w:type="character" w:customStyle="1" w:styleId="218">
    <w:name w:val="nth-of-type(3)7"/>
    <w:basedOn w:val="48"/>
    <w:qFormat/>
    <w:uiPriority w:val="0"/>
  </w:style>
  <w:style w:type="character" w:customStyle="1" w:styleId="219">
    <w:name w:val="nth-of-type(5)"/>
    <w:basedOn w:val="48"/>
    <w:qFormat/>
    <w:uiPriority w:val="0"/>
  </w:style>
  <w:style w:type="character" w:customStyle="1" w:styleId="220">
    <w:name w:val="nth-of-type(5)1"/>
    <w:basedOn w:val="48"/>
    <w:qFormat/>
    <w:uiPriority w:val="0"/>
  </w:style>
  <w:style w:type="character" w:customStyle="1" w:styleId="221">
    <w:name w:val="nth-of-type(5)2"/>
    <w:basedOn w:val="48"/>
    <w:qFormat/>
    <w:uiPriority w:val="0"/>
  </w:style>
  <w:style w:type="character" w:customStyle="1" w:styleId="222">
    <w:name w:val="nth-of-type(5)3"/>
    <w:basedOn w:val="48"/>
    <w:qFormat/>
    <w:uiPriority w:val="0"/>
  </w:style>
  <w:style w:type="character" w:customStyle="1" w:styleId="223">
    <w:name w:val="nth-of-type(5)4"/>
    <w:basedOn w:val="48"/>
    <w:qFormat/>
    <w:uiPriority w:val="0"/>
  </w:style>
  <w:style w:type="character" w:customStyle="1" w:styleId="224">
    <w:name w:val="nth-of-type(5)5"/>
    <w:basedOn w:val="48"/>
    <w:qFormat/>
    <w:uiPriority w:val="0"/>
    <w:rPr>
      <w:sz w:val="21"/>
      <w:szCs w:val="21"/>
    </w:rPr>
  </w:style>
  <w:style w:type="character" w:customStyle="1" w:styleId="225">
    <w:name w:val="nth-of-type(5)6"/>
    <w:basedOn w:val="48"/>
    <w:qFormat/>
    <w:uiPriority w:val="0"/>
  </w:style>
  <w:style w:type="character" w:customStyle="1" w:styleId="226">
    <w:name w:val="nth-of-type(4)"/>
    <w:basedOn w:val="48"/>
    <w:qFormat/>
    <w:uiPriority w:val="0"/>
  </w:style>
  <w:style w:type="character" w:customStyle="1" w:styleId="227">
    <w:name w:val="nth-of-type(4)1"/>
    <w:basedOn w:val="48"/>
    <w:qFormat/>
    <w:uiPriority w:val="0"/>
  </w:style>
  <w:style w:type="character" w:customStyle="1" w:styleId="228">
    <w:name w:val="nth-of-type(4)2"/>
    <w:basedOn w:val="48"/>
    <w:qFormat/>
    <w:uiPriority w:val="0"/>
  </w:style>
  <w:style w:type="character" w:customStyle="1" w:styleId="229">
    <w:name w:val="nth-of-type(4)3"/>
    <w:basedOn w:val="48"/>
    <w:qFormat/>
    <w:uiPriority w:val="0"/>
  </w:style>
  <w:style w:type="character" w:customStyle="1" w:styleId="230">
    <w:name w:val="nth-of-type(4)4"/>
    <w:basedOn w:val="48"/>
    <w:qFormat/>
    <w:uiPriority w:val="0"/>
  </w:style>
  <w:style w:type="character" w:customStyle="1" w:styleId="231">
    <w:name w:val="nth-of-type(4)5"/>
    <w:basedOn w:val="48"/>
    <w:qFormat/>
    <w:uiPriority w:val="0"/>
  </w:style>
  <w:style w:type="character" w:customStyle="1" w:styleId="232">
    <w:name w:val="nth-of-type(4)6"/>
    <w:basedOn w:val="48"/>
    <w:qFormat/>
    <w:uiPriority w:val="0"/>
  </w:style>
  <w:style w:type="character" w:customStyle="1" w:styleId="233">
    <w:name w:val="nth-of-type(4)7"/>
    <w:basedOn w:val="48"/>
    <w:qFormat/>
    <w:uiPriority w:val="0"/>
    <w:rPr>
      <w:sz w:val="21"/>
      <w:szCs w:val="21"/>
    </w:rPr>
  </w:style>
  <w:style w:type="character" w:customStyle="1" w:styleId="234">
    <w:name w:val="nth-of-type(4)8"/>
    <w:basedOn w:val="48"/>
    <w:qFormat/>
    <w:uiPriority w:val="0"/>
  </w:style>
  <w:style w:type="character" w:customStyle="1" w:styleId="235">
    <w:name w:val="nth-of-type(7)"/>
    <w:basedOn w:val="48"/>
    <w:qFormat/>
    <w:uiPriority w:val="0"/>
  </w:style>
  <w:style w:type="character" w:customStyle="1" w:styleId="236">
    <w:name w:val="nth-of-type(7)1"/>
    <w:basedOn w:val="48"/>
    <w:qFormat/>
    <w:uiPriority w:val="0"/>
  </w:style>
  <w:style w:type="character" w:customStyle="1" w:styleId="237">
    <w:name w:val="nth-of-type(7)2"/>
    <w:basedOn w:val="48"/>
    <w:qFormat/>
    <w:uiPriority w:val="0"/>
  </w:style>
  <w:style w:type="character" w:customStyle="1" w:styleId="238">
    <w:name w:val="titleshow"/>
    <w:basedOn w:val="48"/>
    <w:qFormat/>
    <w:uiPriority w:val="0"/>
    <w:rPr>
      <w:color w:val="3E464C"/>
    </w:rPr>
  </w:style>
  <w:style w:type="character" w:customStyle="1" w:styleId="239">
    <w:name w:val="nth-child(3)"/>
    <w:basedOn w:val="48"/>
    <w:qFormat/>
    <w:uiPriority w:val="0"/>
  </w:style>
  <w:style w:type="character" w:customStyle="1" w:styleId="240">
    <w:name w:val="layui-this"/>
    <w:basedOn w:val="48"/>
    <w:qFormat/>
    <w:uiPriority w:val="0"/>
    <w:rPr>
      <w:bdr w:val="single" w:color="EEEEEE" w:sz="6" w:space="0"/>
      <w:shd w:val="clear" w:color="auto" w:fill="FFFFFF"/>
    </w:rPr>
  </w:style>
  <w:style w:type="character" w:customStyle="1" w:styleId="241">
    <w:name w:val="nth-of-type(8)"/>
    <w:basedOn w:val="48"/>
    <w:qFormat/>
    <w:uiPriority w:val="0"/>
  </w:style>
  <w:style w:type="character" w:customStyle="1" w:styleId="242">
    <w:name w:val="nth-of-type(10)"/>
    <w:basedOn w:val="48"/>
    <w:qFormat/>
    <w:uiPriority w:val="0"/>
  </w:style>
  <w:style w:type="character" w:customStyle="1" w:styleId="243">
    <w:name w:val="first-child1"/>
    <w:basedOn w:val="48"/>
    <w:qFormat/>
    <w:uiPriority w:val="0"/>
  </w:style>
  <w:style w:type="character" w:customStyle="1" w:styleId="244">
    <w:name w:val="first-child2"/>
    <w:basedOn w:val="48"/>
    <w:qFormat/>
    <w:uiPriority w:val="0"/>
  </w:style>
  <w:style w:type="character" w:customStyle="1" w:styleId="245">
    <w:name w:val="first-child3"/>
    <w:basedOn w:val="48"/>
    <w:qFormat/>
    <w:uiPriority w:val="0"/>
  </w:style>
  <w:style w:type="character" w:customStyle="1" w:styleId="246">
    <w:name w:val="first-child4"/>
    <w:basedOn w:val="48"/>
    <w:qFormat/>
    <w:uiPriority w:val="0"/>
  </w:style>
  <w:style w:type="character" w:customStyle="1" w:styleId="247">
    <w:name w:val="last-child1"/>
    <w:basedOn w:val="48"/>
    <w:qFormat/>
    <w:uiPriority w:val="0"/>
    <w:rPr>
      <w:color w:val="FFFFFF"/>
    </w:rPr>
  </w:style>
  <w:style w:type="character" w:customStyle="1" w:styleId="248">
    <w:name w:val="last-child2"/>
    <w:basedOn w:val="48"/>
    <w:qFormat/>
    <w:uiPriority w:val="0"/>
  </w:style>
  <w:style w:type="character" w:customStyle="1" w:styleId="249">
    <w:name w:val="last-child3"/>
    <w:basedOn w:val="48"/>
    <w:qFormat/>
    <w:uiPriority w:val="0"/>
  </w:style>
  <w:style w:type="character" w:customStyle="1" w:styleId="250">
    <w:name w:val="nth-child(2)"/>
    <w:basedOn w:val="48"/>
    <w:qFormat/>
    <w:uiPriority w:val="0"/>
  </w:style>
  <w:style w:type="character" w:customStyle="1" w:styleId="251">
    <w:name w:val="nth-child(1)"/>
    <w:basedOn w:val="48"/>
    <w:qFormat/>
    <w:uiPriority w:val="0"/>
  </w:style>
  <w:style w:type="character" w:customStyle="1" w:styleId="252">
    <w:name w:val="layui-laypage-curr"/>
    <w:basedOn w:val="48"/>
    <w:qFormat/>
    <w:uiPriority w:val="0"/>
  </w:style>
  <w:style w:type="character" w:customStyle="1" w:styleId="253">
    <w:name w:val="before2"/>
    <w:basedOn w:val="48"/>
    <w:qFormat/>
    <w:uiPriority w:val="0"/>
    <w:rPr>
      <w:shd w:val="clear" w:color="auto" w:fill="C20E0C"/>
    </w:rPr>
  </w:style>
  <w:style w:type="character" w:customStyle="1" w:styleId="254">
    <w:name w:val="layui-this4"/>
    <w:basedOn w:val="48"/>
    <w:qFormat/>
    <w:uiPriority w:val="0"/>
    <w:rPr>
      <w:bdr w:val="single" w:color="EEEEEE" w:sz="6" w:space="0"/>
      <w:shd w:val="clear" w:color="auto" w:fill="FFFFFF"/>
    </w:rPr>
  </w:style>
  <w:style w:type="character" w:customStyle="1" w:styleId="255">
    <w:name w:val="before"/>
    <w:basedOn w:val="48"/>
    <w:qFormat/>
    <w:uiPriority w:val="0"/>
    <w:rPr>
      <w:shd w:val="clear" w:color="auto" w:fill="C20E0C"/>
    </w:rPr>
  </w:style>
  <w:style w:type="character" w:customStyle="1" w:styleId="256">
    <w:name w:val="first-child"/>
    <w:basedOn w:val="48"/>
    <w:qFormat/>
    <w:uiPriority w:val="0"/>
  </w:style>
  <w:style w:type="character" w:customStyle="1" w:styleId="257">
    <w:name w:val="layui-this3"/>
    <w:basedOn w:val="48"/>
    <w:qFormat/>
    <w:uiPriority w:val="0"/>
    <w:rPr>
      <w:bdr w:val="single" w:color="EEEEEE" w:sz="6" w:space="0"/>
      <w:shd w:val="clear" w:color="auto" w:fill="FFFFFF"/>
    </w:rPr>
  </w:style>
  <w:style w:type="character" w:customStyle="1" w:styleId="258">
    <w:name w:val="last-child"/>
    <w:basedOn w:val="48"/>
    <w:qFormat/>
    <w:uiPriority w:val="0"/>
    <w:rPr>
      <w:color w:val="FFFFFF"/>
    </w:rPr>
  </w:style>
  <w:style w:type="character" w:customStyle="1" w:styleId="259">
    <w:name w:val="hover24"/>
    <w:basedOn w:val="48"/>
    <w:qFormat/>
    <w:uiPriority w:val="0"/>
    <w:rPr>
      <w:color w:val="167AE0"/>
    </w:rPr>
  </w:style>
  <w:style w:type="character" w:customStyle="1" w:styleId="260">
    <w:name w:val="font41"/>
    <w:basedOn w:val="48"/>
    <w:qFormat/>
    <w:uiPriority w:val="0"/>
    <w:rPr>
      <w:rFonts w:hint="eastAsia" w:ascii="仿宋_GB2312" w:eastAsia="仿宋_GB2312" w:cs="仿宋_GB2312"/>
      <w:color w:val="000000"/>
      <w:sz w:val="20"/>
      <w:szCs w:val="20"/>
      <w:u w:val="none"/>
    </w:rPr>
  </w:style>
  <w:style w:type="character" w:customStyle="1" w:styleId="261">
    <w:name w:val="font01"/>
    <w:basedOn w:val="48"/>
    <w:qFormat/>
    <w:uiPriority w:val="0"/>
    <w:rPr>
      <w:rFonts w:hint="eastAsia" w:ascii="仿宋_GB2312" w:eastAsia="仿宋_GB2312" w:cs="仿宋_GB2312"/>
      <w:color w:val="000000"/>
      <w:sz w:val="20"/>
      <w:szCs w:val="20"/>
      <w:u w:val="none"/>
      <w:vertAlign w:val="subscript"/>
    </w:rPr>
  </w:style>
  <w:style w:type="table" w:customStyle="1" w:styleId="262">
    <w:name w:val="网格型1"/>
    <w:basedOn w:val="4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3">
    <w:name w:val="077-正文格式"/>
    <w:basedOn w:val="1"/>
    <w:qFormat/>
    <w:uiPriority w:val="0"/>
    <w:pPr>
      <w:adjustRightInd w:val="0"/>
      <w:snapToGrid w:val="0"/>
      <w:ind w:firstLine="200" w:firstLineChars="200"/>
    </w:pPr>
    <w:rPr>
      <w:rFonts w:ascii="宋体"/>
      <w:kern w:val="0"/>
    </w:rPr>
  </w:style>
  <w:style w:type="paragraph" w:customStyle="1" w:styleId="264">
    <w:name w:val="CM1"/>
    <w:basedOn w:val="63"/>
    <w:next w:val="63"/>
    <w:qFormat/>
    <w:uiPriority w:val="99"/>
    <w:pPr>
      <w:spacing w:line="468" w:lineRule="atLeast"/>
    </w:pPr>
    <w:rPr>
      <w:rFonts w:hAnsi="等线"/>
      <w:color w:val="auto"/>
    </w:rPr>
  </w:style>
  <w:style w:type="paragraph" w:customStyle="1" w:styleId="265">
    <w:name w:val="CM2"/>
    <w:basedOn w:val="63"/>
    <w:next w:val="63"/>
    <w:qFormat/>
    <w:uiPriority w:val="99"/>
    <w:pPr>
      <w:spacing w:line="471" w:lineRule="atLeast"/>
    </w:pPr>
    <w:rPr>
      <w:rFonts w:hAnsi="等线"/>
      <w:color w:val="auto"/>
    </w:rPr>
  </w:style>
  <w:style w:type="paragraph" w:customStyle="1" w:styleId="266">
    <w:name w:val="Other|1"/>
    <w:basedOn w:val="1"/>
    <w:qFormat/>
    <w:uiPriority w:val="0"/>
    <w:rPr>
      <w:lang w:val="zh-TW" w:eastAsia="zh-TW" w:bidi="zh-TW"/>
    </w:rPr>
  </w:style>
  <w:style w:type="table" w:customStyle="1" w:styleId="267">
    <w:name w:val="Table Normal"/>
    <w:unhideWhenUsed/>
    <w:qFormat/>
    <w:uiPriority w:val="2"/>
    <w:tblPr>
      <w:tblCellMar>
        <w:top w:w="0" w:type="dxa"/>
        <w:left w:w="0" w:type="dxa"/>
        <w:bottom w:w="0" w:type="dxa"/>
        <w:right w:w="0" w:type="dxa"/>
      </w:tblCellMar>
    </w:tblPr>
  </w:style>
  <w:style w:type="paragraph" w:customStyle="1" w:styleId="268">
    <w:name w:val="p0"/>
    <w:basedOn w:val="1"/>
    <w:qFormat/>
    <w:uiPriority w:val="0"/>
    <w:rPr>
      <w:sz w:val="21"/>
      <w:szCs w:val="21"/>
    </w:rPr>
  </w:style>
  <w:style w:type="paragraph" w:customStyle="1" w:styleId="269">
    <w:name w:val="_Style 4"/>
    <w:basedOn w:val="4"/>
    <w:next w:val="1"/>
    <w:qFormat/>
    <w:uiPriority w:val="0"/>
    <w:pPr>
      <w:widowControl w:val="0"/>
      <w:spacing w:line="576" w:lineRule="auto"/>
      <w:jc w:val="both"/>
      <w:outlineLvl w:val="9"/>
    </w:pPr>
    <w:rPr>
      <w:rFonts w:ascii="Calibri" w:hAnsi="Calibri"/>
    </w:rPr>
  </w:style>
  <w:style w:type="character" w:customStyle="1" w:styleId="270">
    <w:name w:val="15"/>
    <w:qFormat/>
    <w:uiPriority w:val="0"/>
    <w:rPr>
      <w:rFonts w:hint="default" w:ascii="Times New Roman" w:hAnsi="Times New Roman" w:cs="Times New Roman"/>
      <w:color w:val="464445"/>
      <w:u w:val="none"/>
    </w:rPr>
  </w:style>
  <w:style w:type="paragraph" w:customStyle="1" w:styleId="271">
    <w:name w:val="首行缩进"/>
    <w:basedOn w:val="1"/>
    <w:qFormat/>
    <w:uiPriority w:val="99"/>
    <w:pPr>
      <w:ind w:firstLine="480" w:firstLineChars="200"/>
    </w:pPr>
    <w:rPr>
      <w:lang w:val="zh-CN"/>
    </w:rPr>
  </w:style>
  <w:style w:type="paragraph" w:customStyle="1" w:styleId="272">
    <w:name w:val="监理公司样式3"/>
    <w:basedOn w:val="6"/>
    <w:qFormat/>
    <w:uiPriority w:val="0"/>
    <w:pPr>
      <w:tabs>
        <w:tab w:val="clear" w:pos="0"/>
        <w:tab w:val="clear" w:pos="1316"/>
      </w:tabs>
      <w:spacing w:before="260" w:after="260" w:line="415" w:lineRule="auto"/>
    </w:pPr>
  </w:style>
  <w:style w:type="character" w:customStyle="1" w:styleId="273">
    <w:name w:val="font112"/>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32163</Words>
  <Characters>34240</Characters>
  <Lines>299</Lines>
  <Paragraphs>84</Paragraphs>
  <TotalTime>55</TotalTime>
  <ScaleCrop>false</ScaleCrop>
  <LinksUpToDate>false</LinksUpToDate>
  <CharactersWithSpaces>37042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2023-08-30T00:14:00Z</dcterms:created>
  <dc:creator>Administrator.SKY-20191012QKI</dc:creator>
  <cp:lastModifiedBy> D</cp:lastModifiedBy>
  <cp:lastPrinted>2021-10-28T10:28:00Z</cp:lastPrinted>
  <dcterms:modified xsi:type="dcterms:W3CDTF">2023-10-08T01:16:16Z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F91F04DA4C5CE05E28C2F964347EBF80_43</vt:lpwstr>
  </property>
</Properties>
</file>