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1251585" cy="1221740"/>
            <wp:effectExtent l="0" t="0" r="5715" b="16510"/>
            <wp:docPr id="3" name="图片 3" descr="九科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九科logo.jpg"/>
                    <pic:cNvPicPr>
                      <a:picLocks noChangeAspect="1"/>
                    </pic:cNvPicPr>
                  </pic:nvPicPr>
                  <pic:blipFill>
                    <a:blip r:embed="rId17"/>
                    <a:stretch>
                      <a:fillRect/>
                    </a:stretch>
                  </pic:blipFill>
                  <pic:spPr>
                    <a:xfrm>
                      <a:off x="0" y="0"/>
                      <a:ext cx="1251585" cy="1221740"/>
                    </a:xfrm>
                    <a:prstGeom prst="rect">
                      <a:avLst/>
                    </a:prstGeom>
                    <a:noFill/>
                    <a:ln>
                      <a:noFill/>
                    </a:ln>
                  </pic:spPr>
                </pic:pic>
              </a:graphicData>
            </a:graphic>
          </wp:inline>
        </w:drawing>
      </w: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23"/>
        <w:ind w:left="0" w:leftChars="0" w:firstLine="0" w:firstLineChars="0"/>
        <w:jc w:val="center"/>
        <w:rPr>
          <w:rFonts w:hint="default" w:ascii="宋体" w:hAnsi="宋体" w:eastAsia="宋体" w:cs="宋体"/>
          <w:b/>
          <w:bCs/>
          <w:color w:val="auto"/>
          <w:sz w:val="40"/>
          <w:szCs w:val="22"/>
          <w:highlight w:val="none"/>
          <w:lang w:val="en-US"/>
        </w:rPr>
      </w:pPr>
      <w:r>
        <w:rPr>
          <w:rFonts w:hint="default" w:ascii="宋体" w:hAnsi="宋体" w:eastAsia="宋体" w:cs="宋体"/>
          <w:b/>
          <w:bCs/>
          <w:color w:val="auto"/>
          <w:sz w:val="40"/>
          <w:szCs w:val="22"/>
          <w:highlight w:val="none"/>
          <w:lang w:val="en-US"/>
        </w:rPr>
        <w:t>陕西咸阳中学远航楼、怡然楼、雅舍楼 卫生间及管网改造工程</w:t>
      </w:r>
    </w:p>
    <w:p>
      <w:pPr>
        <w:jc w:val="center"/>
        <w:rPr>
          <w:rFonts w:hint="eastAsia" w:ascii="宋体" w:hAnsi="宋体" w:eastAsia="宋体" w:cs="宋体"/>
          <w:b/>
          <w:color w:val="auto"/>
          <w:sz w:val="28"/>
          <w:szCs w:val="22"/>
          <w:highlight w:val="none"/>
          <w:lang w:val="en-US" w:eastAsia="zh-CN"/>
        </w:rPr>
      </w:pPr>
    </w:p>
    <w:p>
      <w:pPr>
        <w:pStyle w:val="12"/>
        <w:rPr>
          <w:rFonts w:hint="eastAsia" w:ascii="宋体" w:hAnsi="宋体" w:eastAsia="宋体" w:cs="宋体"/>
          <w:b/>
          <w:color w:val="auto"/>
          <w:sz w:val="28"/>
          <w:szCs w:val="22"/>
          <w:highlight w:val="none"/>
          <w:lang w:val="en-US" w:eastAsia="zh-CN"/>
        </w:rPr>
      </w:pPr>
    </w:p>
    <w:p>
      <w:pPr>
        <w:pStyle w:val="12"/>
        <w:rPr>
          <w:rFonts w:hint="eastAsia" w:ascii="宋体" w:hAnsi="宋体" w:eastAsia="宋体" w:cs="宋体"/>
          <w:b/>
          <w:color w:val="auto"/>
          <w:sz w:val="28"/>
          <w:szCs w:val="22"/>
          <w:highlight w:val="none"/>
          <w:lang w:val="en-US" w:eastAsia="zh-CN"/>
        </w:rPr>
      </w:pPr>
    </w:p>
    <w:p>
      <w:pPr>
        <w:pStyle w:val="11"/>
        <w:rPr>
          <w:rFonts w:hint="eastAsia" w:ascii="宋体" w:hAnsi="宋体" w:eastAsia="宋体" w:cs="宋体"/>
          <w:color w:val="auto"/>
          <w:highlight w:val="none"/>
        </w:rPr>
      </w:pPr>
    </w:p>
    <w:p>
      <w:pPr>
        <w:spacing w:line="60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lang w:val="en-US" w:eastAsia="zh-CN"/>
        </w:rPr>
        <w:t>竞争性</w:t>
      </w:r>
      <w:r>
        <w:rPr>
          <w:rFonts w:hint="eastAsia" w:ascii="宋体" w:hAnsi="宋体" w:eastAsia="宋体" w:cs="宋体"/>
          <w:b/>
          <w:bCs/>
          <w:color w:val="auto"/>
          <w:sz w:val="56"/>
          <w:szCs w:val="56"/>
          <w:highlight w:val="none"/>
        </w:rPr>
        <w:t>磋商文件</w:t>
      </w:r>
    </w:p>
    <w:p>
      <w:pPr>
        <w:jc w:val="center"/>
        <w:rPr>
          <w:rFonts w:hint="default" w:ascii="宋体" w:hAnsi="宋体" w:eastAsia="宋体" w:cs="宋体"/>
          <w:b/>
          <w:color w:val="auto"/>
          <w:sz w:val="28"/>
          <w:szCs w:val="22"/>
          <w:highlight w:val="none"/>
          <w:lang w:val="en-US"/>
        </w:rPr>
      </w:pPr>
      <w:r>
        <w:rPr>
          <w:rFonts w:hint="eastAsia" w:ascii="宋体" w:hAnsi="宋体" w:eastAsia="宋体" w:cs="宋体"/>
          <w:b/>
          <w:color w:val="auto"/>
          <w:sz w:val="28"/>
          <w:szCs w:val="22"/>
          <w:highlight w:val="none"/>
        </w:rPr>
        <w:t>项目编号：</w:t>
      </w:r>
      <w:r>
        <w:rPr>
          <w:rFonts w:hint="eastAsia" w:ascii="宋体" w:hAnsi="宋体" w:eastAsia="宋体" w:cs="宋体"/>
          <w:b/>
          <w:color w:val="auto"/>
          <w:sz w:val="28"/>
          <w:szCs w:val="22"/>
          <w:highlight w:val="none"/>
          <w:lang w:val="en-US" w:eastAsia="zh-CN"/>
        </w:rPr>
        <w:t>CYJK-ZFCG-2023-0</w:t>
      </w:r>
      <w:r>
        <w:rPr>
          <w:rFonts w:hint="eastAsia" w:ascii="宋体" w:hAnsi="宋体" w:cs="宋体"/>
          <w:b/>
          <w:color w:val="auto"/>
          <w:sz w:val="28"/>
          <w:szCs w:val="22"/>
          <w:highlight w:val="none"/>
          <w:lang w:val="en-US" w:eastAsia="zh-CN"/>
        </w:rPr>
        <w:t>14</w:t>
      </w:r>
    </w:p>
    <w:p>
      <w:pPr>
        <w:spacing w:line="360" w:lineRule="auto"/>
        <w:rPr>
          <w:rFonts w:hint="eastAsia" w:ascii="宋体" w:hAnsi="宋体" w:eastAsia="宋体" w:cs="宋体"/>
          <w:b/>
          <w:color w:val="auto"/>
          <w:sz w:val="32"/>
          <w:szCs w:val="32"/>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spacing w:line="480" w:lineRule="auto"/>
        <w:ind w:firstLine="1285" w:firstLineChars="4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购</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人：陕西咸阳中学</w:t>
      </w:r>
    </w:p>
    <w:p>
      <w:pPr>
        <w:spacing w:line="480" w:lineRule="auto"/>
        <w:ind w:firstLine="1285" w:firstLineChars="400"/>
        <w:rPr>
          <w:rFonts w:hint="eastAsia" w:ascii="宋体" w:hAnsi="宋体" w:eastAsia="宋体" w:cs="宋体"/>
          <w:b/>
          <w:bCs/>
          <w:color w:val="auto"/>
          <w:spacing w:val="-11"/>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cs="宋体"/>
          <w:b/>
          <w:bCs/>
          <w:color w:val="auto"/>
          <w:spacing w:val="-11"/>
          <w:sz w:val="32"/>
          <w:szCs w:val="32"/>
          <w:highlight w:val="none"/>
          <w:lang w:eastAsia="zh-CN"/>
        </w:rPr>
        <w:t>陕西宸逸九科项目咨询管理有限公司</w:t>
      </w:r>
    </w:p>
    <w:p>
      <w:pPr>
        <w:spacing w:line="480" w:lineRule="auto"/>
        <w:ind w:firstLine="1285" w:firstLineChars="400"/>
        <w:rPr>
          <w:rFonts w:hint="eastAsia" w:ascii="宋体" w:hAnsi="宋体" w:eastAsia="宋体" w:cs="宋体"/>
          <w:b/>
          <w:color w:val="auto"/>
          <w:sz w:val="40"/>
          <w:szCs w:val="18"/>
          <w:highlight w:val="none"/>
          <w:lang w:val="en-US" w:eastAsia="zh-CN"/>
        </w:rPr>
      </w:pPr>
      <w:r>
        <w:rPr>
          <w:rFonts w:hint="eastAsia" w:ascii="宋体" w:hAnsi="宋体" w:eastAsia="宋体" w:cs="宋体"/>
          <w:b/>
          <w:bCs/>
          <w:color w:val="auto"/>
          <w:sz w:val="32"/>
          <w:szCs w:val="32"/>
          <w:highlight w:val="none"/>
        </w:rPr>
        <w:t>日</w:t>
      </w: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期：二〇二</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十</w:t>
      </w:r>
      <w:r>
        <w:rPr>
          <w:rFonts w:hint="eastAsia" w:ascii="宋体" w:hAnsi="宋体" w:eastAsia="宋体" w:cs="宋体"/>
          <w:b/>
          <w:bCs/>
          <w:color w:val="auto"/>
          <w:sz w:val="32"/>
          <w:szCs w:val="32"/>
          <w:highlight w:val="none"/>
        </w:rPr>
        <w:t>月</w:t>
      </w:r>
    </w:p>
    <w:p>
      <w:pPr>
        <w:pStyle w:val="20"/>
        <w:tabs>
          <w:tab w:val="right" w:leader="dot" w:pos="8306"/>
        </w:tabs>
        <w:jc w:val="center"/>
        <w:rPr>
          <w:rFonts w:hint="eastAsia" w:ascii="宋体" w:hAnsi="宋体" w:eastAsia="宋体" w:cs="宋体"/>
          <w:b/>
          <w:color w:val="auto"/>
          <w:sz w:val="40"/>
          <w:szCs w:val="18"/>
          <w:highlight w:val="none"/>
          <w:lang w:val="en-US" w:eastAsia="zh-CN"/>
        </w:rPr>
        <w:sectPr>
          <w:footerReference r:id="rId5" w:type="first"/>
          <w:headerReference r:id="rId3" w:type="default"/>
          <w:footerReference r:id="rId4" w:type="default"/>
          <w:pgSz w:w="11906" w:h="16838"/>
          <w:pgMar w:top="1440" w:right="1800" w:bottom="1440" w:left="1800" w:header="1185" w:footer="1361"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0"/>
        <w:tabs>
          <w:tab w:val="right" w:leader="dot" w:pos="8306"/>
        </w:tabs>
        <w:jc w:val="center"/>
        <w:rPr>
          <w:rFonts w:hint="eastAsia" w:ascii="宋体" w:hAnsi="宋体" w:eastAsia="宋体" w:cs="宋体"/>
          <w:b/>
          <w:color w:val="auto"/>
          <w:sz w:val="40"/>
          <w:szCs w:val="18"/>
          <w:highlight w:val="none"/>
          <w:lang w:val="en-US" w:eastAsia="zh-CN"/>
        </w:rPr>
      </w:pPr>
      <w:r>
        <w:rPr>
          <w:rFonts w:hint="eastAsia" w:ascii="宋体" w:hAnsi="宋体" w:eastAsia="宋体" w:cs="宋体"/>
          <w:b/>
          <w:color w:val="auto"/>
          <w:sz w:val="40"/>
          <w:szCs w:val="18"/>
          <w:highlight w:val="none"/>
          <w:lang w:val="en-US" w:eastAsia="zh-CN"/>
        </w:rPr>
        <w:t>目 录</w:t>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r>
        <w:rPr>
          <w:rFonts w:hint="eastAsia" w:ascii="宋体" w:hAnsi="宋体" w:eastAsia="宋体" w:cs="宋体"/>
          <w:b/>
          <w:bCs/>
          <w:color w:val="auto"/>
          <w:sz w:val="200"/>
          <w:szCs w:val="48"/>
          <w:highlight w:val="none"/>
        </w:rPr>
        <w:fldChar w:fldCharType="begin"/>
      </w:r>
      <w:r>
        <w:rPr>
          <w:rFonts w:hint="eastAsia" w:ascii="宋体" w:hAnsi="宋体" w:eastAsia="宋体" w:cs="宋体"/>
          <w:b/>
          <w:bCs/>
          <w:color w:val="auto"/>
          <w:sz w:val="200"/>
          <w:szCs w:val="48"/>
          <w:highlight w:val="none"/>
        </w:rPr>
        <w:instrText xml:space="preserve">TOC \o "1-1" \h \u </w:instrText>
      </w:r>
      <w:r>
        <w:rPr>
          <w:rFonts w:hint="eastAsia" w:ascii="宋体" w:hAnsi="宋体" w:eastAsia="宋体" w:cs="宋体"/>
          <w:b/>
          <w:bCs/>
          <w:color w:val="auto"/>
          <w:sz w:val="200"/>
          <w:szCs w:val="48"/>
          <w:highlight w:val="none"/>
        </w:rPr>
        <w:fldChar w:fldCharType="separate"/>
      </w:r>
      <w:r>
        <w:rPr>
          <w:rFonts w:hint="eastAsia" w:ascii="宋体" w:hAnsi="宋体" w:eastAsia="宋体" w:cs="宋体"/>
          <w:b/>
          <w:bCs/>
          <w:color w:val="auto"/>
          <w:sz w:val="28"/>
          <w:szCs w:val="48"/>
          <w:highlight w:val="none"/>
        </w:rPr>
        <w:fldChar w:fldCharType="begin"/>
      </w:r>
      <w:r>
        <w:rPr>
          <w:rFonts w:hint="eastAsia" w:ascii="宋体" w:hAnsi="宋体" w:eastAsia="宋体" w:cs="宋体"/>
          <w:b/>
          <w:bCs/>
          <w:color w:val="auto"/>
          <w:sz w:val="28"/>
          <w:szCs w:val="48"/>
          <w:highlight w:val="none"/>
        </w:rPr>
        <w:instrText xml:space="preserve"> HYPERLINK \l _Toc11525 </w:instrText>
      </w:r>
      <w:r>
        <w:rPr>
          <w:rFonts w:hint="eastAsia" w:ascii="宋体" w:hAnsi="宋体" w:eastAsia="宋体" w:cs="宋体"/>
          <w:b/>
          <w:bCs/>
          <w:color w:val="auto"/>
          <w:sz w:val="28"/>
          <w:szCs w:val="48"/>
          <w:highlight w:val="none"/>
        </w:rPr>
        <w:fldChar w:fldCharType="separate"/>
      </w:r>
      <w:r>
        <w:rPr>
          <w:rFonts w:hint="eastAsia" w:ascii="宋体" w:hAnsi="宋体" w:eastAsia="宋体" w:cs="宋体"/>
          <w:b/>
          <w:bCs/>
          <w:color w:val="auto"/>
          <w:sz w:val="28"/>
          <w:szCs w:val="24"/>
          <w:highlight w:val="none"/>
        </w:rPr>
        <w:t>第一章</w:t>
      </w:r>
      <w:r>
        <w:rPr>
          <w:rFonts w:hint="eastAsia" w:ascii="宋体" w:hAnsi="宋体" w:eastAsia="宋体" w:cs="宋体"/>
          <w:b/>
          <w:bCs/>
          <w:color w:val="auto"/>
          <w:sz w:val="28"/>
          <w:szCs w:val="24"/>
          <w:highlight w:val="none"/>
          <w:lang w:val="en-US" w:eastAsia="zh-CN"/>
        </w:rPr>
        <w:t xml:space="preserve"> </w:t>
      </w:r>
      <w:r>
        <w:rPr>
          <w:rFonts w:hint="eastAsia" w:ascii="宋体" w:hAnsi="宋体" w:eastAsia="宋体" w:cs="宋体"/>
          <w:b/>
          <w:bCs/>
          <w:color w:val="auto"/>
          <w:sz w:val="28"/>
          <w:szCs w:val="24"/>
          <w:highlight w:val="none"/>
        </w:rPr>
        <w:t>竞争性磋商公告</w:t>
      </w:r>
      <w:r>
        <w:rPr>
          <w:b/>
          <w:bCs/>
          <w:color w:val="auto"/>
          <w:sz w:val="28"/>
          <w:szCs w:val="24"/>
          <w:highlight w:val="none"/>
        </w:rPr>
        <w:tab/>
      </w:r>
      <w:r>
        <w:rPr>
          <w:b/>
          <w:bCs/>
          <w:color w:val="auto"/>
          <w:sz w:val="28"/>
          <w:szCs w:val="24"/>
          <w:highlight w:val="none"/>
        </w:rPr>
        <w:fldChar w:fldCharType="begin"/>
      </w:r>
      <w:r>
        <w:rPr>
          <w:b/>
          <w:bCs/>
          <w:color w:val="auto"/>
          <w:sz w:val="28"/>
          <w:szCs w:val="24"/>
          <w:highlight w:val="none"/>
        </w:rPr>
        <w:instrText xml:space="preserve"> PAGEREF _Toc11525 \h </w:instrText>
      </w:r>
      <w:r>
        <w:rPr>
          <w:b/>
          <w:bCs/>
          <w:color w:val="auto"/>
          <w:sz w:val="28"/>
          <w:szCs w:val="24"/>
          <w:highlight w:val="none"/>
        </w:rPr>
        <w:fldChar w:fldCharType="separate"/>
      </w:r>
      <w:r>
        <w:rPr>
          <w:b/>
          <w:bCs/>
          <w:color w:val="auto"/>
          <w:sz w:val="28"/>
          <w:szCs w:val="24"/>
          <w:highlight w:val="none"/>
        </w:rPr>
        <w:t>2</w:t>
      </w:r>
      <w:r>
        <w:rPr>
          <w:b/>
          <w:bCs/>
          <w:color w:val="auto"/>
          <w:sz w:val="28"/>
          <w:szCs w:val="24"/>
          <w:highlight w:val="none"/>
        </w:rPr>
        <w:fldChar w:fldCharType="end"/>
      </w: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r>
        <w:rPr>
          <w:rFonts w:hint="eastAsia" w:ascii="宋体" w:hAnsi="宋体" w:eastAsia="宋体" w:cs="宋体"/>
          <w:b/>
          <w:bCs/>
          <w:color w:val="auto"/>
          <w:sz w:val="28"/>
          <w:szCs w:val="48"/>
          <w:highlight w:val="none"/>
        </w:rPr>
        <w:fldChar w:fldCharType="begin"/>
      </w:r>
      <w:r>
        <w:rPr>
          <w:rFonts w:hint="eastAsia" w:ascii="宋体" w:hAnsi="宋体" w:eastAsia="宋体" w:cs="宋体"/>
          <w:b/>
          <w:bCs/>
          <w:color w:val="auto"/>
          <w:sz w:val="28"/>
          <w:szCs w:val="48"/>
          <w:highlight w:val="none"/>
        </w:rPr>
        <w:instrText xml:space="preserve"> HYPERLINK \l _Toc30753 </w:instrText>
      </w:r>
      <w:r>
        <w:rPr>
          <w:rFonts w:hint="eastAsia" w:ascii="宋体" w:hAnsi="宋体" w:eastAsia="宋体" w:cs="宋体"/>
          <w:b/>
          <w:bCs/>
          <w:color w:val="auto"/>
          <w:sz w:val="28"/>
          <w:szCs w:val="48"/>
          <w:highlight w:val="none"/>
        </w:rPr>
        <w:fldChar w:fldCharType="separate"/>
      </w:r>
      <w:r>
        <w:rPr>
          <w:rFonts w:hint="eastAsia" w:ascii="宋体" w:hAnsi="宋体" w:eastAsia="宋体" w:cs="宋体"/>
          <w:b/>
          <w:bCs/>
          <w:color w:val="auto"/>
          <w:sz w:val="28"/>
          <w:szCs w:val="20"/>
          <w:highlight w:val="none"/>
        </w:rPr>
        <w:t>第二章 供应商须知及前附表</w:t>
      </w:r>
      <w:r>
        <w:rPr>
          <w:b/>
          <w:bCs/>
          <w:color w:val="auto"/>
          <w:sz w:val="28"/>
          <w:szCs w:val="24"/>
          <w:highlight w:val="none"/>
        </w:rPr>
        <w:tab/>
      </w:r>
      <w:r>
        <w:rPr>
          <w:b/>
          <w:bCs/>
          <w:color w:val="auto"/>
          <w:sz w:val="28"/>
          <w:szCs w:val="24"/>
          <w:highlight w:val="none"/>
        </w:rPr>
        <w:fldChar w:fldCharType="begin"/>
      </w:r>
      <w:r>
        <w:rPr>
          <w:b/>
          <w:bCs/>
          <w:color w:val="auto"/>
          <w:sz w:val="28"/>
          <w:szCs w:val="24"/>
          <w:highlight w:val="none"/>
        </w:rPr>
        <w:instrText xml:space="preserve"> PAGEREF _Toc30753 \h </w:instrText>
      </w:r>
      <w:r>
        <w:rPr>
          <w:b/>
          <w:bCs/>
          <w:color w:val="auto"/>
          <w:sz w:val="28"/>
          <w:szCs w:val="24"/>
          <w:highlight w:val="none"/>
        </w:rPr>
        <w:fldChar w:fldCharType="separate"/>
      </w:r>
      <w:r>
        <w:rPr>
          <w:b/>
          <w:bCs/>
          <w:color w:val="auto"/>
          <w:sz w:val="28"/>
          <w:szCs w:val="24"/>
          <w:highlight w:val="none"/>
        </w:rPr>
        <w:t>6</w:t>
      </w:r>
      <w:r>
        <w:rPr>
          <w:b/>
          <w:bCs/>
          <w:color w:val="auto"/>
          <w:sz w:val="28"/>
          <w:szCs w:val="24"/>
          <w:highlight w:val="none"/>
        </w:rPr>
        <w:fldChar w:fldCharType="end"/>
      </w: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r>
        <w:rPr>
          <w:rFonts w:hint="eastAsia" w:ascii="宋体" w:hAnsi="宋体" w:eastAsia="宋体" w:cs="宋体"/>
          <w:b/>
          <w:bCs/>
          <w:color w:val="auto"/>
          <w:sz w:val="28"/>
          <w:szCs w:val="48"/>
          <w:highlight w:val="none"/>
        </w:rPr>
        <w:fldChar w:fldCharType="begin"/>
      </w:r>
      <w:r>
        <w:rPr>
          <w:rFonts w:hint="eastAsia" w:ascii="宋体" w:hAnsi="宋体" w:eastAsia="宋体" w:cs="宋体"/>
          <w:b/>
          <w:bCs/>
          <w:color w:val="auto"/>
          <w:sz w:val="28"/>
          <w:szCs w:val="48"/>
          <w:highlight w:val="none"/>
        </w:rPr>
        <w:instrText xml:space="preserve"> HYPERLINK \l _Toc22226 </w:instrText>
      </w:r>
      <w:r>
        <w:rPr>
          <w:rFonts w:hint="eastAsia" w:ascii="宋体" w:hAnsi="宋体" w:eastAsia="宋体" w:cs="宋体"/>
          <w:b/>
          <w:bCs/>
          <w:color w:val="auto"/>
          <w:sz w:val="28"/>
          <w:szCs w:val="48"/>
          <w:highlight w:val="none"/>
        </w:rPr>
        <w:fldChar w:fldCharType="separate"/>
      </w:r>
      <w:r>
        <w:rPr>
          <w:rFonts w:hint="eastAsia" w:ascii="宋体" w:hAnsi="宋体" w:eastAsia="宋体" w:cs="宋体"/>
          <w:b/>
          <w:bCs/>
          <w:color w:val="auto"/>
          <w:sz w:val="28"/>
          <w:szCs w:val="44"/>
          <w:highlight w:val="none"/>
        </w:rPr>
        <w:t>第三章 评审办法</w:t>
      </w:r>
      <w:r>
        <w:rPr>
          <w:b/>
          <w:bCs/>
          <w:color w:val="auto"/>
          <w:sz w:val="28"/>
          <w:szCs w:val="24"/>
          <w:highlight w:val="none"/>
        </w:rPr>
        <w:tab/>
      </w:r>
      <w:r>
        <w:rPr>
          <w:b/>
          <w:bCs/>
          <w:color w:val="auto"/>
          <w:sz w:val="28"/>
          <w:szCs w:val="24"/>
          <w:highlight w:val="none"/>
        </w:rPr>
        <w:fldChar w:fldCharType="begin"/>
      </w:r>
      <w:r>
        <w:rPr>
          <w:b/>
          <w:bCs/>
          <w:color w:val="auto"/>
          <w:sz w:val="28"/>
          <w:szCs w:val="24"/>
          <w:highlight w:val="none"/>
        </w:rPr>
        <w:instrText xml:space="preserve"> PAGEREF _Toc22226 \h </w:instrText>
      </w:r>
      <w:r>
        <w:rPr>
          <w:b/>
          <w:bCs/>
          <w:color w:val="auto"/>
          <w:sz w:val="28"/>
          <w:szCs w:val="24"/>
          <w:highlight w:val="none"/>
        </w:rPr>
        <w:fldChar w:fldCharType="separate"/>
      </w:r>
      <w:r>
        <w:rPr>
          <w:b/>
          <w:bCs/>
          <w:color w:val="auto"/>
          <w:sz w:val="28"/>
          <w:szCs w:val="24"/>
          <w:highlight w:val="none"/>
        </w:rPr>
        <w:t>24</w:t>
      </w:r>
      <w:r>
        <w:rPr>
          <w:b/>
          <w:bCs/>
          <w:color w:val="auto"/>
          <w:sz w:val="28"/>
          <w:szCs w:val="24"/>
          <w:highlight w:val="none"/>
        </w:rPr>
        <w:fldChar w:fldCharType="end"/>
      </w: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r>
        <w:rPr>
          <w:rFonts w:hint="eastAsia" w:ascii="宋体" w:hAnsi="宋体" w:eastAsia="宋体" w:cs="宋体"/>
          <w:b/>
          <w:bCs/>
          <w:color w:val="auto"/>
          <w:sz w:val="28"/>
          <w:szCs w:val="48"/>
          <w:highlight w:val="none"/>
        </w:rPr>
        <w:fldChar w:fldCharType="begin"/>
      </w:r>
      <w:r>
        <w:rPr>
          <w:rFonts w:hint="eastAsia" w:ascii="宋体" w:hAnsi="宋体" w:eastAsia="宋体" w:cs="宋体"/>
          <w:b/>
          <w:bCs/>
          <w:color w:val="auto"/>
          <w:sz w:val="28"/>
          <w:szCs w:val="48"/>
          <w:highlight w:val="none"/>
        </w:rPr>
        <w:instrText xml:space="preserve"> HYPERLINK \l _Toc28132 </w:instrText>
      </w:r>
      <w:r>
        <w:rPr>
          <w:rFonts w:hint="eastAsia" w:ascii="宋体" w:hAnsi="宋体" w:eastAsia="宋体" w:cs="宋体"/>
          <w:b/>
          <w:bCs/>
          <w:color w:val="auto"/>
          <w:sz w:val="28"/>
          <w:szCs w:val="48"/>
          <w:highlight w:val="none"/>
        </w:rPr>
        <w:fldChar w:fldCharType="separate"/>
      </w:r>
      <w:r>
        <w:rPr>
          <w:rFonts w:hint="eastAsia" w:ascii="宋体" w:hAnsi="宋体" w:eastAsia="宋体" w:cs="宋体"/>
          <w:b/>
          <w:bCs/>
          <w:color w:val="auto"/>
          <w:sz w:val="28"/>
          <w:szCs w:val="20"/>
          <w:highlight w:val="none"/>
        </w:rPr>
        <w:t>第四章 合同条款及合同文件格式</w:t>
      </w:r>
      <w:r>
        <w:rPr>
          <w:b/>
          <w:bCs/>
          <w:color w:val="auto"/>
          <w:sz w:val="28"/>
          <w:szCs w:val="24"/>
          <w:highlight w:val="none"/>
        </w:rPr>
        <w:tab/>
      </w:r>
      <w:r>
        <w:rPr>
          <w:b/>
          <w:bCs/>
          <w:color w:val="auto"/>
          <w:sz w:val="28"/>
          <w:szCs w:val="24"/>
          <w:highlight w:val="none"/>
        </w:rPr>
        <w:fldChar w:fldCharType="begin"/>
      </w:r>
      <w:r>
        <w:rPr>
          <w:b/>
          <w:bCs/>
          <w:color w:val="auto"/>
          <w:sz w:val="28"/>
          <w:szCs w:val="24"/>
          <w:highlight w:val="none"/>
        </w:rPr>
        <w:instrText xml:space="preserve"> PAGEREF _Toc28132 \h </w:instrText>
      </w:r>
      <w:r>
        <w:rPr>
          <w:b/>
          <w:bCs/>
          <w:color w:val="auto"/>
          <w:sz w:val="28"/>
          <w:szCs w:val="24"/>
          <w:highlight w:val="none"/>
        </w:rPr>
        <w:fldChar w:fldCharType="separate"/>
      </w:r>
      <w:r>
        <w:rPr>
          <w:b/>
          <w:bCs/>
          <w:color w:val="auto"/>
          <w:sz w:val="28"/>
          <w:szCs w:val="24"/>
          <w:highlight w:val="none"/>
        </w:rPr>
        <w:t>36</w:t>
      </w:r>
      <w:r>
        <w:rPr>
          <w:b/>
          <w:bCs/>
          <w:color w:val="auto"/>
          <w:sz w:val="28"/>
          <w:szCs w:val="24"/>
          <w:highlight w:val="none"/>
        </w:rPr>
        <w:fldChar w:fldCharType="end"/>
      </w: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r>
        <w:rPr>
          <w:rFonts w:hint="eastAsia" w:ascii="宋体" w:hAnsi="宋体" w:eastAsia="宋体" w:cs="宋体"/>
          <w:b/>
          <w:bCs/>
          <w:color w:val="auto"/>
          <w:sz w:val="28"/>
          <w:szCs w:val="48"/>
          <w:highlight w:val="none"/>
        </w:rPr>
        <w:fldChar w:fldCharType="begin"/>
      </w:r>
      <w:r>
        <w:rPr>
          <w:rFonts w:hint="eastAsia" w:ascii="宋体" w:hAnsi="宋体" w:eastAsia="宋体" w:cs="宋体"/>
          <w:b/>
          <w:bCs/>
          <w:color w:val="auto"/>
          <w:sz w:val="28"/>
          <w:szCs w:val="48"/>
          <w:highlight w:val="none"/>
        </w:rPr>
        <w:instrText xml:space="preserve"> HYPERLINK \l _Toc30121 </w:instrText>
      </w:r>
      <w:r>
        <w:rPr>
          <w:rFonts w:hint="eastAsia" w:ascii="宋体" w:hAnsi="宋体" w:eastAsia="宋体" w:cs="宋体"/>
          <w:b/>
          <w:bCs/>
          <w:color w:val="auto"/>
          <w:sz w:val="28"/>
          <w:szCs w:val="48"/>
          <w:highlight w:val="none"/>
        </w:rPr>
        <w:fldChar w:fldCharType="separate"/>
      </w:r>
      <w:r>
        <w:rPr>
          <w:rFonts w:hint="eastAsia" w:ascii="宋体" w:hAnsi="宋体" w:eastAsia="宋体" w:cs="宋体"/>
          <w:b/>
          <w:bCs/>
          <w:color w:val="auto"/>
          <w:sz w:val="28"/>
          <w:szCs w:val="20"/>
          <w:highlight w:val="none"/>
        </w:rPr>
        <w:t xml:space="preserve">第五章 工程量清单 </w:t>
      </w:r>
      <w:r>
        <w:rPr>
          <w:b/>
          <w:bCs/>
          <w:color w:val="auto"/>
          <w:sz w:val="28"/>
          <w:szCs w:val="24"/>
          <w:highlight w:val="none"/>
        </w:rPr>
        <w:tab/>
      </w:r>
      <w:r>
        <w:rPr>
          <w:b/>
          <w:bCs/>
          <w:color w:val="auto"/>
          <w:sz w:val="28"/>
          <w:szCs w:val="24"/>
          <w:highlight w:val="none"/>
        </w:rPr>
        <w:fldChar w:fldCharType="begin"/>
      </w:r>
      <w:r>
        <w:rPr>
          <w:b/>
          <w:bCs/>
          <w:color w:val="auto"/>
          <w:sz w:val="28"/>
          <w:szCs w:val="24"/>
          <w:highlight w:val="none"/>
        </w:rPr>
        <w:instrText xml:space="preserve"> PAGEREF _Toc30121 \h </w:instrText>
      </w:r>
      <w:r>
        <w:rPr>
          <w:b/>
          <w:bCs/>
          <w:color w:val="auto"/>
          <w:sz w:val="28"/>
          <w:szCs w:val="24"/>
          <w:highlight w:val="none"/>
        </w:rPr>
        <w:fldChar w:fldCharType="separate"/>
      </w:r>
      <w:r>
        <w:rPr>
          <w:b/>
          <w:bCs/>
          <w:color w:val="auto"/>
          <w:sz w:val="28"/>
          <w:szCs w:val="24"/>
          <w:highlight w:val="none"/>
        </w:rPr>
        <w:t>73</w:t>
      </w:r>
      <w:r>
        <w:rPr>
          <w:b/>
          <w:bCs/>
          <w:color w:val="auto"/>
          <w:sz w:val="28"/>
          <w:szCs w:val="24"/>
          <w:highlight w:val="none"/>
        </w:rPr>
        <w:fldChar w:fldCharType="end"/>
      </w: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r>
        <w:rPr>
          <w:rFonts w:hint="eastAsia" w:ascii="宋体" w:hAnsi="宋体" w:eastAsia="宋体" w:cs="宋体"/>
          <w:b/>
          <w:bCs/>
          <w:color w:val="auto"/>
          <w:sz w:val="28"/>
          <w:szCs w:val="48"/>
          <w:highlight w:val="none"/>
        </w:rPr>
        <w:fldChar w:fldCharType="begin"/>
      </w:r>
      <w:r>
        <w:rPr>
          <w:rFonts w:hint="eastAsia" w:ascii="宋体" w:hAnsi="宋体" w:eastAsia="宋体" w:cs="宋体"/>
          <w:b/>
          <w:bCs/>
          <w:color w:val="auto"/>
          <w:sz w:val="28"/>
          <w:szCs w:val="48"/>
          <w:highlight w:val="none"/>
        </w:rPr>
        <w:instrText xml:space="preserve"> HYPERLINK \l _Toc1049 </w:instrText>
      </w:r>
      <w:r>
        <w:rPr>
          <w:rFonts w:hint="eastAsia" w:ascii="宋体" w:hAnsi="宋体" w:eastAsia="宋体" w:cs="宋体"/>
          <w:b/>
          <w:bCs/>
          <w:color w:val="auto"/>
          <w:sz w:val="28"/>
          <w:szCs w:val="48"/>
          <w:highlight w:val="none"/>
        </w:rPr>
        <w:fldChar w:fldCharType="separate"/>
      </w:r>
      <w:r>
        <w:rPr>
          <w:rFonts w:hint="eastAsia" w:ascii="宋体" w:hAnsi="宋体" w:eastAsia="宋体" w:cs="宋体"/>
          <w:b/>
          <w:bCs/>
          <w:color w:val="auto"/>
          <w:kern w:val="2"/>
          <w:sz w:val="28"/>
          <w:szCs w:val="44"/>
          <w:highlight w:val="none"/>
          <w:lang w:val="en-US" w:eastAsia="zh-CN" w:bidi="ar-SA"/>
        </w:rPr>
        <w:t xml:space="preserve">第六章 </w:t>
      </w:r>
      <w:r>
        <w:rPr>
          <w:rFonts w:hint="eastAsia" w:ascii="宋体" w:hAnsi="宋体" w:eastAsia="宋体" w:cs="宋体"/>
          <w:b/>
          <w:bCs/>
          <w:color w:val="auto"/>
          <w:sz w:val="28"/>
          <w:szCs w:val="44"/>
          <w:highlight w:val="none"/>
          <w:lang w:val="en-US" w:eastAsia="zh-CN"/>
        </w:rPr>
        <w:t>图纸</w:t>
      </w:r>
      <w:r>
        <w:rPr>
          <w:rFonts w:hint="eastAsia" w:ascii="宋体" w:hAnsi="宋体" w:eastAsia="宋体" w:cs="宋体"/>
          <w:b/>
          <w:bCs/>
          <w:color w:val="auto"/>
          <w:kern w:val="0"/>
          <w:sz w:val="28"/>
          <w:szCs w:val="44"/>
          <w:highlight w:val="none"/>
          <w:lang w:val="en-US" w:eastAsia="zh-CN" w:bidi="ar-SA"/>
        </w:rPr>
        <w:t xml:space="preserve"> </w:t>
      </w:r>
      <w:r>
        <w:rPr>
          <w:b/>
          <w:bCs/>
          <w:color w:val="auto"/>
          <w:sz w:val="28"/>
          <w:szCs w:val="24"/>
          <w:highlight w:val="none"/>
        </w:rPr>
        <w:tab/>
      </w:r>
      <w:r>
        <w:rPr>
          <w:b/>
          <w:bCs/>
          <w:color w:val="auto"/>
          <w:sz w:val="28"/>
          <w:szCs w:val="24"/>
          <w:highlight w:val="none"/>
        </w:rPr>
        <w:fldChar w:fldCharType="begin"/>
      </w:r>
      <w:r>
        <w:rPr>
          <w:b/>
          <w:bCs/>
          <w:color w:val="auto"/>
          <w:sz w:val="28"/>
          <w:szCs w:val="24"/>
          <w:highlight w:val="none"/>
        </w:rPr>
        <w:instrText xml:space="preserve"> PAGEREF _Toc1049 \h </w:instrText>
      </w:r>
      <w:r>
        <w:rPr>
          <w:b/>
          <w:bCs/>
          <w:color w:val="auto"/>
          <w:sz w:val="28"/>
          <w:szCs w:val="24"/>
          <w:highlight w:val="none"/>
        </w:rPr>
        <w:fldChar w:fldCharType="separate"/>
      </w:r>
      <w:r>
        <w:rPr>
          <w:b/>
          <w:bCs/>
          <w:color w:val="auto"/>
          <w:sz w:val="28"/>
          <w:szCs w:val="24"/>
          <w:highlight w:val="none"/>
        </w:rPr>
        <w:t>74</w:t>
      </w:r>
      <w:r>
        <w:rPr>
          <w:b/>
          <w:bCs/>
          <w:color w:val="auto"/>
          <w:sz w:val="28"/>
          <w:szCs w:val="24"/>
          <w:highlight w:val="none"/>
        </w:rPr>
        <w:fldChar w:fldCharType="end"/>
      </w: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r>
        <w:rPr>
          <w:rFonts w:hint="eastAsia" w:ascii="宋体" w:hAnsi="宋体" w:eastAsia="宋体" w:cs="宋体"/>
          <w:b/>
          <w:bCs/>
          <w:color w:val="auto"/>
          <w:sz w:val="28"/>
          <w:szCs w:val="48"/>
          <w:highlight w:val="none"/>
        </w:rPr>
        <w:fldChar w:fldCharType="begin"/>
      </w:r>
      <w:r>
        <w:rPr>
          <w:rFonts w:hint="eastAsia" w:ascii="宋体" w:hAnsi="宋体" w:eastAsia="宋体" w:cs="宋体"/>
          <w:b/>
          <w:bCs/>
          <w:color w:val="auto"/>
          <w:sz w:val="28"/>
          <w:szCs w:val="48"/>
          <w:highlight w:val="none"/>
        </w:rPr>
        <w:instrText xml:space="preserve"> HYPERLINK \l _Toc383 </w:instrText>
      </w:r>
      <w:r>
        <w:rPr>
          <w:rFonts w:hint="eastAsia" w:ascii="宋体" w:hAnsi="宋体" w:eastAsia="宋体" w:cs="宋体"/>
          <w:b/>
          <w:bCs/>
          <w:color w:val="auto"/>
          <w:sz w:val="28"/>
          <w:szCs w:val="48"/>
          <w:highlight w:val="none"/>
        </w:rPr>
        <w:fldChar w:fldCharType="separate"/>
      </w:r>
      <w:r>
        <w:rPr>
          <w:rFonts w:hint="eastAsia" w:ascii="宋体" w:hAnsi="宋体" w:eastAsia="宋体" w:cs="宋体"/>
          <w:b/>
          <w:bCs/>
          <w:color w:val="auto"/>
          <w:kern w:val="0"/>
          <w:sz w:val="28"/>
          <w:szCs w:val="44"/>
          <w:highlight w:val="none"/>
          <w:lang w:val="en-US" w:eastAsia="zh-CN" w:bidi="ar-SA"/>
        </w:rPr>
        <w:t>第</w:t>
      </w:r>
      <w:r>
        <w:rPr>
          <w:rFonts w:hint="eastAsia" w:ascii="宋体" w:hAnsi="宋体" w:cs="宋体"/>
          <w:b/>
          <w:bCs/>
          <w:color w:val="auto"/>
          <w:kern w:val="0"/>
          <w:sz w:val="28"/>
          <w:szCs w:val="44"/>
          <w:highlight w:val="none"/>
          <w:lang w:val="en-US" w:eastAsia="zh-CN" w:bidi="ar-SA"/>
        </w:rPr>
        <w:t>七</w:t>
      </w:r>
      <w:r>
        <w:rPr>
          <w:rFonts w:hint="eastAsia" w:ascii="宋体" w:hAnsi="宋体" w:eastAsia="宋体" w:cs="宋体"/>
          <w:b/>
          <w:bCs/>
          <w:color w:val="auto"/>
          <w:kern w:val="0"/>
          <w:sz w:val="28"/>
          <w:szCs w:val="44"/>
          <w:highlight w:val="none"/>
          <w:lang w:val="en-US" w:eastAsia="zh-CN" w:bidi="ar-SA"/>
        </w:rPr>
        <w:t>章 工程内容及商务要求</w:t>
      </w:r>
      <w:r>
        <w:rPr>
          <w:b/>
          <w:bCs/>
          <w:color w:val="auto"/>
          <w:sz w:val="28"/>
          <w:szCs w:val="24"/>
          <w:highlight w:val="none"/>
        </w:rPr>
        <w:tab/>
      </w:r>
      <w:r>
        <w:rPr>
          <w:b/>
          <w:bCs/>
          <w:color w:val="auto"/>
          <w:sz w:val="28"/>
          <w:szCs w:val="24"/>
          <w:highlight w:val="none"/>
        </w:rPr>
        <w:fldChar w:fldCharType="begin"/>
      </w:r>
      <w:r>
        <w:rPr>
          <w:b/>
          <w:bCs/>
          <w:color w:val="auto"/>
          <w:sz w:val="28"/>
          <w:szCs w:val="24"/>
          <w:highlight w:val="none"/>
        </w:rPr>
        <w:instrText xml:space="preserve"> PAGEREF _Toc383 \h </w:instrText>
      </w:r>
      <w:r>
        <w:rPr>
          <w:b/>
          <w:bCs/>
          <w:color w:val="auto"/>
          <w:sz w:val="28"/>
          <w:szCs w:val="24"/>
          <w:highlight w:val="none"/>
        </w:rPr>
        <w:fldChar w:fldCharType="separate"/>
      </w:r>
      <w:r>
        <w:rPr>
          <w:b/>
          <w:bCs/>
          <w:color w:val="auto"/>
          <w:sz w:val="28"/>
          <w:szCs w:val="24"/>
          <w:highlight w:val="none"/>
        </w:rPr>
        <w:t>75</w:t>
      </w:r>
      <w:r>
        <w:rPr>
          <w:b/>
          <w:bCs/>
          <w:color w:val="auto"/>
          <w:sz w:val="28"/>
          <w:szCs w:val="24"/>
          <w:highlight w:val="none"/>
        </w:rPr>
        <w:fldChar w:fldCharType="end"/>
      </w: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r>
        <w:rPr>
          <w:rFonts w:hint="eastAsia" w:ascii="宋体" w:hAnsi="宋体" w:eastAsia="宋体" w:cs="宋体"/>
          <w:b/>
          <w:bCs/>
          <w:color w:val="auto"/>
          <w:sz w:val="28"/>
          <w:szCs w:val="48"/>
          <w:highlight w:val="none"/>
        </w:rPr>
        <w:fldChar w:fldCharType="begin"/>
      </w:r>
      <w:r>
        <w:rPr>
          <w:rFonts w:hint="eastAsia" w:ascii="宋体" w:hAnsi="宋体" w:eastAsia="宋体" w:cs="宋体"/>
          <w:b/>
          <w:bCs/>
          <w:color w:val="auto"/>
          <w:sz w:val="28"/>
          <w:szCs w:val="48"/>
          <w:highlight w:val="none"/>
        </w:rPr>
        <w:instrText xml:space="preserve"> HYPERLINK \l _Toc345 </w:instrText>
      </w:r>
      <w:r>
        <w:rPr>
          <w:rFonts w:hint="eastAsia" w:ascii="宋体" w:hAnsi="宋体" w:eastAsia="宋体" w:cs="宋体"/>
          <w:b/>
          <w:bCs/>
          <w:color w:val="auto"/>
          <w:sz w:val="28"/>
          <w:szCs w:val="48"/>
          <w:highlight w:val="none"/>
        </w:rPr>
        <w:fldChar w:fldCharType="separate"/>
      </w:r>
      <w:r>
        <w:rPr>
          <w:rFonts w:hint="eastAsia" w:ascii="宋体" w:hAnsi="宋体" w:eastAsia="宋体" w:cs="宋体"/>
          <w:b/>
          <w:bCs/>
          <w:color w:val="auto"/>
          <w:sz w:val="28"/>
          <w:szCs w:val="20"/>
          <w:highlight w:val="none"/>
        </w:rPr>
        <w:t>第</w:t>
      </w:r>
      <w:r>
        <w:rPr>
          <w:rFonts w:hint="eastAsia" w:ascii="宋体" w:hAnsi="宋体" w:cs="宋体"/>
          <w:b/>
          <w:bCs/>
          <w:color w:val="auto"/>
          <w:sz w:val="28"/>
          <w:szCs w:val="20"/>
          <w:highlight w:val="none"/>
          <w:lang w:eastAsia="zh-CN"/>
        </w:rPr>
        <w:t>八</w:t>
      </w:r>
      <w:r>
        <w:rPr>
          <w:rFonts w:hint="eastAsia" w:ascii="宋体" w:hAnsi="宋体" w:eastAsia="宋体" w:cs="宋体"/>
          <w:b/>
          <w:bCs/>
          <w:color w:val="auto"/>
          <w:sz w:val="28"/>
          <w:szCs w:val="20"/>
          <w:highlight w:val="none"/>
        </w:rPr>
        <w:t xml:space="preserve">章 </w:t>
      </w:r>
      <w:r>
        <w:rPr>
          <w:rFonts w:hint="eastAsia" w:ascii="宋体" w:hAnsi="宋体" w:eastAsia="宋体" w:cs="宋体"/>
          <w:b/>
          <w:bCs/>
          <w:color w:val="auto"/>
          <w:sz w:val="28"/>
          <w:szCs w:val="20"/>
          <w:highlight w:val="none"/>
          <w:lang w:eastAsia="zh-CN"/>
        </w:rPr>
        <w:t>磋商</w:t>
      </w:r>
      <w:r>
        <w:rPr>
          <w:rFonts w:hint="eastAsia" w:ascii="宋体" w:hAnsi="宋体" w:eastAsia="宋体" w:cs="宋体"/>
          <w:b/>
          <w:bCs/>
          <w:color w:val="auto"/>
          <w:sz w:val="28"/>
          <w:szCs w:val="20"/>
          <w:highlight w:val="none"/>
        </w:rPr>
        <w:t>响应文件格式</w:t>
      </w:r>
      <w:r>
        <w:rPr>
          <w:b/>
          <w:bCs/>
          <w:color w:val="auto"/>
          <w:sz w:val="28"/>
          <w:szCs w:val="24"/>
          <w:highlight w:val="none"/>
        </w:rPr>
        <w:tab/>
      </w:r>
      <w:r>
        <w:rPr>
          <w:b/>
          <w:bCs/>
          <w:color w:val="auto"/>
          <w:sz w:val="28"/>
          <w:szCs w:val="24"/>
          <w:highlight w:val="none"/>
        </w:rPr>
        <w:fldChar w:fldCharType="begin"/>
      </w:r>
      <w:r>
        <w:rPr>
          <w:b/>
          <w:bCs/>
          <w:color w:val="auto"/>
          <w:sz w:val="28"/>
          <w:szCs w:val="24"/>
          <w:highlight w:val="none"/>
        </w:rPr>
        <w:instrText xml:space="preserve"> PAGEREF _Toc345 \h </w:instrText>
      </w:r>
      <w:r>
        <w:rPr>
          <w:b/>
          <w:bCs/>
          <w:color w:val="auto"/>
          <w:sz w:val="28"/>
          <w:szCs w:val="24"/>
          <w:highlight w:val="none"/>
        </w:rPr>
        <w:fldChar w:fldCharType="separate"/>
      </w:r>
      <w:r>
        <w:rPr>
          <w:b/>
          <w:bCs/>
          <w:color w:val="auto"/>
          <w:sz w:val="28"/>
          <w:szCs w:val="24"/>
          <w:highlight w:val="none"/>
        </w:rPr>
        <w:t>78</w:t>
      </w:r>
      <w:r>
        <w:rPr>
          <w:b/>
          <w:bCs/>
          <w:color w:val="auto"/>
          <w:sz w:val="28"/>
          <w:szCs w:val="24"/>
          <w:highlight w:val="none"/>
        </w:rPr>
        <w:fldChar w:fldCharType="end"/>
      </w: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sz w:val="28"/>
          <w:szCs w:val="24"/>
          <w:highlight w:val="none"/>
        </w:rPr>
      </w:pP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00"/>
          <w:szCs w:val="48"/>
          <w:highlight w:val="none"/>
        </w:rPr>
      </w:pPr>
      <w:r>
        <w:rPr>
          <w:rFonts w:hint="eastAsia" w:ascii="宋体" w:hAnsi="宋体" w:eastAsia="宋体" w:cs="宋体"/>
          <w:b/>
          <w:bCs/>
          <w:color w:val="auto"/>
          <w:sz w:val="28"/>
          <w:szCs w:val="4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56"/>
          <w:szCs w:val="24"/>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bidi w:val="0"/>
        <w:rPr>
          <w:rFonts w:hint="eastAsia" w:ascii="宋体" w:hAnsi="宋体" w:eastAsia="宋体" w:cs="宋体"/>
          <w:color w:val="auto"/>
          <w:highlight w:val="none"/>
          <w:lang w:eastAsia="zh-CN"/>
        </w:rPr>
        <w:sectPr>
          <w:footerReference r:id="rId6" w:type="default"/>
          <w:pgSz w:w="11906" w:h="16838"/>
          <w:pgMar w:top="1440" w:right="1800" w:bottom="1440" w:left="1800" w:header="1185" w:footer="1191"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504605084"/>
      <w:bookmarkStart w:id="1" w:name="_Toc10464"/>
      <w:bookmarkStart w:id="2" w:name="_Toc22698"/>
      <w:bookmarkStart w:id="3" w:name="_Toc9301"/>
    </w:p>
    <w:bookmarkEnd w:id="0"/>
    <w:bookmarkEnd w:id="1"/>
    <w:bookmarkEnd w:id="2"/>
    <w:bookmarkEnd w:id="3"/>
    <w:p>
      <w:pPr>
        <w:pStyle w:val="2"/>
        <w:rPr>
          <w:rFonts w:hint="eastAsia" w:ascii="宋体" w:hAnsi="宋体" w:eastAsia="宋体" w:cs="宋体"/>
          <w:b/>
          <w:bCs/>
          <w:color w:val="auto"/>
          <w:kern w:val="0"/>
          <w:sz w:val="24"/>
          <w:szCs w:val="24"/>
          <w:highlight w:val="none"/>
          <w:lang w:val="en-US" w:eastAsia="zh-CN" w:bidi="ar"/>
        </w:rPr>
      </w:pPr>
      <w:bookmarkStart w:id="4" w:name="_Toc11161984"/>
      <w:bookmarkStart w:id="5" w:name="_Toc29048"/>
      <w:bookmarkStart w:id="6" w:name="_Toc11525"/>
      <w:bookmarkStart w:id="7" w:name="_Toc11156034"/>
      <w:bookmarkStart w:id="8" w:name="_Toc11161279"/>
      <w:bookmarkStart w:id="9" w:name="_Toc11160980"/>
      <w:bookmarkStart w:id="10" w:name="_Toc11162467"/>
      <w:bookmarkStart w:id="11" w:name="_Toc2769"/>
      <w:bookmarkStart w:id="12" w:name="_Toc1227"/>
      <w:bookmarkStart w:id="13" w:name="_Toc504605085"/>
      <w:bookmarkStart w:id="14" w:name="_Toc23211"/>
      <w:r>
        <w:rPr>
          <w:rFonts w:hint="eastAsia" w:ascii="宋体" w:hAnsi="宋体" w:eastAsia="宋体" w:cs="宋体"/>
          <w:color w:val="auto"/>
          <w:sz w:val="32"/>
          <w:highlight w:val="none"/>
        </w:rPr>
        <w:t>第一章</w:t>
      </w:r>
      <w:r>
        <w:rPr>
          <w:rFonts w:hint="eastAsia" w:ascii="宋体" w:hAnsi="宋体" w:eastAsia="宋体" w:cs="宋体"/>
          <w:color w:val="auto"/>
          <w:sz w:val="32"/>
          <w:highlight w:val="none"/>
          <w:lang w:val="en-US" w:eastAsia="zh-CN"/>
        </w:rPr>
        <w:t xml:space="preserve"> </w:t>
      </w:r>
      <w:r>
        <w:rPr>
          <w:rFonts w:hint="eastAsia" w:ascii="宋体" w:hAnsi="宋体" w:eastAsia="宋体" w:cs="宋体"/>
          <w:color w:val="auto"/>
          <w:sz w:val="32"/>
          <w:highlight w:val="none"/>
        </w:rPr>
        <w:t>竞争性磋商公告</w:t>
      </w:r>
      <w:bookmarkEnd w:id="4"/>
      <w:bookmarkEnd w:id="5"/>
      <w:bookmarkEnd w:id="6"/>
      <w:bookmarkEnd w:id="7"/>
      <w:bookmarkEnd w:id="8"/>
      <w:bookmarkEnd w:id="9"/>
      <w:bookmarkEnd w:id="10"/>
      <w:bookmarkEnd w:id="11"/>
    </w:p>
    <w:p>
      <w:pPr>
        <w:pStyle w:val="43"/>
        <w:widowControl/>
        <w:adjustRightInd w:val="0"/>
        <w:snapToGrid w:val="0"/>
        <w:spacing w:before="0" w:line="360" w:lineRule="auto"/>
        <w:ind w:firstLine="480" w:firstLineChars="200"/>
        <w:rPr>
          <w:rFonts w:hint="eastAsia" w:ascii="宋体" w:hAnsi="宋体" w:eastAsia="宋体" w:cs="宋体"/>
          <w:b/>
          <w:bCs/>
          <w:color w:val="auto"/>
          <w:kern w:val="0"/>
          <w:sz w:val="24"/>
          <w:szCs w:val="24"/>
          <w:highlight w:val="none"/>
          <w:lang w:val="en-US" w:eastAsia="zh-CN" w:bidi="ar"/>
        </w:rPr>
      </w:pPr>
      <w:r>
        <w:rPr>
          <w:rFonts w:hint="eastAsia" w:ascii="宋体" w:hAnsi="宋体" w:cs="宋体"/>
          <w:b w:val="0"/>
          <w:bCs w:val="0"/>
          <w:color w:val="auto"/>
          <w:sz w:val="24"/>
          <w:szCs w:val="24"/>
          <w:highlight w:val="none"/>
          <w:u w:val="single"/>
          <w:lang w:val="en-US" w:eastAsia="zh-CN"/>
        </w:rPr>
        <w:t>陕西咸阳中学远航楼、怡然楼、雅舍楼 卫生间及管网改造工程</w:t>
      </w:r>
      <w:r>
        <w:rPr>
          <w:rFonts w:hint="eastAsia" w:ascii="宋体" w:hAnsi="宋体" w:eastAsia="宋体" w:cs="宋体"/>
          <w:b w:val="0"/>
          <w:bCs w:val="0"/>
          <w:color w:val="auto"/>
          <w:sz w:val="24"/>
          <w:szCs w:val="24"/>
          <w:highlight w:val="none"/>
        </w:rPr>
        <w:t>采购项目潜在的供应商</w:t>
      </w:r>
      <w:r>
        <w:rPr>
          <w:rFonts w:hint="default" w:ascii="Times New Roman" w:hAnsi="Times New Roman" w:eastAsia="宋体" w:cs="Times New Roman"/>
          <w:color w:val="auto"/>
          <w:highlight w:val="none"/>
        </w:rPr>
        <w:t>可在</w:t>
      </w:r>
      <w:r>
        <w:rPr>
          <w:rFonts w:hint="default" w:ascii="Times New Roman" w:hAnsi="Times New Roman" w:eastAsia="宋体" w:cs="Times New Roman"/>
          <w:color w:val="auto"/>
          <w:highlight w:val="none"/>
          <w:lang w:val="en-US" w:eastAsia="zh-CN"/>
        </w:rPr>
        <w:t>西安市高新区高新路西部国际广场A座</w:t>
      </w:r>
      <w:r>
        <w:rPr>
          <w:rFonts w:hint="eastAsia" w:ascii="Times New Roman" w:hAnsi="Times New Roman" w:eastAsia="宋体" w:cs="Times New Roman"/>
          <w:color w:val="auto"/>
          <w:highlight w:val="none"/>
          <w:lang w:val="en-US" w:eastAsia="zh-CN"/>
        </w:rPr>
        <w:t>10楼1018</w:t>
      </w:r>
      <w:r>
        <w:rPr>
          <w:rFonts w:hint="default" w:ascii="Times New Roman" w:hAnsi="Times New Roman" w:eastAsia="宋体" w:cs="Times New Roman"/>
          <w:color w:val="auto"/>
          <w:highlight w:val="none"/>
          <w:lang w:val="en-US" w:eastAsia="zh-CN"/>
        </w:rPr>
        <w:t>室</w:t>
      </w:r>
      <w:r>
        <w:rPr>
          <w:rFonts w:hint="default" w:ascii="Times New Roman" w:hAnsi="Times New Roman" w:eastAsia="宋体" w:cs="Times New Roman"/>
          <w:color w:val="auto"/>
          <w:highlight w:val="none"/>
        </w:rPr>
        <w:t>获取竞争性磋商文件</w:t>
      </w:r>
      <w:r>
        <w:rPr>
          <w:rFonts w:hint="eastAsia" w:ascii="宋体" w:hAnsi="宋体" w:eastAsia="宋体" w:cs="宋体"/>
          <w:b w:val="0"/>
          <w:bCs w:val="0"/>
          <w:color w:val="auto"/>
          <w:sz w:val="24"/>
          <w:szCs w:val="24"/>
          <w:highlight w:val="none"/>
        </w:rPr>
        <w:t>，并于</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:30:00</w:t>
      </w:r>
      <w:r>
        <w:rPr>
          <w:rFonts w:hint="eastAsia" w:ascii="宋体" w:hAnsi="宋体" w:eastAsia="宋体" w:cs="宋体"/>
          <w:b w:val="0"/>
          <w:bCs w:val="0"/>
          <w:color w:val="auto"/>
          <w:sz w:val="24"/>
          <w:szCs w:val="24"/>
          <w:highlight w:val="none"/>
        </w:rPr>
        <w:t>前递交响应文件。</w:t>
      </w:r>
    </w:p>
    <w:p>
      <w:pPr>
        <w:pStyle w:val="43"/>
        <w:widowControl/>
        <w:adjustRightInd w:val="0"/>
        <w:snapToGrid w:val="0"/>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pPr>
        <w:pStyle w:val="22"/>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CYJK-ZFCG-2023-014</w:t>
      </w:r>
    </w:p>
    <w:p>
      <w:pPr>
        <w:pStyle w:val="22"/>
        <w:adjustRightInd w:val="0"/>
        <w:snapToGrid w:val="0"/>
        <w:spacing w:before="0" w:beforeAutospacing="0" w:after="0" w:afterAutospacing="0" w:line="360" w:lineRule="auto"/>
        <w:ind w:firstLine="480" w:firstLineChars="200"/>
        <w:rPr>
          <w:rFonts w:hint="eastAsia" w:ascii="宋体" w:hAnsi="宋体" w:cs="宋体"/>
          <w:color w:val="auto"/>
          <w:highlight w:val="none"/>
          <w:lang w:val="en-US" w:eastAsia="zh-CN"/>
        </w:rPr>
      </w:pPr>
      <w:r>
        <w:rPr>
          <w:rFonts w:hint="eastAsia" w:ascii="宋体" w:hAnsi="宋体" w:eastAsia="宋体" w:cs="宋体"/>
          <w:color w:val="auto"/>
          <w:highlight w:val="none"/>
        </w:rPr>
        <w:t>项目名称：</w:t>
      </w:r>
      <w:r>
        <w:rPr>
          <w:rFonts w:hint="eastAsia" w:ascii="宋体" w:hAnsi="宋体" w:cs="宋体"/>
          <w:color w:val="auto"/>
          <w:highlight w:val="none"/>
          <w:lang w:val="en-US" w:eastAsia="zh-CN"/>
        </w:rPr>
        <w:t>陕西咸阳中学远航楼、怡然楼、雅舍楼卫生间及管网改造工程</w:t>
      </w:r>
    </w:p>
    <w:p>
      <w:pPr>
        <w:pStyle w:val="22"/>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val="en-US" w:eastAsia="zh-CN"/>
        </w:rPr>
        <w:t>1250046.</w:t>
      </w:r>
      <w:r>
        <w:rPr>
          <w:rFonts w:hint="eastAsia" w:ascii="宋体" w:hAnsi="宋体" w:cs="宋体"/>
          <w:color w:val="auto"/>
          <w:highlight w:val="none"/>
          <w:lang w:val="en-US" w:eastAsia="zh-CN"/>
        </w:rPr>
        <w:t>51</w:t>
      </w:r>
      <w:r>
        <w:rPr>
          <w:rFonts w:hint="eastAsia" w:ascii="宋体" w:hAnsi="宋体" w:eastAsia="宋体" w:cs="宋体"/>
          <w:color w:val="auto"/>
          <w:highlight w:val="none"/>
        </w:rPr>
        <w:t>元</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pPr>
        <w:pStyle w:val="22"/>
        <w:numPr>
          <w:ilvl w:val="0"/>
          <w:numId w:val="0"/>
        </w:numPr>
        <w:adjustRightInd w:val="0"/>
        <w:snapToGrid w:val="0"/>
        <w:spacing w:before="0" w:beforeAutospacing="0" w:after="0" w:afterAutospacing="0" w:line="360" w:lineRule="auto"/>
        <w:ind w:leftChars="200" w:right="0" w:right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采购需求：</w:t>
      </w:r>
      <w:r>
        <w:rPr>
          <w:rFonts w:hint="eastAsia" w:ascii="宋体" w:hAnsi="宋体" w:cs="宋体"/>
          <w:color w:val="auto"/>
          <w:highlight w:val="none"/>
          <w:lang w:val="en-US" w:eastAsia="zh-CN"/>
        </w:rPr>
        <w:t>详见</w:t>
      </w:r>
      <w:r>
        <w:rPr>
          <w:rFonts w:hint="default" w:ascii="Times New Roman" w:hAnsi="Times New Roman" w:eastAsia="宋体" w:cs="Times New Roman"/>
          <w:color w:val="auto"/>
          <w:highlight w:val="none"/>
        </w:rPr>
        <w:t>竞争性磋商</w:t>
      </w:r>
      <w:r>
        <w:rPr>
          <w:rFonts w:hint="eastAsia" w:ascii="宋体" w:hAnsi="宋体" w:cs="宋体"/>
          <w:color w:val="auto"/>
          <w:highlight w:val="none"/>
          <w:lang w:val="en-US" w:eastAsia="zh-CN"/>
        </w:rPr>
        <w:t>文件</w:t>
      </w:r>
    </w:p>
    <w:p>
      <w:pPr>
        <w:pStyle w:val="22"/>
        <w:numPr>
          <w:ilvl w:val="0"/>
          <w:numId w:val="0"/>
        </w:numPr>
        <w:adjustRightInd w:val="0"/>
        <w:snapToGrid w:val="0"/>
        <w:spacing w:before="0" w:beforeAutospacing="0" w:after="0" w:afterAutospacing="0" w:line="360" w:lineRule="auto"/>
        <w:ind w:leftChars="200" w:right="0" w:rightChars="0"/>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val="en-US" w:eastAsia="zh-CN"/>
        </w:rPr>
        <w:t>陕西咸阳中学远航楼、怡然楼、雅舍楼卫生间及管网改造工程</w:t>
      </w:r>
      <w:r>
        <w:rPr>
          <w:rFonts w:hint="eastAsia" w:ascii="宋体" w:hAnsi="宋体" w:eastAsia="宋体" w:cs="宋体"/>
          <w:color w:val="auto"/>
          <w:highlight w:val="none"/>
        </w:rPr>
        <w:t>):</w:t>
      </w:r>
    </w:p>
    <w:p>
      <w:pPr>
        <w:pStyle w:val="22"/>
        <w:numPr>
          <w:ilvl w:val="0"/>
          <w:numId w:val="0"/>
        </w:numPr>
        <w:adjustRightInd w:val="0"/>
        <w:snapToGrid w:val="0"/>
        <w:spacing w:before="0" w:beforeAutospacing="0" w:after="0" w:afterAutospacing="0" w:line="360" w:lineRule="auto"/>
        <w:ind w:leftChars="200" w:right="0" w:rightChars="0"/>
        <w:rPr>
          <w:rFonts w:hint="eastAsia" w:ascii="宋体" w:hAnsi="宋体" w:eastAsia="宋体" w:cs="宋体"/>
          <w:color w:val="auto"/>
          <w:highlight w:val="none"/>
        </w:rPr>
      </w:pPr>
      <w:r>
        <w:rPr>
          <w:rFonts w:hint="eastAsia" w:ascii="宋体" w:hAnsi="宋体" w:eastAsia="宋体" w:cs="宋体"/>
          <w:color w:val="auto"/>
          <w:highlight w:val="none"/>
        </w:rPr>
        <w:t>合同包预算金额：</w:t>
      </w:r>
      <w:r>
        <w:rPr>
          <w:rFonts w:hint="eastAsia" w:ascii="宋体" w:hAnsi="宋体" w:eastAsia="宋体" w:cs="宋体"/>
          <w:color w:val="auto"/>
          <w:highlight w:val="none"/>
          <w:lang w:val="en-US" w:eastAsia="zh-CN"/>
        </w:rPr>
        <w:t>1250046.</w:t>
      </w:r>
      <w:r>
        <w:rPr>
          <w:rFonts w:hint="eastAsia" w:ascii="宋体" w:hAnsi="宋体" w:cs="宋体"/>
          <w:color w:val="auto"/>
          <w:highlight w:val="none"/>
          <w:lang w:val="en-US" w:eastAsia="zh-CN"/>
        </w:rPr>
        <w:t>51</w:t>
      </w:r>
      <w:r>
        <w:rPr>
          <w:rFonts w:hint="eastAsia" w:ascii="宋体" w:hAnsi="宋体" w:eastAsia="宋体" w:cs="宋体"/>
          <w:color w:val="auto"/>
          <w:highlight w:val="none"/>
        </w:rPr>
        <w:t>元</w:t>
      </w:r>
    </w:p>
    <w:p>
      <w:pPr>
        <w:pStyle w:val="22"/>
        <w:numPr>
          <w:ilvl w:val="0"/>
          <w:numId w:val="0"/>
        </w:numPr>
        <w:adjustRightInd w:val="0"/>
        <w:snapToGrid w:val="0"/>
        <w:spacing w:before="0" w:beforeAutospacing="0" w:after="0" w:afterAutospacing="0" w:line="360" w:lineRule="auto"/>
        <w:ind w:leftChars="200" w:right="0" w:rightChars="0"/>
        <w:rPr>
          <w:rFonts w:hint="eastAsia" w:ascii="宋体" w:hAnsi="宋体" w:eastAsia="宋体" w:cs="宋体"/>
          <w:color w:val="auto"/>
          <w:highlight w:val="none"/>
        </w:rPr>
      </w:pPr>
      <w:r>
        <w:rPr>
          <w:rFonts w:hint="eastAsia" w:ascii="宋体" w:hAnsi="宋体" w:eastAsia="宋体" w:cs="宋体"/>
          <w:color w:val="auto"/>
          <w:highlight w:val="none"/>
        </w:rPr>
        <w:t>合同包最高限价：</w:t>
      </w:r>
      <w:r>
        <w:rPr>
          <w:rFonts w:hint="eastAsia" w:ascii="宋体" w:hAnsi="宋体" w:eastAsia="宋体" w:cs="宋体"/>
          <w:color w:val="auto"/>
          <w:highlight w:val="none"/>
          <w:lang w:val="en-US" w:eastAsia="zh-CN"/>
        </w:rPr>
        <w:t>1250046.</w:t>
      </w:r>
      <w:r>
        <w:rPr>
          <w:rFonts w:hint="eastAsia" w:ascii="宋体" w:hAnsi="宋体" w:cs="宋体"/>
          <w:color w:val="auto"/>
          <w:highlight w:val="none"/>
          <w:lang w:val="en-US" w:eastAsia="zh-CN"/>
        </w:rPr>
        <w:t>51</w:t>
      </w:r>
      <w:r>
        <w:rPr>
          <w:rFonts w:hint="eastAsia" w:ascii="宋体" w:hAnsi="宋体" w:eastAsia="宋体" w:cs="宋体"/>
          <w:color w:val="auto"/>
          <w:highlight w:val="none"/>
        </w:rPr>
        <w:t>元</w:t>
      </w:r>
    </w:p>
    <w:tbl>
      <w:tblPr>
        <w:tblStyle w:val="24"/>
        <w:tblW w:w="10355" w:type="dxa"/>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94"/>
        <w:gridCol w:w="1486"/>
        <w:gridCol w:w="2960"/>
        <w:gridCol w:w="1080"/>
        <w:gridCol w:w="1320"/>
        <w:gridCol w:w="136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6" w:hRule="atLeast"/>
          <w:tblHeader/>
        </w:trPr>
        <w:tc>
          <w:tcPr>
            <w:tcW w:w="79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品目号</w:t>
            </w:r>
          </w:p>
        </w:tc>
        <w:tc>
          <w:tcPr>
            <w:tcW w:w="14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品目名称</w:t>
            </w:r>
          </w:p>
        </w:tc>
        <w:tc>
          <w:tcPr>
            <w:tcW w:w="29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（单位）</w:t>
            </w:r>
          </w:p>
        </w:tc>
        <w:tc>
          <w:tcPr>
            <w:tcW w:w="13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技术规格、参数及要求</w:t>
            </w:r>
          </w:p>
        </w:tc>
        <w:tc>
          <w:tcPr>
            <w:tcW w:w="13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品目预算(元)</w:t>
            </w:r>
          </w:p>
        </w:tc>
        <w:tc>
          <w:tcPr>
            <w:tcW w:w="13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79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1-1</w:t>
            </w:r>
          </w:p>
        </w:tc>
        <w:tc>
          <w:tcPr>
            <w:tcW w:w="148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其他建筑物、构筑物修缮</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p>
        </w:tc>
        <w:tc>
          <w:tcPr>
            <w:tcW w:w="29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主要包括远航楼、怡然楼、雅舍楼卫生间给水、排水管道改造；各楼卫生器具更换；各楼卫生间格挡改造、墙面贴砖、地面贴砖、屋顶粉刷等</w:t>
            </w:r>
          </w:p>
        </w:tc>
        <w:tc>
          <w:tcPr>
            <w:tcW w:w="10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1(项)</w:t>
            </w:r>
          </w:p>
        </w:tc>
        <w:tc>
          <w:tcPr>
            <w:tcW w:w="13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详见</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采购文件</w:t>
            </w:r>
          </w:p>
        </w:tc>
        <w:tc>
          <w:tcPr>
            <w:tcW w:w="13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highlight w:val="none"/>
                <w:lang w:val="en-US" w:eastAsia="zh-CN"/>
              </w:rPr>
              <w:t>1250046.</w:t>
            </w:r>
            <w:r>
              <w:rPr>
                <w:rFonts w:hint="eastAsia" w:ascii="宋体" w:hAnsi="宋体" w:cs="宋体"/>
                <w:color w:val="auto"/>
                <w:highlight w:val="none"/>
                <w:lang w:val="en-US" w:eastAsia="zh-CN"/>
              </w:rPr>
              <w:t>51</w:t>
            </w:r>
          </w:p>
        </w:tc>
        <w:tc>
          <w:tcPr>
            <w:tcW w:w="13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auto"/>
                <w:kern w:val="0"/>
                <w:sz w:val="22"/>
                <w:szCs w:val="18"/>
                <w:highlight w:val="none"/>
                <w:lang w:val="en-US" w:eastAsia="zh-CN" w:bidi="ar"/>
              </w:rPr>
            </w:pPr>
            <w:r>
              <w:rPr>
                <w:rFonts w:hint="eastAsia" w:ascii="宋体" w:hAnsi="宋体" w:eastAsia="宋体" w:cs="宋体"/>
                <w:color w:val="auto"/>
                <w:kern w:val="0"/>
                <w:sz w:val="22"/>
                <w:szCs w:val="18"/>
                <w:highlight w:val="none"/>
                <w:lang w:val="en-US" w:eastAsia="zh-CN" w:bidi="ar"/>
              </w:rPr>
              <w:t>1250046.51</w:t>
            </w:r>
          </w:p>
        </w:tc>
      </w:tr>
    </w:tbl>
    <w:p>
      <w:pPr>
        <w:pStyle w:val="22"/>
        <w:numPr>
          <w:ilvl w:val="0"/>
          <w:numId w:val="0"/>
        </w:numPr>
        <w:adjustRightInd w:val="0"/>
        <w:snapToGrid w:val="0"/>
        <w:spacing w:before="0" w:beforeAutospacing="0" w:after="0" w:afterAutospacing="0" w:line="360" w:lineRule="auto"/>
        <w:ind w:leftChars="200" w:right="0" w:rightChars="0"/>
        <w:rPr>
          <w:rFonts w:hint="eastAsia" w:ascii="宋体" w:hAnsi="宋体" w:eastAsia="宋体" w:cs="宋体"/>
          <w:color w:val="auto"/>
          <w:highlight w:val="none"/>
        </w:rPr>
      </w:pPr>
    </w:p>
    <w:p>
      <w:pPr>
        <w:pStyle w:val="22"/>
        <w:numPr>
          <w:ilvl w:val="0"/>
          <w:numId w:val="0"/>
        </w:numPr>
        <w:adjustRightInd w:val="0"/>
        <w:snapToGrid w:val="0"/>
        <w:spacing w:before="0" w:beforeAutospacing="0" w:after="0" w:afterAutospacing="0" w:line="360" w:lineRule="auto"/>
        <w:ind w:leftChars="200" w:right="0" w:rightChars="0"/>
        <w:rPr>
          <w:rFonts w:hint="eastAsia" w:ascii="宋体" w:hAnsi="宋体" w:eastAsia="宋体" w:cs="宋体"/>
          <w:color w:val="auto"/>
          <w:highlight w:val="none"/>
        </w:rPr>
      </w:pPr>
      <w:r>
        <w:rPr>
          <w:rFonts w:hint="eastAsia" w:ascii="宋体" w:hAnsi="宋体" w:eastAsia="宋体" w:cs="宋体"/>
          <w:color w:val="auto"/>
          <w:highlight w:val="none"/>
        </w:rPr>
        <w:t>本合同包不接受联合体投标</w:t>
      </w:r>
    </w:p>
    <w:p>
      <w:pPr>
        <w:pStyle w:val="22"/>
        <w:numPr>
          <w:ilvl w:val="0"/>
          <w:numId w:val="0"/>
        </w:numPr>
        <w:adjustRightInd w:val="0"/>
        <w:snapToGrid w:val="0"/>
        <w:spacing w:before="0" w:beforeAutospacing="0" w:after="0" w:afterAutospacing="0" w:line="360" w:lineRule="auto"/>
        <w:ind w:leftChars="200" w:right="0" w:rightChars="0"/>
        <w:rPr>
          <w:rFonts w:hint="eastAsia" w:ascii="宋体" w:hAnsi="宋体" w:eastAsia="宋体" w:cs="宋体"/>
          <w:color w:val="auto"/>
          <w:highlight w:val="none"/>
        </w:rPr>
      </w:pPr>
      <w:r>
        <w:rPr>
          <w:rFonts w:hint="eastAsia" w:ascii="宋体" w:hAnsi="宋体" w:eastAsia="宋体" w:cs="宋体"/>
          <w:color w:val="auto"/>
          <w:highlight w:val="none"/>
        </w:rPr>
        <w:t>合同履行期限：</w:t>
      </w:r>
      <w:r>
        <w:rPr>
          <w:rFonts w:hint="eastAsia" w:ascii="宋体" w:hAnsi="宋体" w:eastAsia="宋体" w:cs="宋体"/>
          <w:color w:val="auto"/>
          <w:highlight w:val="none"/>
          <w:lang w:val="en-US" w:eastAsia="zh-CN"/>
        </w:rPr>
        <w:t>自合同签订之日起60日历天</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二、 响应供应商的资格要求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1、满足《中华人民共和国政府采购法》第二十二条规定</w:t>
      </w:r>
      <w:r>
        <w:rPr>
          <w:rFonts w:hint="eastAsia" w:ascii="宋体" w:hAnsi="宋体" w:cs="宋体"/>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2、落实政府采购政策需满足的资格要求：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（1）《关于在政府采购活动中查询及使用信用记录有关问题的通知》（财库〔2016〕125号）；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（2）《政府采购促进中小企业发展管理办法》（财库〔2020〕46号）《关于进一步加大政府采购支持中小企业力度的通知》（财库〔2022〕19号）；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（3）《财政部司法部关于政府采购支持监狱企业发展有关问题的通知》（财库〔2014〕68号）；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（4）《国务院办公厅关于建立政府强制采购节能产品制度的通知》（国办发〔2007〕51号）；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（5）《环境标志产品政府采购实施的意见》（财库[2006]90号）；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（6）《节能产品政府采购实施意见》（财库[2004]185号）；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（7）《关于促进残疾人就业政府采购政策的通知》（财库〔2017〕141号）；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（8）《财政部发展改革委生态环境部市场监管总局关于调整优化节能产品、环境标志产品政府采购执行机制的通知》（财库〔2019〕9号）；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（9）《财政部国务院扶贫办关于运用政府采购政策支持脱贫攻坚的通知》（财库〔2019〕27号）、政府采购扶持不发达地区和少数民族地区政策；</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（10）《财政部农业农村部 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 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（11）关于印发《商品包装政府采购需求标准（试行）》、《快递包装政府采购需求标准（试行）》的通知（财办库〔2020〕123号）；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（12）《陕西省财政厅关于加快推进我省中小企业政府采购信用融资工作的通知》（陕财办采〔2020〕15号）及《陕西省财政厅关于印发《陕西省中小企业政府采购信用融资办法》（陕财办采〔2018〕23号）；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 xml:space="preserve">（13）如有最新颁布的政府采购政策，按最新的文件执行。 </w:t>
      </w:r>
    </w:p>
    <w:p>
      <w:pPr>
        <w:pStyle w:val="22"/>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pPr>
        <w:pStyle w:val="22"/>
        <w:wordWrap w:val="0"/>
        <w:snapToGrid w:val="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1</w:t>
      </w:r>
      <w:r>
        <w:rPr>
          <w:rFonts w:hint="eastAsia" w:ascii="宋体" w:hAnsi="宋体" w:eastAsia="宋体" w:cs="宋体"/>
          <w:color w:val="auto"/>
          <w:kern w:val="2"/>
          <w:sz w:val="24"/>
          <w:szCs w:val="24"/>
          <w:highlight w:val="none"/>
          <w:u w:val="none"/>
          <w:lang w:val="en-US" w:eastAsia="zh-CN"/>
        </w:rPr>
        <w:t>）供应商应具有独立承担民事责任能力的法人、其他组织或自然人，提供合法有效的统一社会信用代码营业执照（事业单位提供事业单位法人证书，自然人提供身份证明）；</w:t>
      </w:r>
    </w:p>
    <w:p>
      <w:pPr>
        <w:pStyle w:val="22"/>
        <w:wordWrap w:val="0"/>
        <w:snapToGrid w:val="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2</w:t>
      </w:r>
      <w:r>
        <w:rPr>
          <w:rFonts w:hint="eastAsia" w:ascii="宋体" w:hAnsi="宋体" w:eastAsia="宋体" w:cs="宋体"/>
          <w:color w:val="auto"/>
          <w:kern w:val="2"/>
          <w:sz w:val="24"/>
          <w:szCs w:val="24"/>
          <w:highlight w:val="none"/>
          <w:u w:val="none"/>
          <w:lang w:val="en-US" w:eastAsia="zh-CN"/>
        </w:rPr>
        <w:t>）法定代表人/负责人参加投标的，提供法人/负责人证明书并出示身份证；法定代表人/负责人授权他人参加投标的，提供法定代表人/负责人授权委托书并出示被授权代表的身份证；</w:t>
      </w:r>
    </w:p>
    <w:p>
      <w:pPr>
        <w:pStyle w:val="22"/>
        <w:wordWrap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3</w:t>
      </w:r>
      <w:r>
        <w:rPr>
          <w:rFonts w:hint="eastAsia" w:ascii="宋体" w:hAnsi="宋体" w:eastAsia="宋体" w:cs="宋体"/>
          <w:color w:val="auto"/>
          <w:kern w:val="2"/>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供应商须具备建设行政主管部门颁发的建筑工程施工总承包三级（含三级）以上资质并具有有效的安全生产许可证；</w:t>
      </w:r>
    </w:p>
    <w:p>
      <w:pPr>
        <w:pStyle w:val="22"/>
        <w:wordWrap w:val="0"/>
        <w:snapToGrid w:val="0"/>
        <w:spacing w:before="0" w:beforeAutospacing="0" w:after="0" w:afterAutospacing="0" w:line="360" w:lineRule="auto"/>
        <w:ind w:firstLine="480" w:firstLineChars="200"/>
        <w:jc w:val="left"/>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4</w:t>
      </w:r>
      <w:r>
        <w:rPr>
          <w:rFonts w:hint="eastAsia" w:ascii="宋体" w:hAnsi="宋体" w:eastAsia="宋体" w:cs="宋体"/>
          <w:color w:val="auto"/>
          <w:kern w:val="2"/>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拟派注册建造师：须具有建筑工程专业贰级（含贰级）以上资格，具有有效的安全生产考核合格证书（B级），且无在建项目</w:t>
      </w:r>
      <w:r>
        <w:rPr>
          <w:rFonts w:hint="eastAsia" w:ascii="宋体" w:hAnsi="宋体" w:eastAsia="宋体" w:cs="宋体"/>
          <w:color w:val="auto"/>
          <w:kern w:val="2"/>
          <w:sz w:val="24"/>
          <w:szCs w:val="24"/>
          <w:highlight w:val="none"/>
          <w:u w:val="none"/>
          <w:lang w:val="en-US" w:eastAsia="zh-CN"/>
        </w:rPr>
        <w:t>；</w:t>
      </w:r>
    </w:p>
    <w:p>
      <w:pPr>
        <w:pStyle w:val="22"/>
        <w:snapToGrid w:val="0"/>
        <w:spacing w:before="0" w:beforeAutospacing="0" w:after="0" w:afterAutospacing="0" w:line="360" w:lineRule="auto"/>
        <w:ind w:firstLine="48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5</w:t>
      </w:r>
      <w:r>
        <w:rPr>
          <w:rFonts w:hint="eastAsia" w:ascii="宋体" w:hAnsi="宋体" w:eastAsia="宋体" w:cs="宋体"/>
          <w:color w:val="auto"/>
          <w:kern w:val="2"/>
          <w:sz w:val="24"/>
          <w:szCs w:val="24"/>
          <w:highlight w:val="none"/>
          <w:u w:val="none"/>
          <w:lang w:val="en-US" w:eastAsia="zh-CN"/>
        </w:rPr>
        <w:t>）财务状况报告：提供</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kern w:val="2"/>
          <w:sz w:val="24"/>
          <w:szCs w:val="24"/>
          <w:highlight w:val="none"/>
          <w:u w:val="none"/>
          <w:lang w:val="en-US" w:eastAsia="zh-CN"/>
        </w:rPr>
        <w:t>2022年经审计的财务报告或在开标日期前6个月内其基本开户银行出具的资信证明；</w:t>
      </w:r>
    </w:p>
    <w:p>
      <w:pPr>
        <w:pStyle w:val="22"/>
        <w:snapToGrid w:val="0"/>
        <w:spacing w:before="0" w:beforeAutospacing="0" w:after="0" w:afterAutospacing="0" w:line="360" w:lineRule="auto"/>
        <w:ind w:firstLine="48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6</w:t>
      </w:r>
      <w:r>
        <w:rPr>
          <w:rFonts w:hint="eastAsia" w:ascii="宋体" w:hAnsi="宋体" w:eastAsia="宋体" w:cs="宋体"/>
          <w:color w:val="auto"/>
          <w:kern w:val="2"/>
          <w:sz w:val="24"/>
          <w:szCs w:val="24"/>
          <w:highlight w:val="none"/>
          <w:u w:val="none"/>
          <w:lang w:val="en-US" w:eastAsia="zh-CN"/>
        </w:rPr>
        <w:t>）税收缴纳证明：提供</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kern w:val="2"/>
          <w:sz w:val="24"/>
          <w:szCs w:val="24"/>
          <w:highlight w:val="none"/>
          <w:u w:val="none"/>
          <w:lang w:val="en-US" w:eastAsia="zh-CN"/>
        </w:rPr>
        <w:t>自2022年6月1日以来已缴纳任意时段的纳税凭据或完税证明（任意税种）；依法免税的应提供相关文件证明；</w:t>
      </w:r>
    </w:p>
    <w:p>
      <w:pPr>
        <w:pStyle w:val="22"/>
        <w:snapToGrid w:val="0"/>
        <w:spacing w:before="0" w:beforeAutospacing="0" w:after="0" w:afterAutospacing="0" w:line="360" w:lineRule="auto"/>
        <w:ind w:firstLine="48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7</w:t>
      </w:r>
      <w:r>
        <w:rPr>
          <w:rFonts w:hint="eastAsia" w:ascii="宋体" w:hAnsi="宋体" w:eastAsia="宋体" w:cs="宋体"/>
          <w:color w:val="auto"/>
          <w:kern w:val="2"/>
          <w:sz w:val="24"/>
          <w:szCs w:val="24"/>
          <w:highlight w:val="none"/>
          <w:u w:val="none"/>
          <w:lang w:val="en-US" w:eastAsia="zh-CN"/>
        </w:rPr>
        <w:t>）社会保障资金缴纳证明：提供</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kern w:val="2"/>
          <w:sz w:val="24"/>
          <w:szCs w:val="24"/>
          <w:highlight w:val="none"/>
          <w:u w:val="none"/>
          <w:lang w:val="en-US" w:eastAsia="zh-CN"/>
        </w:rPr>
        <w:t>自2022年6月1日以来已缴存的任意时段的社会保障资金缴存单据或社保机构开具的社会保险参保缴费情况证明；依法不需要缴纳社会保障资金的应提供相关文件证明；</w:t>
      </w:r>
    </w:p>
    <w:p>
      <w:pPr>
        <w:pStyle w:val="22"/>
        <w:snapToGrid w:val="0"/>
        <w:spacing w:before="0" w:beforeAutospacing="0" w:after="0" w:afterAutospacing="0" w:line="360" w:lineRule="auto"/>
        <w:ind w:firstLine="48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8</w:t>
      </w:r>
      <w:r>
        <w:rPr>
          <w:rFonts w:hint="eastAsia" w:ascii="宋体" w:hAnsi="宋体" w:eastAsia="宋体" w:cs="宋体"/>
          <w:color w:val="auto"/>
          <w:kern w:val="2"/>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kern w:val="2"/>
          <w:sz w:val="24"/>
          <w:szCs w:val="24"/>
          <w:highlight w:val="none"/>
          <w:u w:val="none"/>
          <w:lang w:val="en-US" w:eastAsia="zh-CN"/>
        </w:rPr>
        <w:t>具备履行合同所必需的设备及专业技术能力；</w:t>
      </w:r>
    </w:p>
    <w:p>
      <w:pPr>
        <w:pStyle w:val="22"/>
        <w:snapToGrid w:val="0"/>
        <w:spacing w:before="0" w:beforeAutospacing="0" w:after="0" w:afterAutospacing="0" w:line="360" w:lineRule="auto"/>
        <w:ind w:firstLine="48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9</w:t>
      </w:r>
      <w:r>
        <w:rPr>
          <w:rFonts w:hint="eastAsia" w:ascii="宋体" w:hAnsi="宋体" w:eastAsia="宋体" w:cs="宋体"/>
          <w:color w:val="auto"/>
          <w:kern w:val="2"/>
          <w:sz w:val="24"/>
          <w:szCs w:val="24"/>
          <w:highlight w:val="none"/>
          <w:u w:val="none"/>
          <w:lang w:val="en-US" w:eastAsia="zh-CN"/>
        </w:rPr>
        <w:t>）参加本次投标前3年内，在经营活动中没有重大违法记录的书面声明；</w:t>
      </w:r>
    </w:p>
    <w:p>
      <w:pPr>
        <w:pStyle w:val="22"/>
        <w:snapToGrid w:val="0"/>
        <w:spacing w:before="0" w:beforeAutospacing="0" w:after="0" w:afterAutospacing="0" w:line="360" w:lineRule="auto"/>
        <w:ind w:firstLine="48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2"/>
          <w:sz w:val="24"/>
          <w:szCs w:val="24"/>
          <w:highlight w:val="none"/>
          <w:u w:val="none"/>
          <w:lang w:val="en-US" w:eastAsia="zh-CN"/>
        </w:rPr>
        <w:t>10</w:t>
      </w:r>
      <w:r>
        <w:rPr>
          <w:rFonts w:hint="eastAsia" w:ascii="宋体" w:hAnsi="宋体" w:eastAsia="宋体" w:cs="宋体"/>
          <w:color w:val="auto"/>
          <w:kern w:val="2"/>
          <w:sz w:val="24"/>
          <w:szCs w:val="24"/>
          <w:highlight w:val="none"/>
          <w:u w:val="none"/>
          <w:lang w:val="en-US" w:eastAsia="zh-CN"/>
        </w:rPr>
        <w:t>）法定代表人（负责人）为同一人或者存在直接控股、管理关系的不同供应商，不得同时参加本采购项目投标；</w:t>
      </w:r>
    </w:p>
    <w:p>
      <w:pPr>
        <w:pStyle w:val="22"/>
        <w:snapToGrid w:val="0"/>
        <w:spacing w:before="0" w:beforeAutospacing="0" w:after="0" w:afterAutospacing="0" w:line="360" w:lineRule="auto"/>
        <w:ind w:firstLine="48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（11）</w:t>
      </w:r>
      <w:r>
        <w:rPr>
          <w:rFonts w:hint="eastAsia" w:ascii="宋体" w:hAnsi="宋体" w:cs="宋体"/>
          <w:color w:val="auto"/>
          <w:kern w:val="2"/>
          <w:sz w:val="24"/>
          <w:szCs w:val="24"/>
          <w:highlight w:val="none"/>
          <w:u w:val="none"/>
          <w:lang w:val="en-US" w:eastAsia="zh-CN"/>
        </w:rPr>
        <w:t>供应商</w:t>
      </w:r>
      <w:r>
        <w:rPr>
          <w:rFonts w:hint="eastAsia" w:ascii="宋体" w:hAnsi="宋体" w:eastAsia="宋体" w:cs="宋体"/>
          <w:color w:val="auto"/>
          <w:kern w:val="2"/>
          <w:sz w:val="24"/>
          <w:szCs w:val="24"/>
          <w:highlight w:val="none"/>
          <w:u w:val="none"/>
          <w:lang w:val="en-US" w:eastAsia="zh-CN"/>
        </w:rPr>
        <w:t>不得为列入“信用中国”网站(http://www.creditchina.gov.cn)“失信被执行人（页面跳转至“中国执行信息公开网”http://zxgk.court.gov.cn/shixin/）、重大税收违法失信主体、中国政府采购网(www.ccgp.gov.cn)的政府采购严重违法失信行为记录名单。</w:t>
      </w:r>
    </w:p>
    <w:p>
      <w:pPr>
        <w:pStyle w:val="22"/>
        <w:adjustRightInd w:val="0"/>
        <w:snapToGrid w:val="0"/>
        <w:spacing w:before="0" w:beforeAutospacing="0" w:after="0" w:afterAutospacing="0" w:line="360" w:lineRule="auto"/>
        <w:ind w:firstLine="480" w:firstLineChars="200"/>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bidi="ar"/>
        </w:rPr>
        <w:t>（12）本项目为专门面向中小企业项目，供应商应为中型企业、小型企业、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pStyle w:val="22"/>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本项目不接受联合体磋商。</w:t>
      </w:r>
      <w:r>
        <w:rPr>
          <w:rFonts w:hint="eastAsia" w:ascii="宋体" w:hAnsi="宋体" w:eastAsia="宋体" w:cs="宋体"/>
          <w:color w:val="auto"/>
          <w:kern w:val="0"/>
          <w:sz w:val="24"/>
          <w:szCs w:val="24"/>
          <w:highlight w:val="none"/>
          <w:lang w:val="en-US" w:eastAsia="zh-CN" w:bidi="ar"/>
        </w:rPr>
        <w:t xml:space="preserve">  </w:t>
      </w:r>
    </w:p>
    <w:p>
      <w:pPr>
        <w:pStyle w:val="43"/>
        <w:widowControl/>
        <w:adjustRightInd w:val="0"/>
        <w:snapToGrid w:val="0"/>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 采购文件的获取方式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时间：20</w:t>
      </w:r>
      <w:r>
        <w:rPr>
          <w:rFonts w:hint="eastAsia" w:ascii="宋体" w:hAnsi="宋体" w:cs="宋体"/>
          <w:b w:val="0"/>
          <w:bCs w:val="0"/>
          <w:color w:val="auto"/>
          <w:kern w:val="0"/>
          <w:sz w:val="24"/>
          <w:szCs w:val="24"/>
          <w:highlight w:val="none"/>
          <w:lang w:val="en-US" w:eastAsia="zh-CN" w:bidi="ar"/>
        </w:rPr>
        <w:t>23</w:t>
      </w:r>
      <w:r>
        <w:rPr>
          <w:rFonts w:hint="eastAsia" w:ascii="宋体" w:hAnsi="宋体" w:eastAsia="宋体" w:cs="宋体"/>
          <w:b w:val="0"/>
          <w:bCs w:val="0"/>
          <w:color w:val="auto"/>
          <w:kern w:val="0"/>
          <w:sz w:val="24"/>
          <w:szCs w:val="24"/>
          <w:highlight w:val="none"/>
          <w:lang w:val="en-US" w:eastAsia="zh-CN" w:bidi="ar"/>
        </w:rPr>
        <w:t>年</w:t>
      </w:r>
      <w:r>
        <w:rPr>
          <w:rFonts w:hint="eastAsia" w:ascii="宋体" w:hAnsi="宋体" w:cs="宋体"/>
          <w:b w:val="0"/>
          <w:bCs w:val="0"/>
          <w:color w:val="auto"/>
          <w:kern w:val="0"/>
          <w:sz w:val="24"/>
          <w:szCs w:val="24"/>
          <w:highlight w:val="none"/>
          <w:lang w:val="en-US" w:eastAsia="zh-CN" w:bidi="ar"/>
        </w:rPr>
        <w:t>10</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13</w:t>
      </w:r>
      <w:r>
        <w:rPr>
          <w:rFonts w:hint="eastAsia" w:ascii="宋体" w:hAnsi="宋体" w:eastAsia="宋体" w:cs="宋体"/>
          <w:b w:val="0"/>
          <w:bCs w:val="0"/>
          <w:color w:val="auto"/>
          <w:kern w:val="0"/>
          <w:sz w:val="24"/>
          <w:szCs w:val="24"/>
          <w:highlight w:val="none"/>
          <w:lang w:val="en-US" w:eastAsia="zh-CN" w:bidi="ar"/>
        </w:rPr>
        <w:t>日至20</w:t>
      </w:r>
      <w:r>
        <w:rPr>
          <w:rFonts w:hint="eastAsia" w:ascii="宋体" w:hAnsi="宋体" w:cs="宋体"/>
          <w:b w:val="0"/>
          <w:bCs w:val="0"/>
          <w:color w:val="auto"/>
          <w:kern w:val="0"/>
          <w:sz w:val="24"/>
          <w:szCs w:val="24"/>
          <w:highlight w:val="none"/>
          <w:lang w:val="en-US" w:eastAsia="zh-CN" w:bidi="ar"/>
        </w:rPr>
        <w:t>23</w:t>
      </w:r>
      <w:r>
        <w:rPr>
          <w:rFonts w:hint="eastAsia" w:ascii="宋体" w:hAnsi="宋体" w:eastAsia="宋体" w:cs="宋体"/>
          <w:b w:val="0"/>
          <w:bCs w:val="0"/>
          <w:color w:val="auto"/>
          <w:kern w:val="0"/>
          <w:sz w:val="24"/>
          <w:szCs w:val="24"/>
          <w:highlight w:val="none"/>
          <w:lang w:val="en-US" w:eastAsia="zh-CN" w:bidi="ar"/>
        </w:rPr>
        <w:t>年</w:t>
      </w:r>
      <w:r>
        <w:rPr>
          <w:rFonts w:hint="eastAsia" w:ascii="宋体" w:hAnsi="宋体" w:cs="宋体"/>
          <w:b w:val="0"/>
          <w:bCs w:val="0"/>
          <w:color w:val="auto"/>
          <w:kern w:val="0"/>
          <w:sz w:val="24"/>
          <w:szCs w:val="24"/>
          <w:highlight w:val="none"/>
          <w:lang w:val="en-US" w:eastAsia="zh-CN" w:bidi="ar"/>
        </w:rPr>
        <w:t>10</w:t>
      </w:r>
      <w:r>
        <w:rPr>
          <w:rFonts w:hint="eastAsia" w:ascii="宋体" w:hAnsi="宋体" w:eastAsia="宋体" w:cs="宋体"/>
          <w:b w:val="0"/>
          <w:bCs w:val="0"/>
          <w:color w:val="auto"/>
          <w:kern w:val="0"/>
          <w:sz w:val="24"/>
          <w:szCs w:val="24"/>
          <w:highlight w:val="none"/>
          <w:lang w:val="en-US" w:eastAsia="zh-CN" w:bidi="ar"/>
        </w:rPr>
        <w:t>月</w:t>
      </w:r>
      <w:r>
        <w:rPr>
          <w:rFonts w:hint="eastAsia" w:ascii="宋体" w:hAnsi="宋体" w:cs="宋体"/>
          <w:b w:val="0"/>
          <w:bCs w:val="0"/>
          <w:color w:val="auto"/>
          <w:kern w:val="0"/>
          <w:sz w:val="24"/>
          <w:szCs w:val="24"/>
          <w:highlight w:val="none"/>
          <w:lang w:val="en-US" w:eastAsia="zh-CN" w:bidi="ar"/>
        </w:rPr>
        <w:t xml:space="preserve">19 </w:t>
      </w:r>
      <w:r>
        <w:rPr>
          <w:rFonts w:hint="eastAsia" w:ascii="宋体" w:hAnsi="宋体" w:eastAsia="宋体" w:cs="宋体"/>
          <w:b w:val="0"/>
          <w:bCs w:val="0"/>
          <w:color w:val="auto"/>
          <w:kern w:val="0"/>
          <w:sz w:val="24"/>
          <w:szCs w:val="24"/>
          <w:highlight w:val="none"/>
          <w:lang w:val="en-US" w:eastAsia="zh-CN" w:bidi="ar"/>
        </w:rPr>
        <w:t>日，每天上午09:00:00至12:00:00，下午14:00:00至17:00:00（北京时间,法定节假日除外）</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途径</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color w:val="auto"/>
          <w:highlight w:val="none"/>
          <w:lang w:val="en-US" w:eastAsia="zh-CN"/>
        </w:rPr>
        <w:t>西安市莲湖区高新路2号西部国际广场A座10楼西户1018室</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方式：</w:t>
      </w:r>
      <w:r>
        <w:rPr>
          <w:rFonts w:hint="eastAsia" w:ascii="宋体" w:hAnsi="宋体" w:cs="宋体"/>
          <w:b w:val="0"/>
          <w:bCs w:val="0"/>
          <w:color w:val="auto"/>
          <w:kern w:val="0"/>
          <w:sz w:val="24"/>
          <w:szCs w:val="24"/>
          <w:highlight w:val="none"/>
          <w:lang w:val="en-US" w:eastAsia="zh-CN" w:bidi="ar"/>
        </w:rPr>
        <w:t>现场获取</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售价：</w:t>
      </w:r>
      <w:r>
        <w:rPr>
          <w:rFonts w:hint="eastAsia" w:ascii="宋体" w:hAnsi="宋体" w:cs="宋体"/>
          <w:b w:val="0"/>
          <w:bCs w:val="0"/>
          <w:color w:val="auto"/>
          <w:kern w:val="0"/>
          <w:sz w:val="24"/>
          <w:szCs w:val="24"/>
          <w:highlight w:val="none"/>
          <w:lang w:val="en-US" w:eastAsia="zh-CN" w:bidi="ar"/>
        </w:rPr>
        <w:t>免费获取</w:t>
      </w:r>
    </w:p>
    <w:p>
      <w:pPr>
        <w:pStyle w:val="43"/>
        <w:widowControl/>
        <w:adjustRightInd w:val="0"/>
        <w:snapToGrid w:val="0"/>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四、响应文件递交 </w:t>
      </w:r>
      <w:r>
        <w:rPr>
          <w:rFonts w:hint="eastAsia" w:ascii="宋体" w:hAnsi="宋体" w:eastAsia="宋体" w:cs="宋体"/>
          <w:b/>
          <w:bCs/>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SA"/>
        </w:rPr>
        <w:t>截止时间：</w:t>
      </w:r>
      <w:r>
        <w:rPr>
          <w:rFonts w:hint="eastAsia" w:ascii="宋体" w:hAnsi="宋体" w:eastAsia="宋体" w:cs="宋体"/>
          <w:b/>
          <w:bCs/>
          <w:color w:val="auto"/>
          <w:kern w:val="0"/>
          <w:sz w:val="24"/>
          <w:szCs w:val="24"/>
          <w:highlight w:val="none"/>
          <w:u w:val="none"/>
          <w:lang w:val="en-US" w:eastAsia="zh-CN" w:bidi="ar"/>
        </w:rPr>
        <w:t>20</w:t>
      </w:r>
      <w:r>
        <w:rPr>
          <w:rFonts w:hint="eastAsia" w:ascii="宋体" w:hAnsi="宋体" w:cs="宋体"/>
          <w:b/>
          <w:bCs/>
          <w:color w:val="auto"/>
          <w:kern w:val="0"/>
          <w:sz w:val="24"/>
          <w:szCs w:val="24"/>
          <w:highlight w:val="none"/>
          <w:u w:val="none"/>
          <w:lang w:val="en-US" w:eastAsia="zh-CN" w:bidi="ar"/>
        </w:rPr>
        <w:t>23</w:t>
      </w:r>
      <w:r>
        <w:rPr>
          <w:rFonts w:hint="eastAsia" w:ascii="宋体" w:hAnsi="宋体" w:eastAsia="宋体" w:cs="宋体"/>
          <w:b/>
          <w:bCs/>
          <w:color w:val="auto"/>
          <w:kern w:val="0"/>
          <w:sz w:val="24"/>
          <w:szCs w:val="24"/>
          <w:highlight w:val="none"/>
          <w:u w:val="none"/>
          <w:lang w:val="en-US" w:eastAsia="zh-CN" w:bidi="ar"/>
        </w:rPr>
        <w:t>年</w:t>
      </w:r>
      <w:r>
        <w:rPr>
          <w:rFonts w:hint="eastAsia" w:ascii="宋体" w:hAnsi="宋体" w:cs="宋体"/>
          <w:b/>
          <w:bCs/>
          <w:color w:val="auto"/>
          <w:kern w:val="0"/>
          <w:sz w:val="24"/>
          <w:szCs w:val="24"/>
          <w:highlight w:val="none"/>
          <w:u w:val="none"/>
          <w:lang w:val="en-US" w:eastAsia="zh-CN" w:bidi="ar"/>
        </w:rPr>
        <w:t>10</w:t>
      </w:r>
      <w:r>
        <w:rPr>
          <w:rFonts w:hint="eastAsia" w:ascii="宋体" w:hAnsi="宋体" w:eastAsia="宋体" w:cs="宋体"/>
          <w:b/>
          <w:bCs/>
          <w:color w:val="auto"/>
          <w:kern w:val="0"/>
          <w:sz w:val="24"/>
          <w:szCs w:val="24"/>
          <w:highlight w:val="none"/>
          <w:u w:val="none"/>
          <w:lang w:val="en-US" w:eastAsia="zh-CN" w:bidi="ar"/>
        </w:rPr>
        <w:t>月</w:t>
      </w:r>
      <w:r>
        <w:rPr>
          <w:rFonts w:hint="eastAsia" w:ascii="宋体" w:hAnsi="宋体" w:cs="宋体"/>
          <w:b/>
          <w:bCs/>
          <w:color w:val="auto"/>
          <w:kern w:val="0"/>
          <w:sz w:val="24"/>
          <w:szCs w:val="24"/>
          <w:highlight w:val="none"/>
          <w:u w:val="none"/>
          <w:lang w:val="en-US" w:eastAsia="zh-CN" w:bidi="ar"/>
        </w:rPr>
        <w:t>23</w:t>
      </w:r>
      <w:r>
        <w:rPr>
          <w:rFonts w:hint="eastAsia" w:ascii="宋体" w:hAnsi="宋体" w:eastAsia="宋体" w:cs="宋体"/>
          <w:b/>
          <w:bCs/>
          <w:color w:val="auto"/>
          <w:kern w:val="0"/>
          <w:sz w:val="24"/>
          <w:szCs w:val="24"/>
          <w:highlight w:val="none"/>
          <w:u w:val="none"/>
          <w:lang w:val="en-US" w:eastAsia="zh-CN" w:bidi="ar"/>
        </w:rPr>
        <w:t>日</w:t>
      </w:r>
      <w:r>
        <w:rPr>
          <w:rFonts w:hint="eastAsia" w:ascii="宋体" w:hAnsi="宋体" w:cs="宋体"/>
          <w:b/>
          <w:bCs/>
          <w:color w:val="auto"/>
          <w:kern w:val="0"/>
          <w:sz w:val="24"/>
          <w:szCs w:val="24"/>
          <w:highlight w:val="none"/>
          <w:u w:val="none"/>
          <w:lang w:val="en-US" w:eastAsia="zh-CN" w:bidi="ar"/>
        </w:rPr>
        <w:t>14</w:t>
      </w:r>
      <w:r>
        <w:rPr>
          <w:rFonts w:hint="eastAsia" w:ascii="宋体" w:hAnsi="宋体" w:eastAsia="宋体" w:cs="宋体"/>
          <w:b/>
          <w:bCs/>
          <w:color w:val="auto"/>
          <w:kern w:val="0"/>
          <w:sz w:val="24"/>
          <w:szCs w:val="24"/>
          <w:highlight w:val="none"/>
          <w:u w:val="none"/>
          <w:lang w:val="en-US" w:eastAsia="zh-CN" w:bidi="ar"/>
        </w:rPr>
        <w:t>时30分</w:t>
      </w:r>
    </w:p>
    <w:p>
      <w:pPr>
        <w:pStyle w:val="22"/>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点：</w:t>
      </w:r>
      <w:r>
        <w:rPr>
          <w:rFonts w:hint="eastAsia" w:ascii="宋体" w:hAnsi="宋体" w:cs="宋体"/>
          <w:color w:val="auto"/>
          <w:highlight w:val="none"/>
          <w:lang w:val="en-US" w:eastAsia="zh-CN"/>
        </w:rPr>
        <w:t>西安市莲湖区高新路2号西部国际广场A座10楼西户1018室</w:t>
      </w:r>
    </w:p>
    <w:p>
      <w:pPr>
        <w:pStyle w:val="43"/>
        <w:widowControl/>
        <w:adjustRightInd w:val="0"/>
        <w:snapToGrid w:val="0"/>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p>
    <w:p>
      <w:pPr>
        <w:pStyle w:val="22"/>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自本公告发布之日起3个工作日。</w:t>
      </w:r>
    </w:p>
    <w:p>
      <w:pPr>
        <w:pStyle w:val="43"/>
        <w:keepNext w:val="0"/>
        <w:keepLines w:val="0"/>
        <w:pageBreakBefore w:val="0"/>
        <w:widowControl/>
        <w:numPr>
          <w:ilvl w:val="0"/>
          <w:numId w:val="1"/>
        </w:numPr>
        <w:kinsoku/>
        <w:wordWrap/>
        <w:overflowPunct/>
        <w:topLinePunct w:val="0"/>
        <w:autoSpaceDE/>
        <w:autoSpaceDN/>
        <w:bidi w:val="0"/>
        <w:adjustRightInd w:val="0"/>
        <w:snapToGrid w:val="0"/>
        <w:spacing w:before="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其他补充事宜</w:t>
      </w:r>
    </w:p>
    <w:p>
      <w:pPr>
        <w:pStyle w:val="22"/>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360" w:lineRule="auto"/>
        <w:ind w:left="150" w:leftChars="0" w:firstLine="480" w:firstLineChars="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领取竞争性磋商文件时携带单位介绍信（或授权委托书）以及经办人身份证原件及复印件加盖公章现场领取竞争性磋商文件；</w:t>
      </w:r>
    </w:p>
    <w:p>
      <w:pPr>
        <w:pStyle w:val="22"/>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360" w:lineRule="auto"/>
        <w:ind w:left="150" w:leftChars="0" w:firstLine="480" w:firstLineChars="0"/>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color w:val="auto"/>
          <w:highlight w:val="none"/>
        </w:rPr>
        <w:t>请供应商按照陕西省财政厅关于政府采购供应商注册登记有关事项的通知中的要求，通过陕西省政府采购网（http://www.ccgp-shaanxi.gov.cn/）注册登记加入陕西省政府采购供应商库。</w:t>
      </w:r>
    </w:p>
    <w:p>
      <w:pPr>
        <w:pStyle w:val="43"/>
        <w:keepNext w:val="0"/>
        <w:keepLines w:val="0"/>
        <w:pageBreakBefore w:val="0"/>
        <w:widowControl/>
        <w:kinsoku/>
        <w:wordWrap/>
        <w:overflowPunct/>
        <w:topLinePunct w:val="0"/>
        <w:autoSpaceDE/>
        <w:autoSpaceDN/>
        <w:bidi w:val="0"/>
        <w:adjustRightInd w:val="0"/>
        <w:snapToGrid w:val="0"/>
        <w:spacing w:before="0"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七、对本次采购提出询问，请按以下方式联系。</w:t>
      </w:r>
    </w:p>
    <w:p>
      <w:pPr>
        <w:pStyle w:val="22"/>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1、采购人信息：</w:t>
      </w:r>
      <w:r>
        <w:rPr>
          <w:rFonts w:hint="eastAsia" w:ascii="宋体" w:hAnsi="宋体" w:eastAsia="宋体" w:cs="宋体"/>
          <w:color w:val="auto"/>
          <w:highlight w:val="none"/>
          <w:lang w:val="en-US" w:eastAsia="zh-CN"/>
        </w:rPr>
        <w:t>陕西咸阳中学</w:t>
      </w:r>
    </w:p>
    <w:p>
      <w:pPr>
        <w:pStyle w:val="22"/>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479" w:leftChars="228"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联系地址：</w:t>
      </w:r>
      <w:r>
        <w:rPr>
          <w:rFonts w:hint="eastAsia" w:ascii="宋体" w:hAnsi="宋体" w:cs="宋体"/>
          <w:color w:val="auto"/>
          <w:highlight w:val="none"/>
          <w:lang w:val="en-US" w:eastAsia="zh-CN"/>
        </w:rPr>
        <w:t>陕西省咸阳市渭城区东风路34号</w:t>
      </w:r>
    </w:p>
    <w:p>
      <w:pPr>
        <w:pStyle w:val="22"/>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479" w:leftChars="228" w:firstLine="0" w:firstLineChars="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029-38103002</w:t>
      </w:r>
    </w:p>
    <w:p>
      <w:pPr>
        <w:pStyle w:val="43"/>
        <w:keepNext w:val="0"/>
        <w:keepLines w:val="0"/>
        <w:pageBreakBefore w:val="0"/>
        <w:widowControl/>
        <w:kinsoku/>
        <w:wordWrap/>
        <w:overflowPunct/>
        <w:topLinePunct w:val="0"/>
        <w:autoSpaceDE/>
        <w:autoSpaceDN/>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2.采购代理机构信息</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eastAsia="宋体" w:cs="宋体"/>
          <w:color w:val="auto"/>
          <w:sz w:val="24"/>
          <w:highlight w:val="none"/>
        </w:rPr>
        <w:t>陕西宸逸九科项目咨询管理有限公司</w:t>
      </w:r>
    </w:p>
    <w:p>
      <w:pPr>
        <w:pStyle w:val="43"/>
        <w:keepNext w:val="0"/>
        <w:keepLines w:val="0"/>
        <w:pageBreakBefore w:val="0"/>
        <w:widowControl/>
        <w:kinsoku/>
        <w:wordWrap/>
        <w:overflowPunct/>
        <w:topLinePunct w:val="0"/>
        <w:autoSpaceDE/>
        <w:autoSpaceDN/>
        <w:bidi w:val="0"/>
        <w:adjustRightInd w:val="0"/>
        <w:snapToGrid w:val="0"/>
        <w:spacing w:before="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r>
        <w:rPr>
          <w:rFonts w:hint="eastAsia" w:ascii="宋体" w:hAnsi="宋体" w:cs="宋体"/>
          <w:b w:val="0"/>
          <w:bCs w:val="0"/>
          <w:color w:val="auto"/>
          <w:sz w:val="24"/>
          <w:szCs w:val="24"/>
          <w:highlight w:val="none"/>
          <w:lang w:val="en-US" w:eastAsia="zh-CN"/>
        </w:rPr>
        <w:t>西安市莲湖区高新路2号西部国际广场A座10楼西户1018室</w:t>
      </w:r>
    </w:p>
    <w:p>
      <w:pPr>
        <w:pStyle w:val="43"/>
        <w:keepNext w:val="0"/>
        <w:keepLines w:val="0"/>
        <w:pageBreakBefore w:val="0"/>
        <w:widowControl/>
        <w:kinsoku/>
        <w:wordWrap/>
        <w:overflowPunct/>
        <w:topLinePunct w:val="0"/>
        <w:autoSpaceDE/>
        <w:autoSpaceDN/>
        <w:bidi w:val="0"/>
        <w:adjustRightInd w:val="0"/>
        <w:snapToGrid w:val="0"/>
        <w:spacing w:before="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联系方式：029-86259655、15289353600</w:t>
      </w:r>
    </w:p>
    <w:p>
      <w:pPr>
        <w:pStyle w:val="43"/>
        <w:keepNext w:val="0"/>
        <w:keepLines w:val="0"/>
        <w:pageBreakBefore w:val="0"/>
        <w:widowControl/>
        <w:kinsoku/>
        <w:wordWrap/>
        <w:overflowPunct/>
        <w:topLinePunct w:val="0"/>
        <w:autoSpaceDE/>
        <w:autoSpaceDN/>
        <w:bidi w:val="0"/>
        <w:adjustRightInd w:val="0"/>
        <w:snapToGrid w:val="0"/>
        <w:spacing w:before="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3.项目联系方式</w:t>
      </w:r>
    </w:p>
    <w:p>
      <w:pPr>
        <w:pStyle w:val="43"/>
        <w:keepNext w:val="0"/>
        <w:keepLines w:val="0"/>
        <w:pageBreakBefore w:val="0"/>
        <w:widowControl/>
        <w:kinsoku/>
        <w:wordWrap/>
        <w:overflowPunct/>
        <w:topLinePunct w:val="0"/>
        <w:autoSpaceDE/>
        <w:autoSpaceDN/>
        <w:bidi w:val="0"/>
        <w:adjustRightInd w:val="0"/>
        <w:snapToGrid w:val="0"/>
        <w:spacing w:before="0"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项目联系人：</w:t>
      </w:r>
      <w:r>
        <w:rPr>
          <w:rFonts w:hint="eastAsia" w:ascii="宋体" w:hAnsi="宋体" w:cs="宋体"/>
          <w:b w:val="0"/>
          <w:bCs w:val="0"/>
          <w:color w:val="auto"/>
          <w:sz w:val="24"/>
          <w:szCs w:val="24"/>
          <w:highlight w:val="none"/>
          <w:lang w:val="en-US" w:eastAsia="zh-CN"/>
        </w:rPr>
        <w:t>原工、张工</w:t>
      </w:r>
    </w:p>
    <w:p>
      <w:pPr>
        <w:pStyle w:val="43"/>
        <w:keepNext w:val="0"/>
        <w:keepLines w:val="0"/>
        <w:pageBreakBefore w:val="0"/>
        <w:widowControl/>
        <w:kinsoku/>
        <w:wordWrap/>
        <w:overflowPunct/>
        <w:topLinePunct w:val="0"/>
        <w:autoSpaceDE/>
        <w:autoSpaceDN/>
        <w:bidi w:val="0"/>
        <w:adjustRightInd w:val="0"/>
        <w:snapToGrid w:val="0"/>
        <w:spacing w:before="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电话：15289353600</w:t>
      </w:r>
    </w:p>
    <w:p>
      <w:pPr>
        <w:pStyle w:val="43"/>
        <w:widowControl/>
        <w:adjustRightInd w:val="0"/>
        <w:snapToGrid w:val="0"/>
        <w:spacing w:before="0" w:line="360" w:lineRule="auto"/>
        <w:ind w:firstLine="482"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kern w:val="0"/>
          <w:sz w:val="24"/>
          <w:szCs w:val="24"/>
          <w:highlight w:val="none"/>
          <w:lang w:bidi="ar"/>
        </w:rPr>
      </w:pPr>
    </w:p>
    <w:p>
      <w:pPr>
        <w:pStyle w:val="2"/>
        <w:bidi w:val="0"/>
        <w:rPr>
          <w:rFonts w:hint="eastAsia" w:ascii="宋体" w:hAnsi="宋体" w:eastAsia="宋体" w:cs="宋体"/>
          <w:color w:val="auto"/>
          <w:highlight w:val="none"/>
        </w:rPr>
        <w:sectPr>
          <w:footerReference r:id="rId7" w:type="default"/>
          <w:pgSz w:w="11906" w:h="16838"/>
          <w:pgMar w:top="1440" w:right="1304" w:bottom="1417" w:left="1803" w:header="1185" w:footer="1191" w:gutter="0"/>
          <w:pgBorders>
            <w:top w:val="none" w:sz="0" w:space="0"/>
            <w:left w:val="none" w:sz="0" w:space="0"/>
            <w:bottom w:val="none" w:sz="0" w:space="0"/>
            <w:right w:val="none" w:sz="0" w:space="0"/>
          </w:pgBorders>
          <w:pgNumType w:fmt="decimal"/>
          <w:cols w:space="720" w:num="1"/>
          <w:docGrid w:type="lines" w:linePitch="312" w:charSpace="0"/>
        </w:sectPr>
      </w:pPr>
      <w:bookmarkStart w:id="15" w:name="_Toc27443"/>
    </w:p>
    <w:p>
      <w:pPr>
        <w:pStyle w:val="2"/>
        <w:bidi w:val="0"/>
        <w:spacing w:line="240" w:lineRule="auto"/>
        <w:rPr>
          <w:rFonts w:hint="eastAsia" w:ascii="宋体" w:hAnsi="宋体" w:eastAsia="宋体" w:cs="宋体"/>
          <w:color w:val="auto"/>
          <w:sz w:val="32"/>
          <w:szCs w:val="15"/>
          <w:highlight w:val="none"/>
        </w:rPr>
      </w:pPr>
      <w:bookmarkStart w:id="16" w:name="_Toc30624"/>
      <w:bookmarkStart w:id="17" w:name="_Toc30753"/>
      <w:r>
        <w:rPr>
          <w:rFonts w:hint="eastAsia" w:ascii="宋体" w:hAnsi="宋体" w:eastAsia="宋体" w:cs="宋体"/>
          <w:color w:val="auto"/>
          <w:sz w:val="32"/>
          <w:szCs w:val="15"/>
          <w:highlight w:val="none"/>
        </w:rPr>
        <w:t>第二章 供应商须知及前附表</w:t>
      </w:r>
      <w:bookmarkEnd w:id="12"/>
      <w:bookmarkEnd w:id="13"/>
      <w:bookmarkEnd w:id="14"/>
      <w:bookmarkEnd w:id="15"/>
      <w:bookmarkEnd w:id="16"/>
      <w:bookmarkEnd w:id="17"/>
    </w:p>
    <w:p>
      <w:pPr>
        <w:pStyle w:val="4"/>
        <w:bidi w:val="0"/>
        <w:spacing w:line="240" w:lineRule="auto"/>
        <w:jc w:val="center"/>
        <w:outlineLvl w:val="2"/>
        <w:rPr>
          <w:rFonts w:hint="eastAsia" w:ascii="宋体" w:hAnsi="宋体" w:eastAsia="宋体" w:cs="宋体"/>
          <w:color w:val="auto"/>
          <w:sz w:val="28"/>
          <w:szCs w:val="13"/>
          <w:highlight w:val="none"/>
        </w:rPr>
      </w:pPr>
      <w:bookmarkStart w:id="18" w:name="_Toc513557025"/>
      <w:bookmarkStart w:id="19" w:name="_Toc504605168"/>
      <w:bookmarkStart w:id="20" w:name="_Toc504605086"/>
      <w:bookmarkStart w:id="21" w:name="_Toc1925"/>
      <w:r>
        <w:rPr>
          <w:rFonts w:hint="eastAsia" w:ascii="宋体" w:hAnsi="宋体" w:eastAsia="宋体" w:cs="宋体"/>
          <w:color w:val="auto"/>
          <w:sz w:val="28"/>
          <w:szCs w:val="13"/>
          <w:highlight w:val="none"/>
        </w:rPr>
        <w:t>（一）供应商须知前附表</w:t>
      </w:r>
      <w:bookmarkEnd w:id="18"/>
      <w:bookmarkEnd w:id="19"/>
      <w:bookmarkEnd w:id="20"/>
      <w:bookmarkEnd w:id="21"/>
    </w:p>
    <w:tbl>
      <w:tblPr>
        <w:tblStyle w:val="24"/>
        <w:tblW w:w="8948" w:type="dxa"/>
        <w:jc w:val="right"/>
        <w:tblLayout w:type="fixed"/>
        <w:tblCellMar>
          <w:top w:w="0" w:type="dxa"/>
          <w:left w:w="108" w:type="dxa"/>
          <w:bottom w:w="0" w:type="dxa"/>
          <w:right w:w="108" w:type="dxa"/>
        </w:tblCellMar>
      </w:tblPr>
      <w:tblGrid>
        <w:gridCol w:w="1014"/>
        <w:gridCol w:w="1237"/>
        <w:gridCol w:w="6697"/>
      </w:tblGrid>
      <w:tr>
        <w:tblPrEx>
          <w:tblCellMar>
            <w:top w:w="0" w:type="dxa"/>
            <w:left w:w="108" w:type="dxa"/>
            <w:bottom w:w="0" w:type="dxa"/>
            <w:right w:w="108" w:type="dxa"/>
          </w:tblCellMar>
        </w:tblPrEx>
        <w:trPr>
          <w:trHeight w:val="254"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color w:val="auto"/>
                <w:sz w:val="21"/>
                <w:szCs w:val="21"/>
                <w:highlight w:val="none"/>
              </w:rPr>
            </w:pPr>
            <w:bookmarkStart w:id="22" w:name="_Toc504605169"/>
            <w:bookmarkStart w:id="23" w:name="_Toc504605087"/>
            <w:r>
              <w:rPr>
                <w:rFonts w:hint="eastAsia" w:ascii="宋体" w:hAnsi="宋体" w:eastAsia="宋体" w:cs="宋体"/>
                <w:b/>
                <w:color w:val="auto"/>
                <w:sz w:val="21"/>
                <w:szCs w:val="21"/>
                <w:highlight w:val="none"/>
              </w:rPr>
              <w:t>条款号</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6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19" w:leftChars="24" w:hanging="369" w:hangingChars="17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tblPrEx>
          <w:tblCellMar>
            <w:top w:w="0" w:type="dxa"/>
            <w:left w:w="108" w:type="dxa"/>
            <w:bottom w:w="0" w:type="dxa"/>
            <w:right w:w="108" w:type="dxa"/>
          </w:tblCellMar>
        </w:tblPrEx>
        <w:trPr>
          <w:trHeight w:val="9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697"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kinsoku/>
              <w:wordWrap/>
              <w:overflowPunct/>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名称：陕西咸阳中学</w:t>
            </w:r>
          </w:p>
          <w:p>
            <w:pPr>
              <w:pStyle w:val="34"/>
              <w:keepNext w:val="0"/>
              <w:keepLines w:val="0"/>
              <w:pageBreakBefore w:val="0"/>
              <w:kinsoku/>
              <w:wordWrap/>
              <w:overflowPunct/>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联系人：程军刚</w:t>
            </w:r>
          </w:p>
          <w:p>
            <w:pPr>
              <w:pStyle w:val="34"/>
              <w:keepNext w:val="0"/>
              <w:keepLines w:val="0"/>
              <w:pageBreakBefore w:val="0"/>
              <w:kinsoku/>
              <w:wordWrap/>
              <w:overflowPunct/>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联系地址：</w:t>
            </w:r>
            <w:r>
              <w:rPr>
                <w:rFonts w:hint="eastAsia" w:ascii="宋体" w:hAnsi="宋体" w:cs="宋体"/>
                <w:color w:val="auto"/>
                <w:sz w:val="21"/>
                <w:szCs w:val="21"/>
                <w:highlight w:val="none"/>
                <w:lang w:val="en-US" w:eastAsia="zh-CN"/>
              </w:rPr>
              <w:t>陕西省咸阳市渭城区东风路34号</w:t>
            </w:r>
          </w:p>
          <w:p>
            <w:pPr>
              <w:pStyle w:val="34"/>
              <w:keepNext w:val="0"/>
              <w:keepLines w:val="0"/>
              <w:pageBreakBefore w:val="0"/>
              <w:kinsoku/>
              <w:wordWrap/>
              <w:overflowPunct/>
              <w:autoSpaceDE/>
              <w:autoSpaceDN/>
              <w:bidi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联系电话：029-38103002</w:t>
            </w:r>
          </w:p>
        </w:tc>
      </w:tr>
      <w:tr>
        <w:tblPrEx>
          <w:tblCellMar>
            <w:top w:w="0" w:type="dxa"/>
            <w:left w:w="108" w:type="dxa"/>
            <w:bottom w:w="0" w:type="dxa"/>
            <w:right w:w="108" w:type="dxa"/>
          </w:tblCellMar>
        </w:tblPrEx>
        <w:trPr>
          <w:trHeight w:val="9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名称：</w:t>
            </w:r>
            <w:r>
              <w:rPr>
                <w:rFonts w:hint="eastAsia" w:ascii="宋体" w:hAnsi="宋体" w:cs="宋体"/>
                <w:bCs/>
                <w:color w:val="auto"/>
                <w:szCs w:val="21"/>
                <w:highlight w:val="none"/>
                <w:lang w:eastAsia="zh-CN"/>
              </w:rPr>
              <w:t>陕西宸逸九科项目咨询管理有限公司</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地址：</w:t>
            </w:r>
            <w:r>
              <w:rPr>
                <w:rFonts w:hint="eastAsia" w:ascii="宋体" w:hAnsi="宋体" w:cs="宋体"/>
                <w:bCs/>
                <w:color w:val="auto"/>
                <w:szCs w:val="21"/>
                <w:highlight w:val="none"/>
                <w:lang w:eastAsia="zh-CN"/>
              </w:rPr>
              <w:t>西安市莲湖区高新路2号西部国际广场A座10楼西户1018室</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项目联系人：</w:t>
            </w:r>
            <w:r>
              <w:rPr>
                <w:rFonts w:hint="eastAsia" w:ascii="宋体" w:hAnsi="宋体" w:eastAsia="宋体" w:cs="宋体"/>
                <w:bCs/>
                <w:color w:val="auto"/>
                <w:szCs w:val="21"/>
                <w:highlight w:val="none"/>
                <w:lang w:val="en-US" w:eastAsia="zh-CN"/>
              </w:rPr>
              <w:t>原工、张工</w:t>
            </w:r>
          </w:p>
          <w:p>
            <w:pPr>
              <w:keepNext w:val="0"/>
              <w:keepLines w:val="0"/>
              <w:pageBreakBefore w:val="0"/>
              <w:kinsoku/>
              <w:wordWrap/>
              <w:overflowPunct/>
              <w:autoSpaceDE/>
              <w:autoSpaceDN/>
              <w:bidi w:val="0"/>
              <w:adjustRightInd w:val="0"/>
              <w:snapToGrid w:val="0"/>
              <w:spacing w:line="400" w:lineRule="exact"/>
              <w:jc w:val="lef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电 话：029-86259655、</w:t>
            </w:r>
            <w:r>
              <w:rPr>
                <w:rFonts w:hint="eastAsia" w:ascii="宋体" w:hAnsi="宋体" w:cs="宋体"/>
                <w:bCs/>
                <w:color w:val="auto"/>
                <w:szCs w:val="21"/>
                <w:highlight w:val="none"/>
                <w:lang w:val="en-US" w:eastAsia="zh-CN"/>
              </w:rPr>
              <w:t>15289353600</w:t>
            </w:r>
          </w:p>
          <w:p>
            <w:pPr>
              <w:pStyle w:val="34"/>
              <w:keepNext w:val="0"/>
              <w:keepLines w:val="0"/>
              <w:pageBreakBefore w:val="0"/>
              <w:kinsoku/>
              <w:wordWrap/>
              <w:overflowPunct/>
              <w:autoSpaceDE/>
              <w:autoSpaceDN/>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传 真：029-81870236</w:t>
            </w:r>
          </w:p>
        </w:tc>
      </w:tr>
      <w:tr>
        <w:tblPrEx>
          <w:tblCellMar>
            <w:top w:w="0" w:type="dxa"/>
            <w:left w:w="108" w:type="dxa"/>
            <w:bottom w:w="0" w:type="dxa"/>
            <w:right w:w="108" w:type="dxa"/>
          </w:tblCellMar>
        </w:tblPrEx>
        <w:trPr>
          <w:trHeight w:val="518"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陕西咸阳中学远航楼、怡然楼、雅舍楼 卫生间及管网改造工程</w:t>
            </w:r>
          </w:p>
        </w:tc>
      </w:tr>
      <w:tr>
        <w:tblPrEx>
          <w:tblCellMar>
            <w:top w:w="0" w:type="dxa"/>
            <w:left w:w="108" w:type="dxa"/>
            <w:bottom w:w="0" w:type="dxa"/>
            <w:right w:w="108" w:type="dxa"/>
          </w:tblCellMar>
        </w:tblPrEx>
        <w:trPr>
          <w:trHeight w:val="531"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建设地点</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咸阳市渭城区东风路34号咸阳中学</w:t>
            </w:r>
          </w:p>
        </w:tc>
      </w:tr>
      <w:tr>
        <w:tblPrEx>
          <w:tblCellMar>
            <w:top w:w="0" w:type="dxa"/>
            <w:left w:w="108" w:type="dxa"/>
            <w:bottom w:w="0" w:type="dxa"/>
            <w:right w:w="108" w:type="dxa"/>
          </w:tblCellMar>
        </w:tblPrEx>
        <w:trPr>
          <w:trHeight w:val="855"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工程概况</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主要内容包括远航楼、怡然楼、雅舍楼卫生间给排水管网进行改造；更换各楼卫生器具、卫生间格挡改造、墙面和地面贴砖、屋顶粉刷等</w:t>
            </w:r>
            <w:r>
              <w:rPr>
                <w:rFonts w:hint="eastAsia" w:ascii="宋体" w:hAnsi="宋体" w:eastAsia="宋体" w:cs="宋体"/>
                <w:color w:val="auto"/>
                <w:highlight w:val="none"/>
              </w:rPr>
              <w:t>。</w:t>
            </w:r>
          </w:p>
        </w:tc>
      </w:tr>
      <w:tr>
        <w:tblPrEx>
          <w:tblCellMar>
            <w:top w:w="0" w:type="dxa"/>
            <w:left w:w="108" w:type="dxa"/>
            <w:bottom w:w="0" w:type="dxa"/>
            <w:right w:w="108" w:type="dxa"/>
          </w:tblCellMar>
        </w:tblPrEx>
        <w:trPr>
          <w:trHeight w:val="518"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6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财政资金</w:t>
            </w:r>
          </w:p>
        </w:tc>
      </w:tr>
      <w:tr>
        <w:tblPrEx>
          <w:tblCellMar>
            <w:top w:w="0" w:type="dxa"/>
            <w:left w:w="108" w:type="dxa"/>
            <w:bottom w:w="0" w:type="dxa"/>
            <w:right w:w="108" w:type="dxa"/>
          </w:tblCellMar>
        </w:tblPrEx>
        <w:trPr>
          <w:trHeight w:val="452"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tblPrEx>
          <w:tblCellMar>
            <w:top w:w="0" w:type="dxa"/>
            <w:left w:w="108" w:type="dxa"/>
            <w:bottom w:w="0" w:type="dxa"/>
            <w:right w:w="108" w:type="dxa"/>
          </w:tblCellMar>
        </w:tblPrEx>
        <w:trPr>
          <w:trHeight w:val="874"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采购范围</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陕西咸阳中学远航楼、怡然楼、雅舍楼 卫生间及管网改造工程</w:t>
            </w:r>
            <w:r>
              <w:rPr>
                <w:rFonts w:hint="eastAsia" w:ascii="宋体" w:hAnsi="宋体" w:eastAsia="宋体" w:cs="宋体"/>
                <w:color w:val="auto"/>
                <w:sz w:val="21"/>
                <w:szCs w:val="21"/>
                <w:highlight w:val="none"/>
                <w:lang w:val="en-US" w:eastAsia="zh-CN"/>
              </w:rPr>
              <w:t>竞争性磋商文件、答疑文件（如有）、</w:t>
            </w:r>
            <w:r>
              <w:rPr>
                <w:rFonts w:hint="eastAsia" w:ascii="宋体" w:hAnsi="宋体" w:cs="宋体"/>
                <w:color w:val="auto"/>
                <w:sz w:val="21"/>
                <w:szCs w:val="21"/>
                <w:highlight w:val="none"/>
                <w:lang w:val="en-US" w:eastAsia="zh-CN"/>
              </w:rPr>
              <w:t>图纸、</w:t>
            </w:r>
            <w:r>
              <w:rPr>
                <w:rFonts w:hint="eastAsia" w:ascii="宋体" w:hAnsi="宋体" w:eastAsia="宋体" w:cs="宋体"/>
                <w:color w:val="auto"/>
                <w:sz w:val="21"/>
                <w:szCs w:val="21"/>
                <w:highlight w:val="none"/>
                <w:lang w:val="en-US" w:eastAsia="zh-CN"/>
              </w:rPr>
              <w:t>工程量清单等文件所包含的全部内容。</w:t>
            </w:r>
          </w:p>
        </w:tc>
      </w:tr>
      <w:tr>
        <w:tblPrEx>
          <w:tblCellMar>
            <w:top w:w="0" w:type="dxa"/>
            <w:left w:w="108" w:type="dxa"/>
            <w:bottom w:w="0" w:type="dxa"/>
            <w:right w:w="108" w:type="dxa"/>
          </w:tblCellMar>
        </w:tblPrEx>
        <w:trPr>
          <w:trHeight w:val="518"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计划工期</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自合同签订之日起60日历天</w:t>
            </w:r>
          </w:p>
        </w:tc>
      </w:tr>
      <w:tr>
        <w:tblPrEx>
          <w:tblCellMar>
            <w:top w:w="0" w:type="dxa"/>
            <w:left w:w="108" w:type="dxa"/>
            <w:bottom w:w="0" w:type="dxa"/>
            <w:right w:w="108" w:type="dxa"/>
          </w:tblCellMar>
        </w:tblPrEx>
        <w:trPr>
          <w:trHeight w:val="532"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工程质量</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达到国家现行验收规范“合格”标准</w:t>
            </w:r>
          </w:p>
        </w:tc>
      </w:tr>
      <w:tr>
        <w:tblPrEx>
          <w:tblCellMar>
            <w:top w:w="0" w:type="dxa"/>
            <w:left w:w="108" w:type="dxa"/>
            <w:bottom w:w="0" w:type="dxa"/>
            <w:right w:w="108" w:type="dxa"/>
          </w:tblCellMar>
        </w:tblPrEx>
        <w:trPr>
          <w:trHeight w:val="1009"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供应商资质条件</w:t>
            </w:r>
          </w:p>
        </w:tc>
        <w:tc>
          <w:tcPr>
            <w:tcW w:w="669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kinsoku/>
              <w:wordWrap/>
              <w:overflowPunct/>
              <w:autoSpaceDE/>
              <w:autoSpaceDN/>
              <w:bidi w:val="0"/>
              <w:adjustRightInd w:val="0"/>
              <w:snapToGrid w:val="0"/>
              <w:spacing w:before="0" w:beforeAutospacing="0" w:after="0" w:afterAutospacing="0" w:line="400" w:lineRule="exact"/>
              <w:textAlignment w:val="auto"/>
              <w:rPr>
                <w:rFonts w:hint="default"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详见竞争性磋商公告</w:t>
            </w:r>
          </w:p>
        </w:tc>
      </w:tr>
      <w:tr>
        <w:tblPrEx>
          <w:tblCellMar>
            <w:top w:w="0" w:type="dxa"/>
            <w:left w:w="108" w:type="dxa"/>
            <w:bottom w:w="0" w:type="dxa"/>
            <w:right w:w="108" w:type="dxa"/>
          </w:tblCellMar>
        </w:tblPrEx>
        <w:trPr>
          <w:trHeight w:val="1369"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w:t>
            </w:r>
          </w:p>
          <w:p>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竞争性磋商</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tblPrEx>
          <w:tblCellMar>
            <w:top w:w="0" w:type="dxa"/>
            <w:left w:w="108" w:type="dxa"/>
            <w:bottom w:w="0" w:type="dxa"/>
            <w:right w:w="108" w:type="dxa"/>
          </w:tblCellMar>
        </w:tblPrEx>
        <w:trPr>
          <w:trHeight w:val="9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697"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 不组织。</w:t>
            </w:r>
          </w:p>
          <w:p>
            <w:pPr>
              <w:pStyle w:val="11"/>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 组织，统一组织踏勘现场。</w:t>
            </w:r>
          </w:p>
        </w:tc>
      </w:tr>
      <w:tr>
        <w:tblPrEx>
          <w:tblCellMar>
            <w:top w:w="0" w:type="dxa"/>
            <w:left w:w="108" w:type="dxa"/>
            <w:bottom w:w="0" w:type="dxa"/>
            <w:right w:w="108" w:type="dxa"/>
          </w:tblCellMar>
        </w:tblPrEx>
        <w:trPr>
          <w:trHeight w:val="220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已领取本竞争性磋商文件的供应商对本竞争性磋商文件有疑问需要采购人或采购代理机构回复的</w:t>
            </w:r>
            <w:r>
              <w:rPr>
                <w:rFonts w:hint="eastAsia" w:ascii="宋体" w:hAnsi="宋体" w:eastAsia="宋体" w:cs="宋体"/>
                <w:color w:val="auto"/>
                <w:kern w:val="0"/>
                <w:szCs w:val="21"/>
                <w:highlight w:val="none"/>
              </w:rPr>
              <w:t>各供应商应磋商前</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天，向采购代理机构指定邮箱提交全部的word版电子文件以及加盖公章的扫描件，发送至采购代理机构邮箱的书面答疑问题如缺少材料或逾期提交的，采购代理机构将不予接收且不予进行回复。</w:t>
            </w:r>
            <w:r>
              <w:rPr>
                <w:rFonts w:hint="eastAsia" w:ascii="宋体" w:hAnsi="宋体" w:eastAsia="宋体" w:cs="宋体"/>
                <w:b/>
                <w:bCs/>
                <w:color w:val="auto"/>
                <w:kern w:val="0"/>
                <w:szCs w:val="21"/>
                <w:highlight w:val="none"/>
              </w:rPr>
              <w:t>指定邮箱为：2698875456 @qq.com</w:t>
            </w:r>
          </w:p>
        </w:tc>
      </w:tr>
      <w:tr>
        <w:tblPrEx>
          <w:tblCellMar>
            <w:top w:w="0" w:type="dxa"/>
            <w:left w:w="108" w:type="dxa"/>
            <w:bottom w:w="0" w:type="dxa"/>
            <w:right w:w="108" w:type="dxa"/>
          </w:tblCellMar>
        </w:tblPrEx>
        <w:trPr>
          <w:trHeight w:val="60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697"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autoSpaceDE/>
              <w:autoSpaceDN/>
              <w:bidi w:val="0"/>
              <w:adjustRightInd w:val="0"/>
              <w:snapToGrid w:val="0"/>
              <w:spacing w:line="400" w:lineRule="exact"/>
              <w:ind w:left="417" w:leftChars="24" w:hanging="367" w:hangingChars="175"/>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不允许分包。</w:t>
            </w:r>
          </w:p>
        </w:tc>
      </w:tr>
      <w:tr>
        <w:tblPrEx>
          <w:tblCellMar>
            <w:top w:w="0" w:type="dxa"/>
            <w:left w:w="108" w:type="dxa"/>
            <w:bottom w:w="0" w:type="dxa"/>
            <w:right w:w="108" w:type="dxa"/>
          </w:tblCellMar>
        </w:tblPrEx>
        <w:trPr>
          <w:trHeight w:val="1015"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不满足评审办法中初步评审标准的，视为发生重大偏离，其磋商</w:t>
            </w:r>
            <w:r>
              <w:rPr>
                <w:rFonts w:hint="eastAsia" w:ascii="宋体" w:hAnsi="宋体" w:cs="宋体"/>
                <w:color w:val="auto"/>
                <w:szCs w:val="21"/>
                <w:highlight w:val="none"/>
                <w:lang w:val="en-US" w:eastAsia="zh-CN"/>
              </w:rPr>
              <w:t>响应文件将</w:t>
            </w:r>
            <w:r>
              <w:rPr>
                <w:rFonts w:hint="eastAsia" w:ascii="宋体" w:hAnsi="宋体" w:eastAsia="宋体" w:cs="宋体"/>
                <w:color w:val="auto"/>
                <w:szCs w:val="21"/>
                <w:highlight w:val="none"/>
              </w:rPr>
              <w:t>被否决。其余偏离视为细微偏离，磋商小组将通过澄清方式对细微偏离进行澄清或修改。</w:t>
            </w:r>
          </w:p>
        </w:tc>
      </w:tr>
      <w:tr>
        <w:tblPrEx>
          <w:tblCellMar>
            <w:top w:w="0" w:type="dxa"/>
            <w:left w:w="108" w:type="dxa"/>
            <w:bottom w:w="0" w:type="dxa"/>
            <w:right w:w="108" w:type="dxa"/>
          </w:tblCellMar>
        </w:tblPrEx>
        <w:trPr>
          <w:trHeight w:val="296"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工程量清单由采购人提供，</w:t>
            </w:r>
            <w:r>
              <w:rPr>
                <w:rFonts w:hint="eastAsia" w:ascii="宋体" w:hAnsi="宋体" w:cs="宋体"/>
                <w:color w:val="auto"/>
                <w:highlight w:val="none"/>
                <w:lang w:val="en-US" w:eastAsia="zh-CN"/>
              </w:rPr>
              <w:t>供应商应</w:t>
            </w:r>
            <w:r>
              <w:rPr>
                <w:rFonts w:hint="eastAsia" w:ascii="宋体" w:hAnsi="宋体" w:eastAsia="宋体" w:cs="宋体"/>
                <w:color w:val="auto"/>
                <w:highlight w:val="none"/>
              </w:rPr>
              <w:t>依据工程量清单</w:t>
            </w:r>
            <w:r>
              <w:rPr>
                <w:rFonts w:hint="eastAsia" w:ascii="宋体" w:hAnsi="宋体" w:eastAsia="宋体" w:cs="宋体"/>
                <w:color w:val="auto"/>
                <w:highlight w:val="none"/>
                <w:lang w:eastAsia="zh-CN"/>
              </w:rPr>
              <w:t>及最高限价</w:t>
            </w:r>
            <w:r>
              <w:rPr>
                <w:rFonts w:hint="eastAsia" w:ascii="宋体" w:hAnsi="宋体" w:eastAsia="宋体" w:cs="宋体"/>
                <w:color w:val="auto"/>
                <w:highlight w:val="none"/>
              </w:rPr>
              <w:t>进行编制磋商一次报价；</w:t>
            </w:r>
            <w:r>
              <w:rPr>
                <w:rFonts w:hint="eastAsia" w:ascii="宋体" w:hAnsi="宋体" w:eastAsia="宋体" w:cs="宋体"/>
                <w:color w:val="auto"/>
                <w:szCs w:val="21"/>
                <w:highlight w:val="none"/>
                <w:lang w:val="en-US" w:eastAsia="zh-CN"/>
              </w:rPr>
              <w:t>各供应商</w:t>
            </w:r>
            <w:r>
              <w:rPr>
                <w:rFonts w:hint="eastAsia" w:ascii="宋体" w:hAnsi="宋体" w:cs="宋体"/>
                <w:color w:val="auto"/>
                <w:szCs w:val="21"/>
                <w:highlight w:val="none"/>
                <w:lang w:val="en-US" w:eastAsia="zh-CN"/>
              </w:rPr>
              <w:t>根据施工现场实际情况</w:t>
            </w:r>
            <w:r>
              <w:rPr>
                <w:rFonts w:hint="eastAsia" w:ascii="宋体" w:hAnsi="宋体" w:eastAsia="宋体" w:cs="宋体"/>
                <w:color w:val="auto"/>
                <w:szCs w:val="21"/>
                <w:highlight w:val="none"/>
                <w:lang w:val="en-US" w:eastAsia="zh-CN"/>
              </w:rPr>
              <w:t>自行完善本项目工程量清单，如未对自行拟定的工程量清单完善的，视为拟定的清单中已将未列明的项目免费提供。</w:t>
            </w:r>
          </w:p>
        </w:tc>
      </w:tr>
      <w:tr>
        <w:tblPrEx>
          <w:tblCellMar>
            <w:top w:w="0" w:type="dxa"/>
            <w:left w:w="108" w:type="dxa"/>
            <w:bottom w:w="0" w:type="dxa"/>
            <w:right w:w="108" w:type="dxa"/>
          </w:tblCellMar>
        </w:tblPrEx>
        <w:trPr>
          <w:trHeight w:val="998"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5.1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竞争性磋商时间、地点</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b w:val="0"/>
                <w:bCs w:val="0"/>
                <w:color w:val="auto"/>
                <w:szCs w:val="21"/>
                <w:highlight w:val="none"/>
                <w:lang w:val="en-US"/>
              </w:rPr>
            </w:pPr>
            <w:r>
              <w:rPr>
                <w:rFonts w:hint="eastAsia" w:ascii="宋体" w:hAnsi="宋体" w:eastAsia="宋体" w:cs="宋体"/>
                <w:color w:val="auto"/>
                <w:szCs w:val="21"/>
                <w:highlight w:val="none"/>
              </w:rPr>
              <w:t>竞争性磋商会议时间</w:t>
            </w:r>
            <w:r>
              <w:rPr>
                <w:rFonts w:hint="eastAsia" w:ascii="宋体" w:hAnsi="宋体" w:eastAsia="宋体" w:cs="宋体"/>
                <w:b w:val="0"/>
                <w:bCs w:val="0"/>
                <w:color w:val="auto"/>
                <w:szCs w:val="21"/>
                <w:highlight w:val="none"/>
              </w:rPr>
              <w:t>：</w:t>
            </w:r>
            <w:r>
              <w:rPr>
                <w:rStyle w:val="27"/>
                <w:rFonts w:hint="eastAsia" w:ascii="宋体" w:hAnsi="宋体" w:eastAsia="宋体" w:cs="宋体"/>
                <w:b/>
                <w:bCs/>
                <w:color w:val="auto"/>
                <w:highlight w:val="none"/>
              </w:rPr>
              <w:t>20</w:t>
            </w:r>
            <w:r>
              <w:rPr>
                <w:rStyle w:val="27"/>
                <w:rFonts w:hint="eastAsia" w:ascii="宋体" w:hAnsi="宋体" w:cs="宋体"/>
                <w:b/>
                <w:bCs/>
                <w:color w:val="auto"/>
                <w:highlight w:val="none"/>
                <w:lang w:val="en-US" w:eastAsia="zh-CN"/>
              </w:rPr>
              <w:t>23</w:t>
            </w:r>
            <w:r>
              <w:rPr>
                <w:rStyle w:val="27"/>
                <w:rFonts w:hint="eastAsia" w:ascii="宋体" w:hAnsi="宋体" w:eastAsia="宋体" w:cs="宋体"/>
                <w:b/>
                <w:bCs/>
                <w:color w:val="auto"/>
                <w:highlight w:val="none"/>
              </w:rPr>
              <w:t>年</w:t>
            </w:r>
            <w:r>
              <w:rPr>
                <w:rStyle w:val="27"/>
                <w:rFonts w:hint="eastAsia" w:ascii="宋体" w:hAnsi="宋体" w:cs="宋体"/>
                <w:b/>
                <w:bCs/>
                <w:color w:val="auto"/>
                <w:highlight w:val="none"/>
                <w:lang w:val="en-US" w:eastAsia="zh-CN"/>
              </w:rPr>
              <w:t>10</w:t>
            </w:r>
            <w:r>
              <w:rPr>
                <w:rStyle w:val="27"/>
                <w:rFonts w:hint="eastAsia" w:ascii="宋体" w:hAnsi="宋体" w:eastAsia="宋体" w:cs="宋体"/>
                <w:b/>
                <w:bCs/>
                <w:color w:val="auto"/>
                <w:highlight w:val="none"/>
              </w:rPr>
              <w:t>月</w:t>
            </w:r>
            <w:r>
              <w:rPr>
                <w:rStyle w:val="27"/>
                <w:rFonts w:hint="eastAsia" w:ascii="宋体" w:hAnsi="宋体" w:cs="宋体"/>
                <w:b/>
                <w:bCs/>
                <w:color w:val="auto"/>
                <w:highlight w:val="none"/>
                <w:lang w:val="en-US" w:eastAsia="zh-CN"/>
              </w:rPr>
              <w:t>23</w:t>
            </w:r>
            <w:r>
              <w:rPr>
                <w:rStyle w:val="27"/>
                <w:rFonts w:hint="eastAsia" w:ascii="宋体" w:hAnsi="宋体" w:eastAsia="宋体" w:cs="宋体"/>
                <w:b/>
                <w:bCs/>
                <w:color w:val="auto"/>
                <w:highlight w:val="none"/>
              </w:rPr>
              <w:t>日</w:t>
            </w:r>
            <w:r>
              <w:rPr>
                <w:rFonts w:hint="eastAsia" w:ascii="宋体" w:hAnsi="宋体" w:cs="宋体"/>
                <w:b/>
                <w:bCs/>
                <w:color w:val="auto"/>
                <w:highlight w:val="none"/>
                <w:lang w:val="en-US" w:eastAsia="zh-CN"/>
              </w:rPr>
              <w:t>14</w:t>
            </w:r>
            <w:r>
              <w:rPr>
                <w:rFonts w:hint="eastAsia" w:ascii="宋体" w:hAnsi="宋体" w:eastAsia="宋体" w:cs="宋体"/>
                <w:b/>
                <w:bCs/>
                <w:color w:val="auto"/>
                <w:highlight w:val="none"/>
                <w:lang w:val="en-US" w:eastAsia="zh-CN"/>
              </w:rPr>
              <w:t>时30分；</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竞争性磋商会议地点：</w:t>
            </w:r>
            <w:r>
              <w:rPr>
                <w:rFonts w:hint="eastAsia" w:ascii="宋体" w:hAnsi="宋体" w:cs="宋体"/>
                <w:color w:val="auto"/>
                <w:szCs w:val="21"/>
                <w:highlight w:val="none"/>
                <w:lang w:eastAsia="zh-CN"/>
              </w:rPr>
              <w:t>西安市莲湖区高新路2号西部国际广场A座10楼西户1018室</w:t>
            </w:r>
          </w:p>
        </w:tc>
      </w:tr>
      <w:tr>
        <w:tblPrEx>
          <w:tblCellMar>
            <w:top w:w="0" w:type="dxa"/>
            <w:left w:w="108" w:type="dxa"/>
            <w:bottom w:w="0" w:type="dxa"/>
            <w:right w:w="108" w:type="dxa"/>
          </w:tblCellMar>
        </w:tblPrEx>
        <w:trPr>
          <w:trHeight w:val="998"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磋商响应文件电子标书</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响应文件电子标书要求：</w:t>
            </w:r>
            <w:r>
              <w:rPr>
                <w:rFonts w:hint="eastAsia" w:ascii="宋体" w:hAnsi="宋体" w:eastAsia="宋体" w:cs="宋体"/>
                <w:color w:val="auto"/>
                <w:szCs w:val="21"/>
                <w:highlight w:val="none"/>
              </w:rPr>
              <w:t>壹份；（无签字及盖章要求）</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电子版存储介质为“</w:t>
            </w:r>
            <w:r>
              <w:rPr>
                <w:rFonts w:hint="eastAsia" w:ascii="宋体" w:hAnsi="宋体" w:eastAsia="宋体" w:cs="宋体"/>
                <w:color w:val="auto"/>
                <w:szCs w:val="21"/>
                <w:highlight w:val="none"/>
                <w:lang w:val="en-US" w:eastAsia="zh-CN"/>
              </w:rPr>
              <w:t>U盘</w:t>
            </w:r>
            <w:r>
              <w:rPr>
                <w:rFonts w:hint="eastAsia" w:ascii="宋体" w:hAnsi="宋体" w:eastAsia="宋体" w:cs="宋体"/>
                <w:color w:val="auto"/>
                <w:szCs w:val="21"/>
                <w:highlight w:val="none"/>
              </w:rPr>
              <w:t>”；</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电子版存储介质中须包含：word版</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PDF格式响应文件</w:t>
            </w:r>
            <w:r>
              <w:rPr>
                <w:rFonts w:hint="eastAsia" w:ascii="宋体" w:hAnsi="宋体" w:cs="宋体"/>
                <w:color w:val="auto"/>
                <w:szCs w:val="21"/>
                <w:highlight w:val="none"/>
                <w:lang w:val="en-US" w:eastAsia="zh-CN"/>
              </w:rPr>
              <w:t>及广联达软件文件（电子投标书）</w:t>
            </w:r>
            <w:r>
              <w:rPr>
                <w:rFonts w:hint="eastAsia" w:ascii="宋体" w:hAnsi="宋体" w:eastAsia="宋体" w:cs="宋体"/>
                <w:color w:val="auto"/>
                <w:szCs w:val="21"/>
                <w:highlight w:val="none"/>
              </w:rPr>
              <w:t>（含资格审查部分、技术部分、商务部分）；</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电子版响应文件不做为本项目竞争性磋商会议中的评审依据；</w:t>
            </w:r>
          </w:p>
        </w:tc>
      </w:tr>
      <w:tr>
        <w:tblPrEx>
          <w:tblCellMar>
            <w:top w:w="0" w:type="dxa"/>
            <w:left w:w="108" w:type="dxa"/>
            <w:bottom w:w="0" w:type="dxa"/>
            <w:right w:w="108" w:type="dxa"/>
          </w:tblCellMar>
        </w:tblPrEx>
        <w:trPr>
          <w:trHeight w:val="1319"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竞争性磋商报价</w:t>
            </w:r>
          </w:p>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其他要求</w:t>
            </w:r>
          </w:p>
        </w:tc>
        <w:tc>
          <w:tcPr>
            <w:tcW w:w="6697"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3"/>
              </w:numPr>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本工程暂列金：无</w:t>
            </w:r>
            <w:r>
              <w:rPr>
                <w:rFonts w:hint="eastAsia" w:ascii="宋体" w:hAnsi="宋体" w:eastAsia="宋体" w:cs="宋体"/>
                <w:color w:val="auto"/>
                <w:szCs w:val="21"/>
                <w:highlight w:val="none"/>
                <w:lang w:eastAsia="zh-CN"/>
              </w:rPr>
              <w:t>；</w:t>
            </w:r>
          </w:p>
          <w:p>
            <w:pPr>
              <w:keepNext w:val="0"/>
              <w:keepLines w:val="0"/>
              <w:pageBreakBefore w:val="0"/>
              <w:numPr>
                <w:ilvl w:val="0"/>
                <w:numId w:val="3"/>
              </w:numPr>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磋商报价的其他要求：</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供应商应充分考虑</w:t>
            </w:r>
            <w:r>
              <w:rPr>
                <w:rFonts w:hint="eastAsia" w:ascii="宋体" w:hAnsi="宋体" w:eastAsia="宋体" w:cs="宋体"/>
                <w:color w:val="auto"/>
                <w:szCs w:val="21"/>
                <w:highlight w:val="none"/>
                <w:lang w:val="en-US" w:eastAsia="zh-CN"/>
              </w:rPr>
              <w:t>竞争性</w:t>
            </w:r>
            <w:r>
              <w:rPr>
                <w:rFonts w:hint="eastAsia" w:ascii="宋体" w:hAnsi="宋体" w:eastAsia="宋体" w:cs="宋体"/>
                <w:color w:val="auto"/>
                <w:szCs w:val="21"/>
                <w:highlight w:val="none"/>
              </w:rPr>
              <w:t>磋商文件的各项条款和所掌握的市场情况及本工程的实际情况，且应根据企业自身情况自主做出响应报价。供应商的磋商响应报价应是磋商须知前附表及供应商须知与</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人要求、拟签订的合同条件上所列的各项内容中所述的全部，不得以任何理由予以重复，同时需要负责施工期间的安全问题、社会关系协调、政府职能部门相关手续办理等内容，并在报价中综合考虑。</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2.2本工程的施工地点为前附表所述，供应商响应报价中的价格均包括完成该工程的分部分项工程费、措施费、其他项目费、规费、税金和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必须的其它费用以及合同明示或暗示的所有风险、责任和义务等全部费用。</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2.3供应商可</w:t>
            </w:r>
            <w:r>
              <w:rPr>
                <w:rFonts w:hint="eastAsia" w:ascii="宋体" w:hAnsi="宋体" w:eastAsia="宋体" w:cs="宋体"/>
                <w:color w:val="auto"/>
                <w:szCs w:val="21"/>
                <w:highlight w:val="none"/>
                <w:lang w:val="en-US" w:eastAsia="zh-CN"/>
              </w:rPr>
              <w:t>自行</w:t>
            </w:r>
            <w:r>
              <w:rPr>
                <w:rFonts w:hint="eastAsia" w:ascii="宋体" w:hAnsi="宋体" w:eastAsia="宋体" w:cs="宋体"/>
                <w:color w:val="auto"/>
                <w:szCs w:val="21"/>
                <w:highlight w:val="none"/>
              </w:rPr>
              <w:t>到</w:t>
            </w:r>
            <w:r>
              <w:rPr>
                <w:rFonts w:hint="eastAsia" w:ascii="宋体" w:hAnsi="宋体" w:eastAsia="宋体" w:cs="宋体"/>
                <w:color w:val="auto"/>
                <w:szCs w:val="21"/>
                <w:highlight w:val="none"/>
                <w:lang w:val="en-US" w:eastAsia="zh-CN"/>
              </w:rPr>
              <w:t>实施地点</w:t>
            </w:r>
            <w:r>
              <w:rPr>
                <w:rFonts w:hint="eastAsia" w:ascii="宋体" w:hAnsi="宋体" w:eastAsia="宋体" w:cs="宋体"/>
                <w:color w:val="auto"/>
                <w:szCs w:val="21"/>
                <w:highlight w:val="none"/>
              </w:rPr>
              <w:t>踏勘以充分了解工地位置、情况、道路、储存空间、装卸限制及任何其他足以影响</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的情况，供应商因忽视或误解工地情况而导致的其提出的任何索赔或工期延长申请将不被批准。凡因供应商对磋商文件阅读疏忽或误解，或因对施工现场、施工环境、市场行情等了解不清而造成的后果和风险，由供应商自行负责。在施工期间，供应商自行协调施工现场周边社会关系，不得以协调不力而影响工程进度，所发生的一切费用应在报价时加以考虑。</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2.4凡本磋商文件要求或允许供应商进行报价的各项费用项目，若磋商时未报，采购人将按这些费用已包含在本项目磋商响应报价中对待。</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磋商报价时各供应商应根据文件说明、做法、施工组织设计、施工验收规范、现场条件、工程特点等内容编制磋商最终报价。</w:t>
            </w:r>
          </w:p>
          <w:p>
            <w:pPr>
              <w:adjustRightInd w:val="0"/>
              <w:snapToGrid w:val="0"/>
              <w:spacing w:line="36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color w:val="auto"/>
                <w:szCs w:val="21"/>
                <w:highlight w:val="none"/>
                <w:lang w:val="en-US" w:eastAsia="zh-CN"/>
              </w:rPr>
              <w:t>2.6</w:t>
            </w:r>
            <w:r>
              <w:rPr>
                <w:rFonts w:hint="eastAsia" w:asciiTheme="minorEastAsia" w:hAnsiTheme="minorEastAsia" w:eastAsiaTheme="minorEastAsia" w:cstheme="minorEastAsia"/>
                <w:b w:val="0"/>
                <w:bCs w:val="0"/>
                <w:color w:val="auto"/>
                <w:sz w:val="21"/>
                <w:szCs w:val="21"/>
                <w:highlight w:val="none"/>
                <w:lang w:val="en-US" w:eastAsia="zh-CN"/>
              </w:rPr>
              <w:t>本项目为固定单价合同。固定单价=最终成交的磋商报价/磋商一次报价*一次清单报价中的各项单价。</w:t>
            </w:r>
          </w:p>
          <w:p>
            <w:pPr>
              <w:adjustRightInd w:val="0"/>
              <w:snapToGrid w:val="0"/>
              <w:spacing w:line="36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依据所提供的工程量清单进行编制磋商一次报价，不得对工程量、原表格形式进行删减、隐藏等改动。所填报的单价及总价必须包含所有可能产生的费用规费、税金、人工费、材料费等及风险因素。除采购人原因需要调整的，不以任何原因予以调整。磋商报价不得超过公布的本项目最高限价，超出（高于）者按照无效响应处理。给定清单中未包含的子项目，视为已包含在我方清单中。</w:t>
            </w:r>
          </w:p>
          <w:p>
            <w:pPr>
              <w:adjustRightInd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所有材料必须使用合格产品，磋商文件如对材料的材质、品牌等有明确要求的，不得变更相关要求，使用前应当由采购人认质确认后方可投入使用。工程施工完毕后需对施工场地进行保洁，保洁标准达到采购人要求。</w:t>
            </w:r>
          </w:p>
          <w:p>
            <w:pPr>
              <w:adjustRightInd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供应商的磋商响应报价包括项目实施过程中按表计量的工程水、电费。如项目实施期间，国家对税收进行调整的，按相关规定执行。</w:t>
            </w:r>
          </w:p>
          <w:p>
            <w:pPr>
              <w:adjustRightInd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3.要求的其他相关费用以本磋商文件的内容和要求作为磋商依据。</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竣工结束后，供应商应向采购人出具施工图及竣工图纸。</w:t>
            </w:r>
          </w:p>
        </w:tc>
      </w:tr>
      <w:tr>
        <w:tblPrEx>
          <w:tblCellMar>
            <w:top w:w="0" w:type="dxa"/>
            <w:left w:w="108" w:type="dxa"/>
            <w:bottom w:w="0" w:type="dxa"/>
            <w:right w:w="108" w:type="dxa"/>
          </w:tblCellMar>
        </w:tblPrEx>
        <w:trPr>
          <w:trHeight w:val="1424"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采购预算及最高限价</w:t>
            </w:r>
          </w:p>
        </w:tc>
        <w:tc>
          <w:tcPr>
            <w:tcW w:w="6697"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kinsoku/>
              <w:wordWrap/>
              <w:overflowPunct/>
              <w:autoSpaceDE/>
              <w:autoSpaceDN/>
              <w:bidi w:val="0"/>
              <w:adjustRightInd w:val="0"/>
              <w:snapToGrid w:val="0"/>
              <w:spacing w:line="400" w:lineRule="exact"/>
              <w:ind w:firstLine="0" w:firstLineChars="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采购预算</w:t>
            </w:r>
            <w:r>
              <w:rPr>
                <w:rFonts w:hint="eastAsia" w:ascii="宋体" w:hAnsi="宋体" w:eastAsia="宋体" w:cs="宋体"/>
                <w:b/>
                <w:bCs/>
                <w:color w:val="auto"/>
                <w:szCs w:val="21"/>
                <w:highlight w:val="none"/>
              </w:rPr>
              <w:t>：人民币1250046</w:t>
            </w:r>
            <w:r>
              <w:rPr>
                <w:rFonts w:hint="eastAsia" w:ascii="宋体" w:hAnsi="宋体" w:eastAsia="宋体" w:cs="宋体"/>
                <w:b/>
                <w:bCs/>
                <w:color w:val="auto"/>
                <w:szCs w:val="21"/>
                <w:highlight w:val="none"/>
                <w:lang w:val="en-US" w:eastAsia="zh-CN"/>
              </w:rPr>
              <w:t>.51</w:t>
            </w:r>
            <w:r>
              <w:rPr>
                <w:rFonts w:hint="eastAsia" w:ascii="宋体" w:hAnsi="宋体" w:eastAsia="宋体" w:cs="宋体"/>
                <w:b/>
                <w:bCs/>
                <w:color w:val="auto"/>
                <w:szCs w:val="21"/>
                <w:highlight w:val="none"/>
              </w:rPr>
              <w:t>元</w:t>
            </w:r>
          </w:p>
          <w:p>
            <w:pPr>
              <w:pStyle w:val="39"/>
              <w:keepNext w:val="0"/>
              <w:keepLines w:val="0"/>
              <w:pageBreakBefore w:val="0"/>
              <w:kinsoku/>
              <w:wordWrap/>
              <w:overflowPunct/>
              <w:autoSpaceDE/>
              <w:autoSpaceDN/>
              <w:bidi w:val="0"/>
              <w:adjustRightInd w:val="0"/>
              <w:snapToGrid w:val="0"/>
              <w:spacing w:line="400" w:lineRule="exact"/>
              <w:ind w:firstLine="0" w:firstLineChars="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最高限价</w:t>
            </w:r>
            <w:r>
              <w:rPr>
                <w:rFonts w:hint="eastAsia" w:ascii="宋体" w:hAnsi="宋体" w:eastAsia="宋体" w:cs="宋体"/>
                <w:b/>
                <w:bCs/>
                <w:color w:val="auto"/>
                <w:szCs w:val="21"/>
                <w:highlight w:val="none"/>
              </w:rPr>
              <w:t>：人民币1250046</w:t>
            </w:r>
            <w:r>
              <w:rPr>
                <w:rFonts w:hint="eastAsia" w:ascii="宋体" w:hAnsi="宋体" w:eastAsia="宋体" w:cs="宋体"/>
                <w:b/>
                <w:bCs/>
                <w:color w:val="auto"/>
                <w:szCs w:val="21"/>
                <w:highlight w:val="none"/>
                <w:lang w:val="en-US" w:eastAsia="zh-CN"/>
              </w:rPr>
              <w:t>.51元</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Cs w:val="21"/>
                <w:highlight w:val="none"/>
              </w:rPr>
              <w:t>供应商磋商报价超过</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最高限价的，按照无效竞争性磋商处理。</w:t>
            </w:r>
          </w:p>
        </w:tc>
      </w:tr>
      <w:tr>
        <w:tblPrEx>
          <w:tblCellMar>
            <w:top w:w="0" w:type="dxa"/>
            <w:left w:w="108" w:type="dxa"/>
            <w:bottom w:w="0" w:type="dxa"/>
            <w:right w:w="108" w:type="dxa"/>
          </w:tblCellMar>
        </w:tblPrEx>
        <w:trPr>
          <w:trHeight w:val="58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竞争性磋商有效期</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自磋商响应文件递交截止之日起90日历天。</w:t>
            </w:r>
          </w:p>
        </w:tc>
      </w:tr>
      <w:tr>
        <w:tblPrEx>
          <w:tblCellMar>
            <w:top w:w="0" w:type="dxa"/>
            <w:left w:w="108" w:type="dxa"/>
            <w:bottom w:w="0" w:type="dxa"/>
            <w:right w:w="108" w:type="dxa"/>
          </w:tblCellMar>
        </w:tblPrEx>
        <w:trPr>
          <w:trHeight w:val="1084"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竞争性磋商保证金</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无需交纳，本文件中涉及到磋商保证金要求均不适用。</w:t>
            </w:r>
          </w:p>
          <w:p>
            <w:pPr>
              <w:keepNext w:val="0"/>
              <w:keepLines w:val="0"/>
              <w:pageBreakBefore w:val="0"/>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 需要交纳。</w:t>
            </w:r>
          </w:p>
        </w:tc>
      </w:tr>
      <w:tr>
        <w:tblPrEx>
          <w:tblCellMar>
            <w:top w:w="0" w:type="dxa"/>
            <w:left w:w="108" w:type="dxa"/>
            <w:bottom w:w="0" w:type="dxa"/>
            <w:right w:w="108" w:type="dxa"/>
          </w:tblCellMar>
        </w:tblPrEx>
        <w:trPr>
          <w:trHeight w:val="9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资格审查资料</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（1）供应商应具有独立承担民事责任能力的法人、其他组织或自然人，提供合法有效的统一社会信用代码营业执照（事业单位提供事业单位法人证书，自然人提供身份证明）；</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（2）法定代表人/负责人参加投标的，提供法人/负责人证明书并出示身份证；法定代表人/负责人授权他人参加投标的，提供法定代表人/负责人授权委托书并出示被授权代表的身份证；</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（3）供应商须具备建设行政主管部门颁发的建筑工程施工总承包三级（含三级）以上资质并具有有效的安全生产许可证；</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（4）拟派注册建造师：须具有建筑工程专业贰级（含贰级）以上资格，具有有效的安全生产考核合格证书（B级），且无在建项目；</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（5）财务状况报告：提供供应商2022年经审计的财务报告或在开标日期前6个月内其基本开户银行出具的资信证明；</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（6）税收缴纳证明：提供供应商自2022年6月1日以来已缴纳任意时段的纳税凭据或完税证明（任意税种）；依法免税的应提供相关文件证明；</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（7）社会保障资金缴纳证明：提供供应商自2022年6月1日以来已缴存的任意时段的社会保障资金缴存单据或社保机构开具的社会保险参保缴费情况证明；依法不需要缴纳社会保障资金的应提供相关文件证明；</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（8）供应商具备履行合同所必需的设备及专业技术能力；</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（9）参加本次投标前3年内，在经营活动中没有重大违法记录的书面声明；</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（10）法定代表人（负责人）为同一人或者存在直接控股、管理关系的不同供应商，不得同时参加本采购项目投标；</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不得为列入“信用中国”网站(http://www.creditchina.gov.cn)“失信被执行人（页面跳转至“中国执行信息公开网”http://zxgk.court.gov.cn/shixin/）、重大税收违法失信主体、中国政府采购网(www.ccgp.gov.cn)的政府采购严重违法失信行为记录名单。</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本项目为专门面向中小企业项目，供应商应为中型企业、小型企业、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rPr>
            </w:pP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pageBreakBefore w:val="0"/>
              <w:numPr>
                <w:ilvl w:val="0"/>
                <w:numId w:val="4"/>
              </w:numPr>
              <w:kinsoku/>
              <w:wordWrap/>
              <w:overflowPunct/>
              <w:autoSpaceDE/>
              <w:autoSpaceDN/>
              <w:bidi w:val="0"/>
              <w:adjustRightInd w:val="0"/>
              <w:snapToGrid w:val="0"/>
              <w:spacing w:line="40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应在响应文件中附满足上述要求资格证明材料复印件或扫描件，或相关承诺函，并将上述资格审查资料按要求编入响应文件中相应位置并加盖供应商公章，供应商自行承担所提供原件及其复印件的真实性、合法性及有效性。</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Cs w:val="21"/>
                <w:highlight w:val="none"/>
              </w:rPr>
              <w:t>2.供应商所提供相关资质证书有供应商公章并且二维码通过扫描验证的，视为通过验证，未能通过二维码验证的，视为无效竞争性磋商处理</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 w:val="21"/>
                <w:szCs w:val="21"/>
                <w:highlight w:val="none"/>
                <w:lang w:eastAsia="zh-CN"/>
              </w:rPr>
              <w:t>上述资料原件备查。</w:t>
            </w:r>
          </w:p>
        </w:tc>
      </w:tr>
      <w:tr>
        <w:tblPrEx>
          <w:tblCellMar>
            <w:top w:w="0" w:type="dxa"/>
            <w:left w:w="108" w:type="dxa"/>
            <w:bottom w:w="0" w:type="dxa"/>
            <w:right w:w="108" w:type="dxa"/>
          </w:tblCellMar>
        </w:tblPrEx>
        <w:trPr>
          <w:trHeight w:val="75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是否允许递交备选竞争性磋商方案</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tblPrEx>
          <w:tblCellMar>
            <w:top w:w="0" w:type="dxa"/>
            <w:left w:w="108" w:type="dxa"/>
            <w:bottom w:w="0" w:type="dxa"/>
            <w:right w:w="108" w:type="dxa"/>
          </w:tblCellMar>
        </w:tblPrEx>
        <w:trPr>
          <w:trHeight w:val="75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本竞争性磋商文件凡要求加盖供应商公章处，均应加盖供应商公章；凡要求法定代表人、授权代表签字（名）或盖章处，均应由签字（名）者本人用不褪色的蓝(黑)色墨水(汁)书写或者加盖私章。 </w:t>
            </w:r>
          </w:p>
        </w:tc>
      </w:tr>
      <w:tr>
        <w:tblPrEx>
          <w:tblCellMar>
            <w:top w:w="0" w:type="dxa"/>
            <w:left w:w="108" w:type="dxa"/>
            <w:bottom w:w="0" w:type="dxa"/>
            <w:right w:w="108" w:type="dxa"/>
          </w:tblCellMar>
        </w:tblPrEx>
        <w:trPr>
          <w:trHeight w:val="9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w:t>
            </w:r>
          </w:p>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文件份数</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正本壹份，副本</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lang w:eastAsia="zh-CN"/>
              </w:rPr>
              <w:t>份、电子版壹份</w:t>
            </w:r>
          </w:p>
        </w:tc>
      </w:tr>
      <w:tr>
        <w:tblPrEx>
          <w:tblCellMar>
            <w:top w:w="0" w:type="dxa"/>
            <w:left w:w="108" w:type="dxa"/>
            <w:bottom w:w="0" w:type="dxa"/>
            <w:right w:w="108" w:type="dxa"/>
          </w:tblCellMar>
        </w:tblPrEx>
        <w:trPr>
          <w:trHeight w:val="543"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纸质磋商响应文件装订要求</w:t>
            </w:r>
          </w:p>
        </w:tc>
        <w:tc>
          <w:tcPr>
            <w:tcW w:w="669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Times New Roman" w:hAnsi="Times New Roman" w:eastAsia="宋体" w:cs="Times New Roman"/>
                <w:caps w:val="0"/>
                <w:color w:val="auto"/>
                <w:szCs w:val="21"/>
                <w:highlight w:val="none"/>
                <w:lang w:val="en-US" w:eastAsia="zh-CN"/>
              </w:rPr>
            </w:pPr>
            <w:r>
              <w:rPr>
                <w:rFonts w:hint="default" w:ascii="Times New Roman" w:hAnsi="Times New Roman" w:eastAsia="宋体" w:cs="Times New Roman"/>
                <w:caps w:val="0"/>
                <w:color w:val="auto"/>
                <w:szCs w:val="21"/>
                <w:highlight w:val="none"/>
                <w:lang w:val="en-US" w:eastAsia="zh-CN"/>
              </w:rPr>
              <w:t>1.响应文件正、副本应分别胶装成册，装订应牢固、不易拆散和换页，不得采用活页装订。</w:t>
            </w:r>
          </w:p>
          <w:p>
            <w:pPr>
              <w:spacing w:line="360" w:lineRule="auto"/>
              <w:jc w:val="left"/>
              <w:rPr>
                <w:rFonts w:hint="default" w:ascii="Times New Roman" w:hAnsi="Times New Roman" w:eastAsia="宋体" w:cs="Times New Roman"/>
                <w:caps w:val="0"/>
                <w:color w:val="auto"/>
                <w:szCs w:val="21"/>
                <w:highlight w:val="none"/>
                <w:lang w:val="en-US" w:eastAsia="zh-CN"/>
              </w:rPr>
            </w:pPr>
            <w:r>
              <w:rPr>
                <w:rFonts w:hint="default" w:ascii="Times New Roman" w:hAnsi="Times New Roman" w:eastAsia="宋体" w:cs="Times New Roman"/>
                <w:caps w:val="0"/>
                <w:color w:val="auto"/>
                <w:szCs w:val="21"/>
                <w:highlight w:val="none"/>
                <w:lang w:val="en-US" w:eastAsia="zh-CN"/>
              </w:rPr>
              <w:t>2.密封包装方式：</w:t>
            </w:r>
          </w:p>
          <w:p>
            <w:pPr>
              <w:spacing w:line="360" w:lineRule="auto"/>
              <w:jc w:val="left"/>
              <w:rPr>
                <w:rFonts w:hint="eastAsia" w:ascii="宋体" w:hAnsi="宋体" w:eastAsia="宋体" w:cs="宋体"/>
                <w:color w:val="auto"/>
                <w:sz w:val="21"/>
                <w:szCs w:val="21"/>
                <w:highlight w:val="none"/>
                <w:lang w:eastAsia="zh-CN"/>
              </w:rPr>
            </w:pPr>
            <w:r>
              <w:rPr>
                <w:rFonts w:hint="default" w:ascii="Times New Roman" w:hAnsi="Times New Roman" w:eastAsia="宋体" w:cs="Times New Roman"/>
                <w:caps w:val="0"/>
                <w:color w:val="auto"/>
                <w:szCs w:val="21"/>
                <w:highlight w:val="none"/>
                <w:lang w:val="en-US" w:eastAsia="zh-CN"/>
              </w:rPr>
              <w:t>响应文件的正本1</w:t>
            </w:r>
            <w:r>
              <w:rPr>
                <w:rFonts w:hint="default" w:ascii="Times New Roman" w:hAnsi="Times New Roman" w:eastAsia="宋体" w:cs="Times New Roman"/>
                <w:caps w:val="0"/>
                <w:color w:val="auto"/>
                <w:szCs w:val="21"/>
                <w:highlight w:val="none"/>
                <w:lang w:eastAsia="zh-CN"/>
              </w:rPr>
              <w:t>份</w:t>
            </w:r>
            <w:r>
              <w:rPr>
                <w:rFonts w:hint="default" w:ascii="Times New Roman" w:hAnsi="Times New Roman" w:eastAsia="宋体" w:cs="Times New Roman"/>
                <w:caps w:val="0"/>
                <w:color w:val="auto"/>
                <w:szCs w:val="21"/>
                <w:highlight w:val="none"/>
                <w:lang w:val="en-US" w:eastAsia="zh-CN"/>
              </w:rPr>
              <w:t>密封于一个密封袋内，副本2</w:t>
            </w:r>
            <w:r>
              <w:rPr>
                <w:rFonts w:hint="default" w:ascii="Times New Roman" w:hAnsi="Times New Roman" w:eastAsia="宋体" w:cs="Times New Roman"/>
                <w:caps w:val="0"/>
                <w:color w:val="auto"/>
                <w:szCs w:val="21"/>
                <w:highlight w:val="none"/>
                <w:lang w:eastAsia="zh-CN"/>
              </w:rPr>
              <w:t>份</w:t>
            </w:r>
            <w:r>
              <w:rPr>
                <w:rFonts w:hint="default" w:ascii="Times New Roman" w:hAnsi="Times New Roman" w:eastAsia="宋体" w:cs="Times New Roman"/>
                <w:caps w:val="0"/>
                <w:color w:val="auto"/>
                <w:szCs w:val="21"/>
                <w:highlight w:val="none"/>
                <w:lang w:val="en-US" w:eastAsia="zh-CN"/>
              </w:rPr>
              <w:t>密封于一个密封袋内；封面上应清晰标明“正本”、“副本”等字样，封口处应加盖供应商单位公章，封袋正面要粘贴格式部分提供的封面标识并按照其要求签字或盖章；</w:t>
            </w:r>
            <w:r>
              <w:rPr>
                <w:rFonts w:hint="eastAsia" w:ascii="宋体" w:hAnsi="宋体" w:eastAsia="宋体" w:cs="宋体"/>
                <w:color w:val="auto"/>
                <w:sz w:val="21"/>
                <w:szCs w:val="21"/>
                <w:highlight w:val="none"/>
              </w:rPr>
              <w:t>电子磋商响应文件单独密封并放置于正本中</w:t>
            </w:r>
            <w:r>
              <w:rPr>
                <w:rFonts w:hint="eastAsia" w:ascii="宋体" w:hAnsi="宋体" w:eastAsia="宋体" w:cs="宋体"/>
                <w:color w:val="auto"/>
                <w:sz w:val="21"/>
                <w:szCs w:val="21"/>
                <w:highlight w:val="none"/>
                <w:lang w:eastAsia="zh-CN"/>
              </w:rPr>
              <w:t>。</w:t>
            </w:r>
          </w:p>
        </w:tc>
      </w:tr>
      <w:tr>
        <w:tblPrEx>
          <w:tblCellMar>
            <w:top w:w="0" w:type="dxa"/>
            <w:left w:w="108" w:type="dxa"/>
            <w:bottom w:w="0" w:type="dxa"/>
            <w:right w:w="108" w:type="dxa"/>
          </w:tblCellMar>
        </w:tblPrEx>
        <w:trPr>
          <w:trHeight w:val="1195"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纸质磋商响应文件封套上写明</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ind w:left="240" w:hanging="210" w:hanging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参照</w:t>
            </w:r>
            <w:r>
              <w:rPr>
                <w:rFonts w:hint="eastAsia" w:ascii="宋体" w:hAnsi="宋体" w:eastAsia="宋体" w:cs="宋体"/>
                <w:color w:val="auto"/>
                <w:szCs w:val="21"/>
                <w:highlight w:val="none"/>
              </w:rPr>
              <w:t>本项目磋商文件“第</w:t>
            </w:r>
            <w:r>
              <w:rPr>
                <w:rFonts w:hint="eastAsia" w:ascii="宋体" w:hAnsi="宋体" w:cs="宋体"/>
                <w:color w:val="auto"/>
                <w:szCs w:val="21"/>
                <w:highlight w:val="none"/>
                <w:lang w:eastAsia="zh-CN"/>
              </w:rPr>
              <w:t>八</w:t>
            </w:r>
            <w:r>
              <w:rPr>
                <w:rFonts w:hint="eastAsia" w:ascii="宋体" w:hAnsi="宋体" w:eastAsia="宋体" w:cs="宋体"/>
                <w:color w:val="auto"/>
                <w:szCs w:val="21"/>
                <w:highlight w:val="none"/>
              </w:rPr>
              <w:t>章 磋商响应文件格式”的内容为准。</w:t>
            </w:r>
          </w:p>
        </w:tc>
      </w:tr>
      <w:tr>
        <w:tblPrEx>
          <w:tblCellMar>
            <w:top w:w="0" w:type="dxa"/>
            <w:left w:w="108" w:type="dxa"/>
            <w:bottom w:w="0" w:type="dxa"/>
            <w:right w:w="108" w:type="dxa"/>
          </w:tblCellMar>
        </w:tblPrEx>
        <w:trPr>
          <w:trHeight w:val="9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磋商响应文件递交地点</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西安市莲湖区高新路2号西部国际广场A座1018室</w:t>
            </w:r>
          </w:p>
        </w:tc>
      </w:tr>
      <w:tr>
        <w:tblPrEx>
          <w:tblCellMar>
            <w:top w:w="0" w:type="dxa"/>
            <w:left w:w="108" w:type="dxa"/>
            <w:bottom w:w="0" w:type="dxa"/>
            <w:right w:w="108" w:type="dxa"/>
          </w:tblCellMar>
        </w:tblPrEx>
        <w:trPr>
          <w:trHeight w:val="668"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是否退还磋商响应文件</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CellMar>
            <w:top w:w="0" w:type="dxa"/>
            <w:left w:w="108" w:type="dxa"/>
            <w:bottom w:w="0" w:type="dxa"/>
            <w:right w:w="108" w:type="dxa"/>
          </w:tblCellMar>
        </w:tblPrEx>
        <w:trPr>
          <w:trHeight w:val="447"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竞争性磋商程序</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本次磋商项目原则上采用二次报价，即第二次报价为最终报价。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磋商程序为：</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介绍参加会议的单位领导和来宾；</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介绍参加磋商会议的供应商；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宣布会议纪律；</w:t>
            </w:r>
          </w:p>
          <w:p>
            <w:pPr>
              <w:keepNext w:val="0"/>
              <w:keepLines w:val="0"/>
              <w:pageBreakBefore w:val="0"/>
              <w:widowControl w:val="0"/>
              <w:numPr>
                <w:ilvl w:val="0"/>
                <w:numId w:val="5"/>
              </w:numPr>
              <w:tabs>
                <w:tab w:val="left" w:pos="211"/>
              </w:tabs>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宣布监督、监标、记录人员名单；</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由监标人和供应商代表对响应文件密封性进行审查；</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开启供应商响应文件，</w:t>
            </w:r>
            <w:r>
              <w:rPr>
                <w:rFonts w:hint="default" w:ascii="Times New Roman" w:hAnsi="Times New Roman" w:eastAsia="宋体" w:cs="Times New Roman"/>
                <w:color w:val="auto"/>
                <w:szCs w:val="21"/>
                <w:highlight w:val="none"/>
                <w:lang w:val="en-US" w:eastAsia="zh-CN"/>
              </w:rPr>
              <w:t>由</w:t>
            </w:r>
            <w:r>
              <w:rPr>
                <w:rFonts w:hint="eastAsia" w:ascii="Times New Roman" w:hAnsi="Times New Roman" w:eastAsia="宋体" w:cs="Times New Roman"/>
                <w:color w:val="auto"/>
                <w:szCs w:val="21"/>
                <w:highlight w:val="none"/>
                <w:lang w:val="en-US" w:eastAsia="zh-CN"/>
              </w:rPr>
              <w:t>采购人或采购</w:t>
            </w:r>
            <w:r>
              <w:rPr>
                <w:rFonts w:hint="default" w:ascii="Times New Roman" w:hAnsi="Times New Roman" w:eastAsia="宋体" w:cs="Times New Roman"/>
                <w:color w:val="auto"/>
                <w:szCs w:val="21"/>
                <w:highlight w:val="none"/>
                <w:lang w:val="en-US" w:eastAsia="zh-CN"/>
              </w:rPr>
              <w:t>代理机构</w:t>
            </w:r>
            <w:r>
              <w:rPr>
                <w:rFonts w:hint="eastAsia" w:ascii="宋体" w:hAnsi="宋体" w:eastAsia="宋体" w:cs="宋体"/>
                <w:b w:val="0"/>
                <w:bCs w:val="0"/>
                <w:color w:val="auto"/>
                <w:szCs w:val="21"/>
                <w:highlight w:val="none"/>
              </w:rPr>
              <w:t>进行审查；</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对有效供应商分别进行磋商；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对有效供应商要求提交最终报价；</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225" w:hanging="225"/>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磋商小组评审、推荐成交候选人；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210" w:firstLineChars="1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highlight w:val="none"/>
              </w:rPr>
              <w:t>注：在磋商过程中，磋商小组可以根据磋商文件和磋商情况实质性变动采购需求中的技术、服务要求以及合同草案条款，如未发生上述变动二次报价不得高于第一次报价，根据相关规定，所有报价在公示前均不公开宣布。</w:t>
            </w:r>
          </w:p>
        </w:tc>
      </w:tr>
      <w:tr>
        <w:tblPrEx>
          <w:tblCellMar>
            <w:top w:w="0" w:type="dxa"/>
            <w:left w:w="108" w:type="dxa"/>
            <w:bottom w:w="0" w:type="dxa"/>
            <w:right w:w="108" w:type="dxa"/>
          </w:tblCellMar>
        </w:tblPrEx>
        <w:trPr>
          <w:trHeight w:val="1370"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磋商小组的组建</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磋商小组组建：依法组成。</w:t>
            </w:r>
          </w:p>
          <w:p>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磋商小组构成：</w:t>
            </w:r>
            <w:r>
              <w:rPr>
                <w:rFonts w:hint="default" w:ascii="Times New Roman" w:hAnsi="Times New Roman" w:eastAsia="宋体" w:cs="Times New Roman"/>
                <w:caps w:val="0"/>
                <w:color w:val="auto"/>
                <w:szCs w:val="21"/>
                <w:highlight w:val="none"/>
                <w:u w:val="single"/>
                <w:lang w:val="en-US" w:eastAsia="zh-CN"/>
              </w:rPr>
              <w:t xml:space="preserve"> 3 </w:t>
            </w:r>
            <w:r>
              <w:rPr>
                <w:rFonts w:hint="default" w:ascii="Times New Roman" w:hAnsi="Times New Roman" w:eastAsia="宋体" w:cs="Times New Roman"/>
                <w:caps w:val="0"/>
                <w:color w:val="auto"/>
                <w:szCs w:val="21"/>
                <w:highlight w:val="none"/>
              </w:rPr>
              <w:t>人，其中采购人代表</w:t>
            </w:r>
            <w:r>
              <w:rPr>
                <w:rFonts w:hint="default" w:ascii="Times New Roman" w:hAnsi="Times New Roman" w:eastAsia="宋体" w:cs="Times New Roman"/>
                <w:caps w:val="0"/>
                <w:color w:val="auto"/>
                <w:szCs w:val="21"/>
                <w:highlight w:val="none"/>
                <w:u w:val="single"/>
                <w:lang w:val="en-US" w:eastAsia="zh-CN"/>
              </w:rPr>
              <w:t xml:space="preserve">  1  </w:t>
            </w:r>
            <w:r>
              <w:rPr>
                <w:rFonts w:hint="default" w:ascii="Times New Roman" w:hAnsi="Times New Roman" w:eastAsia="宋体" w:cs="Times New Roman"/>
                <w:caps w:val="0"/>
                <w:color w:val="auto"/>
                <w:szCs w:val="21"/>
                <w:highlight w:val="none"/>
              </w:rPr>
              <w:t>人，专家</w:t>
            </w:r>
            <w:r>
              <w:rPr>
                <w:rFonts w:hint="default" w:ascii="Times New Roman" w:hAnsi="Times New Roman" w:eastAsia="宋体" w:cs="Times New Roman"/>
                <w:caps w:val="0"/>
                <w:color w:val="auto"/>
                <w:szCs w:val="21"/>
                <w:highlight w:val="none"/>
                <w:u w:val="single"/>
                <w:lang w:val="en-US" w:eastAsia="zh-CN"/>
              </w:rPr>
              <w:t xml:space="preserve">  2 </w:t>
            </w:r>
            <w:r>
              <w:rPr>
                <w:rFonts w:hint="default" w:ascii="Times New Roman" w:hAnsi="Times New Roman" w:eastAsia="宋体" w:cs="Times New Roman"/>
                <w:caps w:val="0"/>
                <w:color w:val="auto"/>
                <w:szCs w:val="21"/>
                <w:highlight w:val="none"/>
              </w:rPr>
              <w:t>人。</w:t>
            </w:r>
            <w:r>
              <w:rPr>
                <w:rFonts w:hint="eastAsia" w:ascii="宋体" w:hAnsi="宋体" w:eastAsia="宋体" w:cs="宋体"/>
                <w:color w:val="auto"/>
                <w:szCs w:val="21"/>
                <w:highlight w:val="none"/>
              </w:rPr>
              <w:t xml:space="preserve"> </w:t>
            </w:r>
          </w:p>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磋商小组确定方式：评审前24小时内在陕西省政府采购评审专家库中随机抽取技术、经济方面的专家</w:t>
            </w:r>
            <w:r>
              <w:rPr>
                <w:rFonts w:hint="eastAsia" w:ascii="宋体" w:hAnsi="宋体" w:eastAsia="宋体" w:cs="宋体"/>
                <w:color w:val="auto"/>
                <w:szCs w:val="21"/>
                <w:highlight w:val="none"/>
                <w:lang w:val="en-US" w:eastAsia="zh-CN"/>
              </w:rPr>
              <w:t>与采购人代表组成</w:t>
            </w: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502"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是否授权磋商小组确定成交人</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否，推荐的成交人候选人数量为3个。</w:t>
            </w:r>
          </w:p>
        </w:tc>
      </w:tr>
      <w:tr>
        <w:tblPrEx>
          <w:tblCellMar>
            <w:top w:w="0" w:type="dxa"/>
            <w:left w:w="108" w:type="dxa"/>
            <w:bottom w:w="0" w:type="dxa"/>
            <w:right w:w="108" w:type="dxa"/>
          </w:tblCellMar>
        </w:tblPrEx>
        <w:trPr>
          <w:trHeight w:val="2913"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sym w:font="Wingdings" w:char="00FE"/>
            </w:r>
            <w:r>
              <w:rPr>
                <w:rFonts w:hint="eastAsia" w:ascii="宋体" w:hAnsi="宋体" w:eastAsia="宋体" w:cs="宋体"/>
                <w:color w:val="auto"/>
                <w:szCs w:val="21"/>
                <w:highlight w:val="none"/>
              </w:rPr>
              <w:t>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履约担保的形式：支票、汇票、本票或者金融机构、担保机构出具的保函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履约担保的金额：成交金额</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1"/>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成交</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在签订合同前(即本项目发布</w:t>
            </w:r>
            <w:r>
              <w:rPr>
                <w:rFonts w:hint="eastAsia" w:ascii="宋体" w:hAnsi="宋体" w:cs="宋体"/>
                <w:color w:val="auto"/>
                <w:highlight w:val="none"/>
                <w:lang w:val="en-US" w:eastAsia="zh-CN"/>
              </w:rPr>
              <w:t>成交</w:t>
            </w:r>
            <w:r>
              <w:rPr>
                <w:rFonts w:hint="eastAsia" w:ascii="宋体" w:hAnsi="宋体" w:eastAsia="宋体" w:cs="宋体"/>
                <w:color w:val="auto"/>
                <w:highlight w:val="none"/>
                <w:lang w:val="en-US" w:eastAsia="zh-CN"/>
              </w:rPr>
              <w:t>公示后且无异议的3个工作日内)向采购人支付合同总价的</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%作为缴纳履约保证金，</w:t>
            </w:r>
            <w:r>
              <w:rPr>
                <w:rFonts w:hint="eastAsia" w:ascii="宋体" w:hAnsi="宋体" w:cs="宋体"/>
                <w:color w:val="auto"/>
                <w:highlight w:val="none"/>
                <w:lang w:val="en-US" w:eastAsia="zh-CN"/>
              </w:rPr>
              <w:t>工程进度完成50%时</w:t>
            </w:r>
            <w:r>
              <w:rPr>
                <w:rFonts w:hint="eastAsia" w:ascii="宋体" w:hAnsi="宋体" w:eastAsia="宋体" w:cs="宋体"/>
                <w:color w:val="auto"/>
                <w:highlight w:val="none"/>
                <w:lang w:val="en-US" w:eastAsia="zh-CN"/>
              </w:rPr>
              <w:t xml:space="preserve">无息退还。履约保证金可以采用支票、汇票、本票或者金融机构、担保机构出具的保函等非现金形式提交，竣工验收合格后无息退还。 </w:t>
            </w:r>
          </w:p>
        </w:tc>
      </w:tr>
      <w:tr>
        <w:tblPrEx>
          <w:tblCellMar>
            <w:top w:w="0" w:type="dxa"/>
            <w:left w:w="108" w:type="dxa"/>
            <w:bottom w:w="0" w:type="dxa"/>
            <w:right w:w="108" w:type="dxa"/>
          </w:tblCellMar>
        </w:tblPrEx>
        <w:trPr>
          <w:trHeight w:val="583"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tc>
        <w:tc>
          <w:tcPr>
            <w:tcW w:w="6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tblPrEx>
          <w:tblCellMar>
            <w:top w:w="0" w:type="dxa"/>
            <w:left w:w="108" w:type="dxa"/>
            <w:bottom w:w="0" w:type="dxa"/>
            <w:right w:w="108" w:type="dxa"/>
          </w:tblCellMar>
        </w:tblPrEx>
        <w:trPr>
          <w:trHeight w:val="4162" w:hRule="atLeast"/>
          <w:jc w:val="righ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2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w:t>
            </w:r>
          </w:p>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内容</w:t>
            </w:r>
          </w:p>
        </w:tc>
        <w:tc>
          <w:tcPr>
            <w:tcW w:w="6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本项目采购标的所属行业</w:t>
            </w:r>
            <w:r>
              <w:rPr>
                <w:rFonts w:hint="eastAsia" w:ascii="宋体" w:hAnsi="宋体" w:eastAsia="宋体" w:cs="宋体"/>
                <w:color w:val="auto"/>
                <w:sz w:val="21"/>
                <w:szCs w:val="21"/>
                <w:highlight w:val="none"/>
                <w:u w:val="single"/>
                <w:lang w:val="en-US" w:eastAsia="zh-CN"/>
              </w:rPr>
              <w:t>：建筑业 。</w:t>
            </w: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10.2</w:t>
            </w:r>
            <w:r>
              <w:rPr>
                <w:rFonts w:hint="eastAsia" w:ascii="宋体" w:hAnsi="宋体" w:eastAsia="宋体" w:cs="宋体"/>
                <w:color w:val="auto"/>
                <w:sz w:val="21"/>
                <w:szCs w:val="21"/>
                <w:highlight w:val="none"/>
              </w:rPr>
              <w:t>知识产权：构成本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文件各个组成部分的文件，未经采购人书面同意，供应商不得擅自复印和用于非本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项目所需的其他目的。采购人全部或者部分使用未成交供应商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响应文件中的技术成果或技术方案时，需征得其书面同意，并不得擅自复印或提供给第三人；</w:t>
            </w:r>
          </w:p>
          <w:p>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确定成交供应商后3日内，由成交供应商按国家计委颁发的《招标代理服务收费管理暂行办法》（计价格[2002]1980号）和国家发展改革委员会办公厅颁发的《关于招标代理服务收费有关问题的通知》（发改办价格[2003] 857号）的有关规定</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计取，向采购代理机构一次付清招标代理服务费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本项目采购代理费及造价咨询费共16000.00元</w:t>
            </w:r>
            <w:r>
              <w:rPr>
                <w:rFonts w:hint="eastAsia" w:ascii="宋体" w:hAnsi="宋体" w:eastAsia="宋体" w:cs="宋体"/>
                <w:color w:val="auto"/>
                <w:sz w:val="21"/>
                <w:szCs w:val="21"/>
                <w:highlight w:val="none"/>
              </w:rPr>
              <w:t>；</w:t>
            </w:r>
          </w:p>
          <w:p>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文件未明确的其他事项，按照有关法律、法规或省市有关规定执行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文件由采购人和采购代理机构负责解释</w:t>
            </w:r>
            <w:r>
              <w:rPr>
                <w:rFonts w:hint="eastAsia" w:ascii="宋体" w:hAnsi="宋体" w:eastAsia="宋体" w:cs="宋体"/>
                <w:color w:val="auto"/>
                <w:sz w:val="21"/>
                <w:szCs w:val="21"/>
                <w:highlight w:val="none"/>
                <w:lang w:eastAsia="zh-CN"/>
              </w:rPr>
              <w:t>。</w:t>
            </w:r>
          </w:p>
        </w:tc>
      </w:tr>
      <w:tr>
        <w:tblPrEx>
          <w:tblCellMar>
            <w:top w:w="0" w:type="dxa"/>
            <w:left w:w="108" w:type="dxa"/>
            <w:bottom w:w="0" w:type="dxa"/>
            <w:right w:w="108" w:type="dxa"/>
          </w:tblCellMar>
        </w:tblPrEx>
        <w:trPr>
          <w:trHeight w:val="710" w:hRule="atLeast"/>
          <w:jc w:val="right"/>
        </w:trPr>
        <w:tc>
          <w:tcPr>
            <w:tcW w:w="89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本表是对供应商须知的提示、补充和修改，如有矛盾，应以本表为准。如本表未说明的，以本磋商文件内容为准。</w:t>
            </w:r>
          </w:p>
        </w:tc>
      </w:tr>
    </w:tbl>
    <w:p>
      <w:pPr>
        <w:rPr>
          <w:rFonts w:hint="eastAsia" w:ascii="宋体" w:hAnsi="宋体" w:eastAsia="宋体" w:cs="宋体"/>
          <w:color w:val="auto"/>
          <w:highlight w:val="none"/>
        </w:rPr>
      </w:pPr>
      <w:bookmarkStart w:id="24" w:name="_Toc513557026"/>
      <w:r>
        <w:rPr>
          <w:rFonts w:hint="eastAsia" w:ascii="宋体" w:hAnsi="宋体" w:eastAsia="宋体" w:cs="宋体"/>
          <w:color w:val="auto"/>
          <w:highlight w:val="none"/>
        </w:rPr>
        <w:br w:type="page"/>
      </w:r>
    </w:p>
    <w:bookmarkEnd w:id="22"/>
    <w:bookmarkEnd w:id="23"/>
    <w:bookmarkEnd w:id="24"/>
    <w:p>
      <w:pPr>
        <w:pStyle w:val="4"/>
        <w:spacing w:line="240" w:lineRule="auto"/>
        <w:jc w:val="center"/>
        <w:outlineLvl w:val="2"/>
        <w:rPr>
          <w:rFonts w:hint="eastAsia" w:ascii="宋体" w:hAnsi="宋体" w:eastAsia="宋体" w:cs="宋体"/>
          <w:color w:val="auto"/>
          <w:sz w:val="28"/>
          <w:szCs w:val="28"/>
          <w:highlight w:val="none"/>
        </w:rPr>
      </w:pPr>
      <w:bookmarkStart w:id="25" w:name="_Toc11156037"/>
      <w:bookmarkStart w:id="26" w:name="_Toc11161282"/>
      <w:bookmarkStart w:id="27" w:name="_Toc11160983"/>
      <w:bookmarkStart w:id="28" w:name="_Toc11161987"/>
      <w:bookmarkStart w:id="29" w:name="_Toc11162470"/>
      <w:bookmarkStart w:id="30" w:name="_Toc11968"/>
      <w:bookmarkStart w:id="31" w:name="_Toc510859902"/>
      <w:bookmarkStart w:id="32" w:name="_Toc504605093"/>
      <w:r>
        <w:rPr>
          <w:rFonts w:hint="eastAsia" w:ascii="宋体" w:hAnsi="宋体" w:eastAsia="宋体" w:cs="宋体"/>
          <w:color w:val="auto"/>
          <w:sz w:val="28"/>
          <w:szCs w:val="28"/>
          <w:highlight w:val="none"/>
        </w:rPr>
        <w:t>（二）</w:t>
      </w:r>
      <w:bookmarkEnd w:id="25"/>
      <w:bookmarkEnd w:id="26"/>
      <w:bookmarkEnd w:id="27"/>
      <w:bookmarkEnd w:id="28"/>
      <w:bookmarkEnd w:id="29"/>
      <w:r>
        <w:rPr>
          <w:rFonts w:hint="eastAsia" w:ascii="宋体" w:hAnsi="宋体" w:eastAsia="宋体" w:cs="宋体"/>
          <w:color w:val="auto"/>
          <w:sz w:val="28"/>
          <w:szCs w:val="28"/>
          <w:highlight w:val="none"/>
        </w:rPr>
        <w:t>供应商须知</w:t>
      </w:r>
      <w:bookmarkEnd w:id="30"/>
    </w:p>
    <w:p>
      <w:pPr>
        <w:spacing w:line="360" w:lineRule="auto"/>
        <w:rPr>
          <w:rFonts w:hint="eastAsia" w:ascii="宋体" w:hAnsi="宋体" w:eastAsia="宋体" w:cs="宋体"/>
          <w:color w:val="auto"/>
          <w:sz w:val="24"/>
          <w:szCs w:val="24"/>
          <w:highlight w:val="none"/>
        </w:rPr>
      </w:pPr>
      <w:bookmarkStart w:id="33" w:name="_Toc11160985"/>
      <w:bookmarkStart w:id="34" w:name="_Toc179632547"/>
      <w:bookmarkStart w:id="35" w:name="_Toc11162472"/>
      <w:bookmarkStart w:id="36" w:name="_Toc152045530"/>
      <w:bookmarkStart w:id="37" w:name="_Toc11161989"/>
      <w:bookmarkStart w:id="38" w:name="_Toc144974498"/>
      <w:bookmarkStart w:id="39" w:name="_Toc152042306"/>
      <w:bookmarkStart w:id="40" w:name="_Toc11161284"/>
      <w:r>
        <w:rPr>
          <w:rFonts w:hint="eastAsia" w:ascii="宋体" w:hAnsi="宋体" w:eastAsia="宋体" w:cs="宋体"/>
          <w:color w:val="auto"/>
          <w:sz w:val="24"/>
          <w:szCs w:val="24"/>
          <w:highlight w:val="none"/>
        </w:rPr>
        <w:t>1.总则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项目概况</w:t>
      </w:r>
      <w:bookmarkEnd w:id="33"/>
      <w:bookmarkEnd w:id="34"/>
      <w:bookmarkEnd w:id="35"/>
      <w:bookmarkEnd w:id="36"/>
      <w:bookmarkEnd w:id="37"/>
      <w:bookmarkEnd w:id="38"/>
      <w:bookmarkEnd w:id="39"/>
      <w:bookmarkEnd w:id="40"/>
    </w:p>
    <w:p>
      <w:pPr>
        <w:spacing w:line="360" w:lineRule="auto"/>
        <w:rPr>
          <w:rFonts w:hint="eastAsia" w:ascii="宋体" w:hAnsi="宋体" w:eastAsia="宋体" w:cs="宋体"/>
          <w:color w:val="auto"/>
          <w:sz w:val="24"/>
          <w:szCs w:val="24"/>
          <w:highlight w:val="none"/>
        </w:rPr>
      </w:pPr>
      <w:bookmarkStart w:id="41" w:name="_Toc11162473"/>
      <w:bookmarkStart w:id="42" w:name="_Toc11160986"/>
      <w:bookmarkStart w:id="43" w:name="_Toc11161285"/>
      <w:bookmarkStart w:id="44" w:name="_Toc11161990"/>
      <w:r>
        <w:rPr>
          <w:rFonts w:hint="eastAsia" w:ascii="宋体" w:hAnsi="宋体" w:eastAsia="宋体" w:cs="宋体"/>
          <w:color w:val="auto"/>
          <w:sz w:val="24"/>
          <w:szCs w:val="24"/>
          <w:highlight w:val="none"/>
        </w:rPr>
        <w:t>1.1.1根据《中华人民共和国政府采购法》、《中华人民共和国招标投标法》以及有关法律、法规和规章的规定，本采购项目已具备采购条件，现对本工程施工组织竞争性磋商采购。</w:t>
      </w:r>
      <w:bookmarkEnd w:id="41"/>
      <w:bookmarkEnd w:id="42"/>
      <w:bookmarkEnd w:id="43"/>
      <w:bookmarkEnd w:id="44"/>
    </w:p>
    <w:p>
      <w:pPr>
        <w:spacing w:line="360" w:lineRule="auto"/>
        <w:rPr>
          <w:rFonts w:hint="eastAsia" w:ascii="宋体" w:hAnsi="宋体" w:eastAsia="宋体" w:cs="宋体"/>
          <w:color w:val="auto"/>
          <w:sz w:val="24"/>
          <w:szCs w:val="24"/>
          <w:highlight w:val="none"/>
        </w:rPr>
      </w:pPr>
      <w:bookmarkStart w:id="45" w:name="_Toc11161991"/>
      <w:bookmarkStart w:id="46" w:name="_Toc11162474"/>
      <w:bookmarkStart w:id="47" w:name="_Toc11161286"/>
      <w:bookmarkStart w:id="48" w:name="_Toc11160987"/>
      <w:r>
        <w:rPr>
          <w:rFonts w:hint="eastAsia" w:ascii="宋体" w:hAnsi="宋体" w:eastAsia="宋体" w:cs="宋体"/>
          <w:color w:val="auto"/>
          <w:sz w:val="24"/>
          <w:szCs w:val="24"/>
          <w:highlight w:val="none"/>
        </w:rPr>
        <w:t>1.1.2 本采购项目采购人：见供应商须知前附表。</w:t>
      </w:r>
      <w:bookmarkEnd w:id="45"/>
      <w:bookmarkEnd w:id="46"/>
      <w:bookmarkEnd w:id="47"/>
      <w:bookmarkEnd w:id="48"/>
    </w:p>
    <w:p>
      <w:pPr>
        <w:spacing w:line="360" w:lineRule="auto"/>
        <w:rPr>
          <w:rFonts w:hint="eastAsia" w:ascii="宋体" w:hAnsi="宋体" w:eastAsia="宋体" w:cs="宋体"/>
          <w:color w:val="auto"/>
          <w:sz w:val="24"/>
          <w:szCs w:val="24"/>
          <w:highlight w:val="none"/>
        </w:rPr>
      </w:pPr>
      <w:bookmarkStart w:id="49" w:name="_Toc11160988"/>
      <w:bookmarkStart w:id="50" w:name="_Toc11162475"/>
      <w:bookmarkStart w:id="51" w:name="_Toc11161287"/>
      <w:bookmarkStart w:id="52" w:name="_Toc11161992"/>
      <w:r>
        <w:rPr>
          <w:rFonts w:hint="eastAsia" w:ascii="宋体" w:hAnsi="宋体" w:eastAsia="宋体" w:cs="宋体"/>
          <w:color w:val="auto"/>
          <w:sz w:val="24"/>
          <w:szCs w:val="24"/>
          <w:highlight w:val="none"/>
        </w:rPr>
        <w:t>1.1.3 本采购项目采购代理机构：见供应商须知前附表。</w:t>
      </w:r>
      <w:bookmarkEnd w:id="49"/>
      <w:bookmarkEnd w:id="50"/>
      <w:bookmarkEnd w:id="51"/>
      <w:bookmarkEnd w:id="52"/>
    </w:p>
    <w:p>
      <w:pPr>
        <w:spacing w:line="360" w:lineRule="auto"/>
        <w:rPr>
          <w:rFonts w:hint="eastAsia" w:ascii="宋体" w:hAnsi="宋体" w:eastAsia="宋体" w:cs="宋体"/>
          <w:color w:val="auto"/>
          <w:sz w:val="24"/>
          <w:szCs w:val="24"/>
          <w:highlight w:val="none"/>
        </w:rPr>
      </w:pPr>
      <w:bookmarkStart w:id="53" w:name="_Toc11161288"/>
      <w:bookmarkStart w:id="54" w:name="_Toc11161993"/>
      <w:bookmarkStart w:id="55" w:name="_Toc11160989"/>
      <w:bookmarkStart w:id="56" w:name="_Toc11162476"/>
      <w:r>
        <w:rPr>
          <w:rFonts w:hint="eastAsia" w:ascii="宋体" w:hAnsi="宋体" w:eastAsia="宋体" w:cs="宋体"/>
          <w:color w:val="auto"/>
          <w:sz w:val="24"/>
          <w:szCs w:val="24"/>
          <w:highlight w:val="none"/>
        </w:rPr>
        <w:t>1.1.4 本采购项目名称：见供应商须知前附表。</w:t>
      </w:r>
      <w:bookmarkEnd w:id="53"/>
      <w:bookmarkEnd w:id="54"/>
      <w:bookmarkEnd w:id="55"/>
      <w:bookmarkEnd w:id="56"/>
    </w:p>
    <w:p>
      <w:pPr>
        <w:spacing w:line="360" w:lineRule="auto"/>
        <w:rPr>
          <w:rFonts w:hint="eastAsia" w:ascii="宋体" w:hAnsi="宋体" w:eastAsia="宋体" w:cs="宋体"/>
          <w:color w:val="auto"/>
          <w:sz w:val="24"/>
          <w:szCs w:val="24"/>
          <w:highlight w:val="none"/>
        </w:rPr>
      </w:pPr>
      <w:bookmarkStart w:id="57" w:name="_Toc11161289"/>
      <w:bookmarkStart w:id="58" w:name="_Toc11160990"/>
      <w:bookmarkStart w:id="59" w:name="_Toc11162477"/>
      <w:bookmarkStart w:id="60" w:name="_Toc11161994"/>
      <w:r>
        <w:rPr>
          <w:rFonts w:hint="eastAsia" w:ascii="宋体" w:hAnsi="宋体" w:eastAsia="宋体" w:cs="宋体"/>
          <w:color w:val="auto"/>
          <w:sz w:val="24"/>
          <w:szCs w:val="24"/>
          <w:highlight w:val="none"/>
        </w:rPr>
        <w:t>1.1.5 本采购项目建设地点：见供应商须知前附表。</w:t>
      </w:r>
      <w:bookmarkEnd w:id="57"/>
      <w:bookmarkEnd w:id="58"/>
      <w:bookmarkEnd w:id="59"/>
      <w:bookmarkEnd w:id="60"/>
    </w:p>
    <w:p>
      <w:pPr>
        <w:spacing w:line="360" w:lineRule="auto"/>
        <w:rPr>
          <w:rFonts w:hint="eastAsia" w:ascii="宋体" w:hAnsi="宋体" w:eastAsia="宋体" w:cs="宋体"/>
          <w:color w:val="auto"/>
          <w:sz w:val="24"/>
          <w:szCs w:val="24"/>
          <w:highlight w:val="none"/>
        </w:rPr>
      </w:pPr>
      <w:bookmarkStart w:id="61" w:name="_Toc11161995"/>
      <w:bookmarkStart w:id="62" w:name="_Toc11161290"/>
      <w:bookmarkStart w:id="63" w:name="_Toc11160991"/>
      <w:bookmarkStart w:id="64" w:name="_Toc11162478"/>
      <w:r>
        <w:rPr>
          <w:rFonts w:hint="eastAsia" w:ascii="宋体" w:hAnsi="宋体" w:eastAsia="宋体" w:cs="宋体"/>
          <w:color w:val="auto"/>
          <w:sz w:val="24"/>
          <w:szCs w:val="24"/>
          <w:highlight w:val="none"/>
        </w:rPr>
        <w:t>1.1.6 本采购项目工程概况：见供应商须知前附表。</w:t>
      </w:r>
      <w:bookmarkEnd w:id="61"/>
      <w:bookmarkEnd w:id="62"/>
      <w:bookmarkEnd w:id="63"/>
      <w:bookmarkEnd w:id="64"/>
    </w:p>
    <w:p>
      <w:pPr>
        <w:spacing w:line="360" w:lineRule="auto"/>
        <w:rPr>
          <w:rFonts w:hint="eastAsia" w:ascii="宋体" w:hAnsi="宋体" w:eastAsia="宋体" w:cs="宋体"/>
          <w:color w:val="auto"/>
          <w:sz w:val="24"/>
          <w:szCs w:val="24"/>
          <w:highlight w:val="none"/>
        </w:rPr>
      </w:pPr>
      <w:bookmarkStart w:id="65" w:name="_Toc11162479"/>
      <w:bookmarkStart w:id="66" w:name="_Toc144974499"/>
      <w:bookmarkStart w:id="67" w:name="_Toc152045531"/>
      <w:bookmarkStart w:id="68" w:name="_Toc11161291"/>
      <w:bookmarkStart w:id="69" w:name="_Toc11161996"/>
      <w:bookmarkStart w:id="70" w:name="_Toc152042307"/>
      <w:bookmarkStart w:id="71" w:name="_Toc11160992"/>
      <w:bookmarkStart w:id="72" w:name="_Toc179632548"/>
      <w:r>
        <w:rPr>
          <w:rFonts w:hint="eastAsia" w:ascii="宋体" w:hAnsi="宋体" w:eastAsia="宋体" w:cs="宋体"/>
          <w:color w:val="auto"/>
          <w:sz w:val="24"/>
          <w:szCs w:val="24"/>
          <w:highlight w:val="none"/>
        </w:rPr>
        <w:t>1.2 资金来源和落实情况</w:t>
      </w:r>
      <w:bookmarkEnd w:id="65"/>
      <w:bookmarkEnd w:id="66"/>
      <w:bookmarkEnd w:id="67"/>
      <w:bookmarkEnd w:id="68"/>
      <w:bookmarkEnd w:id="69"/>
      <w:bookmarkEnd w:id="70"/>
      <w:bookmarkEnd w:id="71"/>
      <w:bookmarkEnd w:id="72"/>
    </w:p>
    <w:p>
      <w:pPr>
        <w:spacing w:line="360" w:lineRule="auto"/>
        <w:rPr>
          <w:rFonts w:hint="eastAsia" w:ascii="宋体" w:hAnsi="宋体" w:eastAsia="宋体" w:cs="宋体"/>
          <w:color w:val="auto"/>
          <w:sz w:val="24"/>
          <w:szCs w:val="24"/>
          <w:highlight w:val="none"/>
        </w:rPr>
      </w:pPr>
      <w:bookmarkStart w:id="73" w:name="_Toc11160993"/>
      <w:bookmarkStart w:id="74" w:name="_Toc11161292"/>
      <w:bookmarkStart w:id="75" w:name="_Toc11161997"/>
      <w:bookmarkStart w:id="76" w:name="_Toc11162480"/>
      <w:r>
        <w:rPr>
          <w:rFonts w:hint="eastAsia" w:ascii="宋体" w:hAnsi="宋体" w:eastAsia="宋体" w:cs="宋体"/>
          <w:color w:val="auto"/>
          <w:sz w:val="24"/>
          <w:szCs w:val="24"/>
          <w:highlight w:val="none"/>
        </w:rPr>
        <w:t>1.2.1 本采购项目的资金来源：见供应商须知前附表。</w:t>
      </w:r>
      <w:bookmarkEnd w:id="73"/>
      <w:bookmarkEnd w:id="74"/>
      <w:bookmarkEnd w:id="75"/>
      <w:bookmarkEnd w:id="76"/>
    </w:p>
    <w:p>
      <w:pPr>
        <w:spacing w:line="360" w:lineRule="auto"/>
        <w:rPr>
          <w:rFonts w:hint="eastAsia" w:ascii="宋体" w:hAnsi="宋体" w:eastAsia="宋体" w:cs="宋体"/>
          <w:color w:val="auto"/>
          <w:sz w:val="24"/>
          <w:szCs w:val="24"/>
          <w:highlight w:val="none"/>
        </w:rPr>
      </w:pPr>
      <w:bookmarkStart w:id="77" w:name="_Toc11161293"/>
      <w:bookmarkStart w:id="78" w:name="_Toc11161998"/>
      <w:bookmarkStart w:id="79" w:name="_Toc11160994"/>
      <w:bookmarkStart w:id="80" w:name="_Toc11162481"/>
      <w:r>
        <w:rPr>
          <w:rFonts w:hint="eastAsia" w:ascii="宋体" w:hAnsi="宋体" w:eastAsia="宋体" w:cs="宋体"/>
          <w:color w:val="auto"/>
          <w:sz w:val="24"/>
          <w:szCs w:val="24"/>
          <w:highlight w:val="none"/>
        </w:rPr>
        <w:t>1.2.2 本采购项目的资金落实情况：见供应商须知前附表。</w:t>
      </w:r>
      <w:bookmarkEnd w:id="77"/>
      <w:bookmarkEnd w:id="78"/>
      <w:bookmarkEnd w:id="79"/>
      <w:bookmarkEnd w:id="80"/>
    </w:p>
    <w:p>
      <w:pPr>
        <w:spacing w:line="360" w:lineRule="auto"/>
        <w:rPr>
          <w:rFonts w:hint="eastAsia" w:ascii="宋体" w:hAnsi="宋体" w:eastAsia="宋体" w:cs="宋体"/>
          <w:color w:val="auto"/>
          <w:sz w:val="24"/>
          <w:szCs w:val="24"/>
          <w:highlight w:val="none"/>
        </w:rPr>
      </w:pPr>
      <w:bookmarkStart w:id="81" w:name="_Toc11162482"/>
      <w:bookmarkStart w:id="82" w:name="_Toc11161294"/>
      <w:bookmarkStart w:id="83" w:name="_Toc144974500"/>
      <w:bookmarkStart w:id="84" w:name="_Toc11160995"/>
      <w:bookmarkStart w:id="85" w:name="_Toc152042308"/>
      <w:bookmarkStart w:id="86" w:name="_Toc152045532"/>
      <w:bookmarkStart w:id="87" w:name="_Toc179632549"/>
      <w:bookmarkStart w:id="88" w:name="_Toc11161999"/>
      <w:r>
        <w:rPr>
          <w:rFonts w:hint="eastAsia" w:ascii="宋体" w:hAnsi="宋体" w:eastAsia="宋体" w:cs="宋体"/>
          <w:color w:val="auto"/>
          <w:sz w:val="24"/>
          <w:szCs w:val="24"/>
          <w:highlight w:val="none"/>
        </w:rPr>
        <w:t>1.3 采购范围、计划工期和</w:t>
      </w:r>
      <w:bookmarkEnd w:id="81"/>
      <w:bookmarkEnd w:id="82"/>
      <w:bookmarkEnd w:id="83"/>
      <w:bookmarkEnd w:id="84"/>
      <w:bookmarkEnd w:id="85"/>
      <w:bookmarkEnd w:id="86"/>
      <w:bookmarkEnd w:id="87"/>
      <w:bookmarkEnd w:id="88"/>
      <w:r>
        <w:rPr>
          <w:rFonts w:hint="eastAsia" w:ascii="宋体" w:hAnsi="宋体" w:eastAsia="宋体" w:cs="宋体"/>
          <w:color w:val="auto"/>
          <w:sz w:val="24"/>
          <w:szCs w:val="24"/>
          <w:highlight w:val="none"/>
        </w:rPr>
        <w:t>工程质量</w:t>
      </w:r>
    </w:p>
    <w:p>
      <w:pPr>
        <w:spacing w:line="360" w:lineRule="auto"/>
        <w:rPr>
          <w:rFonts w:hint="eastAsia" w:ascii="宋体" w:hAnsi="宋体" w:eastAsia="宋体" w:cs="宋体"/>
          <w:color w:val="auto"/>
          <w:sz w:val="24"/>
          <w:szCs w:val="24"/>
          <w:highlight w:val="none"/>
        </w:rPr>
      </w:pPr>
      <w:bookmarkStart w:id="89" w:name="_Toc11162000"/>
      <w:bookmarkStart w:id="90" w:name="_Toc11162483"/>
      <w:bookmarkStart w:id="91" w:name="_Toc11160996"/>
      <w:bookmarkStart w:id="92" w:name="_Toc11161295"/>
      <w:r>
        <w:rPr>
          <w:rFonts w:hint="eastAsia" w:ascii="宋体" w:hAnsi="宋体" w:eastAsia="宋体" w:cs="宋体"/>
          <w:color w:val="auto"/>
          <w:sz w:val="24"/>
          <w:szCs w:val="24"/>
          <w:highlight w:val="none"/>
        </w:rPr>
        <w:t>1.3.1 本次采购范围：见供应商须知前附表。</w:t>
      </w:r>
      <w:bookmarkEnd w:id="89"/>
      <w:bookmarkEnd w:id="90"/>
      <w:bookmarkEnd w:id="91"/>
      <w:bookmarkEnd w:id="92"/>
    </w:p>
    <w:p>
      <w:pPr>
        <w:spacing w:line="360" w:lineRule="auto"/>
        <w:rPr>
          <w:rFonts w:hint="eastAsia" w:ascii="宋体" w:hAnsi="宋体" w:eastAsia="宋体" w:cs="宋体"/>
          <w:color w:val="auto"/>
          <w:sz w:val="24"/>
          <w:szCs w:val="24"/>
          <w:highlight w:val="none"/>
        </w:rPr>
      </w:pPr>
      <w:bookmarkStart w:id="93" w:name="_Toc11162484"/>
      <w:bookmarkStart w:id="94" w:name="_Toc11160997"/>
      <w:bookmarkStart w:id="95" w:name="_Toc11162001"/>
      <w:bookmarkStart w:id="96" w:name="_Toc11161296"/>
      <w:r>
        <w:rPr>
          <w:rFonts w:hint="eastAsia" w:ascii="宋体" w:hAnsi="宋体" w:eastAsia="宋体" w:cs="宋体"/>
          <w:color w:val="auto"/>
          <w:sz w:val="24"/>
          <w:szCs w:val="24"/>
          <w:highlight w:val="none"/>
        </w:rPr>
        <w:t>1.3.2 本采购项目的计划工期：见供应商须知前附表。</w:t>
      </w:r>
      <w:bookmarkEnd w:id="93"/>
      <w:bookmarkEnd w:id="94"/>
      <w:bookmarkEnd w:id="95"/>
      <w:bookmarkEnd w:id="96"/>
    </w:p>
    <w:p>
      <w:pPr>
        <w:spacing w:line="360" w:lineRule="auto"/>
        <w:rPr>
          <w:rFonts w:hint="eastAsia" w:ascii="宋体" w:hAnsi="宋体" w:eastAsia="宋体" w:cs="宋体"/>
          <w:color w:val="auto"/>
          <w:sz w:val="24"/>
          <w:szCs w:val="24"/>
          <w:highlight w:val="none"/>
        </w:rPr>
      </w:pPr>
      <w:bookmarkStart w:id="97" w:name="_Toc11162002"/>
      <w:bookmarkStart w:id="98" w:name="_Toc11161297"/>
      <w:bookmarkStart w:id="99" w:name="_Toc11160998"/>
      <w:bookmarkStart w:id="100" w:name="_Toc11162485"/>
      <w:r>
        <w:rPr>
          <w:rFonts w:hint="eastAsia" w:ascii="宋体" w:hAnsi="宋体" w:eastAsia="宋体" w:cs="宋体"/>
          <w:color w:val="auto"/>
          <w:sz w:val="24"/>
          <w:szCs w:val="24"/>
          <w:highlight w:val="none"/>
        </w:rPr>
        <w:t>1.3.3 本采购项目的工程质量：见供应商须知前附表。</w:t>
      </w:r>
      <w:bookmarkEnd w:id="97"/>
      <w:bookmarkEnd w:id="98"/>
      <w:bookmarkEnd w:id="99"/>
      <w:bookmarkEnd w:id="100"/>
    </w:p>
    <w:p>
      <w:pPr>
        <w:spacing w:line="360" w:lineRule="auto"/>
        <w:rPr>
          <w:rFonts w:hint="eastAsia" w:ascii="宋体" w:hAnsi="宋体" w:eastAsia="宋体" w:cs="宋体"/>
          <w:color w:val="auto"/>
          <w:sz w:val="24"/>
          <w:szCs w:val="24"/>
          <w:highlight w:val="none"/>
        </w:rPr>
      </w:pPr>
      <w:bookmarkStart w:id="101" w:name="_Toc11162003"/>
      <w:bookmarkStart w:id="102" w:name="_Toc144974501"/>
      <w:bookmarkStart w:id="103" w:name="_Toc179632550"/>
      <w:bookmarkStart w:id="104" w:name="_Toc152042309"/>
      <w:bookmarkStart w:id="105" w:name="_Toc11162486"/>
      <w:bookmarkStart w:id="106" w:name="_Toc152045533"/>
      <w:bookmarkStart w:id="107" w:name="_Toc11160999"/>
      <w:bookmarkStart w:id="108" w:name="_Toc11161298"/>
      <w:r>
        <w:rPr>
          <w:rFonts w:hint="eastAsia" w:ascii="宋体" w:hAnsi="宋体" w:eastAsia="宋体" w:cs="宋体"/>
          <w:color w:val="auto"/>
          <w:sz w:val="24"/>
          <w:szCs w:val="24"/>
          <w:highlight w:val="none"/>
        </w:rPr>
        <w:t>1.4 供应商资格要求</w:t>
      </w:r>
      <w:bookmarkEnd w:id="101"/>
      <w:bookmarkEnd w:id="102"/>
      <w:bookmarkEnd w:id="103"/>
      <w:bookmarkEnd w:id="104"/>
      <w:bookmarkEnd w:id="105"/>
      <w:bookmarkEnd w:id="106"/>
      <w:bookmarkEnd w:id="107"/>
      <w:bookmarkEnd w:id="108"/>
    </w:p>
    <w:p>
      <w:pPr>
        <w:spacing w:line="360" w:lineRule="auto"/>
        <w:rPr>
          <w:rFonts w:hint="eastAsia" w:ascii="宋体" w:hAnsi="宋体" w:eastAsia="宋体" w:cs="宋体"/>
          <w:color w:val="auto"/>
          <w:sz w:val="24"/>
          <w:szCs w:val="24"/>
          <w:highlight w:val="none"/>
        </w:rPr>
      </w:pPr>
      <w:bookmarkStart w:id="109" w:name="_Toc11162487"/>
      <w:bookmarkStart w:id="110" w:name="_Toc11161299"/>
      <w:bookmarkStart w:id="111" w:name="_Toc11161000"/>
      <w:bookmarkStart w:id="112" w:name="_Toc11162004"/>
      <w:r>
        <w:rPr>
          <w:rFonts w:hint="eastAsia" w:ascii="宋体" w:hAnsi="宋体" w:eastAsia="宋体" w:cs="宋体"/>
          <w:color w:val="auto"/>
          <w:sz w:val="24"/>
          <w:szCs w:val="24"/>
          <w:highlight w:val="none"/>
        </w:rPr>
        <w:t>1.4.1供应商应具备承担本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的资质条件。</w:t>
      </w:r>
      <w:bookmarkEnd w:id="109"/>
      <w:bookmarkEnd w:id="110"/>
      <w:bookmarkEnd w:id="111"/>
      <w:bookmarkEnd w:id="112"/>
    </w:p>
    <w:p>
      <w:pPr>
        <w:spacing w:line="360" w:lineRule="auto"/>
        <w:rPr>
          <w:rFonts w:hint="eastAsia" w:ascii="宋体" w:hAnsi="宋体" w:eastAsia="宋体" w:cs="宋体"/>
          <w:color w:val="auto"/>
          <w:sz w:val="24"/>
          <w:szCs w:val="24"/>
          <w:highlight w:val="none"/>
        </w:rPr>
      </w:pPr>
      <w:bookmarkStart w:id="113" w:name="_Toc11162490"/>
      <w:bookmarkStart w:id="114" w:name="_Toc11162007"/>
      <w:bookmarkStart w:id="115" w:name="_Toc11161302"/>
      <w:bookmarkStart w:id="116" w:name="_Toc11161003"/>
      <w:r>
        <w:rPr>
          <w:rFonts w:hint="eastAsia" w:ascii="宋体" w:hAnsi="宋体" w:eastAsia="宋体" w:cs="宋体"/>
          <w:color w:val="auto"/>
          <w:sz w:val="24"/>
          <w:szCs w:val="24"/>
          <w:highlight w:val="none"/>
        </w:rPr>
        <w:t>见供应商须知前附表。</w:t>
      </w:r>
      <w:bookmarkEnd w:id="113"/>
      <w:bookmarkEnd w:id="114"/>
      <w:bookmarkEnd w:id="115"/>
      <w:bookmarkEnd w:id="116"/>
    </w:p>
    <w:p>
      <w:pPr>
        <w:spacing w:line="360" w:lineRule="auto"/>
        <w:rPr>
          <w:rFonts w:hint="eastAsia" w:ascii="宋体" w:hAnsi="宋体" w:eastAsia="宋体" w:cs="宋体"/>
          <w:color w:val="auto"/>
          <w:sz w:val="24"/>
          <w:szCs w:val="24"/>
          <w:highlight w:val="none"/>
        </w:rPr>
      </w:pPr>
      <w:bookmarkStart w:id="117" w:name="_Toc11161004"/>
      <w:bookmarkStart w:id="118" w:name="_Toc11161303"/>
      <w:bookmarkStart w:id="119" w:name="_Toc11162491"/>
      <w:bookmarkStart w:id="120" w:name="_Toc11162008"/>
      <w:r>
        <w:rPr>
          <w:rFonts w:hint="eastAsia" w:ascii="宋体" w:hAnsi="宋体" w:eastAsia="宋体" w:cs="宋体"/>
          <w:color w:val="auto"/>
          <w:sz w:val="24"/>
          <w:szCs w:val="24"/>
          <w:highlight w:val="none"/>
        </w:rPr>
        <w:t>1.4.2 供应商不得存在下列情形之一：</w:t>
      </w:r>
      <w:bookmarkEnd w:id="117"/>
      <w:bookmarkEnd w:id="118"/>
      <w:bookmarkEnd w:id="119"/>
      <w:bookmarkEnd w:id="120"/>
    </w:p>
    <w:p>
      <w:pPr>
        <w:spacing w:line="360" w:lineRule="auto"/>
        <w:rPr>
          <w:rFonts w:hint="eastAsia" w:ascii="宋体" w:hAnsi="宋体" w:eastAsia="宋体" w:cs="宋体"/>
          <w:color w:val="auto"/>
          <w:sz w:val="24"/>
          <w:szCs w:val="24"/>
          <w:highlight w:val="none"/>
        </w:rPr>
      </w:pPr>
      <w:bookmarkStart w:id="121" w:name="_Toc11162492"/>
      <w:bookmarkStart w:id="122" w:name="_Toc11161005"/>
      <w:bookmarkStart w:id="123" w:name="_Toc11161304"/>
      <w:bookmarkStart w:id="124" w:name="_Toc11162009"/>
      <w:r>
        <w:rPr>
          <w:rFonts w:hint="eastAsia" w:ascii="宋体" w:hAnsi="宋体" w:eastAsia="宋体" w:cs="宋体"/>
          <w:color w:val="auto"/>
          <w:sz w:val="24"/>
          <w:szCs w:val="24"/>
          <w:highlight w:val="none"/>
        </w:rPr>
        <w:t>（1）为采购人不具有独立法人资格的附属机构（单位）；</w:t>
      </w:r>
      <w:bookmarkEnd w:id="121"/>
      <w:bookmarkEnd w:id="122"/>
      <w:bookmarkEnd w:id="123"/>
      <w:bookmarkEnd w:id="124"/>
    </w:p>
    <w:p>
      <w:pPr>
        <w:spacing w:line="360" w:lineRule="auto"/>
        <w:rPr>
          <w:rFonts w:hint="eastAsia" w:ascii="宋体" w:hAnsi="宋体" w:eastAsia="宋体" w:cs="宋体"/>
          <w:color w:val="auto"/>
          <w:sz w:val="24"/>
          <w:szCs w:val="24"/>
          <w:highlight w:val="none"/>
        </w:rPr>
      </w:pPr>
      <w:bookmarkStart w:id="125" w:name="_Toc11162010"/>
      <w:bookmarkStart w:id="126" w:name="_Toc11161305"/>
      <w:bookmarkStart w:id="127" w:name="_Toc11162493"/>
      <w:bookmarkStart w:id="128" w:name="_Toc11161006"/>
      <w:r>
        <w:rPr>
          <w:rFonts w:hint="eastAsia" w:ascii="宋体" w:hAnsi="宋体" w:eastAsia="宋体" w:cs="宋体"/>
          <w:color w:val="auto"/>
          <w:sz w:val="24"/>
          <w:szCs w:val="24"/>
          <w:highlight w:val="none"/>
        </w:rPr>
        <w:t>（2）为本采购项目前期准备提供设计或咨询服务的，但设计施工总承包的除外；</w:t>
      </w:r>
      <w:bookmarkEnd w:id="125"/>
      <w:bookmarkEnd w:id="126"/>
      <w:bookmarkEnd w:id="127"/>
      <w:bookmarkEnd w:id="128"/>
    </w:p>
    <w:p>
      <w:pPr>
        <w:spacing w:line="360" w:lineRule="auto"/>
        <w:rPr>
          <w:rFonts w:hint="eastAsia" w:ascii="宋体" w:hAnsi="宋体" w:eastAsia="宋体" w:cs="宋体"/>
          <w:color w:val="auto"/>
          <w:sz w:val="24"/>
          <w:szCs w:val="24"/>
          <w:highlight w:val="none"/>
        </w:rPr>
      </w:pPr>
      <w:bookmarkStart w:id="129" w:name="_Toc11162011"/>
      <w:bookmarkStart w:id="130" w:name="_Toc11161007"/>
      <w:bookmarkStart w:id="131" w:name="_Toc11161306"/>
      <w:bookmarkStart w:id="132" w:name="_Toc11162494"/>
      <w:r>
        <w:rPr>
          <w:rFonts w:hint="eastAsia" w:ascii="宋体" w:hAnsi="宋体" w:eastAsia="宋体" w:cs="宋体"/>
          <w:color w:val="auto"/>
          <w:sz w:val="24"/>
          <w:szCs w:val="24"/>
          <w:highlight w:val="none"/>
        </w:rPr>
        <w:t>（3）为本采购项目的监理人；</w:t>
      </w:r>
      <w:bookmarkEnd w:id="129"/>
      <w:bookmarkEnd w:id="130"/>
      <w:bookmarkEnd w:id="131"/>
      <w:bookmarkEnd w:id="132"/>
    </w:p>
    <w:p>
      <w:pPr>
        <w:spacing w:line="360" w:lineRule="auto"/>
        <w:rPr>
          <w:rFonts w:hint="eastAsia" w:ascii="宋体" w:hAnsi="宋体" w:eastAsia="宋体" w:cs="宋体"/>
          <w:color w:val="auto"/>
          <w:sz w:val="24"/>
          <w:szCs w:val="24"/>
          <w:highlight w:val="none"/>
        </w:rPr>
      </w:pPr>
      <w:bookmarkStart w:id="133" w:name="_Toc11162495"/>
      <w:bookmarkStart w:id="134" w:name="_Toc11161307"/>
      <w:bookmarkStart w:id="135" w:name="_Toc11162012"/>
      <w:bookmarkStart w:id="136" w:name="_Toc11161008"/>
      <w:r>
        <w:rPr>
          <w:rFonts w:hint="eastAsia" w:ascii="宋体" w:hAnsi="宋体" w:eastAsia="宋体" w:cs="宋体"/>
          <w:color w:val="auto"/>
          <w:sz w:val="24"/>
          <w:szCs w:val="24"/>
          <w:highlight w:val="none"/>
        </w:rPr>
        <w:t>（4）为本采购项目的代建人；</w:t>
      </w:r>
      <w:bookmarkEnd w:id="133"/>
      <w:bookmarkEnd w:id="134"/>
      <w:bookmarkEnd w:id="135"/>
      <w:bookmarkEnd w:id="136"/>
    </w:p>
    <w:p>
      <w:pPr>
        <w:spacing w:line="360" w:lineRule="auto"/>
        <w:rPr>
          <w:rFonts w:hint="eastAsia" w:ascii="宋体" w:hAnsi="宋体" w:eastAsia="宋体" w:cs="宋体"/>
          <w:color w:val="auto"/>
          <w:sz w:val="24"/>
          <w:szCs w:val="24"/>
          <w:highlight w:val="none"/>
        </w:rPr>
      </w:pPr>
      <w:bookmarkStart w:id="137" w:name="_Toc11161009"/>
      <w:bookmarkStart w:id="138" w:name="_Toc11162496"/>
      <w:bookmarkStart w:id="139" w:name="_Toc11161308"/>
      <w:bookmarkStart w:id="140" w:name="_Toc11162013"/>
      <w:r>
        <w:rPr>
          <w:rFonts w:hint="eastAsia" w:ascii="宋体" w:hAnsi="宋体" w:eastAsia="宋体" w:cs="宋体"/>
          <w:color w:val="auto"/>
          <w:sz w:val="24"/>
          <w:szCs w:val="24"/>
          <w:highlight w:val="none"/>
        </w:rPr>
        <w:t>（5）为本采购项目提供采购代理服务的；</w:t>
      </w:r>
      <w:bookmarkEnd w:id="137"/>
      <w:bookmarkEnd w:id="138"/>
      <w:bookmarkEnd w:id="139"/>
      <w:bookmarkEnd w:id="140"/>
    </w:p>
    <w:p>
      <w:pPr>
        <w:spacing w:line="360" w:lineRule="auto"/>
        <w:rPr>
          <w:rFonts w:hint="eastAsia" w:ascii="宋体" w:hAnsi="宋体" w:eastAsia="宋体" w:cs="宋体"/>
          <w:color w:val="auto"/>
          <w:sz w:val="24"/>
          <w:szCs w:val="24"/>
          <w:highlight w:val="none"/>
        </w:rPr>
      </w:pPr>
      <w:bookmarkStart w:id="141" w:name="_Toc11161309"/>
      <w:bookmarkStart w:id="142" w:name="_Toc11161010"/>
      <w:bookmarkStart w:id="143" w:name="_Toc11162497"/>
      <w:bookmarkStart w:id="144" w:name="_Toc11162014"/>
      <w:r>
        <w:rPr>
          <w:rFonts w:hint="eastAsia" w:ascii="宋体" w:hAnsi="宋体" w:eastAsia="宋体" w:cs="宋体"/>
          <w:color w:val="auto"/>
          <w:sz w:val="24"/>
          <w:szCs w:val="24"/>
          <w:highlight w:val="none"/>
        </w:rPr>
        <w:t>（6）与本采购项目的监理人或代建人或采购代理机构同为一个法定代表人的；</w:t>
      </w:r>
      <w:bookmarkEnd w:id="141"/>
      <w:bookmarkEnd w:id="142"/>
      <w:bookmarkEnd w:id="143"/>
      <w:bookmarkEnd w:id="144"/>
    </w:p>
    <w:p>
      <w:pPr>
        <w:spacing w:line="360" w:lineRule="auto"/>
        <w:rPr>
          <w:rFonts w:hint="eastAsia" w:ascii="宋体" w:hAnsi="宋体" w:eastAsia="宋体" w:cs="宋体"/>
          <w:color w:val="auto"/>
          <w:sz w:val="24"/>
          <w:szCs w:val="24"/>
          <w:highlight w:val="none"/>
        </w:rPr>
      </w:pPr>
      <w:bookmarkStart w:id="145" w:name="_Toc11162498"/>
      <w:bookmarkStart w:id="146" w:name="_Toc11162015"/>
      <w:bookmarkStart w:id="147" w:name="_Toc11161310"/>
      <w:bookmarkStart w:id="148" w:name="_Toc11161011"/>
      <w:r>
        <w:rPr>
          <w:rFonts w:hint="eastAsia" w:ascii="宋体" w:hAnsi="宋体" w:eastAsia="宋体" w:cs="宋体"/>
          <w:color w:val="auto"/>
          <w:sz w:val="24"/>
          <w:szCs w:val="24"/>
          <w:highlight w:val="none"/>
        </w:rPr>
        <w:t>（7）与本采购项目的监理人或代建人或采购代理机构相互控股或参股的；</w:t>
      </w:r>
      <w:bookmarkEnd w:id="145"/>
      <w:bookmarkEnd w:id="146"/>
      <w:bookmarkEnd w:id="147"/>
      <w:bookmarkEnd w:id="148"/>
    </w:p>
    <w:p>
      <w:pPr>
        <w:spacing w:line="360" w:lineRule="auto"/>
        <w:rPr>
          <w:rFonts w:hint="eastAsia" w:ascii="宋体" w:hAnsi="宋体" w:eastAsia="宋体" w:cs="宋体"/>
          <w:color w:val="auto"/>
          <w:sz w:val="24"/>
          <w:szCs w:val="24"/>
          <w:highlight w:val="none"/>
        </w:rPr>
      </w:pPr>
      <w:bookmarkStart w:id="149" w:name="_Toc11161012"/>
      <w:bookmarkStart w:id="150" w:name="_Toc11162016"/>
      <w:bookmarkStart w:id="151" w:name="_Toc11161311"/>
      <w:bookmarkStart w:id="152" w:name="_Toc11162499"/>
      <w:r>
        <w:rPr>
          <w:rFonts w:hint="eastAsia" w:ascii="宋体" w:hAnsi="宋体" w:eastAsia="宋体" w:cs="宋体"/>
          <w:color w:val="auto"/>
          <w:sz w:val="24"/>
          <w:szCs w:val="24"/>
          <w:highlight w:val="none"/>
        </w:rPr>
        <w:t>（8）与本采购项目的监理人或代建人或采购代理机构相互任职或工作的；</w:t>
      </w:r>
      <w:bookmarkEnd w:id="149"/>
      <w:bookmarkEnd w:id="150"/>
      <w:bookmarkEnd w:id="151"/>
      <w:bookmarkEnd w:id="152"/>
    </w:p>
    <w:p>
      <w:pPr>
        <w:spacing w:line="360" w:lineRule="auto"/>
        <w:rPr>
          <w:rFonts w:hint="eastAsia" w:ascii="宋体" w:hAnsi="宋体" w:eastAsia="宋体" w:cs="宋体"/>
          <w:color w:val="auto"/>
          <w:sz w:val="24"/>
          <w:szCs w:val="24"/>
          <w:highlight w:val="none"/>
        </w:rPr>
      </w:pPr>
      <w:bookmarkStart w:id="153" w:name="_Toc11162500"/>
      <w:bookmarkStart w:id="154" w:name="_Toc11162017"/>
      <w:bookmarkStart w:id="155" w:name="_Toc11161312"/>
      <w:bookmarkStart w:id="156" w:name="_Toc11161013"/>
      <w:r>
        <w:rPr>
          <w:rFonts w:hint="eastAsia" w:ascii="宋体" w:hAnsi="宋体" w:eastAsia="宋体" w:cs="宋体"/>
          <w:color w:val="auto"/>
          <w:sz w:val="24"/>
          <w:szCs w:val="24"/>
          <w:highlight w:val="none"/>
        </w:rPr>
        <w:t>（9）供应商负责人为同一人或者存在控股、管理关系的不同单位的；</w:t>
      </w:r>
      <w:bookmarkEnd w:id="153"/>
      <w:bookmarkEnd w:id="154"/>
      <w:bookmarkEnd w:id="155"/>
      <w:bookmarkEnd w:id="156"/>
    </w:p>
    <w:p>
      <w:pPr>
        <w:spacing w:line="360" w:lineRule="auto"/>
        <w:rPr>
          <w:rFonts w:hint="eastAsia" w:ascii="宋体" w:hAnsi="宋体" w:eastAsia="宋体" w:cs="宋体"/>
          <w:color w:val="auto"/>
          <w:sz w:val="24"/>
          <w:szCs w:val="24"/>
          <w:highlight w:val="none"/>
        </w:rPr>
      </w:pPr>
      <w:bookmarkStart w:id="157" w:name="_Toc11162018"/>
      <w:bookmarkStart w:id="158" w:name="_Toc11161313"/>
      <w:bookmarkStart w:id="159" w:name="_Toc11162501"/>
      <w:bookmarkStart w:id="160" w:name="_Toc11161014"/>
      <w:r>
        <w:rPr>
          <w:rFonts w:hint="eastAsia" w:ascii="宋体" w:hAnsi="宋体" w:eastAsia="宋体" w:cs="宋体"/>
          <w:color w:val="auto"/>
          <w:sz w:val="24"/>
          <w:szCs w:val="24"/>
          <w:highlight w:val="none"/>
        </w:rPr>
        <w:t>（10）被责令停业的；</w:t>
      </w:r>
      <w:bookmarkEnd w:id="157"/>
      <w:bookmarkEnd w:id="158"/>
      <w:bookmarkEnd w:id="159"/>
      <w:bookmarkEnd w:id="160"/>
    </w:p>
    <w:p>
      <w:pPr>
        <w:spacing w:line="360" w:lineRule="auto"/>
        <w:rPr>
          <w:rFonts w:hint="eastAsia" w:ascii="宋体" w:hAnsi="宋体" w:eastAsia="宋体" w:cs="宋体"/>
          <w:color w:val="auto"/>
          <w:sz w:val="24"/>
          <w:szCs w:val="24"/>
          <w:highlight w:val="none"/>
        </w:rPr>
      </w:pPr>
      <w:bookmarkStart w:id="161" w:name="_Toc11162019"/>
      <w:bookmarkStart w:id="162" w:name="_Toc11162502"/>
      <w:bookmarkStart w:id="163" w:name="_Toc11161314"/>
      <w:bookmarkStart w:id="164" w:name="_Toc11161015"/>
      <w:r>
        <w:rPr>
          <w:rFonts w:hint="eastAsia" w:ascii="宋体" w:hAnsi="宋体" w:eastAsia="宋体" w:cs="宋体"/>
          <w:color w:val="auto"/>
          <w:sz w:val="24"/>
          <w:szCs w:val="24"/>
          <w:highlight w:val="none"/>
        </w:rPr>
        <w:t>（11）被暂停或取消竞争性磋商资格的；</w:t>
      </w:r>
      <w:bookmarkEnd w:id="161"/>
      <w:bookmarkEnd w:id="162"/>
      <w:bookmarkEnd w:id="163"/>
      <w:bookmarkEnd w:id="164"/>
    </w:p>
    <w:p>
      <w:pPr>
        <w:spacing w:line="360" w:lineRule="auto"/>
        <w:rPr>
          <w:rFonts w:hint="eastAsia" w:ascii="宋体" w:hAnsi="宋体" w:eastAsia="宋体" w:cs="宋体"/>
          <w:color w:val="auto"/>
          <w:sz w:val="24"/>
          <w:szCs w:val="24"/>
          <w:highlight w:val="none"/>
        </w:rPr>
      </w:pPr>
      <w:bookmarkStart w:id="165" w:name="_Toc11161016"/>
      <w:bookmarkStart w:id="166" w:name="_Toc11162503"/>
      <w:bookmarkStart w:id="167" w:name="_Toc11161315"/>
      <w:bookmarkStart w:id="168" w:name="_Toc11162020"/>
      <w:r>
        <w:rPr>
          <w:rFonts w:hint="eastAsia" w:ascii="宋体" w:hAnsi="宋体" w:eastAsia="宋体" w:cs="宋体"/>
          <w:color w:val="auto"/>
          <w:sz w:val="24"/>
          <w:szCs w:val="24"/>
          <w:highlight w:val="none"/>
        </w:rPr>
        <w:t>（12）财产被接管或冻结的；</w:t>
      </w:r>
      <w:bookmarkEnd w:id="165"/>
      <w:bookmarkEnd w:id="166"/>
      <w:bookmarkEnd w:id="167"/>
      <w:bookmarkEnd w:id="168"/>
    </w:p>
    <w:p>
      <w:pPr>
        <w:spacing w:line="360" w:lineRule="auto"/>
        <w:rPr>
          <w:rFonts w:hint="eastAsia" w:ascii="宋体" w:hAnsi="宋体" w:eastAsia="宋体" w:cs="宋体"/>
          <w:color w:val="auto"/>
          <w:sz w:val="24"/>
          <w:szCs w:val="24"/>
          <w:highlight w:val="none"/>
        </w:rPr>
      </w:pPr>
      <w:bookmarkStart w:id="169" w:name="_Toc11162504"/>
      <w:bookmarkStart w:id="170" w:name="_Toc11161316"/>
      <w:bookmarkStart w:id="171" w:name="_Toc11161017"/>
      <w:bookmarkStart w:id="172" w:name="_Toc11162021"/>
      <w:r>
        <w:rPr>
          <w:rFonts w:hint="eastAsia" w:ascii="宋体" w:hAnsi="宋体" w:eastAsia="宋体" w:cs="宋体"/>
          <w:color w:val="auto"/>
          <w:sz w:val="24"/>
          <w:szCs w:val="24"/>
          <w:highlight w:val="none"/>
        </w:rPr>
        <w:t>（13）在最近三年内有骗取中标或严重违约或重大工程质量问题的。</w:t>
      </w:r>
      <w:bookmarkEnd w:id="169"/>
      <w:bookmarkEnd w:id="170"/>
      <w:bookmarkEnd w:id="171"/>
      <w:bookmarkEnd w:id="172"/>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1.4.3本项目不接受联合体竞争性磋商。</w:t>
      </w:r>
    </w:p>
    <w:p>
      <w:pPr>
        <w:spacing w:line="360" w:lineRule="auto"/>
        <w:rPr>
          <w:rFonts w:hint="eastAsia" w:ascii="宋体" w:hAnsi="宋体" w:eastAsia="宋体" w:cs="宋体"/>
          <w:color w:val="auto"/>
          <w:sz w:val="24"/>
          <w:szCs w:val="24"/>
          <w:highlight w:val="none"/>
        </w:rPr>
      </w:pPr>
      <w:bookmarkStart w:id="173" w:name="_Toc152045535"/>
      <w:bookmarkStart w:id="174" w:name="_Toc152042311"/>
      <w:bookmarkStart w:id="175" w:name="_Toc144974503"/>
      <w:bookmarkStart w:id="176" w:name="_Toc11162022"/>
      <w:bookmarkStart w:id="177" w:name="_Toc11161018"/>
      <w:bookmarkStart w:id="178" w:name="_Toc11161317"/>
      <w:bookmarkStart w:id="179" w:name="_Toc179632552"/>
      <w:bookmarkStart w:id="180" w:name="_Toc11162505"/>
      <w:r>
        <w:rPr>
          <w:rFonts w:hint="eastAsia" w:ascii="宋体" w:hAnsi="宋体" w:eastAsia="宋体" w:cs="宋体"/>
          <w:color w:val="auto"/>
          <w:sz w:val="24"/>
          <w:szCs w:val="24"/>
          <w:highlight w:val="none"/>
        </w:rPr>
        <w:t>1.5 费用承担</w:t>
      </w:r>
      <w:bookmarkEnd w:id="173"/>
      <w:bookmarkEnd w:id="174"/>
      <w:bookmarkEnd w:id="175"/>
      <w:bookmarkEnd w:id="176"/>
      <w:bookmarkEnd w:id="177"/>
      <w:bookmarkEnd w:id="178"/>
      <w:bookmarkEnd w:id="179"/>
      <w:bookmarkEnd w:id="180"/>
    </w:p>
    <w:p>
      <w:pPr>
        <w:spacing w:line="360" w:lineRule="auto"/>
        <w:rPr>
          <w:rFonts w:hint="eastAsia" w:ascii="宋体" w:hAnsi="宋体" w:eastAsia="宋体" w:cs="宋体"/>
          <w:color w:val="auto"/>
          <w:sz w:val="24"/>
          <w:szCs w:val="24"/>
          <w:highlight w:val="none"/>
        </w:rPr>
      </w:pPr>
      <w:bookmarkStart w:id="181" w:name="_Toc11162023"/>
      <w:bookmarkStart w:id="182" w:name="_Toc11161318"/>
      <w:bookmarkStart w:id="183" w:name="_Toc11162506"/>
      <w:bookmarkStart w:id="184" w:name="_Toc11161019"/>
      <w:r>
        <w:rPr>
          <w:rFonts w:hint="eastAsia" w:ascii="宋体" w:hAnsi="宋体" w:eastAsia="宋体" w:cs="宋体"/>
          <w:color w:val="auto"/>
          <w:sz w:val="24"/>
          <w:szCs w:val="24"/>
          <w:highlight w:val="none"/>
        </w:rPr>
        <w:t>1.5.1供应商准备和参加竞争性磋商活动发生的费用自理。</w:t>
      </w:r>
      <w:bookmarkEnd w:id="181"/>
      <w:bookmarkEnd w:id="182"/>
      <w:bookmarkEnd w:id="183"/>
      <w:bookmarkEnd w:id="184"/>
    </w:p>
    <w:p>
      <w:pPr>
        <w:spacing w:line="360" w:lineRule="auto"/>
        <w:rPr>
          <w:rFonts w:hint="eastAsia" w:ascii="宋体" w:hAnsi="宋体" w:eastAsia="宋体" w:cs="宋体"/>
          <w:color w:val="auto"/>
          <w:sz w:val="24"/>
          <w:szCs w:val="24"/>
          <w:highlight w:val="none"/>
        </w:rPr>
      </w:pPr>
      <w:bookmarkStart w:id="185" w:name="_Toc152042312"/>
      <w:bookmarkStart w:id="186" w:name="_Toc11162024"/>
      <w:bookmarkStart w:id="187" w:name="_Toc144974504"/>
      <w:bookmarkStart w:id="188" w:name="_Toc11161319"/>
      <w:bookmarkStart w:id="189" w:name="_Toc179632553"/>
      <w:bookmarkStart w:id="190" w:name="_Toc11161020"/>
      <w:bookmarkStart w:id="191" w:name="_Toc152045536"/>
      <w:bookmarkStart w:id="192" w:name="_Toc11162507"/>
      <w:r>
        <w:rPr>
          <w:rFonts w:hint="eastAsia" w:ascii="宋体" w:hAnsi="宋体" w:eastAsia="宋体" w:cs="宋体"/>
          <w:color w:val="auto"/>
          <w:sz w:val="24"/>
          <w:szCs w:val="24"/>
          <w:highlight w:val="none"/>
        </w:rPr>
        <w:t>1.6 保密</w:t>
      </w:r>
      <w:bookmarkEnd w:id="185"/>
      <w:bookmarkEnd w:id="186"/>
      <w:bookmarkEnd w:id="187"/>
      <w:bookmarkEnd w:id="188"/>
      <w:bookmarkEnd w:id="189"/>
      <w:bookmarkEnd w:id="190"/>
      <w:bookmarkEnd w:id="191"/>
      <w:bookmarkEnd w:id="192"/>
    </w:p>
    <w:p>
      <w:pPr>
        <w:spacing w:line="360" w:lineRule="auto"/>
        <w:rPr>
          <w:rFonts w:hint="eastAsia" w:ascii="宋体" w:hAnsi="宋体" w:eastAsia="宋体" w:cs="宋体"/>
          <w:color w:val="auto"/>
          <w:sz w:val="24"/>
          <w:szCs w:val="24"/>
          <w:highlight w:val="none"/>
        </w:rPr>
      </w:pPr>
      <w:bookmarkStart w:id="193" w:name="_Toc11161021"/>
      <w:bookmarkStart w:id="194" w:name="_Toc11162025"/>
      <w:bookmarkStart w:id="195" w:name="_Toc11162508"/>
      <w:bookmarkStart w:id="196" w:name="_Toc11161320"/>
      <w:r>
        <w:rPr>
          <w:rFonts w:hint="eastAsia" w:ascii="宋体" w:hAnsi="宋体" w:eastAsia="宋体" w:cs="宋体"/>
          <w:color w:val="auto"/>
          <w:sz w:val="24"/>
          <w:szCs w:val="24"/>
          <w:highlight w:val="none"/>
        </w:rPr>
        <w:t>参与采购活动的各方应对竞争性磋商文件和磋商响应文件中的商业和技术等秘密保密，违者应对由此造成的后果承担法律责任。</w:t>
      </w:r>
      <w:bookmarkEnd w:id="193"/>
      <w:bookmarkEnd w:id="194"/>
      <w:bookmarkEnd w:id="195"/>
      <w:bookmarkEnd w:id="196"/>
    </w:p>
    <w:p>
      <w:pPr>
        <w:spacing w:line="360" w:lineRule="auto"/>
        <w:rPr>
          <w:rFonts w:hint="eastAsia" w:ascii="宋体" w:hAnsi="宋体" w:eastAsia="宋体" w:cs="宋体"/>
          <w:color w:val="auto"/>
          <w:sz w:val="24"/>
          <w:szCs w:val="24"/>
          <w:highlight w:val="none"/>
        </w:rPr>
      </w:pPr>
      <w:bookmarkStart w:id="197" w:name="_Toc144974505"/>
      <w:bookmarkStart w:id="198" w:name="_Toc179632554"/>
      <w:bookmarkStart w:id="199" w:name="_Toc152042313"/>
      <w:bookmarkStart w:id="200" w:name="_Toc11162026"/>
      <w:bookmarkStart w:id="201" w:name="_Toc11162509"/>
      <w:bookmarkStart w:id="202" w:name="_Toc11161022"/>
      <w:bookmarkStart w:id="203" w:name="_Toc11161321"/>
      <w:bookmarkStart w:id="204" w:name="_Toc152045537"/>
      <w:r>
        <w:rPr>
          <w:rFonts w:hint="eastAsia" w:ascii="宋体" w:hAnsi="宋体" w:eastAsia="宋体" w:cs="宋体"/>
          <w:color w:val="auto"/>
          <w:sz w:val="24"/>
          <w:szCs w:val="24"/>
          <w:highlight w:val="none"/>
        </w:rPr>
        <w:t>1.7 语言</w:t>
      </w:r>
      <w:bookmarkEnd w:id="197"/>
      <w:r>
        <w:rPr>
          <w:rFonts w:hint="eastAsia" w:ascii="宋体" w:hAnsi="宋体" w:eastAsia="宋体" w:cs="宋体"/>
          <w:color w:val="auto"/>
          <w:sz w:val="24"/>
          <w:szCs w:val="24"/>
          <w:highlight w:val="none"/>
        </w:rPr>
        <w:t>文字</w:t>
      </w:r>
      <w:bookmarkEnd w:id="198"/>
      <w:bookmarkEnd w:id="199"/>
      <w:bookmarkEnd w:id="200"/>
      <w:bookmarkEnd w:id="201"/>
      <w:bookmarkEnd w:id="202"/>
      <w:bookmarkEnd w:id="203"/>
      <w:bookmarkEnd w:id="204"/>
    </w:p>
    <w:p>
      <w:pPr>
        <w:spacing w:line="360" w:lineRule="auto"/>
        <w:rPr>
          <w:rFonts w:hint="eastAsia" w:ascii="宋体" w:hAnsi="宋体" w:eastAsia="宋体" w:cs="宋体"/>
          <w:color w:val="auto"/>
          <w:sz w:val="24"/>
          <w:szCs w:val="24"/>
          <w:highlight w:val="none"/>
        </w:rPr>
      </w:pPr>
      <w:bookmarkStart w:id="205" w:name="_Toc11161322"/>
      <w:bookmarkStart w:id="206" w:name="_Toc11162027"/>
      <w:bookmarkStart w:id="207" w:name="_Toc11162510"/>
      <w:bookmarkStart w:id="208" w:name="_Toc11161023"/>
      <w:r>
        <w:rPr>
          <w:rFonts w:hint="eastAsia" w:ascii="宋体" w:hAnsi="宋体" w:eastAsia="宋体" w:cs="宋体"/>
          <w:color w:val="auto"/>
          <w:sz w:val="24"/>
          <w:szCs w:val="24"/>
          <w:highlight w:val="none"/>
        </w:rPr>
        <w:t>除专用术语外，与采购竞争性磋商有关的语言均使用中文。必要时专用术语应附有中文注释。</w:t>
      </w:r>
      <w:bookmarkEnd w:id="205"/>
      <w:bookmarkEnd w:id="206"/>
      <w:bookmarkEnd w:id="207"/>
      <w:bookmarkEnd w:id="208"/>
    </w:p>
    <w:p>
      <w:pPr>
        <w:spacing w:line="360" w:lineRule="auto"/>
        <w:rPr>
          <w:rFonts w:hint="eastAsia" w:ascii="宋体" w:hAnsi="宋体" w:eastAsia="宋体" w:cs="宋体"/>
          <w:color w:val="auto"/>
          <w:sz w:val="24"/>
          <w:szCs w:val="24"/>
          <w:highlight w:val="none"/>
        </w:rPr>
      </w:pPr>
      <w:bookmarkStart w:id="209" w:name="_Toc152042314"/>
      <w:bookmarkStart w:id="210" w:name="_Toc11161323"/>
      <w:bookmarkStart w:id="211" w:name="_Toc11162511"/>
      <w:bookmarkStart w:id="212" w:name="_Toc152045538"/>
      <w:bookmarkStart w:id="213" w:name="_Toc11162028"/>
      <w:bookmarkStart w:id="214" w:name="_Toc144974506"/>
      <w:bookmarkStart w:id="215" w:name="_Toc179632555"/>
      <w:bookmarkStart w:id="216" w:name="_Toc11161024"/>
      <w:r>
        <w:rPr>
          <w:rFonts w:hint="eastAsia" w:ascii="宋体" w:hAnsi="宋体" w:eastAsia="宋体" w:cs="宋体"/>
          <w:color w:val="auto"/>
          <w:sz w:val="24"/>
          <w:szCs w:val="24"/>
          <w:highlight w:val="none"/>
        </w:rPr>
        <w:t>1.8 计量单位</w:t>
      </w:r>
      <w:bookmarkEnd w:id="209"/>
      <w:bookmarkEnd w:id="210"/>
      <w:bookmarkEnd w:id="211"/>
      <w:bookmarkEnd w:id="212"/>
      <w:bookmarkEnd w:id="213"/>
      <w:bookmarkEnd w:id="214"/>
      <w:bookmarkEnd w:id="215"/>
      <w:bookmarkEnd w:id="216"/>
    </w:p>
    <w:p>
      <w:pPr>
        <w:spacing w:line="360" w:lineRule="auto"/>
        <w:rPr>
          <w:rFonts w:hint="eastAsia" w:ascii="宋体" w:hAnsi="宋体" w:eastAsia="宋体" w:cs="宋体"/>
          <w:color w:val="auto"/>
          <w:sz w:val="24"/>
          <w:szCs w:val="24"/>
          <w:highlight w:val="none"/>
        </w:rPr>
      </w:pPr>
      <w:bookmarkStart w:id="217" w:name="_Toc11161025"/>
      <w:bookmarkStart w:id="218" w:name="_Toc11162512"/>
      <w:bookmarkStart w:id="219" w:name="_Toc11162029"/>
      <w:bookmarkStart w:id="220" w:name="_Toc11161324"/>
      <w:r>
        <w:rPr>
          <w:rFonts w:hint="eastAsia" w:ascii="宋体" w:hAnsi="宋体" w:eastAsia="宋体" w:cs="宋体"/>
          <w:color w:val="auto"/>
          <w:sz w:val="24"/>
          <w:szCs w:val="24"/>
          <w:highlight w:val="none"/>
        </w:rPr>
        <w:t>所有计量均采用中华人民共和国法定计量单位。</w:t>
      </w:r>
      <w:bookmarkEnd w:id="217"/>
      <w:bookmarkEnd w:id="218"/>
      <w:bookmarkEnd w:id="219"/>
      <w:bookmarkEnd w:id="220"/>
    </w:p>
    <w:p>
      <w:pPr>
        <w:spacing w:line="360" w:lineRule="auto"/>
        <w:rPr>
          <w:rFonts w:hint="eastAsia" w:ascii="宋体" w:hAnsi="宋体" w:eastAsia="宋体" w:cs="宋体"/>
          <w:color w:val="auto"/>
          <w:sz w:val="24"/>
          <w:szCs w:val="24"/>
          <w:highlight w:val="none"/>
        </w:rPr>
      </w:pPr>
      <w:bookmarkStart w:id="221" w:name="_Toc179632556"/>
      <w:bookmarkStart w:id="222" w:name="_Toc11161026"/>
      <w:bookmarkStart w:id="223" w:name="_Toc144974507"/>
      <w:bookmarkStart w:id="224" w:name="_Toc152042315"/>
      <w:bookmarkStart w:id="225" w:name="_Toc11162513"/>
      <w:bookmarkStart w:id="226" w:name="_Toc11161325"/>
      <w:bookmarkStart w:id="227" w:name="_Toc152045539"/>
      <w:bookmarkStart w:id="228" w:name="_Toc11162030"/>
      <w:r>
        <w:rPr>
          <w:rFonts w:hint="eastAsia" w:ascii="宋体" w:hAnsi="宋体" w:eastAsia="宋体" w:cs="宋体"/>
          <w:color w:val="auto"/>
          <w:sz w:val="24"/>
          <w:szCs w:val="24"/>
          <w:highlight w:val="none"/>
        </w:rPr>
        <w:t>1.9 踏勘现场</w:t>
      </w:r>
      <w:bookmarkEnd w:id="221"/>
      <w:bookmarkEnd w:id="222"/>
      <w:bookmarkEnd w:id="223"/>
      <w:bookmarkEnd w:id="224"/>
      <w:bookmarkEnd w:id="225"/>
      <w:bookmarkEnd w:id="226"/>
      <w:bookmarkEnd w:id="227"/>
      <w:bookmarkEnd w:id="228"/>
    </w:p>
    <w:p>
      <w:pPr>
        <w:spacing w:line="360" w:lineRule="auto"/>
        <w:rPr>
          <w:rFonts w:hint="eastAsia" w:ascii="宋体" w:hAnsi="宋体" w:eastAsia="宋体" w:cs="宋体"/>
          <w:color w:val="auto"/>
          <w:sz w:val="24"/>
          <w:szCs w:val="24"/>
          <w:highlight w:val="none"/>
        </w:rPr>
      </w:pPr>
      <w:bookmarkStart w:id="229" w:name="_Toc11162514"/>
      <w:bookmarkStart w:id="230" w:name="_Toc11161027"/>
      <w:bookmarkStart w:id="231" w:name="_Toc11161326"/>
      <w:bookmarkStart w:id="232" w:name="_Toc11162031"/>
      <w:r>
        <w:rPr>
          <w:rFonts w:hint="eastAsia" w:ascii="宋体" w:hAnsi="宋体" w:eastAsia="宋体" w:cs="宋体"/>
          <w:color w:val="auto"/>
          <w:sz w:val="24"/>
          <w:szCs w:val="24"/>
          <w:highlight w:val="none"/>
        </w:rPr>
        <w:t>1.9.1 踏勘现场：见供应商须知前附表。</w:t>
      </w:r>
      <w:bookmarkEnd w:id="229"/>
      <w:bookmarkEnd w:id="230"/>
      <w:bookmarkEnd w:id="231"/>
      <w:bookmarkEnd w:id="232"/>
    </w:p>
    <w:p>
      <w:pPr>
        <w:spacing w:line="360" w:lineRule="auto"/>
        <w:rPr>
          <w:rFonts w:hint="eastAsia" w:ascii="宋体" w:hAnsi="宋体" w:eastAsia="宋体" w:cs="宋体"/>
          <w:color w:val="auto"/>
          <w:sz w:val="24"/>
          <w:szCs w:val="24"/>
          <w:highlight w:val="none"/>
        </w:rPr>
      </w:pPr>
      <w:bookmarkStart w:id="233" w:name="_Toc11162032"/>
      <w:bookmarkStart w:id="234" w:name="_Toc11162515"/>
      <w:bookmarkStart w:id="235" w:name="_Toc11161327"/>
      <w:bookmarkStart w:id="236" w:name="_Toc11161028"/>
      <w:r>
        <w:rPr>
          <w:rFonts w:hint="eastAsia" w:ascii="宋体" w:hAnsi="宋体" w:eastAsia="宋体" w:cs="宋体"/>
          <w:color w:val="auto"/>
          <w:sz w:val="24"/>
          <w:szCs w:val="24"/>
          <w:highlight w:val="none"/>
        </w:rPr>
        <w:t>1.9.2 供应商踏勘现场发生的费用自理。</w:t>
      </w:r>
      <w:bookmarkEnd w:id="233"/>
      <w:bookmarkEnd w:id="234"/>
      <w:bookmarkEnd w:id="235"/>
      <w:bookmarkEnd w:id="236"/>
    </w:p>
    <w:p>
      <w:pPr>
        <w:spacing w:line="360" w:lineRule="auto"/>
        <w:rPr>
          <w:rFonts w:hint="eastAsia" w:ascii="宋体" w:hAnsi="宋体" w:eastAsia="宋体" w:cs="宋体"/>
          <w:color w:val="auto"/>
          <w:sz w:val="24"/>
          <w:szCs w:val="24"/>
          <w:highlight w:val="none"/>
        </w:rPr>
      </w:pPr>
      <w:bookmarkStart w:id="237" w:name="_Toc11161328"/>
      <w:bookmarkStart w:id="238" w:name="_Toc11162033"/>
      <w:bookmarkStart w:id="239" w:name="_Toc11161029"/>
      <w:bookmarkStart w:id="240" w:name="_Toc11162516"/>
      <w:r>
        <w:rPr>
          <w:rFonts w:hint="eastAsia" w:ascii="宋体" w:hAnsi="宋体" w:eastAsia="宋体" w:cs="宋体"/>
          <w:color w:val="auto"/>
          <w:sz w:val="24"/>
          <w:szCs w:val="24"/>
          <w:highlight w:val="none"/>
        </w:rPr>
        <w:t>1.9.3 除采购人的原因外，供应商自行负责在踏勘现场中所发生的人员伤亡和财产损失。</w:t>
      </w:r>
      <w:bookmarkEnd w:id="237"/>
      <w:bookmarkEnd w:id="238"/>
      <w:bookmarkEnd w:id="239"/>
      <w:bookmarkEnd w:id="240"/>
    </w:p>
    <w:p>
      <w:pPr>
        <w:spacing w:line="360" w:lineRule="auto"/>
        <w:rPr>
          <w:rFonts w:hint="eastAsia" w:ascii="宋体" w:hAnsi="宋体" w:eastAsia="宋体" w:cs="宋体"/>
          <w:color w:val="auto"/>
          <w:sz w:val="24"/>
          <w:szCs w:val="24"/>
          <w:highlight w:val="none"/>
        </w:rPr>
      </w:pPr>
      <w:bookmarkStart w:id="241" w:name="_Toc11162517"/>
      <w:bookmarkStart w:id="242" w:name="_Toc11161329"/>
      <w:bookmarkStart w:id="243" w:name="_Toc11161030"/>
      <w:bookmarkStart w:id="244" w:name="_Toc11162034"/>
      <w:r>
        <w:rPr>
          <w:rFonts w:hint="eastAsia" w:ascii="宋体" w:hAnsi="宋体" w:eastAsia="宋体" w:cs="宋体"/>
          <w:color w:val="auto"/>
          <w:sz w:val="24"/>
          <w:szCs w:val="24"/>
          <w:highlight w:val="none"/>
        </w:rPr>
        <w:t>1.9.4 采购人在踏勘现场中介绍的工程场地和相关的周边环境情况，供应商在编制磋商响应文件时参考，采购人不对供应商据此作出的判断和决策负责。</w:t>
      </w:r>
      <w:bookmarkEnd w:id="241"/>
      <w:bookmarkEnd w:id="242"/>
      <w:bookmarkEnd w:id="243"/>
      <w:bookmarkEnd w:id="244"/>
    </w:p>
    <w:p>
      <w:pPr>
        <w:spacing w:line="360" w:lineRule="auto"/>
        <w:rPr>
          <w:rFonts w:hint="eastAsia" w:ascii="宋体" w:hAnsi="宋体" w:eastAsia="宋体" w:cs="宋体"/>
          <w:color w:val="auto"/>
          <w:sz w:val="24"/>
          <w:szCs w:val="24"/>
          <w:highlight w:val="none"/>
        </w:rPr>
      </w:pPr>
      <w:bookmarkStart w:id="245" w:name="_Toc11161031"/>
      <w:bookmarkStart w:id="246" w:name="_Toc152042316"/>
      <w:bookmarkStart w:id="247" w:name="_Toc11161330"/>
      <w:bookmarkStart w:id="248" w:name="_Toc11162518"/>
      <w:bookmarkStart w:id="249" w:name="_Toc144974508"/>
      <w:bookmarkStart w:id="250" w:name="_Toc11162035"/>
      <w:bookmarkStart w:id="251" w:name="_Toc179632557"/>
      <w:bookmarkStart w:id="252" w:name="_Toc152045540"/>
      <w:r>
        <w:rPr>
          <w:rFonts w:hint="eastAsia" w:ascii="宋体" w:hAnsi="宋体" w:eastAsia="宋体" w:cs="宋体"/>
          <w:color w:val="auto"/>
          <w:sz w:val="24"/>
          <w:szCs w:val="24"/>
          <w:highlight w:val="none"/>
        </w:rPr>
        <w:t>1.10 答疑</w:t>
      </w:r>
      <w:bookmarkEnd w:id="245"/>
      <w:bookmarkEnd w:id="246"/>
      <w:bookmarkEnd w:id="247"/>
      <w:bookmarkEnd w:id="248"/>
      <w:bookmarkEnd w:id="249"/>
      <w:bookmarkEnd w:id="250"/>
      <w:bookmarkEnd w:id="251"/>
      <w:bookmarkEnd w:id="252"/>
    </w:p>
    <w:p>
      <w:pPr>
        <w:spacing w:line="360" w:lineRule="auto"/>
        <w:rPr>
          <w:rFonts w:hint="eastAsia" w:ascii="宋体" w:hAnsi="宋体" w:eastAsia="宋体" w:cs="宋体"/>
          <w:color w:val="auto"/>
          <w:sz w:val="24"/>
          <w:szCs w:val="24"/>
          <w:highlight w:val="none"/>
        </w:rPr>
      </w:pPr>
      <w:bookmarkStart w:id="253" w:name="_Toc11162519"/>
      <w:bookmarkStart w:id="254" w:name="_Toc11161032"/>
      <w:bookmarkStart w:id="255" w:name="_Toc11162036"/>
      <w:bookmarkStart w:id="256" w:name="_Toc11161331"/>
      <w:r>
        <w:rPr>
          <w:rFonts w:hint="eastAsia" w:ascii="宋体" w:hAnsi="宋体" w:eastAsia="宋体" w:cs="宋体"/>
          <w:color w:val="auto"/>
          <w:sz w:val="24"/>
          <w:szCs w:val="24"/>
          <w:highlight w:val="none"/>
        </w:rPr>
        <w:t>见供应商须知前附表。</w:t>
      </w:r>
      <w:bookmarkEnd w:id="253"/>
      <w:bookmarkEnd w:id="254"/>
      <w:bookmarkEnd w:id="255"/>
      <w:bookmarkEnd w:id="256"/>
    </w:p>
    <w:p>
      <w:pPr>
        <w:spacing w:line="360" w:lineRule="auto"/>
        <w:rPr>
          <w:rFonts w:hint="eastAsia" w:ascii="宋体" w:hAnsi="宋体" w:eastAsia="宋体" w:cs="宋体"/>
          <w:color w:val="auto"/>
          <w:sz w:val="24"/>
          <w:szCs w:val="24"/>
          <w:highlight w:val="none"/>
        </w:rPr>
      </w:pPr>
      <w:bookmarkStart w:id="257" w:name="_Toc11161033"/>
      <w:bookmarkStart w:id="258" w:name="_Toc11161332"/>
      <w:bookmarkStart w:id="259" w:name="_Toc11162037"/>
      <w:bookmarkStart w:id="260" w:name="_Toc11162520"/>
      <w:r>
        <w:rPr>
          <w:rFonts w:hint="eastAsia" w:ascii="宋体" w:hAnsi="宋体" w:eastAsia="宋体" w:cs="宋体"/>
          <w:color w:val="auto"/>
          <w:sz w:val="24"/>
          <w:szCs w:val="24"/>
          <w:highlight w:val="none"/>
        </w:rPr>
        <w:t>答疑内容为竞争性磋商文件的组成部分。</w:t>
      </w:r>
      <w:bookmarkEnd w:id="257"/>
      <w:bookmarkEnd w:id="258"/>
      <w:bookmarkEnd w:id="259"/>
      <w:bookmarkEnd w:id="260"/>
    </w:p>
    <w:p>
      <w:pPr>
        <w:spacing w:line="360" w:lineRule="auto"/>
        <w:rPr>
          <w:rFonts w:hint="eastAsia" w:ascii="宋体" w:hAnsi="宋体" w:eastAsia="宋体" w:cs="宋体"/>
          <w:color w:val="auto"/>
          <w:sz w:val="24"/>
          <w:szCs w:val="24"/>
          <w:highlight w:val="none"/>
        </w:rPr>
      </w:pPr>
      <w:bookmarkStart w:id="261" w:name="_Toc11162521"/>
      <w:bookmarkStart w:id="262" w:name="_Toc11161034"/>
      <w:bookmarkStart w:id="263" w:name="_Toc152042317"/>
      <w:bookmarkStart w:id="264" w:name="_Toc11162038"/>
      <w:bookmarkStart w:id="265" w:name="_Toc144974509"/>
      <w:bookmarkStart w:id="266" w:name="_Toc11161333"/>
      <w:bookmarkStart w:id="267" w:name="_Toc152045541"/>
      <w:bookmarkStart w:id="268" w:name="_Toc179632558"/>
      <w:r>
        <w:rPr>
          <w:rFonts w:hint="eastAsia" w:ascii="宋体" w:hAnsi="宋体" w:eastAsia="宋体" w:cs="宋体"/>
          <w:color w:val="auto"/>
          <w:sz w:val="24"/>
          <w:szCs w:val="24"/>
          <w:highlight w:val="none"/>
        </w:rPr>
        <w:t>1.11 分包</w:t>
      </w:r>
      <w:bookmarkEnd w:id="261"/>
      <w:bookmarkEnd w:id="262"/>
      <w:bookmarkEnd w:id="263"/>
      <w:bookmarkEnd w:id="264"/>
      <w:bookmarkEnd w:id="265"/>
      <w:bookmarkEnd w:id="266"/>
      <w:bookmarkEnd w:id="267"/>
      <w:bookmarkEnd w:id="268"/>
    </w:p>
    <w:p>
      <w:pPr>
        <w:spacing w:line="360" w:lineRule="auto"/>
        <w:rPr>
          <w:rFonts w:hint="eastAsia" w:ascii="宋体" w:hAnsi="宋体" w:eastAsia="宋体" w:cs="宋体"/>
          <w:color w:val="auto"/>
          <w:sz w:val="24"/>
          <w:szCs w:val="24"/>
          <w:highlight w:val="none"/>
        </w:rPr>
      </w:pPr>
      <w:bookmarkStart w:id="269" w:name="_Toc11161035"/>
      <w:bookmarkStart w:id="270" w:name="_Toc11162522"/>
      <w:bookmarkStart w:id="271" w:name="_Toc11162039"/>
      <w:bookmarkStart w:id="272" w:name="_Toc11161334"/>
      <w:bookmarkStart w:id="273" w:name="_Toc179632559"/>
      <w:r>
        <w:rPr>
          <w:rFonts w:hint="eastAsia" w:ascii="宋体" w:hAnsi="宋体" w:eastAsia="宋体" w:cs="宋体"/>
          <w:color w:val="auto"/>
          <w:sz w:val="24"/>
          <w:szCs w:val="24"/>
          <w:highlight w:val="none"/>
        </w:rPr>
        <w:t>本项目不允许分包。</w:t>
      </w:r>
      <w:bookmarkEnd w:id="269"/>
      <w:bookmarkEnd w:id="270"/>
      <w:bookmarkEnd w:id="271"/>
      <w:bookmarkEnd w:id="272"/>
    </w:p>
    <w:p>
      <w:pPr>
        <w:spacing w:line="360" w:lineRule="auto"/>
        <w:rPr>
          <w:rFonts w:hint="eastAsia" w:ascii="宋体" w:hAnsi="宋体" w:eastAsia="宋体" w:cs="宋体"/>
          <w:color w:val="auto"/>
          <w:sz w:val="24"/>
          <w:szCs w:val="24"/>
          <w:highlight w:val="none"/>
        </w:rPr>
      </w:pPr>
      <w:bookmarkStart w:id="274" w:name="_Toc11162523"/>
      <w:bookmarkStart w:id="275" w:name="_Toc11162040"/>
      <w:bookmarkStart w:id="276" w:name="_Toc11161335"/>
      <w:bookmarkStart w:id="277" w:name="_Toc11161036"/>
      <w:r>
        <w:rPr>
          <w:rFonts w:hint="eastAsia" w:ascii="宋体" w:hAnsi="宋体" w:eastAsia="宋体" w:cs="宋体"/>
          <w:color w:val="auto"/>
          <w:sz w:val="24"/>
          <w:szCs w:val="24"/>
          <w:highlight w:val="none"/>
        </w:rPr>
        <w:t>1.12 偏离</w:t>
      </w:r>
      <w:bookmarkEnd w:id="273"/>
      <w:bookmarkEnd w:id="274"/>
      <w:bookmarkEnd w:id="275"/>
      <w:bookmarkEnd w:id="276"/>
      <w:bookmarkEnd w:id="277"/>
    </w:p>
    <w:p>
      <w:pPr>
        <w:spacing w:line="360" w:lineRule="auto"/>
        <w:rPr>
          <w:rFonts w:hint="eastAsia" w:ascii="宋体" w:hAnsi="宋体" w:eastAsia="宋体" w:cs="宋体"/>
          <w:color w:val="auto"/>
          <w:sz w:val="24"/>
          <w:szCs w:val="24"/>
          <w:highlight w:val="none"/>
        </w:rPr>
      </w:pPr>
      <w:bookmarkStart w:id="278" w:name="_Toc11161336"/>
      <w:bookmarkStart w:id="279" w:name="_Toc11162041"/>
      <w:bookmarkStart w:id="280" w:name="_Toc11162524"/>
      <w:bookmarkStart w:id="281" w:name="_Toc11161037"/>
      <w:r>
        <w:rPr>
          <w:rFonts w:hint="eastAsia" w:ascii="宋体" w:hAnsi="宋体" w:eastAsia="宋体" w:cs="宋体"/>
          <w:color w:val="auto"/>
          <w:sz w:val="24"/>
          <w:szCs w:val="24"/>
          <w:highlight w:val="none"/>
        </w:rPr>
        <w:t>见供应商须知前附表。</w:t>
      </w:r>
      <w:bookmarkEnd w:id="278"/>
      <w:bookmarkEnd w:id="279"/>
      <w:bookmarkEnd w:id="280"/>
      <w:bookmarkEnd w:id="281"/>
    </w:p>
    <w:p>
      <w:pPr>
        <w:spacing w:line="360" w:lineRule="auto"/>
        <w:rPr>
          <w:rFonts w:hint="eastAsia" w:ascii="宋体" w:hAnsi="宋体" w:eastAsia="宋体" w:cs="宋体"/>
          <w:color w:val="auto"/>
          <w:sz w:val="24"/>
          <w:szCs w:val="24"/>
          <w:highlight w:val="none"/>
        </w:rPr>
      </w:pPr>
      <w:bookmarkStart w:id="282" w:name="_Toc11156039"/>
      <w:bookmarkStart w:id="283" w:name="_Toc4708"/>
      <w:bookmarkStart w:id="284" w:name="_Toc11162042"/>
      <w:bookmarkStart w:id="285" w:name="_Toc11161038"/>
      <w:bookmarkStart w:id="286" w:name="_Toc513557028"/>
      <w:bookmarkStart w:id="287" w:name="_Toc11161337"/>
      <w:bookmarkStart w:id="288" w:name="_Toc11162525"/>
      <w:r>
        <w:rPr>
          <w:rFonts w:hint="eastAsia" w:ascii="宋体" w:hAnsi="宋体" w:eastAsia="宋体" w:cs="宋体"/>
          <w:color w:val="auto"/>
          <w:sz w:val="24"/>
          <w:szCs w:val="24"/>
          <w:highlight w:val="none"/>
        </w:rPr>
        <w:t>2．竞争性磋商文件的组成</w:t>
      </w:r>
      <w:bookmarkEnd w:id="282"/>
      <w:bookmarkEnd w:id="283"/>
      <w:bookmarkEnd w:id="284"/>
      <w:bookmarkEnd w:id="285"/>
      <w:bookmarkEnd w:id="286"/>
      <w:bookmarkEnd w:id="287"/>
      <w:bookmarkEnd w:id="288"/>
    </w:p>
    <w:p>
      <w:pPr>
        <w:spacing w:line="360" w:lineRule="auto"/>
        <w:rPr>
          <w:rFonts w:hint="eastAsia" w:ascii="宋体" w:hAnsi="宋体" w:eastAsia="宋体" w:cs="宋体"/>
          <w:color w:val="auto"/>
          <w:sz w:val="24"/>
          <w:szCs w:val="24"/>
          <w:highlight w:val="none"/>
        </w:rPr>
      </w:pPr>
      <w:bookmarkStart w:id="289" w:name="_Toc11161338"/>
      <w:bookmarkStart w:id="290" w:name="_Toc11162043"/>
      <w:bookmarkStart w:id="291" w:name="_Toc179632561"/>
      <w:bookmarkStart w:id="292" w:name="_Toc152045543"/>
      <w:bookmarkStart w:id="293" w:name="_Toc11162526"/>
      <w:bookmarkStart w:id="294" w:name="_Toc144974511"/>
      <w:bookmarkStart w:id="295" w:name="_Toc152042319"/>
      <w:bookmarkStart w:id="296" w:name="_Toc11161039"/>
      <w:r>
        <w:rPr>
          <w:rFonts w:hint="eastAsia" w:ascii="宋体" w:hAnsi="宋体" w:eastAsia="宋体" w:cs="宋体"/>
          <w:color w:val="auto"/>
          <w:sz w:val="24"/>
          <w:szCs w:val="24"/>
          <w:highlight w:val="none"/>
        </w:rPr>
        <w:t>2.1 竞争性磋商文件的组成</w:t>
      </w:r>
      <w:bookmarkEnd w:id="289"/>
      <w:bookmarkEnd w:id="290"/>
      <w:bookmarkEnd w:id="291"/>
      <w:bookmarkEnd w:id="292"/>
      <w:bookmarkEnd w:id="293"/>
      <w:bookmarkEnd w:id="294"/>
      <w:bookmarkEnd w:id="295"/>
      <w:bookmarkEnd w:id="296"/>
    </w:p>
    <w:p>
      <w:pPr>
        <w:spacing w:line="360" w:lineRule="auto"/>
        <w:rPr>
          <w:rFonts w:hint="eastAsia" w:ascii="宋体" w:hAnsi="宋体" w:eastAsia="宋体" w:cs="宋体"/>
          <w:color w:val="auto"/>
          <w:sz w:val="24"/>
          <w:szCs w:val="24"/>
          <w:highlight w:val="none"/>
        </w:rPr>
      </w:pPr>
      <w:bookmarkStart w:id="297" w:name="_Toc11162527"/>
      <w:bookmarkStart w:id="298" w:name="_Toc11161339"/>
      <w:bookmarkStart w:id="299" w:name="_Toc11161040"/>
      <w:bookmarkStart w:id="300" w:name="_Toc11162044"/>
      <w:r>
        <w:rPr>
          <w:rFonts w:hint="eastAsia" w:ascii="宋体" w:hAnsi="宋体" w:eastAsia="宋体" w:cs="宋体"/>
          <w:color w:val="auto"/>
          <w:sz w:val="24"/>
          <w:szCs w:val="24"/>
          <w:highlight w:val="none"/>
        </w:rPr>
        <w:t>2.1.1本竞争性磋商文件包括：</w:t>
      </w:r>
      <w:bookmarkEnd w:id="297"/>
      <w:bookmarkEnd w:id="298"/>
      <w:bookmarkEnd w:id="299"/>
      <w:bookmarkEnd w:id="300"/>
    </w:p>
    <w:p>
      <w:pPr>
        <w:spacing w:line="360" w:lineRule="auto"/>
        <w:rPr>
          <w:rFonts w:hint="eastAsia" w:ascii="宋体" w:hAnsi="宋体" w:eastAsia="宋体" w:cs="宋体"/>
          <w:color w:val="auto"/>
          <w:sz w:val="24"/>
          <w:szCs w:val="24"/>
          <w:highlight w:val="none"/>
        </w:rPr>
      </w:pPr>
      <w:bookmarkStart w:id="301" w:name="_Toc11162045"/>
      <w:bookmarkStart w:id="302" w:name="_Toc11162528"/>
      <w:bookmarkStart w:id="303" w:name="_Toc11161041"/>
      <w:bookmarkStart w:id="304" w:name="_Toc11161340"/>
      <w:r>
        <w:rPr>
          <w:rFonts w:hint="eastAsia" w:ascii="宋体" w:hAnsi="宋体" w:eastAsia="宋体" w:cs="宋体"/>
          <w:color w:val="auto"/>
          <w:sz w:val="24"/>
          <w:szCs w:val="24"/>
          <w:highlight w:val="none"/>
        </w:rPr>
        <w:t>第一章 竞争性磋商公告；</w:t>
      </w:r>
      <w:bookmarkEnd w:id="301"/>
      <w:bookmarkEnd w:id="302"/>
      <w:bookmarkEnd w:id="303"/>
      <w:bookmarkEnd w:id="304"/>
    </w:p>
    <w:p>
      <w:pPr>
        <w:spacing w:line="360" w:lineRule="auto"/>
        <w:rPr>
          <w:rFonts w:hint="eastAsia" w:ascii="宋体" w:hAnsi="宋体" w:eastAsia="宋体" w:cs="宋体"/>
          <w:color w:val="auto"/>
          <w:sz w:val="24"/>
          <w:szCs w:val="24"/>
          <w:highlight w:val="none"/>
        </w:rPr>
      </w:pPr>
      <w:bookmarkStart w:id="305" w:name="_Toc11162046"/>
      <w:bookmarkStart w:id="306" w:name="_Toc11161341"/>
      <w:bookmarkStart w:id="307" w:name="_Toc11162529"/>
      <w:bookmarkStart w:id="308" w:name="_Toc11161042"/>
      <w:r>
        <w:rPr>
          <w:rFonts w:hint="eastAsia" w:ascii="宋体" w:hAnsi="宋体" w:eastAsia="宋体" w:cs="宋体"/>
          <w:color w:val="auto"/>
          <w:sz w:val="24"/>
          <w:szCs w:val="24"/>
          <w:highlight w:val="none"/>
        </w:rPr>
        <w:t>第二章 供应商须知及前附表；</w:t>
      </w:r>
      <w:bookmarkEnd w:id="305"/>
      <w:bookmarkEnd w:id="306"/>
      <w:bookmarkEnd w:id="307"/>
      <w:bookmarkEnd w:id="308"/>
    </w:p>
    <w:p>
      <w:pPr>
        <w:spacing w:line="360" w:lineRule="auto"/>
        <w:rPr>
          <w:rFonts w:hint="eastAsia" w:ascii="宋体" w:hAnsi="宋体" w:eastAsia="宋体" w:cs="宋体"/>
          <w:color w:val="auto"/>
          <w:sz w:val="24"/>
          <w:szCs w:val="24"/>
          <w:highlight w:val="none"/>
        </w:rPr>
      </w:pPr>
      <w:bookmarkStart w:id="309" w:name="_Toc11162530"/>
      <w:bookmarkStart w:id="310" w:name="_Toc11161043"/>
      <w:bookmarkStart w:id="311" w:name="_Toc11161342"/>
      <w:bookmarkStart w:id="312" w:name="_Toc11162047"/>
      <w:r>
        <w:rPr>
          <w:rFonts w:hint="eastAsia" w:ascii="宋体" w:hAnsi="宋体" w:eastAsia="宋体" w:cs="宋体"/>
          <w:color w:val="auto"/>
          <w:sz w:val="24"/>
          <w:szCs w:val="24"/>
          <w:highlight w:val="none"/>
        </w:rPr>
        <w:t>第三章 评审办法；</w:t>
      </w:r>
      <w:bookmarkEnd w:id="309"/>
      <w:bookmarkEnd w:id="310"/>
      <w:bookmarkEnd w:id="311"/>
      <w:bookmarkEnd w:id="312"/>
    </w:p>
    <w:p>
      <w:pPr>
        <w:spacing w:line="360" w:lineRule="auto"/>
        <w:rPr>
          <w:rFonts w:hint="eastAsia" w:ascii="宋体" w:hAnsi="宋体" w:eastAsia="宋体" w:cs="宋体"/>
          <w:color w:val="auto"/>
          <w:sz w:val="24"/>
          <w:szCs w:val="24"/>
          <w:highlight w:val="none"/>
        </w:rPr>
      </w:pPr>
      <w:bookmarkStart w:id="313" w:name="_Toc11162048"/>
      <w:bookmarkStart w:id="314" w:name="_Toc11161343"/>
      <w:bookmarkStart w:id="315" w:name="_Toc11162531"/>
      <w:bookmarkStart w:id="316" w:name="_Toc11161044"/>
      <w:r>
        <w:rPr>
          <w:rFonts w:hint="eastAsia" w:ascii="宋体" w:hAnsi="宋体" w:eastAsia="宋体" w:cs="宋体"/>
          <w:color w:val="auto"/>
          <w:sz w:val="24"/>
          <w:szCs w:val="24"/>
          <w:highlight w:val="none"/>
        </w:rPr>
        <w:t>第四章 合同条款及合同文件格式；</w:t>
      </w:r>
      <w:bookmarkEnd w:id="313"/>
      <w:bookmarkEnd w:id="314"/>
      <w:bookmarkEnd w:id="315"/>
      <w:bookmarkEnd w:id="316"/>
    </w:p>
    <w:p>
      <w:pPr>
        <w:spacing w:line="360" w:lineRule="auto"/>
        <w:rPr>
          <w:rFonts w:hint="eastAsia" w:ascii="宋体" w:hAnsi="宋体" w:eastAsia="宋体" w:cs="宋体"/>
          <w:color w:val="auto"/>
          <w:sz w:val="24"/>
          <w:szCs w:val="24"/>
          <w:highlight w:val="none"/>
        </w:rPr>
      </w:pPr>
      <w:bookmarkStart w:id="317" w:name="_Toc11161045"/>
      <w:bookmarkStart w:id="318" w:name="_Toc11161344"/>
      <w:bookmarkStart w:id="319" w:name="_Toc11162532"/>
      <w:bookmarkStart w:id="320" w:name="_Toc11162049"/>
      <w:r>
        <w:rPr>
          <w:rFonts w:hint="eastAsia" w:ascii="宋体" w:hAnsi="宋体" w:eastAsia="宋体" w:cs="宋体"/>
          <w:color w:val="auto"/>
          <w:sz w:val="24"/>
          <w:szCs w:val="24"/>
          <w:highlight w:val="none"/>
        </w:rPr>
        <w:t>第五章 工程量清单；</w:t>
      </w:r>
      <w:bookmarkEnd w:id="317"/>
      <w:bookmarkEnd w:id="318"/>
      <w:bookmarkEnd w:id="319"/>
      <w:bookmarkEnd w:id="320"/>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图纸</w:t>
      </w:r>
    </w:p>
    <w:p>
      <w:pPr>
        <w:spacing w:line="360" w:lineRule="auto"/>
        <w:rPr>
          <w:rFonts w:hint="eastAsia" w:ascii="宋体" w:hAnsi="宋体" w:eastAsia="宋体" w:cs="宋体"/>
          <w:color w:val="auto"/>
          <w:sz w:val="24"/>
          <w:szCs w:val="24"/>
          <w:highlight w:val="none"/>
        </w:rPr>
      </w:pPr>
      <w:bookmarkStart w:id="321" w:name="_Toc11161047"/>
      <w:bookmarkStart w:id="322" w:name="_Toc11162534"/>
      <w:bookmarkStart w:id="323" w:name="_Toc11162051"/>
      <w:bookmarkStart w:id="324" w:name="_Toc11161346"/>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工程内容及商务要求</w:t>
      </w:r>
      <w:r>
        <w:rPr>
          <w:rFonts w:hint="eastAsia" w:ascii="宋体" w:hAnsi="宋体" w:eastAsia="宋体" w:cs="宋体"/>
          <w:color w:val="auto"/>
          <w:sz w:val="24"/>
          <w:szCs w:val="24"/>
          <w:highlight w:val="none"/>
        </w:rPr>
        <w:t>；</w:t>
      </w:r>
      <w:bookmarkEnd w:id="321"/>
      <w:bookmarkEnd w:id="322"/>
      <w:bookmarkEnd w:id="323"/>
      <w:bookmarkEnd w:id="324"/>
    </w:p>
    <w:p>
      <w:pPr>
        <w:spacing w:line="360" w:lineRule="auto"/>
        <w:rPr>
          <w:rFonts w:hint="eastAsia" w:ascii="宋体" w:hAnsi="宋体" w:eastAsia="宋体" w:cs="宋体"/>
          <w:color w:val="auto"/>
          <w:sz w:val="24"/>
          <w:szCs w:val="24"/>
          <w:highlight w:val="none"/>
        </w:rPr>
      </w:pPr>
      <w:bookmarkStart w:id="325" w:name="_Toc11162052"/>
      <w:bookmarkStart w:id="326" w:name="_Toc11161048"/>
      <w:bookmarkStart w:id="327" w:name="_Toc11161347"/>
      <w:bookmarkStart w:id="328" w:name="_Toc11162535"/>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章 磋商响应文件格式。</w:t>
      </w:r>
      <w:bookmarkEnd w:id="325"/>
      <w:bookmarkEnd w:id="326"/>
      <w:bookmarkEnd w:id="327"/>
      <w:bookmarkEnd w:id="328"/>
    </w:p>
    <w:p>
      <w:pPr>
        <w:spacing w:line="360" w:lineRule="auto"/>
        <w:rPr>
          <w:rFonts w:hint="eastAsia" w:ascii="宋体" w:hAnsi="宋体" w:eastAsia="宋体" w:cs="宋体"/>
          <w:color w:val="auto"/>
          <w:sz w:val="24"/>
          <w:szCs w:val="24"/>
          <w:highlight w:val="none"/>
        </w:rPr>
      </w:pPr>
      <w:bookmarkStart w:id="329" w:name="_Toc11161049"/>
      <w:bookmarkStart w:id="330" w:name="_Toc11162536"/>
      <w:bookmarkStart w:id="331" w:name="_Toc11161348"/>
      <w:bookmarkStart w:id="332" w:name="_Toc11162053"/>
      <w:r>
        <w:rPr>
          <w:rFonts w:hint="eastAsia" w:ascii="宋体" w:hAnsi="宋体" w:eastAsia="宋体" w:cs="宋体"/>
          <w:color w:val="auto"/>
          <w:sz w:val="24"/>
          <w:szCs w:val="24"/>
          <w:highlight w:val="none"/>
        </w:rPr>
        <w:t>根据本章第1.10款、第2.2款和第2.3款对竞争性磋商文件所作的澄清、修改，构成竞争性磋商文件的组成部分。</w:t>
      </w:r>
      <w:bookmarkEnd w:id="329"/>
      <w:bookmarkEnd w:id="330"/>
      <w:bookmarkEnd w:id="331"/>
      <w:bookmarkEnd w:id="332"/>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发标时，随竞争性磋商文件一并发给各供应商本项目的“工程量清单电子版（如有）”。其中采购人提供的清单数量及暂定价材料、设备及相关资料已在相应表中锁定。各供应商应无条件的使用磋商响应文件电子版，及时检查</w:t>
      </w:r>
      <w:r>
        <w:rPr>
          <w:rFonts w:hint="eastAsia" w:ascii="宋体" w:hAnsi="宋体" w:cs="宋体"/>
          <w:color w:val="auto"/>
          <w:sz w:val="24"/>
          <w:szCs w:val="24"/>
          <w:highlight w:val="none"/>
          <w:lang w:val="en-US" w:eastAsia="zh-CN"/>
        </w:rPr>
        <w:t>U盘</w:t>
      </w:r>
      <w:r>
        <w:rPr>
          <w:rFonts w:hint="eastAsia" w:ascii="宋体" w:hAnsi="宋体" w:eastAsia="宋体" w:cs="宋体"/>
          <w:color w:val="auto"/>
          <w:sz w:val="24"/>
          <w:szCs w:val="24"/>
          <w:highlight w:val="none"/>
        </w:rPr>
        <w:t>是否可用，并承担不利后果。不得对工程量、原表格形式进行增删、隐藏等改动，如改动，即为废标。</w:t>
      </w:r>
    </w:p>
    <w:p>
      <w:pPr>
        <w:spacing w:line="360" w:lineRule="auto"/>
        <w:rPr>
          <w:rFonts w:hint="eastAsia" w:ascii="宋体" w:hAnsi="宋体" w:eastAsia="宋体" w:cs="宋体"/>
          <w:color w:val="auto"/>
          <w:sz w:val="24"/>
          <w:szCs w:val="24"/>
          <w:highlight w:val="none"/>
        </w:rPr>
      </w:pPr>
      <w:bookmarkStart w:id="333" w:name="_Toc11162054"/>
      <w:bookmarkStart w:id="334" w:name="_Toc11161349"/>
      <w:bookmarkStart w:id="335" w:name="_Toc11161050"/>
      <w:bookmarkStart w:id="336" w:name="_Toc11162537"/>
      <w:r>
        <w:rPr>
          <w:rFonts w:hint="eastAsia" w:ascii="宋体" w:hAnsi="宋体" w:eastAsia="宋体" w:cs="宋体"/>
          <w:color w:val="auto"/>
          <w:sz w:val="24"/>
          <w:szCs w:val="24"/>
          <w:highlight w:val="none"/>
        </w:rPr>
        <w:t>2.1.3供应商应及时购买并获取竞争性磋商文件，否则引起的一切后果由供应商自负。</w:t>
      </w:r>
      <w:bookmarkEnd w:id="333"/>
      <w:bookmarkEnd w:id="334"/>
      <w:bookmarkEnd w:id="335"/>
      <w:bookmarkEnd w:id="336"/>
    </w:p>
    <w:p>
      <w:pPr>
        <w:spacing w:line="360" w:lineRule="auto"/>
        <w:rPr>
          <w:rFonts w:hint="eastAsia" w:ascii="宋体" w:hAnsi="宋体" w:eastAsia="宋体" w:cs="宋体"/>
          <w:color w:val="auto"/>
          <w:sz w:val="24"/>
          <w:szCs w:val="24"/>
          <w:highlight w:val="none"/>
        </w:rPr>
      </w:pPr>
      <w:bookmarkStart w:id="337" w:name="_Toc152042320"/>
      <w:bookmarkStart w:id="338" w:name="_Toc144974512"/>
      <w:bookmarkStart w:id="339" w:name="_Toc11162055"/>
      <w:bookmarkStart w:id="340" w:name="_Toc11162538"/>
      <w:bookmarkStart w:id="341" w:name="_Toc152045544"/>
      <w:bookmarkStart w:id="342" w:name="_Toc11161051"/>
      <w:bookmarkStart w:id="343" w:name="_Toc179632562"/>
      <w:bookmarkStart w:id="344" w:name="_Toc11161350"/>
      <w:r>
        <w:rPr>
          <w:rFonts w:hint="eastAsia" w:ascii="宋体" w:hAnsi="宋体" w:eastAsia="宋体" w:cs="宋体"/>
          <w:color w:val="auto"/>
          <w:sz w:val="24"/>
          <w:szCs w:val="24"/>
          <w:highlight w:val="none"/>
        </w:rPr>
        <w:t>2.2 竞争性磋商文件的澄清</w:t>
      </w:r>
      <w:bookmarkEnd w:id="337"/>
      <w:bookmarkEnd w:id="338"/>
      <w:bookmarkEnd w:id="339"/>
      <w:bookmarkEnd w:id="340"/>
      <w:bookmarkEnd w:id="341"/>
      <w:bookmarkEnd w:id="342"/>
      <w:bookmarkEnd w:id="343"/>
      <w:bookmarkEnd w:id="344"/>
    </w:p>
    <w:p>
      <w:pPr>
        <w:spacing w:line="360" w:lineRule="auto"/>
        <w:rPr>
          <w:rFonts w:hint="eastAsia" w:ascii="宋体" w:hAnsi="宋体" w:eastAsia="宋体" w:cs="宋体"/>
          <w:color w:val="auto"/>
          <w:sz w:val="24"/>
          <w:szCs w:val="24"/>
          <w:highlight w:val="none"/>
        </w:rPr>
      </w:pPr>
      <w:bookmarkStart w:id="345" w:name="_Toc11161351"/>
      <w:bookmarkStart w:id="346" w:name="_Toc11161052"/>
      <w:bookmarkStart w:id="347" w:name="_Toc11162539"/>
      <w:bookmarkStart w:id="348" w:name="_Toc11162056"/>
      <w:r>
        <w:rPr>
          <w:rFonts w:hint="eastAsia" w:ascii="宋体" w:hAnsi="宋体" w:eastAsia="宋体" w:cs="宋体"/>
          <w:color w:val="auto"/>
          <w:sz w:val="24"/>
          <w:szCs w:val="24"/>
          <w:highlight w:val="none"/>
        </w:rPr>
        <w:t>2.2.1供应商应仔细阅读和检查竞争性磋商文件的全部内容。如发现缺页或附件不全，应及时向采购人提出，以便补齐。如有疑问，按照前附表要求向采购人提出疑问，要求采购人对竞争性磋商文件予以澄清。</w:t>
      </w:r>
      <w:bookmarkEnd w:id="345"/>
      <w:bookmarkEnd w:id="346"/>
      <w:bookmarkEnd w:id="347"/>
      <w:bookmarkEnd w:id="348"/>
    </w:p>
    <w:p>
      <w:pPr>
        <w:spacing w:line="360" w:lineRule="auto"/>
        <w:rPr>
          <w:rFonts w:hint="eastAsia" w:ascii="宋体" w:hAnsi="宋体" w:eastAsia="宋体" w:cs="宋体"/>
          <w:color w:val="auto"/>
          <w:sz w:val="24"/>
          <w:szCs w:val="24"/>
          <w:highlight w:val="none"/>
        </w:rPr>
      </w:pPr>
      <w:bookmarkStart w:id="349" w:name="_Toc11162540"/>
      <w:bookmarkStart w:id="350" w:name="_Toc11161053"/>
      <w:bookmarkStart w:id="351" w:name="_Toc11161352"/>
      <w:bookmarkStart w:id="352" w:name="_Toc11162057"/>
      <w:r>
        <w:rPr>
          <w:rFonts w:hint="eastAsia" w:ascii="宋体" w:hAnsi="宋体" w:eastAsia="宋体" w:cs="宋体"/>
          <w:color w:val="auto"/>
          <w:sz w:val="24"/>
          <w:szCs w:val="24"/>
          <w:highlight w:val="none"/>
        </w:rPr>
        <w:t>2.2.2 竞争性磋商文件的澄清按照相关法律法规规定的时间回复，但不指明澄清问题的来源。</w:t>
      </w:r>
      <w:bookmarkEnd w:id="349"/>
      <w:bookmarkEnd w:id="350"/>
      <w:bookmarkEnd w:id="351"/>
      <w:bookmarkEnd w:id="352"/>
    </w:p>
    <w:p>
      <w:pPr>
        <w:spacing w:line="360" w:lineRule="auto"/>
        <w:rPr>
          <w:rFonts w:hint="eastAsia" w:ascii="宋体" w:hAnsi="宋体" w:eastAsia="宋体" w:cs="宋体"/>
          <w:color w:val="auto"/>
          <w:sz w:val="24"/>
          <w:szCs w:val="24"/>
          <w:highlight w:val="none"/>
        </w:rPr>
      </w:pPr>
      <w:bookmarkStart w:id="353" w:name="_Toc11161353"/>
      <w:bookmarkStart w:id="354" w:name="_Toc11162058"/>
      <w:bookmarkStart w:id="355" w:name="_Toc11162541"/>
      <w:bookmarkStart w:id="356" w:name="_Toc11161054"/>
      <w:r>
        <w:rPr>
          <w:rFonts w:hint="eastAsia" w:ascii="宋体" w:hAnsi="宋体" w:eastAsia="宋体" w:cs="宋体"/>
          <w:color w:val="auto"/>
          <w:sz w:val="24"/>
          <w:szCs w:val="24"/>
          <w:highlight w:val="none"/>
        </w:rPr>
        <w:t>2.2.3 供应商应及时领取并获取澄清和修改后的竞争性磋商文件，未按澄清和修改后的竞争性磋商文件编制的磋商响应文件有可能被磋商小组否决。</w:t>
      </w:r>
      <w:bookmarkEnd w:id="353"/>
      <w:bookmarkEnd w:id="354"/>
      <w:bookmarkEnd w:id="355"/>
      <w:bookmarkEnd w:id="356"/>
    </w:p>
    <w:p>
      <w:pPr>
        <w:spacing w:line="360" w:lineRule="auto"/>
        <w:rPr>
          <w:rFonts w:hint="eastAsia" w:ascii="宋体" w:hAnsi="宋体" w:eastAsia="宋体" w:cs="宋体"/>
          <w:color w:val="auto"/>
          <w:sz w:val="24"/>
          <w:szCs w:val="24"/>
          <w:highlight w:val="none"/>
        </w:rPr>
      </w:pPr>
      <w:bookmarkStart w:id="357" w:name="_Toc11161354"/>
      <w:bookmarkStart w:id="358" w:name="_Toc144974513"/>
      <w:bookmarkStart w:id="359" w:name="_Toc152045545"/>
      <w:bookmarkStart w:id="360" w:name="_Toc11162542"/>
      <w:bookmarkStart w:id="361" w:name="_Toc11162059"/>
      <w:bookmarkStart w:id="362" w:name="_Toc152042321"/>
      <w:bookmarkStart w:id="363" w:name="_Toc179632563"/>
      <w:bookmarkStart w:id="364" w:name="_Toc11161055"/>
      <w:r>
        <w:rPr>
          <w:rFonts w:hint="eastAsia" w:ascii="宋体" w:hAnsi="宋体" w:eastAsia="宋体" w:cs="宋体"/>
          <w:color w:val="auto"/>
          <w:sz w:val="24"/>
          <w:szCs w:val="24"/>
          <w:highlight w:val="none"/>
        </w:rPr>
        <w:t>2.3 竞争性磋商文件的修改</w:t>
      </w:r>
      <w:bookmarkEnd w:id="357"/>
      <w:bookmarkEnd w:id="358"/>
      <w:bookmarkEnd w:id="359"/>
      <w:bookmarkEnd w:id="360"/>
      <w:bookmarkEnd w:id="361"/>
      <w:bookmarkEnd w:id="362"/>
      <w:bookmarkEnd w:id="363"/>
      <w:bookmarkEnd w:id="364"/>
    </w:p>
    <w:p>
      <w:pPr>
        <w:spacing w:line="360" w:lineRule="auto"/>
        <w:rPr>
          <w:rFonts w:hint="eastAsia" w:ascii="宋体" w:hAnsi="宋体" w:eastAsia="宋体" w:cs="宋体"/>
          <w:color w:val="auto"/>
          <w:sz w:val="24"/>
          <w:szCs w:val="24"/>
          <w:highlight w:val="none"/>
        </w:rPr>
      </w:pPr>
      <w:bookmarkStart w:id="365" w:name="_Toc11162060"/>
      <w:bookmarkStart w:id="366" w:name="_Toc11162543"/>
      <w:bookmarkStart w:id="367" w:name="_Toc11161355"/>
      <w:bookmarkStart w:id="368" w:name="_Toc11161056"/>
      <w:r>
        <w:rPr>
          <w:rFonts w:hint="eastAsia" w:ascii="宋体" w:hAnsi="宋体" w:eastAsia="宋体" w:cs="宋体"/>
          <w:color w:val="auto"/>
          <w:sz w:val="24"/>
          <w:szCs w:val="24"/>
          <w:highlight w:val="none"/>
        </w:rPr>
        <w:t>2.3.1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应当在提交首次响应文件截止时间至少</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日前，以书面形式通知所有获取竞争性磋商文件的供应商；不足</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日的，采购人、采购代理机构应当顺延提交首次响应文件截止时间。</w:t>
      </w:r>
      <w:bookmarkEnd w:id="365"/>
      <w:bookmarkEnd w:id="366"/>
      <w:bookmarkEnd w:id="367"/>
      <w:bookmarkEnd w:id="368"/>
    </w:p>
    <w:p>
      <w:pPr>
        <w:spacing w:line="360" w:lineRule="auto"/>
        <w:rPr>
          <w:rFonts w:hint="eastAsia" w:ascii="宋体" w:hAnsi="宋体" w:eastAsia="宋体" w:cs="宋体"/>
          <w:color w:val="auto"/>
          <w:sz w:val="24"/>
          <w:szCs w:val="24"/>
          <w:highlight w:val="none"/>
        </w:rPr>
      </w:pPr>
      <w:bookmarkStart w:id="369" w:name="_Toc11162061"/>
      <w:bookmarkStart w:id="370" w:name="_Toc11162544"/>
      <w:bookmarkStart w:id="371" w:name="_Toc11161356"/>
      <w:bookmarkStart w:id="372" w:name="_Toc11161057"/>
      <w:r>
        <w:rPr>
          <w:rFonts w:hint="eastAsia" w:ascii="宋体" w:hAnsi="宋体" w:eastAsia="宋体" w:cs="宋体"/>
          <w:color w:val="auto"/>
          <w:sz w:val="24"/>
          <w:szCs w:val="24"/>
          <w:highlight w:val="none"/>
        </w:rPr>
        <w:t>2.3.2 供应商应及时登录相应网站查看本项目的采购变更信息，否则引起的一切后果由供应商自负。</w:t>
      </w:r>
      <w:bookmarkEnd w:id="369"/>
      <w:bookmarkEnd w:id="370"/>
      <w:bookmarkEnd w:id="371"/>
      <w:bookmarkEnd w:id="372"/>
    </w:p>
    <w:p>
      <w:pPr>
        <w:spacing w:line="360" w:lineRule="auto"/>
        <w:rPr>
          <w:rFonts w:hint="eastAsia" w:ascii="宋体" w:hAnsi="宋体" w:eastAsia="宋体" w:cs="宋体"/>
          <w:color w:val="auto"/>
          <w:sz w:val="24"/>
          <w:szCs w:val="24"/>
          <w:highlight w:val="none"/>
        </w:rPr>
      </w:pPr>
      <w:bookmarkStart w:id="373" w:name="_Toc11161058"/>
      <w:bookmarkStart w:id="374" w:name="_Toc11162062"/>
      <w:bookmarkStart w:id="375" w:name="_Toc11162545"/>
      <w:bookmarkStart w:id="376" w:name="_Toc11161357"/>
      <w:r>
        <w:rPr>
          <w:rFonts w:hint="eastAsia" w:ascii="宋体" w:hAnsi="宋体" w:eastAsia="宋体" w:cs="宋体"/>
          <w:color w:val="auto"/>
          <w:sz w:val="24"/>
          <w:szCs w:val="24"/>
          <w:highlight w:val="none"/>
        </w:rPr>
        <w:t>2.3.3 竞争性磋商文件、竞争性磋商文件澄清（答疑）纪要、竞争性磋商文件修改（补充）文件等内容均以发布的为准。当竞争性磋商文件、竞争性磋商文件澄清（答疑）纪要、竞争性磋商文件修改（补充）文件在同一内容的表述上不一致时，以时间在后的为准。</w:t>
      </w:r>
      <w:bookmarkEnd w:id="373"/>
      <w:bookmarkEnd w:id="374"/>
      <w:bookmarkEnd w:id="375"/>
      <w:bookmarkEnd w:id="376"/>
    </w:p>
    <w:p>
      <w:pPr>
        <w:spacing w:line="360" w:lineRule="auto"/>
        <w:rPr>
          <w:rFonts w:hint="eastAsia" w:ascii="宋体" w:hAnsi="宋体" w:eastAsia="宋体" w:cs="宋体"/>
          <w:color w:val="auto"/>
          <w:sz w:val="24"/>
          <w:szCs w:val="24"/>
          <w:highlight w:val="none"/>
        </w:rPr>
      </w:pPr>
      <w:bookmarkStart w:id="377" w:name="_Toc363119280"/>
      <w:bookmarkStart w:id="378" w:name="_Toc11162063"/>
      <w:bookmarkStart w:id="379" w:name="_Toc11156040"/>
      <w:bookmarkStart w:id="380" w:name="_Toc11161059"/>
      <w:bookmarkStart w:id="381" w:name="_Toc13730"/>
      <w:bookmarkStart w:id="382" w:name="_Toc510859894"/>
      <w:bookmarkStart w:id="383" w:name="_Toc513557029"/>
      <w:bookmarkStart w:id="384" w:name="_Toc11162546"/>
      <w:bookmarkStart w:id="385" w:name="_Toc510859688"/>
      <w:bookmarkStart w:id="386" w:name="_Toc11161358"/>
      <w:r>
        <w:rPr>
          <w:rFonts w:hint="eastAsia" w:ascii="宋体" w:hAnsi="宋体" w:eastAsia="宋体" w:cs="宋体"/>
          <w:color w:val="auto"/>
          <w:sz w:val="24"/>
          <w:szCs w:val="24"/>
          <w:highlight w:val="none"/>
        </w:rPr>
        <w:t xml:space="preserve">3. </w:t>
      </w:r>
      <w:bookmarkEnd w:id="377"/>
      <w:bookmarkEnd w:id="378"/>
      <w:bookmarkEnd w:id="379"/>
      <w:bookmarkEnd w:id="380"/>
      <w:bookmarkEnd w:id="381"/>
      <w:bookmarkEnd w:id="382"/>
      <w:bookmarkEnd w:id="383"/>
      <w:bookmarkEnd w:id="384"/>
      <w:bookmarkEnd w:id="385"/>
      <w:bookmarkEnd w:id="386"/>
      <w:r>
        <w:rPr>
          <w:rFonts w:hint="eastAsia" w:ascii="宋体" w:hAnsi="宋体" w:eastAsia="宋体" w:cs="宋体"/>
          <w:color w:val="auto"/>
          <w:sz w:val="24"/>
          <w:szCs w:val="24"/>
          <w:highlight w:val="none"/>
        </w:rPr>
        <w:t>磋商响应文件</w:t>
      </w:r>
    </w:p>
    <w:p>
      <w:pPr>
        <w:spacing w:line="360" w:lineRule="auto"/>
        <w:rPr>
          <w:rFonts w:hint="eastAsia" w:ascii="宋体" w:hAnsi="宋体" w:eastAsia="宋体" w:cs="宋体"/>
          <w:color w:val="auto"/>
          <w:sz w:val="24"/>
          <w:szCs w:val="24"/>
          <w:highlight w:val="none"/>
        </w:rPr>
      </w:pPr>
      <w:bookmarkStart w:id="387" w:name="_Toc11161060"/>
      <w:bookmarkStart w:id="388" w:name="_Toc11162547"/>
      <w:bookmarkStart w:id="389" w:name="_Toc11162064"/>
      <w:bookmarkStart w:id="390" w:name="_Toc152045547"/>
      <w:bookmarkStart w:id="391" w:name="_Toc144974515"/>
      <w:bookmarkStart w:id="392" w:name="_Toc179632565"/>
      <w:bookmarkStart w:id="393" w:name="_Toc152042323"/>
      <w:bookmarkStart w:id="394" w:name="_Toc11161359"/>
      <w:r>
        <w:rPr>
          <w:rFonts w:hint="eastAsia" w:ascii="宋体" w:hAnsi="宋体" w:eastAsia="宋体" w:cs="宋体"/>
          <w:color w:val="auto"/>
          <w:sz w:val="24"/>
          <w:szCs w:val="24"/>
          <w:highlight w:val="none"/>
        </w:rPr>
        <w:t>3.1 磋商响应文件的组成</w:t>
      </w:r>
      <w:bookmarkEnd w:id="387"/>
      <w:bookmarkEnd w:id="388"/>
      <w:bookmarkEnd w:id="389"/>
      <w:bookmarkEnd w:id="390"/>
      <w:bookmarkEnd w:id="391"/>
      <w:bookmarkEnd w:id="392"/>
      <w:bookmarkEnd w:id="393"/>
      <w:bookmarkEnd w:id="394"/>
    </w:p>
    <w:p>
      <w:pPr>
        <w:spacing w:line="360" w:lineRule="auto"/>
        <w:rPr>
          <w:rFonts w:hint="eastAsia" w:ascii="宋体" w:hAnsi="宋体" w:eastAsia="宋体" w:cs="宋体"/>
          <w:color w:val="auto"/>
          <w:sz w:val="24"/>
          <w:szCs w:val="24"/>
          <w:highlight w:val="none"/>
        </w:rPr>
      </w:pPr>
      <w:bookmarkStart w:id="395" w:name="_Toc11161061"/>
      <w:bookmarkStart w:id="396" w:name="_Toc11162548"/>
      <w:bookmarkStart w:id="397" w:name="_Toc11161360"/>
      <w:bookmarkStart w:id="398" w:name="_Toc11162065"/>
      <w:r>
        <w:rPr>
          <w:rFonts w:hint="eastAsia" w:ascii="宋体" w:hAnsi="宋体" w:eastAsia="宋体" w:cs="宋体"/>
          <w:color w:val="auto"/>
          <w:sz w:val="24"/>
          <w:szCs w:val="24"/>
          <w:highlight w:val="none"/>
        </w:rPr>
        <w:t>磋商响应文件由资格审查部分、技术部分、商务部分组成。</w:t>
      </w:r>
      <w:bookmarkEnd w:id="395"/>
      <w:bookmarkEnd w:id="396"/>
      <w:bookmarkEnd w:id="397"/>
      <w:bookmarkEnd w:id="398"/>
    </w:p>
    <w:p>
      <w:pPr>
        <w:spacing w:line="360" w:lineRule="auto"/>
        <w:rPr>
          <w:rFonts w:hint="eastAsia" w:ascii="宋体" w:hAnsi="宋体" w:eastAsia="宋体" w:cs="宋体"/>
          <w:color w:val="auto"/>
          <w:sz w:val="24"/>
          <w:szCs w:val="24"/>
          <w:highlight w:val="none"/>
        </w:rPr>
      </w:pPr>
      <w:bookmarkStart w:id="399" w:name="_Toc11161375"/>
      <w:bookmarkStart w:id="400" w:name="_Toc11162563"/>
      <w:bookmarkStart w:id="401" w:name="_Toc11161076"/>
      <w:bookmarkStart w:id="402" w:name="_Toc11162080"/>
      <w:bookmarkStart w:id="403" w:name="_Toc11161062"/>
      <w:bookmarkStart w:id="404" w:name="_Toc11162066"/>
      <w:bookmarkStart w:id="405" w:name="_Toc11162549"/>
      <w:bookmarkStart w:id="406" w:name="_Toc11161361"/>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资格审查部分主要包括下列内容：</w:t>
      </w:r>
      <w:bookmarkEnd w:id="399"/>
      <w:bookmarkEnd w:id="400"/>
      <w:bookmarkEnd w:id="401"/>
      <w:bookmarkEnd w:id="402"/>
    </w:p>
    <w:p>
      <w:pPr>
        <w:spacing w:line="360" w:lineRule="auto"/>
        <w:rPr>
          <w:rFonts w:hint="eastAsia" w:ascii="宋体" w:hAnsi="宋体" w:eastAsia="宋体" w:cs="宋体"/>
          <w:color w:val="auto"/>
          <w:sz w:val="24"/>
          <w:szCs w:val="24"/>
          <w:highlight w:val="none"/>
        </w:rPr>
      </w:pPr>
      <w:bookmarkStart w:id="407" w:name="_Toc11162564"/>
      <w:bookmarkStart w:id="408" w:name="_Toc11161376"/>
      <w:bookmarkStart w:id="409" w:name="_Toc11162081"/>
      <w:bookmarkStart w:id="410" w:name="_Toc1116107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法定代表人身份证明及附有法定代表人身份证明的授权委托书</w:t>
      </w:r>
      <w:bookmarkEnd w:id="407"/>
      <w:bookmarkEnd w:id="408"/>
      <w:bookmarkEnd w:id="409"/>
      <w:bookmarkEnd w:id="410"/>
    </w:p>
    <w:p>
      <w:pPr>
        <w:spacing w:line="360" w:lineRule="auto"/>
        <w:rPr>
          <w:rFonts w:hint="eastAsia" w:ascii="宋体" w:hAnsi="宋体" w:eastAsia="宋体" w:cs="宋体"/>
          <w:color w:val="auto"/>
          <w:sz w:val="24"/>
          <w:szCs w:val="24"/>
          <w:highlight w:val="none"/>
        </w:rPr>
      </w:pPr>
      <w:bookmarkStart w:id="411" w:name="_Toc11161078"/>
      <w:bookmarkStart w:id="412" w:name="_Toc11162082"/>
      <w:bookmarkStart w:id="413" w:name="_Toc11161377"/>
      <w:bookmarkStart w:id="414" w:name="_Toc11162565"/>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资格审查资料</w:t>
      </w:r>
      <w:bookmarkEnd w:id="411"/>
      <w:bookmarkEnd w:id="412"/>
      <w:bookmarkEnd w:id="413"/>
      <w:bookmarkEnd w:id="414"/>
    </w:p>
    <w:p>
      <w:pPr>
        <w:spacing w:line="360" w:lineRule="auto"/>
        <w:rPr>
          <w:rFonts w:hint="eastAsia" w:ascii="宋体" w:hAnsi="宋体" w:eastAsia="宋体" w:cs="宋体"/>
          <w:color w:val="auto"/>
          <w:sz w:val="24"/>
          <w:szCs w:val="24"/>
          <w:highlight w:val="none"/>
        </w:rPr>
      </w:pPr>
      <w:bookmarkStart w:id="415" w:name="_Toc11161378"/>
      <w:bookmarkStart w:id="416" w:name="_Toc11162083"/>
      <w:bookmarkStart w:id="417" w:name="_Toc11161079"/>
      <w:bookmarkStart w:id="418" w:name="_Toc11162566"/>
      <w:r>
        <w:rPr>
          <w:rFonts w:hint="eastAsia" w:ascii="宋体" w:hAnsi="宋体" w:eastAsia="宋体" w:cs="宋体"/>
          <w:color w:val="auto"/>
          <w:sz w:val="24"/>
          <w:szCs w:val="24"/>
          <w:highlight w:val="none"/>
        </w:rPr>
        <w:t>（1）供应商基本情况表</w:t>
      </w:r>
      <w:bookmarkEnd w:id="415"/>
      <w:bookmarkEnd w:id="416"/>
      <w:bookmarkEnd w:id="417"/>
      <w:bookmarkEnd w:id="418"/>
    </w:p>
    <w:p>
      <w:pPr>
        <w:spacing w:line="360" w:lineRule="auto"/>
        <w:rPr>
          <w:rFonts w:hint="eastAsia" w:ascii="宋体" w:hAnsi="宋体" w:eastAsia="宋体" w:cs="宋体"/>
          <w:color w:val="auto"/>
          <w:sz w:val="24"/>
          <w:szCs w:val="24"/>
          <w:highlight w:val="none"/>
        </w:rPr>
      </w:pPr>
      <w:bookmarkStart w:id="419" w:name="_Toc11161080"/>
      <w:bookmarkStart w:id="420" w:name="_Toc11162084"/>
      <w:bookmarkStart w:id="421" w:name="_Toc11161379"/>
      <w:bookmarkStart w:id="422" w:name="_Toc11162567"/>
      <w:r>
        <w:rPr>
          <w:rFonts w:hint="eastAsia" w:ascii="宋体" w:hAnsi="宋体" w:eastAsia="宋体" w:cs="宋体"/>
          <w:color w:val="auto"/>
          <w:sz w:val="24"/>
          <w:szCs w:val="24"/>
          <w:highlight w:val="none"/>
        </w:rPr>
        <w:t>（2）</w:t>
      </w:r>
      <w:bookmarkEnd w:id="419"/>
      <w:bookmarkEnd w:id="420"/>
      <w:bookmarkEnd w:id="421"/>
      <w:bookmarkEnd w:id="422"/>
      <w:r>
        <w:rPr>
          <w:rFonts w:hint="eastAsia" w:ascii="宋体" w:hAnsi="宋体" w:eastAsia="宋体" w:cs="宋体"/>
          <w:color w:val="auto"/>
          <w:sz w:val="24"/>
          <w:szCs w:val="24"/>
          <w:highlight w:val="none"/>
        </w:rPr>
        <w:t>承诺函</w:t>
      </w:r>
    </w:p>
    <w:p>
      <w:pPr>
        <w:spacing w:line="360" w:lineRule="auto"/>
        <w:rPr>
          <w:rFonts w:hint="default" w:ascii="宋体" w:hAnsi="宋体" w:eastAsia="宋体" w:cs="宋体"/>
          <w:color w:val="auto"/>
          <w:sz w:val="24"/>
          <w:szCs w:val="24"/>
          <w:highlight w:val="none"/>
          <w:lang w:val="en-US" w:eastAsia="zh-CN"/>
        </w:rPr>
      </w:pPr>
      <w:bookmarkStart w:id="423" w:name="_Toc11161081"/>
      <w:bookmarkStart w:id="424" w:name="_Toc11161380"/>
      <w:bookmarkStart w:id="425" w:name="_Toc11162568"/>
      <w:bookmarkStart w:id="426" w:name="_Toc11162085"/>
      <w:r>
        <w:rPr>
          <w:rFonts w:hint="eastAsia" w:ascii="宋体" w:hAnsi="宋体" w:eastAsia="宋体" w:cs="宋体"/>
          <w:color w:val="auto"/>
          <w:sz w:val="24"/>
          <w:szCs w:val="24"/>
          <w:highlight w:val="none"/>
        </w:rPr>
        <w:t>（3）</w:t>
      </w:r>
      <w:bookmarkEnd w:id="423"/>
      <w:bookmarkEnd w:id="424"/>
      <w:bookmarkEnd w:id="425"/>
      <w:bookmarkEnd w:id="426"/>
      <w:r>
        <w:rPr>
          <w:rFonts w:hint="eastAsia" w:ascii="宋体" w:hAnsi="宋体" w:cs="宋体"/>
          <w:color w:val="auto"/>
          <w:sz w:val="24"/>
          <w:szCs w:val="24"/>
          <w:highlight w:val="none"/>
          <w:lang w:val="en-US" w:eastAsia="zh-CN"/>
        </w:rPr>
        <w:t>项目经理简历表</w:t>
      </w:r>
    </w:p>
    <w:p>
      <w:pPr>
        <w:spacing w:line="360" w:lineRule="auto"/>
        <w:rPr>
          <w:rFonts w:hint="default" w:ascii="宋体" w:hAnsi="宋体" w:eastAsia="宋体" w:cs="宋体"/>
          <w:color w:val="auto"/>
          <w:sz w:val="24"/>
          <w:szCs w:val="24"/>
          <w:highlight w:val="none"/>
          <w:lang w:val="en-US" w:eastAsia="zh-CN"/>
        </w:rPr>
      </w:pPr>
      <w:bookmarkStart w:id="427" w:name="_Toc11162570"/>
      <w:bookmarkStart w:id="428" w:name="_Toc11161083"/>
      <w:bookmarkStart w:id="429" w:name="_Toc11162087"/>
      <w:bookmarkStart w:id="430" w:name="_Toc11161382"/>
      <w:r>
        <w:rPr>
          <w:rFonts w:hint="eastAsia" w:ascii="宋体" w:hAnsi="宋体" w:eastAsia="宋体" w:cs="宋体"/>
          <w:color w:val="auto"/>
          <w:sz w:val="24"/>
          <w:szCs w:val="24"/>
          <w:highlight w:val="none"/>
        </w:rPr>
        <w:t>（4）</w:t>
      </w:r>
      <w:bookmarkEnd w:id="427"/>
      <w:bookmarkEnd w:id="428"/>
      <w:bookmarkEnd w:id="429"/>
      <w:bookmarkEnd w:id="430"/>
      <w:r>
        <w:rPr>
          <w:rFonts w:hint="eastAsia" w:ascii="宋体" w:hAnsi="宋体" w:cs="宋体"/>
          <w:color w:val="auto"/>
          <w:sz w:val="24"/>
          <w:szCs w:val="24"/>
          <w:highlight w:val="none"/>
          <w:lang w:val="en-US" w:eastAsia="zh-CN"/>
        </w:rPr>
        <w:t>财务状况报告</w:t>
      </w:r>
    </w:p>
    <w:p>
      <w:pPr>
        <w:spacing w:line="360" w:lineRule="auto"/>
        <w:rPr>
          <w:rFonts w:hint="eastAsia" w:ascii="宋体" w:hAnsi="宋体" w:cs="宋体"/>
          <w:color w:val="auto"/>
          <w:sz w:val="24"/>
          <w:szCs w:val="24"/>
          <w:highlight w:val="none"/>
          <w:lang w:val="en-US" w:eastAsia="zh-CN"/>
        </w:rPr>
      </w:pPr>
      <w:bookmarkStart w:id="431" w:name="_Toc11161084"/>
      <w:bookmarkStart w:id="432" w:name="_Toc11162088"/>
      <w:bookmarkStart w:id="433" w:name="_Toc11162571"/>
      <w:bookmarkStart w:id="434" w:name="_Toc11161383"/>
      <w:r>
        <w:rPr>
          <w:rFonts w:hint="eastAsia" w:ascii="宋体" w:hAnsi="宋体" w:eastAsia="宋体" w:cs="宋体"/>
          <w:color w:val="auto"/>
          <w:sz w:val="24"/>
          <w:szCs w:val="24"/>
          <w:highlight w:val="none"/>
        </w:rPr>
        <w:t>（5）</w:t>
      </w:r>
      <w:bookmarkEnd w:id="431"/>
      <w:bookmarkEnd w:id="432"/>
      <w:bookmarkEnd w:id="433"/>
      <w:bookmarkEnd w:id="434"/>
      <w:r>
        <w:rPr>
          <w:rFonts w:hint="eastAsia" w:ascii="宋体" w:hAnsi="宋体" w:cs="宋体"/>
          <w:color w:val="auto"/>
          <w:sz w:val="24"/>
          <w:szCs w:val="24"/>
          <w:highlight w:val="none"/>
          <w:lang w:val="en-US" w:eastAsia="zh-CN"/>
        </w:rPr>
        <w:t>税收缴纳证明</w:t>
      </w:r>
    </w:p>
    <w:p>
      <w:pPr>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（6）供应商关联关系说明</w:t>
      </w:r>
    </w:p>
    <w:p>
      <w:pPr>
        <w:spacing w:line="360" w:lineRule="auto"/>
        <w:rPr>
          <w:rFonts w:hint="eastAsia" w:ascii="宋体" w:hAnsi="宋体" w:eastAsia="宋体" w:cs="宋体"/>
          <w:color w:val="auto"/>
          <w:sz w:val="24"/>
          <w:szCs w:val="24"/>
          <w:highlight w:val="none"/>
        </w:rPr>
      </w:pPr>
      <w:bookmarkStart w:id="435" w:name="_Toc11162576"/>
      <w:bookmarkStart w:id="436" w:name="_Toc11161388"/>
      <w:bookmarkStart w:id="437" w:name="_Toc11162093"/>
      <w:bookmarkStart w:id="438" w:name="_Toc11161089"/>
      <w:r>
        <w:rPr>
          <w:rFonts w:hint="eastAsia" w:ascii="宋体" w:hAnsi="宋体" w:cs="宋体"/>
          <w:color w:val="auto"/>
          <w:sz w:val="24"/>
          <w:szCs w:val="24"/>
          <w:highlight w:val="none"/>
          <w:lang w:val="en-US" w:eastAsia="zh-CN"/>
        </w:rPr>
        <w:t>（三</w:t>
      </w:r>
      <w:bookmarkEnd w:id="435"/>
      <w:bookmarkEnd w:id="436"/>
      <w:bookmarkEnd w:id="437"/>
      <w:bookmarkEnd w:id="438"/>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中小企业声明函</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技术部分主要包括下列内容：</w:t>
      </w:r>
    </w:p>
    <w:p>
      <w:pPr>
        <w:spacing w:line="360" w:lineRule="auto"/>
        <w:rPr>
          <w:rFonts w:hint="eastAsia" w:ascii="宋体" w:hAnsi="宋体" w:eastAsia="宋体" w:cs="宋体"/>
          <w:color w:val="auto"/>
          <w:sz w:val="24"/>
          <w:szCs w:val="24"/>
          <w:highlight w:val="none"/>
        </w:rPr>
      </w:pPr>
      <w:bookmarkStart w:id="439" w:name="_Toc11162558"/>
      <w:bookmarkStart w:id="440" w:name="_Toc11161370"/>
      <w:bookmarkStart w:id="441" w:name="_Toc11162075"/>
      <w:bookmarkStart w:id="442" w:name="_Toc11161071"/>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）业绩</w:t>
      </w:r>
      <w:bookmarkEnd w:id="439"/>
      <w:bookmarkEnd w:id="440"/>
      <w:bookmarkEnd w:id="441"/>
      <w:bookmarkEnd w:id="442"/>
    </w:p>
    <w:p>
      <w:pPr>
        <w:spacing w:line="360" w:lineRule="auto"/>
        <w:rPr>
          <w:rFonts w:hint="eastAsia" w:ascii="宋体" w:hAnsi="宋体" w:eastAsia="宋体" w:cs="宋体"/>
          <w:color w:val="auto"/>
          <w:sz w:val="24"/>
          <w:szCs w:val="24"/>
          <w:highlight w:val="none"/>
          <w:lang w:val="en-US" w:eastAsia="zh-CN"/>
        </w:rPr>
      </w:pPr>
      <w:bookmarkStart w:id="443" w:name="_Toc11162560"/>
      <w:bookmarkStart w:id="444" w:name="_Toc11161073"/>
      <w:bookmarkStart w:id="445" w:name="_Toc11161372"/>
      <w:bookmarkStart w:id="446" w:name="_Toc11162077"/>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）施工组织设计</w:t>
      </w:r>
    </w:p>
    <w:p>
      <w:pPr>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其他</w:t>
      </w:r>
      <w:bookmarkEnd w:id="443"/>
      <w:bookmarkEnd w:id="444"/>
      <w:bookmarkEnd w:id="445"/>
      <w:bookmarkEnd w:id="446"/>
      <w:r>
        <w:rPr>
          <w:rFonts w:hint="eastAsia" w:ascii="宋体" w:hAnsi="宋体" w:cs="宋体"/>
          <w:color w:val="auto"/>
          <w:sz w:val="24"/>
          <w:szCs w:val="24"/>
          <w:highlight w:val="none"/>
          <w:lang w:val="en-US" w:eastAsia="zh-CN"/>
        </w:rPr>
        <w:t>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商务部分主要包括下列内容：</w:t>
      </w:r>
      <w:bookmarkEnd w:id="403"/>
      <w:bookmarkEnd w:id="404"/>
      <w:bookmarkEnd w:id="405"/>
      <w:bookmarkEnd w:id="406"/>
    </w:p>
    <w:p>
      <w:pPr>
        <w:spacing w:line="360" w:lineRule="auto"/>
        <w:rPr>
          <w:rFonts w:hint="eastAsia" w:ascii="宋体" w:hAnsi="宋体" w:eastAsia="宋体" w:cs="宋体"/>
          <w:color w:val="auto"/>
          <w:sz w:val="24"/>
          <w:szCs w:val="24"/>
          <w:highlight w:val="none"/>
        </w:rPr>
      </w:pPr>
      <w:bookmarkStart w:id="447" w:name="_Toc11162067"/>
      <w:bookmarkStart w:id="448" w:name="_Toc11162550"/>
      <w:bookmarkStart w:id="449" w:name="_Toc11161063"/>
      <w:bookmarkStart w:id="450" w:name="_Toc11161362"/>
      <w:bookmarkStart w:id="451" w:name="_Toc11161090"/>
      <w:bookmarkStart w:id="452" w:name="_Toc11162577"/>
      <w:bookmarkStart w:id="453" w:name="_Toc11162094"/>
      <w:bookmarkStart w:id="454" w:name="_Toc1116138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）竞争性磋商响应函及响应函附录</w:t>
      </w:r>
      <w:bookmarkEnd w:id="447"/>
      <w:bookmarkEnd w:id="448"/>
      <w:bookmarkEnd w:id="449"/>
      <w:bookmarkEnd w:id="450"/>
    </w:p>
    <w:p>
      <w:pPr>
        <w:spacing w:line="360" w:lineRule="auto"/>
        <w:rPr>
          <w:rFonts w:hint="eastAsia" w:ascii="宋体" w:hAnsi="宋体" w:eastAsia="宋体" w:cs="宋体"/>
          <w:color w:val="auto"/>
          <w:sz w:val="24"/>
          <w:szCs w:val="24"/>
          <w:highlight w:val="none"/>
          <w:lang w:val="en-US" w:eastAsia="zh-CN"/>
        </w:rPr>
      </w:pPr>
      <w:bookmarkStart w:id="455" w:name="_Toc11161363"/>
      <w:bookmarkStart w:id="456" w:name="_Toc11161064"/>
      <w:bookmarkStart w:id="457" w:name="_Toc11162551"/>
      <w:bookmarkStart w:id="458" w:name="_Toc11162068"/>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）已标价工程量清单</w:t>
      </w:r>
      <w:bookmarkEnd w:id="455"/>
      <w:bookmarkEnd w:id="456"/>
      <w:bookmarkEnd w:id="457"/>
      <w:bookmarkEnd w:id="458"/>
    </w:p>
    <w:p>
      <w:pPr>
        <w:spacing w:line="360" w:lineRule="auto"/>
        <w:rPr>
          <w:rFonts w:hint="eastAsia" w:ascii="宋体" w:hAnsi="宋体" w:eastAsia="宋体" w:cs="宋体"/>
          <w:color w:val="auto"/>
          <w:sz w:val="24"/>
          <w:szCs w:val="24"/>
          <w:highlight w:val="none"/>
        </w:rPr>
      </w:pPr>
      <w:bookmarkStart w:id="459" w:name="_Toc11162070"/>
      <w:bookmarkStart w:id="460" w:name="_Toc11162553"/>
      <w:bookmarkStart w:id="461" w:name="_Toc11161066"/>
      <w:bookmarkStart w:id="462" w:name="_Toc11161365"/>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bookmarkEnd w:id="459"/>
      <w:bookmarkEnd w:id="460"/>
      <w:bookmarkEnd w:id="461"/>
      <w:bookmarkEnd w:id="462"/>
      <w:bookmarkStart w:id="463" w:name="_Toc11162554"/>
      <w:bookmarkStart w:id="464" w:name="_Toc11162071"/>
      <w:bookmarkStart w:id="465" w:name="_Toc11161366"/>
      <w:bookmarkStart w:id="466" w:name="_Toc11161067"/>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材料</w:t>
      </w:r>
      <w:bookmarkEnd w:id="463"/>
      <w:bookmarkEnd w:id="464"/>
      <w:bookmarkEnd w:id="465"/>
      <w:bookmarkEnd w:id="466"/>
      <w:bookmarkStart w:id="467" w:name="_Toc11162074"/>
      <w:bookmarkStart w:id="468" w:name="_Toc11162557"/>
      <w:bookmarkStart w:id="469" w:name="_Toc11161070"/>
      <w:bookmarkStart w:id="470" w:name="_Toc11161369"/>
    </w:p>
    <w:bookmarkEnd w:id="467"/>
    <w:bookmarkEnd w:id="468"/>
    <w:bookmarkEnd w:id="469"/>
    <w:bookmarkEnd w:id="470"/>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3.1.4磋商响应文件电子标书（只适用于网上竞争性磋商项目）：</w:t>
      </w:r>
      <w:bookmarkEnd w:id="451"/>
      <w:bookmarkEnd w:id="452"/>
      <w:bookmarkEnd w:id="453"/>
      <w:bookmarkEnd w:id="454"/>
    </w:p>
    <w:p>
      <w:pPr>
        <w:spacing w:line="360" w:lineRule="auto"/>
        <w:rPr>
          <w:rFonts w:hint="eastAsia" w:ascii="宋体" w:hAnsi="宋体" w:eastAsia="宋体" w:cs="宋体"/>
          <w:color w:val="auto"/>
          <w:sz w:val="24"/>
          <w:szCs w:val="24"/>
          <w:highlight w:val="none"/>
        </w:rPr>
      </w:pPr>
      <w:bookmarkStart w:id="471" w:name="_Toc11161390"/>
      <w:bookmarkStart w:id="472" w:name="_Toc11161091"/>
      <w:bookmarkStart w:id="473" w:name="_Toc11162095"/>
      <w:bookmarkStart w:id="474" w:name="_Toc11162578"/>
      <w:r>
        <w:rPr>
          <w:rFonts w:hint="eastAsia" w:ascii="宋体" w:hAnsi="宋体" w:eastAsia="宋体" w:cs="宋体"/>
          <w:color w:val="auto"/>
          <w:sz w:val="24"/>
          <w:szCs w:val="24"/>
          <w:highlight w:val="none"/>
        </w:rPr>
        <w:t>磋商响应文件电子标书是磋商响应文件的组成部分，供应商应无条件使用竞争性磋商文件中的格式，不按统一规定填报电子磋商响应文件，造成评审软件无法判别时，将按无效磋商响应文件处理。其他见“供应商须知前附表”。</w:t>
      </w:r>
      <w:bookmarkEnd w:id="471"/>
      <w:bookmarkEnd w:id="472"/>
      <w:bookmarkEnd w:id="473"/>
      <w:bookmarkEnd w:id="474"/>
    </w:p>
    <w:p>
      <w:pPr>
        <w:spacing w:line="360" w:lineRule="auto"/>
        <w:rPr>
          <w:rFonts w:hint="eastAsia" w:ascii="宋体" w:hAnsi="宋体" w:eastAsia="宋体" w:cs="宋体"/>
          <w:color w:val="auto"/>
          <w:sz w:val="24"/>
          <w:szCs w:val="24"/>
          <w:highlight w:val="none"/>
        </w:rPr>
      </w:pPr>
      <w:bookmarkStart w:id="475" w:name="_Toc11162096"/>
      <w:bookmarkStart w:id="476" w:name="_Toc179632566"/>
      <w:bookmarkStart w:id="477" w:name="_Toc152042324"/>
      <w:bookmarkStart w:id="478" w:name="_Toc11161391"/>
      <w:bookmarkStart w:id="479" w:name="_Toc11162579"/>
      <w:bookmarkStart w:id="480" w:name="_Toc144974516"/>
      <w:bookmarkStart w:id="481" w:name="_Toc152045548"/>
      <w:bookmarkStart w:id="482" w:name="_Toc11161092"/>
      <w:r>
        <w:rPr>
          <w:rFonts w:hint="eastAsia" w:ascii="宋体" w:hAnsi="宋体" w:eastAsia="宋体" w:cs="宋体"/>
          <w:color w:val="auto"/>
          <w:sz w:val="24"/>
          <w:szCs w:val="24"/>
          <w:highlight w:val="none"/>
        </w:rPr>
        <w:t>3.2 竞争性磋商报价</w:t>
      </w:r>
      <w:bookmarkEnd w:id="475"/>
      <w:bookmarkEnd w:id="476"/>
      <w:bookmarkEnd w:id="477"/>
      <w:bookmarkEnd w:id="478"/>
      <w:bookmarkEnd w:id="479"/>
      <w:bookmarkEnd w:id="480"/>
      <w:bookmarkEnd w:id="481"/>
      <w:bookmarkEnd w:id="482"/>
    </w:p>
    <w:p>
      <w:pPr>
        <w:spacing w:line="360" w:lineRule="auto"/>
        <w:rPr>
          <w:rFonts w:hint="eastAsia" w:ascii="宋体" w:hAnsi="宋体" w:eastAsia="宋体" w:cs="宋体"/>
          <w:color w:val="auto"/>
          <w:sz w:val="24"/>
          <w:szCs w:val="24"/>
          <w:highlight w:val="none"/>
        </w:rPr>
      </w:pPr>
      <w:bookmarkStart w:id="483" w:name="_Toc11161093"/>
      <w:bookmarkStart w:id="484" w:name="_Toc11162097"/>
      <w:bookmarkStart w:id="485" w:name="_Toc11161392"/>
      <w:bookmarkStart w:id="486" w:name="_Toc11162580"/>
      <w:r>
        <w:rPr>
          <w:rFonts w:hint="eastAsia" w:ascii="宋体" w:hAnsi="宋体" w:eastAsia="宋体" w:cs="宋体"/>
          <w:color w:val="auto"/>
          <w:sz w:val="24"/>
          <w:szCs w:val="24"/>
          <w:highlight w:val="none"/>
        </w:rPr>
        <w:t>3.2.1供应商应按采购人提供的工程量清单自主报价。填写的项目编码、项目名称、项目特征、计量单位、工程量必须与采购人提供的一致。</w:t>
      </w:r>
      <w:bookmarkEnd w:id="483"/>
      <w:bookmarkEnd w:id="484"/>
      <w:bookmarkEnd w:id="485"/>
      <w:bookmarkEnd w:id="486"/>
    </w:p>
    <w:p>
      <w:pPr>
        <w:spacing w:line="360" w:lineRule="auto"/>
        <w:rPr>
          <w:rFonts w:hint="eastAsia" w:ascii="宋体" w:hAnsi="宋体" w:eastAsia="宋体" w:cs="宋体"/>
          <w:color w:val="auto"/>
          <w:sz w:val="24"/>
          <w:szCs w:val="24"/>
          <w:highlight w:val="none"/>
        </w:rPr>
      </w:pPr>
      <w:bookmarkStart w:id="487" w:name="_Toc11161094"/>
      <w:bookmarkStart w:id="488" w:name="_Toc11162098"/>
      <w:bookmarkStart w:id="489" w:name="_Toc11162581"/>
      <w:bookmarkStart w:id="490" w:name="_Toc11161393"/>
      <w:r>
        <w:rPr>
          <w:rFonts w:hint="eastAsia" w:ascii="宋体" w:hAnsi="宋体" w:eastAsia="宋体" w:cs="宋体"/>
          <w:color w:val="auto"/>
          <w:sz w:val="24"/>
          <w:szCs w:val="24"/>
          <w:highlight w:val="none"/>
        </w:rPr>
        <w:t>3.2.2供应商在竞争性磋商截止前修改竞争性磋商函中的竞争性磋商总报价，应同时修改“已标价工程量清单”中的相应报价。此修改须符合本章第4.4款的有关要求。</w:t>
      </w:r>
      <w:bookmarkEnd w:id="487"/>
      <w:bookmarkEnd w:id="488"/>
      <w:bookmarkEnd w:id="489"/>
      <w:bookmarkEnd w:id="490"/>
    </w:p>
    <w:p>
      <w:pPr>
        <w:spacing w:line="360" w:lineRule="auto"/>
        <w:rPr>
          <w:rFonts w:hint="eastAsia" w:ascii="宋体" w:hAnsi="宋体" w:eastAsia="宋体" w:cs="宋体"/>
          <w:color w:val="auto"/>
          <w:sz w:val="24"/>
          <w:szCs w:val="24"/>
          <w:highlight w:val="none"/>
        </w:rPr>
      </w:pPr>
      <w:bookmarkStart w:id="491" w:name="_Toc11161095"/>
      <w:bookmarkStart w:id="492" w:name="_Toc11162099"/>
      <w:bookmarkStart w:id="493" w:name="_Toc11162582"/>
      <w:bookmarkStart w:id="494" w:name="_Toc11161394"/>
      <w:r>
        <w:rPr>
          <w:rFonts w:hint="eastAsia" w:ascii="宋体" w:hAnsi="宋体" w:eastAsia="宋体" w:cs="宋体"/>
          <w:color w:val="auto"/>
          <w:sz w:val="24"/>
          <w:szCs w:val="24"/>
          <w:highlight w:val="none"/>
        </w:rPr>
        <w:t>3.2.3竞争性磋商报价其他要求：见供应商须知前附表。</w:t>
      </w:r>
      <w:bookmarkEnd w:id="491"/>
      <w:bookmarkEnd w:id="492"/>
      <w:bookmarkEnd w:id="493"/>
      <w:bookmarkEnd w:id="494"/>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3.2.4采购预算及最高投标限价的说明：</w:t>
      </w:r>
    </w:p>
    <w:p>
      <w:pPr>
        <w:spacing w:line="360" w:lineRule="auto"/>
        <w:rPr>
          <w:rFonts w:hint="eastAsia" w:ascii="宋体" w:hAnsi="宋体" w:eastAsia="宋体" w:cs="宋体"/>
          <w:color w:val="auto"/>
          <w:sz w:val="24"/>
          <w:szCs w:val="24"/>
          <w:highlight w:val="none"/>
        </w:rPr>
      </w:pPr>
      <w:bookmarkStart w:id="495" w:name="_Toc152045549"/>
      <w:bookmarkStart w:id="496" w:name="_Toc11161395"/>
      <w:bookmarkStart w:id="497" w:name="_Toc11161096"/>
      <w:bookmarkStart w:id="498" w:name="_Toc152042325"/>
      <w:bookmarkStart w:id="499" w:name="_Toc144974517"/>
      <w:bookmarkStart w:id="500" w:name="_Toc11162583"/>
      <w:bookmarkStart w:id="501" w:name="_Toc179632567"/>
      <w:bookmarkStart w:id="502" w:name="_Toc11162100"/>
      <w:r>
        <w:rPr>
          <w:rFonts w:hint="eastAsia" w:ascii="宋体" w:hAnsi="宋体" w:eastAsia="宋体" w:cs="宋体"/>
          <w:color w:val="auto"/>
          <w:sz w:val="24"/>
          <w:szCs w:val="24"/>
          <w:highlight w:val="none"/>
        </w:rPr>
        <w:t>以本项目工程量清单及最高投标限价的编制说明文件为准。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竞争性磋商有效期</w:t>
      </w:r>
      <w:bookmarkEnd w:id="495"/>
      <w:bookmarkEnd w:id="496"/>
      <w:bookmarkEnd w:id="497"/>
      <w:bookmarkEnd w:id="498"/>
      <w:bookmarkEnd w:id="499"/>
      <w:bookmarkEnd w:id="500"/>
      <w:bookmarkEnd w:id="501"/>
      <w:bookmarkEnd w:id="502"/>
    </w:p>
    <w:p>
      <w:pPr>
        <w:spacing w:line="360" w:lineRule="auto"/>
        <w:rPr>
          <w:rFonts w:hint="eastAsia" w:ascii="宋体" w:hAnsi="宋体" w:eastAsia="宋体" w:cs="宋体"/>
          <w:color w:val="auto"/>
          <w:sz w:val="24"/>
          <w:szCs w:val="24"/>
          <w:highlight w:val="none"/>
        </w:rPr>
      </w:pPr>
      <w:bookmarkStart w:id="503" w:name="_Toc11162101"/>
      <w:bookmarkStart w:id="504" w:name="_Toc11161396"/>
      <w:bookmarkStart w:id="505" w:name="_Toc11162584"/>
      <w:bookmarkStart w:id="506" w:name="_Toc11161097"/>
      <w:r>
        <w:rPr>
          <w:rFonts w:hint="eastAsia" w:ascii="宋体" w:hAnsi="宋体" w:eastAsia="宋体" w:cs="宋体"/>
          <w:color w:val="auto"/>
          <w:sz w:val="24"/>
          <w:szCs w:val="24"/>
          <w:highlight w:val="none"/>
        </w:rPr>
        <w:t>3.3.1 在供应商须知前附表规定的竞争性磋商有效期内，供应商不得要求撤销或修改其磋商响应文件。</w:t>
      </w:r>
      <w:bookmarkEnd w:id="503"/>
      <w:bookmarkEnd w:id="504"/>
      <w:bookmarkEnd w:id="505"/>
      <w:bookmarkEnd w:id="506"/>
    </w:p>
    <w:p>
      <w:pPr>
        <w:spacing w:line="360" w:lineRule="auto"/>
        <w:rPr>
          <w:rFonts w:hint="eastAsia" w:ascii="宋体" w:hAnsi="宋体" w:eastAsia="宋体" w:cs="宋体"/>
          <w:color w:val="auto"/>
          <w:sz w:val="24"/>
          <w:szCs w:val="24"/>
          <w:highlight w:val="none"/>
        </w:rPr>
      </w:pPr>
      <w:bookmarkStart w:id="507" w:name="_Toc11161397"/>
      <w:bookmarkStart w:id="508" w:name="_Toc11161098"/>
      <w:bookmarkStart w:id="509" w:name="_Toc11162102"/>
      <w:bookmarkStart w:id="510" w:name="_Toc11162585"/>
      <w:r>
        <w:rPr>
          <w:rFonts w:hint="eastAsia" w:ascii="宋体" w:hAnsi="宋体" w:eastAsia="宋体" w:cs="宋体"/>
          <w:color w:val="auto"/>
          <w:sz w:val="24"/>
          <w:szCs w:val="24"/>
          <w:highlight w:val="none"/>
        </w:rPr>
        <w:t>3.3.2在特殊情况下，采购人在原定竞争性磋商有效期内，可以根据需要以书面形式向供应商提出延长竞争性磋商有效期的要求，对此要求供应商须以书面形式予以答复。供应商可以拒绝采购人这种要求，而不被没收竞争性磋商保证金。同意延长竞争性磋商有效期的供应商既不能要求也不允许修改其磋商响应文件，但需要相应的延长竞争性磋商保证金的有效期，在延长的竞争性磋商有效期内本须知关于竞争性磋商担保的退还与没收的规定仍然适用。</w:t>
      </w:r>
      <w:bookmarkEnd w:id="507"/>
      <w:bookmarkEnd w:id="508"/>
      <w:bookmarkEnd w:id="509"/>
      <w:bookmarkEnd w:id="510"/>
    </w:p>
    <w:p>
      <w:pPr>
        <w:spacing w:line="360" w:lineRule="auto"/>
        <w:rPr>
          <w:rFonts w:hint="eastAsia" w:ascii="宋体" w:hAnsi="宋体" w:eastAsia="宋体" w:cs="宋体"/>
          <w:color w:val="auto"/>
          <w:sz w:val="24"/>
          <w:szCs w:val="24"/>
          <w:highlight w:val="none"/>
        </w:rPr>
      </w:pPr>
      <w:bookmarkStart w:id="511" w:name="_Toc11161398"/>
      <w:bookmarkStart w:id="512" w:name="_Toc152045550"/>
      <w:bookmarkStart w:id="513" w:name="_Toc11162103"/>
      <w:bookmarkStart w:id="514" w:name="_Toc11162586"/>
      <w:bookmarkStart w:id="515" w:name="_Toc11161099"/>
      <w:bookmarkStart w:id="516" w:name="_Toc152042326"/>
      <w:bookmarkStart w:id="517" w:name="_Toc144974518"/>
      <w:bookmarkStart w:id="518" w:name="_Toc179632568"/>
      <w:r>
        <w:rPr>
          <w:rFonts w:hint="eastAsia" w:ascii="宋体" w:hAnsi="宋体" w:eastAsia="宋体" w:cs="宋体"/>
          <w:color w:val="auto"/>
          <w:sz w:val="24"/>
          <w:szCs w:val="24"/>
          <w:highlight w:val="none"/>
        </w:rPr>
        <w:t>3.4 竞争性磋商保证金</w:t>
      </w:r>
      <w:bookmarkEnd w:id="511"/>
      <w:bookmarkEnd w:id="512"/>
      <w:bookmarkEnd w:id="513"/>
      <w:bookmarkEnd w:id="514"/>
      <w:bookmarkEnd w:id="515"/>
      <w:bookmarkEnd w:id="516"/>
      <w:bookmarkEnd w:id="517"/>
      <w:bookmarkEnd w:id="518"/>
      <w:r>
        <w:rPr>
          <w:rFonts w:hint="eastAsia" w:ascii="宋体" w:hAnsi="宋体" w:eastAsia="宋体" w:cs="宋体"/>
          <w:color w:val="auto"/>
          <w:sz w:val="24"/>
          <w:szCs w:val="24"/>
          <w:highlight w:val="none"/>
        </w:rPr>
        <w:t>（见供应商须知前附表）</w:t>
      </w:r>
    </w:p>
    <w:p>
      <w:pPr>
        <w:spacing w:line="360" w:lineRule="auto"/>
        <w:rPr>
          <w:rFonts w:hint="eastAsia" w:ascii="宋体" w:hAnsi="宋体" w:eastAsia="宋体" w:cs="宋体"/>
          <w:color w:val="auto"/>
          <w:sz w:val="24"/>
          <w:szCs w:val="24"/>
          <w:highlight w:val="none"/>
        </w:rPr>
      </w:pPr>
      <w:bookmarkStart w:id="519" w:name="_Toc144974519"/>
      <w:bookmarkStart w:id="520" w:name="_Toc179632569"/>
      <w:bookmarkStart w:id="521" w:name="_Toc152042327"/>
      <w:bookmarkStart w:id="522" w:name="_Toc152045551"/>
      <w:bookmarkStart w:id="523" w:name="_Toc11162597"/>
      <w:bookmarkStart w:id="524" w:name="_Toc11161110"/>
      <w:bookmarkStart w:id="525" w:name="_Toc11161409"/>
      <w:bookmarkStart w:id="526" w:name="_Toc11162114"/>
      <w:r>
        <w:rPr>
          <w:rFonts w:hint="eastAsia" w:ascii="宋体" w:hAnsi="宋体" w:eastAsia="宋体" w:cs="宋体"/>
          <w:color w:val="auto"/>
          <w:sz w:val="24"/>
          <w:szCs w:val="24"/>
          <w:highlight w:val="none"/>
        </w:rPr>
        <w:t>3.5 资格审查资料</w:t>
      </w:r>
      <w:bookmarkEnd w:id="519"/>
      <w:bookmarkEnd w:id="520"/>
      <w:bookmarkEnd w:id="521"/>
      <w:bookmarkEnd w:id="522"/>
      <w:r>
        <w:rPr>
          <w:rFonts w:hint="eastAsia" w:ascii="宋体" w:hAnsi="宋体" w:eastAsia="宋体" w:cs="宋体"/>
          <w:color w:val="auto"/>
          <w:sz w:val="24"/>
          <w:szCs w:val="24"/>
          <w:highlight w:val="none"/>
        </w:rPr>
        <w:t>原件（见供应商须知前附表）</w:t>
      </w:r>
      <w:bookmarkEnd w:id="523"/>
      <w:bookmarkEnd w:id="524"/>
      <w:bookmarkEnd w:id="525"/>
      <w:bookmarkEnd w:id="526"/>
    </w:p>
    <w:p>
      <w:pPr>
        <w:spacing w:line="360" w:lineRule="auto"/>
        <w:rPr>
          <w:rFonts w:hint="eastAsia" w:ascii="宋体" w:hAnsi="宋体" w:eastAsia="宋体" w:cs="宋体"/>
          <w:color w:val="auto"/>
          <w:sz w:val="24"/>
          <w:szCs w:val="24"/>
          <w:highlight w:val="none"/>
        </w:rPr>
      </w:pPr>
      <w:bookmarkStart w:id="527" w:name="_Toc179632571"/>
      <w:bookmarkStart w:id="528" w:name="_Toc11162598"/>
      <w:bookmarkStart w:id="529" w:name="_Toc11161111"/>
      <w:bookmarkStart w:id="530" w:name="_Toc144974521"/>
      <w:bookmarkStart w:id="531" w:name="_Toc152042329"/>
      <w:bookmarkStart w:id="532" w:name="_Toc11162115"/>
      <w:bookmarkStart w:id="533" w:name="_Toc11161410"/>
      <w:bookmarkStart w:id="534" w:name="_Toc152045553"/>
      <w:r>
        <w:rPr>
          <w:rFonts w:hint="eastAsia" w:ascii="宋体" w:hAnsi="宋体" w:eastAsia="宋体" w:cs="宋体"/>
          <w:color w:val="auto"/>
          <w:sz w:val="24"/>
          <w:szCs w:val="24"/>
          <w:highlight w:val="none"/>
        </w:rPr>
        <w:t>3.6 备选竞争性磋商方案</w:t>
      </w:r>
      <w:bookmarkEnd w:id="527"/>
      <w:bookmarkEnd w:id="528"/>
      <w:bookmarkEnd w:id="529"/>
      <w:bookmarkEnd w:id="530"/>
      <w:bookmarkEnd w:id="531"/>
      <w:bookmarkEnd w:id="532"/>
      <w:bookmarkEnd w:id="533"/>
      <w:bookmarkEnd w:id="534"/>
    </w:p>
    <w:p>
      <w:pPr>
        <w:spacing w:line="360" w:lineRule="auto"/>
        <w:rPr>
          <w:rFonts w:hint="eastAsia" w:ascii="宋体" w:hAnsi="宋体" w:eastAsia="宋体" w:cs="宋体"/>
          <w:color w:val="auto"/>
          <w:sz w:val="24"/>
          <w:szCs w:val="24"/>
          <w:highlight w:val="none"/>
        </w:rPr>
      </w:pPr>
      <w:bookmarkStart w:id="535" w:name="_Toc11161411"/>
      <w:bookmarkStart w:id="536" w:name="_Toc11161112"/>
      <w:bookmarkStart w:id="537" w:name="_Toc11162116"/>
      <w:bookmarkStart w:id="538" w:name="_Toc11162599"/>
      <w:r>
        <w:rPr>
          <w:rFonts w:hint="eastAsia" w:ascii="宋体" w:hAnsi="宋体" w:eastAsia="宋体" w:cs="宋体"/>
          <w:color w:val="auto"/>
          <w:sz w:val="24"/>
          <w:szCs w:val="24"/>
          <w:highlight w:val="none"/>
        </w:rPr>
        <w:t>除供应商须知前附表另有规定外，供应商不得递交备选竞争性磋商方案。</w:t>
      </w:r>
      <w:bookmarkEnd w:id="535"/>
      <w:bookmarkEnd w:id="536"/>
      <w:bookmarkEnd w:id="537"/>
      <w:bookmarkEnd w:id="538"/>
    </w:p>
    <w:p>
      <w:pPr>
        <w:spacing w:line="360" w:lineRule="auto"/>
        <w:rPr>
          <w:rFonts w:hint="eastAsia" w:ascii="宋体" w:hAnsi="宋体" w:eastAsia="宋体" w:cs="宋体"/>
          <w:color w:val="auto"/>
          <w:sz w:val="24"/>
          <w:szCs w:val="24"/>
          <w:highlight w:val="none"/>
        </w:rPr>
      </w:pPr>
      <w:bookmarkStart w:id="539" w:name="_Toc152045554"/>
      <w:bookmarkStart w:id="540" w:name="_Toc11161113"/>
      <w:bookmarkStart w:id="541" w:name="_Toc144974522"/>
      <w:bookmarkStart w:id="542" w:name="_Toc11162117"/>
      <w:bookmarkStart w:id="543" w:name="_Toc11161412"/>
      <w:bookmarkStart w:id="544" w:name="_Toc152042330"/>
      <w:bookmarkStart w:id="545" w:name="_Toc11162600"/>
      <w:bookmarkStart w:id="546" w:name="_Toc179632572"/>
      <w:r>
        <w:rPr>
          <w:rFonts w:hint="eastAsia" w:ascii="宋体" w:hAnsi="宋体" w:eastAsia="宋体" w:cs="宋体"/>
          <w:color w:val="auto"/>
          <w:sz w:val="24"/>
          <w:szCs w:val="24"/>
          <w:highlight w:val="none"/>
        </w:rPr>
        <w:t>3.7 磋商响应文件的编制</w:t>
      </w:r>
      <w:bookmarkEnd w:id="539"/>
      <w:bookmarkEnd w:id="540"/>
      <w:bookmarkEnd w:id="541"/>
      <w:bookmarkEnd w:id="542"/>
      <w:bookmarkEnd w:id="543"/>
      <w:bookmarkEnd w:id="544"/>
      <w:bookmarkEnd w:id="545"/>
      <w:bookmarkEnd w:id="546"/>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磋商响应文件应按“磋商响应文件格式”进行编写，如有必要，可以增加附页，作为磋商响应文件的组成部分。其中，竞争性磋商函附录在满足竞争性磋商文件实质性要求的基础上，可以提出比竞争性磋商文件要求更有利于采购人的承诺。</w:t>
      </w:r>
    </w:p>
    <w:p>
      <w:pPr>
        <w:spacing w:line="360" w:lineRule="auto"/>
        <w:rPr>
          <w:rFonts w:hint="eastAsia" w:ascii="宋体" w:hAnsi="宋体" w:eastAsia="宋体" w:cs="宋体"/>
          <w:color w:val="auto"/>
          <w:sz w:val="24"/>
          <w:szCs w:val="24"/>
          <w:highlight w:val="none"/>
        </w:rPr>
      </w:pPr>
      <w:bookmarkStart w:id="547" w:name="_Toc11162601"/>
      <w:bookmarkStart w:id="548" w:name="_Toc11162118"/>
      <w:bookmarkStart w:id="549" w:name="_Toc11161413"/>
      <w:bookmarkStart w:id="550" w:name="_Toc11161114"/>
      <w:r>
        <w:rPr>
          <w:rFonts w:hint="eastAsia" w:ascii="宋体" w:hAnsi="宋体" w:eastAsia="宋体" w:cs="宋体"/>
          <w:color w:val="auto"/>
          <w:sz w:val="24"/>
          <w:szCs w:val="24"/>
          <w:highlight w:val="none"/>
        </w:rPr>
        <w:t>3.7.2 磋商响应文件应当对竞争性磋商文件有关工期、竞争性磋商有效期、质量要求、技术部分准和要求、采购范围等实质性内容作出响应。</w:t>
      </w:r>
      <w:bookmarkEnd w:id="547"/>
      <w:bookmarkEnd w:id="548"/>
      <w:bookmarkEnd w:id="549"/>
      <w:bookmarkEnd w:id="550"/>
    </w:p>
    <w:p>
      <w:pPr>
        <w:spacing w:line="360" w:lineRule="auto"/>
        <w:rPr>
          <w:rFonts w:hint="eastAsia" w:ascii="宋体" w:hAnsi="宋体" w:eastAsia="宋体" w:cs="宋体"/>
          <w:color w:val="auto"/>
          <w:sz w:val="24"/>
          <w:szCs w:val="24"/>
          <w:highlight w:val="none"/>
        </w:rPr>
      </w:pPr>
      <w:bookmarkStart w:id="551" w:name="_Toc11161115"/>
      <w:bookmarkStart w:id="552" w:name="_Toc11162119"/>
      <w:bookmarkStart w:id="553" w:name="_Toc11162602"/>
      <w:bookmarkStart w:id="554" w:name="_Toc11161414"/>
      <w:r>
        <w:rPr>
          <w:rFonts w:hint="eastAsia" w:ascii="宋体" w:hAnsi="宋体" w:eastAsia="宋体" w:cs="宋体"/>
          <w:color w:val="auto"/>
          <w:sz w:val="24"/>
          <w:szCs w:val="24"/>
          <w:highlight w:val="none"/>
        </w:rPr>
        <w:t>3.7.3纸质磋商响应文件应用不褪色的材料书写或打印，文件封面及其它有要求的部位应加盖供应商印章并经法定代表人或其委托代理人签字或盖章。由委托代理人签字或盖章的磋商响应文件中须同时提交供应商签署的授权代理委托书。供应商签署授权代理委托书格式、签字、盖章、及内容均应符合要求，否则磋商响应文件签署授权代理委托书无效。磋商响应文件应尽量避免涂改、行间插字或删除。如果出现上述情况，改动之处应加盖单位章或由供应商的法定代表人或其授权的代理人签字确认。签字或盖章的具体要求见供应商须知前附表，签章意为签字并盖章。</w:t>
      </w:r>
      <w:bookmarkEnd w:id="551"/>
      <w:bookmarkEnd w:id="552"/>
      <w:bookmarkEnd w:id="553"/>
      <w:bookmarkEnd w:id="554"/>
    </w:p>
    <w:p>
      <w:pPr>
        <w:spacing w:line="360" w:lineRule="auto"/>
        <w:rPr>
          <w:rFonts w:hint="eastAsia" w:ascii="宋体" w:hAnsi="宋体" w:eastAsia="宋体" w:cs="宋体"/>
          <w:color w:val="auto"/>
          <w:sz w:val="24"/>
          <w:szCs w:val="24"/>
          <w:highlight w:val="none"/>
        </w:rPr>
      </w:pPr>
      <w:bookmarkStart w:id="555" w:name="_Toc11161116"/>
      <w:bookmarkStart w:id="556" w:name="_Toc11161415"/>
      <w:bookmarkStart w:id="557" w:name="_Toc11162120"/>
      <w:bookmarkStart w:id="558" w:name="_Toc11162603"/>
      <w:r>
        <w:rPr>
          <w:rFonts w:hint="eastAsia" w:ascii="宋体" w:hAnsi="宋体" w:eastAsia="宋体" w:cs="宋体"/>
          <w:color w:val="auto"/>
          <w:sz w:val="24"/>
          <w:szCs w:val="24"/>
          <w:highlight w:val="none"/>
        </w:rPr>
        <w:t>3.7.4 纸质磋商响应文件正本、副本份数见供应商须知前附表。</w:t>
      </w:r>
      <w:bookmarkEnd w:id="555"/>
      <w:bookmarkEnd w:id="556"/>
      <w:bookmarkEnd w:id="557"/>
      <w:bookmarkEnd w:id="558"/>
      <w:bookmarkStart w:id="559" w:name="_Toc11161416"/>
      <w:bookmarkStart w:id="560" w:name="_Toc11161117"/>
      <w:bookmarkStart w:id="561" w:name="_Toc11162604"/>
      <w:bookmarkStart w:id="562" w:name="_Toc11162121"/>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3.7.5 磋商响应文件的正本和副本均需用A4纸打印，字迹应清晰易于辨认，并应在磋商响应文件封面的右上角清楚地注明“正本”或“副本”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磋商响应文件的正本与副本应分别胶装成册，并编制目录，具体装订要求见供应商须知前附表规定。</w:t>
      </w:r>
      <w:bookmarkEnd w:id="559"/>
      <w:bookmarkEnd w:id="560"/>
      <w:bookmarkEnd w:id="561"/>
      <w:bookmarkEnd w:id="562"/>
      <w:r>
        <w:rPr>
          <w:rFonts w:hint="eastAsia" w:ascii="宋体" w:hAnsi="宋体" w:eastAsia="宋体" w:cs="宋体"/>
          <w:color w:val="auto"/>
          <w:sz w:val="24"/>
          <w:szCs w:val="24"/>
          <w:highlight w:val="none"/>
        </w:rPr>
        <w:t>电子磋商响应文件放置于</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正本中。</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除供应商对错误处必须修改外，全套磋商响应文件应无涂改或行间插字和增删。如有修改，修改处应由供应商的法定代表人、委托代理人签字或盖章。</w:t>
      </w:r>
    </w:p>
    <w:p>
      <w:pPr>
        <w:spacing w:line="360" w:lineRule="auto"/>
        <w:rPr>
          <w:rFonts w:hint="eastAsia" w:ascii="宋体" w:hAnsi="宋体" w:eastAsia="宋体" w:cs="宋体"/>
          <w:color w:val="auto"/>
          <w:sz w:val="24"/>
          <w:szCs w:val="24"/>
          <w:highlight w:val="none"/>
        </w:rPr>
      </w:pPr>
      <w:bookmarkStart w:id="563" w:name="_Toc11161118"/>
      <w:bookmarkStart w:id="564" w:name="_Toc11162605"/>
      <w:bookmarkStart w:id="565" w:name="_Toc11162122"/>
      <w:bookmarkStart w:id="566" w:name="_Toc11161417"/>
      <w:r>
        <w:rPr>
          <w:rFonts w:hint="eastAsia" w:ascii="宋体" w:hAnsi="宋体" w:eastAsia="宋体" w:cs="宋体"/>
          <w:color w:val="auto"/>
          <w:sz w:val="24"/>
          <w:szCs w:val="24"/>
          <w:highlight w:val="none"/>
        </w:rPr>
        <w:t>3.7.6电子磋商响应文件的编制要求见供应商须知前附表。</w:t>
      </w:r>
      <w:bookmarkEnd w:id="563"/>
      <w:bookmarkEnd w:id="564"/>
      <w:bookmarkEnd w:id="565"/>
      <w:bookmarkEnd w:id="566"/>
    </w:p>
    <w:p>
      <w:pPr>
        <w:spacing w:line="360" w:lineRule="auto"/>
        <w:rPr>
          <w:rFonts w:hint="eastAsia" w:ascii="宋体" w:hAnsi="宋体" w:eastAsia="宋体" w:cs="宋体"/>
          <w:color w:val="auto"/>
          <w:sz w:val="24"/>
          <w:szCs w:val="24"/>
          <w:highlight w:val="none"/>
        </w:rPr>
      </w:pPr>
      <w:bookmarkStart w:id="567" w:name="_Toc152042331"/>
      <w:bookmarkStart w:id="568" w:name="_Toc144974523"/>
      <w:bookmarkStart w:id="569" w:name="_Toc510859895"/>
      <w:bookmarkStart w:id="570" w:name="_Toc513557030"/>
      <w:bookmarkStart w:id="571" w:name="_Toc152045555"/>
      <w:bookmarkStart w:id="572" w:name="_Toc363119281"/>
      <w:bookmarkStart w:id="573" w:name="_Toc179632573"/>
      <w:bookmarkStart w:id="574" w:name="_Toc510859689"/>
      <w:bookmarkStart w:id="575" w:name="_Toc11156041"/>
      <w:bookmarkStart w:id="576" w:name="_Toc25817"/>
      <w:bookmarkStart w:id="577" w:name="_Toc11162123"/>
      <w:bookmarkStart w:id="578" w:name="_Toc11162606"/>
      <w:bookmarkStart w:id="579" w:name="_Toc11161119"/>
      <w:bookmarkStart w:id="580" w:name="_Toc11161418"/>
      <w:r>
        <w:rPr>
          <w:rFonts w:hint="eastAsia" w:ascii="宋体" w:hAnsi="宋体" w:eastAsia="宋体" w:cs="宋体"/>
          <w:color w:val="auto"/>
          <w:sz w:val="24"/>
          <w:szCs w:val="24"/>
          <w:highlight w:val="none"/>
        </w:rPr>
        <w:t xml:space="preserve">4. </w:t>
      </w:r>
      <w:bookmarkEnd w:id="567"/>
      <w:bookmarkEnd w:id="568"/>
      <w:bookmarkEnd w:id="569"/>
      <w:bookmarkEnd w:id="570"/>
      <w:bookmarkEnd w:id="571"/>
      <w:bookmarkEnd w:id="572"/>
      <w:bookmarkEnd w:id="573"/>
      <w:bookmarkEnd w:id="574"/>
      <w:r>
        <w:rPr>
          <w:rFonts w:hint="eastAsia" w:ascii="宋体" w:hAnsi="宋体" w:eastAsia="宋体" w:cs="宋体"/>
          <w:color w:val="auto"/>
          <w:sz w:val="24"/>
          <w:szCs w:val="24"/>
          <w:highlight w:val="none"/>
        </w:rPr>
        <w:t>竞争性磋商响应</w:t>
      </w:r>
      <w:bookmarkEnd w:id="575"/>
      <w:bookmarkEnd w:id="576"/>
      <w:bookmarkEnd w:id="577"/>
      <w:bookmarkEnd w:id="578"/>
      <w:bookmarkEnd w:id="579"/>
      <w:bookmarkEnd w:id="580"/>
    </w:p>
    <w:p>
      <w:pPr>
        <w:spacing w:line="360" w:lineRule="auto"/>
        <w:rPr>
          <w:rFonts w:hint="eastAsia" w:ascii="宋体" w:hAnsi="宋体" w:eastAsia="宋体" w:cs="宋体"/>
          <w:color w:val="auto"/>
          <w:sz w:val="24"/>
          <w:szCs w:val="24"/>
          <w:highlight w:val="none"/>
        </w:rPr>
      </w:pPr>
      <w:bookmarkStart w:id="581" w:name="_Toc152042332"/>
      <w:bookmarkStart w:id="582" w:name="_Toc11162124"/>
      <w:bookmarkStart w:id="583" w:name="_Toc11162607"/>
      <w:bookmarkStart w:id="584" w:name="_Toc11161120"/>
      <w:bookmarkStart w:id="585" w:name="_Toc179632574"/>
      <w:bookmarkStart w:id="586" w:name="_Toc144974524"/>
      <w:bookmarkStart w:id="587" w:name="_Toc152045556"/>
      <w:bookmarkStart w:id="588" w:name="_Toc11161419"/>
      <w:r>
        <w:rPr>
          <w:rFonts w:hint="eastAsia" w:ascii="宋体" w:hAnsi="宋体" w:eastAsia="宋体" w:cs="宋体"/>
          <w:color w:val="auto"/>
          <w:sz w:val="24"/>
          <w:szCs w:val="24"/>
          <w:highlight w:val="none"/>
        </w:rPr>
        <w:t>4.1 磋商响应文件的密封和标记</w:t>
      </w:r>
      <w:bookmarkEnd w:id="581"/>
      <w:bookmarkEnd w:id="582"/>
      <w:bookmarkEnd w:id="583"/>
      <w:bookmarkEnd w:id="584"/>
      <w:bookmarkEnd w:id="585"/>
      <w:bookmarkEnd w:id="586"/>
      <w:bookmarkEnd w:id="587"/>
      <w:bookmarkEnd w:id="588"/>
    </w:p>
    <w:p>
      <w:pPr>
        <w:spacing w:line="360" w:lineRule="auto"/>
        <w:rPr>
          <w:rFonts w:hint="eastAsia" w:ascii="宋体" w:hAnsi="宋体" w:eastAsia="宋体" w:cs="宋体"/>
          <w:color w:val="auto"/>
          <w:sz w:val="24"/>
          <w:szCs w:val="24"/>
          <w:highlight w:val="none"/>
        </w:rPr>
      </w:pPr>
      <w:bookmarkStart w:id="589" w:name="_Toc11161420"/>
      <w:bookmarkStart w:id="590" w:name="_Toc11162125"/>
      <w:bookmarkStart w:id="591" w:name="_Toc11162608"/>
      <w:bookmarkStart w:id="592" w:name="_Toc11161121"/>
      <w:r>
        <w:rPr>
          <w:rFonts w:hint="eastAsia" w:ascii="宋体" w:hAnsi="宋体" w:eastAsia="宋体" w:cs="宋体"/>
          <w:color w:val="auto"/>
          <w:sz w:val="24"/>
          <w:szCs w:val="24"/>
          <w:highlight w:val="none"/>
        </w:rPr>
        <w:t>4.1.1纸质磋商响应文件</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供应商须知前附表第3.7.5项要求密封，加贴封条，并在封套的封口处加盖供应商公章。</w:t>
      </w:r>
      <w:bookmarkEnd w:id="589"/>
      <w:bookmarkEnd w:id="590"/>
      <w:bookmarkEnd w:id="591"/>
      <w:bookmarkEnd w:id="592"/>
    </w:p>
    <w:p>
      <w:pPr>
        <w:spacing w:line="360" w:lineRule="auto"/>
        <w:rPr>
          <w:rFonts w:hint="eastAsia" w:ascii="宋体" w:hAnsi="宋体" w:eastAsia="宋体" w:cs="宋体"/>
          <w:color w:val="auto"/>
          <w:sz w:val="24"/>
          <w:szCs w:val="24"/>
          <w:highlight w:val="none"/>
        </w:rPr>
      </w:pPr>
      <w:bookmarkStart w:id="593" w:name="_Toc11162126"/>
      <w:bookmarkStart w:id="594" w:name="_Toc11162609"/>
      <w:bookmarkStart w:id="595" w:name="_Toc11161421"/>
      <w:bookmarkStart w:id="596" w:name="_Toc11161122"/>
      <w:r>
        <w:rPr>
          <w:rFonts w:hint="eastAsia" w:ascii="宋体" w:hAnsi="宋体" w:eastAsia="宋体" w:cs="宋体"/>
          <w:color w:val="auto"/>
          <w:sz w:val="24"/>
          <w:szCs w:val="24"/>
          <w:highlight w:val="none"/>
        </w:rPr>
        <w:t>4.1.2 纸质磋商响应文件的封套上应清楚地标记“正本”或“副本”字样，封套上应写明的其他内容见供应商须知前附表。</w:t>
      </w:r>
      <w:bookmarkEnd w:id="593"/>
      <w:bookmarkEnd w:id="594"/>
      <w:bookmarkEnd w:id="595"/>
      <w:bookmarkEnd w:id="596"/>
    </w:p>
    <w:p>
      <w:pPr>
        <w:spacing w:line="360" w:lineRule="auto"/>
        <w:rPr>
          <w:rFonts w:hint="eastAsia" w:ascii="宋体" w:hAnsi="宋体" w:eastAsia="宋体" w:cs="宋体"/>
          <w:color w:val="auto"/>
          <w:sz w:val="24"/>
          <w:szCs w:val="24"/>
          <w:highlight w:val="none"/>
        </w:rPr>
      </w:pPr>
      <w:bookmarkStart w:id="597" w:name="_Toc11162127"/>
      <w:bookmarkStart w:id="598" w:name="_Toc11161422"/>
      <w:bookmarkStart w:id="599" w:name="_Toc11161123"/>
      <w:bookmarkStart w:id="600" w:name="_Toc11162610"/>
      <w:r>
        <w:rPr>
          <w:rFonts w:hint="eastAsia" w:ascii="宋体" w:hAnsi="宋体" w:eastAsia="宋体" w:cs="宋体"/>
          <w:color w:val="auto"/>
          <w:sz w:val="24"/>
          <w:szCs w:val="24"/>
          <w:highlight w:val="none"/>
        </w:rPr>
        <w:t>4.1.3 未按本章第4.1.1项或第4.1.2项要求密封和加写标记的磋商响应文件，采购人不予受理。</w:t>
      </w:r>
      <w:bookmarkEnd w:id="597"/>
      <w:bookmarkEnd w:id="598"/>
      <w:bookmarkEnd w:id="599"/>
      <w:bookmarkEnd w:id="600"/>
    </w:p>
    <w:p>
      <w:pPr>
        <w:spacing w:line="360" w:lineRule="auto"/>
        <w:rPr>
          <w:rFonts w:hint="eastAsia" w:ascii="宋体" w:hAnsi="宋体" w:eastAsia="宋体" w:cs="宋体"/>
          <w:color w:val="auto"/>
          <w:sz w:val="24"/>
          <w:szCs w:val="24"/>
          <w:highlight w:val="none"/>
        </w:rPr>
      </w:pPr>
      <w:bookmarkStart w:id="601" w:name="_Toc11161124"/>
      <w:bookmarkStart w:id="602" w:name="_Toc11162611"/>
      <w:bookmarkStart w:id="603" w:name="_Toc11162128"/>
      <w:bookmarkStart w:id="604" w:name="_Toc11161423"/>
      <w:r>
        <w:rPr>
          <w:rFonts w:hint="eastAsia" w:ascii="宋体" w:hAnsi="宋体" w:eastAsia="宋体" w:cs="宋体"/>
          <w:color w:val="auto"/>
          <w:sz w:val="24"/>
          <w:szCs w:val="24"/>
          <w:highlight w:val="none"/>
        </w:rPr>
        <w:t>4.2电子磋商响应文件的加密和数字证书认证（只适用于网上竞争性磋商项目）</w:t>
      </w:r>
      <w:bookmarkEnd w:id="601"/>
      <w:bookmarkEnd w:id="602"/>
      <w:bookmarkEnd w:id="603"/>
      <w:bookmarkEnd w:id="604"/>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bookmarkStart w:id="605" w:name="_Toc11161125"/>
      <w:bookmarkStart w:id="606" w:name="_Toc11161424"/>
      <w:bookmarkStart w:id="607" w:name="_Toc11162129"/>
      <w:bookmarkStart w:id="608" w:name="_Toc11162612"/>
      <w:r>
        <w:rPr>
          <w:rFonts w:hint="eastAsia" w:ascii="宋体" w:hAnsi="宋体" w:eastAsia="宋体" w:cs="宋体"/>
          <w:color w:val="auto"/>
          <w:sz w:val="24"/>
          <w:szCs w:val="24"/>
          <w:highlight w:val="none"/>
        </w:rPr>
        <w:t>4.2.1电子磋商响应文件应使用数字证书认证并加密，具体要求依据本项目所使用交易平台的要求（只适用于网上竞争性磋商项目）。</w:t>
      </w:r>
      <w:bookmarkEnd w:id="605"/>
      <w:bookmarkEnd w:id="606"/>
      <w:bookmarkEnd w:id="607"/>
      <w:bookmarkEnd w:id="608"/>
    </w:p>
    <w:p>
      <w:pPr>
        <w:spacing w:line="360" w:lineRule="auto"/>
        <w:rPr>
          <w:rFonts w:hint="eastAsia" w:ascii="宋体" w:hAnsi="宋体" w:eastAsia="宋体" w:cs="宋体"/>
          <w:color w:val="auto"/>
          <w:sz w:val="24"/>
          <w:szCs w:val="24"/>
          <w:highlight w:val="none"/>
        </w:rPr>
      </w:pPr>
      <w:bookmarkStart w:id="609" w:name="_Toc11161425"/>
      <w:bookmarkStart w:id="610" w:name="_Toc11162130"/>
      <w:bookmarkStart w:id="611" w:name="_Toc11162613"/>
      <w:bookmarkStart w:id="612" w:name="_Toc11161126"/>
      <w:r>
        <w:rPr>
          <w:rFonts w:hint="eastAsia" w:ascii="宋体" w:hAnsi="宋体" w:eastAsia="宋体" w:cs="宋体"/>
          <w:color w:val="auto"/>
          <w:sz w:val="24"/>
          <w:szCs w:val="24"/>
          <w:highlight w:val="none"/>
        </w:rPr>
        <w:t>4.2.2未按本章4.2.1条款要求加密和数字证书认证的磋商响应文件，采购人不予受理（只适用于网上竞争性磋商项目）。</w:t>
      </w:r>
      <w:bookmarkEnd w:id="609"/>
      <w:bookmarkEnd w:id="610"/>
      <w:bookmarkEnd w:id="611"/>
      <w:bookmarkEnd w:id="612"/>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4.2.3供应商递交的磋商响应文件将不予退还。</w:t>
      </w:r>
    </w:p>
    <w:p>
      <w:pPr>
        <w:spacing w:line="360" w:lineRule="auto"/>
        <w:rPr>
          <w:rFonts w:hint="eastAsia" w:ascii="宋体" w:hAnsi="宋体" w:eastAsia="宋体" w:cs="宋体"/>
          <w:color w:val="auto"/>
          <w:sz w:val="24"/>
          <w:szCs w:val="24"/>
          <w:highlight w:val="none"/>
        </w:rPr>
      </w:pPr>
      <w:bookmarkStart w:id="613" w:name="_Toc11162614"/>
      <w:bookmarkStart w:id="614" w:name="_Toc11161426"/>
      <w:bookmarkStart w:id="615" w:name="_Toc179632575"/>
      <w:bookmarkStart w:id="616" w:name="_Toc144974525"/>
      <w:bookmarkStart w:id="617" w:name="_Toc11161127"/>
      <w:bookmarkStart w:id="618" w:name="_Toc152045557"/>
      <w:bookmarkStart w:id="619" w:name="_Toc152042333"/>
      <w:bookmarkStart w:id="620" w:name="_Toc11162131"/>
      <w:r>
        <w:rPr>
          <w:rFonts w:hint="eastAsia" w:ascii="宋体" w:hAnsi="宋体" w:eastAsia="宋体" w:cs="宋体"/>
          <w:color w:val="auto"/>
          <w:sz w:val="24"/>
          <w:szCs w:val="24"/>
          <w:highlight w:val="none"/>
        </w:rPr>
        <w:t>4.3 磋商响应文件的递交</w:t>
      </w:r>
      <w:bookmarkEnd w:id="613"/>
      <w:bookmarkEnd w:id="614"/>
      <w:bookmarkEnd w:id="615"/>
      <w:bookmarkEnd w:id="616"/>
      <w:bookmarkEnd w:id="617"/>
      <w:bookmarkEnd w:id="618"/>
      <w:bookmarkEnd w:id="619"/>
      <w:bookmarkEnd w:id="620"/>
    </w:p>
    <w:p>
      <w:pPr>
        <w:spacing w:line="360" w:lineRule="auto"/>
        <w:rPr>
          <w:rFonts w:hint="eastAsia" w:ascii="宋体" w:hAnsi="宋体" w:eastAsia="宋体" w:cs="宋体"/>
          <w:color w:val="auto"/>
          <w:sz w:val="24"/>
          <w:szCs w:val="24"/>
          <w:highlight w:val="none"/>
        </w:rPr>
      </w:pPr>
      <w:bookmarkStart w:id="621" w:name="_Toc11161128"/>
      <w:bookmarkStart w:id="622" w:name="_Toc11162132"/>
      <w:bookmarkStart w:id="623" w:name="_Toc11161427"/>
      <w:bookmarkStart w:id="624" w:name="_Toc11162615"/>
      <w:r>
        <w:rPr>
          <w:rFonts w:hint="eastAsia" w:ascii="宋体" w:hAnsi="宋体" w:eastAsia="宋体" w:cs="宋体"/>
          <w:color w:val="auto"/>
          <w:sz w:val="24"/>
          <w:szCs w:val="24"/>
          <w:highlight w:val="none"/>
        </w:rPr>
        <w:t>4.3.1 供应商应在本章第2.2.2项规定的竞争性磋商截止时间前递交磋商响应文件。</w:t>
      </w:r>
      <w:bookmarkEnd w:id="621"/>
      <w:bookmarkEnd w:id="622"/>
      <w:bookmarkEnd w:id="623"/>
      <w:bookmarkEnd w:id="624"/>
    </w:p>
    <w:p>
      <w:pPr>
        <w:spacing w:line="360" w:lineRule="auto"/>
        <w:rPr>
          <w:rFonts w:hint="eastAsia" w:ascii="宋体" w:hAnsi="宋体" w:eastAsia="宋体" w:cs="宋体"/>
          <w:color w:val="auto"/>
          <w:sz w:val="24"/>
          <w:szCs w:val="24"/>
          <w:highlight w:val="none"/>
        </w:rPr>
      </w:pPr>
      <w:bookmarkStart w:id="625" w:name="_Toc11161428"/>
      <w:bookmarkStart w:id="626" w:name="_Toc11162616"/>
      <w:bookmarkStart w:id="627" w:name="_Toc11161129"/>
      <w:bookmarkStart w:id="628" w:name="_Toc11162133"/>
      <w:r>
        <w:rPr>
          <w:rFonts w:hint="eastAsia" w:ascii="宋体" w:hAnsi="宋体" w:eastAsia="宋体" w:cs="宋体"/>
          <w:color w:val="auto"/>
          <w:sz w:val="24"/>
          <w:szCs w:val="24"/>
          <w:highlight w:val="none"/>
        </w:rPr>
        <w:t>4.3.2 供应商递交磋商响应文件的地点：见供应商须知前附表。</w:t>
      </w:r>
      <w:bookmarkEnd w:id="625"/>
      <w:bookmarkEnd w:id="626"/>
      <w:bookmarkEnd w:id="627"/>
      <w:bookmarkEnd w:id="628"/>
    </w:p>
    <w:p>
      <w:pPr>
        <w:spacing w:line="360" w:lineRule="auto"/>
        <w:rPr>
          <w:rFonts w:hint="eastAsia" w:ascii="宋体" w:hAnsi="宋体" w:eastAsia="宋体" w:cs="宋体"/>
          <w:color w:val="auto"/>
          <w:sz w:val="24"/>
          <w:szCs w:val="24"/>
          <w:highlight w:val="none"/>
        </w:rPr>
      </w:pPr>
      <w:bookmarkStart w:id="629" w:name="_Toc11162617"/>
      <w:bookmarkStart w:id="630" w:name="_Toc11161130"/>
      <w:bookmarkStart w:id="631" w:name="_Toc11162134"/>
      <w:bookmarkStart w:id="632" w:name="_Toc11161429"/>
      <w:r>
        <w:rPr>
          <w:rFonts w:hint="eastAsia" w:ascii="宋体" w:hAnsi="宋体" w:eastAsia="宋体" w:cs="宋体"/>
          <w:color w:val="auto"/>
          <w:sz w:val="24"/>
          <w:szCs w:val="24"/>
          <w:highlight w:val="none"/>
        </w:rPr>
        <w:t>4.3.3 除供应商须知前附表另有规定外，供应商所递交的磋商响应文件不予退还。</w:t>
      </w:r>
      <w:bookmarkEnd w:id="629"/>
      <w:bookmarkEnd w:id="630"/>
      <w:bookmarkEnd w:id="631"/>
      <w:bookmarkEnd w:id="632"/>
    </w:p>
    <w:p>
      <w:pPr>
        <w:spacing w:line="360" w:lineRule="auto"/>
        <w:rPr>
          <w:rFonts w:hint="eastAsia" w:ascii="宋体" w:hAnsi="宋体" w:eastAsia="宋体" w:cs="宋体"/>
          <w:color w:val="auto"/>
          <w:sz w:val="24"/>
          <w:szCs w:val="24"/>
          <w:highlight w:val="none"/>
        </w:rPr>
      </w:pPr>
      <w:bookmarkStart w:id="633" w:name="_Toc11162135"/>
      <w:bookmarkStart w:id="634" w:name="_Toc11162618"/>
      <w:bookmarkStart w:id="635" w:name="_Toc11161430"/>
      <w:bookmarkStart w:id="636" w:name="_Toc11161131"/>
      <w:r>
        <w:rPr>
          <w:rFonts w:hint="eastAsia" w:ascii="宋体" w:hAnsi="宋体" w:eastAsia="宋体" w:cs="宋体"/>
          <w:color w:val="auto"/>
          <w:sz w:val="24"/>
          <w:szCs w:val="24"/>
          <w:highlight w:val="none"/>
        </w:rPr>
        <w:t>4.3.4电子磋商响应文件未在竞争性磋商截止前完成上传的视为逾期送达（只适用于网上竞争性磋商项目）。</w:t>
      </w:r>
      <w:bookmarkEnd w:id="633"/>
      <w:bookmarkEnd w:id="634"/>
      <w:bookmarkEnd w:id="635"/>
      <w:bookmarkEnd w:id="636"/>
    </w:p>
    <w:p>
      <w:pPr>
        <w:spacing w:line="360" w:lineRule="auto"/>
        <w:rPr>
          <w:rFonts w:hint="eastAsia" w:ascii="宋体" w:hAnsi="宋体" w:eastAsia="宋体" w:cs="宋体"/>
          <w:color w:val="auto"/>
          <w:sz w:val="24"/>
          <w:szCs w:val="24"/>
          <w:highlight w:val="none"/>
        </w:rPr>
      </w:pPr>
      <w:bookmarkStart w:id="637" w:name="_Toc11162619"/>
      <w:bookmarkStart w:id="638" w:name="_Toc11161132"/>
      <w:bookmarkStart w:id="639" w:name="_Toc11161431"/>
      <w:bookmarkStart w:id="640" w:name="_Toc11162136"/>
      <w:r>
        <w:rPr>
          <w:rFonts w:hint="eastAsia" w:ascii="宋体" w:hAnsi="宋体" w:eastAsia="宋体" w:cs="宋体"/>
          <w:color w:val="auto"/>
          <w:sz w:val="24"/>
          <w:szCs w:val="24"/>
          <w:highlight w:val="none"/>
        </w:rPr>
        <w:t>4.3.5 逾期送达的或者未送达指定地点的磋商响应文件，采购人不予受理。</w:t>
      </w:r>
      <w:bookmarkEnd w:id="637"/>
      <w:bookmarkEnd w:id="638"/>
      <w:bookmarkEnd w:id="639"/>
      <w:bookmarkEnd w:id="640"/>
    </w:p>
    <w:p>
      <w:pPr>
        <w:spacing w:line="360" w:lineRule="auto"/>
        <w:rPr>
          <w:rFonts w:hint="eastAsia" w:ascii="宋体" w:hAnsi="宋体" w:eastAsia="宋体" w:cs="宋体"/>
          <w:color w:val="auto"/>
          <w:sz w:val="24"/>
          <w:szCs w:val="24"/>
          <w:highlight w:val="none"/>
        </w:rPr>
      </w:pPr>
      <w:bookmarkStart w:id="641" w:name="_Toc11161432"/>
      <w:bookmarkStart w:id="642" w:name="_Toc179632576"/>
      <w:bookmarkStart w:id="643" w:name="_Toc144974526"/>
      <w:bookmarkStart w:id="644" w:name="_Toc11162620"/>
      <w:bookmarkStart w:id="645" w:name="_Toc11161133"/>
      <w:bookmarkStart w:id="646" w:name="_Toc152042334"/>
      <w:bookmarkStart w:id="647" w:name="_Toc152045558"/>
      <w:bookmarkStart w:id="648" w:name="_Toc11162137"/>
      <w:r>
        <w:rPr>
          <w:rFonts w:hint="eastAsia" w:ascii="宋体" w:hAnsi="宋体" w:eastAsia="宋体" w:cs="宋体"/>
          <w:color w:val="auto"/>
          <w:sz w:val="24"/>
          <w:szCs w:val="24"/>
          <w:highlight w:val="none"/>
        </w:rPr>
        <w:t>4.4磋商响应文件的修改与撤回</w:t>
      </w:r>
      <w:bookmarkEnd w:id="641"/>
      <w:bookmarkEnd w:id="642"/>
      <w:bookmarkEnd w:id="643"/>
      <w:bookmarkEnd w:id="644"/>
      <w:bookmarkEnd w:id="645"/>
      <w:bookmarkEnd w:id="646"/>
      <w:bookmarkEnd w:id="647"/>
      <w:bookmarkEnd w:id="648"/>
    </w:p>
    <w:p>
      <w:pPr>
        <w:spacing w:line="360" w:lineRule="auto"/>
        <w:rPr>
          <w:rFonts w:hint="eastAsia" w:ascii="宋体" w:hAnsi="宋体" w:eastAsia="宋体" w:cs="宋体"/>
          <w:color w:val="auto"/>
          <w:sz w:val="24"/>
          <w:szCs w:val="24"/>
          <w:highlight w:val="none"/>
        </w:rPr>
      </w:pPr>
      <w:bookmarkStart w:id="649" w:name="_Toc11162138"/>
      <w:bookmarkStart w:id="650" w:name="_Toc11162621"/>
      <w:bookmarkStart w:id="651" w:name="_Toc11161134"/>
      <w:bookmarkStart w:id="652" w:name="_Toc11161433"/>
      <w:r>
        <w:rPr>
          <w:rFonts w:hint="eastAsia" w:ascii="宋体" w:hAnsi="宋体" w:eastAsia="宋体" w:cs="宋体"/>
          <w:color w:val="auto"/>
          <w:sz w:val="24"/>
          <w:szCs w:val="24"/>
          <w:highlight w:val="none"/>
        </w:rPr>
        <w:t>4.4.1 在本章第2.2.2项规定的竞争性磋商截止时间前，供应商可以修改或撤回已递交的磋商响应文件，最终磋商响应文件以竞争性磋商截止时间前完成递交或上传最后一份磋商响应文件为准。</w:t>
      </w:r>
      <w:bookmarkEnd w:id="649"/>
      <w:bookmarkEnd w:id="650"/>
      <w:bookmarkEnd w:id="651"/>
      <w:bookmarkEnd w:id="652"/>
    </w:p>
    <w:p>
      <w:pPr>
        <w:spacing w:line="360" w:lineRule="auto"/>
        <w:rPr>
          <w:rFonts w:hint="eastAsia" w:ascii="宋体" w:hAnsi="宋体" w:eastAsia="宋体" w:cs="宋体"/>
          <w:color w:val="auto"/>
          <w:sz w:val="24"/>
          <w:szCs w:val="24"/>
          <w:highlight w:val="none"/>
        </w:rPr>
      </w:pPr>
      <w:bookmarkStart w:id="653" w:name="_Toc11161135"/>
      <w:bookmarkStart w:id="654" w:name="_Toc11162622"/>
      <w:bookmarkStart w:id="655" w:name="_Toc11162139"/>
      <w:bookmarkStart w:id="656" w:name="_Toc11161434"/>
      <w:r>
        <w:rPr>
          <w:rFonts w:hint="eastAsia" w:ascii="宋体" w:hAnsi="宋体" w:eastAsia="宋体" w:cs="宋体"/>
          <w:color w:val="auto"/>
          <w:sz w:val="24"/>
          <w:szCs w:val="24"/>
          <w:highlight w:val="none"/>
        </w:rPr>
        <w:t>4.4.2 供应商修改或撤回已递交磋商响应文件的书面通知应由法定代表人或其授权代理人签字并加盖公章。</w:t>
      </w:r>
      <w:bookmarkEnd w:id="653"/>
      <w:bookmarkEnd w:id="654"/>
      <w:bookmarkEnd w:id="655"/>
      <w:bookmarkEnd w:id="656"/>
    </w:p>
    <w:p>
      <w:pPr>
        <w:spacing w:line="360" w:lineRule="auto"/>
        <w:rPr>
          <w:rFonts w:hint="eastAsia" w:ascii="宋体" w:hAnsi="宋体" w:eastAsia="宋体" w:cs="宋体"/>
          <w:color w:val="auto"/>
          <w:sz w:val="24"/>
          <w:szCs w:val="24"/>
          <w:highlight w:val="none"/>
        </w:rPr>
      </w:pPr>
      <w:bookmarkStart w:id="657" w:name="_Toc11161435"/>
      <w:bookmarkStart w:id="658" w:name="_Toc11162140"/>
      <w:bookmarkStart w:id="659" w:name="_Toc11162623"/>
      <w:bookmarkStart w:id="660" w:name="_Toc11161136"/>
      <w:r>
        <w:rPr>
          <w:rFonts w:hint="eastAsia" w:ascii="宋体" w:hAnsi="宋体" w:eastAsia="宋体" w:cs="宋体"/>
          <w:color w:val="auto"/>
          <w:sz w:val="24"/>
          <w:szCs w:val="24"/>
          <w:highlight w:val="none"/>
        </w:rPr>
        <w:t>4.4.3 修改的内容为磋商响应文件的组成部分。修改的磋商响应文件应按照本章第3条、第4条规定进行编制、密封、标记和递交，并标明“修改”字样。</w:t>
      </w:r>
      <w:bookmarkEnd w:id="657"/>
      <w:bookmarkEnd w:id="658"/>
      <w:bookmarkEnd w:id="659"/>
      <w:bookmarkEnd w:id="660"/>
    </w:p>
    <w:p>
      <w:pPr>
        <w:spacing w:line="360" w:lineRule="auto"/>
        <w:rPr>
          <w:rFonts w:hint="eastAsia" w:ascii="宋体" w:hAnsi="宋体" w:eastAsia="宋体" w:cs="宋体"/>
          <w:color w:val="auto"/>
          <w:sz w:val="24"/>
          <w:szCs w:val="24"/>
          <w:highlight w:val="none"/>
        </w:rPr>
      </w:pPr>
      <w:bookmarkStart w:id="661" w:name="_Toc11162141"/>
      <w:bookmarkStart w:id="662" w:name="_Toc11161436"/>
      <w:bookmarkStart w:id="663" w:name="_Toc11161137"/>
      <w:bookmarkStart w:id="664" w:name="_Toc11162624"/>
      <w:r>
        <w:rPr>
          <w:rFonts w:hint="eastAsia" w:ascii="宋体" w:hAnsi="宋体" w:eastAsia="宋体" w:cs="宋体"/>
          <w:color w:val="auto"/>
          <w:sz w:val="24"/>
          <w:szCs w:val="24"/>
          <w:highlight w:val="none"/>
        </w:rPr>
        <w:t>4.4.4在竞争性磋商截止时间之后，供应商不得补充、修改磋商响应文件。</w:t>
      </w:r>
      <w:bookmarkEnd w:id="661"/>
      <w:bookmarkEnd w:id="662"/>
      <w:bookmarkEnd w:id="663"/>
      <w:bookmarkEnd w:id="664"/>
    </w:p>
    <w:p>
      <w:pPr>
        <w:spacing w:line="360" w:lineRule="auto"/>
        <w:rPr>
          <w:rFonts w:hint="eastAsia" w:ascii="宋体" w:hAnsi="宋体" w:eastAsia="宋体" w:cs="宋体"/>
          <w:color w:val="auto"/>
          <w:sz w:val="24"/>
          <w:szCs w:val="24"/>
          <w:highlight w:val="none"/>
        </w:rPr>
      </w:pPr>
      <w:bookmarkStart w:id="665" w:name="_Toc11161138"/>
      <w:bookmarkStart w:id="666" w:name="_Toc11161437"/>
      <w:bookmarkStart w:id="667" w:name="_Toc11162142"/>
      <w:bookmarkStart w:id="668" w:name="_Toc11162625"/>
      <w:r>
        <w:rPr>
          <w:rFonts w:hint="eastAsia" w:ascii="宋体" w:hAnsi="宋体" w:eastAsia="宋体" w:cs="宋体"/>
          <w:color w:val="auto"/>
          <w:sz w:val="24"/>
          <w:szCs w:val="24"/>
          <w:highlight w:val="none"/>
        </w:rPr>
        <w:t>4.4.5在竞争性磋商截止时间至竞争性磋商有效期满之前，供应商不得撤回其磋商响应文件，否则其竞争性磋商保证金将被没收。</w:t>
      </w:r>
      <w:bookmarkEnd w:id="665"/>
      <w:bookmarkEnd w:id="666"/>
      <w:bookmarkEnd w:id="667"/>
      <w:bookmarkEnd w:id="668"/>
    </w:p>
    <w:p>
      <w:pPr>
        <w:spacing w:line="360" w:lineRule="auto"/>
        <w:rPr>
          <w:rFonts w:hint="eastAsia" w:ascii="宋体" w:hAnsi="宋体" w:eastAsia="宋体" w:cs="宋体"/>
          <w:color w:val="auto"/>
          <w:sz w:val="24"/>
          <w:szCs w:val="24"/>
          <w:highlight w:val="none"/>
        </w:rPr>
      </w:pPr>
      <w:bookmarkStart w:id="669" w:name="_Toc11161438"/>
      <w:bookmarkStart w:id="670" w:name="_Toc11161139"/>
      <w:bookmarkStart w:id="671" w:name="_Toc11162626"/>
      <w:bookmarkStart w:id="672" w:name="_Toc11162143"/>
      <w:r>
        <w:rPr>
          <w:rFonts w:hint="eastAsia" w:ascii="宋体" w:hAnsi="宋体" w:eastAsia="宋体" w:cs="宋体"/>
          <w:color w:val="auto"/>
          <w:sz w:val="24"/>
          <w:szCs w:val="24"/>
          <w:highlight w:val="none"/>
        </w:rPr>
        <w:t>4.5磋商响应文件材料的更新</w:t>
      </w:r>
      <w:bookmarkEnd w:id="669"/>
      <w:bookmarkEnd w:id="670"/>
      <w:bookmarkEnd w:id="671"/>
      <w:bookmarkEnd w:id="672"/>
    </w:p>
    <w:p>
      <w:pPr>
        <w:spacing w:line="360" w:lineRule="auto"/>
        <w:rPr>
          <w:rFonts w:hint="eastAsia" w:ascii="宋体" w:hAnsi="宋体" w:eastAsia="宋体" w:cs="宋体"/>
          <w:color w:val="auto"/>
          <w:sz w:val="24"/>
          <w:szCs w:val="24"/>
          <w:highlight w:val="none"/>
        </w:rPr>
      </w:pPr>
      <w:bookmarkStart w:id="673" w:name="_Toc11162144"/>
      <w:bookmarkStart w:id="674" w:name="_Toc11161140"/>
      <w:bookmarkStart w:id="675" w:name="_Toc11161439"/>
      <w:bookmarkStart w:id="676" w:name="_Toc11162627"/>
      <w:r>
        <w:rPr>
          <w:rFonts w:hint="eastAsia" w:ascii="宋体" w:hAnsi="宋体" w:eastAsia="宋体" w:cs="宋体"/>
          <w:color w:val="auto"/>
          <w:sz w:val="24"/>
          <w:szCs w:val="24"/>
          <w:highlight w:val="none"/>
        </w:rPr>
        <w:t>4.5.1供应商在提交磋商响应文件时，如磋商响应文件的内容发生重大变化，供应商须对其重新更新，以证明其仍能满足磋商响应文件资格评审标准，并且所提供的材料是经过采购人确认的。如果在评审时供应商已经不能达到磋商响应文件中资格评审标准，其竞争性磋商将被拒绝。</w:t>
      </w:r>
      <w:bookmarkEnd w:id="673"/>
      <w:bookmarkEnd w:id="674"/>
      <w:bookmarkEnd w:id="675"/>
      <w:bookmarkEnd w:id="676"/>
    </w:p>
    <w:p>
      <w:pPr>
        <w:spacing w:line="360" w:lineRule="auto"/>
        <w:rPr>
          <w:rFonts w:hint="eastAsia" w:ascii="宋体" w:hAnsi="宋体" w:eastAsia="宋体" w:cs="宋体"/>
          <w:color w:val="auto"/>
          <w:sz w:val="24"/>
          <w:szCs w:val="24"/>
          <w:highlight w:val="none"/>
        </w:rPr>
      </w:pPr>
      <w:bookmarkStart w:id="677" w:name="_Toc16912"/>
      <w:bookmarkStart w:id="678" w:name="_Toc11162628"/>
      <w:bookmarkStart w:id="679" w:name="_Toc11162145"/>
      <w:bookmarkStart w:id="680" w:name="_Toc152042335"/>
      <w:bookmarkStart w:id="681" w:name="_Toc11161141"/>
      <w:bookmarkStart w:id="682" w:name="_Toc11161440"/>
      <w:bookmarkStart w:id="683" w:name="_Toc179632577"/>
      <w:bookmarkStart w:id="684" w:name="_Toc510859690"/>
      <w:bookmarkStart w:id="685" w:name="_Toc144974527"/>
      <w:bookmarkStart w:id="686" w:name="_Toc513557031"/>
      <w:bookmarkStart w:id="687" w:name="_Toc11156042"/>
      <w:bookmarkStart w:id="688" w:name="_Toc363119282"/>
      <w:bookmarkStart w:id="689" w:name="_Toc152045559"/>
      <w:bookmarkStart w:id="690" w:name="_Toc510859896"/>
      <w:r>
        <w:rPr>
          <w:rFonts w:hint="eastAsia" w:ascii="宋体" w:hAnsi="宋体" w:eastAsia="宋体" w:cs="宋体"/>
          <w:color w:val="auto"/>
          <w:sz w:val="24"/>
          <w:szCs w:val="24"/>
          <w:highlight w:val="none"/>
        </w:rPr>
        <w:t>5. 竞争性磋商</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spacing w:line="360" w:lineRule="auto"/>
        <w:rPr>
          <w:rFonts w:hint="eastAsia" w:ascii="宋体" w:hAnsi="宋体" w:eastAsia="宋体" w:cs="宋体"/>
          <w:color w:val="auto"/>
          <w:sz w:val="24"/>
          <w:szCs w:val="24"/>
          <w:highlight w:val="none"/>
        </w:rPr>
      </w:pPr>
      <w:bookmarkStart w:id="691" w:name="_Toc11161441"/>
      <w:bookmarkStart w:id="692" w:name="_Toc152045560"/>
      <w:bookmarkStart w:id="693" w:name="_Toc179632578"/>
      <w:bookmarkStart w:id="694" w:name="_Toc152042336"/>
      <w:bookmarkStart w:id="695" w:name="_Toc11162146"/>
      <w:bookmarkStart w:id="696" w:name="_Toc144974528"/>
      <w:bookmarkStart w:id="697" w:name="_Toc11161142"/>
      <w:bookmarkStart w:id="698" w:name="_Toc11162629"/>
      <w:r>
        <w:rPr>
          <w:rFonts w:hint="eastAsia" w:ascii="宋体" w:hAnsi="宋体" w:eastAsia="宋体" w:cs="宋体"/>
          <w:color w:val="auto"/>
          <w:sz w:val="24"/>
          <w:szCs w:val="24"/>
          <w:highlight w:val="none"/>
        </w:rPr>
        <w:t>5.1 竞争性磋商时间和地点</w:t>
      </w:r>
      <w:bookmarkEnd w:id="691"/>
      <w:bookmarkEnd w:id="692"/>
      <w:bookmarkEnd w:id="693"/>
      <w:bookmarkEnd w:id="694"/>
      <w:bookmarkEnd w:id="695"/>
      <w:bookmarkEnd w:id="696"/>
      <w:bookmarkEnd w:id="697"/>
      <w:bookmarkEnd w:id="698"/>
    </w:p>
    <w:p>
      <w:pPr>
        <w:spacing w:line="360" w:lineRule="auto"/>
        <w:rPr>
          <w:rFonts w:hint="eastAsia" w:ascii="宋体" w:hAnsi="宋体" w:eastAsia="宋体" w:cs="宋体"/>
          <w:color w:val="auto"/>
          <w:sz w:val="24"/>
          <w:szCs w:val="24"/>
          <w:highlight w:val="none"/>
        </w:rPr>
      </w:pPr>
      <w:bookmarkStart w:id="699" w:name="_Toc11161143"/>
      <w:bookmarkStart w:id="700" w:name="_Toc11162630"/>
      <w:bookmarkStart w:id="701" w:name="_Toc11162147"/>
      <w:bookmarkStart w:id="702" w:name="_Toc11161442"/>
      <w:r>
        <w:rPr>
          <w:rFonts w:hint="eastAsia" w:ascii="宋体" w:hAnsi="宋体" w:eastAsia="宋体" w:cs="宋体"/>
          <w:color w:val="auto"/>
          <w:sz w:val="24"/>
          <w:szCs w:val="24"/>
          <w:highlight w:val="none"/>
        </w:rPr>
        <w:t>采购人在规定的竞争性磋商截止时间（竞争性磋商时间）和供应商须知前附表规定的地点组织竞争性磋商，并邀请所有供应商的法定代表人或其委托代理人准时参加。</w:t>
      </w:r>
      <w:bookmarkEnd w:id="699"/>
      <w:bookmarkEnd w:id="700"/>
      <w:bookmarkEnd w:id="701"/>
      <w:bookmarkEnd w:id="702"/>
    </w:p>
    <w:p>
      <w:pPr>
        <w:spacing w:line="360" w:lineRule="auto"/>
        <w:rPr>
          <w:rFonts w:hint="default" w:ascii="宋体" w:hAnsi="宋体" w:eastAsia="宋体" w:cs="宋体"/>
          <w:color w:val="auto"/>
          <w:sz w:val="24"/>
          <w:szCs w:val="24"/>
          <w:highlight w:val="none"/>
          <w:lang w:val="en-US" w:eastAsia="zh-CN"/>
        </w:rPr>
      </w:pPr>
      <w:bookmarkStart w:id="703" w:name="_Toc152042337"/>
      <w:bookmarkStart w:id="704" w:name="_Toc179632579"/>
      <w:bookmarkStart w:id="705" w:name="_Toc11162631"/>
      <w:bookmarkStart w:id="706" w:name="_Toc11161443"/>
      <w:bookmarkStart w:id="707" w:name="_Toc152045561"/>
      <w:bookmarkStart w:id="708" w:name="_Toc144974529"/>
      <w:bookmarkStart w:id="709" w:name="_Toc11161144"/>
      <w:bookmarkStart w:id="710" w:name="_Toc11162148"/>
      <w:r>
        <w:rPr>
          <w:rFonts w:hint="eastAsia" w:ascii="宋体" w:hAnsi="宋体" w:eastAsia="宋体" w:cs="宋体"/>
          <w:color w:val="auto"/>
          <w:sz w:val="24"/>
          <w:szCs w:val="24"/>
          <w:highlight w:val="none"/>
        </w:rPr>
        <w:t>5.2 竞争性磋商程序</w:t>
      </w:r>
      <w:bookmarkEnd w:id="703"/>
      <w:bookmarkEnd w:id="704"/>
      <w:bookmarkEnd w:id="705"/>
      <w:bookmarkEnd w:id="706"/>
      <w:bookmarkEnd w:id="707"/>
      <w:bookmarkEnd w:id="708"/>
      <w:bookmarkEnd w:id="709"/>
      <w:bookmarkEnd w:id="710"/>
      <w:bookmarkStart w:id="711" w:name="_Toc510859691"/>
      <w:bookmarkStart w:id="712" w:name="_Toc513557032"/>
      <w:bookmarkStart w:id="713" w:name="_Toc179632580"/>
      <w:bookmarkStart w:id="714" w:name="_Toc363119283"/>
      <w:bookmarkStart w:id="715" w:name="_Toc510859897"/>
      <w:bookmarkStart w:id="716" w:name="_Toc152045562"/>
      <w:bookmarkStart w:id="717" w:name="_Toc152042338"/>
      <w:bookmarkStart w:id="718" w:name="_Toc144974530"/>
      <w:bookmarkStart w:id="719" w:name="_Toc11161176"/>
      <w:bookmarkStart w:id="720" w:name="_Toc11156043"/>
      <w:bookmarkStart w:id="721" w:name="_Toc11162663"/>
      <w:bookmarkStart w:id="722" w:name="_Toc11161475"/>
      <w:bookmarkStart w:id="723" w:name="_Toc2250"/>
      <w:bookmarkStart w:id="724" w:name="_Toc11162180"/>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见供应商须知前附表。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w:t>
      </w:r>
      <w:bookmarkEnd w:id="711"/>
      <w:bookmarkEnd w:id="712"/>
      <w:bookmarkEnd w:id="713"/>
      <w:bookmarkEnd w:id="714"/>
      <w:bookmarkEnd w:id="715"/>
      <w:bookmarkEnd w:id="716"/>
      <w:bookmarkEnd w:id="717"/>
      <w:bookmarkEnd w:id="718"/>
      <w:r>
        <w:rPr>
          <w:rFonts w:hint="eastAsia" w:ascii="宋体" w:hAnsi="宋体" w:eastAsia="宋体" w:cs="宋体"/>
          <w:color w:val="auto"/>
          <w:sz w:val="24"/>
          <w:szCs w:val="24"/>
          <w:highlight w:val="none"/>
        </w:rPr>
        <w:t>审</w:t>
      </w:r>
      <w:bookmarkEnd w:id="719"/>
      <w:bookmarkEnd w:id="720"/>
      <w:bookmarkEnd w:id="721"/>
      <w:bookmarkEnd w:id="722"/>
      <w:bookmarkEnd w:id="723"/>
      <w:bookmarkEnd w:id="724"/>
    </w:p>
    <w:p>
      <w:pPr>
        <w:spacing w:line="360" w:lineRule="auto"/>
        <w:rPr>
          <w:rFonts w:hint="eastAsia" w:ascii="宋体" w:hAnsi="宋体" w:eastAsia="宋体" w:cs="宋体"/>
          <w:color w:val="auto"/>
          <w:sz w:val="24"/>
          <w:szCs w:val="24"/>
          <w:highlight w:val="none"/>
        </w:rPr>
      </w:pPr>
      <w:bookmarkStart w:id="725" w:name="_Toc144974531"/>
      <w:bookmarkStart w:id="726" w:name="_Toc179632581"/>
      <w:bookmarkStart w:id="727" w:name="_Toc152045563"/>
      <w:bookmarkStart w:id="728" w:name="_Toc152042339"/>
      <w:bookmarkStart w:id="729" w:name="_Toc11162181"/>
      <w:bookmarkStart w:id="730" w:name="_Toc11162664"/>
      <w:bookmarkStart w:id="731" w:name="_Toc11161177"/>
      <w:bookmarkStart w:id="732" w:name="_Toc11161476"/>
      <w:r>
        <w:rPr>
          <w:rFonts w:hint="eastAsia" w:ascii="宋体" w:hAnsi="宋体" w:eastAsia="宋体" w:cs="宋体"/>
          <w:color w:val="auto"/>
          <w:sz w:val="24"/>
          <w:szCs w:val="24"/>
          <w:highlight w:val="none"/>
        </w:rPr>
        <w:t xml:space="preserve">6.1 </w:t>
      </w:r>
      <w:bookmarkEnd w:id="725"/>
      <w:bookmarkEnd w:id="726"/>
      <w:bookmarkEnd w:id="727"/>
      <w:bookmarkEnd w:id="728"/>
      <w:r>
        <w:rPr>
          <w:rFonts w:hint="eastAsia" w:ascii="宋体" w:hAnsi="宋体" w:eastAsia="宋体" w:cs="宋体"/>
          <w:color w:val="auto"/>
          <w:sz w:val="24"/>
          <w:szCs w:val="24"/>
          <w:highlight w:val="none"/>
        </w:rPr>
        <w:t>磋商小组</w:t>
      </w:r>
      <w:bookmarkEnd w:id="729"/>
      <w:bookmarkEnd w:id="730"/>
      <w:bookmarkEnd w:id="731"/>
      <w:bookmarkEnd w:id="732"/>
    </w:p>
    <w:p>
      <w:pPr>
        <w:spacing w:line="360" w:lineRule="auto"/>
        <w:rPr>
          <w:rFonts w:hint="eastAsia" w:ascii="宋体" w:hAnsi="宋体" w:eastAsia="宋体" w:cs="宋体"/>
          <w:color w:val="auto"/>
          <w:sz w:val="24"/>
          <w:szCs w:val="24"/>
          <w:highlight w:val="none"/>
        </w:rPr>
      </w:pPr>
      <w:bookmarkStart w:id="733" w:name="_Toc11161178"/>
      <w:bookmarkStart w:id="734" w:name="_Toc11161477"/>
      <w:bookmarkStart w:id="735" w:name="_Toc11162182"/>
      <w:bookmarkStart w:id="736" w:name="_Toc11162665"/>
      <w:r>
        <w:rPr>
          <w:rFonts w:hint="eastAsia" w:ascii="宋体" w:hAnsi="宋体" w:eastAsia="宋体" w:cs="宋体"/>
          <w:color w:val="auto"/>
          <w:sz w:val="24"/>
          <w:szCs w:val="24"/>
          <w:highlight w:val="none"/>
        </w:rPr>
        <w:t>6.1.1评审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bookmarkEnd w:id="733"/>
      <w:bookmarkEnd w:id="734"/>
      <w:bookmarkEnd w:id="735"/>
      <w:bookmarkEnd w:id="736"/>
    </w:p>
    <w:p>
      <w:pPr>
        <w:spacing w:line="360" w:lineRule="auto"/>
        <w:rPr>
          <w:rFonts w:hint="eastAsia" w:ascii="宋体" w:hAnsi="宋体" w:eastAsia="宋体" w:cs="宋体"/>
          <w:color w:val="auto"/>
          <w:sz w:val="24"/>
          <w:szCs w:val="24"/>
          <w:highlight w:val="none"/>
        </w:rPr>
      </w:pPr>
      <w:bookmarkStart w:id="737" w:name="_Toc11161478"/>
      <w:bookmarkStart w:id="738" w:name="_Toc11161179"/>
      <w:bookmarkStart w:id="739" w:name="_Toc11162183"/>
      <w:bookmarkStart w:id="740" w:name="_Toc11162666"/>
      <w:r>
        <w:rPr>
          <w:rFonts w:hint="eastAsia" w:ascii="宋体" w:hAnsi="宋体" w:eastAsia="宋体" w:cs="宋体"/>
          <w:color w:val="auto"/>
          <w:sz w:val="24"/>
          <w:szCs w:val="24"/>
          <w:highlight w:val="none"/>
        </w:rPr>
        <w:t>6.1.2 磋商小组成员有下列情形之一的，应当回避：</w:t>
      </w:r>
      <w:bookmarkEnd w:id="737"/>
      <w:bookmarkEnd w:id="738"/>
      <w:bookmarkEnd w:id="739"/>
      <w:bookmarkEnd w:id="740"/>
    </w:p>
    <w:p>
      <w:pPr>
        <w:spacing w:line="360" w:lineRule="auto"/>
        <w:rPr>
          <w:rFonts w:hint="eastAsia" w:ascii="宋体" w:hAnsi="宋体" w:eastAsia="宋体" w:cs="宋体"/>
          <w:color w:val="auto"/>
          <w:sz w:val="24"/>
          <w:szCs w:val="24"/>
          <w:highlight w:val="none"/>
        </w:rPr>
      </w:pPr>
      <w:bookmarkStart w:id="741" w:name="_Toc11162184"/>
      <w:bookmarkStart w:id="742" w:name="_Toc11161479"/>
      <w:bookmarkStart w:id="743" w:name="_Toc11162667"/>
      <w:bookmarkStart w:id="744" w:name="_Toc11161180"/>
      <w:r>
        <w:rPr>
          <w:rFonts w:hint="eastAsia" w:ascii="宋体" w:hAnsi="宋体" w:eastAsia="宋体" w:cs="宋体"/>
          <w:color w:val="auto"/>
          <w:sz w:val="24"/>
          <w:szCs w:val="24"/>
          <w:highlight w:val="none"/>
        </w:rPr>
        <w:t>（1）采购人或供应商的主要负责人的近亲属；</w:t>
      </w:r>
      <w:bookmarkEnd w:id="741"/>
      <w:bookmarkEnd w:id="742"/>
      <w:bookmarkEnd w:id="743"/>
      <w:bookmarkEnd w:id="744"/>
    </w:p>
    <w:p>
      <w:pPr>
        <w:spacing w:line="360" w:lineRule="auto"/>
        <w:rPr>
          <w:rFonts w:hint="eastAsia" w:ascii="宋体" w:hAnsi="宋体" w:eastAsia="宋体" w:cs="宋体"/>
          <w:color w:val="auto"/>
          <w:sz w:val="24"/>
          <w:szCs w:val="24"/>
          <w:highlight w:val="none"/>
        </w:rPr>
      </w:pPr>
      <w:bookmarkStart w:id="745" w:name="_Toc11162185"/>
      <w:bookmarkStart w:id="746" w:name="_Toc11161480"/>
      <w:bookmarkStart w:id="747" w:name="_Toc11161181"/>
      <w:bookmarkStart w:id="748" w:name="_Toc11162668"/>
      <w:r>
        <w:rPr>
          <w:rFonts w:hint="eastAsia" w:ascii="宋体" w:hAnsi="宋体" w:eastAsia="宋体" w:cs="宋体"/>
          <w:color w:val="auto"/>
          <w:sz w:val="24"/>
          <w:szCs w:val="24"/>
          <w:highlight w:val="none"/>
        </w:rPr>
        <w:t>（2）项目主管部门或者行政监督部门的人员；</w:t>
      </w:r>
      <w:bookmarkEnd w:id="745"/>
      <w:bookmarkEnd w:id="746"/>
      <w:bookmarkEnd w:id="747"/>
      <w:bookmarkEnd w:id="748"/>
    </w:p>
    <w:p>
      <w:pPr>
        <w:spacing w:line="360" w:lineRule="auto"/>
        <w:rPr>
          <w:rFonts w:hint="eastAsia" w:ascii="宋体" w:hAnsi="宋体" w:eastAsia="宋体" w:cs="宋体"/>
          <w:color w:val="auto"/>
          <w:sz w:val="24"/>
          <w:szCs w:val="24"/>
          <w:highlight w:val="none"/>
        </w:rPr>
      </w:pPr>
      <w:bookmarkStart w:id="749" w:name="_Toc11161481"/>
      <w:bookmarkStart w:id="750" w:name="_Toc11162186"/>
      <w:bookmarkStart w:id="751" w:name="_Toc11161182"/>
      <w:bookmarkStart w:id="752" w:name="_Toc11162669"/>
      <w:r>
        <w:rPr>
          <w:rFonts w:hint="eastAsia" w:ascii="宋体" w:hAnsi="宋体" w:eastAsia="宋体" w:cs="宋体"/>
          <w:color w:val="auto"/>
          <w:sz w:val="24"/>
          <w:szCs w:val="24"/>
          <w:highlight w:val="none"/>
        </w:rPr>
        <w:t>（3）与供应商有经济利益关系，可能影响对磋商公正评审的；</w:t>
      </w:r>
      <w:bookmarkEnd w:id="749"/>
      <w:bookmarkEnd w:id="750"/>
      <w:bookmarkEnd w:id="751"/>
      <w:bookmarkEnd w:id="752"/>
    </w:p>
    <w:p>
      <w:pPr>
        <w:spacing w:line="360" w:lineRule="auto"/>
        <w:rPr>
          <w:rFonts w:hint="eastAsia" w:ascii="宋体" w:hAnsi="宋体" w:eastAsia="宋体" w:cs="宋体"/>
          <w:color w:val="auto"/>
          <w:sz w:val="24"/>
          <w:szCs w:val="24"/>
          <w:highlight w:val="none"/>
        </w:rPr>
      </w:pPr>
      <w:bookmarkStart w:id="753" w:name="_Toc11162187"/>
      <w:bookmarkStart w:id="754" w:name="_Toc11161183"/>
      <w:bookmarkStart w:id="755" w:name="_Toc11162670"/>
      <w:bookmarkStart w:id="756" w:name="_Toc11161482"/>
      <w:r>
        <w:rPr>
          <w:rFonts w:hint="eastAsia" w:ascii="宋体" w:hAnsi="宋体" w:eastAsia="宋体" w:cs="宋体"/>
          <w:color w:val="auto"/>
          <w:sz w:val="24"/>
          <w:szCs w:val="24"/>
          <w:highlight w:val="none"/>
        </w:rPr>
        <w:t>（4）曾因在采购、评审以及其他与采购投标有关活动中从事违法行为而受过行政处罚或刑事处罚的。</w:t>
      </w:r>
      <w:bookmarkEnd w:id="753"/>
      <w:bookmarkEnd w:id="754"/>
      <w:bookmarkEnd w:id="755"/>
      <w:bookmarkEnd w:id="756"/>
    </w:p>
    <w:p>
      <w:pPr>
        <w:spacing w:line="360" w:lineRule="auto"/>
        <w:rPr>
          <w:rFonts w:hint="eastAsia" w:ascii="宋体" w:hAnsi="宋体" w:eastAsia="宋体" w:cs="宋体"/>
          <w:color w:val="auto"/>
          <w:sz w:val="24"/>
          <w:szCs w:val="24"/>
          <w:highlight w:val="none"/>
        </w:rPr>
      </w:pPr>
      <w:bookmarkStart w:id="757" w:name="_Toc179632582"/>
      <w:bookmarkStart w:id="758" w:name="_Toc144974532"/>
      <w:bookmarkStart w:id="759" w:name="_Toc152042340"/>
      <w:bookmarkStart w:id="760" w:name="_Toc11161184"/>
      <w:bookmarkStart w:id="761" w:name="_Toc152045564"/>
      <w:bookmarkStart w:id="762" w:name="_Toc11162671"/>
      <w:bookmarkStart w:id="763" w:name="_Toc11162188"/>
      <w:bookmarkStart w:id="764" w:name="_Toc11161483"/>
      <w:r>
        <w:rPr>
          <w:rFonts w:hint="eastAsia" w:ascii="宋体" w:hAnsi="宋体" w:eastAsia="宋体" w:cs="宋体"/>
          <w:color w:val="auto"/>
          <w:sz w:val="24"/>
          <w:szCs w:val="24"/>
          <w:highlight w:val="none"/>
        </w:rPr>
        <w:t>6.2 评审原则</w:t>
      </w:r>
      <w:bookmarkEnd w:id="757"/>
      <w:bookmarkEnd w:id="758"/>
      <w:bookmarkEnd w:id="759"/>
      <w:bookmarkEnd w:id="760"/>
      <w:bookmarkEnd w:id="761"/>
      <w:bookmarkEnd w:id="762"/>
      <w:bookmarkEnd w:id="763"/>
      <w:bookmarkEnd w:id="764"/>
      <w:r>
        <w:rPr>
          <w:rFonts w:hint="eastAsia" w:ascii="宋体" w:hAnsi="宋体" w:eastAsia="宋体" w:cs="宋体"/>
          <w:color w:val="auto"/>
          <w:sz w:val="24"/>
          <w:szCs w:val="24"/>
          <w:highlight w:val="none"/>
        </w:rPr>
        <w:tab/>
      </w:r>
    </w:p>
    <w:p>
      <w:pPr>
        <w:spacing w:line="360" w:lineRule="auto"/>
        <w:rPr>
          <w:rFonts w:hint="eastAsia" w:ascii="宋体" w:hAnsi="宋体" w:eastAsia="宋体" w:cs="宋体"/>
          <w:color w:val="auto"/>
          <w:sz w:val="24"/>
          <w:szCs w:val="24"/>
          <w:highlight w:val="none"/>
        </w:rPr>
      </w:pPr>
      <w:bookmarkStart w:id="765" w:name="_Toc11162189"/>
      <w:bookmarkStart w:id="766" w:name="_Toc11161484"/>
      <w:bookmarkStart w:id="767" w:name="_Toc11162672"/>
      <w:bookmarkStart w:id="768" w:name="_Toc11161185"/>
      <w:r>
        <w:rPr>
          <w:rFonts w:hint="eastAsia" w:ascii="宋体" w:hAnsi="宋体" w:eastAsia="宋体" w:cs="宋体"/>
          <w:color w:val="auto"/>
          <w:sz w:val="24"/>
          <w:szCs w:val="24"/>
          <w:highlight w:val="none"/>
        </w:rPr>
        <w:t>评审活动遵循公平、公正、科学和择优的原则。</w:t>
      </w:r>
      <w:bookmarkEnd w:id="765"/>
      <w:bookmarkEnd w:id="766"/>
      <w:bookmarkEnd w:id="767"/>
      <w:bookmarkEnd w:id="768"/>
    </w:p>
    <w:p>
      <w:pPr>
        <w:spacing w:line="360" w:lineRule="auto"/>
        <w:rPr>
          <w:rFonts w:hint="eastAsia" w:ascii="宋体" w:hAnsi="宋体" w:eastAsia="宋体" w:cs="宋体"/>
          <w:color w:val="auto"/>
          <w:sz w:val="24"/>
          <w:szCs w:val="24"/>
          <w:highlight w:val="none"/>
        </w:rPr>
      </w:pPr>
      <w:bookmarkStart w:id="769" w:name="_Toc11161485"/>
      <w:bookmarkStart w:id="770" w:name="_Toc179632583"/>
      <w:bookmarkStart w:id="771" w:name="_Toc11161186"/>
      <w:bookmarkStart w:id="772" w:name="_Toc11162673"/>
      <w:bookmarkStart w:id="773" w:name="_Toc144974533"/>
      <w:bookmarkStart w:id="774" w:name="_Toc11162190"/>
      <w:bookmarkStart w:id="775" w:name="_Toc152042341"/>
      <w:bookmarkStart w:id="776" w:name="_Toc152045565"/>
      <w:r>
        <w:rPr>
          <w:rFonts w:hint="eastAsia" w:ascii="宋体" w:hAnsi="宋体" w:eastAsia="宋体" w:cs="宋体"/>
          <w:color w:val="auto"/>
          <w:sz w:val="24"/>
          <w:szCs w:val="24"/>
          <w:highlight w:val="none"/>
        </w:rPr>
        <w:t>6.3 评审</w:t>
      </w:r>
      <w:bookmarkEnd w:id="769"/>
      <w:bookmarkEnd w:id="770"/>
      <w:bookmarkEnd w:id="771"/>
      <w:bookmarkEnd w:id="772"/>
      <w:bookmarkEnd w:id="773"/>
      <w:bookmarkEnd w:id="774"/>
      <w:bookmarkEnd w:id="775"/>
      <w:bookmarkEnd w:id="776"/>
    </w:p>
    <w:p>
      <w:pPr>
        <w:spacing w:line="360" w:lineRule="auto"/>
        <w:rPr>
          <w:rFonts w:hint="eastAsia" w:ascii="宋体" w:hAnsi="宋体" w:eastAsia="宋体" w:cs="宋体"/>
          <w:color w:val="auto"/>
          <w:sz w:val="24"/>
          <w:szCs w:val="24"/>
          <w:highlight w:val="none"/>
        </w:rPr>
      </w:pPr>
      <w:bookmarkStart w:id="777" w:name="_Toc11162674"/>
      <w:bookmarkStart w:id="778" w:name="_Toc11161486"/>
      <w:bookmarkStart w:id="779" w:name="_Toc11162191"/>
      <w:bookmarkStart w:id="780" w:name="_Toc11161187"/>
      <w:r>
        <w:rPr>
          <w:rFonts w:hint="eastAsia" w:ascii="宋体" w:hAnsi="宋体" w:eastAsia="宋体" w:cs="宋体"/>
          <w:color w:val="auto"/>
          <w:sz w:val="24"/>
          <w:szCs w:val="24"/>
          <w:highlight w:val="none"/>
        </w:rPr>
        <w:t>6.3.1磋商小组按照第三章“评审办法”规定的方法、评审因素、标准和程序对磋商响应文件进行评审。第三章“评审办法”没有规定的方法、评审因素和标准，不作为评审依据。</w:t>
      </w:r>
      <w:bookmarkEnd w:id="777"/>
      <w:bookmarkEnd w:id="778"/>
      <w:bookmarkEnd w:id="779"/>
      <w:bookmarkEnd w:id="780"/>
    </w:p>
    <w:p>
      <w:pPr>
        <w:spacing w:line="360" w:lineRule="auto"/>
        <w:rPr>
          <w:rFonts w:hint="eastAsia" w:ascii="宋体" w:hAnsi="宋体" w:eastAsia="宋体" w:cs="宋体"/>
          <w:color w:val="auto"/>
          <w:sz w:val="24"/>
          <w:szCs w:val="24"/>
          <w:highlight w:val="none"/>
        </w:rPr>
      </w:pPr>
      <w:bookmarkStart w:id="781" w:name="_Toc11161188"/>
      <w:bookmarkStart w:id="782" w:name="_Toc11162192"/>
      <w:bookmarkStart w:id="783" w:name="_Toc11161487"/>
      <w:bookmarkStart w:id="784" w:name="_Toc11162675"/>
      <w:r>
        <w:rPr>
          <w:rFonts w:hint="eastAsia" w:ascii="宋体" w:hAnsi="宋体" w:eastAsia="宋体" w:cs="宋体"/>
          <w:color w:val="auto"/>
          <w:sz w:val="24"/>
          <w:szCs w:val="24"/>
          <w:highlight w:val="none"/>
        </w:rPr>
        <w:t>6.3.2评审过程的保密</w:t>
      </w:r>
      <w:bookmarkEnd w:id="781"/>
      <w:bookmarkEnd w:id="782"/>
      <w:bookmarkEnd w:id="783"/>
      <w:bookmarkEnd w:id="784"/>
    </w:p>
    <w:p>
      <w:pPr>
        <w:spacing w:line="360" w:lineRule="auto"/>
        <w:rPr>
          <w:rFonts w:hint="eastAsia" w:ascii="宋体" w:hAnsi="宋体" w:eastAsia="宋体" w:cs="宋体"/>
          <w:color w:val="auto"/>
          <w:sz w:val="24"/>
          <w:szCs w:val="24"/>
          <w:highlight w:val="none"/>
        </w:rPr>
      </w:pPr>
      <w:bookmarkStart w:id="785" w:name="_Toc11162676"/>
      <w:bookmarkStart w:id="786" w:name="_Toc11161189"/>
      <w:bookmarkStart w:id="787" w:name="_Toc11162193"/>
      <w:bookmarkStart w:id="788" w:name="_Toc11161488"/>
      <w:r>
        <w:rPr>
          <w:rFonts w:hint="eastAsia" w:ascii="宋体" w:hAnsi="宋体" w:eastAsia="宋体" w:cs="宋体"/>
          <w:color w:val="auto"/>
          <w:sz w:val="24"/>
          <w:szCs w:val="24"/>
          <w:highlight w:val="none"/>
        </w:rPr>
        <w:t>（1） 竞争性磋商后，直至授予成交人合同为止，凡属于对磋商响应文件的审查、补遗、评价和比较的有关资料以及成交人候选人的推荐情况等均严格保密。</w:t>
      </w:r>
      <w:bookmarkEnd w:id="785"/>
      <w:bookmarkEnd w:id="786"/>
      <w:bookmarkEnd w:id="787"/>
      <w:bookmarkEnd w:id="788"/>
    </w:p>
    <w:p>
      <w:pPr>
        <w:spacing w:line="360" w:lineRule="auto"/>
        <w:rPr>
          <w:rFonts w:hint="eastAsia" w:ascii="宋体" w:hAnsi="宋体" w:eastAsia="宋体" w:cs="宋体"/>
          <w:color w:val="auto"/>
          <w:sz w:val="24"/>
          <w:szCs w:val="24"/>
          <w:highlight w:val="none"/>
        </w:rPr>
      </w:pPr>
      <w:bookmarkStart w:id="789" w:name="_Toc11161489"/>
      <w:bookmarkStart w:id="790" w:name="_Toc11161190"/>
      <w:bookmarkStart w:id="791" w:name="_Toc11162677"/>
      <w:bookmarkStart w:id="792" w:name="_Toc11162194"/>
      <w:r>
        <w:rPr>
          <w:rFonts w:hint="eastAsia" w:ascii="宋体" w:hAnsi="宋体" w:eastAsia="宋体" w:cs="宋体"/>
          <w:color w:val="auto"/>
          <w:sz w:val="24"/>
          <w:szCs w:val="24"/>
          <w:highlight w:val="none"/>
        </w:rPr>
        <w:t>（2） 在磋商响应文件的评审、成交人候选人推荐以及授予合同的过程中，供应商向采购人和磋商小组施加影响的任何行为，都将会导致其竞争性磋商被拒绝直至取消其中标资格。</w:t>
      </w:r>
      <w:bookmarkEnd w:id="789"/>
      <w:bookmarkEnd w:id="790"/>
      <w:bookmarkEnd w:id="791"/>
      <w:bookmarkEnd w:id="792"/>
    </w:p>
    <w:p>
      <w:pPr>
        <w:spacing w:line="360" w:lineRule="auto"/>
        <w:rPr>
          <w:rFonts w:hint="eastAsia" w:ascii="宋体" w:hAnsi="宋体" w:eastAsia="宋体" w:cs="宋体"/>
          <w:color w:val="auto"/>
          <w:sz w:val="24"/>
          <w:szCs w:val="24"/>
          <w:highlight w:val="none"/>
        </w:rPr>
      </w:pPr>
      <w:bookmarkStart w:id="793" w:name="_Toc11162678"/>
      <w:bookmarkStart w:id="794" w:name="_Toc11161191"/>
      <w:bookmarkStart w:id="795" w:name="_Toc11161490"/>
      <w:bookmarkStart w:id="796" w:name="_Toc11162195"/>
      <w:r>
        <w:rPr>
          <w:rFonts w:hint="eastAsia" w:ascii="宋体" w:hAnsi="宋体" w:eastAsia="宋体" w:cs="宋体"/>
          <w:color w:val="auto"/>
          <w:sz w:val="24"/>
          <w:szCs w:val="24"/>
          <w:highlight w:val="none"/>
        </w:rPr>
        <w:t>（3） 成交人确定后，采购人不对未成交人就评审过程以及未能中标原因作出任何解释。未成交人不得向磋商小组组成人员或其他有关人员索问评审过程的情况和材料。</w:t>
      </w:r>
      <w:bookmarkEnd w:id="793"/>
      <w:bookmarkEnd w:id="794"/>
      <w:bookmarkEnd w:id="795"/>
      <w:bookmarkEnd w:id="796"/>
      <w:bookmarkStart w:id="797" w:name="_Toc152042342"/>
      <w:bookmarkStart w:id="798" w:name="_Toc179632584"/>
      <w:bookmarkStart w:id="799" w:name="_Toc144974534"/>
      <w:bookmarkStart w:id="800" w:name="_Toc152045566"/>
    </w:p>
    <w:p>
      <w:pPr>
        <w:spacing w:line="360" w:lineRule="auto"/>
        <w:rPr>
          <w:rFonts w:hint="eastAsia" w:ascii="宋体" w:hAnsi="宋体" w:eastAsia="宋体" w:cs="宋体"/>
          <w:color w:val="auto"/>
          <w:sz w:val="24"/>
          <w:szCs w:val="24"/>
          <w:highlight w:val="none"/>
        </w:rPr>
      </w:pPr>
      <w:bookmarkStart w:id="801" w:name="_Toc11161192"/>
      <w:bookmarkStart w:id="802" w:name="_Toc11161491"/>
      <w:bookmarkStart w:id="803" w:name="_Toc11162679"/>
      <w:bookmarkStart w:id="804" w:name="_Toc11162196"/>
      <w:r>
        <w:rPr>
          <w:rFonts w:hint="eastAsia" w:ascii="宋体" w:hAnsi="宋体" w:eastAsia="宋体" w:cs="宋体"/>
          <w:color w:val="auto"/>
          <w:sz w:val="24"/>
          <w:szCs w:val="24"/>
          <w:highlight w:val="none"/>
        </w:rPr>
        <w:t>6.3.3磋商响应文件的澄清</w:t>
      </w:r>
      <w:bookmarkEnd w:id="801"/>
      <w:bookmarkEnd w:id="802"/>
      <w:bookmarkEnd w:id="803"/>
      <w:bookmarkEnd w:id="804"/>
    </w:p>
    <w:p>
      <w:pPr>
        <w:spacing w:line="360" w:lineRule="auto"/>
        <w:rPr>
          <w:rFonts w:hint="eastAsia" w:ascii="宋体" w:hAnsi="宋体" w:eastAsia="宋体" w:cs="宋体"/>
          <w:color w:val="auto"/>
          <w:sz w:val="24"/>
          <w:szCs w:val="24"/>
          <w:highlight w:val="none"/>
        </w:rPr>
      </w:pPr>
      <w:bookmarkStart w:id="805" w:name="_Toc11162680"/>
      <w:bookmarkStart w:id="806" w:name="_Toc11161492"/>
      <w:bookmarkStart w:id="807" w:name="_Toc11161193"/>
      <w:bookmarkStart w:id="808" w:name="_Toc11162197"/>
      <w:r>
        <w:rPr>
          <w:rFonts w:hint="eastAsia" w:ascii="宋体" w:hAnsi="宋体" w:eastAsia="宋体" w:cs="宋体"/>
          <w:color w:val="auto"/>
          <w:sz w:val="24"/>
          <w:szCs w:val="24"/>
          <w:highlight w:val="none"/>
        </w:rPr>
        <w:t>（1）为有助于磋商响应文件的审查、评价和比较，磋商小组可以书面形式要求供应商对磋商响应文件不明确的内容作必要的澄清或说明，供应商应采用书面形式进行澄清或说明，但不得超出磋商响应文件的范围或磋商响应文件的实质性内容。根据本须知第6.3.4条规定，凡属于磋商小组在评审中发现的计算错误进行核实的修改不在此列。</w:t>
      </w:r>
      <w:bookmarkEnd w:id="805"/>
      <w:bookmarkEnd w:id="806"/>
      <w:bookmarkEnd w:id="807"/>
      <w:bookmarkEnd w:id="808"/>
    </w:p>
    <w:p>
      <w:pPr>
        <w:spacing w:line="360" w:lineRule="auto"/>
        <w:rPr>
          <w:rFonts w:hint="eastAsia" w:ascii="宋体" w:hAnsi="宋体" w:eastAsia="宋体" w:cs="宋体"/>
          <w:color w:val="auto"/>
          <w:sz w:val="24"/>
          <w:szCs w:val="24"/>
          <w:highlight w:val="none"/>
        </w:rPr>
      </w:pPr>
      <w:bookmarkStart w:id="809" w:name="_Toc11162198"/>
      <w:bookmarkStart w:id="810" w:name="_Toc11161194"/>
      <w:bookmarkStart w:id="811" w:name="_Toc11161493"/>
      <w:bookmarkStart w:id="812" w:name="_Toc11162681"/>
      <w:r>
        <w:rPr>
          <w:rFonts w:hint="eastAsia" w:ascii="宋体" w:hAnsi="宋体" w:eastAsia="宋体" w:cs="宋体"/>
          <w:color w:val="auto"/>
          <w:sz w:val="24"/>
          <w:szCs w:val="24"/>
          <w:highlight w:val="none"/>
        </w:rPr>
        <w:t>（2）磋商小组认为有必要时，可向供应商进行询标。</w:t>
      </w:r>
      <w:bookmarkEnd w:id="809"/>
      <w:bookmarkEnd w:id="810"/>
      <w:bookmarkEnd w:id="811"/>
      <w:bookmarkEnd w:id="812"/>
    </w:p>
    <w:p>
      <w:pPr>
        <w:spacing w:line="360" w:lineRule="auto"/>
        <w:rPr>
          <w:rFonts w:hint="eastAsia" w:ascii="宋体" w:hAnsi="宋体" w:eastAsia="宋体" w:cs="宋体"/>
          <w:color w:val="auto"/>
          <w:sz w:val="24"/>
          <w:szCs w:val="24"/>
          <w:highlight w:val="none"/>
        </w:rPr>
      </w:pPr>
      <w:bookmarkStart w:id="813" w:name="_Toc11161195"/>
      <w:bookmarkStart w:id="814" w:name="_Toc11162199"/>
      <w:bookmarkStart w:id="815" w:name="_Toc11162682"/>
      <w:bookmarkStart w:id="816" w:name="_Toc11161494"/>
      <w:r>
        <w:rPr>
          <w:rFonts w:hint="eastAsia" w:ascii="宋体" w:hAnsi="宋体" w:eastAsia="宋体" w:cs="宋体"/>
          <w:color w:val="auto"/>
          <w:sz w:val="24"/>
          <w:szCs w:val="24"/>
          <w:highlight w:val="none"/>
        </w:rPr>
        <w:t>6.3.4磋商响应文件计算错误的修正</w:t>
      </w:r>
      <w:bookmarkEnd w:id="813"/>
      <w:bookmarkEnd w:id="814"/>
      <w:bookmarkEnd w:id="815"/>
      <w:bookmarkEnd w:id="816"/>
    </w:p>
    <w:p>
      <w:pPr>
        <w:spacing w:line="360" w:lineRule="auto"/>
        <w:rPr>
          <w:rFonts w:hint="eastAsia" w:ascii="宋体" w:hAnsi="宋体" w:eastAsia="宋体" w:cs="宋体"/>
          <w:color w:val="auto"/>
          <w:sz w:val="24"/>
          <w:szCs w:val="24"/>
          <w:highlight w:val="none"/>
        </w:rPr>
      </w:pPr>
      <w:bookmarkStart w:id="817" w:name="_Toc11161495"/>
      <w:bookmarkStart w:id="818" w:name="_Toc11161196"/>
      <w:bookmarkStart w:id="819" w:name="_Toc11162683"/>
      <w:bookmarkStart w:id="820" w:name="_Toc11162200"/>
      <w:r>
        <w:rPr>
          <w:rFonts w:hint="eastAsia" w:ascii="宋体" w:hAnsi="宋体" w:eastAsia="宋体" w:cs="宋体"/>
          <w:color w:val="auto"/>
          <w:sz w:val="24"/>
          <w:szCs w:val="24"/>
          <w:highlight w:val="none"/>
        </w:rPr>
        <w:t>（1）磋商小组将对确定为实质上响应竞争性磋商文件要求的磋商响应文件进行校核，看其是否有计算或表达上的错误，修正错误的原则如下：</w:t>
      </w:r>
      <w:bookmarkEnd w:id="817"/>
      <w:bookmarkEnd w:id="818"/>
      <w:bookmarkEnd w:id="819"/>
      <w:bookmarkEnd w:id="820"/>
    </w:p>
    <w:p>
      <w:pPr>
        <w:spacing w:line="360" w:lineRule="auto"/>
        <w:rPr>
          <w:rFonts w:hint="eastAsia" w:ascii="宋体" w:hAnsi="宋体" w:eastAsia="宋体" w:cs="宋体"/>
          <w:color w:val="auto"/>
          <w:sz w:val="24"/>
          <w:szCs w:val="24"/>
          <w:highlight w:val="none"/>
        </w:rPr>
      </w:pPr>
      <w:bookmarkStart w:id="821" w:name="_Toc11161496"/>
      <w:bookmarkStart w:id="822" w:name="_Toc11161197"/>
      <w:bookmarkStart w:id="823" w:name="_Toc11162201"/>
      <w:bookmarkStart w:id="824" w:name="_Toc11162684"/>
      <w:r>
        <w:rPr>
          <w:rFonts w:hint="eastAsia" w:ascii="宋体" w:hAnsi="宋体" w:eastAsia="宋体" w:cs="宋体"/>
          <w:color w:val="auto"/>
          <w:sz w:val="24"/>
          <w:szCs w:val="24"/>
          <w:highlight w:val="none"/>
        </w:rPr>
        <w:t>当单价与数量的乘积与合价不一致时，以单价为准，除非磋商小组认为单价有明显的小数点错误，此时应以标出的合价为准，并修改单价。</w:t>
      </w:r>
      <w:bookmarkEnd w:id="821"/>
      <w:bookmarkEnd w:id="822"/>
      <w:bookmarkEnd w:id="823"/>
      <w:bookmarkEnd w:id="824"/>
    </w:p>
    <w:p>
      <w:pPr>
        <w:spacing w:line="360" w:lineRule="auto"/>
        <w:rPr>
          <w:rFonts w:hint="eastAsia" w:ascii="宋体" w:hAnsi="宋体" w:eastAsia="宋体" w:cs="宋体"/>
          <w:color w:val="auto"/>
          <w:sz w:val="24"/>
          <w:szCs w:val="24"/>
          <w:highlight w:val="none"/>
        </w:rPr>
      </w:pPr>
      <w:bookmarkStart w:id="825" w:name="_Toc11162202"/>
      <w:bookmarkStart w:id="826" w:name="_Toc11162685"/>
      <w:bookmarkStart w:id="827" w:name="_Toc11161198"/>
      <w:bookmarkStart w:id="828" w:name="_Toc11161497"/>
      <w:r>
        <w:rPr>
          <w:rFonts w:hint="eastAsia" w:ascii="宋体" w:hAnsi="宋体" w:eastAsia="宋体" w:cs="宋体"/>
          <w:color w:val="auto"/>
          <w:sz w:val="24"/>
          <w:szCs w:val="24"/>
          <w:highlight w:val="none"/>
        </w:rPr>
        <w:t>（2）按上述修正错误的原则及方法调整或修正磋商响应文件的竞争性磋商报价，供应商同意后，调整后的竞争性磋商报价对供应商起约束作用。如果供应商不接受修正后的报价，则其竞争性磋商将被拒绝，并不影响评审工作。</w:t>
      </w:r>
      <w:bookmarkEnd w:id="825"/>
      <w:bookmarkEnd w:id="826"/>
      <w:bookmarkEnd w:id="827"/>
      <w:bookmarkEnd w:id="828"/>
    </w:p>
    <w:p>
      <w:pPr>
        <w:spacing w:line="360" w:lineRule="auto"/>
        <w:rPr>
          <w:rFonts w:hint="eastAsia" w:ascii="宋体" w:hAnsi="宋体" w:eastAsia="宋体" w:cs="宋体"/>
          <w:color w:val="auto"/>
          <w:sz w:val="24"/>
          <w:szCs w:val="24"/>
          <w:highlight w:val="none"/>
        </w:rPr>
      </w:pPr>
      <w:bookmarkStart w:id="829" w:name="_Toc11161498"/>
      <w:bookmarkStart w:id="830" w:name="_Toc11161199"/>
      <w:bookmarkStart w:id="831" w:name="_Toc11162203"/>
      <w:bookmarkStart w:id="832" w:name="_Toc11162686"/>
      <w:r>
        <w:rPr>
          <w:rFonts w:hint="eastAsia" w:ascii="宋体" w:hAnsi="宋体" w:eastAsia="宋体" w:cs="宋体"/>
          <w:color w:val="auto"/>
          <w:sz w:val="24"/>
          <w:szCs w:val="24"/>
          <w:highlight w:val="none"/>
        </w:rPr>
        <w:t>6.3.5磋商响应文件的评审、比较和否决</w:t>
      </w:r>
      <w:bookmarkEnd w:id="829"/>
      <w:bookmarkEnd w:id="830"/>
      <w:bookmarkEnd w:id="831"/>
      <w:bookmarkEnd w:id="832"/>
    </w:p>
    <w:p>
      <w:pPr>
        <w:spacing w:line="360" w:lineRule="auto"/>
        <w:rPr>
          <w:rFonts w:hint="eastAsia" w:ascii="宋体" w:hAnsi="宋体" w:eastAsia="宋体" w:cs="宋体"/>
          <w:color w:val="auto"/>
          <w:sz w:val="24"/>
          <w:szCs w:val="24"/>
          <w:highlight w:val="none"/>
        </w:rPr>
      </w:pPr>
      <w:bookmarkStart w:id="833" w:name="_Toc11162687"/>
      <w:bookmarkStart w:id="834" w:name="_Toc11162204"/>
      <w:bookmarkStart w:id="835" w:name="_Toc11161499"/>
      <w:bookmarkStart w:id="836" w:name="_Toc11161200"/>
      <w:r>
        <w:rPr>
          <w:rFonts w:hint="eastAsia" w:ascii="宋体" w:hAnsi="宋体" w:eastAsia="宋体" w:cs="宋体"/>
          <w:color w:val="auto"/>
          <w:sz w:val="24"/>
          <w:szCs w:val="24"/>
          <w:highlight w:val="none"/>
        </w:rPr>
        <w:t>（1）磋商小组仅对在实质上响应竞争性磋商文件要求的磋商响应文件进行评估和比较。未响应竞争性磋商文件和合同条款的磋商响应文件，不得进行评审。</w:t>
      </w:r>
      <w:bookmarkEnd w:id="833"/>
      <w:bookmarkEnd w:id="834"/>
      <w:bookmarkEnd w:id="835"/>
      <w:bookmarkEnd w:id="836"/>
    </w:p>
    <w:p>
      <w:pPr>
        <w:spacing w:line="360" w:lineRule="auto"/>
        <w:rPr>
          <w:rFonts w:hint="eastAsia" w:ascii="宋体" w:hAnsi="宋体" w:eastAsia="宋体" w:cs="宋体"/>
          <w:color w:val="auto"/>
          <w:sz w:val="24"/>
          <w:szCs w:val="24"/>
          <w:highlight w:val="none"/>
        </w:rPr>
      </w:pPr>
      <w:bookmarkStart w:id="837" w:name="_Toc11161500"/>
      <w:bookmarkStart w:id="838" w:name="_Toc11162688"/>
      <w:bookmarkStart w:id="839" w:name="_Toc11162205"/>
      <w:bookmarkStart w:id="840" w:name="_Toc11161201"/>
      <w:r>
        <w:rPr>
          <w:rFonts w:hint="eastAsia" w:ascii="宋体" w:hAnsi="宋体" w:eastAsia="宋体" w:cs="宋体"/>
          <w:color w:val="auto"/>
          <w:sz w:val="24"/>
          <w:szCs w:val="24"/>
          <w:highlight w:val="none"/>
        </w:rPr>
        <w:t>（2）在评审过程中，磋商小组可以书面形式要求供应商就磋商响应文件中含义不明确的内容进行书面说明并提供相关材料。</w:t>
      </w:r>
      <w:bookmarkEnd w:id="837"/>
      <w:bookmarkEnd w:id="838"/>
      <w:bookmarkEnd w:id="839"/>
      <w:bookmarkEnd w:id="840"/>
    </w:p>
    <w:p>
      <w:pPr>
        <w:spacing w:line="360" w:lineRule="auto"/>
        <w:rPr>
          <w:rFonts w:hint="eastAsia" w:ascii="宋体" w:hAnsi="宋体" w:eastAsia="宋体" w:cs="宋体"/>
          <w:color w:val="auto"/>
          <w:sz w:val="24"/>
          <w:szCs w:val="24"/>
          <w:highlight w:val="none"/>
        </w:rPr>
      </w:pPr>
      <w:bookmarkStart w:id="841" w:name="_Toc11162206"/>
      <w:bookmarkStart w:id="842" w:name="_Toc11162689"/>
      <w:bookmarkStart w:id="843" w:name="_Toc11161202"/>
      <w:bookmarkStart w:id="844" w:name="_Toc11161501"/>
      <w:r>
        <w:rPr>
          <w:rFonts w:hint="eastAsia" w:ascii="宋体" w:hAnsi="宋体" w:eastAsia="宋体" w:cs="宋体"/>
          <w:color w:val="auto"/>
          <w:sz w:val="24"/>
          <w:szCs w:val="24"/>
          <w:highlight w:val="none"/>
        </w:rPr>
        <w:t>（3）磋商小组依据本次评审标准和方法，对磋商响应文件进行评审，向采购人提出书面评审报告，并根据得分由高到低的顺序，推荐成交人候选人。</w:t>
      </w:r>
      <w:bookmarkEnd w:id="841"/>
      <w:bookmarkEnd w:id="842"/>
      <w:bookmarkEnd w:id="843"/>
      <w:bookmarkEnd w:id="844"/>
    </w:p>
    <w:p>
      <w:pPr>
        <w:spacing w:line="360" w:lineRule="auto"/>
        <w:rPr>
          <w:rFonts w:hint="eastAsia" w:ascii="宋体" w:hAnsi="宋体" w:eastAsia="宋体" w:cs="宋体"/>
          <w:color w:val="auto"/>
          <w:sz w:val="24"/>
          <w:szCs w:val="24"/>
          <w:highlight w:val="none"/>
        </w:rPr>
      </w:pPr>
      <w:bookmarkStart w:id="845" w:name="_Toc513557033"/>
      <w:bookmarkStart w:id="846" w:name="_Toc510859692"/>
      <w:bookmarkStart w:id="847" w:name="_Toc31919"/>
      <w:bookmarkStart w:id="848" w:name="_Toc11161203"/>
      <w:bookmarkStart w:id="849" w:name="_Toc11161502"/>
      <w:bookmarkStart w:id="850" w:name="_Toc11162690"/>
      <w:bookmarkStart w:id="851" w:name="_Toc11156044"/>
      <w:bookmarkStart w:id="852" w:name="_Toc363119284"/>
      <w:bookmarkStart w:id="853" w:name="_Toc510859898"/>
      <w:bookmarkStart w:id="854" w:name="_Toc11162207"/>
      <w:r>
        <w:rPr>
          <w:rFonts w:hint="eastAsia" w:ascii="宋体" w:hAnsi="宋体" w:eastAsia="宋体" w:cs="宋体"/>
          <w:color w:val="auto"/>
          <w:sz w:val="24"/>
          <w:szCs w:val="24"/>
          <w:highlight w:val="none"/>
        </w:rPr>
        <w:t>7. 合同授予</w:t>
      </w:r>
      <w:bookmarkEnd w:id="797"/>
      <w:bookmarkEnd w:id="798"/>
      <w:bookmarkEnd w:id="799"/>
      <w:bookmarkEnd w:id="800"/>
      <w:bookmarkEnd w:id="845"/>
      <w:bookmarkEnd w:id="846"/>
      <w:bookmarkEnd w:id="847"/>
      <w:bookmarkEnd w:id="848"/>
      <w:bookmarkEnd w:id="849"/>
      <w:bookmarkEnd w:id="850"/>
      <w:bookmarkEnd w:id="851"/>
      <w:bookmarkEnd w:id="852"/>
      <w:bookmarkEnd w:id="853"/>
      <w:bookmarkEnd w:id="854"/>
    </w:p>
    <w:p>
      <w:pPr>
        <w:spacing w:line="360" w:lineRule="auto"/>
        <w:rPr>
          <w:rFonts w:hint="eastAsia" w:ascii="宋体" w:hAnsi="宋体" w:eastAsia="宋体" w:cs="宋体"/>
          <w:color w:val="auto"/>
          <w:sz w:val="24"/>
          <w:szCs w:val="24"/>
          <w:highlight w:val="none"/>
        </w:rPr>
      </w:pPr>
      <w:bookmarkStart w:id="855" w:name="_Toc152045567"/>
      <w:bookmarkStart w:id="856" w:name="_Toc11161503"/>
      <w:bookmarkStart w:id="857" w:name="_Toc11161204"/>
      <w:bookmarkStart w:id="858" w:name="_Toc152042343"/>
      <w:bookmarkStart w:id="859" w:name="_Toc144974535"/>
      <w:bookmarkStart w:id="860" w:name="_Toc11162208"/>
      <w:bookmarkStart w:id="861" w:name="_Toc179632585"/>
      <w:bookmarkStart w:id="862" w:name="_Toc11162691"/>
      <w:r>
        <w:rPr>
          <w:rFonts w:hint="eastAsia" w:ascii="宋体" w:hAnsi="宋体" w:eastAsia="宋体" w:cs="宋体"/>
          <w:color w:val="auto"/>
          <w:sz w:val="24"/>
          <w:szCs w:val="24"/>
          <w:highlight w:val="none"/>
        </w:rPr>
        <w:t>7.1 定标方式</w:t>
      </w:r>
      <w:bookmarkEnd w:id="855"/>
      <w:bookmarkEnd w:id="856"/>
      <w:bookmarkEnd w:id="857"/>
      <w:bookmarkEnd w:id="858"/>
      <w:bookmarkEnd w:id="859"/>
      <w:bookmarkEnd w:id="860"/>
      <w:bookmarkEnd w:id="861"/>
      <w:bookmarkEnd w:id="862"/>
    </w:p>
    <w:p>
      <w:pPr>
        <w:spacing w:line="360" w:lineRule="auto"/>
        <w:rPr>
          <w:rFonts w:hint="eastAsia" w:ascii="宋体" w:hAnsi="宋体" w:eastAsia="宋体" w:cs="宋体"/>
          <w:color w:val="auto"/>
          <w:sz w:val="24"/>
          <w:szCs w:val="24"/>
          <w:highlight w:val="none"/>
          <w:lang w:eastAsia="zh-CN"/>
        </w:rPr>
      </w:pPr>
      <w:bookmarkStart w:id="863" w:name="_Toc11162209"/>
      <w:bookmarkStart w:id="864" w:name="_Toc11162692"/>
      <w:bookmarkStart w:id="865" w:name="_Toc11161205"/>
      <w:bookmarkStart w:id="866" w:name="_Toc11161504"/>
      <w:r>
        <w:rPr>
          <w:rFonts w:hint="eastAsia" w:ascii="宋体" w:hAnsi="宋体" w:eastAsia="宋体" w:cs="宋体"/>
          <w:color w:val="auto"/>
          <w:sz w:val="24"/>
          <w:szCs w:val="24"/>
          <w:highlight w:val="none"/>
        </w:rPr>
        <w:t>除供应商须知前附表规定磋商小组直接确定成交人外，采购人</w:t>
      </w:r>
      <w:r>
        <w:rPr>
          <w:rFonts w:hint="eastAsia" w:ascii="宋体" w:hAnsi="宋体" w:cs="宋体"/>
          <w:color w:val="auto"/>
          <w:sz w:val="24"/>
          <w:szCs w:val="24"/>
          <w:highlight w:val="none"/>
          <w:lang w:val="en-US" w:eastAsia="zh-CN"/>
        </w:rPr>
        <w:t>在收到评审报告后5个工作日内，</w:t>
      </w:r>
      <w:r>
        <w:rPr>
          <w:rFonts w:hint="eastAsia" w:ascii="宋体" w:hAnsi="宋体" w:eastAsia="宋体" w:cs="宋体"/>
          <w:color w:val="auto"/>
          <w:sz w:val="24"/>
          <w:szCs w:val="24"/>
          <w:highlight w:val="none"/>
        </w:rPr>
        <w:t>依据磋商小组推荐的成交候选人确定成交人，磋商小组推荐成交候选人的人数见供应商须知前附表</w:t>
      </w:r>
      <w:bookmarkEnd w:id="863"/>
      <w:bookmarkEnd w:id="864"/>
      <w:bookmarkEnd w:id="865"/>
      <w:bookmarkEnd w:id="866"/>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bookmarkStart w:id="867" w:name="_Toc11161206"/>
      <w:bookmarkStart w:id="868" w:name="_Toc179632586"/>
      <w:bookmarkStart w:id="869" w:name="_Toc144974536"/>
      <w:bookmarkStart w:id="870" w:name="_Toc11162210"/>
      <w:bookmarkStart w:id="871" w:name="_Toc11162693"/>
      <w:bookmarkStart w:id="872" w:name="_Toc11161505"/>
      <w:bookmarkStart w:id="873" w:name="_Toc152045568"/>
      <w:bookmarkStart w:id="874" w:name="_Toc152042344"/>
      <w:r>
        <w:rPr>
          <w:rFonts w:hint="eastAsia" w:ascii="宋体" w:hAnsi="宋体" w:eastAsia="宋体" w:cs="宋体"/>
          <w:color w:val="auto"/>
          <w:sz w:val="24"/>
          <w:szCs w:val="24"/>
          <w:highlight w:val="none"/>
        </w:rPr>
        <w:t>7.2 成交通知</w:t>
      </w:r>
      <w:bookmarkEnd w:id="867"/>
      <w:bookmarkEnd w:id="868"/>
      <w:bookmarkEnd w:id="869"/>
      <w:bookmarkEnd w:id="870"/>
      <w:bookmarkEnd w:id="871"/>
      <w:bookmarkEnd w:id="872"/>
      <w:bookmarkEnd w:id="873"/>
      <w:bookmarkEnd w:id="874"/>
    </w:p>
    <w:p>
      <w:pPr>
        <w:spacing w:line="360" w:lineRule="auto"/>
        <w:rPr>
          <w:rFonts w:hint="eastAsia" w:ascii="宋体" w:hAnsi="宋体" w:eastAsia="宋体" w:cs="宋体"/>
          <w:color w:val="auto"/>
          <w:sz w:val="24"/>
          <w:szCs w:val="24"/>
          <w:highlight w:val="none"/>
        </w:rPr>
      </w:pPr>
      <w:bookmarkStart w:id="875" w:name="_Toc11161207"/>
      <w:bookmarkStart w:id="876" w:name="_Toc11162694"/>
      <w:bookmarkStart w:id="877" w:name="_Toc11161506"/>
      <w:bookmarkStart w:id="878" w:name="_Toc11162211"/>
      <w:r>
        <w:rPr>
          <w:rFonts w:hint="eastAsia" w:ascii="宋体" w:hAnsi="宋体" w:eastAsia="宋体" w:cs="宋体"/>
          <w:color w:val="auto"/>
          <w:sz w:val="24"/>
          <w:szCs w:val="24"/>
          <w:highlight w:val="none"/>
        </w:rPr>
        <w:t>7.2.1</w:t>
      </w:r>
      <w:r>
        <w:rPr>
          <w:rFonts w:hint="eastAsia" w:ascii="宋体" w:hAnsi="宋体" w:cs="宋体"/>
          <w:color w:val="auto"/>
          <w:sz w:val="24"/>
          <w:szCs w:val="24"/>
          <w:highlight w:val="none"/>
          <w:lang w:val="en-US" w:eastAsia="zh-CN"/>
        </w:rPr>
        <w:t>采购代理机构在成交供应商确定后2个工作日内</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在财政部门指定的政府采购信息发布媒体上公告成交结果，同时向成交供应商发出成交通知书</w:t>
      </w:r>
      <w:r>
        <w:rPr>
          <w:rFonts w:hint="eastAsia" w:ascii="宋体" w:hAnsi="宋体" w:eastAsia="宋体" w:cs="宋体"/>
          <w:color w:val="auto"/>
          <w:sz w:val="24"/>
          <w:szCs w:val="24"/>
          <w:highlight w:val="none"/>
        </w:rPr>
        <w:t>。</w:t>
      </w:r>
      <w:bookmarkEnd w:id="875"/>
      <w:bookmarkEnd w:id="876"/>
      <w:bookmarkEnd w:id="877"/>
      <w:bookmarkEnd w:id="878"/>
    </w:p>
    <w:p>
      <w:pPr>
        <w:spacing w:line="360" w:lineRule="auto"/>
        <w:rPr>
          <w:rFonts w:hint="eastAsia" w:ascii="宋体" w:hAnsi="宋体" w:eastAsia="宋体" w:cs="宋体"/>
          <w:color w:val="auto"/>
          <w:sz w:val="24"/>
          <w:szCs w:val="24"/>
          <w:highlight w:val="none"/>
        </w:rPr>
      </w:pPr>
      <w:bookmarkStart w:id="879" w:name="_Toc11162212"/>
      <w:bookmarkStart w:id="880" w:name="_Toc11161208"/>
      <w:bookmarkStart w:id="881" w:name="_Toc11162695"/>
      <w:bookmarkStart w:id="882" w:name="_Toc11161507"/>
      <w:r>
        <w:rPr>
          <w:rFonts w:hint="eastAsia" w:ascii="宋体" w:hAnsi="宋体" w:eastAsia="宋体" w:cs="宋体"/>
          <w:color w:val="auto"/>
          <w:sz w:val="24"/>
          <w:szCs w:val="24"/>
          <w:highlight w:val="none"/>
        </w:rPr>
        <w:t>7.2.2在公示期内，未接到供应商对评审结果提出异议或未接到采购行政监督部门通知采购人在竞争性磋商活动中有违法行为时，公示期满后，采购人将向第一成交候选人发出成交通知书。</w:t>
      </w:r>
      <w:bookmarkEnd w:id="879"/>
      <w:bookmarkEnd w:id="880"/>
      <w:bookmarkEnd w:id="881"/>
      <w:bookmarkEnd w:id="882"/>
    </w:p>
    <w:p>
      <w:pPr>
        <w:spacing w:line="360" w:lineRule="auto"/>
        <w:rPr>
          <w:rFonts w:hint="eastAsia" w:ascii="宋体" w:hAnsi="宋体" w:eastAsia="宋体" w:cs="宋体"/>
          <w:color w:val="auto"/>
          <w:sz w:val="24"/>
          <w:szCs w:val="24"/>
          <w:highlight w:val="none"/>
        </w:rPr>
      </w:pPr>
      <w:bookmarkStart w:id="883" w:name="_Toc152045569"/>
      <w:bookmarkStart w:id="884" w:name="_Toc11161508"/>
      <w:bookmarkStart w:id="885" w:name="_Toc11162696"/>
      <w:bookmarkStart w:id="886" w:name="_Toc179632587"/>
      <w:bookmarkStart w:id="887" w:name="_Toc144974537"/>
      <w:bookmarkStart w:id="888" w:name="_Toc152042345"/>
      <w:bookmarkStart w:id="889" w:name="_Toc11162213"/>
      <w:bookmarkStart w:id="890" w:name="_Toc11161209"/>
      <w:r>
        <w:rPr>
          <w:rFonts w:hint="eastAsia" w:ascii="宋体" w:hAnsi="宋体" w:eastAsia="宋体" w:cs="宋体"/>
          <w:color w:val="auto"/>
          <w:sz w:val="24"/>
          <w:szCs w:val="24"/>
          <w:highlight w:val="none"/>
        </w:rPr>
        <w:t>7.3 履约担保</w:t>
      </w:r>
      <w:bookmarkEnd w:id="883"/>
      <w:bookmarkEnd w:id="884"/>
      <w:bookmarkEnd w:id="885"/>
      <w:bookmarkEnd w:id="886"/>
      <w:bookmarkEnd w:id="887"/>
      <w:bookmarkEnd w:id="888"/>
      <w:bookmarkEnd w:id="889"/>
      <w:bookmarkEnd w:id="890"/>
    </w:p>
    <w:p>
      <w:pPr>
        <w:spacing w:line="360" w:lineRule="auto"/>
        <w:rPr>
          <w:rFonts w:hint="eastAsia" w:ascii="宋体" w:hAnsi="宋体" w:eastAsia="宋体" w:cs="宋体"/>
          <w:color w:val="auto"/>
          <w:sz w:val="24"/>
          <w:szCs w:val="24"/>
          <w:highlight w:val="none"/>
        </w:rPr>
      </w:pPr>
      <w:bookmarkStart w:id="891" w:name="_Toc11162697"/>
      <w:bookmarkStart w:id="892" w:name="_Toc11162214"/>
      <w:bookmarkStart w:id="893" w:name="_Toc11161509"/>
      <w:bookmarkStart w:id="894" w:name="_Toc11161210"/>
      <w:r>
        <w:rPr>
          <w:rFonts w:hint="eastAsia" w:ascii="宋体" w:hAnsi="宋体" w:eastAsia="宋体" w:cs="宋体"/>
          <w:color w:val="auto"/>
          <w:sz w:val="24"/>
          <w:szCs w:val="24"/>
          <w:highlight w:val="none"/>
        </w:rPr>
        <w:t>7.3.1在签订合同前，成交人应按供应商须知前附表规定的金额、担保形式和竞争性磋商文件第四章“合同条款及格式”规定的履约担保格式向采购人提交履约担保。联合体中标的，其履约担保由牵头人递交，并应符合供应商须知前附表规定的金额、担保形式和竞争性磋商文件第四章“合同条款及格式”规定的履约担保格式要求。</w:t>
      </w:r>
      <w:bookmarkEnd w:id="891"/>
      <w:bookmarkEnd w:id="892"/>
      <w:bookmarkEnd w:id="893"/>
      <w:bookmarkEnd w:id="894"/>
    </w:p>
    <w:p>
      <w:pPr>
        <w:spacing w:line="360" w:lineRule="auto"/>
        <w:rPr>
          <w:rFonts w:hint="eastAsia" w:ascii="宋体" w:hAnsi="宋体" w:eastAsia="宋体" w:cs="宋体"/>
          <w:color w:val="auto"/>
          <w:sz w:val="24"/>
          <w:szCs w:val="24"/>
          <w:highlight w:val="none"/>
        </w:rPr>
      </w:pPr>
      <w:bookmarkStart w:id="895" w:name="_Toc11161211"/>
      <w:bookmarkStart w:id="896" w:name="_Toc11161510"/>
      <w:bookmarkStart w:id="897" w:name="_Toc11162215"/>
      <w:bookmarkStart w:id="898" w:name="_Toc11162698"/>
      <w:r>
        <w:rPr>
          <w:rFonts w:hint="eastAsia" w:ascii="宋体" w:hAnsi="宋体" w:eastAsia="宋体" w:cs="宋体"/>
          <w:color w:val="auto"/>
          <w:sz w:val="24"/>
          <w:szCs w:val="24"/>
          <w:highlight w:val="none"/>
        </w:rPr>
        <w:t>7.3.2 成交人不能按本章第7.3.1项要求提交履约担保的，视为放弃成交，其竞争性磋商保证金不予退还，给采购人造成的损失超过竞争性磋商保证金数额的，成交人还应当对超过部分予以赔偿。</w:t>
      </w:r>
      <w:bookmarkEnd w:id="895"/>
      <w:bookmarkEnd w:id="896"/>
      <w:bookmarkEnd w:id="897"/>
      <w:bookmarkEnd w:id="898"/>
    </w:p>
    <w:p>
      <w:pPr>
        <w:spacing w:line="360" w:lineRule="auto"/>
        <w:rPr>
          <w:rFonts w:hint="eastAsia" w:ascii="宋体" w:hAnsi="宋体" w:eastAsia="宋体" w:cs="宋体"/>
          <w:color w:val="auto"/>
          <w:sz w:val="24"/>
          <w:szCs w:val="24"/>
          <w:highlight w:val="none"/>
        </w:rPr>
      </w:pPr>
      <w:bookmarkStart w:id="899" w:name="_Toc11161212"/>
      <w:bookmarkStart w:id="900" w:name="_Toc11162699"/>
      <w:bookmarkStart w:id="901" w:name="_Toc11162216"/>
      <w:bookmarkStart w:id="902" w:name="_Toc11161511"/>
      <w:r>
        <w:rPr>
          <w:rFonts w:hint="eastAsia" w:ascii="宋体" w:hAnsi="宋体" w:eastAsia="宋体" w:cs="宋体"/>
          <w:color w:val="auto"/>
          <w:sz w:val="24"/>
          <w:szCs w:val="24"/>
          <w:highlight w:val="none"/>
        </w:rPr>
        <w:t>7.4支付担保</w:t>
      </w:r>
      <w:bookmarkEnd w:id="899"/>
      <w:bookmarkEnd w:id="900"/>
      <w:bookmarkEnd w:id="901"/>
      <w:bookmarkEnd w:id="902"/>
    </w:p>
    <w:p>
      <w:pPr>
        <w:spacing w:line="360" w:lineRule="auto"/>
        <w:rPr>
          <w:rFonts w:hint="eastAsia" w:ascii="宋体" w:hAnsi="宋体" w:eastAsia="宋体" w:cs="宋体"/>
          <w:color w:val="auto"/>
          <w:sz w:val="24"/>
          <w:szCs w:val="24"/>
          <w:highlight w:val="none"/>
        </w:rPr>
      </w:pPr>
      <w:bookmarkStart w:id="903" w:name="_Toc11162700"/>
      <w:bookmarkStart w:id="904" w:name="_Toc11161512"/>
      <w:bookmarkStart w:id="905" w:name="_Toc11161213"/>
      <w:bookmarkStart w:id="906" w:name="_Toc11162217"/>
      <w:r>
        <w:rPr>
          <w:rFonts w:hint="eastAsia" w:ascii="宋体" w:hAnsi="宋体" w:eastAsia="宋体" w:cs="宋体"/>
          <w:color w:val="auto"/>
          <w:sz w:val="24"/>
          <w:szCs w:val="24"/>
          <w:highlight w:val="none"/>
        </w:rPr>
        <w:t>采购人按前附表规定的金额及担保形式向成交人提交支付担保。</w:t>
      </w:r>
      <w:bookmarkEnd w:id="903"/>
      <w:bookmarkEnd w:id="904"/>
      <w:bookmarkEnd w:id="905"/>
      <w:bookmarkEnd w:id="906"/>
    </w:p>
    <w:p>
      <w:pPr>
        <w:spacing w:line="360" w:lineRule="auto"/>
        <w:rPr>
          <w:rFonts w:hint="eastAsia" w:ascii="宋体" w:hAnsi="宋体" w:eastAsia="宋体" w:cs="宋体"/>
          <w:color w:val="auto"/>
          <w:sz w:val="24"/>
          <w:szCs w:val="24"/>
          <w:highlight w:val="none"/>
        </w:rPr>
      </w:pPr>
      <w:bookmarkStart w:id="907" w:name="_Toc11162701"/>
      <w:bookmarkStart w:id="908" w:name="_Toc152045570"/>
      <w:bookmarkStart w:id="909" w:name="_Toc11161214"/>
      <w:bookmarkStart w:id="910" w:name="_Toc179632588"/>
      <w:bookmarkStart w:id="911" w:name="_Toc144974538"/>
      <w:bookmarkStart w:id="912" w:name="_Toc152042346"/>
      <w:bookmarkStart w:id="913" w:name="_Toc11162218"/>
      <w:bookmarkStart w:id="914" w:name="_Toc11161513"/>
      <w:r>
        <w:rPr>
          <w:rFonts w:hint="eastAsia" w:ascii="宋体" w:hAnsi="宋体" w:eastAsia="宋体" w:cs="宋体"/>
          <w:color w:val="auto"/>
          <w:sz w:val="24"/>
          <w:szCs w:val="24"/>
          <w:highlight w:val="none"/>
        </w:rPr>
        <w:t>7.5签订合同</w:t>
      </w:r>
      <w:bookmarkEnd w:id="907"/>
      <w:bookmarkEnd w:id="908"/>
      <w:bookmarkEnd w:id="909"/>
      <w:bookmarkEnd w:id="910"/>
      <w:bookmarkEnd w:id="911"/>
      <w:bookmarkEnd w:id="912"/>
      <w:bookmarkEnd w:id="913"/>
      <w:bookmarkEnd w:id="914"/>
    </w:p>
    <w:p>
      <w:pPr>
        <w:spacing w:line="360" w:lineRule="auto"/>
        <w:rPr>
          <w:rFonts w:hint="eastAsia" w:ascii="宋体" w:hAnsi="宋体" w:eastAsia="宋体" w:cs="宋体"/>
          <w:color w:val="auto"/>
          <w:sz w:val="24"/>
          <w:szCs w:val="24"/>
          <w:highlight w:val="none"/>
        </w:rPr>
      </w:pPr>
      <w:bookmarkStart w:id="915" w:name="_Toc11162702"/>
      <w:bookmarkStart w:id="916" w:name="_Toc11161215"/>
      <w:bookmarkStart w:id="917" w:name="_Toc11162219"/>
      <w:bookmarkStart w:id="918" w:name="_Toc11161514"/>
      <w:r>
        <w:rPr>
          <w:rFonts w:hint="eastAsia" w:ascii="宋体" w:hAnsi="宋体" w:eastAsia="宋体" w:cs="宋体"/>
          <w:color w:val="auto"/>
          <w:sz w:val="24"/>
          <w:szCs w:val="24"/>
          <w:highlight w:val="none"/>
        </w:rPr>
        <w:t>7.5.1采购人和成交人应当自成交通知书发出之日起30日内，根据竞争性磋商文件和成交人的磋商响应文件订立书面合同。成交人无正当理由拒签合同的，采购人取消其成交资格，其竞争性磋商保证金不予退还；给采购人造成的损失超过竞争性磋商保证金数额的，成交人还应当对超过部分予以赔偿。</w:t>
      </w:r>
      <w:bookmarkEnd w:id="915"/>
      <w:bookmarkEnd w:id="916"/>
      <w:bookmarkEnd w:id="917"/>
      <w:bookmarkEnd w:id="918"/>
    </w:p>
    <w:p>
      <w:pPr>
        <w:spacing w:line="360" w:lineRule="auto"/>
        <w:rPr>
          <w:rFonts w:hint="eastAsia" w:ascii="宋体" w:hAnsi="宋体" w:eastAsia="宋体" w:cs="宋体"/>
          <w:color w:val="auto"/>
          <w:sz w:val="24"/>
          <w:szCs w:val="24"/>
          <w:highlight w:val="none"/>
        </w:rPr>
      </w:pPr>
      <w:bookmarkStart w:id="919" w:name="_Toc11162220"/>
      <w:bookmarkStart w:id="920" w:name="_Toc11161515"/>
      <w:bookmarkStart w:id="921" w:name="_Toc11162703"/>
      <w:bookmarkStart w:id="922" w:name="_Toc11161216"/>
      <w:r>
        <w:rPr>
          <w:rFonts w:hint="eastAsia" w:ascii="宋体" w:hAnsi="宋体" w:eastAsia="宋体" w:cs="宋体"/>
          <w:color w:val="auto"/>
          <w:sz w:val="24"/>
          <w:szCs w:val="24"/>
          <w:highlight w:val="none"/>
        </w:rPr>
        <w:t>7.5.2 发出成交通知书后，采购人无正当理由拒签合同的，采购人向成交人退还竞争性磋商保证金；给成交人造成损失的，还应当赔偿损失。</w:t>
      </w:r>
      <w:bookmarkEnd w:id="919"/>
      <w:bookmarkEnd w:id="920"/>
      <w:bookmarkEnd w:id="921"/>
      <w:bookmarkEnd w:id="922"/>
    </w:p>
    <w:p>
      <w:pPr>
        <w:spacing w:line="360" w:lineRule="auto"/>
        <w:rPr>
          <w:rFonts w:hint="eastAsia" w:ascii="宋体" w:hAnsi="宋体" w:eastAsia="宋体" w:cs="宋体"/>
          <w:color w:val="auto"/>
          <w:sz w:val="24"/>
          <w:szCs w:val="24"/>
          <w:highlight w:val="none"/>
        </w:rPr>
      </w:pPr>
      <w:bookmarkStart w:id="923" w:name="_Toc510859693"/>
      <w:bookmarkStart w:id="924" w:name="_Toc11162704"/>
      <w:bookmarkStart w:id="925" w:name="_Toc152045571"/>
      <w:bookmarkStart w:id="926" w:name="_Toc513557034"/>
      <w:bookmarkStart w:id="927" w:name="_Toc510859899"/>
      <w:bookmarkStart w:id="928" w:name="_Toc363119285"/>
      <w:bookmarkStart w:id="929" w:name="_Toc152042347"/>
      <w:bookmarkStart w:id="930" w:name="_Toc24374"/>
      <w:bookmarkStart w:id="931" w:name="_Toc144974539"/>
      <w:bookmarkStart w:id="932" w:name="_Toc11161217"/>
      <w:bookmarkStart w:id="933" w:name="_Toc11161516"/>
      <w:bookmarkStart w:id="934" w:name="_Toc11162221"/>
      <w:bookmarkStart w:id="935" w:name="_Toc11156045"/>
      <w:bookmarkStart w:id="936" w:name="_Toc179632589"/>
      <w:r>
        <w:rPr>
          <w:rFonts w:hint="eastAsia" w:ascii="宋体" w:hAnsi="宋体" w:eastAsia="宋体" w:cs="宋体"/>
          <w:color w:val="auto"/>
          <w:sz w:val="24"/>
          <w:szCs w:val="24"/>
          <w:highlight w:val="none"/>
        </w:rPr>
        <w:t>8. 重新组织采购</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spacing w:line="360" w:lineRule="auto"/>
        <w:rPr>
          <w:rFonts w:hint="eastAsia" w:ascii="宋体" w:hAnsi="宋体" w:eastAsia="宋体" w:cs="宋体"/>
          <w:color w:val="auto"/>
          <w:sz w:val="24"/>
          <w:szCs w:val="24"/>
          <w:highlight w:val="none"/>
        </w:rPr>
      </w:pPr>
      <w:bookmarkStart w:id="937" w:name="_Toc11162706"/>
      <w:bookmarkStart w:id="938" w:name="_Toc11161518"/>
      <w:bookmarkStart w:id="939" w:name="_Toc11162223"/>
      <w:bookmarkStart w:id="940" w:name="_Toc11161219"/>
      <w:r>
        <w:rPr>
          <w:rFonts w:hint="eastAsia" w:ascii="宋体" w:hAnsi="宋体" w:eastAsia="宋体" w:cs="宋体"/>
          <w:color w:val="auto"/>
          <w:sz w:val="24"/>
          <w:szCs w:val="24"/>
          <w:highlight w:val="none"/>
        </w:rPr>
        <w:t>有下列情形之一的，采购人将重新组织采购：</w:t>
      </w:r>
      <w:bookmarkEnd w:id="937"/>
      <w:bookmarkEnd w:id="938"/>
      <w:bookmarkEnd w:id="939"/>
      <w:bookmarkEnd w:id="940"/>
    </w:p>
    <w:p>
      <w:pPr>
        <w:spacing w:line="360" w:lineRule="auto"/>
        <w:rPr>
          <w:rFonts w:hint="eastAsia" w:ascii="宋体" w:hAnsi="宋体" w:eastAsia="宋体" w:cs="宋体"/>
          <w:color w:val="auto"/>
          <w:sz w:val="24"/>
          <w:szCs w:val="24"/>
          <w:highlight w:val="none"/>
        </w:rPr>
      </w:pPr>
      <w:bookmarkStart w:id="941" w:name="_Toc11162707"/>
      <w:bookmarkStart w:id="942" w:name="_Toc11162224"/>
      <w:bookmarkStart w:id="943" w:name="_Toc11161519"/>
      <w:bookmarkStart w:id="944" w:name="_Toc11161220"/>
      <w:r>
        <w:rPr>
          <w:rFonts w:hint="eastAsia" w:ascii="宋体" w:hAnsi="宋体" w:eastAsia="宋体" w:cs="宋体"/>
          <w:color w:val="auto"/>
          <w:sz w:val="24"/>
          <w:szCs w:val="24"/>
          <w:highlight w:val="none"/>
        </w:rPr>
        <w:t>（1）通过资格预审或审查的申请人少于3个的；</w:t>
      </w:r>
      <w:bookmarkEnd w:id="941"/>
      <w:bookmarkEnd w:id="942"/>
      <w:bookmarkEnd w:id="943"/>
      <w:bookmarkEnd w:id="944"/>
    </w:p>
    <w:p>
      <w:pPr>
        <w:spacing w:line="360" w:lineRule="auto"/>
        <w:rPr>
          <w:rFonts w:hint="eastAsia" w:ascii="宋体" w:hAnsi="宋体" w:eastAsia="宋体" w:cs="宋体"/>
          <w:color w:val="auto"/>
          <w:sz w:val="24"/>
          <w:szCs w:val="24"/>
          <w:highlight w:val="none"/>
        </w:rPr>
      </w:pPr>
      <w:bookmarkStart w:id="945" w:name="_Toc11162708"/>
      <w:bookmarkStart w:id="946" w:name="_Toc11161221"/>
      <w:bookmarkStart w:id="947" w:name="_Toc11161520"/>
      <w:bookmarkStart w:id="948" w:name="_Toc11162225"/>
      <w:r>
        <w:rPr>
          <w:rFonts w:hint="eastAsia" w:ascii="宋体" w:hAnsi="宋体" w:eastAsia="宋体" w:cs="宋体"/>
          <w:color w:val="auto"/>
          <w:sz w:val="24"/>
          <w:szCs w:val="24"/>
          <w:highlight w:val="none"/>
        </w:rPr>
        <w:t>（2）竞争性磋商截止时间止，供应商少于3个的；</w:t>
      </w:r>
      <w:bookmarkEnd w:id="945"/>
      <w:bookmarkEnd w:id="946"/>
      <w:bookmarkEnd w:id="947"/>
      <w:bookmarkEnd w:id="948"/>
    </w:p>
    <w:p>
      <w:pPr>
        <w:spacing w:line="360" w:lineRule="auto"/>
        <w:rPr>
          <w:rFonts w:hint="eastAsia" w:ascii="宋体" w:hAnsi="宋体" w:eastAsia="宋体" w:cs="宋体"/>
          <w:color w:val="auto"/>
          <w:sz w:val="24"/>
          <w:szCs w:val="24"/>
          <w:highlight w:val="none"/>
        </w:rPr>
      </w:pPr>
      <w:bookmarkStart w:id="949" w:name="_Toc11162226"/>
      <w:bookmarkStart w:id="950" w:name="_Toc11162709"/>
      <w:bookmarkStart w:id="951" w:name="_Toc11161222"/>
      <w:bookmarkStart w:id="952" w:name="_Toc11161521"/>
      <w:r>
        <w:rPr>
          <w:rFonts w:hint="eastAsia" w:ascii="宋体" w:hAnsi="宋体" w:eastAsia="宋体" w:cs="宋体"/>
          <w:color w:val="auto"/>
          <w:sz w:val="24"/>
          <w:szCs w:val="24"/>
          <w:highlight w:val="none"/>
        </w:rPr>
        <w:t>（3）经磋商小组评审后否决所有响应的。</w:t>
      </w:r>
      <w:bookmarkEnd w:id="949"/>
      <w:bookmarkEnd w:id="950"/>
      <w:bookmarkEnd w:id="951"/>
      <w:bookmarkEnd w:id="952"/>
    </w:p>
    <w:p>
      <w:pPr>
        <w:spacing w:line="360" w:lineRule="auto"/>
        <w:rPr>
          <w:rFonts w:hint="eastAsia" w:ascii="宋体" w:hAnsi="宋体" w:eastAsia="宋体" w:cs="宋体"/>
          <w:color w:val="auto"/>
          <w:sz w:val="24"/>
          <w:szCs w:val="24"/>
          <w:highlight w:val="none"/>
        </w:rPr>
      </w:pPr>
      <w:bookmarkStart w:id="953" w:name="_Toc11162229"/>
      <w:bookmarkStart w:id="954" w:name="_Toc510859900"/>
      <w:bookmarkStart w:id="955" w:name="_Toc510859694"/>
      <w:bookmarkStart w:id="956" w:name="_Toc11161225"/>
      <w:bookmarkStart w:id="957" w:name="_Toc179632592"/>
      <w:bookmarkStart w:id="958" w:name="_Toc152045574"/>
      <w:bookmarkStart w:id="959" w:name="_Toc144974542"/>
      <w:bookmarkStart w:id="960" w:name="_Toc11162712"/>
      <w:bookmarkStart w:id="961" w:name="_Toc363119286"/>
      <w:bookmarkStart w:id="962" w:name="_Toc11161524"/>
      <w:bookmarkStart w:id="963" w:name="_Toc513557035"/>
      <w:bookmarkStart w:id="964" w:name="_Toc11156046"/>
      <w:bookmarkStart w:id="965" w:name="_Toc152042350"/>
      <w:r>
        <w:rPr>
          <w:rFonts w:hint="eastAsia" w:ascii="宋体" w:hAnsi="宋体" w:eastAsia="宋体" w:cs="宋体"/>
          <w:color w:val="auto"/>
          <w:sz w:val="24"/>
          <w:szCs w:val="24"/>
          <w:highlight w:val="none"/>
        </w:rPr>
        <w:t>9. 纪律和监督</w:t>
      </w:r>
      <w:bookmarkEnd w:id="953"/>
      <w:bookmarkEnd w:id="954"/>
      <w:bookmarkEnd w:id="955"/>
      <w:bookmarkEnd w:id="956"/>
      <w:bookmarkEnd w:id="957"/>
      <w:bookmarkEnd w:id="958"/>
      <w:bookmarkEnd w:id="959"/>
      <w:bookmarkEnd w:id="960"/>
      <w:bookmarkEnd w:id="961"/>
      <w:bookmarkEnd w:id="962"/>
      <w:bookmarkEnd w:id="963"/>
      <w:bookmarkEnd w:id="964"/>
      <w:bookmarkEnd w:id="965"/>
    </w:p>
    <w:p>
      <w:pPr>
        <w:spacing w:line="360" w:lineRule="auto"/>
        <w:rPr>
          <w:rFonts w:hint="eastAsia" w:ascii="宋体" w:hAnsi="宋体" w:eastAsia="宋体" w:cs="宋体"/>
          <w:color w:val="auto"/>
          <w:sz w:val="24"/>
          <w:szCs w:val="24"/>
          <w:highlight w:val="none"/>
        </w:rPr>
      </w:pPr>
      <w:bookmarkStart w:id="966" w:name="_Toc152045575"/>
      <w:bookmarkStart w:id="967" w:name="_Toc152042351"/>
      <w:bookmarkStart w:id="968" w:name="_Toc179632593"/>
      <w:bookmarkStart w:id="969" w:name="_Toc144974543"/>
      <w:bookmarkStart w:id="970" w:name="_Toc11161226"/>
      <w:bookmarkStart w:id="971" w:name="_Toc11162230"/>
      <w:bookmarkStart w:id="972" w:name="_Toc11162713"/>
      <w:bookmarkStart w:id="973" w:name="_Toc11161525"/>
      <w:r>
        <w:rPr>
          <w:rFonts w:hint="eastAsia" w:ascii="宋体" w:hAnsi="宋体" w:eastAsia="宋体" w:cs="宋体"/>
          <w:color w:val="auto"/>
          <w:sz w:val="24"/>
          <w:szCs w:val="24"/>
          <w:highlight w:val="none"/>
        </w:rPr>
        <w:t>9.1 对采购人的纪律要求</w:t>
      </w:r>
      <w:bookmarkEnd w:id="966"/>
      <w:bookmarkEnd w:id="967"/>
      <w:bookmarkEnd w:id="968"/>
      <w:bookmarkEnd w:id="969"/>
      <w:bookmarkEnd w:id="970"/>
      <w:bookmarkEnd w:id="971"/>
      <w:bookmarkEnd w:id="972"/>
      <w:bookmarkEnd w:id="973"/>
    </w:p>
    <w:p>
      <w:pPr>
        <w:spacing w:line="360" w:lineRule="auto"/>
        <w:rPr>
          <w:rFonts w:hint="eastAsia" w:ascii="宋体" w:hAnsi="宋体" w:eastAsia="宋体" w:cs="宋体"/>
          <w:color w:val="auto"/>
          <w:sz w:val="24"/>
          <w:szCs w:val="24"/>
          <w:highlight w:val="none"/>
        </w:rPr>
      </w:pPr>
      <w:bookmarkStart w:id="974" w:name="_Toc11162231"/>
      <w:bookmarkStart w:id="975" w:name="_Toc11162714"/>
      <w:bookmarkStart w:id="976" w:name="_Toc11161227"/>
      <w:bookmarkStart w:id="977" w:name="_Toc11161526"/>
      <w:r>
        <w:rPr>
          <w:rFonts w:hint="eastAsia" w:ascii="宋体" w:hAnsi="宋体" w:eastAsia="宋体" w:cs="宋体"/>
          <w:color w:val="auto"/>
          <w:sz w:val="24"/>
          <w:szCs w:val="24"/>
          <w:highlight w:val="none"/>
        </w:rPr>
        <w:t>采购人不得泄漏竞争性磋商活动中应当保密的情况和资料，不得与供应商串通损害国家利益、社会公共利益或者他人合法权益。</w:t>
      </w:r>
      <w:bookmarkEnd w:id="974"/>
      <w:bookmarkEnd w:id="975"/>
      <w:bookmarkEnd w:id="976"/>
      <w:bookmarkEnd w:id="977"/>
    </w:p>
    <w:p>
      <w:pPr>
        <w:spacing w:line="360" w:lineRule="auto"/>
        <w:rPr>
          <w:rFonts w:hint="eastAsia" w:ascii="宋体" w:hAnsi="宋体" w:eastAsia="宋体" w:cs="宋体"/>
          <w:color w:val="auto"/>
          <w:sz w:val="24"/>
          <w:szCs w:val="24"/>
          <w:highlight w:val="none"/>
        </w:rPr>
      </w:pPr>
      <w:bookmarkStart w:id="978" w:name="_Toc179632594"/>
      <w:bookmarkStart w:id="979" w:name="_Toc11162232"/>
      <w:bookmarkStart w:id="980" w:name="_Toc11161228"/>
      <w:bookmarkStart w:id="981" w:name="_Toc11162715"/>
      <w:bookmarkStart w:id="982" w:name="_Toc152045576"/>
      <w:bookmarkStart w:id="983" w:name="_Toc11161527"/>
      <w:bookmarkStart w:id="984" w:name="_Toc152042352"/>
      <w:bookmarkStart w:id="985" w:name="_Toc144974544"/>
      <w:r>
        <w:rPr>
          <w:rFonts w:hint="eastAsia" w:ascii="宋体" w:hAnsi="宋体" w:eastAsia="宋体" w:cs="宋体"/>
          <w:color w:val="auto"/>
          <w:sz w:val="24"/>
          <w:szCs w:val="24"/>
          <w:highlight w:val="none"/>
        </w:rPr>
        <w:t>9.2 对供应商的纪律要求</w:t>
      </w:r>
      <w:bookmarkEnd w:id="978"/>
      <w:bookmarkEnd w:id="979"/>
      <w:bookmarkEnd w:id="980"/>
      <w:bookmarkEnd w:id="981"/>
      <w:bookmarkEnd w:id="982"/>
      <w:bookmarkEnd w:id="983"/>
      <w:bookmarkEnd w:id="984"/>
      <w:bookmarkEnd w:id="985"/>
    </w:p>
    <w:p>
      <w:pPr>
        <w:spacing w:line="360" w:lineRule="auto"/>
        <w:rPr>
          <w:rFonts w:hint="eastAsia" w:ascii="宋体" w:hAnsi="宋体" w:eastAsia="宋体" w:cs="宋体"/>
          <w:color w:val="auto"/>
          <w:sz w:val="24"/>
          <w:szCs w:val="24"/>
          <w:highlight w:val="none"/>
        </w:rPr>
      </w:pPr>
      <w:bookmarkStart w:id="986" w:name="_Toc11162716"/>
      <w:bookmarkStart w:id="987" w:name="_Toc11161528"/>
      <w:bookmarkStart w:id="988" w:name="_Toc11162233"/>
      <w:bookmarkStart w:id="989" w:name="_Toc11161229"/>
      <w:r>
        <w:rPr>
          <w:rFonts w:hint="eastAsia" w:ascii="宋体" w:hAnsi="宋体" w:eastAsia="宋体" w:cs="宋体"/>
          <w:color w:val="auto"/>
          <w:sz w:val="24"/>
          <w:szCs w:val="24"/>
          <w:highlight w:val="none"/>
        </w:rPr>
        <w:t>供应商不得相互串通竞争性磋商或者与采购人串通竞争性磋商，不得向采购人或者磋商小组成员行贿谋取成交，不得以他人名义竞争性磋商或者以其他方式弄虚作假骗取成交；供应商不得以任何方式干扰、影响评审工作。</w:t>
      </w:r>
      <w:bookmarkEnd w:id="986"/>
      <w:bookmarkEnd w:id="987"/>
      <w:bookmarkEnd w:id="988"/>
      <w:bookmarkEnd w:id="989"/>
    </w:p>
    <w:p>
      <w:pPr>
        <w:spacing w:line="360" w:lineRule="auto"/>
        <w:rPr>
          <w:rFonts w:hint="eastAsia" w:ascii="宋体" w:hAnsi="宋体" w:eastAsia="宋体" w:cs="宋体"/>
          <w:color w:val="auto"/>
          <w:sz w:val="24"/>
          <w:szCs w:val="24"/>
          <w:highlight w:val="none"/>
        </w:rPr>
      </w:pPr>
      <w:bookmarkStart w:id="990" w:name="_Toc144974545"/>
      <w:bookmarkStart w:id="991" w:name="_Toc11161529"/>
      <w:bookmarkStart w:id="992" w:name="_Toc179632595"/>
      <w:bookmarkStart w:id="993" w:name="_Toc152042353"/>
      <w:bookmarkStart w:id="994" w:name="_Toc152045577"/>
      <w:bookmarkStart w:id="995" w:name="_Toc11161230"/>
      <w:bookmarkStart w:id="996" w:name="_Toc11162717"/>
      <w:bookmarkStart w:id="997" w:name="_Toc11162234"/>
      <w:r>
        <w:rPr>
          <w:rFonts w:hint="eastAsia" w:ascii="宋体" w:hAnsi="宋体" w:eastAsia="宋体" w:cs="宋体"/>
          <w:color w:val="auto"/>
          <w:sz w:val="24"/>
          <w:szCs w:val="24"/>
          <w:highlight w:val="none"/>
        </w:rPr>
        <w:t>9.3 对磋商小组成员的纪律要求</w:t>
      </w:r>
      <w:bookmarkEnd w:id="990"/>
      <w:bookmarkEnd w:id="991"/>
      <w:bookmarkEnd w:id="992"/>
      <w:bookmarkEnd w:id="993"/>
      <w:bookmarkEnd w:id="994"/>
      <w:bookmarkEnd w:id="995"/>
      <w:bookmarkEnd w:id="996"/>
      <w:bookmarkEnd w:id="997"/>
    </w:p>
    <w:p>
      <w:pPr>
        <w:spacing w:line="360" w:lineRule="auto"/>
        <w:rPr>
          <w:rFonts w:hint="eastAsia" w:ascii="宋体" w:hAnsi="宋体" w:eastAsia="宋体" w:cs="宋体"/>
          <w:color w:val="auto"/>
          <w:sz w:val="24"/>
          <w:szCs w:val="24"/>
          <w:highlight w:val="none"/>
        </w:rPr>
      </w:pPr>
      <w:bookmarkStart w:id="998" w:name="_Toc11161530"/>
      <w:bookmarkStart w:id="999" w:name="_Toc11161231"/>
      <w:bookmarkStart w:id="1000" w:name="_Toc11162235"/>
      <w:bookmarkStart w:id="1001" w:name="_Toc11162718"/>
      <w:r>
        <w:rPr>
          <w:rFonts w:hint="eastAsia" w:ascii="宋体" w:hAnsi="宋体" w:eastAsia="宋体" w:cs="宋体"/>
          <w:color w:val="auto"/>
          <w:sz w:val="24"/>
          <w:szCs w:val="24"/>
          <w:highlight w:val="none"/>
        </w:rPr>
        <w:t>磋商小组成员不得收受他人的财物或者其他好处，不得向他人透漏对磋商响应文件的评审和比较、成交人候选人的推荐情况以及评审有关的其他情况。在评审活动中，磋商小组成员不得擅离职守，影响评审程序正常进行，不得使用第三章“评审办法”没有规定的评审因素和标准进行评审。</w:t>
      </w:r>
      <w:bookmarkEnd w:id="998"/>
      <w:bookmarkEnd w:id="999"/>
      <w:bookmarkEnd w:id="1000"/>
      <w:bookmarkEnd w:id="1001"/>
    </w:p>
    <w:p>
      <w:pPr>
        <w:spacing w:line="360" w:lineRule="auto"/>
        <w:rPr>
          <w:rFonts w:hint="eastAsia" w:ascii="宋体" w:hAnsi="宋体" w:eastAsia="宋体" w:cs="宋体"/>
          <w:color w:val="auto"/>
          <w:sz w:val="24"/>
          <w:szCs w:val="24"/>
          <w:highlight w:val="none"/>
        </w:rPr>
      </w:pPr>
      <w:bookmarkStart w:id="1002" w:name="_Toc11162236"/>
      <w:bookmarkStart w:id="1003" w:name="_Toc11161531"/>
      <w:bookmarkStart w:id="1004" w:name="_Toc11161232"/>
      <w:bookmarkStart w:id="1005" w:name="_Toc152042354"/>
      <w:bookmarkStart w:id="1006" w:name="_Toc11162719"/>
      <w:bookmarkStart w:id="1007" w:name="_Toc179632596"/>
      <w:bookmarkStart w:id="1008" w:name="_Toc152045578"/>
      <w:bookmarkStart w:id="1009" w:name="_Toc144974546"/>
      <w:r>
        <w:rPr>
          <w:rFonts w:hint="eastAsia" w:ascii="宋体" w:hAnsi="宋体" w:eastAsia="宋体" w:cs="宋体"/>
          <w:color w:val="auto"/>
          <w:sz w:val="24"/>
          <w:szCs w:val="24"/>
          <w:highlight w:val="none"/>
        </w:rPr>
        <w:t>9.4 对与评审活动有关的工作人员的纪律要求</w:t>
      </w:r>
      <w:bookmarkEnd w:id="1002"/>
      <w:bookmarkEnd w:id="1003"/>
      <w:bookmarkEnd w:id="1004"/>
      <w:bookmarkEnd w:id="1005"/>
      <w:bookmarkEnd w:id="1006"/>
      <w:bookmarkEnd w:id="1007"/>
      <w:bookmarkEnd w:id="1008"/>
    </w:p>
    <w:p>
      <w:pPr>
        <w:spacing w:line="360" w:lineRule="auto"/>
        <w:rPr>
          <w:rFonts w:hint="eastAsia" w:ascii="宋体" w:hAnsi="宋体" w:eastAsia="宋体" w:cs="宋体"/>
          <w:color w:val="auto"/>
          <w:sz w:val="24"/>
          <w:szCs w:val="24"/>
          <w:highlight w:val="none"/>
        </w:rPr>
      </w:pPr>
      <w:bookmarkStart w:id="1010" w:name="_Toc152042355"/>
      <w:bookmarkStart w:id="1011" w:name="_Toc11161233"/>
      <w:bookmarkStart w:id="1012" w:name="_Toc11162720"/>
      <w:bookmarkStart w:id="1013" w:name="_Toc11161532"/>
      <w:bookmarkStart w:id="1014" w:name="_Toc11162237"/>
      <w:r>
        <w:rPr>
          <w:rFonts w:hint="eastAsia" w:ascii="宋体" w:hAnsi="宋体" w:eastAsia="宋体" w:cs="宋体"/>
          <w:color w:val="auto"/>
          <w:sz w:val="24"/>
          <w:szCs w:val="24"/>
          <w:highlight w:val="none"/>
        </w:rPr>
        <w:t>与评审活动有关的工作人员不得收受他人的财物或者其他好处，不得向他人透漏对磋商响应文件的评审和比较、成交人候选人的推荐情况以及评审有关的其他情况。在评审活动中，与评审活动有关的工作人员不得擅离职守，影响评审程序正常进行。</w:t>
      </w:r>
      <w:bookmarkEnd w:id="1010"/>
      <w:bookmarkEnd w:id="1011"/>
      <w:bookmarkEnd w:id="1012"/>
      <w:bookmarkEnd w:id="1013"/>
      <w:bookmarkEnd w:id="1014"/>
    </w:p>
    <w:p>
      <w:pPr>
        <w:spacing w:line="360" w:lineRule="auto"/>
        <w:rPr>
          <w:rFonts w:hint="eastAsia" w:ascii="宋体" w:hAnsi="宋体" w:eastAsia="宋体" w:cs="宋体"/>
          <w:color w:val="auto"/>
          <w:sz w:val="24"/>
          <w:szCs w:val="24"/>
          <w:highlight w:val="none"/>
        </w:rPr>
      </w:pPr>
      <w:bookmarkStart w:id="1015" w:name="_Toc11162721"/>
      <w:bookmarkStart w:id="1016" w:name="_Toc152045579"/>
      <w:bookmarkStart w:id="1017" w:name="_Toc179632597"/>
      <w:bookmarkStart w:id="1018" w:name="_Toc11161533"/>
      <w:bookmarkStart w:id="1019" w:name="_Toc11162238"/>
      <w:bookmarkStart w:id="1020" w:name="_Toc11161234"/>
      <w:bookmarkStart w:id="1021" w:name="_Toc152042356"/>
      <w:r>
        <w:rPr>
          <w:rFonts w:hint="eastAsia" w:ascii="宋体" w:hAnsi="宋体" w:eastAsia="宋体" w:cs="宋体"/>
          <w:color w:val="auto"/>
          <w:sz w:val="24"/>
          <w:szCs w:val="24"/>
          <w:highlight w:val="none"/>
        </w:rPr>
        <w:t>9.5 投诉</w:t>
      </w:r>
      <w:bookmarkEnd w:id="1009"/>
      <w:bookmarkEnd w:id="1015"/>
      <w:bookmarkEnd w:id="1016"/>
      <w:bookmarkEnd w:id="1017"/>
      <w:bookmarkEnd w:id="1018"/>
      <w:bookmarkEnd w:id="1019"/>
      <w:bookmarkEnd w:id="1020"/>
      <w:bookmarkEnd w:id="1021"/>
    </w:p>
    <w:p>
      <w:pPr>
        <w:spacing w:line="360" w:lineRule="auto"/>
        <w:rPr>
          <w:rFonts w:hint="eastAsia" w:ascii="宋体" w:hAnsi="宋体" w:eastAsia="宋体" w:cs="宋体"/>
          <w:color w:val="auto"/>
          <w:sz w:val="24"/>
          <w:szCs w:val="24"/>
          <w:highlight w:val="none"/>
        </w:rPr>
      </w:pPr>
      <w:bookmarkStart w:id="1022" w:name="_Toc11161235"/>
      <w:bookmarkStart w:id="1023" w:name="_Toc11162722"/>
      <w:bookmarkStart w:id="1024" w:name="_Toc11162239"/>
      <w:bookmarkStart w:id="1025" w:name="_Toc11161534"/>
      <w:r>
        <w:rPr>
          <w:rFonts w:hint="eastAsia" w:ascii="宋体" w:hAnsi="宋体" w:eastAsia="宋体" w:cs="宋体"/>
          <w:color w:val="auto"/>
          <w:sz w:val="24"/>
          <w:szCs w:val="24"/>
          <w:highlight w:val="none"/>
        </w:rPr>
        <w:t>供应商和其他利害关系人认为本次采购活动违反法律、法规和规章规定的，有权向有关行政监督部门投诉。</w:t>
      </w:r>
      <w:bookmarkEnd w:id="1022"/>
      <w:bookmarkEnd w:id="1023"/>
      <w:bookmarkEnd w:id="1024"/>
      <w:bookmarkEnd w:id="1025"/>
      <w:bookmarkStart w:id="1026" w:name="_Toc152045580"/>
      <w:bookmarkStart w:id="1027" w:name="_Toc152042357"/>
      <w:bookmarkStart w:id="1028" w:name="_Toc179632598"/>
      <w:bookmarkStart w:id="1029" w:name="_Toc144974547"/>
      <w:bookmarkStart w:id="1030" w:name="_Toc363119287"/>
    </w:p>
    <w:bookmarkEnd w:id="1026"/>
    <w:bookmarkEnd w:id="1027"/>
    <w:bookmarkEnd w:id="1028"/>
    <w:bookmarkEnd w:id="1029"/>
    <w:bookmarkEnd w:id="1030"/>
    <w:p>
      <w:pPr>
        <w:spacing w:line="360" w:lineRule="auto"/>
        <w:rPr>
          <w:rFonts w:hint="eastAsia" w:ascii="宋体" w:hAnsi="宋体" w:eastAsia="宋体" w:cs="宋体"/>
          <w:color w:val="auto"/>
          <w:sz w:val="24"/>
          <w:szCs w:val="24"/>
          <w:highlight w:val="none"/>
        </w:rPr>
      </w:pPr>
      <w:bookmarkStart w:id="1031" w:name="_Toc6198"/>
      <w:bookmarkStart w:id="1032" w:name="_Toc511585909"/>
      <w:bookmarkStart w:id="1033" w:name="_Toc31147"/>
      <w:bookmarkStart w:id="1034" w:name="_Toc14321"/>
      <w:bookmarkStart w:id="1035" w:name="_Toc18818"/>
      <w:r>
        <w:rPr>
          <w:rFonts w:hint="eastAsia" w:ascii="宋体" w:hAnsi="宋体" w:eastAsia="宋体" w:cs="宋体"/>
          <w:color w:val="auto"/>
          <w:sz w:val="24"/>
          <w:szCs w:val="24"/>
          <w:highlight w:val="none"/>
        </w:rPr>
        <w:t>10. 需要补充的其他内容</w:t>
      </w:r>
      <w:bookmarkEnd w:id="1031"/>
      <w:bookmarkEnd w:id="1032"/>
      <w:bookmarkEnd w:id="1033"/>
      <w:bookmarkEnd w:id="1034"/>
      <w:bookmarkEnd w:id="1035"/>
    </w:p>
    <w:p>
      <w:pPr>
        <w:spacing w:line="360" w:lineRule="auto"/>
        <w:rPr>
          <w:rFonts w:hint="eastAsia" w:ascii="宋体" w:hAnsi="宋体" w:eastAsia="宋体" w:cs="宋体"/>
          <w:color w:val="auto"/>
          <w:sz w:val="24"/>
          <w:szCs w:val="24"/>
          <w:highlight w:val="none"/>
        </w:rPr>
      </w:pPr>
      <w:bookmarkStart w:id="1036" w:name="_Toc18224"/>
      <w:r>
        <w:rPr>
          <w:rFonts w:hint="eastAsia" w:ascii="宋体" w:hAnsi="宋体" w:eastAsia="宋体" w:cs="宋体"/>
          <w:color w:val="auto"/>
          <w:sz w:val="24"/>
          <w:szCs w:val="24"/>
          <w:highlight w:val="none"/>
        </w:rPr>
        <w:t>10.1见</w:t>
      </w:r>
      <w:bookmarkEnd w:id="1036"/>
      <w:r>
        <w:rPr>
          <w:rFonts w:hint="eastAsia" w:ascii="宋体" w:hAnsi="宋体" w:eastAsia="宋体" w:cs="宋体"/>
          <w:color w:val="auto"/>
          <w:sz w:val="24"/>
          <w:szCs w:val="24"/>
          <w:highlight w:val="none"/>
        </w:rPr>
        <w:t>供应商须知前附表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10.2见供应商须知前附表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10.3见供应商须知前附表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10.4见供应商须知前附表</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10.5信用</w:t>
      </w:r>
      <w:r>
        <w:rPr>
          <w:rFonts w:hint="eastAsia" w:ascii="宋体" w:hAnsi="宋体" w:cs="宋体"/>
          <w:color w:val="auto"/>
          <w:sz w:val="24"/>
          <w:szCs w:val="24"/>
          <w:highlight w:val="none"/>
          <w:lang w:val="en-US" w:eastAsia="zh-CN"/>
        </w:rPr>
        <w:t>融资</w:t>
      </w:r>
    </w:p>
    <w:p>
      <w:pPr>
        <w:pStyle w:val="11"/>
        <w:adjustRightInd w:val="0"/>
        <w:snapToGrid w:val="0"/>
        <w:spacing w:after="0" w:line="360" w:lineRule="auto"/>
        <w:ind w:firstLine="480" w:firstLineChars="200"/>
        <w:jc w:val="left"/>
        <w:rPr>
          <w:rFonts w:hint="eastAsia" w:ascii="宋体" w:hAnsi="宋体" w:eastAsia="宋体" w:cs="宋体"/>
          <w:bCs/>
          <w:color w:val="auto"/>
          <w:kern w:val="44"/>
          <w:szCs w:val="44"/>
          <w:highlight w:val="none"/>
        </w:rPr>
      </w:pPr>
      <w:r>
        <w:rPr>
          <w:rFonts w:hint="eastAsia" w:ascii="宋体" w:hAnsi="宋体" w:eastAsia="宋体" w:cs="宋体"/>
          <w:color w:val="auto"/>
          <w:sz w:val="24"/>
          <w:highlight w:val="none"/>
        </w:rPr>
        <w:t>根据《陕西省财政厅关于加快推进我省中小企业政府采购信用融资工作的通知》 (陕财办采〔2020〕15号)和《陕西省中小企业政府采购信用融资办法》 (陕财办采〔2018 〕23号)文件要求，为助力解决政府采购成交供应商资金不足、融资难、融资贵的困难，促进供应商依法诚信参加政府采购活动，有融资需求的供应商可登录陕西省政府采购网一信用融资平台(</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"http://www.ccgp-shaanxi.gov.cn/zcdservice/zcd/shanxi"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http://www.ccgp-shaanxi.gov.cn/zcdservice/zcd/shanxi</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 xml:space="preserve"> /), 选择符合自身情况的“政采贷”银行及其产品，凭项目中标(成交)结果、中标(成交)通知书等信息在线向银行提出贷款意向申请、查看贷款审批情况等。</w:t>
      </w:r>
      <w:bookmarkEnd w:id="31"/>
      <w:bookmarkStart w:id="1037" w:name="_Toc511146529"/>
      <w:r>
        <w:rPr>
          <w:rFonts w:hint="eastAsia" w:ascii="宋体" w:hAnsi="宋体" w:eastAsia="宋体" w:cs="宋体"/>
          <w:bCs/>
          <w:color w:val="auto"/>
          <w:kern w:val="44"/>
          <w:szCs w:val="44"/>
          <w:highlight w:val="none"/>
        </w:rPr>
        <w:br w:type="page"/>
      </w:r>
    </w:p>
    <w:p>
      <w:pPr>
        <w:jc w:val="center"/>
        <w:outlineLvl w:val="0"/>
        <w:rPr>
          <w:rFonts w:hint="eastAsia" w:ascii="宋体" w:hAnsi="宋体" w:eastAsia="宋体" w:cs="宋体"/>
          <w:b/>
          <w:bCs/>
          <w:color w:val="auto"/>
          <w:sz w:val="32"/>
          <w:szCs w:val="32"/>
          <w:highlight w:val="none"/>
        </w:rPr>
      </w:pPr>
      <w:bookmarkStart w:id="1038" w:name="_Toc22256"/>
      <w:bookmarkStart w:id="1039" w:name="_Toc22226"/>
      <w:bookmarkStart w:id="1040" w:name="_Toc6244"/>
      <w:bookmarkStart w:id="1041" w:name="_Toc840"/>
      <w:bookmarkStart w:id="1042" w:name="_Toc31487"/>
      <w:r>
        <w:rPr>
          <w:rFonts w:hint="eastAsia" w:ascii="宋体" w:hAnsi="宋体" w:eastAsia="宋体" w:cs="宋体"/>
          <w:b/>
          <w:bCs/>
          <w:color w:val="auto"/>
          <w:sz w:val="32"/>
          <w:szCs w:val="32"/>
          <w:highlight w:val="none"/>
        </w:rPr>
        <w:t>第三章 评审办法</w:t>
      </w:r>
      <w:bookmarkEnd w:id="1037"/>
      <w:bookmarkEnd w:id="1038"/>
      <w:bookmarkEnd w:id="1039"/>
      <w:bookmarkEnd w:id="1040"/>
      <w:bookmarkEnd w:id="1041"/>
      <w:bookmarkEnd w:id="1042"/>
      <w:bookmarkStart w:id="1043" w:name="_Toc513557039"/>
    </w:p>
    <w:p>
      <w:pPr>
        <w:adjustRightInd w:val="0"/>
        <w:snapToGrid w:val="0"/>
        <w:spacing w:line="360" w:lineRule="auto"/>
        <w:rPr>
          <w:rFonts w:hint="eastAsia" w:ascii="宋体" w:hAnsi="宋体" w:eastAsia="宋体" w:cs="宋体"/>
          <w:b/>
          <w:color w:val="auto"/>
          <w:spacing w:val="4"/>
          <w:sz w:val="24"/>
          <w:highlight w:val="none"/>
        </w:rPr>
      </w:pPr>
      <w:bookmarkStart w:id="1044" w:name="_Toc8376"/>
      <w:bookmarkStart w:id="1045" w:name="_Toc24636"/>
      <w:bookmarkStart w:id="1046" w:name="_Toc27341"/>
      <w:bookmarkStart w:id="1047" w:name="_Toc4404"/>
      <w:r>
        <w:rPr>
          <w:rFonts w:hint="eastAsia" w:ascii="宋体" w:hAnsi="宋体" w:eastAsia="宋体" w:cs="宋体"/>
          <w:b/>
          <w:color w:val="auto"/>
          <w:spacing w:val="4"/>
          <w:sz w:val="24"/>
          <w:highlight w:val="none"/>
        </w:rPr>
        <w:t>一、评审办法</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中华人民共和国政府采购法》、《中华人民共和国政府采购法实施条例》等相关法律、法规的规定，磋商小组采用综合评分法对供应商的响应文件进行综合评分，按照评审得分由高到低顺序推荐前三名成交候选供应商。</w:t>
      </w:r>
    </w:p>
    <w:p>
      <w:pPr>
        <w:adjustRightInd w:val="0"/>
        <w:snapToGrid w:val="0"/>
        <w:spacing w:line="360" w:lineRule="auto"/>
        <w:ind w:firstLine="480" w:firstLineChars="200"/>
        <w:rPr>
          <w:rFonts w:hint="eastAsia" w:ascii="宋体" w:hAnsi="宋体" w:eastAsia="宋体" w:cs="宋体"/>
          <w:color w:val="auto"/>
          <w:spacing w:val="4"/>
          <w:sz w:val="24"/>
          <w:highlight w:val="none"/>
        </w:rPr>
      </w:pPr>
      <w:r>
        <w:rPr>
          <w:rFonts w:hint="eastAsia" w:ascii="宋体" w:hAnsi="宋体" w:eastAsia="宋体" w:cs="宋体"/>
          <w:color w:val="auto"/>
          <w:kern w:val="0"/>
          <w:sz w:val="24"/>
          <w:szCs w:val="24"/>
          <w:highlight w:val="none"/>
        </w:rPr>
        <w:t>2.磋商小组组成：从陕西省政府采购评审专家库中随机抽取技术、经济方面的专家与采购人代表组成。</w:t>
      </w:r>
    </w:p>
    <w:p>
      <w:pPr>
        <w:adjustRightInd w:val="0"/>
        <w:snapToGrid w:val="0"/>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3.本次评审采用综合评分法</w:t>
      </w:r>
      <w:r>
        <w:rPr>
          <w:rFonts w:hint="eastAsia" w:ascii="宋体" w:hAnsi="宋体" w:eastAsia="宋体" w:cs="宋体"/>
          <w:color w:val="auto"/>
          <w:kern w:val="0"/>
          <w:sz w:val="24"/>
          <w:szCs w:val="24"/>
          <w:highlight w:val="none"/>
        </w:rPr>
        <w:t>。</w:t>
      </w:r>
    </w:p>
    <w:p>
      <w:pPr>
        <w:adjustRightInd w:val="0"/>
        <w:snapToGrid w:val="0"/>
        <w:spacing w:line="360" w:lineRule="auto"/>
        <w:rPr>
          <w:rFonts w:hint="eastAsia" w:ascii="宋体" w:hAnsi="宋体" w:eastAsia="宋体" w:cs="宋体"/>
          <w:b/>
          <w:color w:val="auto"/>
          <w:spacing w:val="4"/>
          <w:sz w:val="24"/>
          <w:highlight w:val="none"/>
        </w:rPr>
      </w:pPr>
      <w:r>
        <w:rPr>
          <w:rFonts w:hint="eastAsia" w:ascii="宋体" w:hAnsi="宋体" w:eastAsia="宋体" w:cs="宋体"/>
          <w:b/>
          <w:color w:val="auto"/>
          <w:spacing w:val="4"/>
          <w:sz w:val="24"/>
          <w:highlight w:val="none"/>
        </w:rPr>
        <w:t>二、磋商小组负责具体评审事务，并独立履行下列职责：</w:t>
      </w:r>
    </w:p>
    <w:p>
      <w:pPr>
        <w:adjustRightInd w:val="0"/>
        <w:snapToGrid w:val="0"/>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1.审查、评价磋商响应文件是否符合竞争性磋商文件的商务、技术等实质性要求；</w:t>
      </w:r>
    </w:p>
    <w:p>
      <w:pPr>
        <w:adjustRightInd w:val="0"/>
        <w:snapToGrid w:val="0"/>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2.要求供应商对磋商响应文件有关事项做出澄清或者说明；</w:t>
      </w:r>
    </w:p>
    <w:p>
      <w:pPr>
        <w:adjustRightInd w:val="0"/>
        <w:snapToGrid w:val="0"/>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3.对磋商响应文件进行比较和评价；</w:t>
      </w:r>
    </w:p>
    <w:p>
      <w:pPr>
        <w:adjustRightInd w:val="0"/>
        <w:snapToGrid w:val="0"/>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4.确定成交候选人名单，或根据采购人委托直接确定成交供应商；</w:t>
      </w:r>
    </w:p>
    <w:p>
      <w:pPr>
        <w:adjustRightInd w:val="0"/>
        <w:snapToGrid w:val="0"/>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5.向采购人、采购代理机构或者有关部门报告评审中发现的违法行为。</w:t>
      </w:r>
    </w:p>
    <w:p>
      <w:pPr>
        <w:adjustRightInd w:val="0"/>
        <w:snapToGrid w:val="0"/>
        <w:spacing w:line="360" w:lineRule="auto"/>
        <w:rPr>
          <w:rFonts w:hint="eastAsia" w:ascii="宋体" w:hAnsi="宋体" w:eastAsia="宋体" w:cs="宋体"/>
          <w:b/>
          <w:color w:val="auto"/>
          <w:spacing w:val="4"/>
          <w:sz w:val="24"/>
          <w:highlight w:val="none"/>
        </w:rPr>
      </w:pPr>
      <w:r>
        <w:rPr>
          <w:rFonts w:hint="eastAsia" w:ascii="宋体" w:hAnsi="宋体" w:eastAsia="宋体" w:cs="宋体"/>
          <w:b/>
          <w:color w:val="auto"/>
          <w:spacing w:val="4"/>
          <w:sz w:val="24"/>
          <w:highlight w:val="none"/>
        </w:rPr>
        <w:t>三、供应商存在下列情况之一的，按照无效竞争性磋商处理:</w:t>
      </w:r>
    </w:p>
    <w:p>
      <w:pPr>
        <w:spacing w:line="360" w:lineRule="auto"/>
        <w:ind w:left="0" w:leftChars="0" w:firstLine="420" w:firstLineChars="175"/>
        <w:rPr>
          <w:rFonts w:hint="eastAsia" w:ascii="宋体" w:hAnsi="宋体" w:eastAsia="宋体" w:cs="宋体"/>
          <w:color w:val="auto"/>
          <w:sz w:val="24"/>
          <w:szCs w:val="24"/>
          <w:highlight w:val="none"/>
        </w:rPr>
      </w:pPr>
      <w:bookmarkStart w:id="1048" w:name="_Toc7987"/>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.磋商响应文件未按竞争性磋商文件规定格式填写，内容不全或关键词字迹模糊、无法辨认的；</w:t>
      </w:r>
      <w:bookmarkEnd w:id="1048"/>
    </w:p>
    <w:p>
      <w:pPr>
        <w:spacing w:line="360" w:lineRule="auto"/>
        <w:ind w:left="0" w:leftChars="0" w:firstLine="420" w:firstLineChars="175"/>
        <w:rPr>
          <w:rFonts w:hint="eastAsia" w:ascii="宋体" w:hAnsi="宋体" w:eastAsia="宋体" w:cs="宋体"/>
          <w:color w:val="auto"/>
          <w:sz w:val="24"/>
          <w:szCs w:val="24"/>
          <w:highlight w:val="none"/>
        </w:rPr>
      </w:pPr>
      <w:bookmarkStart w:id="1049" w:name="_Toc27471"/>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.磋商响应文件未按竞争性磋商文件规定装订、密封的；</w:t>
      </w:r>
      <w:bookmarkEnd w:id="1049"/>
    </w:p>
    <w:p>
      <w:pPr>
        <w:spacing w:line="360" w:lineRule="auto"/>
        <w:ind w:left="0" w:leftChars="0" w:firstLine="420" w:firstLineChars="175"/>
        <w:rPr>
          <w:rFonts w:hint="eastAsia" w:ascii="宋体" w:hAnsi="宋体" w:eastAsia="宋体" w:cs="宋体"/>
          <w:color w:val="auto"/>
          <w:sz w:val="24"/>
          <w:szCs w:val="24"/>
          <w:highlight w:val="none"/>
        </w:rPr>
      </w:pPr>
      <w:bookmarkStart w:id="1050" w:name="_Toc14723"/>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.竞争性磋商总报价超过最高限价的；</w:t>
      </w:r>
      <w:bookmarkEnd w:id="1050"/>
    </w:p>
    <w:p>
      <w:pPr>
        <w:spacing w:line="360" w:lineRule="auto"/>
        <w:ind w:left="0" w:leftChars="0" w:firstLine="420" w:firstLineChars="175"/>
        <w:rPr>
          <w:rFonts w:hint="eastAsia" w:ascii="宋体" w:hAnsi="宋体" w:eastAsia="宋体" w:cs="宋体"/>
          <w:color w:val="auto"/>
          <w:sz w:val="24"/>
          <w:szCs w:val="24"/>
          <w:highlight w:val="none"/>
        </w:rPr>
      </w:pPr>
      <w:bookmarkStart w:id="1051" w:name="_Toc17663"/>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.响应报价低于成本价或竞争性磋商报价有重大缺、漏项的；</w:t>
      </w:r>
      <w:bookmarkEnd w:id="1051"/>
    </w:p>
    <w:p>
      <w:pPr>
        <w:spacing w:line="360" w:lineRule="auto"/>
        <w:ind w:left="0" w:leftChars="0" w:firstLine="420" w:firstLineChars="175"/>
        <w:rPr>
          <w:rFonts w:hint="eastAsia" w:ascii="宋体" w:hAnsi="宋体" w:eastAsia="宋体" w:cs="宋体"/>
          <w:color w:val="auto"/>
          <w:sz w:val="24"/>
          <w:szCs w:val="24"/>
          <w:highlight w:val="none"/>
        </w:rPr>
      </w:pPr>
      <w:bookmarkStart w:id="1052" w:name="_Toc22320"/>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.工期超过竞争性磋商文件规定期限的；</w:t>
      </w:r>
      <w:bookmarkEnd w:id="1052"/>
    </w:p>
    <w:p>
      <w:pPr>
        <w:spacing w:line="360" w:lineRule="auto"/>
        <w:ind w:left="0" w:leftChars="0" w:firstLine="420" w:firstLineChars="175"/>
        <w:rPr>
          <w:rFonts w:hint="eastAsia" w:ascii="宋体" w:hAnsi="宋体" w:eastAsia="宋体" w:cs="宋体"/>
          <w:color w:val="auto"/>
          <w:sz w:val="24"/>
          <w:szCs w:val="24"/>
          <w:highlight w:val="none"/>
        </w:rPr>
      </w:pPr>
      <w:bookmarkStart w:id="1053" w:name="_Toc32221"/>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.竞争性磋商有效期少于竞争性磋商文件规定期限的；</w:t>
      </w:r>
      <w:bookmarkEnd w:id="1053"/>
    </w:p>
    <w:p>
      <w:pPr>
        <w:spacing w:line="360" w:lineRule="auto"/>
        <w:ind w:left="0" w:leftChars="0" w:firstLine="420" w:firstLineChars="175"/>
        <w:rPr>
          <w:rFonts w:hint="eastAsia" w:ascii="宋体" w:hAnsi="宋体" w:eastAsia="宋体" w:cs="宋体"/>
          <w:color w:val="auto"/>
          <w:sz w:val="24"/>
          <w:szCs w:val="24"/>
          <w:highlight w:val="none"/>
        </w:rPr>
      </w:pPr>
      <w:bookmarkStart w:id="1054" w:name="_Toc16516"/>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.纸质磋商响应文件、电子光盘和电子磋商响应文件不一致的；</w:t>
      </w:r>
      <w:bookmarkEnd w:id="1054"/>
    </w:p>
    <w:p>
      <w:pPr>
        <w:spacing w:line="360" w:lineRule="auto"/>
        <w:ind w:left="0" w:leftChars="0" w:firstLine="420" w:firstLineChars="175"/>
        <w:rPr>
          <w:rFonts w:hint="eastAsia" w:ascii="宋体" w:hAnsi="宋体" w:eastAsia="宋体" w:cs="宋体"/>
          <w:color w:val="auto"/>
          <w:sz w:val="24"/>
          <w:szCs w:val="24"/>
          <w:highlight w:val="none"/>
        </w:rPr>
      </w:pPr>
      <w:bookmarkStart w:id="1055" w:name="_Toc10553"/>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.电子光盘因自身原因导致无法读取的；</w:t>
      </w:r>
      <w:bookmarkEnd w:id="1055"/>
    </w:p>
    <w:p>
      <w:pPr>
        <w:spacing w:line="360" w:lineRule="auto"/>
        <w:ind w:left="0" w:leftChars="0" w:firstLine="420" w:firstLineChars="175"/>
        <w:rPr>
          <w:rFonts w:hint="eastAsia" w:ascii="宋体" w:hAnsi="宋体" w:eastAsia="宋体" w:cs="宋体"/>
          <w:color w:val="auto"/>
          <w:sz w:val="24"/>
          <w:szCs w:val="24"/>
          <w:highlight w:val="none"/>
        </w:rPr>
      </w:pPr>
      <w:bookmarkStart w:id="1056" w:name="_Toc7954"/>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.两份(含两份)以上磋商响应文件内容雷同的；</w:t>
      </w:r>
      <w:bookmarkEnd w:id="1056"/>
    </w:p>
    <w:p>
      <w:pPr>
        <w:spacing w:line="360" w:lineRule="auto"/>
        <w:ind w:left="0" w:leftChars="0" w:firstLine="420" w:firstLineChars="175"/>
        <w:rPr>
          <w:rFonts w:hint="eastAsia" w:ascii="宋体" w:hAnsi="宋体" w:eastAsia="宋体" w:cs="宋体"/>
          <w:color w:val="auto"/>
          <w:sz w:val="24"/>
          <w:szCs w:val="24"/>
          <w:highlight w:val="none"/>
        </w:rPr>
      </w:pPr>
      <w:bookmarkStart w:id="1057" w:name="_Toc10188"/>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.不按磋商小组要求澄清、说明或补正的；</w:t>
      </w:r>
      <w:bookmarkEnd w:id="1057"/>
    </w:p>
    <w:p>
      <w:pPr>
        <w:spacing w:line="360" w:lineRule="auto"/>
        <w:ind w:left="0" w:leftChars="0" w:firstLine="420" w:firstLineChars="175"/>
        <w:rPr>
          <w:rFonts w:hint="eastAsia" w:ascii="宋体" w:hAnsi="宋体" w:eastAsia="宋体" w:cs="宋体"/>
          <w:color w:val="auto"/>
          <w:sz w:val="24"/>
          <w:szCs w:val="24"/>
          <w:highlight w:val="none"/>
        </w:rPr>
      </w:pPr>
      <w:bookmarkStart w:id="1058" w:name="_Toc825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.未对竞争性磋商文件的实质性条款做出完全响应的；</w:t>
      </w:r>
      <w:bookmarkEnd w:id="1058"/>
    </w:p>
    <w:p>
      <w:pPr>
        <w:spacing w:line="360" w:lineRule="auto"/>
        <w:ind w:left="0" w:leftChars="0" w:firstLine="420" w:firstLineChars="175"/>
        <w:rPr>
          <w:rFonts w:hint="eastAsia" w:ascii="宋体" w:hAnsi="宋体" w:eastAsia="宋体" w:cs="宋体"/>
          <w:color w:val="auto"/>
          <w:sz w:val="24"/>
          <w:szCs w:val="24"/>
          <w:highlight w:val="none"/>
        </w:rPr>
      </w:pPr>
      <w:bookmarkStart w:id="1059" w:name="_Toc19131"/>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.供应商未按要求提交竞争性磋商保证金的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适用提交保证金的项目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bookmarkEnd w:id="1059"/>
    </w:p>
    <w:p>
      <w:pPr>
        <w:spacing w:line="360" w:lineRule="auto"/>
        <w:ind w:left="0" w:leftChars="0" w:firstLine="420" w:firstLineChars="175"/>
        <w:rPr>
          <w:rFonts w:hint="eastAsia" w:ascii="宋体" w:hAnsi="宋体" w:eastAsia="宋体" w:cs="宋体"/>
          <w:color w:val="auto"/>
          <w:sz w:val="24"/>
          <w:szCs w:val="24"/>
          <w:highlight w:val="none"/>
        </w:rPr>
      </w:pPr>
      <w:bookmarkStart w:id="1060" w:name="_Toc27834"/>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.不具备竞争性磋商文件中规定的资格要求的；</w:t>
      </w:r>
      <w:bookmarkEnd w:id="1060"/>
    </w:p>
    <w:p>
      <w:pPr>
        <w:spacing w:line="360" w:lineRule="auto"/>
        <w:ind w:left="0" w:leftChars="0" w:firstLine="420" w:firstLineChars="175"/>
        <w:rPr>
          <w:rFonts w:hint="eastAsia" w:ascii="宋体" w:hAnsi="宋体" w:eastAsia="宋体" w:cs="宋体"/>
          <w:color w:val="auto"/>
          <w:sz w:val="24"/>
          <w:szCs w:val="24"/>
          <w:highlight w:val="none"/>
        </w:rPr>
      </w:pPr>
      <w:bookmarkStart w:id="1061" w:name="_Toc19333"/>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bookmarkEnd w:id="1061"/>
      <w:bookmarkStart w:id="1062" w:name="_Toc10343"/>
      <w:r>
        <w:rPr>
          <w:rFonts w:hint="eastAsia" w:ascii="宋体" w:hAnsi="宋体" w:eastAsia="宋体" w:cs="宋体"/>
          <w:color w:val="auto"/>
          <w:sz w:val="24"/>
          <w:szCs w:val="24"/>
          <w:highlight w:val="none"/>
        </w:rPr>
        <w:t>经磋商小组确认的未能实质性响应竞争性磋商文件要求的；</w:t>
      </w:r>
      <w:bookmarkEnd w:id="1062"/>
    </w:p>
    <w:p>
      <w:pPr>
        <w:spacing w:line="360" w:lineRule="auto"/>
        <w:ind w:left="0" w:leftChars="0" w:firstLine="420" w:firstLineChars="175"/>
        <w:rPr>
          <w:rFonts w:hint="eastAsia" w:ascii="宋体" w:hAnsi="宋体" w:eastAsia="宋体" w:cs="宋体"/>
          <w:color w:val="auto"/>
          <w:sz w:val="24"/>
          <w:szCs w:val="24"/>
          <w:highlight w:val="none"/>
        </w:rPr>
      </w:pPr>
      <w:bookmarkStart w:id="1063" w:name="_Toc21975"/>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.串通投标或弄虚作假或其他违法行为的；</w:t>
      </w:r>
      <w:bookmarkEnd w:id="1063"/>
    </w:p>
    <w:p>
      <w:pPr>
        <w:spacing w:line="360" w:lineRule="auto"/>
        <w:ind w:left="0" w:leftChars="0" w:firstLine="420" w:firstLineChars="175"/>
        <w:rPr>
          <w:rFonts w:hint="eastAsia" w:ascii="宋体" w:hAnsi="宋体" w:eastAsia="宋体" w:cs="宋体"/>
          <w:color w:val="auto"/>
          <w:sz w:val="24"/>
          <w:szCs w:val="24"/>
          <w:highlight w:val="none"/>
        </w:rPr>
      </w:pPr>
      <w:bookmarkStart w:id="1064" w:name="_Toc12556"/>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.磋商响应文件含有采购人不能接受的附加条件的；</w:t>
      </w:r>
      <w:bookmarkEnd w:id="1064"/>
    </w:p>
    <w:p>
      <w:pPr>
        <w:spacing w:line="360" w:lineRule="auto"/>
        <w:ind w:left="0" w:leftChars="0" w:firstLine="420" w:firstLineChars="175"/>
        <w:rPr>
          <w:rFonts w:hint="eastAsia" w:ascii="宋体" w:hAnsi="宋体" w:eastAsia="宋体" w:cs="宋体"/>
          <w:color w:val="auto"/>
          <w:sz w:val="24"/>
          <w:szCs w:val="24"/>
          <w:highlight w:val="none"/>
        </w:rPr>
      </w:pPr>
      <w:bookmarkStart w:id="1065" w:name="_Toc7252"/>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.单位负责人为同一人或者存在直接控股、管理关系的不同供应商，参加本项目同一合同项下的投标的；</w:t>
      </w:r>
      <w:bookmarkEnd w:id="1065"/>
    </w:p>
    <w:p>
      <w:pPr>
        <w:spacing w:line="360" w:lineRule="auto"/>
        <w:ind w:left="0" w:leftChars="0" w:firstLine="420" w:firstLineChars="175"/>
        <w:rPr>
          <w:rFonts w:hint="eastAsia" w:ascii="宋体" w:hAnsi="宋体" w:eastAsia="宋体" w:cs="宋体"/>
          <w:color w:val="auto"/>
          <w:sz w:val="24"/>
          <w:szCs w:val="24"/>
          <w:highlight w:val="none"/>
        </w:rPr>
      </w:pPr>
      <w:bookmarkStart w:id="1066" w:name="_Toc11639"/>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.为本采购项目提供整体设计、规范编制或者项目管理、监理、检测等服务的供应商，参加本采购项目竞争性磋商的；</w:t>
      </w:r>
      <w:bookmarkEnd w:id="1066"/>
    </w:p>
    <w:p>
      <w:pPr>
        <w:spacing w:line="360" w:lineRule="auto"/>
        <w:ind w:left="0" w:leftChars="0" w:firstLine="420" w:firstLineChars="175"/>
        <w:rPr>
          <w:rFonts w:hint="eastAsia" w:ascii="宋体" w:hAnsi="宋体" w:eastAsia="宋体" w:cs="宋体"/>
          <w:color w:val="auto"/>
          <w:sz w:val="24"/>
          <w:szCs w:val="24"/>
          <w:highlight w:val="none"/>
        </w:rPr>
      </w:pPr>
      <w:bookmarkStart w:id="1067" w:name="_Toc25609"/>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.供应商未通过正规渠道购买本竞争性磋商文件或供应商的名称与领取竞争性磋商文件时登记领取竞争性磋商文件单位的名称不符；</w:t>
      </w:r>
      <w:bookmarkEnd w:id="1067"/>
    </w:p>
    <w:p>
      <w:pPr>
        <w:spacing w:line="360" w:lineRule="auto"/>
        <w:ind w:left="0" w:leftChars="0" w:firstLine="420" w:firstLineChars="175"/>
        <w:rPr>
          <w:rFonts w:hint="eastAsia" w:ascii="宋体" w:hAnsi="宋体" w:eastAsia="宋体" w:cs="宋体"/>
          <w:color w:val="auto"/>
          <w:sz w:val="24"/>
          <w:szCs w:val="24"/>
          <w:highlight w:val="none"/>
        </w:rPr>
      </w:pPr>
      <w:bookmarkStart w:id="1068" w:name="_Toc6543"/>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.经证实，供应商在采购人以往项目中有不良记录影响竞争性磋商或竞争性磋商资格的；</w:t>
      </w:r>
      <w:bookmarkEnd w:id="1068"/>
    </w:p>
    <w:p>
      <w:pPr>
        <w:spacing w:line="360" w:lineRule="auto"/>
        <w:ind w:left="0" w:leftChars="0" w:firstLine="420" w:firstLineChars="175"/>
        <w:rPr>
          <w:rFonts w:hint="eastAsia" w:ascii="宋体" w:hAnsi="宋体" w:eastAsia="宋体" w:cs="宋体"/>
          <w:color w:val="auto"/>
          <w:sz w:val="24"/>
          <w:szCs w:val="24"/>
          <w:highlight w:val="none"/>
        </w:rPr>
      </w:pPr>
      <w:bookmarkStart w:id="1069" w:name="_Toc26554"/>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.法律、法规及行业有规定、以及评审办法规定的其他情形。</w:t>
      </w:r>
      <w:bookmarkEnd w:id="1069"/>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四、供应商有下列情形之一的，视为供应商串通竞争性磋商，其竞争性磋商无效：</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1.不同供应商的磋商响应文件由同一单位或者个人编制；</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2.不同供应商委托同一单位或者个人办理竞争性磋商事宜；</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3.不同供应商的磋商响应文件载明的项目管理成员或者联系人员为同一人；</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4.不同供应商的磋商响应文件异常一致或者竞争性磋商报价成规律性差异；</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5.不同供应商的磋商响应文件相互混装；</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6.不同供应商的竞争性磋商保证金从同一单位或者个人的账户转出。</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五、有下列情形之一的，属于供应商相互串通竞争性磋商，其竞争性磋商无效：</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1.供应商之间协商竞争性磋商报价等磋商响应文件的实质性内容；</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2.供应商之间约定成交供应商；</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3.供应商之间约定部分供应商放弃竞争性磋商或者中标；</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4.属于同一集团、协会、商会等组织成员的供应商按照该组织要求协同竞争性磋商；</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5.供应商之间为谋取中标或者排斥特定供应商而采取的其他联合行动。</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六、评审程序</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1．磋商响应文件密封检查：由监标人、供应商代表、采购代理机构共同检查磋商响应文件密封完整性。</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2.资格审查：由</w:t>
      </w:r>
      <w:r>
        <w:rPr>
          <w:rFonts w:hint="eastAsia" w:ascii="宋体" w:hAnsi="宋体" w:cs="宋体"/>
          <w:color w:val="auto"/>
          <w:sz w:val="24"/>
          <w:szCs w:val="24"/>
          <w:highlight w:val="none"/>
          <w:lang w:val="en-US" w:eastAsia="zh-CN"/>
        </w:rPr>
        <w:t>采购人或采购代理机构</w:t>
      </w:r>
      <w:r>
        <w:rPr>
          <w:rFonts w:hint="eastAsia" w:ascii="宋体" w:hAnsi="宋体" w:eastAsia="宋体" w:cs="宋体"/>
          <w:color w:val="auto"/>
          <w:sz w:val="24"/>
          <w:szCs w:val="24"/>
          <w:highlight w:val="none"/>
        </w:rPr>
        <w:t>对密封性检查合格</w:t>
      </w:r>
      <w:r>
        <w:rPr>
          <w:rFonts w:hint="eastAsia" w:ascii="宋体" w:hAnsi="宋体" w:cs="宋体"/>
          <w:color w:val="auto"/>
          <w:sz w:val="24"/>
          <w:szCs w:val="24"/>
          <w:highlight w:val="none"/>
          <w:lang w:val="en-US" w:eastAsia="zh-CN"/>
        </w:rPr>
        <w:t>的供应商</w:t>
      </w:r>
      <w:r>
        <w:rPr>
          <w:rFonts w:hint="eastAsia" w:ascii="宋体" w:hAnsi="宋体" w:eastAsia="宋体" w:cs="宋体"/>
          <w:color w:val="auto"/>
          <w:sz w:val="24"/>
          <w:szCs w:val="24"/>
          <w:highlight w:val="none"/>
        </w:rPr>
        <w:t>进行资格审查；</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3.形式评审：由磋商小组对</w:t>
      </w:r>
      <w:r>
        <w:rPr>
          <w:rFonts w:hint="eastAsia" w:ascii="宋体" w:hAnsi="宋体" w:cs="宋体"/>
          <w:color w:val="auto"/>
          <w:sz w:val="24"/>
          <w:szCs w:val="24"/>
          <w:highlight w:val="none"/>
          <w:lang w:val="en-US" w:eastAsia="zh-CN"/>
        </w:rPr>
        <w:t>资格性审查</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val="en-US" w:eastAsia="zh-CN"/>
        </w:rPr>
        <w:t>的供应商</w:t>
      </w:r>
      <w:r>
        <w:rPr>
          <w:rFonts w:hint="eastAsia" w:ascii="宋体" w:hAnsi="宋体" w:eastAsia="宋体" w:cs="宋体"/>
          <w:color w:val="auto"/>
          <w:sz w:val="24"/>
          <w:szCs w:val="24"/>
          <w:highlight w:val="none"/>
        </w:rPr>
        <w:t>进行形式评审；</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4.响应性评审：由磋商小组对</w:t>
      </w:r>
      <w:r>
        <w:rPr>
          <w:rFonts w:hint="eastAsia" w:ascii="宋体" w:hAnsi="宋体" w:cs="宋体"/>
          <w:color w:val="auto"/>
          <w:sz w:val="24"/>
          <w:szCs w:val="24"/>
          <w:highlight w:val="none"/>
          <w:lang w:val="en-US" w:eastAsia="zh-CN"/>
        </w:rPr>
        <w:t>形式评审</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val="en-US" w:eastAsia="zh-CN"/>
        </w:rPr>
        <w:t>的供应商</w:t>
      </w:r>
      <w:r>
        <w:rPr>
          <w:rFonts w:hint="eastAsia" w:ascii="宋体" w:hAnsi="宋体" w:eastAsia="宋体" w:cs="宋体"/>
          <w:color w:val="auto"/>
          <w:sz w:val="24"/>
          <w:szCs w:val="24"/>
          <w:highlight w:val="none"/>
        </w:rPr>
        <w:t>进行响应性评审；</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5.明显低价的排除</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认为供应商的报价明显低于其他通过审查供应商的报价，有可能影响质量或者不能诚信履约的，应当要求其在评审现场合理的时间内提供书面说明，必要时提交相关证明材料；供应商不能证明其报价合理性的，磋商小组应当将其作为无效磋商处理。</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6.澄清有关问题：</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磋商响应文件中含义不明确、同类问题表述不一致或者有明显文字和计算错误的内容，磋商小组以书面形式要求供应商做出必要的澄清、说明或者补正。供应商的澄清、说明或者补正应当采用书面形式，由法定代表人或其授权的代表签署全名。供应商的澄清、说明或者补正不得超出磋商响应文件的范围或者改变磋商响应文件的实质性内容。</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(2)磋商响应文件报价出现前后不一致的，按照下列规定修正：</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①磋商响应文件中竞争性磋商一次报价表内容与磋商响应文件中相应内容不一致的，以竞争性磋商一次报价表为准；</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③单价金额小数点或者百分比有明显错位的，以竞争性磋商一次报价表的总价为准，并修改单价；</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④总价金额与按单价汇总金额不一致的，以单价金额计算结果为准。</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同时出现两种以上不一致的，按照前款规定的顺序修正。修正后的报价经供应商书面确认后产生约束力，供应商不确认的，其竞争性磋商无效。</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(3)评审价的确定：</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供应商资格审查合格的，为有效竞争性磋商供应商。</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对于所有有效竞争性磋商二次报价按照以下规则进行评审价的确定：</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①对于不需要进行政策性价格优惠调整的，其评审价为按照本办法规定的修正办法修正后的竞争性磋商总价。</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对于符合政策性优惠的，其评审价按照以下规则进行计算调整：</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本项目专门面向中小企业，供应商为中型、小型和微型企业的不享受政策性优惠； </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③其他方式按照国家相关规定执行。</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7.根据相关法律、法规的规定，对政府采购相关政策落实如下：</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本项目为专门面向中小企业采购。供应商应为中型企业或小型企业和微型企业，在商务标评审时不</w:t>
      </w:r>
      <w:r>
        <w:rPr>
          <w:rFonts w:hint="eastAsia" w:ascii="宋体" w:hAnsi="宋体" w:eastAsia="宋体" w:cs="宋体"/>
          <w:color w:val="auto"/>
          <w:sz w:val="24"/>
          <w:szCs w:val="24"/>
          <w:highlight w:val="none"/>
          <w:lang w:val="en-US" w:eastAsia="zh-CN"/>
        </w:rPr>
        <w:t>再</w:t>
      </w:r>
      <w:r>
        <w:rPr>
          <w:rFonts w:hint="eastAsia" w:ascii="宋体" w:hAnsi="宋体" w:eastAsia="宋体" w:cs="宋体"/>
          <w:color w:val="auto"/>
          <w:sz w:val="24"/>
          <w:szCs w:val="24"/>
          <w:highlight w:val="none"/>
        </w:rPr>
        <w:t>享受价格优惠政策。</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为了切实推进政府采购“放、管、服”措施的有效性、针对性和便利性，供应商如为中、小、微企业的，需在其响应文件中提供《中小企业声明函》。未提供以上材料的不予认定。</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7.2环境标志、节能的产品</w:t>
      </w:r>
    </w:p>
    <w:p>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评审过程中，具有环境标志、节能的产品给予酌情评审加分。在磋商时各供应商应提供经国家确定的认证机构出具</w:t>
      </w:r>
      <w:r>
        <w:rPr>
          <w:rFonts w:hint="eastAsia" w:ascii="宋体" w:hAnsi="宋体" w:cs="宋体"/>
          <w:color w:val="auto"/>
          <w:sz w:val="24"/>
          <w:szCs w:val="24"/>
          <w:highlight w:val="none"/>
          <w:lang w:val="en-US" w:eastAsia="zh-CN"/>
        </w:rPr>
        <w:t>在有效期内的</w:t>
      </w:r>
      <w:r>
        <w:rPr>
          <w:rFonts w:hint="eastAsia" w:ascii="宋体" w:hAnsi="宋体" w:eastAsia="宋体" w:cs="宋体"/>
          <w:color w:val="auto"/>
          <w:sz w:val="24"/>
          <w:szCs w:val="24"/>
          <w:highlight w:val="none"/>
        </w:rPr>
        <w:t>节能产品、环境标志产品认证证书（证明材料须加盖供应商红色公章），否则不予计分（注：环境标志产品是指由财政部、国家环境保护总局颁布的“环境标志产品政府采购品目清单”中的有效期内的产品；节能产品是指由财政部、国家发改委颁布的“节能产品政府采购清单”中的有效期内的产品）。</w:t>
      </w:r>
      <w:r>
        <w:rPr>
          <w:rFonts w:hint="eastAsia" w:ascii="宋体" w:hAnsi="宋体" w:cs="宋体"/>
          <w:color w:val="auto"/>
          <w:sz w:val="24"/>
          <w:szCs w:val="24"/>
          <w:highlight w:val="none"/>
          <w:lang w:val="en-US" w:eastAsia="zh-CN"/>
        </w:rPr>
        <w:t xml:space="preserve"> </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7.3监狱企业</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根据《关于政府采购支持监狱企业发展有关问题的通知》规定，在政府采购活动中，监狱企业视同小型、微型企业，享受政府采购促进中小企业发展的政府采购政策。</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监狱企业参加政府采购活动时，应当提供省级以上监狱管理局、戒毒管理局（含新疆生产建设兵团）出具的属于监狱企业的证明文件。</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7.4福利企业</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根据《关于政府采购优先购买福利性企业产品和服务的意见》规定，在政府采购活动中，本省福利性企业享受我省规定的采购扶持政策。</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福利企业参加政府采购活动时，应当提供市级以上民政局、财政局、残联部门出具的福利性企业的证明文件。</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7.5残疾人福利性单位</w:t>
      </w:r>
    </w:p>
    <w:p>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中标、成交人为残疾人福利性单位的，采购人或者其委托的采购代理机构应当随中标、成交人结果同时公告其《残疾人福利性单位声明函》，接受社会监督。供应商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切实推进政府采购“放、管、服”措施的有效性、针对性和便利性，供应商如为残疾人福利性单位，只需在其响应文件中提供《残疾人福利性单位声明函》证明其企业为残疾人福利性单位，磋商小组视同小型、微型企业，享受政府采购促进中小企业发展的政府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如供应商同时提供上述优惠内容，磋商小组只认可其一项有效声明函。</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磋商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由磋商小组对有效供应商分别进行磋商，在磋商过程中，磋商小组可以根据磋商文件和磋商情况实质性变动采购需求中的技术、服务要求以及合同草案条款，并要求所有实质性响应的供应商在规定时间内提交最后报价，提交最后报价的供应商不得少于3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比较与评价：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评委会各成员按照《评审因素量化赋分表》（后附）规定的内容，独立进行综合比较、评价打分。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.推荐成交候选人名单：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汇总全体评委对每个供应商</w:t>
      </w:r>
      <w:r>
        <w:rPr>
          <w:rFonts w:hint="eastAsia" w:ascii="宋体" w:hAnsi="宋体" w:cs="宋体"/>
          <w:color w:val="auto"/>
          <w:sz w:val="24"/>
          <w:szCs w:val="24"/>
          <w:highlight w:val="none"/>
          <w:lang w:val="en-US" w:eastAsia="zh-CN"/>
        </w:rPr>
        <w:t>响应文件技术部分和商务部分得</w:t>
      </w:r>
      <w:r>
        <w:rPr>
          <w:rFonts w:hint="eastAsia" w:ascii="宋体" w:hAnsi="宋体" w:eastAsia="宋体" w:cs="宋体"/>
          <w:color w:val="auto"/>
          <w:sz w:val="24"/>
          <w:szCs w:val="24"/>
          <w:highlight w:val="none"/>
        </w:rPr>
        <w:t>分，计算出每个供应商的综合得分，按照得分从高到低顺序排列，推荐3名为成交候选人。</w:t>
      </w:r>
    </w:p>
    <w:p>
      <w:pPr>
        <w:bidi w:val="0"/>
        <w:ind w:left="0" w:leftChars="0" w:firstLine="367" w:firstLineChars="175"/>
        <w:outlineLvl w:val="9"/>
        <w:rPr>
          <w:rFonts w:hint="eastAsia" w:ascii="宋体" w:hAnsi="宋体" w:eastAsia="宋体" w:cs="宋体"/>
          <w:color w:val="auto"/>
          <w:highlight w:val="none"/>
        </w:rPr>
      </w:pPr>
    </w:p>
    <w:p>
      <w:pPr>
        <w:ind w:left="0" w:leftChars="0" w:firstLine="367" w:firstLineChars="175"/>
        <w:rPr>
          <w:rFonts w:hint="eastAsia" w:ascii="宋体" w:hAnsi="宋体" w:eastAsia="宋体" w:cs="宋体"/>
          <w:color w:val="auto"/>
          <w:highlight w:val="none"/>
        </w:rPr>
      </w:pPr>
    </w:p>
    <w:p>
      <w:pPr>
        <w:bidi w:val="0"/>
        <w:ind w:left="0" w:leftChars="0" w:firstLine="367" w:firstLineChars="175"/>
        <w:outlineLvl w:val="9"/>
        <w:rPr>
          <w:rFonts w:hint="eastAsia" w:ascii="宋体" w:hAnsi="宋体" w:eastAsia="宋体" w:cs="宋体"/>
          <w:color w:val="auto"/>
          <w:highlight w:val="none"/>
        </w:rPr>
      </w:pPr>
    </w:p>
    <w:p>
      <w:pPr>
        <w:bidi w:val="0"/>
        <w:outlineLvl w:val="9"/>
        <w:rPr>
          <w:rFonts w:hint="eastAsia" w:ascii="宋体" w:hAnsi="宋体" w:eastAsia="宋体" w:cs="宋体"/>
          <w:color w:val="auto"/>
          <w:highlight w:val="none"/>
        </w:rPr>
      </w:pPr>
    </w:p>
    <w:bookmarkEnd w:id="1043"/>
    <w:bookmarkEnd w:id="1044"/>
    <w:bookmarkEnd w:id="1045"/>
    <w:bookmarkEnd w:id="1046"/>
    <w:bookmarkEnd w:id="1047"/>
    <w:p>
      <w:pPr>
        <w:rPr>
          <w:rFonts w:hint="eastAsia" w:ascii="宋体" w:hAnsi="宋体" w:cs="宋体"/>
          <w:b/>
          <w:bCs/>
          <w:color w:val="auto"/>
          <w:spacing w:val="4"/>
          <w:sz w:val="28"/>
          <w:szCs w:val="24"/>
          <w:highlight w:val="none"/>
          <w:lang w:val="en-US" w:eastAsia="zh-CN"/>
        </w:rPr>
      </w:pPr>
      <w:bookmarkStart w:id="1070" w:name="_Toc321812022"/>
      <w:bookmarkStart w:id="1071" w:name="_Toc184635093"/>
      <w:bookmarkStart w:id="1072" w:name="_Toc290389723"/>
      <w:bookmarkStart w:id="1073" w:name="_Toc324521819"/>
      <w:r>
        <w:rPr>
          <w:rFonts w:hint="eastAsia" w:ascii="宋体" w:hAnsi="宋体" w:cs="宋体"/>
          <w:b/>
          <w:bCs/>
          <w:color w:val="auto"/>
          <w:spacing w:val="4"/>
          <w:sz w:val="28"/>
          <w:szCs w:val="24"/>
          <w:highlight w:val="none"/>
          <w:lang w:val="en-US" w:eastAsia="zh-CN"/>
        </w:rPr>
        <w:br w:type="page"/>
      </w:r>
    </w:p>
    <w:p>
      <w:pPr>
        <w:adjustRightInd w:val="0"/>
        <w:snapToGrid w:val="0"/>
        <w:spacing w:line="360" w:lineRule="auto"/>
        <w:jc w:val="center"/>
        <w:outlineLvl w:val="1"/>
        <w:rPr>
          <w:rFonts w:hint="default" w:ascii="宋体" w:hAnsi="宋体" w:eastAsia="宋体" w:cs="宋体"/>
          <w:b/>
          <w:bCs/>
          <w:color w:val="auto"/>
          <w:spacing w:val="4"/>
          <w:sz w:val="28"/>
          <w:szCs w:val="24"/>
          <w:highlight w:val="none"/>
          <w:lang w:val="en-US" w:eastAsia="zh-CN"/>
        </w:rPr>
      </w:pPr>
      <w:r>
        <w:rPr>
          <w:rFonts w:hint="eastAsia" w:ascii="宋体" w:hAnsi="宋体" w:cs="宋体"/>
          <w:b/>
          <w:bCs/>
          <w:color w:val="auto"/>
          <w:spacing w:val="4"/>
          <w:sz w:val="28"/>
          <w:szCs w:val="24"/>
          <w:highlight w:val="none"/>
          <w:lang w:val="en-US" w:eastAsia="zh-CN"/>
        </w:rPr>
        <w:t>资格审查表</w:t>
      </w:r>
    </w:p>
    <w:bookmarkEnd w:id="32"/>
    <w:bookmarkEnd w:id="1070"/>
    <w:bookmarkEnd w:id="1071"/>
    <w:bookmarkEnd w:id="1072"/>
    <w:bookmarkEnd w:id="1073"/>
    <w:tbl>
      <w:tblPr>
        <w:tblStyle w:val="24"/>
        <w:tblW w:w="908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320"/>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right"/>
        </w:trPr>
        <w:tc>
          <w:tcPr>
            <w:tcW w:w="830" w:type="dxa"/>
            <w:vMerge w:val="restart"/>
            <w:vAlign w:val="center"/>
          </w:tcPr>
          <w:p>
            <w:pPr>
              <w:adjustRightInd w:val="0"/>
              <w:snapToGrid w:val="0"/>
              <w:spacing w:line="360" w:lineRule="auto"/>
              <w:jc w:val="center"/>
              <w:rPr>
                <w:rFonts w:ascii="宋体" w:hAnsi="宋体" w:cs="宋体"/>
                <w:color w:val="auto"/>
                <w:szCs w:val="21"/>
                <w:highlight w:val="none"/>
              </w:rPr>
            </w:pPr>
            <w:bookmarkStart w:id="1074" w:name="_Toc557"/>
            <w:bookmarkStart w:id="1075" w:name="_Toc2619"/>
            <w:bookmarkStart w:id="1076" w:name="_Toc23858"/>
            <w:bookmarkStart w:id="1077" w:name="_Toc16985"/>
            <w:bookmarkStart w:id="1078" w:name="_Toc14711"/>
            <w:bookmarkStart w:id="1079" w:name="_Toc32288"/>
            <w:r>
              <w:rPr>
                <w:rFonts w:hint="eastAsia" w:ascii="宋体" w:hAnsi="宋体" w:cs="宋体"/>
                <w:color w:val="auto"/>
                <w:szCs w:val="21"/>
                <w:highlight w:val="none"/>
              </w:rPr>
              <w:t>资格评审标准</w:t>
            </w:r>
          </w:p>
          <w:p>
            <w:pPr>
              <w:adjustRightInd w:val="0"/>
              <w:snapToGrid w:val="0"/>
              <w:spacing w:line="360" w:lineRule="auto"/>
              <w:jc w:val="center"/>
              <w:rPr>
                <w:rFonts w:hint="eastAsia" w:ascii="宋体" w:hAnsi="宋体" w:eastAsia="宋体" w:cs="宋体"/>
                <w:b/>
                <w:color w:val="auto"/>
                <w:sz w:val="21"/>
                <w:szCs w:val="21"/>
                <w:highlight w:val="none"/>
              </w:rPr>
            </w:pPr>
          </w:p>
        </w:tc>
        <w:tc>
          <w:tcPr>
            <w:tcW w:w="2320" w:type="dxa"/>
            <w:vAlign w:val="center"/>
          </w:tcPr>
          <w:p>
            <w:pPr>
              <w:adjustRightInd w:val="0"/>
              <w:snapToGrid w:val="0"/>
              <w:jc w:val="center"/>
              <w:rPr>
                <w:rFonts w:hint="eastAsia"/>
                <w:color w:val="auto"/>
                <w:highlight w:val="none"/>
              </w:rPr>
            </w:pPr>
            <w:r>
              <w:rPr>
                <w:rFonts w:hint="eastAsia" w:ascii="宋体" w:hAnsi="宋体" w:eastAsia="宋体" w:cs="宋体"/>
                <w:b/>
                <w:color w:val="auto"/>
                <w:sz w:val="21"/>
                <w:szCs w:val="21"/>
                <w:highlight w:val="none"/>
              </w:rPr>
              <w:t>评审因素</w:t>
            </w:r>
          </w:p>
        </w:tc>
        <w:tc>
          <w:tcPr>
            <w:tcW w:w="5936" w:type="dxa"/>
            <w:vAlign w:val="center"/>
          </w:tcPr>
          <w:p>
            <w:pPr>
              <w:adjustRightInd w:val="0"/>
              <w:snapToGrid w:val="0"/>
              <w:jc w:val="center"/>
              <w:rPr>
                <w:rFonts w:hint="eastAsia"/>
                <w:color w:val="auto"/>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b/>
                <w:color w:val="auto"/>
                <w:sz w:val="21"/>
                <w:szCs w:val="21"/>
                <w:highlight w:val="none"/>
              </w:rPr>
            </w:pPr>
          </w:p>
        </w:tc>
        <w:tc>
          <w:tcPr>
            <w:tcW w:w="2320" w:type="dxa"/>
            <w:vAlign w:val="center"/>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具有独立承担民事责任的能力</w:t>
            </w:r>
          </w:p>
        </w:tc>
        <w:tc>
          <w:tcPr>
            <w:tcW w:w="5936" w:type="dxa"/>
            <w:vAlign w:val="center"/>
          </w:tcPr>
          <w:p>
            <w:pPr>
              <w:adjustRightInd w:val="0"/>
              <w:snapToGrid w:val="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供应商应具有独立承担民事责任能力的法人、其他组织或自然人，提供合法有效的统一社会信用代码营业执照（事业单位提供事业单位法人证书，自然人提供身份证明）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right"/>
        </w:trPr>
        <w:tc>
          <w:tcPr>
            <w:tcW w:w="830" w:type="dxa"/>
            <w:vMerge w:val="continue"/>
            <w:vAlign w:val="center"/>
          </w:tcPr>
          <w:p>
            <w:pPr>
              <w:adjustRightInd w:val="0"/>
              <w:snapToGrid w:val="0"/>
              <w:spacing w:line="360" w:lineRule="auto"/>
              <w:jc w:val="center"/>
              <w:rPr>
                <w:rFonts w:hint="eastAsia" w:ascii="宋体" w:hAnsi="宋体" w:cs="宋体"/>
                <w:b/>
                <w:color w:val="auto"/>
                <w:szCs w:val="21"/>
                <w:highlight w:val="none"/>
              </w:rPr>
            </w:pPr>
          </w:p>
        </w:tc>
        <w:tc>
          <w:tcPr>
            <w:tcW w:w="2320" w:type="dxa"/>
            <w:vAlign w:val="center"/>
          </w:tcPr>
          <w:p>
            <w:pPr>
              <w:adjustRightInd w:val="0"/>
              <w:snapToGrid w:val="0"/>
              <w:jc w:val="center"/>
              <w:rPr>
                <w:rFonts w:hint="eastAsia" w:ascii="宋体" w:hAnsi="宋体" w:cs="宋体"/>
                <w:color w:val="auto"/>
                <w:szCs w:val="21"/>
                <w:highlight w:val="none"/>
              </w:rPr>
            </w:pPr>
            <w:r>
              <w:rPr>
                <w:rFonts w:hint="eastAsia" w:ascii="Times New Roman" w:hAnsi="Times New Roman" w:eastAsia="宋体"/>
                <w:color w:val="auto"/>
                <w:szCs w:val="21"/>
                <w:highlight w:val="none"/>
              </w:rPr>
              <w:t>供应商</w:t>
            </w:r>
            <w:r>
              <w:rPr>
                <w:rFonts w:ascii="Times New Roman" w:hAnsi="Times New Roman" w:eastAsia="宋体"/>
                <w:color w:val="auto"/>
                <w:szCs w:val="21"/>
                <w:highlight w:val="none"/>
              </w:rPr>
              <w:t>应授权合法的人员参加本项目</w:t>
            </w:r>
            <w:r>
              <w:rPr>
                <w:rFonts w:hint="eastAsia" w:ascii="Times New Roman" w:hAnsi="Times New Roman" w:eastAsia="宋体"/>
                <w:color w:val="auto"/>
                <w:szCs w:val="21"/>
                <w:highlight w:val="none"/>
              </w:rPr>
              <w:t>开标</w:t>
            </w:r>
            <w:r>
              <w:rPr>
                <w:rFonts w:ascii="Times New Roman" w:hAnsi="Times New Roman" w:eastAsia="宋体"/>
                <w:color w:val="auto"/>
                <w:szCs w:val="21"/>
                <w:highlight w:val="none"/>
              </w:rPr>
              <w:t>活动全过程</w:t>
            </w:r>
          </w:p>
        </w:tc>
        <w:tc>
          <w:tcPr>
            <w:tcW w:w="5936" w:type="dxa"/>
            <w:vAlign w:val="center"/>
          </w:tcPr>
          <w:p>
            <w:pPr>
              <w:adjustRightInd w:val="0"/>
              <w:snapToGrid w:val="0"/>
              <w:jc w:val="left"/>
              <w:rPr>
                <w:rFonts w:hint="eastAsia"/>
                <w:color w:val="auto"/>
                <w:highlight w:val="none"/>
              </w:rPr>
            </w:pPr>
            <w:r>
              <w:rPr>
                <w:rFonts w:hint="eastAsia"/>
                <w:color w:val="auto"/>
                <w:highlight w:val="none"/>
                <w:lang w:val="en-US" w:eastAsia="zh-CN"/>
              </w:rPr>
              <w:t>法定代表人/负责人参加投标的，提供法人/负责人证明书并出示身份证；法定代表人/负责人授权他人参加投标的，提供法定代表人/负责人授权委托书并出示被授权代表的身份证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right"/>
        </w:trPr>
        <w:tc>
          <w:tcPr>
            <w:tcW w:w="830" w:type="dxa"/>
            <w:vMerge w:val="continue"/>
            <w:vAlign w:val="center"/>
          </w:tcPr>
          <w:p>
            <w:pPr>
              <w:adjustRightInd w:val="0"/>
              <w:snapToGrid w:val="0"/>
              <w:spacing w:line="360" w:lineRule="auto"/>
              <w:jc w:val="center"/>
              <w:rPr>
                <w:rFonts w:hint="eastAsia" w:ascii="宋体" w:hAnsi="宋体" w:cs="宋体"/>
                <w:b/>
                <w:color w:val="auto"/>
                <w:szCs w:val="21"/>
                <w:highlight w:val="none"/>
              </w:rPr>
            </w:pPr>
          </w:p>
        </w:tc>
        <w:tc>
          <w:tcPr>
            <w:tcW w:w="2320" w:type="dxa"/>
            <w:vAlign w:val="center"/>
          </w:tcPr>
          <w:p>
            <w:pPr>
              <w:adjustRightInd w:val="0"/>
              <w:snapToGrid w:val="0"/>
              <w:jc w:val="center"/>
              <w:rPr>
                <w:color w:val="auto"/>
                <w:spacing w:val="9"/>
                <w:highlight w:val="none"/>
              </w:rPr>
            </w:pPr>
            <w:r>
              <w:rPr>
                <w:rFonts w:hint="eastAsia" w:ascii="宋体" w:hAnsi="宋体" w:cs="宋体"/>
                <w:color w:val="auto"/>
                <w:szCs w:val="21"/>
                <w:highlight w:val="none"/>
              </w:rPr>
              <w:t>资质等级</w:t>
            </w:r>
          </w:p>
        </w:tc>
        <w:tc>
          <w:tcPr>
            <w:tcW w:w="5936" w:type="dxa"/>
            <w:vAlign w:val="center"/>
          </w:tcPr>
          <w:p>
            <w:pPr>
              <w:adjustRightInd w:val="0"/>
              <w:snapToGrid w:val="0"/>
              <w:jc w:val="left"/>
              <w:rPr>
                <w:color w:val="auto"/>
                <w:spacing w:val="3"/>
                <w:highlight w:val="none"/>
              </w:rPr>
            </w:pPr>
            <w:r>
              <w:rPr>
                <w:rFonts w:hint="eastAsia"/>
                <w:color w:val="auto"/>
                <w:spacing w:val="3"/>
                <w:highlight w:val="none"/>
                <w:lang w:val="en-US" w:eastAsia="zh-CN"/>
              </w:rPr>
              <w:t>供应商须具备建设行政主管部门颁发的建筑工程施工总承包三级（含三级）以上资质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right"/>
        </w:trPr>
        <w:tc>
          <w:tcPr>
            <w:tcW w:w="830" w:type="dxa"/>
            <w:vMerge w:val="continue"/>
            <w:vAlign w:val="center"/>
          </w:tcPr>
          <w:p>
            <w:pPr>
              <w:adjustRightInd w:val="0"/>
              <w:snapToGrid w:val="0"/>
              <w:spacing w:line="360" w:lineRule="auto"/>
              <w:jc w:val="center"/>
              <w:rPr>
                <w:rFonts w:hint="eastAsia" w:ascii="宋体" w:hAnsi="宋体" w:cs="宋体"/>
                <w:b/>
                <w:color w:val="auto"/>
                <w:szCs w:val="21"/>
                <w:highlight w:val="none"/>
              </w:rPr>
            </w:pPr>
          </w:p>
        </w:tc>
        <w:tc>
          <w:tcPr>
            <w:tcW w:w="2320"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w:t>
            </w:r>
          </w:p>
        </w:tc>
        <w:tc>
          <w:tcPr>
            <w:tcW w:w="5936" w:type="dxa"/>
            <w:vAlign w:val="center"/>
          </w:tcPr>
          <w:p>
            <w:pPr>
              <w:adjustRightInd w:val="0"/>
              <w:snapToGrid w:val="0"/>
              <w:jc w:val="left"/>
              <w:rPr>
                <w:rFonts w:hint="eastAsia"/>
                <w:color w:val="auto"/>
                <w:highlight w:val="none"/>
              </w:rPr>
            </w:pPr>
            <w:r>
              <w:rPr>
                <w:rFonts w:hint="eastAsia"/>
                <w:color w:val="auto"/>
                <w:spacing w:val="3"/>
                <w:highlight w:val="none"/>
                <w:lang w:val="en-US" w:eastAsia="zh-CN"/>
              </w:rPr>
              <w:t>供应商须具有有效的安全生产许可证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right"/>
        </w:trPr>
        <w:tc>
          <w:tcPr>
            <w:tcW w:w="830" w:type="dxa"/>
            <w:vMerge w:val="continue"/>
            <w:vAlign w:val="center"/>
          </w:tcPr>
          <w:p>
            <w:pPr>
              <w:adjustRightInd w:val="0"/>
              <w:snapToGrid w:val="0"/>
              <w:spacing w:line="360" w:lineRule="auto"/>
              <w:jc w:val="center"/>
              <w:rPr>
                <w:rFonts w:hint="eastAsia" w:ascii="宋体" w:hAnsi="宋体" w:cs="宋体"/>
                <w:b/>
                <w:color w:val="auto"/>
                <w:szCs w:val="21"/>
                <w:highlight w:val="none"/>
              </w:rPr>
            </w:pPr>
          </w:p>
        </w:tc>
        <w:tc>
          <w:tcPr>
            <w:tcW w:w="2320"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936" w:type="dxa"/>
            <w:vAlign w:val="center"/>
          </w:tcPr>
          <w:p>
            <w:pPr>
              <w:adjustRightInd w:val="0"/>
              <w:snapToGrid w:val="0"/>
              <w:jc w:val="left"/>
              <w:rPr>
                <w:rFonts w:hint="eastAsia"/>
                <w:color w:val="auto"/>
                <w:highlight w:val="none"/>
              </w:rPr>
            </w:pPr>
            <w:r>
              <w:rPr>
                <w:rFonts w:hint="eastAsia"/>
                <w:color w:val="auto"/>
                <w:spacing w:val="3"/>
                <w:highlight w:val="none"/>
                <w:lang w:val="en-US" w:eastAsia="zh-CN"/>
              </w:rPr>
              <w:t>供应商</w:t>
            </w:r>
            <w:r>
              <w:rPr>
                <w:rFonts w:hint="eastAsia"/>
                <w:color w:val="auto"/>
                <w:highlight w:val="none"/>
                <w:lang w:val="en-US" w:eastAsia="zh-CN"/>
              </w:rPr>
              <w:t>须具有建筑工程专业贰级（含贰级）以上资格，具有有效的安全生产考核合格证书（B级），且无在建项目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0" w:type="dxa"/>
            <w:vAlign w:val="center"/>
          </w:tcPr>
          <w:p>
            <w:pPr>
              <w:adjustRightInd w:val="0"/>
              <w:snapToGrid w:val="0"/>
              <w:jc w:val="center"/>
              <w:rPr>
                <w:rFonts w:hint="eastAsia"/>
                <w:color w:val="auto"/>
                <w:highlight w:val="none"/>
              </w:rPr>
            </w:pPr>
            <w:r>
              <w:rPr>
                <w:color w:val="auto"/>
                <w:spacing w:val="10"/>
                <w:highlight w:val="none"/>
              </w:rPr>
              <w:t>财务状况报告</w:t>
            </w:r>
          </w:p>
        </w:tc>
        <w:tc>
          <w:tcPr>
            <w:tcW w:w="5936" w:type="dxa"/>
            <w:vAlign w:val="center"/>
          </w:tcPr>
          <w:p>
            <w:pPr>
              <w:adjustRightInd w:val="0"/>
              <w:snapToGrid w:val="0"/>
              <w:jc w:val="left"/>
              <w:rPr>
                <w:rFonts w:hint="eastAsia"/>
                <w:color w:val="auto"/>
                <w:highlight w:val="none"/>
              </w:rPr>
            </w:pPr>
            <w:r>
              <w:rPr>
                <w:rFonts w:hint="eastAsia"/>
                <w:color w:val="auto"/>
                <w:highlight w:val="none"/>
                <w:lang w:val="en-US" w:eastAsia="zh-CN"/>
              </w:rPr>
              <w:t>提供供应商2022年经审计的财务报告或在开标日期前6个月内其基本开户银行出具的资信证明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0" w:type="dxa"/>
            <w:vAlign w:val="center"/>
          </w:tcPr>
          <w:p>
            <w:pPr>
              <w:adjustRightInd w:val="0"/>
              <w:snapToGrid w:val="0"/>
              <w:jc w:val="center"/>
              <w:rPr>
                <w:rFonts w:hint="eastAsia"/>
                <w:color w:val="auto"/>
                <w:highlight w:val="none"/>
              </w:rPr>
            </w:pPr>
            <w:r>
              <w:rPr>
                <w:rFonts w:hint="eastAsia"/>
                <w:color w:val="auto"/>
                <w:highlight w:val="none"/>
                <w:lang w:val="en-US" w:eastAsia="zh-CN"/>
              </w:rPr>
              <w:t>税收缴纳证明</w:t>
            </w:r>
          </w:p>
        </w:tc>
        <w:tc>
          <w:tcPr>
            <w:tcW w:w="5936" w:type="dxa"/>
            <w:vAlign w:val="center"/>
          </w:tcPr>
          <w:p>
            <w:pPr>
              <w:adjustRightInd w:val="0"/>
              <w:snapToGrid w:val="0"/>
              <w:jc w:val="left"/>
              <w:rPr>
                <w:rFonts w:hint="eastAsia"/>
                <w:color w:val="auto"/>
                <w:highlight w:val="none"/>
              </w:rPr>
            </w:pPr>
            <w:r>
              <w:rPr>
                <w:rFonts w:hint="eastAsia"/>
                <w:color w:val="auto"/>
                <w:highlight w:val="none"/>
                <w:lang w:val="en-US" w:eastAsia="zh-CN"/>
              </w:rPr>
              <w:t>提供供应商自2022年6月1日以来已缴纳任意时段的纳税凭据或完税证明（任意税种）；依法免税的应提供相关文件证明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0" w:type="dxa"/>
            <w:vAlign w:val="center"/>
          </w:tcPr>
          <w:p>
            <w:pPr>
              <w:adjustRightInd w:val="0"/>
              <w:snapToGrid w:val="0"/>
              <w:jc w:val="center"/>
              <w:rPr>
                <w:rFonts w:hint="eastAsia"/>
                <w:color w:val="auto"/>
                <w:highlight w:val="none"/>
              </w:rPr>
            </w:pPr>
            <w:r>
              <w:rPr>
                <w:rFonts w:hint="eastAsia"/>
                <w:color w:val="auto"/>
                <w:highlight w:val="none"/>
                <w:lang w:val="en-US" w:eastAsia="zh-CN"/>
              </w:rPr>
              <w:t>社会保障资金缴纳证明</w:t>
            </w:r>
          </w:p>
        </w:tc>
        <w:tc>
          <w:tcPr>
            <w:tcW w:w="5936" w:type="dxa"/>
            <w:vAlign w:val="center"/>
          </w:tcPr>
          <w:p>
            <w:pPr>
              <w:adjustRightInd w:val="0"/>
              <w:snapToGrid w:val="0"/>
              <w:jc w:val="left"/>
              <w:rPr>
                <w:rFonts w:hint="eastAsia"/>
                <w:color w:val="auto"/>
                <w:highlight w:val="none"/>
              </w:rPr>
            </w:pPr>
            <w:r>
              <w:rPr>
                <w:rFonts w:hint="eastAsia"/>
                <w:color w:val="auto"/>
                <w:highlight w:val="none"/>
                <w:lang w:val="en-US" w:eastAsia="zh-CN"/>
              </w:rPr>
              <w:t>提供供应商自2022年6月1日以来已缴存的任意时段的社会保障资金缴存单据或社保机构开具的社会保险参保缴费情况证明；依法不需要缴纳社会保障资金的应提供相关文件证明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0" w:type="dxa"/>
            <w:vAlign w:val="center"/>
          </w:tcPr>
          <w:p>
            <w:pPr>
              <w:adjustRightInd w:val="0"/>
              <w:snapToGrid w:val="0"/>
              <w:jc w:val="center"/>
              <w:rPr>
                <w:rFonts w:hint="eastAsia"/>
                <w:color w:val="auto"/>
                <w:highlight w:val="none"/>
              </w:rPr>
            </w:pPr>
            <w:r>
              <w:rPr>
                <w:rFonts w:hint="eastAsia"/>
                <w:color w:val="auto"/>
                <w:highlight w:val="none"/>
              </w:rPr>
              <w:t>供应商具备履行合同所必需的设备及专业技术能力</w:t>
            </w:r>
          </w:p>
        </w:tc>
        <w:tc>
          <w:tcPr>
            <w:tcW w:w="5936" w:type="dxa"/>
            <w:vAlign w:val="center"/>
          </w:tcPr>
          <w:p>
            <w:pPr>
              <w:adjustRightInd w:val="0"/>
              <w:snapToGrid w:val="0"/>
              <w:jc w:val="left"/>
              <w:rPr>
                <w:rFonts w:hint="eastAsia"/>
                <w:color w:val="auto"/>
                <w:highlight w:val="none"/>
              </w:rPr>
            </w:pPr>
            <w:r>
              <w:rPr>
                <w:rFonts w:hint="default" w:ascii="Times New Roman" w:hAnsi="Times New Roman" w:eastAsia="宋体" w:cs="Times New Roman"/>
                <w:color w:val="auto"/>
                <w:sz w:val="21"/>
                <w:szCs w:val="21"/>
                <w:highlight w:val="none"/>
              </w:rPr>
              <w:t>提供履行合同所必需的设备和专业技术能力的证明材料或承诺函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0" w:type="dxa"/>
            <w:vAlign w:val="center"/>
          </w:tcPr>
          <w:p>
            <w:pPr>
              <w:adjustRightInd w:val="0"/>
              <w:snapToGrid w:val="0"/>
              <w:jc w:val="center"/>
              <w:rPr>
                <w:rFonts w:hint="eastAsia"/>
                <w:color w:val="auto"/>
                <w:highlight w:val="none"/>
              </w:rPr>
            </w:pPr>
            <w:r>
              <w:rPr>
                <w:color w:val="auto"/>
                <w:spacing w:val="6"/>
                <w:highlight w:val="none"/>
              </w:rPr>
              <w:t>供应商参加本次磋商前</w:t>
            </w:r>
            <w:r>
              <w:rPr>
                <w:color w:val="auto"/>
                <w:spacing w:val="-18"/>
                <w:highlight w:val="none"/>
              </w:rPr>
              <w:t xml:space="preserve"> </w:t>
            </w:r>
            <w:r>
              <w:rPr>
                <w:color w:val="auto"/>
                <w:spacing w:val="6"/>
                <w:highlight w:val="none"/>
              </w:rPr>
              <w:t>3</w:t>
            </w:r>
            <w:r>
              <w:rPr>
                <w:color w:val="auto"/>
                <w:spacing w:val="-37"/>
                <w:highlight w:val="none"/>
              </w:rPr>
              <w:t xml:space="preserve"> </w:t>
            </w:r>
            <w:r>
              <w:rPr>
                <w:color w:val="auto"/>
                <w:spacing w:val="6"/>
                <w:highlight w:val="none"/>
              </w:rPr>
              <w:t>年内，在经营活动中没</w:t>
            </w:r>
            <w:r>
              <w:rPr>
                <w:color w:val="auto"/>
                <w:spacing w:val="9"/>
                <w:highlight w:val="none"/>
              </w:rPr>
              <w:t>有重大违法记录的</w:t>
            </w:r>
            <w:r>
              <w:rPr>
                <w:rFonts w:hint="default" w:ascii="Times New Roman" w:hAnsi="Times New Roman" w:eastAsia="宋体" w:cs="Times New Roman"/>
                <w:color w:val="auto"/>
                <w:kern w:val="2"/>
                <w:sz w:val="21"/>
                <w:szCs w:val="21"/>
                <w:highlight w:val="none"/>
                <w:lang w:val="en-US" w:eastAsia="zh-CN" w:bidi="ar-SA"/>
              </w:rPr>
              <w:t>承诺函</w:t>
            </w:r>
          </w:p>
        </w:tc>
        <w:tc>
          <w:tcPr>
            <w:tcW w:w="5936" w:type="dxa"/>
            <w:vAlign w:val="center"/>
          </w:tcPr>
          <w:p>
            <w:pPr>
              <w:adjustRightInd w:val="0"/>
              <w:snapToGrid w:val="0"/>
              <w:jc w:val="left"/>
              <w:rPr>
                <w:rFonts w:hint="eastAsia"/>
                <w:color w:val="auto"/>
                <w:highlight w:val="none"/>
              </w:rPr>
            </w:pPr>
            <w:r>
              <w:rPr>
                <w:rFonts w:hint="default" w:ascii="Times New Roman" w:hAnsi="Times New Roman" w:eastAsia="宋体" w:cs="Times New Roman"/>
                <w:color w:val="auto"/>
                <w:kern w:val="2"/>
                <w:sz w:val="21"/>
                <w:szCs w:val="21"/>
                <w:highlight w:val="none"/>
                <w:lang w:val="en-US" w:eastAsia="zh-CN" w:bidi="ar-SA"/>
              </w:rPr>
              <w:t>提供承诺函并加盖单位公章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0" w:type="dxa"/>
            <w:vAlign w:val="center"/>
          </w:tcPr>
          <w:p>
            <w:pPr>
              <w:adjustRightInd w:val="0"/>
              <w:snapToGrid w:val="0"/>
              <w:jc w:val="center"/>
              <w:rPr>
                <w:color w:val="auto"/>
                <w:spacing w:val="6"/>
                <w:highlight w:val="none"/>
              </w:rPr>
            </w:pPr>
            <w:r>
              <w:rPr>
                <w:color w:val="auto"/>
                <w:spacing w:val="7"/>
                <w:highlight w:val="none"/>
              </w:rPr>
              <w:t>法定代表人（负责人）为同一人或者存在直接控股、管理关系的</w:t>
            </w:r>
            <w:r>
              <w:rPr>
                <w:color w:val="auto"/>
                <w:spacing w:val="9"/>
                <w:highlight w:val="none"/>
              </w:rPr>
              <w:t>不同供应商，不得同时参加本采购项目磋商</w:t>
            </w:r>
          </w:p>
        </w:tc>
        <w:tc>
          <w:tcPr>
            <w:tcW w:w="5936" w:type="dxa"/>
            <w:vAlign w:val="center"/>
          </w:tcPr>
          <w:p>
            <w:pPr>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提供具备要求的相应</w:t>
            </w:r>
            <w:r>
              <w:rPr>
                <w:rFonts w:hint="eastAsia" w:cs="Times New Roman"/>
                <w:color w:val="auto"/>
                <w:kern w:val="2"/>
                <w:sz w:val="21"/>
                <w:szCs w:val="21"/>
                <w:highlight w:val="none"/>
                <w:lang w:val="en-US" w:eastAsia="zh-CN" w:bidi="ar-SA"/>
              </w:rPr>
              <w:t>声明</w:t>
            </w:r>
            <w:r>
              <w:rPr>
                <w:rFonts w:hint="default" w:ascii="Times New Roman" w:hAnsi="Times New Roman" w:eastAsia="宋体" w:cs="Times New Roman"/>
                <w:color w:val="auto"/>
                <w:kern w:val="2"/>
                <w:sz w:val="21"/>
                <w:szCs w:val="21"/>
                <w:highlight w:val="none"/>
                <w:lang w:val="en-US" w:eastAsia="zh-CN" w:bidi="ar-SA"/>
              </w:rPr>
              <w:t>并应加盖单位公章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0" w:type="dxa"/>
            <w:vAlign w:val="center"/>
          </w:tcPr>
          <w:p>
            <w:pPr>
              <w:adjustRightInd w:val="0"/>
              <w:snapToGrid w:val="0"/>
              <w:jc w:val="center"/>
              <w:rPr>
                <w:color w:val="auto"/>
                <w:spacing w:val="7"/>
                <w:highlight w:val="none"/>
              </w:rPr>
            </w:pPr>
            <w:r>
              <w:rPr>
                <w:rFonts w:hint="eastAsia"/>
                <w:color w:val="auto"/>
                <w:spacing w:val="7"/>
                <w:highlight w:val="none"/>
                <w:lang w:val="en-US" w:eastAsia="zh-CN"/>
              </w:rPr>
              <w:t>供应商不得为列入“信用中国”网站(http://www.creditchina.gov.cn)“失信被执行人（页面跳转至“中国执行信息公开网”http://zxgk.court.gov.cn/shixin/）、重大税收违法失信主体、中国政府采购网(www.ccgp.gov.cn)的政府采购严重违法失信行为记录名单</w:t>
            </w:r>
          </w:p>
        </w:tc>
        <w:tc>
          <w:tcPr>
            <w:tcW w:w="5936" w:type="dxa"/>
            <w:vAlign w:val="center"/>
          </w:tcPr>
          <w:p>
            <w:pPr>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提供满足要求的</w:t>
            </w:r>
            <w:r>
              <w:rPr>
                <w:rFonts w:hint="eastAsia" w:cs="Times New Roman"/>
                <w:color w:val="auto"/>
                <w:sz w:val="21"/>
                <w:szCs w:val="21"/>
                <w:highlight w:val="none"/>
                <w:lang w:val="en-US" w:eastAsia="zh-CN"/>
              </w:rPr>
              <w:t>承诺函</w:t>
            </w:r>
            <w:r>
              <w:rPr>
                <w:rFonts w:hint="default" w:ascii="Times New Roman" w:hAnsi="Times New Roman" w:eastAsia="宋体" w:cs="Times New Roman"/>
                <w:color w:val="auto"/>
                <w:sz w:val="21"/>
                <w:szCs w:val="21"/>
                <w:highlight w:val="none"/>
                <w:lang w:val="en-US" w:eastAsia="zh-CN"/>
              </w:rPr>
              <w:t>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right"/>
        </w:trPr>
        <w:tc>
          <w:tcPr>
            <w:tcW w:w="830"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0" w:type="dxa"/>
            <w:vAlign w:val="center"/>
          </w:tcPr>
          <w:p>
            <w:pPr>
              <w:adjustRightInd w:val="0"/>
              <w:snapToGrid w:val="0"/>
              <w:jc w:val="center"/>
              <w:rPr>
                <w:color w:val="auto"/>
                <w:spacing w:val="6"/>
                <w:highlight w:val="none"/>
              </w:rPr>
            </w:pPr>
            <w:r>
              <w:rPr>
                <w:rFonts w:hint="default" w:ascii="Times New Roman" w:hAnsi="Times New Roman" w:eastAsia="宋体" w:cs="Times New Roman"/>
                <w:color w:val="auto"/>
                <w:sz w:val="21"/>
                <w:szCs w:val="21"/>
                <w:highlight w:val="none"/>
                <w:lang w:val="en-US" w:eastAsia="zh-CN"/>
              </w:rPr>
              <w:t>本项目为专门面向中、小企业项目，供应商应为中型企业或小型企业或微型企业</w:t>
            </w:r>
          </w:p>
        </w:tc>
        <w:tc>
          <w:tcPr>
            <w:tcW w:w="5936" w:type="dxa"/>
            <w:vAlign w:val="center"/>
          </w:tcPr>
          <w:p>
            <w:pPr>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color w:val="auto"/>
                <w:spacing w:val="7"/>
                <w:highlight w:val="none"/>
              </w:rPr>
              <w:t>供应商为中小企业的，提供《中小企业声明函》；供应商为监狱</w:t>
            </w:r>
            <w:r>
              <w:rPr>
                <w:color w:val="auto"/>
                <w:spacing w:val="17"/>
                <w:highlight w:val="none"/>
              </w:rPr>
              <w:t xml:space="preserve"> </w:t>
            </w:r>
            <w:r>
              <w:rPr>
                <w:color w:val="auto"/>
                <w:spacing w:val="7"/>
                <w:highlight w:val="none"/>
              </w:rPr>
              <w:t>企业的，应提供监狱企业的证明文件；供应商为残疾人福利性单</w:t>
            </w:r>
            <w:r>
              <w:rPr>
                <w:color w:val="auto"/>
                <w:spacing w:val="18"/>
                <w:highlight w:val="none"/>
              </w:rPr>
              <w:t xml:space="preserve"> </w:t>
            </w:r>
            <w:r>
              <w:rPr>
                <w:color w:val="auto"/>
                <w:spacing w:val="7"/>
                <w:highlight w:val="none"/>
              </w:rPr>
              <w:t>位的，应提供《残疾人福利性单位声明函》（监狱企业或残疾人</w:t>
            </w:r>
            <w:r>
              <w:rPr>
                <w:color w:val="auto"/>
                <w:spacing w:val="18"/>
                <w:highlight w:val="none"/>
              </w:rPr>
              <w:t xml:space="preserve"> </w:t>
            </w:r>
            <w:r>
              <w:rPr>
                <w:color w:val="auto"/>
                <w:spacing w:val="8"/>
                <w:highlight w:val="none"/>
              </w:rPr>
              <w:t>福利性单位视同小型、微型企业）</w:t>
            </w:r>
          </w:p>
        </w:tc>
      </w:tr>
    </w:tbl>
    <w:p>
      <w:pPr>
        <w:pStyle w:val="18"/>
        <w:keepNext w:val="0"/>
        <w:keepLines w:val="0"/>
        <w:pageBreakBefore w:val="0"/>
        <w:widowControl w:val="0"/>
        <w:kinsoku/>
        <w:wordWrap/>
        <w:overflowPunct/>
        <w:topLinePunct w:val="0"/>
        <w:autoSpaceDE/>
        <w:autoSpaceDN/>
        <w:bidi w:val="0"/>
        <w:adjustRightInd w:val="0"/>
        <w:snapToGrid/>
        <w:jc w:val="center"/>
        <w:textAlignment w:val="baseline"/>
        <w:rPr>
          <w:rFonts w:hint="default" w:ascii="Times New Roman" w:hAnsi="Times New Roman" w:eastAsia="宋体" w:cs="Times New Roman"/>
          <w:b/>
          <w:bCs/>
          <w:color w:val="auto"/>
          <w:sz w:val="32"/>
          <w:szCs w:val="32"/>
          <w:highlight w:val="none"/>
          <w:lang w:val="en-US" w:eastAsia="zh-CN"/>
        </w:rPr>
      </w:pPr>
    </w:p>
    <w:p>
      <w:pPr>
        <w:pStyle w:val="18"/>
        <w:keepNext w:val="0"/>
        <w:keepLines w:val="0"/>
        <w:pageBreakBefore w:val="0"/>
        <w:widowControl w:val="0"/>
        <w:kinsoku/>
        <w:wordWrap/>
        <w:overflowPunct/>
        <w:topLinePunct w:val="0"/>
        <w:autoSpaceDE/>
        <w:autoSpaceDN/>
        <w:bidi w:val="0"/>
        <w:adjustRightInd w:val="0"/>
        <w:snapToGrid/>
        <w:jc w:val="center"/>
        <w:textAlignment w:val="baseline"/>
        <w:rPr>
          <w:rFonts w:hint="default" w:ascii="Times New Roman" w:hAnsi="Times New Roman" w:eastAsia="宋体" w:cs="Times New Roman"/>
          <w:b/>
          <w:bCs/>
          <w:color w:val="auto"/>
          <w:sz w:val="32"/>
          <w:szCs w:val="32"/>
          <w:highlight w:val="none"/>
          <w:lang w:val="en-US" w:eastAsia="zh-CN"/>
        </w:rPr>
      </w:pPr>
    </w:p>
    <w:p>
      <w:pPr>
        <w:pStyle w:val="18"/>
        <w:keepNext w:val="0"/>
        <w:keepLines w:val="0"/>
        <w:pageBreakBefore w:val="0"/>
        <w:widowControl w:val="0"/>
        <w:kinsoku/>
        <w:wordWrap/>
        <w:overflowPunct/>
        <w:topLinePunct w:val="0"/>
        <w:autoSpaceDE/>
        <w:autoSpaceDN/>
        <w:bidi w:val="0"/>
        <w:adjustRightInd w:val="0"/>
        <w:snapToGrid/>
        <w:jc w:val="center"/>
        <w:textAlignment w:val="baseline"/>
        <w:rPr>
          <w:rFonts w:hint="eastAsia" w:eastAsia="宋体"/>
          <w:color w:val="auto"/>
          <w:highlight w:val="none"/>
          <w:lang w:val="en-US" w:eastAsia="zh-CN"/>
        </w:rPr>
      </w:pPr>
      <w:r>
        <w:rPr>
          <w:rFonts w:hint="eastAsia" w:cs="Times New Roman"/>
          <w:b/>
          <w:bCs/>
          <w:color w:val="auto"/>
          <w:sz w:val="32"/>
          <w:szCs w:val="32"/>
          <w:highlight w:val="none"/>
          <w:lang w:val="en-US" w:eastAsia="zh-CN"/>
        </w:rPr>
        <w:t>符</w:t>
      </w:r>
      <w:r>
        <w:rPr>
          <w:rFonts w:hint="default" w:ascii="Times New Roman" w:hAnsi="Times New Roman" w:eastAsia="宋体" w:cs="Times New Roman"/>
          <w:b/>
          <w:bCs/>
          <w:color w:val="auto"/>
          <w:sz w:val="32"/>
          <w:szCs w:val="32"/>
          <w:highlight w:val="none"/>
          <w:lang w:val="en-US" w:eastAsia="zh-CN"/>
        </w:rPr>
        <w:t>合性审查表</w:t>
      </w:r>
    </w:p>
    <w:tbl>
      <w:tblPr>
        <w:tblStyle w:val="24"/>
        <w:tblW w:w="908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327"/>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right"/>
        </w:trPr>
        <w:tc>
          <w:tcPr>
            <w:tcW w:w="3394" w:type="dxa"/>
            <w:gridSpan w:val="2"/>
            <w:vAlign w:val="center"/>
          </w:tcPr>
          <w:p>
            <w:pPr>
              <w:adjustRightInd w:val="0"/>
              <w:snapToGrid w:val="0"/>
              <w:jc w:val="center"/>
              <w:rPr>
                <w:rFonts w:hint="default" w:eastAsia="宋体"/>
                <w:color w:val="auto"/>
                <w:highlight w:val="none"/>
                <w:lang w:val="en-US" w:eastAsia="zh-CN"/>
              </w:rPr>
            </w:pPr>
            <w:r>
              <w:rPr>
                <w:rFonts w:hint="default" w:ascii="Times New Roman" w:hAnsi="Times New Roman" w:eastAsia="宋体" w:cs="Times New Roman"/>
                <w:b/>
                <w:color w:val="auto"/>
                <w:szCs w:val="21"/>
                <w:highlight w:val="none"/>
              </w:rPr>
              <w:t>评审标准</w:t>
            </w:r>
          </w:p>
        </w:tc>
        <w:tc>
          <w:tcPr>
            <w:tcW w:w="5692" w:type="dxa"/>
            <w:vAlign w:val="center"/>
          </w:tcPr>
          <w:p>
            <w:pPr>
              <w:adjustRightInd w:val="0"/>
              <w:snapToGrid w:val="0"/>
              <w:jc w:val="center"/>
              <w:rPr>
                <w:rFonts w:hint="eastAsia"/>
                <w:color w:val="auto"/>
                <w:highlight w:val="none"/>
              </w:rPr>
            </w:pPr>
            <w:r>
              <w:rPr>
                <w:rFonts w:hint="default" w:ascii="Times New Roman" w:hAnsi="Times New Roman" w:eastAsia="宋体" w:cs="Times New Roman"/>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right"/>
        </w:trPr>
        <w:tc>
          <w:tcPr>
            <w:tcW w:w="1067" w:type="dxa"/>
            <w:vMerge w:val="restart"/>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形式</w:t>
            </w:r>
          </w:p>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w:t>
            </w:r>
          </w:p>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2327" w:type="dxa"/>
            <w:vAlign w:val="center"/>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宋体"/>
                <w:color w:val="auto"/>
                <w:szCs w:val="21"/>
                <w:highlight w:val="none"/>
              </w:rPr>
              <w:t>供应商名称</w:t>
            </w:r>
          </w:p>
        </w:tc>
        <w:tc>
          <w:tcPr>
            <w:tcW w:w="5692" w:type="dxa"/>
            <w:vAlign w:val="center"/>
          </w:tcPr>
          <w:p>
            <w:pPr>
              <w:adjustRightInd w:val="0"/>
              <w:snapToGrid w:val="0"/>
              <w:jc w:val="left"/>
              <w:rPr>
                <w:rFonts w:hint="eastAsia" w:ascii="Times New Roman" w:hAnsi="Times New Roman" w:eastAsia="宋体" w:cs="Times New Roman"/>
                <w:color w:val="auto"/>
                <w:kern w:val="2"/>
                <w:sz w:val="21"/>
                <w:highlight w:val="none"/>
                <w:lang w:val="en-US" w:eastAsia="zh-CN" w:bidi="ar-SA"/>
              </w:rPr>
            </w:pPr>
            <w:r>
              <w:rPr>
                <w:rFonts w:hint="eastAsia" w:ascii="宋体" w:hAnsi="宋体" w:cs="宋体"/>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right"/>
        </w:trPr>
        <w:tc>
          <w:tcPr>
            <w:tcW w:w="1067"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rPr>
            </w:pPr>
          </w:p>
        </w:tc>
        <w:tc>
          <w:tcPr>
            <w:tcW w:w="2327"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函签字盖章</w:t>
            </w:r>
          </w:p>
        </w:tc>
        <w:tc>
          <w:tcPr>
            <w:tcW w:w="5692" w:type="dxa"/>
            <w:vAlign w:val="center"/>
          </w:tcPr>
          <w:p>
            <w:pPr>
              <w:adjustRightInd w:val="0"/>
              <w:snapToGrid w:val="0"/>
              <w:jc w:val="left"/>
              <w:rPr>
                <w:rFonts w:hint="eastAsia"/>
                <w:color w:val="auto"/>
                <w:highlight w:val="none"/>
              </w:rPr>
            </w:pPr>
            <w:r>
              <w:rPr>
                <w:rFonts w:hint="eastAsia" w:ascii="宋体" w:hAnsi="宋体" w:eastAsia="宋体" w:cs="宋体"/>
                <w:color w:val="auto"/>
                <w:sz w:val="21"/>
                <w:szCs w:val="21"/>
                <w:highlight w:val="none"/>
              </w:rPr>
              <w:t>符合第八章“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right"/>
        </w:trPr>
        <w:tc>
          <w:tcPr>
            <w:tcW w:w="1067"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7"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磋商</w:t>
            </w:r>
          </w:p>
          <w:p>
            <w:pPr>
              <w:adjustRightInd w:val="0"/>
              <w:snapToGrid w:val="0"/>
              <w:jc w:val="center"/>
              <w:rPr>
                <w:rFonts w:hint="eastAsia"/>
                <w:color w:val="auto"/>
                <w:highlight w:val="none"/>
              </w:rPr>
            </w:pPr>
            <w:r>
              <w:rPr>
                <w:rFonts w:hint="eastAsia" w:ascii="宋体" w:hAnsi="宋体" w:cs="宋体"/>
                <w:color w:val="auto"/>
                <w:szCs w:val="21"/>
                <w:highlight w:val="none"/>
              </w:rPr>
              <w:t>响应文件格式</w:t>
            </w:r>
          </w:p>
        </w:tc>
        <w:tc>
          <w:tcPr>
            <w:tcW w:w="5692" w:type="dxa"/>
            <w:vAlign w:val="center"/>
          </w:tcPr>
          <w:p>
            <w:pPr>
              <w:adjustRightInd w:val="0"/>
              <w:snapToGrid w:val="0"/>
              <w:jc w:val="left"/>
              <w:rPr>
                <w:rFonts w:hint="eastAsia"/>
                <w:color w:val="auto"/>
                <w:highlight w:val="none"/>
              </w:rPr>
            </w:pPr>
            <w:r>
              <w:rPr>
                <w:rFonts w:hint="eastAsia" w:ascii="宋体" w:hAnsi="宋体" w:cs="宋体"/>
                <w:color w:val="auto"/>
                <w:szCs w:val="21"/>
                <w:highlight w:val="none"/>
              </w:rPr>
              <w:t>符合第八章“磋商响应文件格式”的要求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right"/>
        </w:trPr>
        <w:tc>
          <w:tcPr>
            <w:tcW w:w="1067"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7"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报价唯一</w:t>
            </w:r>
          </w:p>
        </w:tc>
        <w:tc>
          <w:tcPr>
            <w:tcW w:w="5692" w:type="dxa"/>
            <w:vAlign w:val="center"/>
          </w:tcPr>
          <w:p>
            <w:pPr>
              <w:adjustRightInd w:val="0"/>
              <w:snapToGrid w:val="0"/>
              <w:jc w:val="left"/>
              <w:rPr>
                <w:rFonts w:hint="eastAsia"/>
                <w:color w:val="auto"/>
                <w:highlight w:val="none"/>
              </w:rPr>
            </w:pPr>
            <w:r>
              <w:rPr>
                <w:rFonts w:hint="eastAsia" w:ascii="宋体" w:hAnsi="宋体" w:cs="宋体"/>
                <w:color w:val="auto"/>
                <w:szCs w:val="21"/>
                <w:highlight w:val="none"/>
              </w:rPr>
              <w:t>每次报价只能有一个有效报价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right"/>
        </w:trPr>
        <w:tc>
          <w:tcPr>
            <w:tcW w:w="1067" w:type="dxa"/>
            <w:vMerge w:val="restart"/>
            <w:vAlign w:val="center"/>
          </w:tcPr>
          <w:p>
            <w:pPr>
              <w:adjustRightInd w:val="0"/>
              <w:snapToGrid w:val="0"/>
              <w:spacing w:line="360" w:lineRule="auto"/>
              <w:ind w:left="120" w:hanging="105" w:hanging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w:t>
            </w:r>
          </w:p>
          <w:p>
            <w:pPr>
              <w:adjustRightInd w:val="0"/>
              <w:snapToGrid w:val="0"/>
              <w:spacing w:line="360" w:lineRule="auto"/>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c>
          <w:tcPr>
            <w:tcW w:w="2327"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lang w:val="en-US" w:eastAsia="zh-CN"/>
              </w:rPr>
              <w:t>计划</w:t>
            </w:r>
            <w:r>
              <w:rPr>
                <w:rFonts w:hint="eastAsia" w:ascii="宋体" w:hAnsi="宋体" w:cs="宋体"/>
                <w:color w:val="auto"/>
                <w:szCs w:val="21"/>
                <w:highlight w:val="none"/>
              </w:rPr>
              <w:t>工期</w:t>
            </w:r>
          </w:p>
        </w:tc>
        <w:tc>
          <w:tcPr>
            <w:tcW w:w="5692" w:type="dxa"/>
            <w:vAlign w:val="center"/>
          </w:tcPr>
          <w:p>
            <w:pPr>
              <w:jc w:val="left"/>
              <w:rPr>
                <w:rFonts w:hint="eastAsia"/>
                <w:color w:val="auto"/>
                <w:highlight w:val="none"/>
              </w:rPr>
            </w:pPr>
            <w:r>
              <w:rPr>
                <w:rFonts w:hint="eastAsia"/>
                <w:color w:val="auto"/>
                <w:highlight w:val="none"/>
              </w:rPr>
              <w:t>符合第二章“供应商须知前附表”第1.3.2项规定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right"/>
        </w:trPr>
        <w:tc>
          <w:tcPr>
            <w:tcW w:w="1067"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7" w:type="dxa"/>
            <w:vAlign w:val="center"/>
          </w:tcPr>
          <w:p>
            <w:pPr>
              <w:adjustRightInd w:val="0"/>
              <w:snapToGrid w:val="0"/>
              <w:jc w:val="center"/>
              <w:rPr>
                <w:rFonts w:hint="eastAsia"/>
                <w:color w:val="auto"/>
                <w:highlight w:val="none"/>
                <w:lang w:val="en-US" w:eastAsia="zh-CN"/>
              </w:rPr>
            </w:pP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质量</w:t>
            </w:r>
          </w:p>
        </w:tc>
        <w:tc>
          <w:tcPr>
            <w:tcW w:w="5692" w:type="dxa"/>
            <w:vAlign w:val="center"/>
          </w:tcPr>
          <w:p>
            <w:pPr>
              <w:jc w:val="left"/>
              <w:rPr>
                <w:rFonts w:hint="eastAsia"/>
                <w:color w:val="auto"/>
                <w:highlight w:val="none"/>
              </w:rPr>
            </w:pPr>
            <w:r>
              <w:rPr>
                <w:rFonts w:hint="eastAsia"/>
                <w:color w:val="auto"/>
                <w:highlight w:val="none"/>
              </w:rPr>
              <w:t>符合第二章“供应商须知前附表”第1.3.3项规定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right"/>
        </w:trPr>
        <w:tc>
          <w:tcPr>
            <w:tcW w:w="1067"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7" w:type="dxa"/>
            <w:vAlign w:val="center"/>
          </w:tcPr>
          <w:p>
            <w:pPr>
              <w:adjustRightInd w:val="0"/>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有效期</w:t>
            </w:r>
          </w:p>
        </w:tc>
        <w:tc>
          <w:tcPr>
            <w:tcW w:w="5692" w:type="dxa"/>
            <w:vAlign w:val="center"/>
          </w:tcPr>
          <w:p>
            <w:pPr>
              <w:jc w:val="left"/>
              <w:rPr>
                <w:rFonts w:hint="eastAsia"/>
                <w:color w:val="auto"/>
                <w:highlight w:val="none"/>
              </w:rPr>
            </w:pPr>
            <w:r>
              <w:rPr>
                <w:rFonts w:hint="eastAsia"/>
                <w:color w:val="auto"/>
                <w:highlight w:val="none"/>
              </w:rPr>
              <w:t>符合第二章“供应商须知前附表”第3.3.1项规定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right"/>
        </w:trPr>
        <w:tc>
          <w:tcPr>
            <w:tcW w:w="1067"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7"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权利义务</w:t>
            </w:r>
          </w:p>
        </w:tc>
        <w:tc>
          <w:tcPr>
            <w:tcW w:w="5692" w:type="dxa"/>
            <w:vAlign w:val="center"/>
          </w:tcPr>
          <w:p>
            <w:pPr>
              <w:jc w:val="left"/>
              <w:rPr>
                <w:rFonts w:hint="eastAsia"/>
                <w:color w:val="auto"/>
                <w:highlight w:val="none"/>
              </w:rPr>
            </w:pPr>
            <w:r>
              <w:rPr>
                <w:rFonts w:hint="eastAsia"/>
                <w:color w:val="auto"/>
                <w:highlight w:val="none"/>
              </w:rPr>
              <w:t>磋商函附录中的响应表符合或优于</w:t>
            </w:r>
            <w:r>
              <w:rPr>
                <w:rFonts w:hint="eastAsia"/>
                <w:color w:val="auto"/>
                <w:highlight w:val="none"/>
                <w:lang w:eastAsia="zh-CN"/>
              </w:rPr>
              <w:t>磋商</w:t>
            </w:r>
            <w:r>
              <w:rPr>
                <w:rFonts w:hint="eastAsia"/>
                <w:color w:val="auto"/>
                <w:highlight w:val="none"/>
              </w:rPr>
              <w:t>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right"/>
        </w:trPr>
        <w:tc>
          <w:tcPr>
            <w:tcW w:w="1067"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7"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已标价工程量清单</w:t>
            </w:r>
          </w:p>
        </w:tc>
        <w:tc>
          <w:tcPr>
            <w:tcW w:w="5692" w:type="dxa"/>
            <w:vAlign w:val="center"/>
          </w:tcPr>
          <w:p>
            <w:pPr>
              <w:adjustRightInd w:val="0"/>
              <w:snapToGrid w:val="0"/>
              <w:spacing w:line="360" w:lineRule="auto"/>
              <w:rPr>
                <w:rFonts w:hint="eastAsia"/>
                <w:color w:val="auto"/>
                <w:highlight w:val="none"/>
              </w:rPr>
            </w:pPr>
            <w:r>
              <w:rPr>
                <w:rFonts w:hint="eastAsia" w:ascii="宋体" w:hAnsi="宋体" w:eastAsia="宋体" w:cs="宋体"/>
                <w:color w:val="auto"/>
                <w:sz w:val="21"/>
                <w:szCs w:val="21"/>
                <w:highlight w:val="none"/>
              </w:rPr>
              <w:t>按照第五章给出的“工程量清单”进行清单组价。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right"/>
        </w:trPr>
        <w:tc>
          <w:tcPr>
            <w:tcW w:w="1067" w:type="dxa"/>
            <w:vMerge w:val="continue"/>
            <w:vAlign w:val="center"/>
          </w:tcPr>
          <w:p>
            <w:pPr>
              <w:adjustRightInd w:val="0"/>
              <w:snapToGrid w:val="0"/>
              <w:spacing w:line="360" w:lineRule="auto"/>
              <w:jc w:val="center"/>
              <w:rPr>
                <w:rFonts w:hint="eastAsia" w:ascii="宋体" w:hAnsi="宋体" w:eastAsia="宋体" w:cs="宋体"/>
                <w:color w:val="auto"/>
                <w:sz w:val="21"/>
                <w:szCs w:val="21"/>
                <w:highlight w:val="none"/>
                <w:shd w:val="pct10" w:color="auto" w:fill="FFFFFF"/>
              </w:rPr>
            </w:pPr>
          </w:p>
        </w:tc>
        <w:tc>
          <w:tcPr>
            <w:tcW w:w="2327"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有效</w:t>
            </w:r>
            <w:r>
              <w:rPr>
                <w:rFonts w:hint="eastAsia" w:ascii="宋体" w:hAnsi="宋体" w:cs="宋体"/>
                <w:color w:val="auto"/>
                <w:szCs w:val="21"/>
                <w:highlight w:val="none"/>
                <w:lang w:eastAsia="zh-CN"/>
              </w:rPr>
              <w:t>磋商</w:t>
            </w:r>
          </w:p>
          <w:p>
            <w:pPr>
              <w:adjustRightInd w:val="0"/>
              <w:snapToGrid w:val="0"/>
              <w:jc w:val="center"/>
              <w:rPr>
                <w:rFonts w:hint="eastAsia"/>
                <w:color w:val="auto"/>
                <w:highlight w:val="none"/>
              </w:rPr>
            </w:pPr>
            <w:r>
              <w:rPr>
                <w:rFonts w:hint="eastAsia" w:ascii="宋体" w:hAnsi="宋体" w:cs="宋体"/>
                <w:color w:val="auto"/>
                <w:szCs w:val="21"/>
                <w:highlight w:val="none"/>
              </w:rPr>
              <w:t>价格</w:t>
            </w:r>
          </w:p>
        </w:tc>
        <w:tc>
          <w:tcPr>
            <w:tcW w:w="5692" w:type="dxa"/>
            <w:vAlign w:val="center"/>
          </w:tcPr>
          <w:p>
            <w:pPr>
              <w:jc w:val="left"/>
              <w:rPr>
                <w:rFonts w:hint="eastAsia"/>
                <w:color w:val="auto"/>
                <w:highlight w:val="none"/>
              </w:rPr>
            </w:pPr>
            <w:r>
              <w:rPr>
                <w:rFonts w:hint="eastAsia"/>
                <w:color w:val="auto"/>
                <w:highlight w:val="none"/>
              </w:rPr>
              <w:t>小于等于本</w:t>
            </w:r>
            <w:r>
              <w:rPr>
                <w:rFonts w:hint="eastAsia"/>
                <w:color w:val="auto"/>
                <w:highlight w:val="none"/>
                <w:lang w:val="en-US" w:eastAsia="zh-CN"/>
              </w:rPr>
              <w:t>项目</w:t>
            </w:r>
            <w:r>
              <w:rPr>
                <w:rFonts w:hint="eastAsia"/>
                <w:color w:val="auto"/>
                <w:highlight w:val="none"/>
              </w:rPr>
              <w:t>的采购预算及最高限价。</w:t>
            </w:r>
          </w:p>
        </w:tc>
      </w:tr>
    </w:tbl>
    <w:p>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color w:val="auto"/>
          <w:highlight w:val="none"/>
        </w:rPr>
      </w:pPr>
      <w:r>
        <w:rPr>
          <w:rFonts w:hint="eastAsia" w:ascii="宋体" w:hAnsi="宋体" w:eastAsia="宋体" w:cs="宋体"/>
          <w:b/>
          <w:bCs/>
          <w:color w:val="auto"/>
          <w:kern w:val="0"/>
          <w:sz w:val="20"/>
          <w:szCs w:val="20"/>
          <w:highlight w:val="none"/>
          <w:lang w:val="en-US" w:eastAsia="zh-CN" w:bidi="ar"/>
        </w:rPr>
        <w:t>注：未通过符合性审查的供应商，不得进入后续磋商环节。</w:t>
      </w:r>
    </w:p>
    <w:p>
      <w:pPr>
        <w:rPr>
          <w:rFonts w:hint="eastAsia" w:ascii="宋体" w:hAnsi="宋体" w:eastAsia="宋体" w:cs="宋体"/>
          <w:b/>
          <w:bCs/>
          <w:color w:val="auto"/>
          <w:spacing w:val="4"/>
          <w:sz w:val="28"/>
          <w:szCs w:val="24"/>
          <w:highlight w:val="none"/>
        </w:rPr>
      </w:pPr>
      <w:r>
        <w:rPr>
          <w:rFonts w:hint="eastAsia" w:ascii="宋体" w:hAnsi="宋体" w:eastAsia="宋体" w:cs="宋体"/>
          <w:b/>
          <w:bCs/>
          <w:color w:val="auto"/>
          <w:spacing w:val="4"/>
          <w:sz w:val="28"/>
          <w:szCs w:val="24"/>
          <w:highlight w:val="none"/>
        </w:rPr>
        <w:br w:type="page"/>
      </w:r>
    </w:p>
    <w:p>
      <w:pPr>
        <w:adjustRightInd w:val="0"/>
        <w:snapToGrid w:val="0"/>
        <w:spacing w:line="360" w:lineRule="auto"/>
        <w:jc w:val="center"/>
        <w:outlineLvl w:val="1"/>
        <w:rPr>
          <w:rFonts w:hint="eastAsia" w:ascii="宋体" w:hAnsi="宋体" w:eastAsia="宋体" w:cs="宋体"/>
          <w:b/>
          <w:bCs/>
          <w:color w:val="auto"/>
          <w:sz w:val="22"/>
          <w:szCs w:val="21"/>
          <w:highlight w:val="none"/>
        </w:rPr>
      </w:pPr>
      <w:r>
        <w:rPr>
          <w:rFonts w:hint="eastAsia" w:ascii="宋体" w:hAnsi="宋体" w:eastAsia="宋体" w:cs="宋体"/>
          <w:b/>
          <w:bCs/>
          <w:color w:val="auto"/>
          <w:spacing w:val="4"/>
          <w:sz w:val="28"/>
          <w:szCs w:val="24"/>
          <w:highlight w:val="none"/>
        </w:rPr>
        <w:t>评审因素量化赋分表</w:t>
      </w:r>
    </w:p>
    <w:p>
      <w:pPr>
        <w:rPr>
          <w:color w:val="auto"/>
          <w:highlight w:val="none"/>
        </w:rPr>
      </w:pPr>
    </w:p>
    <w:tbl>
      <w:tblPr>
        <w:tblStyle w:val="24"/>
        <w:tblW w:w="878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187"/>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right"/>
        </w:trPr>
        <w:tc>
          <w:tcPr>
            <w:tcW w:w="2412" w:type="dxa"/>
            <w:gridSpan w:val="2"/>
            <w:vAlign w:val="center"/>
          </w:tcPr>
          <w:p>
            <w:pPr>
              <w:adjustRightInd w:val="0"/>
              <w:snapToGrid w:val="0"/>
              <w:spacing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评审因素</w:t>
            </w:r>
          </w:p>
        </w:tc>
        <w:tc>
          <w:tcPr>
            <w:tcW w:w="6374" w:type="dxa"/>
            <w:vAlign w:val="center"/>
          </w:tcPr>
          <w:p>
            <w:pPr>
              <w:adjustRightInd w:val="0"/>
              <w:snapToGrid w:val="0"/>
              <w:spacing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right"/>
        </w:trPr>
        <w:tc>
          <w:tcPr>
            <w:tcW w:w="2412" w:type="dxa"/>
            <w:gridSpan w:val="2"/>
            <w:vMerge w:val="restart"/>
            <w:vAlign w:val="center"/>
          </w:tcPr>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分值构成</w:t>
            </w:r>
          </w:p>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（总分100分）</w:t>
            </w:r>
          </w:p>
        </w:tc>
        <w:tc>
          <w:tcPr>
            <w:tcW w:w="6374" w:type="dxa"/>
            <w:vAlign w:val="center"/>
          </w:tcPr>
          <w:p>
            <w:pPr>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资格部分：符合性评审（合格/不合格）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right"/>
        </w:trPr>
        <w:tc>
          <w:tcPr>
            <w:tcW w:w="2412" w:type="dxa"/>
            <w:gridSpan w:val="2"/>
            <w:vMerge w:val="continue"/>
            <w:vAlign w:val="center"/>
          </w:tcPr>
          <w:p>
            <w:pPr>
              <w:jc w:val="left"/>
              <w:rPr>
                <w:rFonts w:hint="default" w:ascii="Times New Roman" w:hAnsi="Times New Roman" w:cs="Times New Roman"/>
                <w:color w:val="auto"/>
                <w:highlight w:val="none"/>
                <w:lang w:val="en-US" w:eastAsia="zh-CN"/>
              </w:rPr>
            </w:pPr>
          </w:p>
        </w:tc>
        <w:tc>
          <w:tcPr>
            <w:tcW w:w="6374" w:type="dxa"/>
            <w:vAlign w:val="center"/>
          </w:tcPr>
          <w:p>
            <w:pPr>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商务部分：40分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right"/>
        </w:trPr>
        <w:tc>
          <w:tcPr>
            <w:tcW w:w="2412" w:type="dxa"/>
            <w:gridSpan w:val="2"/>
            <w:vMerge w:val="continue"/>
            <w:vAlign w:val="center"/>
          </w:tcPr>
          <w:p>
            <w:pPr>
              <w:jc w:val="left"/>
              <w:rPr>
                <w:rFonts w:hint="default" w:ascii="Times New Roman" w:hAnsi="Times New Roman" w:cs="Times New Roman"/>
                <w:color w:val="auto"/>
                <w:highlight w:val="none"/>
                <w:lang w:val="en-US" w:eastAsia="zh-CN"/>
              </w:rPr>
            </w:pPr>
          </w:p>
        </w:tc>
        <w:tc>
          <w:tcPr>
            <w:tcW w:w="6374" w:type="dxa"/>
            <w:vAlign w:val="center"/>
          </w:tcPr>
          <w:p>
            <w:pPr>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技术部分：60分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right"/>
        </w:trPr>
        <w:tc>
          <w:tcPr>
            <w:tcW w:w="2412" w:type="dxa"/>
            <w:gridSpan w:val="2"/>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磋商报价评审基准价</w:t>
            </w:r>
          </w:p>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计算方法</w:t>
            </w:r>
          </w:p>
        </w:tc>
        <w:tc>
          <w:tcPr>
            <w:tcW w:w="6374" w:type="dxa"/>
            <w:vAlign w:val="center"/>
          </w:tcPr>
          <w:p>
            <w:pPr>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满足磋商文件要求且最后报价最低的供应商的价格为磋商基准价。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right"/>
        </w:trPr>
        <w:tc>
          <w:tcPr>
            <w:tcW w:w="2412" w:type="dxa"/>
            <w:gridSpan w:val="2"/>
            <w:vAlign w:val="center"/>
          </w:tcPr>
          <w:p>
            <w:pPr>
              <w:adjustRightInd w:val="0"/>
              <w:snapToGrid w:val="0"/>
              <w:spacing w:line="360" w:lineRule="auto"/>
              <w:ind w:left="39" w:leftChars="0" w:hanging="39" w:hangingChars="19"/>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商务部分</w:t>
            </w:r>
          </w:p>
          <w:p>
            <w:pPr>
              <w:adjustRightInd w:val="0"/>
              <w:snapToGrid w:val="0"/>
              <w:spacing w:line="360" w:lineRule="auto"/>
              <w:ind w:left="39" w:leftChars="0" w:hanging="39" w:hangingChars="19"/>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评分标准</w:t>
            </w:r>
          </w:p>
          <w:p>
            <w:pPr>
              <w:adjustRightInd w:val="0"/>
              <w:snapToGrid w:val="0"/>
              <w:spacing w:line="360" w:lineRule="auto"/>
              <w:ind w:left="39" w:leftChars="0" w:hanging="39" w:hangingChars="19"/>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40</w:t>
            </w:r>
            <w:r>
              <w:rPr>
                <w:rFonts w:hint="default" w:ascii="Times New Roman" w:hAnsi="Times New Roman"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p>
        </w:tc>
        <w:tc>
          <w:tcPr>
            <w:tcW w:w="6374" w:type="dxa"/>
            <w:vAlign w:val="center"/>
          </w:tcPr>
          <w:p>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满足</w:t>
            </w:r>
            <w:r>
              <w:rPr>
                <w:rFonts w:hint="default" w:ascii="Times New Roman" w:hAnsi="Times New Roman" w:cs="Times New Roman"/>
                <w:color w:val="auto"/>
                <w:szCs w:val="21"/>
                <w:highlight w:val="none"/>
                <w:lang w:val="en-US" w:eastAsia="zh-CN"/>
              </w:rPr>
              <w:t>竞争性</w:t>
            </w:r>
            <w:r>
              <w:rPr>
                <w:rFonts w:hint="default" w:ascii="Times New Roman" w:hAnsi="Times New Roman" w:eastAsia="宋体" w:cs="Times New Roman"/>
                <w:color w:val="auto"/>
                <w:szCs w:val="21"/>
                <w:highlight w:val="none"/>
              </w:rPr>
              <w:t>磋商文件要求且最后报价最低的供应商的价格为磋商基准价，其价格分为满分。其他供应商的价格分统一按照下列公式计算：</w:t>
            </w:r>
          </w:p>
          <w:p>
            <w:pPr>
              <w:adjustRightInd w:val="0"/>
              <w:snapToGrid w:val="0"/>
              <w:spacing w:line="360" w:lineRule="auto"/>
              <w:ind w:left="39" w:leftChars="0" w:hanging="39" w:hangingChars="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磋商报价得分</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=（磋商基准价/最后磋商报价）×</w:t>
            </w:r>
            <w:r>
              <w:rPr>
                <w:rFonts w:hint="default" w:ascii="Times New Roman" w:hAnsi="Times New Roman" w:cs="Times New Roman"/>
                <w:color w:val="auto"/>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right"/>
        </w:trPr>
        <w:tc>
          <w:tcPr>
            <w:tcW w:w="1225" w:type="dxa"/>
            <w:vMerge w:val="restart"/>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技术部分</w:t>
            </w:r>
          </w:p>
          <w:p>
            <w:pPr>
              <w:adjustRightInd w:val="0"/>
              <w:snapToGrid w:val="0"/>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评分标准</w:t>
            </w:r>
          </w:p>
          <w:p>
            <w:pPr>
              <w:adjustRightInd w:val="0"/>
              <w:snapToGrid w:val="0"/>
              <w:spacing w:line="360" w:lineRule="auto"/>
              <w:jc w:val="both"/>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60分</w:t>
            </w:r>
            <w:r>
              <w:rPr>
                <w:rFonts w:hint="eastAsia" w:ascii="Times New Roman" w:hAnsi="Times New Roman" w:cs="Times New Roman"/>
                <w:color w:val="auto"/>
                <w:sz w:val="21"/>
                <w:szCs w:val="21"/>
                <w:highlight w:val="none"/>
                <w:lang w:val="en-US" w:eastAsia="zh-CN"/>
              </w:rPr>
              <w:t>）</w:t>
            </w:r>
          </w:p>
        </w:tc>
        <w:tc>
          <w:tcPr>
            <w:tcW w:w="1187" w:type="dxa"/>
            <w:vAlign w:val="center"/>
          </w:tcPr>
          <w:p>
            <w:pPr>
              <w:adjustRightInd w:val="0"/>
              <w:snapToGrid w:val="0"/>
              <w:spacing w:line="360" w:lineRule="auto"/>
              <w:ind w:left="39" w:leftChars="0" w:hanging="39" w:hangingChars="19"/>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企业业绩</w:t>
            </w:r>
          </w:p>
          <w:p>
            <w:pPr>
              <w:adjustRightInd w:val="0"/>
              <w:snapToGrid w:val="0"/>
              <w:spacing w:line="360" w:lineRule="auto"/>
              <w:ind w:left="39" w:leftChars="0" w:hanging="39" w:hangingChars="19"/>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分）</w:t>
            </w:r>
          </w:p>
        </w:tc>
        <w:tc>
          <w:tcPr>
            <w:tcW w:w="6374" w:type="dxa"/>
            <w:vAlign w:val="center"/>
          </w:tcPr>
          <w:p>
            <w:pPr>
              <w:adjustRightInd w:val="0"/>
              <w:snapToGrid w:val="0"/>
              <w:spacing w:line="360" w:lineRule="auto"/>
              <w:ind w:left="40" w:hanging="39" w:hangingChars="1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供应商提供自20</w:t>
            </w:r>
            <w:r>
              <w:rPr>
                <w:rFonts w:hint="default" w:ascii="Times New Roman" w:hAnsi="Times New Roman" w:cs="Times New Roman"/>
                <w:color w:val="auto"/>
                <w:szCs w:val="21"/>
                <w:highlight w:val="none"/>
                <w:lang w:val="en-US" w:eastAsia="zh-CN"/>
              </w:rPr>
              <w:t>20</w:t>
            </w:r>
            <w:r>
              <w:rPr>
                <w:rFonts w:hint="default" w:ascii="Times New Roman" w:hAnsi="Times New Roman" w:cs="Times New Roman"/>
                <w:color w:val="auto"/>
                <w:szCs w:val="21"/>
                <w:highlight w:val="none"/>
              </w:rPr>
              <w:t>年1月</w:t>
            </w:r>
            <w:r>
              <w:rPr>
                <w:rFonts w:hint="default" w:ascii="Times New Roman" w:hAnsi="Times New Roman" w:cs="Times New Roman"/>
                <w:color w:val="auto"/>
                <w:szCs w:val="21"/>
                <w:highlight w:val="none"/>
                <w:lang w:val="en-US" w:eastAsia="zh-CN"/>
              </w:rPr>
              <w:t>1日</w:t>
            </w:r>
            <w:r>
              <w:rPr>
                <w:rFonts w:hint="default" w:ascii="Times New Roman" w:hAnsi="Times New Roman" w:cs="Times New Roman"/>
                <w:color w:val="auto"/>
                <w:szCs w:val="21"/>
                <w:highlight w:val="none"/>
              </w:rPr>
              <w:t>至今</w:t>
            </w:r>
            <w:r>
              <w:rPr>
                <w:rFonts w:hint="default" w:ascii="Times New Roman" w:hAnsi="Times New Roman" w:eastAsia="宋体" w:cs="Times New Roman"/>
                <w:color w:val="auto"/>
                <w:sz w:val="21"/>
                <w:szCs w:val="21"/>
                <w:highlight w:val="none"/>
                <w:lang w:val="en-US" w:eastAsia="zh-CN"/>
              </w:rPr>
              <w:t>承接</w:t>
            </w:r>
            <w:r>
              <w:rPr>
                <w:rFonts w:hint="default" w:ascii="Times New Roman" w:hAnsi="Times New Roman" w:eastAsia="宋体" w:cs="Times New Roman"/>
                <w:color w:val="auto"/>
                <w:sz w:val="21"/>
                <w:szCs w:val="21"/>
                <w:highlight w:val="none"/>
              </w:rPr>
              <w:t>的类似业绩证明材料</w:t>
            </w:r>
            <w:r>
              <w:rPr>
                <w:rFonts w:hint="default" w:ascii="Times New Roman" w:hAnsi="Times New Roman" w:cs="Times New Roman"/>
                <w:color w:val="auto"/>
                <w:szCs w:val="21"/>
                <w:highlight w:val="none"/>
              </w:rPr>
              <w:t>，每提供1项得</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分，最多得</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分。</w:t>
            </w:r>
          </w:p>
          <w:p>
            <w:pPr>
              <w:adjustRightInd w:val="0"/>
              <w:snapToGrid w:val="0"/>
              <w:spacing w:line="360" w:lineRule="auto"/>
              <w:ind w:left="40" w:leftChars="0" w:hanging="40" w:hangingChars="1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
                <w:bCs/>
                <w:color w:val="auto"/>
                <w:szCs w:val="21"/>
                <w:highlight w:val="none"/>
              </w:rPr>
              <w:t>注：业绩证明材料为加盖供应商公章的合同及项目竣工验收合格资料复印件或扫描件，时间以合同签订时间为准，</w:t>
            </w:r>
            <w:r>
              <w:rPr>
                <w:rFonts w:hint="default" w:ascii="Times New Roman" w:hAnsi="Times New Roman" w:eastAsia="宋体" w:cs="Times New Roman"/>
                <w:b/>
                <w:bCs/>
                <w:color w:val="auto"/>
                <w:sz w:val="21"/>
                <w:szCs w:val="21"/>
                <w:highlight w:val="none"/>
                <w:lang w:val="en-US" w:eastAsia="zh-CN"/>
              </w:rPr>
              <w:t>缺少资料或未按照上述要求提供的，均按照0分计入</w:t>
            </w:r>
            <w:r>
              <w:rPr>
                <w:rFonts w:hint="default" w:ascii="Times New Roman" w:hAnsi="Times New Roman" w:cs="Times New Roman"/>
                <w:b/>
                <w:bCs/>
                <w:color w:val="auto"/>
                <w:szCs w:val="21"/>
                <w:highlight w:val="none"/>
              </w:rPr>
              <w:t>。</w:t>
            </w:r>
            <w:r>
              <w:rPr>
                <w:rFonts w:hint="default" w:ascii="Times New Roman" w:hAnsi="Times New Roman" w:cs="Times New Roman"/>
                <w:b/>
                <w:bCs/>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0" w:hRule="atLeast"/>
          <w:jc w:val="right"/>
        </w:trPr>
        <w:tc>
          <w:tcPr>
            <w:tcW w:w="1225" w:type="dxa"/>
            <w:vMerge w:val="continue"/>
            <w:vAlign w:val="center"/>
          </w:tcPr>
          <w:p>
            <w:pPr>
              <w:adjustRightInd w:val="0"/>
              <w:snapToGrid w:val="0"/>
              <w:spacing w:line="360" w:lineRule="auto"/>
              <w:ind w:firstLine="420" w:firstLineChars="200"/>
              <w:jc w:val="both"/>
              <w:rPr>
                <w:rFonts w:hint="default" w:ascii="Times New Roman" w:hAnsi="Times New Roman" w:cs="Times New Roman"/>
                <w:color w:val="auto"/>
                <w:sz w:val="21"/>
                <w:szCs w:val="21"/>
                <w:highlight w:val="none"/>
                <w:lang w:val="en-US" w:eastAsia="zh-CN"/>
              </w:rPr>
            </w:pPr>
          </w:p>
        </w:tc>
        <w:tc>
          <w:tcPr>
            <w:tcW w:w="11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9" w:leftChars="0" w:hanging="39" w:hangingChars="19"/>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拟派项目经理</w:t>
            </w:r>
          </w:p>
          <w:p>
            <w:pPr>
              <w:adjustRightInd w:val="0"/>
              <w:snapToGrid w:val="0"/>
              <w:spacing w:line="360" w:lineRule="auto"/>
              <w:ind w:left="39" w:leftChars="0" w:hanging="39" w:hangingChars="19"/>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tc>
        <w:tc>
          <w:tcPr>
            <w:tcW w:w="637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39" w:leftChars="0" w:hanging="39" w:hangingChars="19"/>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1.拟派项目经理的职称（2分）</w:t>
            </w:r>
          </w:p>
          <w:p>
            <w:pPr>
              <w:keepNext w:val="0"/>
              <w:keepLines w:val="0"/>
              <w:pageBreakBefore w:val="0"/>
              <w:widowControl w:val="0"/>
              <w:kinsoku/>
              <w:wordWrap/>
              <w:overflowPunct/>
              <w:topLinePunct w:val="0"/>
              <w:autoSpaceDE/>
              <w:autoSpaceDN/>
              <w:bidi w:val="0"/>
              <w:adjustRightInd w:val="0"/>
              <w:snapToGrid w:val="0"/>
              <w:spacing w:line="360" w:lineRule="exact"/>
              <w:ind w:left="39" w:leftChars="0" w:hanging="39" w:hangingChars="19"/>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拟派项目经理具备高级工程师及以上技术职称的（含高级工程师），得2分；具备工程师技术职称的，得1分；其余情况不得分。</w:t>
            </w:r>
          </w:p>
          <w:p>
            <w:pPr>
              <w:keepNext w:val="0"/>
              <w:keepLines w:val="0"/>
              <w:pageBreakBefore w:val="0"/>
              <w:widowControl w:val="0"/>
              <w:kinsoku/>
              <w:wordWrap/>
              <w:overflowPunct/>
              <w:topLinePunct w:val="0"/>
              <w:autoSpaceDE/>
              <w:autoSpaceDN/>
              <w:bidi w:val="0"/>
              <w:adjustRightInd w:val="0"/>
              <w:snapToGrid w:val="0"/>
              <w:spacing w:line="360" w:lineRule="exact"/>
              <w:ind w:left="39" w:leftChars="0" w:hanging="39" w:hangingChars="19"/>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评审依据：评审时以供应商提供的加盖供应商公章的拟派项目经理最高职称证书的扫描件或复印件为准，提供多个职称证明材料的，以最高职称材料为准，未提供的不得分。</w:t>
            </w:r>
          </w:p>
          <w:p>
            <w:pPr>
              <w:keepNext w:val="0"/>
              <w:keepLines w:val="0"/>
              <w:pageBreakBefore w:val="0"/>
              <w:widowControl w:val="0"/>
              <w:kinsoku/>
              <w:wordWrap/>
              <w:overflowPunct/>
              <w:topLinePunct w:val="0"/>
              <w:autoSpaceDE/>
              <w:autoSpaceDN/>
              <w:bidi w:val="0"/>
              <w:adjustRightInd w:val="0"/>
              <w:snapToGrid w:val="0"/>
              <w:spacing w:line="360" w:lineRule="exact"/>
              <w:ind w:left="39" w:leftChars="0" w:hanging="39" w:hangingChars="19"/>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2.拟派项目经理业绩（2分）</w:t>
            </w:r>
          </w:p>
          <w:p>
            <w:pPr>
              <w:keepNext w:val="0"/>
              <w:keepLines w:val="0"/>
              <w:pageBreakBefore w:val="0"/>
              <w:widowControl w:val="0"/>
              <w:kinsoku/>
              <w:wordWrap/>
              <w:overflowPunct/>
              <w:topLinePunct w:val="0"/>
              <w:autoSpaceDE/>
              <w:autoSpaceDN/>
              <w:bidi w:val="0"/>
              <w:adjustRightInd w:val="0"/>
              <w:snapToGrid w:val="0"/>
              <w:spacing w:line="360" w:lineRule="exact"/>
              <w:ind w:left="39" w:leftChars="0" w:hanging="39" w:hangingChars="19"/>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供应商每提供1项拟派项目经理自</w:t>
            </w:r>
            <w:r>
              <w:rPr>
                <w:rFonts w:hint="default" w:ascii="Times New Roman" w:hAnsi="Times New Roman" w:cs="Times New Roman"/>
                <w:b w:val="0"/>
                <w:bCs w:val="0"/>
                <w:color w:val="auto"/>
                <w:sz w:val="21"/>
                <w:szCs w:val="21"/>
                <w:highlight w:val="none"/>
                <w:lang w:val="en-US" w:eastAsia="zh-CN"/>
              </w:rPr>
              <w:t>2020</w:t>
            </w:r>
            <w:r>
              <w:rPr>
                <w:rFonts w:hint="default" w:ascii="Times New Roman" w:hAnsi="Times New Roman" w:eastAsia="宋体" w:cs="Times New Roman"/>
                <w:b w:val="0"/>
                <w:bCs w:val="0"/>
                <w:color w:val="auto"/>
                <w:sz w:val="21"/>
                <w:szCs w:val="21"/>
                <w:highlight w:val="none"/>
                <w:lang w:val="en-US" w:eastAsia="zh-CN"/>
              </w:rPr>
              <w:t>年01月01日以来至今已完成的类似工程项目业绩证明材料的（在该项目中担任项目经理一职），得1分；最高得2分。</w:t>
            </w:r>
          </w:p>
          <w:p>
            <w:pPr>
              <w:keepNext w:val="0"/>
              <w:keepLines w:val="0"/>
              <w:pageBreakBefore w:val="0"/>
              <w:widowControl w:val="0"/>
              <w:kinsoku/>
              <w:wordWrap/>
              <w:overflowPunct/>
              <w:topLinePunct w:val="0"/>
              <w:autoSpaceDE/>
              <w:autoSpaceDN/>
              <w:bidi w:val="0"/>
              <w:adjustRightInd w:val="0"/>
              <w:snapToGrid w:val="0"/>
              <w:spacing w:line="360" w:lineRule="exact"/>
              <w:ind w:left="39" w:leftChars="0" w:hanging="39" w:hangingChars="19"/>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评审依据：附业绩合同及项目竣工验收合格资料复印件或扫描件并加盖供应商公章，时间以合同签订时间为准。缺少资料或未按照上述要求提供的，均按照0分计入。</w:t>
            </w:r>
          </w:p>
          <w:p>
            <w:pPr>
              <w:keepNext w:val="0"/>
              <w:keepLines w:val="0"/>
              <w:pageBreakBefore w:val="0"/>
              <w:widowControl w:val="0"/>
              <w:kinsoku/>
              <w:wordWrap/>
              <w:overflowPunct/>
              <w:topLinePunct w:val="0"/>
              <w:autoSpaceDE/>
              <w:autoSpaceDN/>
              <w:bidi w:val="0"/>
              <w:adjustRightInd w:val="0"/>
              <w:snapToGrid w:val="0"/>
              <w:spacing w:line="360" w:lineRule="exact"/>
              <w:ind w:left="39" w:leftChars="0" w:hanging="39" w:hangingChars="19"/>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注：所提供合同复印件或扫描件中必须体现拟派项目经理在该项目中担任项目经理一职，否则不予赋分</w:t>
            </w:r>
            <w:r>
              <w:rPr>
                <w:rFonts w:hint="eastAsia" w:ascii="Times New Roman" w:hAnsi="Times New Roman" w:eastAsia="宋体" w:cs="Times New Roman"/>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restart"/>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施工组织设计</w:t>
            </w:r>
          </w:p>
          <w:p>
            <w:pPr>
              <w:adjustRightInd w:val="0"/>
              <w:snapToGrid w:val="0"/>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50</w:t>
            </w:r>
            <w:r>
              <w:rPr>
                <w:rFonts w:hint="default" w:ascii="Times New Roman" w:hAnsi="Times New Roman" w:eastAsia="宋体" w:cs="Times New Roman"/>
                <w:color w:val="auto"/>
                <w:sz w:val="21"/>
                <w:szCs w:val="21"/>
                <w:highlight w:val="none"/>
              </w:rPr>
              <w:t>分）</w:t>
            </w:r>
          </w:p>
        </w:tc>
        <w:tc>
          <w:tcPr>
            <w:tcW w:w="6374" w:type="dxa"/>
            <w:vAlign w:val="center"/>
          </w:tcPr>
          <w:p>
            <w:pPr>
              <w:keepNext w:val="0"/>
              <w:keepLines w:val="0"/>
              <w:pageBreakBefore w:val="0"/>
              <w:kinsoku/>
              <w:wordWrap/>
              <w:overflowPunct/>
              <w:topLinePunct w:val="0"/>
              <w:bidi w:val="0"/>
              <w:adjustRightInd w:val="0"/>
              <w:snapToGrid w:val="0"/>
              <w:spacing w:before="157" w:beforeLines="50" w:line="360" w:lineRule="auto"/>
              <w:ind w:left="0" w:hanging="40" w:hangingChars="19"/>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施工方案（8分）：</w:t>
            </w:r>
          </w:p>
          <w:p>
            <w:pPr>
              <w:keepNext w:val="0"/>
              <w:keepLines w:val="0"/>
              <w:pageBreakBefore w:val="0"/>
              <w:kinsoku/>
              <w:wordWrap/>
              <w:overflowPunct/>
              <w:topLinePunct w:val="0"/>
              <w:bidi w:val="0"/>
              <w:adjustRightInd w:val="0"/>
              <w:snapToGrid w:val="0"/>
              <w:spacing w:before="157" w:beforeLines="50" w:line="360" w:lineRule="auto"/>
              <w:ind w:left="0" w:hanging="39" w:hangingChars="19"/>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供应商针对本项目提供的施工方案，包含但不限于：①施工方法（工艺）②施工组织和施工程序③现场平面布置④技术组织措施等内容。</w:t>
            </w:r>
          </w:p>
          <w:p>
            <w:pPr>
              <w:keepNext w:val="0"/>
              <w:keepLines w:val="0"/>
              <w:pageBreakBefore w:val="0"/>
              <w:kinsoku/>
              <w:wordWrap/>
              <w:overflowPunct/>
              <w:topLinePunct w:val="0"/>
              <w:bidi w:val="0"/>
              <w:adjustRightInd w:val="0"/>
              <w:snapToGrid w:val="0"/>
              <w:spacing w:before="157" w:beforeLines="50" w:line="360" w:lineRule="auto"/>
              <w:ind w:left="0" w:hanging="40" w:hangingChars="19"/>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评审标准：</w:t>
            </w:r>
            <w:r>
              <w:rPr>
                <w:rFonts w:hint="default" w:ascii="Times New Roman" w:hAnsi="Times New Roman" w:eastAsia="宋体" w:cs="Times New Roman"/>
                <w:color w:val="auto"/>
                <w:szCs w:val="21"/>
                <w:highlight w:val="none"/>
                <w:lang w:val="en-US" w:eastAsia="zh-CN"/>
              </w:rPr>
              <w:t>方案全面，对评审内容中的各项要求有详细描述；切合本项目实际情况，提出步骤清晰、合理的方案；方案能够紧扣项目实际情况，内容科学合理。</w:t>
            </w:r>
          </w:p>
          <w:p>
            <w:pPr>
              <w:keepNext w:val="0"/>
              <w:keepLines w:val="0"/>
              <w:pageBreakBefore w:val="0"/>
              <w:kinsoku/>
              <w:wordWrap/>
              <w:overflowPunct/>
              <w:topLinePunct w:val="0"/>
              <w:bidi w:val="0"/>
              <w:adjustRightInd w:val="0"/>
              <w:snapToGrid w:val="0"/>
              <w:spacing w:before="157" w:beforeLines="50" w:line="360" w:lineRule="auto"/>
              <w:ind w:left="0" w:hanging="39" w:hangingChars="19"/>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Cs w:val="21"/>
                <w:highlight w:val="none"/>
                <w:lang w:val="en-US" w:eastAsia="zh-CN"/>
              </w:rPr>
              <w:t>完全满足的得8分。每缺少一项或有一项不满足评审标准扣2分，扣完为止。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kinsoku/>
              <w:wordWrap/>
              <w:overflowPunct/>
              <w:topLinePunct w:val="0"/>
              <w:bidi w:val="0"/>
              <w:adjustRightInd w:val="0"/>
              <w:snapToGrid w:val="0"/>
              <w:spacing w:before="157" w:beforeLines="50" w:line="360" w:lineRule="auto"/>
              <w:ind w:left="0" w:hanging="40" w:hangingChars="19"/>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确保工程质量的技术组织措施（6分）：</w:t>
            </w:r>
          </w:p>
          <w:p>
            <w:pPr>
              <w:keepNext w:val="0"/>
              <w:keepLines w:val="0"/>
              <w:pageBreakBefore w:val="0"/>
              <w:kinsoku/>
              <w:wordWrap/>
              <w:overflowPunct/>
              <w:topLinePunct w:val="0"/>
              <w:bidi w:val="0"/>
              <w:adjustRightInd w:val="0"/>
              <w:snapToGrid w:val="0"/>
              <w:spacing w:before="157" w:beforeLines="50" w:line="360" w:lineRule="auto"/>
              <w:ind w:left="0" w:hanging="39" w:hangingChars="19"/>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供应商针对本项目提供的确保工程质量的技术组织措施，包含但不限于：①质量目标②质量保证体系③质量保证措施等内容。</w:t>
            </w:r>
          </w:p>
          <w:p>
            <w:pPr>
              <w:keepNext w:val="0"/>
              <w:keepLines w:val="0"/>
              <w:pageBreakBefore w:val="0"/>
              <w:kinsoku/>
              <w:wordWrap/>
              <w:overflowPunct/>
              <w:topLinePunct w:val="0"/>
              <w:bidi w:val="0"/>
              <w:adjustRightInd w:val="0"/>
              <w:snapToGrid w:val="0"/>
              <w:spacing w:before="157" w:beforeLines="50" w:line="360" w:lineRule="auto"/>
              <w:ind w:left="0" w:hanging="40" w:hangingChars="19"/>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宋体" w:cs="Times New Roman"/>
                <w:b/>
                <w:bCs/>
                <w:color w:val="auto"/>
                <w:szCs w:val="21"/>
                <w:highlight w:val="none"/>
                <w:lang w:val="en-US" w:eastAsia="zh-CN"/>
              </w:rPr>
              <w:t>评审标准：</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全面，对评审内容中的各项要求有详细描述；切合本项目实际情况，提出步骤清晰、合理的方案；方案能够紧扣项目实际情况，内容科学合理。</w:t>
            </w:r>
            <w:r>
              <w:rPr>
                <w:rFonts w:hint="default" w:ascii="Times New Roman" w:hAnsi="Times New Roman" w:eastAsia="宋体" w:cs="Times New Roman"/>
                <w:color w:val="auto"/>
                <w:szCs w:val="21"/>
                <w:highlight w:val="none"/>
                <w:lang w:val="en-US" w:eastAsia="zh-CN"/>
              </w:rPr>
              <w:br w:type="textWrapping"/>
            </w:r>
            <w:r>
              <w:rPr>
                <w:rFonts w:hint="default" w:ascii="Times New Roman" w:hAnsi="Times New Roman" w:eastAsia="宋体" w:cs="Times New Roman"/>
                <w:color w:val="auto"/>
                <w:szCs w:val="21"/>
                <w:highlight w:val="none"/>
                <w:lang w:val="en-US" w:eastAsia="zh-CN"/>
              </w:rPr>
              <w:t>完全满足的得6分。每缺少一项或有一项不满足评审标准扣2分，扣完为止。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kinsoku/>
              <w:wordWrap/>
              <w:overflowPunct/>
              <w:topLinePunct w:val="0"/>
              <w:bidi w:val="0"/>
              <w:adjustRightInd w:val="0"/>
              <w:snapToGrid w:val="0"/>
              <w:spacing w:before="157" w:beforeLines="50" w:line="360" w:lineRule="auto"/>
              <w:ind w:left="40" w:leftChars="0" w:hanging="40" w:hangingChars="19"/>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确保安全生产的技术组织措施</w:t>
            </w:r>
            <w:r>
              <w:rPr>
                <w:rFonts w:hint="default" w:ascii="Times New Roman" w:hAnsi="Times New Roman" w:cs="Times New Roman"/>
                <w:b/>
                <w:bCs/>
                <w:color w:val="auto"/>
                <w:sz w:val="21"/>
                <w:szCs w:val="21"/>
                <w:highlight w:val="none"/>
                <w:lang w:val="en-US" w:eastAsia="zh-CN"/>
              </w:rPr>
              <w:t>（4分）：</w:t>
            </w:r>
          </w:p>
          <w:p>
            <w:pPr>
              <w:keepNext w:val="0"/>
              <w:keepLines w:val="0"/>
              <w:pageBreakBefore w:val="0"/>
              <w:kinsoku/>
              <w:wordWrap/>
              <w:overflowPunct/>
              <w:topLinePunct w:val="0"/>
              <w:bidi w:val="0"/>
              <w:spacing w:before="157" w:beforeLines="50" w:line="360" w:lineRule="auto"/>
              <w:ind w:left="0" w:firstLine="1"/>
              <w:jc w:val="left"/>
              <w:textAlignment w:val="auto"/>
              <w:outlineLvl w:val="3"/>
              <w:rPr>
                <w:rFonts w:hint="default" w:ascii="Times New Roman" w:hAnsi="Times New Roman" w:eastAsia="仿宋" w:cs="Times New Roman"/>
                <w:color w:val="auto"/>
                <w:highlight w:val="none"/>
                <w:lang w:val="en-US" w:eastAsia="zh-CN"/>
              </w:rPr>
            </w:pPr>
            <w:r>
              <w:rPr>
                <w:rFonts w:hint="default" w:ascii="Times New Roman" w:hAnsi="Times New Roman" w:eastAsia="宋体" w:cs="Times New Roman"/>
                <w:color w:val="auto"/>
                <w:szCs w:val="21"/>
                <w:highlight w:val="none"/>
                <w:lang w:val="en-US" w:eastAsia="zh-CN"/>
              </w:rPr>
              <w:t>供应商针对本项目提供的确保安全生产的技术组织措施包含但不限于：①安全生产管理体系②安全生产总目标③安全生产用电技术组织措施④安全生产防火技术组织措施⑤安全事故预防措施等内容。</w:t>
            </w:r>
            <w:r>
              <w:rPr>
                <w:rFonts w:hint="default" w:ascii="Times New Roman" w:hAnsi="Times New Roman" w:eastAsia="仿宋" w:cs="Times New Roman"/>
                <w:b/>
                <w:bCs/>
                <w:color w:val="auto"/>
                <w:spacing w:val="0"/>
                <w:sz w:val="28"/>
                <w:szCs w:val="28"/>
                <w:highlight w:val="none"/>
              </w:rPr>
              <w:br w:type="textWrapping"/>
            </w:r>
            <w:r>
              <w:rPr>
                <w:rFonts w:hint="default" w:ascii="Times New Roman" w:hAnsi="Times New Roman" w:eastAsia="宋体" w:cs="Times New Roman"/>
                <w:b/>
                <w:bCs/>
                <w:color w:val="auto"/>
                <w:szCs w:val="21"/>
                <w:highlight w:val="none"/>
                <w:lang w:val="en-US" w:eastAsia="zh-CN"/>
              </w:rPr>
              <w:t>评审标准：</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全面，对评审内容中的各项要求有详细描述；切合本项目实际情况，提出步骤清晰、合理的</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能够紧扣项目实际情况，内容科学合理。</w:t>
            </w:r>
            <w:r>
              <w:rPr>
                <w:rFonts w:hint="default" w:ascii="Times New Roman" w:hAnsi="Times New Roman" w:eastAsia="宋体" w:cs="Times New Roman"/>
                <w:color w:val="auto"/>
                <w:szCs w:val="21"/>
                <w:highlight w:val="none"/>
                <w:lang w:val="en-US" w:eastAsia="zh-CN"/>
              </w:rPr>
              <w:br w:type="textWrapping"/>
            </w:r>
            <w:r>
              <w:rPr>
                <w:rFonts w:hint="default" w:ascii="Times New Roman" w:hAnsi="Times New Roman" w:eastAsia="宋体" w:cs="Times New Roman"/>
                <w:color w:val="auto"/>
                <w:szCs w:val="21"/>
                <w:highlight w:val="none"/>
                <w:lang w:val="en-US" w:eastAsia="zh-CN"/>
              </w:rPr>
              <w:t>完全满足的得4分。每缺少一项或有一项不满足评审标准扣1分，扣完为止。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kinsoku/>
              <w:wordWrap/>
              <w:overflowPunct/>
              <w:topLinePunct w:val="0"/>
              <w:bidi w:val="0"/>
              <w:adjustRightInd w:val="0"/>
              <w:snapToGrid w:val="0"/>
              <w:spacing w:before="157" w:beforeLines="50" w:line="360" w:lineRule="auto"/>
              <w:ind w:left="40" w:leftChars="0" w:hanging="40" w:hangingChars="19"/>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确保文明施工的技术组织措施及环境保护措施</w:t>
            </w:r>
            <w:r>
              <w:rPr>
                <w:rFonts w:hint="default" w:ascii="Times New Roman" w:hAnsi="Times New Roman" w:cs="Times New Roman"/>
                <w:b/>
                <w:bCs/>
                <w:color w:val="auto"/>
                <w:sz w:val="21"/>
                <w:szCs w:val="21"/>
                <w:highlight w:val="none"/>
                <w:lang w:val="en-US" w:eastAsia="zh-CN"/>
              </w:rPr>
              <w:t>（4分）</w:t>
            </w:r>
            <w:r>
              <w:rPr>
                <w:rFonts w:hint="default" w:ascii="Times New Roman" w:hAnsi="Times New Roman" w:eastAsia="宋体" w:cs="Times New Roman"/>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3"/>
              <w:rPr>
                <w:rFonts w:hint="default" w:ascii="Times New Roman" w:hAnsi="Times New Roman" w:eastAsia="仿宋" w:cs="Times New Roman"/>
                <w:color w:val="auto"/>
                <w:highlight w:val="none"/>
                <w:lang w:val="en-US" w:eastAsia="zh-CN"/>
              </w:rPr>
            </w:pPr>
            <w:r>
              <w:rPr>
                <w:rFonts w:hint="default" w:ascii="Times New Roman" w:hAnsi="Times New Roman" w:eastAsia="宋体" w:cs="Times New Roman"/>
                <w:color w:val="auto"/>
                <w:szCs w:val="21"/>
                <w:highlight w:val="none"/>
                <w:lang w:val="en-US" w:eastAsia="zh-CN"/>
              </w:rPr>
              <w:t>供应商针对本项目提供的</w:t>
            </w:r>
            <w:r>
              <w:rPr>
                <w:rFonts w:hint="default" w:ascii="Times New Roman" w:hAnsi="Times New Roman" w:eastAsia="宋体" w:cs="Times New Roman"/>
                <w:color w:val="auto"/>
                <w:sz w:val="21"/>
                <w:szCs w:val="21"/>
                <w:highlight w:val="none"/>
                <w:lang w:val="en-US" w:eastAsia="zh-CN"/>
              </w:rPr>
              <w:t>确保文明施工的技术组织措施及环境保护措施</w:t>
            </w:r>
            <w:r>
              <w:rPr>
                <w:rFonts w:hint="default" w:ascii="Times New Roman" w:hAnsi="Times New Roman" w:eastAsia="宋体" w:cs="Times New Roman"/>
                <w:color w:val="auto"/>
                <w:szCs w:val="21"/>
                <w:highlight w:val="none"/>
                <w:lang w:val="en-US" w:eastAsia="zh-CN"/>
              </w:rPr>
              <w:t>包含但不限于：</w:t>
            </w:r>
            <w:r>
              <w:rPr>
                <w:rFonts w:hint="default" w:ascii="Times New Roman" w:hAnsi="Times New Roman" w:eastAsia="宋体" w:cs="Times New Roman"/>
                <w:color w:val="auto"/>
                <w:sz w:val="21"/>
                <w:szCs w:val="21"/>
                <w:highlight w:val="none"/>
                <w:lang w:val="en-US" w:eastAsia="zh-CN"/>
              </w:rPr>
              <w:t>①文明施工保证措施②现场保卫措施③材料管理文明措施④生活卫生措施⑤环境保护措施</w:t>
            </w:r>
            <w:r>
              <w:rPr>
                <w:rFonts w:hint="default" w:ascii="Times New Roman" w:hAnsi="Times New Roman" w:eastAsia="宋体" w:cs="Times New Roman"/>
                <w:color w:val="auto"/>
                <w:szCs w:val="21"/>
                <w:highlight w:val="none"/>
                <w:lang w:val="en-US" w:eastAsia="zh-CN"/>
              </w:rPr>
              <w:t>等内容。</w:t>
            </w:r>
            <w:r>
              <w:rPr>
                <w:rFonts w:hint="default" w:ascii="Times New Roman" w:hAnsi="Times New Roman" w:eastAsia="宋体" w:cs="Times New Roman"/>
                <w:color w:val="auto"/>
                <w:szCs w:val="21"/>
                <w:highlight w:val="none"/>
                <w:lang w:val="en-US" w:eastAsia="zh-CN"/>
              </w:rPr>
              <w:br w:type="textWrapping"/>
            </w:r>
            <w:r>
              <w:rPr>
                <w:rFonts w:hint="default" w:ascii="Times New Roman" w:hAnsi="Times New Roman" w:eastAsia="宋体" w:cs="Times New Roman"/>
                <w:b/>
                <w:bCs/>
                <w:color w:val="auto"/>
                <w:szCs w:val="21"/>
                <w:highlight w:val="none"/>
                <w:lang w:val="en-US" w:eastAsia="zh-CN"/>
              </w:rPr>
              <w:t>评审标准：</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全面，对评审内容中的各项要求有详细描述；切合本项目实际情况，提出步骤清晰、合理的</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能够紧扣项目实际情况，内容科学合理。</w:t>
            </w:r>
            <w:r>
              <w:rPr>
                <w:rFonts w:hint="default" w:ascii="Times New Roman" w:hAnsi="Times New Roman" w:eastAsia="宋体" w:cs="Times New Roman"/>
                <w:color w:val="auto"/>
                <w:szCs w:val="21"/>
                <w:highlight w:val="none"/>
                <w:lang w:val="en-US" w:eastAsia="zh-CN"/>
              </w:rPr>
              <w:br w:type="textWrapping"/>
            </w:r>
            <w:r>
              <w:rPr>
                <w:rFonts w:hint="default" w:ascii="Times New Roman" w:hAnsi="Times New Roman" w:eastAsia="宋体" w:cs="Times New Roman"/>
                <w:color w:val="auto"/>
                <w:szCs w:val="21"/>
                <w:highlight w:val="none"/>
                <w:lang w:val="en-US" w:eastAsia="zh-CN"/>
              </w:rPr>
              <w:t>完全满足的得4分。每缺少一项或有一项不满足评审标准扣1分，扣完为止。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kinsoku/>
              <w:wordWrap/>
              <w:overflowPunct/>
              <w:topLinePunct w:val="0"/>
              <w:bidi w:val="0"/>
              <w:adjustRightInd w:val="0"/>
              <w:snapToGrid w:val="0"/>
              <w:spacing w:before="157" w:beforeLines="50" w:line="360" w:lineRule="auto"/>
              <w:ind w:left="40" w:leftChars="0" w:hanging="40" w:hangingChars="19"/>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确保工期的技术组织措施</w:t>
            </w:r>
            <w:r>
              <w:rPr>
                <w:rFonts w:hint="default" w:ascii="Times New Roman" w:hAnsi="Times New Roman"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outlineLvl w:val="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lang w:val="en-US" w:eastAsia="zh-CN"/>
              </w:rPr>
              <w:t>供应商针对本项目提供的确保工期的技术组织措施包含但不限于：①</w:t>
            </w:r>
            <w:r>
              <w:rPr>
                <w:rFonts w:hint="default" w:ascii="Times New Roman" w:hAnsi="Times New Roman" w:eastAsia="宋体" w:cs="Times New Roman"/>
                <w:color w:val="auto"/>
                <w:sz w:val="21"/>
                <w:szCs w:val="21"/>
                <w:highlight w:val="none"/>
                <w:lang w:val="en-US" w:eastAsia="zh-CN"/>
              </w:rPr>
              <w:t>施工工期总目标</w:t>
            </w:r>
            <w:r>
              <w:rPr>
                <w:rFonts w:hint="default" w:ascii="Times New Roman" w:hAnsi="Times New Roman"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t>影响施工工期进度主要原因分析</w:t>
            </w:r>
            <w:r>
              <w:rPr>
                <w:rFonts w:hint="default" w:ascii="Times New Roman" w:hAnsi="Times New Roman" w:cs="Times New Roman"/>
                <w:color w:val="auto"/>
                <w:sz w:val="21"/>
                <w:szCs w:val="21"/>
                <w:highlight w:val="none"/>
                <w:lang w:val="en-US" w:eastAsia="zh-CN"/>
              </w:rPr>
              <w:t>③</w:t>
            </w:r>
            <w:r>
              <w:rPr>
                <w:rFonts w:hint="default" w:ascii="Times New Roman" w:hAnsi="Times New Roman" w:eastAsia="宋体" w:cs="Times New Roman"/>
                <w:color w:val="auto"/>
                <w:sz w:val="21"/>
                <w:szCs w:val="21"/>
                <w:highlight w:val="none"/>
                <w:lang w:val="en-US" w:eastAsia="zh-CN"/>
              </w:rPr>
              <w:t>保证施工进度的管理措施</w:t>
            </w:r>
            <w:r>
              <w:rPr>
                <w:rFonts w:hint="default" w:ascii="Times New Roman" w:hAnsi="Times New Roman" w:cs="Times New Roman"/>
                <w:color w:val="auto"/>
                <w:sz w:val="21"/>
                <w:szCs w:val="21"/>
                <w:highlight w:val="none"/>
                <w:lang w:val="en-US" w:eastAsia="zh-CN"/>
              </w:rPr>
              <w:t>④</w:t>
            </w:r>
            <w:r>
              <w:rPr>
                <w:rFonts w:hint="default" w:ascii="Times New Roman" w:hAnsi="Times New Roman" w:eastAsia="宋体" w:cs="Times New Roman"/>
                <w:color w:val="auto"/>
                <w:sz w:val="21"/>
                <w:szCs w:val="21"/>
                <w:highlight w:val="none"/>
                <w:lang w:val="en-US" w:eastAsia="zh-CN"/>
              </w:rPr>
              <w:t>保证施工工期进度的材料供应措施</w:t>
            </w:r>
            <w:r>
              <w:rPr>
                <w:rFonts w:hint="default" w:ascii="Times New Roman" w:hAnsi="Times New Roman" w:eastAsia="宋体" w:cs="Times New Roman"/>
                <w:color w:val="auto"/>
                <w:szCs w:val="21"/>
                <w:highlight w:val="none"/>
                <w:lang w:val="en-US" w:eastAsia="zh-CN"/>
              </w:rPr>
              <w:t>等内容。</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outlineLvl w:val="3"/>
              <w:rPr>
                <w:rFonts w:hint="default" w:ascii="Times New Roman" w:hAnsi="Times New Roman" w:eastAsia="仿宋" w:cs="Times New Roman"/>
                <w:color w:val="auto"/>
                <w:highlight w:val="none"/>
                <w:lang w:val="en-US" w:eastAsia="zh-CN"/>
              </w:rPr>
            </w:pPr>
            <w:r>
              <w:rPr>
                <w:rFonts w:hint="default" w:ascii="Times New Roman" w:hAnsi="Times New Roman" w:eastAsia="宋体" w:cs="Times New Roman"/>
                <w:b/>
                <w:bCs/>
                <w:color w:val="auto"/>
                <w:sz w:val="21"/>
                <w:szCs w:val="21"/>
                <w:highlight w:val="none"/>
                <w:lang w:val="en-US" w:eastAsia="zh-CN"/>
              </w:rPr>
              <w:t>评审标准：</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全面，对评审内容中的各项要求有详细描述；切合本项目实际情况，提出步骤清晰、合理的</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措施</w:t>
            </w:r>
            <w:r>
              <w:rPr>
                <w:rFonts w:hint="default" w:ascii="Times New Roman" w:hAnsi="Times New Roman" w:eastAsia="宋体" w:cs="Times New Roman"/>
                <w:color w:val="auto"/>
                <w:szCs w:val="21"/>
                <w:highlight w:val="none"/>
                <w:lang w:val="en-US" w:eastAsia="zh-CN"/>
              </w:rPr>
              <w:t>能够紧扣项目实际情况，内容科学合理。</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完全满足的得</w:t>
            </w: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分。每缺少一项或有一项不满足评审标准扣</w:t>
            </w: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40" w:leftChars="0" w:hanging="40" w:hangingChars="19"/>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施工机械配备和材料投入计划</w:t>
            </w:r>
            <w:r>
              <w:rPr>
                <w:rFonts w:hint="default" w:ascii="Times New Roman" w:hAnsi="Times New Roman" w:cs="Times New Roman"/>
                <w:b/>
                <w:bCs/>
                <w:color w:val="auto"/>
                <w:sz w:val="21"/>
                <w:szCs w:val="21"/>
                <w:highlight w:val="none"/>
                <w:lang w:val="en-US" w:eastAsia="zh-CN"/>
              </w:rPr>
              <w:t>（4分）</w:t>
            </w:r>
            <w:r>
              <w:rPr>
                <w:rFonts w:hint="default" w:ascii="Times New Roman" w:hAnsi="Times New Roman" w:eastAsia="宋体" w:cs="Times New Roman"/>
                <w:b/>
                <w:bCs/>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9"/>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lang w:val="en-US" w:eastAsia="zh-CN"/>
              </w:rPr>
              <w:t>供应商针对本项目提供的施工机械配备和材料投入计划，包含但不限于：①</w:t>
            </w:r>
            <w:r>
              <w:rPr>
                <w:rFonts w:hint="default" w:ascii="Times New Roman" w:hAnsi="Times New Roman" w:eastAsia="宋体" w:cs="Times New Roman"/>
                <w:color w:val="auto"/>
                <w:sz w:val="21"/>
                <w:szCs w:val="21"/>
                <w:highlight w:val="none"/>
                <w:lang w:val="en-US" w:eastAsia="zh-CN"/>
              </w:rPr>
              <w:t>施工机械设备配备原则</w:t>
            </w:r>
            <w:r>
              <w:rPr>
                <w:rFonts w:hint="default" w:ascii="Times New Roman" w:hAnsi="Times New Roman"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t>施工机械设备安排计划</w:t>
            </w:r>
            <w:r>
              <w:rPr>
                <w:rFonts w:hint="default" w:ascii="Times New Roman" w:hAnsi="Times New Roman" w:cs="Times New Roman"/>
                <w:color w:val="auto"/>
                <w:sz w:val="21"/>
                <w:szCs w:val="21"/>
                <w:highlight w:val="none"/>
                <w:lang w:val="en-US" w:eastAsia="zh-CN"/>
              </w:rPr>
              <w:t>③</w:t>
            </w:r>
            <w:r>
              <w:rPr>
                <w:rFonts w:hint="default" w:ascii="Times New Roman" w:hAnsi="Times New Roman" w:eastAsia="宋体" w:cs="Times New Roman"/>
                <w:color w:val="auto"/>
                <w:sz w:val="21"/>
                <w:szCs w:val="21"/>
                <w:highlight w:val="none"/>
                <w:lang w:val="en-US" w:eastAsia="zh-CN"/>
              </w:rPr>
              <w:t>材料的采购、检验、搬运、贮存和使用原则</w:t>
            </w:r>
            <w:r>
              <w:rPr>
                <w:rFonts w:hint="default" w:ascii="Times New Roman" w:hAnsi="Times New Roman" w:cs="Times New Roman"/>
                <w:color w:val="auto"/>
                <w:sz w:val="21"/>
                <w:szCs w:val="21"/>
                <w:highlight w:val="none"/>
                <w:lang w:val="en-US" w:eastAsia="zh-CN"/>
              </w:rPr>
              <w:t>④</w:t>
            </w:r>
            <w:r>
              <w:rPr>
                <w:rFonts w:hint="default" w:ascii="Times New Roman" w:hAnsi="Times New Roman" w:eastAsia="宋体" w:cs="Times New Roman"/>
                <w:color w:val="auto"/>
                <w:sz w:val="21"/>
                <w:szCs w:val="21"/>
                <w:highlight w:val="none"/>
                <w:lang w:val="en-US" w:eastAsia="zh-CN"/>
              </w:rPr>
              <w:t>工程材料的使用管理措施</w:t>
            </w:r>
            <w:r>
              <w:rPr>
                <w:rFonts w:hint="default" w:ascii="Times New Roman" w:hAnsi="Times New Roman" w:cs="Times New Roman"/>
                <w:color w:val="auto"/>
                <w:sz w:val="21"/>
                <w:szCs w:val="21"/>
                <w:highlight w:val="none"/>
                <w:lang w:val="en-US" w:eastAsia="zh-CN"/>
              </w:rPr>
              <w:t>⑤</w:t>
            </w:r>
            <w:r>
              <w:rPr>
                <w:rFonts w:hint="default" w:ascii="Times New Roman" w:hAnsi="Times New Roman" w:eastAsia="宋体" w:cs="Times New Roman"/>
                <w:color w:val="auto"/>
                <w:sz w:val="21"/>
                <w:szCs w:val="21"/>
                <w:highlight w:val="none"/>
                <w:lang w:val="en-US" w:eastAsia="zh-CN"/>
              </w:rPr>
              <w:t>材料供应保障措施</w:t>
            </w:r>
            <w:r>
              <w:rPr>
                <w:rFonts w:hint="default" w:ascii="Times New Roman" w:hAnsi="Times New Roman" w:cs="Times New Roman"/>
                <w:color w:val="auto"/>
                <w:sz w:val="21"/>
                <w:szCs w:val="21"/>
                <w:highlight w:val="none"/>
                <w:lang w:val="en-US" w:eastAsia="zh-CN"/>
              </w:rPr>
              <w:t>⑥</w:t>
            </w:r>
            <w:r>
              <w:rPr>
                <w:rFonts w:hint="default" w:ascii="Times New Roman" w:hAnsi="Times New Roman" w:eastAsia="宋体" w:cs="Times New Roman"/>
                <w:color w:val="auto"/>
                <w:sz w:val="21"/>
                <w:szCs w:val="21"/>
                <w:highlight w:val="none"/>
                <w:lang w:val="en-US" w:eastAsia="zh-CN"/>
              </w:rPr>
              <w:t>选用环保材料及节能的技术措施</w:t>
            </w:r>
            <w:r>
              <w:rPr>
                <w:rFonts w:hint="default" w:ascii="Times New Roman" w:hAnsi="Times New Roman" w:eastAsia="宋体" w:cs="Times New Roman"/>
                <w:color w:val="auto"/>
                <w:szCs w:val="21"/>
                <w:highlight w:val="none"/>
                <w:lang w:val="en-US" w:eastAsia="zh-CN"/>
              </w:rPr>
              <w:t>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 w:leftChars="-19"/>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b/>
                <w:bCs/>
                <w:color w:val="auto"/>
                <w:sz w:val="21"/>
                <w:szCs w:val="21"/>
                <w:highlight w:val="none"/>
                <w:lang w:val="en-US" w:eastAsia="zh-CN"/>
              </w:rPr>
              <w:t>评审标准：</w:t>
            </w:r>
            <w:r>
              <w:rPr>
                <w:rFonts w:hint="eastAsia" w:ascii="Times New Roman" w:hAnsi="Times New Roman" w:cs="Times New Roman"/>
                <w:color w:val="auto"/>
                <w:sz w:val="21"/>
                <w:szCs w:val="21"/>
                <w:highlight w:val="none"/>
                <w:lang w:val="en-US" w:eastAsia="zh-CN"/>
              </w:rPr>
              <w:t>计划</w:t>
            </w:r>
            <w:r>
              <w:rPr>
                <w:rFonts w:hint="default" w:ascii="Times New Roman" w:hAnsi="Times New Roman" w:eastAsia="宋体" w:cs="Times New Roman"/>
                <w:color w:val="auto"/>
                <w:sz w:val="21"/>
                <w:szCs w:val="21"/>
                <w:highlight w:val="none"/>
                <w:lang w:val="en-US" w:eastAsia="zh-CN"/>
              </w:rPr>
              <w:t>全面，对评审内容中的各项要求有详细描述；切合本项目实际情况，提出步骤清晰、合理的</w:t>
            </w:r>
            <w:r>
              <w:rPr>
                <w:rFonts w:hint="eastAsia" w:ascii="Times New Roman" w:hAnsi="Times New Roman" w:cs="Times New Roman"/>
                <w:color w:val="auto"/>
                <w:sz w:val="21"/>
                <w:szCs w:val="21"/>
                <w:highlight w:val="none"/>
                <w:lang w:val="en-US" w:eastAsia="zh-CN"/>
              </w:rPr>
              <w:t>计划</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计划</w:t>
            </w:r>
            <w:r>
              <w:rPr>
                <w:rFonts w:hint="default" w:ascii="Times New Roman" w:hAnsi="Times New Roman" w:eastAsia="宋体" w:cs="Times New Roman"/>
                <w:color w:val="auto"/>
                <w:sz w:val="21"/>
                <w:szCs w:val="21"/>
                <w:highlight w:val="none"/>
                <w:lang w:val="en-US" w:eastAsia="zh-CN"/>
              </w:rPr>
              <w:t>能够紧扣项目实际情况，内容科学合理。</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完全满足的得</w:t>
            </w: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分。每缺少一项或有一项不满足评审标准扣1分，扣完为止。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40" w:leftChars="0" w:hanging="40" w:hangingChars="19"/>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施工进度表或施工网络图</w:t>
            </w:r>
            <w:r>
              <w:rPr>
                <w:rFonts w:hint="default" w:ascii="Times New Roman" w:hAnsi="Times New Roman" w:cs="Times New Roman"/>
                <w:b/>
                <w:bCs/>
                <w:color w:val="auto"/>
                <w:sz w:val="21"/>
                <w:szCs w:val="21"/>
                <w:highlight w:val="none"/>
                <w:lang w:val="en-US" w:eastAsia="zh-CN"/>
              </w:rPr>
              <w:t>（4分）</w:t>
            </w:r>
            <w:r>
              <w:rPr>
                <w:rFonts w:hint="default" w:ascii="Times New Roman" w:hAnsi="Times New Roman" w:eastAsia="宋体" w:cs="Times New Roman"/>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Cs w:val="21"/>
                <w:highlight w:val="none"/>
                <w:lang w:val="en-US" w:eastAsia="zh-CN"/>
              </w:rPr>
              <w:t>供应商</w:t>
            </w:r>
            <w:r>
              <w:rPr>
                <w:rFonts w:hint="default" w:ascii="Times New Roman" w:hAnsi="Times New Roman" w:cs="Times New Roman"/>
                <w:color w:val="auto"/>
                <w:szCs w:val="21"/>
                <w:highlight w:val="none"/>
              </w:rPr>
              <w:t>应</w:t>
            </w:r>
            <w:r>
              <w:rPr>
                <w:rFonts w:hint="default" w:ascii="Times New Roman" w:hAnsi="Times New Roman" w:cs="Times New Roman"/>
                <w:color w:val="auto"/>
                <w:szCs w:val="21"/>
                <w:highlight w:val="none"/>
                <w:lang w:val="en-US" w:eastAsia="zh-CN"/>
              </w:rPr>
              <w:t>提供</w:t>
            </w:r>
            <w:r>
              <w:rPr>
                <w:rFonts w:hint="default" w:ascii="Times New Roman" w:hAnsi="Times New Roman" w:cs="Times New Roman"/>
                <w:color w:val="auto"/>
                <w:szCs w:val="21"/>
                <w:highlight w:val="none"/>
              </w:rPr>
              <w:t>施工进度网络图或施工进度表</w:t>
            </w:r>
            <w:r>
              <w:rPr>
                <w:rFonts w:hint="default" w:ascii="Times New Roman" w:hAnsi="Times New Roman" w:cs="Times New Roman"/>
                <w:color w:val="auto"/>
                <w:szCs w:val="21"/>
                <w:highlight w:val="none"/>
                <w:lang w:val="en-US" w:eastAsia="zh-CN"/>
              </w:rPr>
              <w:t>并</w:t>
            </w:r>
            <w:r>
              <w:rPr>
                <w:rFonts w:hint="default" w:ascii="Times New Roman" w:hAnsi="Times New Roman" w:cs="Times New Roman"/>
                <w:color w:val="auto"/>
                <w:szCs w:val="21"/>
                <w:highlight w:val="none"/>
              </w:rPr>
              <w:t>说明按</w:t>
            </w:r>
            <w:r>
              <w:rPr>
                <w:rFonts w:hint="default" w:ascii="Times New Roman" w:hAnsi="Times New Roman" w:cs="Times New Roman"/>
                <w:color w:val="auto"/>
                <w:szCs w:val="21"/>
                <w:highlight w:val="none"/>
                <w:lang w:val="en-US" w:eastAsia="zh-CN"/>
              </w:rPr>
              <w:t>磋商</w:t>
            </w:r>
            <w:r>
              <w:rPr>
                <w:rFonts w:hint="default" w:ascii="Times New Roman" w:hAnsi="Times New Roman" w:cs="Times New Roman"/>
                <w:color w:val="auto"/>
                <w:szCs w:val="21"/>
                <w:highlight w:val="none"/>
              </w:rPr>
              <w:t>文件要求的计划工期进行施工的各个关键日期</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施工进度表可采用网络图或横道图表示</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得4分，供应商未说明按磋商</w:t>
            </w:r>
            <w:r>
              <w:rPr>
                <w:rFonts w:hint="default" w:ascii="Times New Roman" w:hAnsi="Times New Roman" w:cs="Times New Roman"/>
                <w:color w:val="auto"/>
                <w:szCs w:val="21"/>
                <w:highlight w:val="none"/>
              </w:rPr>
              <w:t>文件要求的计划工期进行施工的各个关键日期</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kinsoku/>
              <w:wordWrap/>
              <w:overflowPunct/>
              <w:topLinePunct w:val="0"/>
              <w:bidi w:val="0"/>
              <w:adjustRightInd w:val="0"/>
              <w:snapToGrid w:val="0"/>
              <w:spacing w:before="157" w:beforeLines="50" w:line="360" w:lineRule="auto"/>
              <w:ind w:left="40" w:leftChars="0" w:hanging="40" w:hangingChars="19"/>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劳动力安排计划</w:t>
            </w:r>
            <w:r>
              <w:rPr>
                <w:rFonts w:hint="default" w:ascii="Times New Roman" w:hAnsi="Times New Roman" w:cs="Times New Roman"/>
                <w:b/>
                <w:bCs/>
                <w:color w:val="auto"/>
                <w:sz w:val="21"/>
                <w:szCs w:val="21"/>
                <w:highlight w:val="none"/>
                <w:lang w:val="en-US" w:eastAsia="zh-CN"/>
              </w:rPr>
              <w:t>（4分）</w:t>
            </w:r>
          </w:p>
          <w:p>
            <w:pPr>
              <w:keepNext w:val="0"/>
              <w:keepLines w:val="0"/>
              <w:pageBreakBefore w:val="0"/>
              <w:kinsoku/>
              <w:wordWrap/>
              <w:overflowPunct/>
              <w:topLinePunct w:val="0"/>
              <w:autoSpaceDE/>
              <w:autoSpaceDN/>
              <w:bidi w:val="0"/>
              <w:adjustRightInd/>
              <w:snapToGrid/>
              <w:spacing w:before="157" w:beforeLines="50" w:line="360" w:lineRule="auto"/>
              <w:ind w:left="0"/>
              <w:jc w:val="left"/>
              <w:textAlignment w:val="auto"/>
              <w:outlineLvl w:val="3"/>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劳动力安排计划包含但不限于：①劳动力安排②劳动力来源及进退场安排③员工培训④劳动力安排保障措施⑤劳动力安排计划表等内容。</w:t>
            </w:r>
          </w:p>
          <w:p>
            <w:pPr>
              <w:keepNext w:val="0"/>
              <w:keepLines w:val="0"/>
              <w:pageBreakBefore w:val="0"/>
              <w:kinsoku/>
              <w:wordWrap/>
              <w:overflowPunct/>
              <w:topLinePunct w:val="0"/>
              <w:autoSpaceDE/>
              <w:autoSpaceDN/>
              <w:bidi w:val="0"/>
              <w:adjustRightInd/>
              <w:snapToGrid/>
              <w:spacing w:before="157" w:beforeLines="50" w:line="360" w:lineRule="auto"/>
              <w:ind w:left="0"/>
              <w:jc w:val="both"/>
              <w:textAlignment w:val="auto"/>
              <w:outlineLvl w:val="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评审标准：</w:t>
            </w:r>
            <w:r>
              <w:rPr>
                <w:rFonts w:hint="eastAsia" w:ascii="Times New Roman" w:hAnsi="Times New Roman" w:cs="Times New Roman"/>
                <w:color w:val="auto"/>
                <w:sz w:val="21"/>
                <w:szCs w:val="21"/>
                <w:highlight w:val="none"/>
                <w:lang w:val="en-US" w:eastAsia="zh-CN"/>
              </w:rPr>
              <w:t>计划</w:t>
            </w:r>
            <w:r>
              <w:rPr>
                <w:rFonts w:hint="default" w:ascii="Times New Roman" w:hAnsi="Times New Roman" w:eastAsia="宋体" w:cs="Times New Roman"/>
                <w:color w:val="auto"/>
                <w:sz w:val="21"/>
                <w:szCs w:val="21"/>
                <w:highlight w:val="none"/>
                <w:lang w:val="en-US" w:eastAsia="zh-CN"/>
              </w:rPr>
              <w:t>全面，对评审内容中的各项要求有详细描述；切合本项目实际情况，提出步骤清晰、合理的</w:t>
            </w:r>
            <w:r>
              <w:rPr>
                <w:rFonts w:hint="eastAsia" w:ascii="Times New Roman" w:hAnsi="Times New Roman" w:cs="Times New Roman"/>
                <w:color w:val="auto"/>
                <w:sz w:val="21"/>
                <w:szCs w:val="21"/>
                <w:highlight w:val="none"/>
                <w:lang w:val="en-US" w:eastAsia="zh-CN"/>
              </w:rPr>
              <w:t>计划</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计划</w:t>
            </w:r>
            <w:r>
              <w:rPr>
                <w:rFonts w:hint="default" w:ascii="Times New Roman" w:hAnsi="Times New Roman" w:eastAsia="宋体" w:cs="Times New Roman"/>
                <w:color w:val="auto"/>
                <w:sz w:val="21"/>
                <w:szCs w:val="21"/>
                <w:highlight w:val="none"/>
                <w:lang w:val="en-US" w:eastAsia="zh-CN"/>
              </w:rPr>
              <w:t>能够紧扣项目实际情况，内容科学合理。</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完全满足的得</w:t>
            </w: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分。每缺少一项或有一项不满足评审标准扣</w:t>
            </w: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40" w:leftChars="-19"/>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施工总平面布置图</w:t>
            </w:r>
            <w:r>
              <w:rPr>
                <w:rFonts w:hint="default" w:ascii="Times New Roman" w:hAnsi="Times New Roman" w:cs="Times New Roman"/>
                <w:b/>
                <w:bCs/>
                <w:color w:val="auto"/>
                <w:sz w:val="21"/>
                <w:szCs w:val="21"/>
                <w:highlight w:val="none"/>
                <w:lang w:val="en-US" w:eastAsia="zh-CN"/>
              </w:rPr>
              <w:t>（7分）</w:t>
            </w:r>
            <w:r>
              <w:rPr>
                <w:rFonts w:hint="default" w:ascii="Times New Roman" w:hAnsi="Times New Roman" w:eastAsia="宋体"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before="157" w:beforeLines="50" w:line="360" w:lineRule="auto"/>
              <w:ind w:left="0"/>
              <w:jc w:val="left"/>
              <w:textAlignment w:val="auto"/>
              <w:outlineLvl w:val="3"/>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供应商</w:t>
            </w:r>
            <w:r>
              <w:rPr>
                <w:rFonts w:hint="default" w:ascii="Times New Roman" w:hAnsi="Times New Roman" w:eastAsia="宋体" w:cs="Times New Roman"/>
                <w:color w:val="auto"/>
                <w:kern w:val="2"/>
                <w:sz w:val="21"/>
                <w:szCs w:val="21"/>
                <w:highlight w:val="none"/>
                <w:lang w:val="en-US" w:eastAsia="zh-CN" w:bidi="ar-SA"/>
              </w:rPr>
              <w:t>针对本项目提供的施工总平面布置图包含但不限于：①施工总体部署②施工总工序安排③施工条件④施工现场用水、用电计划⑤物资准备⑥施工现场材料的堆放运输⑦资金准备⑧施工总平面布置⑨场内外交通组织安排⑩临时设施</w:t>
            </w:r>
            <w:r>
              <w:rPr>
                <w:rFonts w:hint="default" w:ascii="Times New Roman" w:hAnsi="Times New Roman" w:eastAsia="宋体" w:cs="Times New Roman"/>
                <w:color w:val="auto"/>
                <w:szCs w:val="21"/>
                <w:highlight w:val="none"/>
                <w:lang w:val="en-US" w:eastAsia="zh-CN"/>
              </w:rPr>
              <w:t>等内容。</w:t>
            </w:r>
          </w:p>
          <w:p>
            <w:pPr>
              <w:pStyle w:val="8"/>
              <w:keepNext w:val="0"/>
              <w:keepLines w:val="0"/>
              <w:pageBreakBefore w:val="0"/>
              <w:widowControl w:val="0"/>
              <w:kinsoku/>
              <w:wordWrap/>
              <w:overflowPunct/>
              <w:topLinePunct w:val="0"/>
              <w:autoSpaceDE/>
              <w:autoSpaceDN/>
              <w:bidi w:val="0"/>
              <w:spacing w:before="157" w:beforeLines="50" w:line="360" w:lineRule="auto"/>
              <w:ind w:left="0" w:lef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评审标准：</w:t>
            </w:r>
            <w:r>
              <w:rPr>
                <w:rFonts w:hint="eastAsia" w:ascii="Times New Roman" w:hAnsi="Times New Roman" w:cs="Times New Roman"/>
                <w:b/>
                <w:bCs/>
                <w:color w:val="auto"/>
                <w:sz w:val="21"/>
                <w:szCs w:val="21"/>
                <w:highlight w:val="none"/>
                <w:lang w:val="en-US" w:eastAsia="zh-CN"/>
              </w:rPr>
              <w:t>布置</w:t>
            </w:r>
            <w:r>
              <w:rPr>
                <w:rFonts w:hint="default" w:ascii="Times New Roman" w:hAnsi="Times New Roman" w:eastAsia="宋体" w:cs="Times New Roman"/>
                <w:color w:val="auto"/>
                <w:sz w:val="21"/>
                <w:szCs w:val="21"/>
                <w:highlight w:val="none"/>
                <w:lang w:val="en-US" w:eastAsia="zh-CN"/>
              </w:rPr>
              <w:t>全面，对评审内容中的各项要求有详细描述；切合本项目实际情况，提出步骤清晰、合理的</w:t>
            </w:r>
            <w:r>
              <w:rPr>
                <w:rFonts w:hint="eastAsia" w:ascii="Times New Roman" w:hAnsi="Times New Roman" w:cs="Times New Roman"/>
                <w:color w:val="auto"/>
                <w:sz w:val="21"/>
                <w:szCs w:val="21"/>
                <w:highlight w:val="none"/>
                <w:lang w:val="en-US" w:eastAsia="zh-CN"/>
              </w:rPr>
              <w:t>布置图</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布置图</w:t>
            </w:r>
            <w:r>
              <w:rPr>
                <w:rFonts w:hint="default" w:ascii="Times New Roman" w:hAnsi="Times New Roman" w:eastAsia="宋体" w:cs="Times New Roman"/>
                <w:color w:val="auto"/>
                <w:sz w:val="21"/>
                <w:szCs w:val="21"/>
                <w:highlight w:val="none"/>
                <w:lang w:val="en-US" w:eastAsia="zh-CN"/>
              </w:rPr>
              <w:t>能够紧扣项目实际情况，内容科学合理。</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完全满足的得</w:t>
            </w:r>
            <w:r>
              <w:rPr>
                <w:rFonts w:hint="default"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分。每缺少一项或有一项不满足评审标准扣</w:t>
            </w: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新材料新工艺（2分）</w:t>
            </w:r>
            <w:r>
              <w:rPr>
                <w:rFonts w:hint="default" w:ascii="Times New Roman" w:hAnsi="Times New Roman" w:eastAsia="宋体" w:cs="Times New Roman"/>
                <w:b/>
                <w:bCs/>
                <w:color w:val="auto"/>
                <w:sz w:val="21"/>
                <w:szCs w:val="21"/>
                <w:highlight w:val="none"/>
                <w:lang w:val="en-US" w:eastAsia="zh-CN"/>
              </w:rPr>
              <w:br w:type="textWrapping"/>
            </w:r>
            <w:r>
              <w:rPr>
                <w:rFonts w:hint="default" w:ascii="Times New Roman" w:hAnsi="Times New Roman" w:eastAsia="宋体" w:cs="Times New Roman"/>
                <w:color w:val="auto"/>
                <w:szCs w:val="21"/>
                <w:highlight w:val="none"/>
                <w:lang w:val="en-US" w:eastAsia="zh-CN"/>
              </w:rPr>
              <w:t>供应商</w:t>
            </w:r>
            <w:r>
              <w:rPr>
                <w:rFonts w:hint="default" w:ascii="Times New Roman" w:hAnsi="Times New Roman" w:eastAsia="宋体" w:cs="Times New Roman"/>
                <w:color w:val="auto"/>
                <w:kern w:val="2"/>
                <w:sz w:val="21"/>
                <w:szCs w:val="21"/>
                <w:highlight w:val="none"/>
                <w:lang w:val="en-US" w:eastAsia="zh-CN" w:bidi="ar-SA"/>
              </w:rPr>
              <w:t>针对本项目提供的</w:t>
            </w:r>
            <w:r>
              <w:rPr>
                <w:rFonts w:hint="default" w:ascii="Times New Roman" w:hAnsi="Times New Roman" w:eastAsia="宋体" w:cs="Times New Roman"/>
                <w:b/>
                <w:bCs/>
                <w:color w:val="auto"/>
                <w:sz w:val="21"/>
                <w:szCs w:val="21"/>
                <w:highlight w:val="none"/>
                <w:lang w:val="en-US" w:eastAsia="zh-CN"/>
              </w:rPr>
              <w:t>新材料新工艺包括但不限于：</w:t>
            </w:r>
            <w:r>
              <w:rPr>
                <w:rFonts w:hint="default" w:ascii="Times New Roman" w:hAnsi="Times New Roman" w:eastAsia="宋体" w:cs="Times New Roman"/>
                <w:color w:val="auto"/>
                <w:kern w:val="2"/>
                <w:sz w:val="21"/>
                <w:szCs w:val="21"/>
                <w:highlight w:val="none"/>
                <w:lang w:val="en-US" w:eastAsia="zh-CN" w:bidi="ar-SA"/>
              </w:rPr>
              <w:br w:type="textWrapping"/>
            </w:r>
            <w:r>
              <w:rPr>
                <w:rFonts w:hint="default" w:ascii="Times New Roman" w:hAnsi="Times New Roman" w:eastAsia="宋体" w:cs="Times New Roman"/>
                <w:color w:val="auto"/>
                <w:szCs w:val="21"/>
                <w:highlight w:val="none"/>
                <w:lang w:val="en-US" w:eastAsia="zh-CN"/>
              </w:rPr>
              <w:t>①新技术和新工艺②新产品和新材料的应用情况等内容。</w:t>
            </w:r>
            <w:r>
              <w:rPr>
                <w:rFonts w:hint="default" w:ascii="Times New Roman" w:hAnsi="Times New Roman" w:eastAsia="宋体" w:cs="Times New Roman"/>
                <w:color w:val="auto"/>
                <w:kern w:val="2"/>
                <w:sz w:val="21"/>
                <w:szCs w:val="21"/>
                <w:highlight w:val="none"/>
                <w:lang w:val="en-US" w:eastAsia="zh-CN" w:bidi="ar-SA"/>
              </w:rPr>
              <w:br w:type="textWrapping"/>
            </w:r>
            <w:r>
              <w:rPr>
                <w:rFonts w:hint="default" w:ascii="Times New Roman" w:hAnsi="Times New Roman" w:eastAsia="宋体" w:cs="Times New Roman"/>
                <w:b/>
                <w:bCs/>
                <w:color w:val="auto"/>
                <w:sz w:val="21"/>
                <w:szCs w:val="21"/>
                <w:highlight w:val="none"/>
                <w:lang w:val="en-US" w:eastAsia="zh-CN"/>
              </w:rPr>
              <w:t>评审标准：</w:t>
            </w:r>
            <w:r>
              <w:rPr>
                <w:rFonts w:hint="default" w:ascii="Times New Roman" w:hAnsi="Times New Roman" w:eastAsia="宋体" w:cs="Times New Roman"/>
                <w:color w:val="auto"/>
                <w:sz w:val="21"/>
                <w:szCs w:val="21"/>
                <w:highlight w:val="none"/>
                <w:lang w:val="en-US" w:eastAsia="zh-CN"/>
              </w:rPr>
              <w:t>方案全面，对评审内容中的各项要求有详细描述；切合本项目实际情况，提出步骤清晰、合理的方案；方案能够紧扣项目实际情况，内容科学合理。</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完全满足的得</w:t>
            </w: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分。每缺少一项或有一项不满足评审标准扣1分，扣完为止。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1187" w:type="dxa"/>
            <w:vMerge w:val="continue"/>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p>
        </w:tc>
        <w:tc>
          <w:tcPr>
            <w:tcW w:w="637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40" w:leftChars="-19"/>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宋体" w:cs="Times New Roman"/>
                <w:b/>
                <w:bCs/>
                <w:color w:val="auto"/>
                <w:sz w:val="21"/>
                <w:szCs w:val="21"/>
                <w:highlight w:val="none"/>
                <w:lang w:val="en-US" w:eastAsia="zh-CN"/>
              </w:rPr>
              <w:t>保修方案</w:t>
            </w:r>
            <w:r>
              <w:rPr>
                <w:rFonts w:hint="default" w:ascii="Times New Roman" w:hAnsi="Times New Roman" w:cs="Times New Roman"/>
                <w:b/>
                <w:bCs/>
                <w:color w:val="auto"/>
                <w:sz w:val="21"/>
                <w:szCs w:val="21"/>
                <w:highlight w:val="none"/>
                <w:lang w:val="en-US" w:eastAsia="zh-CN"/>
              </w:rPr>
              <w:t>（3分）</w:t>
            </w:r>
            <w:r>
              <w:rPr>
                <w:rFonts w:hint="default" w:ascii="Times New Roman" w:hAnsi="Times New Roman" w:eastAsia="宋体" w:cs="Times New Roman"/>
                <w:color w:val="auto"/>
                <w:sz w:val="21"/>
                <w:szCs w:val="21"/>
                <w:highlight w:val="none"/>
                <w:lang w:val="en-US" w:eastAsia="zh-CN"/>
              </w:rPr>
              <w:t>：</w:t>
            </w:r>
          </w:p>
          <w:p>
            <w:pPr>
              <w:keepNext w:val="0"/>
              <w:keepLines w:val="0"/>
              <w:pageBreakBefore w:val="0"/>
              <w:widowControl/>
              <w:tabs>
                <w:tab w:val="left" w:pos="547"/>
              </w:tabs>
              <w:kinsoku/>
              <w:wordWrap/>
              <w:overflowPunct/>
              <w:topLinePunct w:val="0"/>
              <w:autoSpaceDE w:val="0"/>
              <w:autoSpaceDN w:val="0"/>
              <w:bidi w:val="0"/>
              <w:adjustRightInd w:val="0"/>
              <w:snapToGrid/>
              <w:spacing w:before="157" w:beforeLines="50" w:line="360" w:lineRule="auto"/>
              <w:ind w:left="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供应商针对本项目提供的保修方案包含但不限于：①维护次数和维修费用②维修人员配备和服务措施③响应时间等内容。</w:t>
            </w:r>
            <w:r>
              <w:rPr>
                <w:rFonts w:hint="default" w:ascii="Times New Roman" w:hAnsi="Times New Roman" w:eastAsia="宋体" w:cs="Times New Roman"/>
                <w:color w:val="auto"/>
                <w:kern w:val="2"/>
                <w:sz w:val="21"/>
                <w:szCs w:val="21"/>
                <w:highlight w:val="none"/>
                <w:lang w:val="en-US" w:eastAsia="zh-CN" w:bidi="ar-SA"/>
              </w:rPr>
              <w:br w:type="textWrapping"/>
            </w:r>
            <w:r>
              <w:rPr>
                <w:rFonts w:hint="default" w:ascii="Times New Roman" w:hAnsi="Times New Roman" w:eastAsia="宋体" w:cs="Times New Roman"/>
                <w:b/>
                <w:bCs/>
                <w:color w:val="auto"/>
                <w:sz w:val="21"/>
                <w:szCs w:val="21"/>
                <w:highlight w:val="none"/>
                <w:lang w:val="en-US" w:eastAsia="zh-CN"/>
              </w:rPr>
              <w:t>评审标准：</w:t>
            </w:r>
            <w:r>
              <w:rPr>
                <w:rFonts w:hint="default" w:ascii="Times New Roman" w:hAnsi="Times New Roman" w:eastAsia="宋体" w:cs="Times New Roman"/>
                <w:color w:val="auto"/>
                <w:sz w:val="21"/>
                <w:szCs w:val="21"/>
                <w:highlight w:val="none"/>
                <w:lang w:val="en-US" w:eastAsia="zh-CN"/>
              </w:rPr>
              <w:t>方案全面，对评审内容中的各项要求有详细描述；切合本项目实际情况，提出步骤清晰、合理的方案；方案能够紧扣项目实际情况，内容科学合理。</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完全满足的得</w:t>
            </w: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分。每缺少一项或有一项不满足评审标准扣1分，扣完为止。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right"/>
        </w:trPr>
        <w:tc>
          <w:tcPr>
            <w:tcW w:w="1225" w:type="dxa"/>
            <w:vMerge w:val="continue"/>
            <w:vAlign w:val="center"/>
          </w:tcPr>
          <w:p>
            <w:pPr>
              <w:adjustRightInd w:val="0"/>
              <w:snapToGrid w:val="0"/>
              <w:spacing w:line="360" w:lineRule="auto"/>
              <w:jc w:val="center"/>
              <w:rPr>
                <w:rFonts w:hint="default" w:ascii="Times New Roman" w:hAnsi="Times New Roman" w:eastAsia="宋体" w:cs="Times New Roman"/>
                <w:color w:val="auto"/>
                <w:sz w:val="21"/>
                <w:szCs w:val="21"/>
                <w:highlight w:val="none"/>
              </w:rPr>
            </w:pPr>
          </w:p>
        </w:tc>
        <w:tc>
          <w:tcPr>
            <w:tcW w:w="7561" w:type="dxa"/>
            <w:gridSpan w:val="2"/>
            <w:vAlign w:val="center"/>
          </w:tcPr>
          <w:p>
            <w:pPr>
              <w:adjustRightInd w:val="0"/>
              <w:snapToGrid w:val="0"/>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以上评审项目有任何一项严重错误或漏项的相应项目得0分。</w:t>
            </w:r>
          </w:p>
        </w:tc>
      </w:tr>
    </w:tbl>
    <w:p>
      <w:pPr>
        <w:pStyle w:val="2"/>
        <w:bidi w:val="0"/>
        <w:jc w:val="both"/>
        <w:rPr>
          <w:rFonts w:hint="eastAsia" w:ascii="宋体" w:hAnsi="宋体" w:eastAsia="宋体" w:cs="宋体"/>
          <w:color w:val="auto"/>
          <w:sz w:val="32"/>
          <w:szCs w:val="15"/>
          <w:highlight w:val="none"/>
        </w:rPr>
      </w:pPr>
    </w:p>
    <w:p>
      <w:pPr>
        <w:rPr>
          <w:rFonts w:hint="eastAsia" w:ascii="宋体" w:hAnsi="宋体" w:eastAsia="宋体" w:cs="宋体"/>
          <w:color w:val="auto"/>
          <w:sz w:val="32"/>
          <w:szCs w:val="15"/>
          <w:highlight w:val="none"/>
        </w:rPr>
        <w:sectPr>
          <w:pgSz w:w="11906" w:h="16838"/>
          <w:pgMar w:top="1383" w:right="1417" w:bottom="1361" w:left="1800" w:header="1185" w:footer="1191" w:gutter="0"/>
          <w:pgBorders>
            <w:top w:val="none" w:sz="0" w:space="0"/>
            <w:left w:val="none" w:sz="0" w:space="0"/>
            <w:bottom w:val="none" w:sz="0" w:space="0"/>
            <w:right w:val="none" w:sz="0" w:space="0"/>
          </w:pgBorders>
          <w:pgNumType w:fmt="decimal"/>
          <w:cols w:space="720" w:num="1"/>
          <w:docGrid w:type="lines" w:linePitch="312" w:charSpace="0"/>
        </w:sectPr>
      </w:pPr>
    </w:p>
    <w:p>
      <w:pPr>
        <w:pStyle w:val="2"/>
        <w:tabs>
          <w:tab w:val="left" w:pos="1765"/>
        </w:tabs>
        <w:bidi w:val="0"/>
        <w:spacing w:afterAutospacing="0" w:line="240" w:lineRule="auto"/>
        <w:ind w:left="0" w:leftChars="0" w:right="0" w:rightChars="0" w:firstLine="0" w:firstLineChars="0"/>
        <w:jc w:val="left"/>
        <w:rPr>
          <w:rFonts w:hint="eastAsia" w:ascii="宋体" w:hAnsi="宋体" w:eastAsia="宋体" w:cs="宋体"/>
          <w:color w:val="auto"/>
          <w:sz w:val="32"/>
          <w:szCs w:val="15"/>
          <w:highlight w:val="none"/>
          <w:lang w:eastAsia="zh-CN"/>
        </w:rPr>
      </w:pPr>
      <w:bookmarkStart w:id="1080" w:name="_Toc28132"/>
    </w:p>
    <w:p>
      <w:pPr>
        <w:pStyle w:val="2"/>
        <w:bidi w:val="0"/>
        <w:spacing w:beforeAutospacing="0"/>
        <w:rPr>
          <w:color w:val="auto"/>
          <w:spacing w:val="-2"/>
          <w:sz w:val="52"/>
          <w:szCs w:val="52"/>
          <w:highlight w:val="none"/>
          <w14:textOutline w14:w="9461" w14:cap="sq" w14:cmpd="sng">
            <w14:solidFill>
              <w14:srgbClr w14:val="000000"/>
            </w14:solidFill>
            <w14:prstDash w14:val="solid"/>
            <w14:bevel/>
          </w14:textOutline>
        </w:rPr>
        <w:sectPr>
          <w:pgSz w:w="11906" w:h="16839"/>
          <w:pgMar w:top="1154" w:right="1417" w:bottom="1417" w:left="1803" w:header="863" w:footer="1191" w:gutter="0"/>
          <w:pgNumType w:fmt="decimal"/>
          <w:cols w:equalWidth="0" w:num="1">
            <w:col w:w="9767"/>
          </w:cols>
        </w:sectPr>
      </w:pPr>
      <w:r>
        <w:rPr>
          <w:rFonts w:hint="eastAsia" w:ascii="宋体" w:hAnsi="宋体" w:eastAsia="宋体" w:cs="宋体"/>
          <w:color w:val="auto"/>
          <w:sz w:val="32"/>
          <w:szCs w:val="15"/>
          <w:highlight w:val="none"/>
        </w:rPr>
        <w:t>第四章 合同条款</w:t>
      </w:r>
      <w:bookmarkEnd w:id="1074"/>
      <w:r>
        <w:rPr>
          <w:rFonts w:hint="eastAsia" w:ascii="宋体" w:hAnsi="宋体" w:eastAsia="宋体" w:cs="宋体"/>
          <w:color w:val="auto"/>
          <w:sz w:val="32"/>
          <w:szCs w:val="15"/>
          <w:highlight w:val="none"/>
        </w:rPr>
        <w:t>及合同文件格式</w:t>
      </w:r>
      <w:bookmarkEnd w:id="1075"/>
      <w:bookmarkEnd w:id="1076"/>
      <w:bookmarkEnd w:id="1077"/>
      <w:bookmarkEnd w:id="1078"/>
      <w:bookmarkEnd w:id="1079"/>
      <w:bookmarkEnd w:id="1080"/>
      <w:bookmarkStart w:id="1081" w:name="_Toc474770760"/>
      <w:bookmarkStart w:id="1082" w:name="_Toc6072"/>
      <w:bookmarkStart w:id="1083" w:name="_Toc6895"/>
      <w:bookmarkStart w:id="1084" w:name="_Toc510859905"/>
      <w:bookmarkStart w:id="1085" w:name="_Toc6545"/>
      <w:bookmarkStart w:id="1086" w:name="_Toc504605199"/>
    </w:p>
    <w:p>
      <w:pPr>
        <w:pStyle w:val="11"/>
        <w:spacing w:before="169" w:line="220" w:lineRule="auto"/>
        <w:rPr>
          <w:color w:val="auto"/>
          <w:spacing w:val="-2"/>
          <w:sz w:val="52"/>
          <w:szCs w:val="52"/>
          <w:highlight w:val="none"/>
          <w14:textOutline w14:w="9461" w14:cap="sq" w14:cmpd="sng">
            <w14:solidFill>
              <w14:srgbClr w14:val="000000"/>
            </w14:solidFill>
            <w14:prstDash w14:val="solid"/>
            <w14:bevel/>
          </w14:textOutline>
        </w:rPr>
      </w:pPr>
    </w:p>
    <w:p>
      <w:pPr>
        <w:pStyle w:val="11"/>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color w:val="auto"/>
          <w:sz w:val="52"/>
          <w:szCs w:val="52"/>
          <w:highlight w:val="none"/>
        </w:rPr>
      </w:pPr>
      <w:r>
        <w:rPr>
          <w:color w:val="auto"/>
          <w:spacing w:val="-2"/>
          <w:sz w:val="52"/>
          <w:szCs w:val="52"/>
          <w:highlight w:val="none"/>
          <w14:textOutline w14:w="9461" w14:cap="sq" w14:cmpd="sng">
            <w14:solidFill>
              <w14:srgbClr w14:val="000000"/>
            </w14:solidFill>
            <w14:prstDash w14:val="solid"/>
            <w14:bevel/>
          </w14:textOutline>
        </w:rPr>
        <w:t>建设工程施工合同</w:t>
      </w:r>
    </w:p>
    <w:p>
      <w:pPr>
        <w:pStyle w:val="11"/>
        <w:keepNext w:val="0"/>
        <w:keepLines w:val="0"/>
        <w:pageBreakBefore w:val="0"/>
        <w:widowControl w:val="0"/>
        <w:kinsoku/>
        <w:wordWrap/>
        <w:overflowPunct/>
        <w:topLinePunct w:val="0"/>
        <w:autoSpaceDE/>
        <w:autoSpaceDN/>
        <w:bidi w:val="0"/>
        <w:adjustRightInd/>
        <w:snapToGrid/>
        <w:spacing w:after="0" w:line="224" w:lineRule="auto"/>
        <w:ind w:left="0"/>
        <w:jc w:val="center"/>
        <w:textAlignment w:val="auto"/>
        <w:rPr>
          <w:color w:val="auto"/>
          <w:sz w:val="35"/>
          <w:szCs w:val="35"/>
          <w:highlight w:val="none"/>
        </w:rPr>
      </w:pPr>
      <w:r>
        <w:rPr>
          <w:color w:val="auto"/>
          <w:spacing w:val="3"/>
          <w:sz w:val="35"/>
          <w:szCs w:val="35"/>
          <w:highlight w:val="none"/>
        </w:rPr>
        <w:t>（示范文本）</w:t>
      </w: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2"/>
        <w:rPr>
          <w:color w:val="auto"/>
          <w:highlight w:val="none"/>
        </w:rPr>
      </w:pPr>
    </w:p>
    <w:p>
      <w:pPr>
        <w:spacing w:before="1"/>
        <w:rPr>
          <w:color w:val="auto"/>
          <w:highlight w:val="none"/>
        </w:rPr>
      </w:pPr>
    </w:p>
    <w:p>
      <w:pPr>
        <w:spacing w:before="1"/>
        <w:rPr>
          <w:color w:val="auto"/>
          <w:highlight w:val="none"/>
        </w:rPr>
      </w:pPr>
    </w:p>
    <w:p>
      <w:pPr>
        <w:spacing w:before="1"/>
        <w:rPr>
          <w:color w:val="auto"/>
          <w:highlight w:val="none"/>
        </w:rPr>
      </w:pPr>
    </w:p>
    <w:p>
      <w:pPr>
        <w:spacing w:before="1"/>
        <w:rPr>
          <w:color w:val="auto"/>
          <w:highlight w:val="none"/>
        </w:rPr>
      </w:pPr>
    </w:p>
    <w:p>
      <w:pPr>
        <w:spacing w:before="1"/>
        <w:rPr>
          <w:color w:val="auto"/>
          <w:highlight w:val="none"/>
        </w:rPr>
      </w:pPr>
    </w:p>
    <w:p>
      <w:pPr>
        <w:rPr>
          <w:color w:val="auto"/>
          <w:highlight w:val="none"/>
        </w:rPr>
        <w:sectPr>
          <w:footerReference r:id="rId8" w:type="default"/>
          <w:pgSz w:w="11906" w:h="16839"/>
          <w:pgMar w:top="1154" w:right="1417" w:bottom="1417" w:left="1803" w:header="863" w:footer="1191" w:gutter="0"/>
          <w:pgNumType w:fmt="decimal"/>
          <w:cols w:equalWidth="0" w:num="1">
            <w:col w:w="9767"/>
          </w:cols>
        </w:sectPr>
      </w:pPr>
    </w:p>
    <w:p>
      <w:pPr>
        <w:pStyle w:val="11"/>
        <w:spacing w:before="73" w:line="218" w:lineRule="auto"/>
        <w:ind w:right="299"/>
        <w:jc w:val="center"/>
        <w:rPr>
          <w:color w:val="auto"/>
          <w:sz w:val="35"/>
          <w:szCs w:val="35"/>
          <w:highlight w:val="none"/>
        </w:rPr>
      </w:pPr>
      <w:r>
        <w:rPr>
          <w:rFonts w:hint="eastAsia"/>
          <w:color w:val="auto"/>
          <w:spacing w:val="-8"/>
          <w:sz w:val="35"/>
          <w:szCs w:val="35"/>
          <w:highlight w:val="none"/>
          <w:lang w:val="en-US" w:eastAsia="zh-CN"/>
          <w14:textOutline w14:w="6537" w14:cap="sq" w14:cmpd="sng">
            <w14:solidFill>
              <w14:srgbClr w14:val="000000"/>
            </w14:solidFill>
            <w14:prstDash w14:val="solid"/>
            <w14:bevel/>
          </w14:textOutline>
        </w:rPr>
        <w:t xml:space="preserve">          </w:t>
      </w:r>
      <w:r>
        <w:rPr>
          <w:color w:val="auto"/>
          <w:spacing w:val="-8"/>
          <w:sz w:val="35"/>
          <w:szCs w:val="35"/>
          <w:highlight w:val="none"/>
          <w14:textOutline w14:w="6537" w14:cap="sq" w14:cmpd="sng">
            <w14:solidFill>
              <w14:srgbClr w14:val="000000"/>
            </w14:solidFill>
            <w14:prstDash w14:val="solid"/>
            <w14:bevel/>
          </w14:textOutline>
        </w:rPr>
        <w:t>住</w:t>
      </w:r>
      <w:r>
        <w:rPr>
          <w:color w:val="auto"/>
          <w:spacing w:val="-57"/>
          <w:sz w:val="35"/>
          <w:szCs w:val="35"/>
          <w:highlight w:val="none"/>
        </w:rPr>
        <w:t xml:space="preserve"> </w:t>
      </w:r>
      <w:r>
        <w:rPr>
          <w:color w:val="auto"/>
          <w:spacing w:val="-8"/>
          <w:sz w:val="35"/>
          <w:szCs w:val="35"/>
          <w:highlight w:val="none"/>
          <w14:textOutline w14:w="6537" w14:cap="sq" w14:cmpd="sng">
            <w14:solidFill>
              <w14:srgbClr w14:val="000000"/>
            </w14:solidFill>
            <w14:prstDash w14:val="solid"/>
            <w14:bevel/>
          </w14:textOutline>
        </w:rPr>
        <w:t>房</w:t>
      </w:r>
      <w:r>
        <w:rPr>
          <w:color w:val="auto"/>
          <w:spacing w:val="-57"/>
          <w:sz w:val="35"/>
          <w:szCs w:val="35"/>
          <w:highlight w:val="none"/>
        </w:rPr>
        <w:t xml:space="preserve"> </w:t>
      </w:r>
      <w:r>
        <w:rPr>
          <w:color w:val="auto"/>
          <w:spacing w:val="-8"/>
          <w:sz w:val="35"/>
          <w:szCs w:val="35"/>
          <w:highlight w:val="none"/>
          <w14:textOutline w14:w="6537" w14:cap="sq" w14:cmpd="sng">
            <w14:solidFill>
              <w14:srgbClr w14:val="000000"/>
            </w14:solidFill>
            <w14:prstDash w14:val="solid"/>
            <w14:bevel/>
          </w14:textOutline>
        </w:rPr>
        <w:t>和</w:t>
      </w:r>
      <w:r>
        <w:rPr>
          <w:color w:val="auto"/>
          <w:spacing w:val="-58"/>
          <w:sz w:val="35"/>
          <w:szCs w:val="35"/>
          <w:highlight w:val="none"/>
        </w:rPr>
        <w:t xml:space="preserve"> </w:t>
      </w:r>
      <w:r>
        <w:rPr>
          <w:color w:val="auto"/>
          <w:spacing w:val="-8"/>
          <w:sz w:val="35"/>
          <w:szCs w:val="35"/>
          <w:highlight w:val="none"/>
          <w14:textOutline w14:w="6537" w14:cap="sq" w14:cmpd="sng">
            <w14:solidFill>
              <w14:srgbClr w14:val="000000"/>
            </w14:solidFill>
            <w14:prstDash w14:val="solid"/>
            <w14:bevel/>
          </w14:textOutline>
        </w:rPr>
        <w:t>城</w:t>
      </w:r>
      <w:r>
        <w:rPr>
          <w:color w:val="auto"/>
          <w:spacing w:val="-42"/>
          <w:sz w:val="35"/>
          <w:szCs w:val="35"/>
          <w:highlight w:val="none"/>
        </w:rPr>
        <w:t xml:space="preserve"> </w:t>
      </w:r>
      <w:r>
        <w:rPr>
          <w:color w:val="auto"/>
          <w:spacing w:val="-8"/>
          <w:sz w:val="35"/>
          <w:szCs w:val="35"/>
          <w:highlight w:val="none"/>
          <w14:textOutline w14:w="6537" w14:cap="sq" w14:cmpd="sng">
            <w14:solidFill>
              <w14:srgbClr w14:val="000000"/>
            </w14:solidFill>
            <w14:prstDash w14:val="solid"/>
            <w14:bevel/>
          </w14:textOutline>
        </w:rPr>
        <w:t>乡</w:t>
      </w:r>
      <w:r>
        <w:rPr>
          <w:color w:val="auto"/>
          <w:spacing w:val="-53"/>
          <w:sz w:val="35"/>
          <w:szCs w:val="35"/>
          <w:highlight w:val="none"/>
        </w:rPr>
        <w:t xml:space="preserve"> </w:t>
      </w:r>
      <w:r>
        <w:rPr>
          <w:color w:val="auto"/>
          <w:spacing w:val="-8"/>
          <w:sz w:val="35"/>
          <w:szCs w:val="35"/>
          <w:highlight w:val="none"/>
          <w14:textOutline w14:w="6537" w14:cap="sq" w14:cmpd="sng">
            <w14:solidFill>
              <w14:srgbClr w14:val="000000"/>
            </w14:solidFill>
            <w14:prstDash w14:val="solid"/>
            <w14:bevel/>
          </w14:textOutline>
        </w:rPr>
        <w:t>建</w:t>
      </w:r>
      <w:r>
        <w:rPr>
          <w:color w:val="auto"/>
          <w:spacing w:val="-50"/>
          <w:sz w:val="35"/>
          <w:szCs w:val="35"/>
          <w:highlight w:val="none"/>
        </w:rPr>
        <w:t xml:space="preserve"> </w:t>
      </w:r>
      <w:r>
        <w:rPr>
          <w:color w:val="auto"/>
          <w:spacing w:val="-8"/>
          <w:sz w:val="35"/>
          <w:szCs w:val="35"/>
          <w:highlight w:val="none"/>
          <w14:textOutline w14:w="6537" w14:cap="sq" w14:cmpd="sng">
            <w14:solidFill>
              <w14:srgbClr w14:val="000000"/>
            </w14:solidFill>
            <w14:prstDash w14:val="solid"/>
            <w14:bevel/>
          </w14:textOutline>
        </w:rPr>
        <w:t>设</w:t>
      </w:r>
      <w:r>
        <w:rPr>
          <w:color w:val="auto"/>
          <w:spacing w:val="-53"/>
          <w:sz w:val="35"/>
          <w:szCs w:val="35"/>
          <w:highlight w:val="none"/>
        </w:rPr>
        <w:t xml:space="preserve"> </w:t>
      </w:r>
      <w:r>
        <w:rPr>
          <w:color w:val="auto"/>
          <w:spacing w:val="-8"/>
          <w:sz w:val="35"/>
          <w:szCs w:val="35"/>
          <w:highlight w:val="none"/>
          <w14:textOutline w14:w="6537" w14:cap="sq" w14:cmpd="sng">
            <w14:solidFill>
              <w14:srgbClr w14:val="000000"/>
            </w14:solidFill>
            <w14:prstDash w14:val="solid"/>
            <w14:bevel/>
          </w14:textOutline>
        </w:rPr>
        <w:t>部</w:t>
      </w:r>
    </w:p>
    <w:p>
      <w:pPr>
        <w:pStyle w:val="11"/>
        <w:spacing w:before="73" w:line="218" w:lineRule="auto"/>
        <w:ind w:right="299"/>
        <w:jc w:val="center"/>
        <w:rPr>
          <w:color w:val="auto"/>
          <w:sz w:val="35"/>
          <w:szCs w:val="35"/>
          <w:highlight w:val="none"/>
        </w:rPr>
      </w:pPr>
      <w:r>
        <w:rPr>
          <w:rFonts w:hint="eastAsia"/>
          <w:color w:val="auto"/>
          <w:spacing w:val="4"/>
          <w:sz w:val="35"/>
          <w:szCs w:val="35"/>
          <w:highlight w:val="none"/>
          <w:lang w:val="en-US" w:eastAsia="zh-CN"/>
          <w14:textOutline w14:w="6374" w14:cap="sq" w14:cmpd="sng">
            <w14:solidFill>
              <w14:srgbClr w14:val="000000"/>
            </w14:solidFill>
            <w14:prstDash w14:val="solid"/>
            <w14:bevel/>
          </w14:textOutline>
        </w:rPr>
        <w:t xml:space="preserve">          </w:t>
      </w:r>
      <w:r>
        <w:rPr>
          <w:color w:val="auto"/>
          <w:spacing w:val="4"/>
          <w:sz w:val="35"/>
          <w:szCs w:val="35"/>
          <w:highlight w:val="none"/>
          <w14:textOutline w14:w="6374" w14:cap="sq" w14:cmpd="sng">
            <w14:solidFill>
              <w14:srgbClr w14:val="000000"/>
            </w14:solidFill>
            <w14:prstDash w14:val="solid"/>
            <w14:bevel/>
          </w14:textOutline>
        </w:rPr>
        <w:t>国家工商行政管理总局</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pStyle w:val="11"/>
        <w:spacing w:before="349" w:line="225" w:lineRule="auto"/>
        <w:rPr>
          <w:color w:val="auto"/>
          <w:sz w:val="35"/>
          <w:szCs w:val="35"/>
          <w:highlight w:val="none"/>
        </w:rPr>
      </w:pPr>
      <w:r>
        <w:rPr>
          <w:color w:val="auto"/>
          <w:spacing w:val="3"/>
          <w:sz w:val="35"/>
          <w:szCs w:val="35"/>
          <w:highlight w:val="none"/>
          <w14:textOutline w14:w="6537" w14:cap="sq" w14:cmpd="sng">
            <w14:solidFill>
              <w14:srgbClr w14:val="000000"/>
            </w14:solidFill>
            <w14:prstDash w14:val="solid"/>
            <w14:bevel/>
          </w14:textOutline>
        </w:rPr>
        <w:t>制定</w:t>
      </w:r>
    </w:p>
    <w:p>
      <w:pPr>
        <w:spacing w:line="225" w:lineRule="auto"/>
        <w:rPr>
          <w:color w:val="auto"/>
          <w:sz w:val="35"/>
          <w:szCs w:val="35"/>
          <w:highlight w:val="none"/>
        </w:rPr>
        <w:sectPr>
          <w:type w:val="continuous"/>
          <w:pgSz w:w="11906" w:h="16839"/>
          <w:pgMar w:top="1154" w:right="1059" w:bottom="0" w:left="1080" w:header="863" w:footer="0" w:gutter="0"/>
          <w:pgNumType w:fmt="decimal"/>
          <w:cols w:equalWidth="0" w:num="2">
            <w:col w:w="6955" w:space="100"/>
            <w:col w:w="2713"/>
          </w:cols>
        </w:sectPr>
      </w:pPr>
    </w:p>
    <w:p>
      <w:pPr>
        <w:spacing w:line="215" w:lineRule="auto"/>
        <w:rPr>
          <w:rFonts w:ascii="Times New Roman" w:hAnsi="Times New Roman" w:eastAsia="Times New Roman" w:cs="Times New Roman"/>
          <w:color w:val="auto"/>
          <w:sz w:val="18"/>
          <w:szCs w:val="18"/>
          <w:highlight w:val="none"/>
        </w:rPr>
        <w:sectPr>
          <w:type w:val="continuous"/>
          <w:pgSz w:w="11906" w:h="16839"/>
          <w:pgMar w:top="1154" w:right="1059" w:bottom="1191" w:left="1080" w:header="863" w:footer="0" w:gutter="0"/>
          <w:pgNumType w:fmt="decimal"/>
          <w:cols w:equalWidth="0" w:num="1">
            <w:col w:w="9767"/>
          </w:cols>
        </w:sectPr>
      </w:pPr>
    </w:p>
    <w:p>
      <w:pPr>
        <w:pStyle w:val="11"/>
        <w:spacing w:before="91" w:line="219" w:lineRule="auto"/>
        <w:jc w:val="center"/>
        <w:outlineLvl w:val="1"/>
        <w:rPr>
          <w:color w:val="auto"/>
          <w:sz w:val="28"/>
          <w:szCs w:val="28"/>
          <w:highlight w:val="none"/>
        </w:rPr>
      </w:pPr>
      <w:r>
        <w:rPr>
          <w:color w:val="auto"/>
          <w:spacing w:val="-1"/>
          <w:sz w:val="28"/>
          <w:szCs w:val="28"/>
          <w:highlight w:val="none"/>
          <w14:textOutline w14:w="5103" w14:cap="sq" w14:cmpd="sng">
            <w14:solidFill>
              <w14:srgbClr w14:val="000000"/>
            </w14:solidFill>
            <w14:prstDash w14:val="solid"/>
            <w14:bevel/>
          </w14:textOutline>
        </w:rPr>
        <w:t>第一部分</w:t>
      </w:r>
      <w:r>
        <w:rPr>
          <w:color w:val="auto"/>
          <w:spacing w:val="-1"/>
          <w:sz w:val="28"/>
          <w:szCs w:val="28"/>
          <w:highlight w:val="none"/>
        </w:rPr>
        <w:t xml:space="preserve">  </w:t>
      </w:r>
      <w:r>
        <w:rPr>
          <w:color w:val="auto"/>
          <w:spacing w:val="-1"/>
          <w:sz w:val="28"/>
          <w:szCs w:val="28"/>
          <w:highlight w:val="none"/>
          <w14:textOutline w14:w="5103" w14:cap="sq" w14:cmpd="sng">
            <w14:solidFill>
              <w14:srgbClr w14:val="000000"/>
            </w14:solidFill>
            <w14:prstDash w14:val="solid"/>
            <w14:bevel/>
          </w14:textOutline>
        </w:rPr>
        <w:t>合同协议书</w:t>
      </w:r>
    </w:p>
    <w:p>
      <w:pPr>
        <w:pStyle w:val="11"/>
        <w:keepNext w:val="0"/>
        <w:keepLines w:val="0"/>
        <w:pageBreakBefore w:val="0"/>
        <w:widowControl w:val="0"/>
        <w:kinsoku/>
        <w:wordWrap/>
        <w:overflowPunct/>
        <w:topLinePunct w:val="0"/>
        <w:autoSpaceDE/>
        <w:autoSpaceDN/>
        <w:bidi w:val="0"/>
        <w:adjustRightInd/>
        <w:snapToGrid/>
        <w:spacing w:after="0" w:line="360" w:lineRule="auto"/>
        <w:ind w:left="1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发包人（全称</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9"/>
          <w:sz w:val="24"/>
          <w:szCs w:val="24"/>
          <w:highlight w:val="none"/>
          <w:u w:val="single" w:color="auto"/>
        </w:rPr>
        <w:t xml:space="preserve">   </w:t>
      </w:r>
      <w:r>
        <w:rPr>
          <w:rFonts w:hint="eastAsia" w:asciiTheme="minorEastAsia" w:hAnsiTheme="minorEastAsia" w:eastAsiaTheme="minorEastAsia" w:cstheme="minorEastAsia"/>
          <w:color w:val="auto"/>
          <w:spacing w:val="-4"/>
          <w:sz w:val="24"/>
          <w:szCs w:val="24"/>
          <w:highlight w:val="none"/>
          <w:u w:val="single" w:color="auto"/>
        </w:rPr>
        <w:t>陕西咸阳中学</w:t>
      </w:r>
      <w:r>
        <w:rPr>
          <w:rFonts w:hint="eastAsia" w:asciiTheme="minorEastAsia" w:hAnsiTheme="minorEastAsia" w:eastAsiaTheme="minorEastAsia" w:cstheme="minorEastAsia"/>
          <w:color w:val="auto"/>
          <w:sz w:val="24"/>
          <w:szCs w:val="24"/>
          <w:highlight w:val="none"/>
          <w:u w:val="single" w:color="auto"/>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承包人（全称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依照《中华人民共和国民法典》、《中华人民共和国建筑法》及其他有关法律、</w:t>
      </w:r>
      <w:r>
        <w:rPr>
          <w:rFonts w:hint="eastAsia" w:asciiTheme="minorEastAsia" w:hAnsiTheme="minorEastAsia" w:eastAsiaTheme="minorEastAsia" w:cstheme="minorEastAsia"/>
          <w:color w:val="auto"/>
          <w:spacing w:val="-8"/>
          <w:sz w:val="24"/>
          <w:szCs w:val="24"/>
          <w:highlight w:val="none"/>
        </w:rPr>
        <w:t>行政法规，</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遵循平等、</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自愿、公平和诚实信用的原则，双方就</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u w:val="single" w:color="auto"/>
        </w:rPr>
        <w:t xml:space="preserve">            </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工程施工及有关事</w:t>
      </w:r>
      <w:r>
        <w:rPr>
          <w:rFonts w:hint="eastAsia" w:asciiTheme="minorEastAsia" w:hAnsiTheme="minorEastAsia" w:eastAsiaTheme="minorEastAsia" w:cstheme="minorEastAsia"/>
          <w:color w:val="auto"/>
          <w:spacing w:val="-1"/>
          <w:sz w:val="24"/>
          <w:szCs w:val="24"/>
          <w:highlight w:val="none"/>
        </w:rPr>
        <w:t>项协商一致，共同达成如下协议：</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4358" w14:cap="sq" w14:cmpd="sng">
            <w14:solidFill>
              <w14:srgbClr w14:val="000000"/>
            </w14:solidFill>
            <w14:prstDash w14:val="solid"/>
            <w14:bevel/>
          </w14:textOutline>
        </w:rPr>
        <w:t>一、工程概况</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1.工程名称：</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u w:val="single" w:color="auto"/>
          <w:lang w:val="en-US" w:eastAsia="zh-CN"/>
        </w:rPr>
        <w:t>陕西咸阳中学远航楼、怡然楼、雅舍楼卫生间及管网改造工程</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2.工程地点：</w:t>
      </w:r>
      <w:r>
        <w:rPr>
          <w:rFonts w:hint="eastAsia" w:asciiTheme="minorEastAsia" w:hAnsiTheme="minorEastAsia" w:eastAsiaTheme="minorEastAsia" w:cstheme="minorEastAsia"/>
          <w:color w:val="auto"/>
          <w:spacing w:val="-1"/>
          <w:sz w:val="24"/>
          <w:szCs w:val="24"/>
          <w:highlight w:val="none"/>
          <w:u w:val="single" w:color="auto"/>
        </w:rPr>
        <w:t xml:space="preserve"> 咸阳市渭城区东风路</w:t>
      </w:r>
      <w:r>
        <w:rPr>
          <w:rFonts w:hint="eastAsia" w:asciiTheme="minorEastAsia" w:hAnsiTheme="minorEastAsia" w:eastAsiaTheme="minorEastAsia" w:cstheme="minorEastAsia"/>
          <w:color w:val="auto"/>
          <w:spacing w:val="-46"/>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u w:val="single" w:color="auto"/>
        </w:rPr>
        <w:t>34</w:t>
      </w:r>
      <w:r>
        <w:rPr>
          <w:rFonts w:hint="eastAsia" w:asciiTheme="minorEastAsia" w:hAnsiTheme="minorEastAsia" w:eastAsiaTheme="minorEastAsia" w:cstheme="minorEastAsia"/>
          <w:color w:val="auto"/>
          <w:spacing w:val="-45"/>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u w:val="single" w:color="auto"/>
        </w:rPr>
        <w:t xml:space="preserve">号咸阳中学 </w:t>
      </w:r>
      <w:r>
        <w:rPr>
          <w:rFonts w:hint="eastAsia" w:asciiTheme="minorEastAsia" w:hAnsiTheme="minorEastAsia" w:eastAsiaTheme="minorEastAsia" w:cstheme="minorEastAsia"/>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4"/>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3.工程立项批准文号：</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7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4.资金来源：</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1" w:firstLine="476"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5.工程内容：</w:t>
      </w:r>
      <w:r>
        <w:rPr>
          <w:rFonts w:hint="eastAsia" w:asciiTheme="minorEastAsia" w:hAnsiTheme="minorEastAsia" w:eastAsiaTheme="minorEastAsia" w:cstheme="minorEastAsia"/>
          <w:color w:val="auto"/>
          <w:sz w:val="24"/>
          <w:szCs w:val="24"/>
          <w:highlight w:val="none"/>
          <w:u w:val="single"/>
          <w:lang w:val="en-US" w:eastAsia="zh-CN"/>
        </w:rPr>
        <w:t>主要内容包括远航楼、怡然楼、雅舍楼卫生间给排水管网进行改造；更换各楼卫生器具、卫生间格挡改造、墙面和地面贴砖、屋顶粉刷等</w:t>
      </w:r>
      <w:r>
        <w:rPr>
          <w:rFonts w:hint="eastAsia" w:asciiTheme="minorEastAsia" w:hAnsiTheme="minorEastAsia" w:eastAsiaTheme="minorEastAsia" w:cstheme="minorEastAsia"/>
          <w:color w:val="auto"/>
          <w:spacing w:val="-1"/>
          <w:sz w:val="24"/>
          <w:szCs w:val="24"/>
          <w:highlight w:val="none"/>
          <w:u w:val="single" w:color="auto"/>
        </w:rPr>
        <w:t xml:space="preserve"> </w:t>
      </w:r>
      <w:r>
        <w:rPr>
          <w:rFonts w:hint="eastAsia" w:asciiTheme="minorEastAsia" w:hAnsiTheme="minorEastAsia" w:eastAsiaTheme="minorEastAsia" w:cstheme="minorEastAsia"/>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6.工程承包范围：</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主要内容包括远航楼、怡然楼、雅舍楼卫生间给排水管网进行改造；更换各楼卫生器具、卫生间格挡改造、墙面和地面贴砖、屋顶粉刷等</w:t>
      </w:r>
      <w:r>
        <w:rPr>
          <w:rFonts w:hint="eastAsia" w:asciiTheme="minorEastAsia" w:hAnsiTheme="minorEastAsia" w:eastAsiaTheme="minorEastAsia" w:cstheme="minorEastAsia"/>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二、合同工期</w:t>
      </w:r>
    </w:p>
    <w:p>
      <w:pPr>
        <w:pStyle w:val="11"/>
        <w:keepNext w:val="0"/>
        <w:keepLines w:val="0"/>
        <w:pageBreakBefore w:val="0"/>
        <w:widowControl w:val="0"/>
        <w:kinsoku/>
        <w:wordWrap/>
        <w:overflowPunct/>
        <w:topLinePunct w:val="0"/>
        <w:autoSpaceDE/>
        <w:autoSpaceDN/>
        <w:bidi w:val="0"/>
        <w:adjustRightInd/>
        <w:snapToGrid/>
        <w:spacing w:line="360" w:lineRule="auto"/>
        <w:ind w:left="467"/>
        <w:textAlignment w:val="auto"/>
        <w:rPr>
          <w:color w:val="auto"/>
          <w:sz w:val="24"/>
          <w:szCs w:val="24"/>
          <w:highlight w:val="none"/>
        </w:rPr>
      </w:pPr>
      <w:r>
        <w:rPr>
          <w:color w:val="auto"/>
          <w:spacing w:val="-6"/>
          <w:sz w:val="24"/>
          <w:szCs w:val="24"/>
          <w:highlight w:val="none"/>
        </w:rPr>
        <w:t>计划开工日期：</w:t>
      </w:r>
      <w:r>
        <w:rPr>
          <w:color w:val="auto"/>
          <w:spacing w:val="1"/>
          <w:sz w:val="24"/>
          <w:szCs w:val="24"/>
          <w:highlight w:val="none"/>
          <w:u w:val="single" w:color="auto"/>
        </w:rPr>
        <w:t xml:space="preserve">          </w:t>
      </w:r>
      <w:r>
        <w:rPr>
          <w:color w:val="auto"/>
          <w:spacing w:val="-105"/>
          <w:sz w:val="24"/>
          <w:szCs w:val="24"/>
          <w:highlight w:val="none"/>
        </w:rPr>
        <w:t xml:space="preserve"> </w:t>
      </w:r>
      <w:r>
        <w:rPr>
          <w:color w:val="auto"/>
          <w:spacing w:val="-6"/>
          <w:sz w:val="24"/>
          <w:szCs w:val="24"/>
          <w:highlight w:val="none"/>
        </w:rPr>
        <w:t>年</w:t>
      </w:r>
      <w:r>
        <w:rPr>
          <w:color w:val="auto"/>
          <w:spacing w:val="-6"/>
          <w:sz w:val="24"/>
          <w:szCs w:val="24"/>
          <w:highlight w:val="none"/>
          <w:u w:val="single" w:color="auto"/>
        </w:rPr>
        <w:t xml:space="preserve">      </w:t>
      </w:r>
      <w:r>
        <w:rPr>
          <w:color w:val="auto"/>
          <w:spacing w:val="-104"/>
          <w:sz w:val="24"/>
          <w:szCs w:val="24"/>
          <w:highlight w:val="none"/>
        </w:rPr>
        <w:t xml:space="preserve"> </w:t>
      </w:r>
      <w:r>
        <w:rPr>
          <w:color w:val="auto"/>
          <w:spacing w:val="-6"/>
          <w:sz w:val="24"/>
          <w:szCs w:val="24"/>
          <w:highlight w:val="none"/>
        </w:rPr>
        <w:t>月</w:t>
      </w:r>
      <w:r>
        <w:rPr>
          <w:color w:val="auto"/>
          <w:spacing w:val="23"/>
          <w:sz w:val="24"/>
          <w:szCs w:val="24"/>
          <w:highlight w:val="none"/>
          <w:u w:val="single" w:color="auto"/>
        </w:rPr>
        <w:t xml:space="preserve">     </w:t>
      </w:r>
      <w:r>
        <w:rPr>
          <w:color w:val="auto"/>
          <w:spacing w:val="-65"/>
          <w:sz w:val="24"/>
          <w:szCs w:val="24"/>
          <w:highlight w:val="none"/>
        </w:rPr>
        <w:t xml:space="preserve"> </w:t>
      </w:r>
      <w:r>
        <w:rPr>
          <w:color w:val="auto"/>
          <w:spacing w:val="-6"/>
          <w:sz w:val="24"/>
          <w:szCs w:val="24"/>
          <w:highlight w:val="none"/>
        </w:rPr>
        <w:t>日。</w:t>
      </w:r>
    </w:p>
    <w:p>
      <w:pPr>
        <w:pStyle w:val="11"/>
        <w:keepNext w:val="0"/>
        <w:keepLines w:val="0"/>
        <w:pageBreakBefore w:val="0"/>
        <w:widowControl w:val="0"/>
        <w:kinsoku/>
        <w:wordWrap/>
        <w:overflowPunct/>
        <w:topLinePunct w:val="0"/>
        <w:autoSpaceDE/>
        <w:autoSpaceDN/>
        <w:bidi w:val="0"/>
        <w:adjustRightInd/>
        <w:snapToGrid/>
        <w:spacing w:line="360" w:lineRule="auto"/>
        <w:ind w:left="467"/>
        <w:textAlignment w:val="auto"/>
        <w:rPr>
          <w:color w:val="auto"/>
          <w:sz w:val="24"/>
          <w:szCs w:val="24"/>
          <w:highlight w:val="none"/>
        </w:rPr>
      </w:pPr>
      <w:r>
        <w:rPr>
          <w:color w:val="auto"/>
          <w:spacing w:val="-6"/>
          <w:sz w:val="24"/>
          <w:szCs w:val="24"/>
          <w:highlight w:val="none"/>
        </w:rPr>
        <w:t>计划竣工日期：</w:t>
      </w:r>
      <w:r>
        <w:rPr>
          <w:color w:val="auto"/>
          <w:spacing w:val="1"/>
          <w:sz w:val="24"/>
          <w:szCs w:val="24"/>
          <w:highlight w:val="none"/>
          <w:u w:val="single" w:color="auto"/>
        </w:rPr>
        <w:t xml:space="preserve">          </w:t>
      </w:r>
      <w:r>
        <w:rPr>
          <w:color w:val="auto"/>
          <w:spacing w:val="-105"/>
          <w:sz w:val="24"/>
          <w:szCs w:val="24"/>
          <w:highlight w:val="none"/>
        </w:rPr>
        <w:t xml:space="preserve"> </w:t>
      </w:r>
      <w:r>
        <w:rPr>
          <w:color w:val="auto"/>
          <w:spacing w:val="-6"/>
          <w:sz w:val="24"/>
          <w:szCs w:val="24"/>
          <w:highlight w:val="none"/>
        </w:rPr>
        <w:t>年</w:t>
      </w:r>
      <w:r>
        <w:rPr>
          <w:color w:val="auto"/>
          <w:spacing w:val="-6"/>
          <w:sz w:val="24"/>
          <w:szCs w:val="24"/>
          <w:highlight w:val="none"/>
          <w:u w:val="single" w:color="auto"/>
        </w:rPr>
        <w:t xml:space="preserve">      </w:t>
      </w:r>
      <w:r>
        <w:rPr>
          <w:color w:val="auto"/>
          <w:spacing w:val="-104"/>
          <w:sz w:val="24"/>
          <w:szCs w:val="24"/>
          <w:highlight w:val="none"/>
        </w:rPr>
        <w:t xml:space="preserve"> </w:t>
      </w:r>
      <w:r>
        <w:rPr>
          <w:color w:val="auto"/>
          <w:spacing w:val="-6"/>
          <w:sz w:val="24"/>
          <w:szCs w:val="24"/>
          <w:highlight w:val="none"/>
        </w:rPr>
        <w:t>月</w:t>
      </w:r>
      <w:r>
        <w:rPr>
          <w:color w:val="auto"/>
          <w:spacing w:val="23"/>
          <w:sz w:val="24"/>
          <w:szCs w:val="24"/>
          <w:highlight w:val="none"/>
          <w:u w:val="single" w:color="auto"/>
        </w:rPr>
        <w:t xml:space="preserve">     </w:t>
      </w:r>
      <w:r>
        <w:rPr>
          <w:color w:val="auto"/>
          <w:spacing w:val="-65"/>
          <w:sz w:val="24"/>
          <w:szCs w:val="24"/>
          <w:highlight w:val="none"/>
        </w:rPr>
        <w:t xml:space="preserve"> </w:t>
      </w:r>
      <w:r>
        <w:rPr>
          <w:color w:val="auto"/>
          <w:spacing w:val="-6"/>
          <w:sz w:val="24"/>
          <w:szCs w:val="24"/>
          <w:highlight w:val="none"/>
        </w:rPr>
        <w:t>日。</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firstLine="482"/>
        <w:jc w:val="both"/>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工期总日历天数：60 日历天。工期总日历天数与根据前述计划开竣工日期计算的工期天数不一致的，以工期总日历天数为准。</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firstLine="482"/>
        <w:jc w:val="both"/>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具体开工时间以发包人通知的进场时间为准，完工日期以总工期推算。施工单位应无条件配合，根据发包单位要求，及时进场施工。</w:t>
      </w:r>
    </w:p>
    <w:p>
      <w:pPr>
        <w:pStyle w:val="11"/>
        <w:keepNext w:val="0"/>
        <w:keepLines w:val="0"/>
        <w:pageBreakBefore w:val="0"/>
        <w:widowControl w:val="0"/>
        <w:kinsoku/>
        <w:wordWrap/>
        <w:overflowPunct/>
        <w:topLinePunct w:val="0"/>
        <w:autoSpaceDE/>
        <w:autoSpaceDN/>
        <w:bidi w:val="0"/>
        <w:adjustRightInd/>
        <w:snapToGrid/>
        <w:spacing w:line="360" w:lineRule="auto"/>
        <w:ind w:left="489"/>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三、质量标准</w:t>
      </w:r>
    </w:p>
    <w:p>
      <w:pPr>
        <w:pStyle w:val="11"/>
        <w:keepNext w:val="0"/>
        <w:keepLines w:val="0"/>
        <w:pageBreakBefore w:val="0"/>
        <w:widowControl w:val="0"/>
        <w:kinsoku/>
        <w:wordWrap/>
        <w:overflowPunct/>
        <w:topLinePunct w:val="0"/>
        <w:autoSpaceDE/>
        <w:autoSpaceDN/>
        <w:bidi w:val="0"/>
        <w:adjustRightInd/>
        <w:snapToGrid/>
        <w:spacing w:line="360" w:lineRule="auto"/>
        <w:ind w:left="492"/>
        <w:textAlignment w:val="auto"/>
        <w:rPr>
          <w:color w:val="auto"/>
          <w:sz w:val="24"/>
          <w:szCs w:val="24"/>
          <w:highlight w:val="none"/>
        </w:rPr>
      </w:pPr>
      <w:r>
        <w:rPr>
          <w:color w:val="auto"/>
          <w:spacing w:val="-1"/>
          <w:sz w:val="24"/>
          <w:szCs w:val="24"/>
          <w:highlight w:val="none"/>
        </w:rPr>
        <w:t>工程质量标准：</w:t>
      </w:r>
      <w:r>
        <w:rPr>
          <w:color w:val="auto"/>
          <w:spacing w:val="-1"/>
          <w:sz w:val="24"/>
          <w:szCs w:val="24"/>
          <w:highlight w:val="none"/>
          <w:u w:val="single" w:color="auto"/>
        </w:rPr>
        <w:t xml:space="preserve"> </w:t>
      </w:r>
      <w:r>
        <w:rPr>
          <w:rFonts w:hint="eastAsia"/>
          <w:color w:val="auto"/>
          <w:spacing w:val="-1"/>
          <w:sz w:val="24"/>
          <w:szCs w:val="24"/>
          <w:highlight w:val="none"/>
          <w:u w:val="single" w:color="auto"/>
          <w:lang w:val="en-US" w:eastAsia="zh-CN"/>
        </w:rPr>
        <w:t>达到国家现行验收规范“合格”标准</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11"/>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四、签约合同价及合同价格形式</w:t>
      </w:r>
    </w:p>
    <w:p>
      <w:pPr>
        <w:pStyle w:val="11"/>
        <w:keepNext w:val="0"/>
        <w:keepLines w:val="0"/>
        <w:pageBreakBefore w:val="0"/>
        <w:widowControl w:val="0"/>
        <w:kinsoku/>
        <w:wordWrap/>
        <w:overflowPunct/>
        <w:topLinePunct w:val="0"/>
        <w:autoSpaceDE/>
        <w:autoSpaceDN/>
        <w:bidi w:val="0"/>
        <w:adjustRightInd/>
        <w:snapToGrid/>
        <w:spacing w:line="360" w:lineRule="auto"/>
        <w:ind w:left="485"/>
        <w:textAlignment w:val="auto"/>
        <w:rPr>
          <w:color w:val="auto"/>
          <w:sz w:val="24"/>
          <w:szCs w:val="24"/>
          <w:highlight w:val="none"/>
        </w:rPr>
      </w:pPr>
      <w:r>
        <w:rPr>
          <w:color w:val="auto"/>
          <w:spacing w:val="-4"/>
          <w:sz w:val="24"/>
          <w:szCs w:val="24"/>
          <w:highlight w:val="none"/>
        </w:rPr>
        <w:t>1.签约合同价为：</w:t>
      </w:r>
    </w:p>
    <w:p>
      <w:pPr>
        <w:pStyle w:val="11"/>
        <w:keepNext w:val="0"/>
        <w:keepLines w:val="0"/>
        <w:pageBreakBefore w:val="0"/>
        <w:widowControl w:val="0"/>
        <w:kinsoku/>
        <w:wordWrap/>
        <w:overflowPunct/>
        <w:topLinePunct w:val="0"/>
        <w:autoSpaceDE/>
        <w:autoSpaceDN/>
        <w:bidi w:val="0"/>
        <w:adjustRightInd/>
        <w:snapToGrid/>
        <w:spacing w:line="360" w:lineRule="auto"/>
        <w:ind w:left="611"/>
        <w:textAlignment w:val="auto"/>
        <w:rPr>
          <w:color w:val="auto"/>
          <w:sz w:val="24"/>
          <w:szCs w:val="24"/>
          <w:highlight w:val="none"/>
        </w:rPr>
      </w:pPr>
      <w:r>
        <w:rPr>
          <w:color w:val="auto"/>
          <w:spacing w:val="-7"/>
          <w:sz w:val="24"/>
          <w:szCs w:val="24"/>
          <w:highlight w:val="none"/>
        </w:rPr>
        <w:t>人民币（大写）</w:t>
      </w:r>
      <w:r>
        <w:rPr>
          <w:color w:val="auto"/>
          <w:sz w:val="24"/>
          <w:szCs w:val="24"/>
          <w:highlight w:val="none"/>
          <w:u w:val="single" w:color="auto"/>
        </w:rPr>
        <w:t xml:space="preserve">               </w:t>
      </w:r>
      <w:r>
        <w:rPr>
          <w:color w:val="auto"/>
          <w:spacing w:val="-60"/>
          <w:sz w:val="24"/>
          <w:szCs w:val="24"/>
          <w:highlight w:val="none"/>
        </w:rPr>
        <w:t xml:space="preserve"> </w:t>
      </w:r>
      <w:r>
        <w:rPr>
          <w:color w:val="auto"/>
          <w:spacing w:val="-7"/>
          <w:sz w:val="24"/>
          <w:szCs w:val="24"/>
          <w:highlight w:val="none"/>
        </w:rPr>
        <w:t>(¥</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7"/>
          <w:sz w:val="24"/>
          <w:szCs w:val="24"/>
          <w:highlight w:val="none"/>
        </w:rPr>
        <w:t>元)；</w:t>
      </w:r>
    </w:p>
    <w:p>
      <w:pPr>
        <w:rPr>
          <w:color w:val="auto"/>
          <w:highlight w:val="none"/>
        </w:rPr>
        <w:sectPr>
          <w:headerReference r:id="rId9" w:type="default"/>
          <w:pgSz w:w="11906" w:h="16839"/>
          <w:pgMar w:top="1154" w:right="1587" w:bottom="1191" w:left="1803" w:header="1417" w:footer="1191" w:gutter="0"/>
          <w:pgNumType w:fmt="decimal"/>
          <w:cols w:equalWidth="0" w:num="1">
            <w:col w:w="9767"/>
          </w:cols>
        </w:sectPr>
      </w:pPr>
    </w:p>
    <w:p>
      <w:pPr>
        <w:pStyle w:val="11"/>
        <w:spacing w:before="48" w:line="220" w:lineRule="auto"/>
        <w:ind w:left="490"/>
        <w:rPr>
          <w:color w:val="auto"/>
          <w:sz w:val="24"/>
          <w:szCs w:val="24"/>
          <w:highlight w:val="none"/>
        </w:rPr>
      </w:pPr>
      <w:r>
        <w:rPr>
          <w:color w:val="auto"/>
          <w:spacing w:val="-4"/>
          <w:sz w:val="24"/>
          <w:szCs w:val="24"/>
          <w:highlight w:val="none"/>
        </w:rPr>
        <w:t>其中：</w:t>
      </w:r>
    </w:p>
    <w:p>
      <w:pPr>
        <w:pStyle w:val="11"/>
        <w:spacing w:before="182" w:line="219" w:lineRule="auto"/>
        <w:ind w:left="500"/>
        <w:rPr>
          <w:color w:val="auto"/>
          <w:sz w:val="24"/>
          <w:szCs w:val="24"/>
          <w:highlight w:val="none"/>
        </w:rPr>
      </w:pPr>
      <w:r>
        <w:rPr>
          <w:color w:val="auto"/>
          <w:spacing w:val="-2"/>
          <w:sz w:val="24"/>
          <w:szCs w:val="24"/>
          <w:highlight w:val="none"/>
        </w:rPr>
        <w:t>（1）安全文明施工费：</w:t>
      </w:r>
    </w:p>
    <w:p>
      <w:pPr>
        <w:pStyle w:val="11"/>
        <w:spacing w:before="180" w:line="360" w:lineRule="auto"/>
        <w:ind w:left="1091"/>
        <w:rPr>
          <w:color w:val="auto"/>
          <w:sz w:val="24"/>
          <w:szCs w:val="24"/>
          <w:highlight w:val="none"/>
        </w:rPr>
      </w:pPr>
      <w:r>
        <w:rPr>
          <w:color w:val="auto"/>
          <w:spacing w:val="-2"/>
          <w:sz w:val="24"/>
          <w:szCs w:val="24"/>
          <w:highlight w:val="none"/>
        </w:rPr>
        <w:t>人民币（大写）</w:t>
      </w:r>
      <w:r>
        <w:rPr>
          <w:color w:val="auto"/>
          <w:sz w:val="24"/>
          <w:szCs w:val="24"/>
          <w:highlight w:val="none"/>
          <w:u w:val="single" w:color="auto"/>
        </w:rPr>
        <w:t xml:space="preserve">              </w:t>
      </w:r>
    </w:p>
    <w:p>
      <w:pPr>
        <w:pStyle w:val="11"/>
        <w:spacing w:before="1" w:line="217" w:lineRule="auto"/>
        <w:ind w:left="500"/>
        <w:rPr>
          <w:color w:val="auto"/>
          <w:sz w:val="24"/>
          <w:szCs w:val="24"/>
          <w:highlight w:val="none"/>
        </w:rPr>
      </w:pPr>
      <w:r>
        <w:rPr>
          <w:color w:val="auto"/>
          <w:spacing w:val="-2"/>
          <w:sz w:val="24"/>
          <w:szCs w:val="24"/>
          <w:highlight w:val="none"/>
        </w:rPr>
        <w:t>（2）材料和工程设备暂估价金额：</w:t>
      </w:r>
    </w:p>
    <w:p>
      <w:pPr>
        <w:pStyle w:val="11"/>
        <w:spacing w:before="182" w:line="360" w:lineRule="auto"/>
        <w:ind w:left="1091"/>
        <w:rPr>
          <w:color w:val="auto"/>
          <w:sz w:val="24"/>
          <w:szCs w:val="24"/>
          <w:highlight w:val="none"/>
        </w:rPr>
      </w:pPr>
      <w:r>
        <w:rPr>
          <w:color w:val="auto"/>
          <w:spacing w:val="-2"/>
          <w:sz w:val="24"/>
          <w:szCs w:val="24"/>
          <w:highlight w:val="none"/>
        </w:rPr>
        <w:t>人民币（大写）</w:t>
      </w:r>
      <w:r>
        <w:rPr>
          <w:color w:val="auto"/>
          <w:sz w:val="24"/>
          <w:szCs w:val="24"/>
          <w:highlight w:val="none"/>
          <w:u w:val="single" w:color="auto"/>
        </w:rPr>
        <w:t xml:space="preserve">              </w:t>
      </w:r>
    </w:p>
    <w:p>
      <w:pPr>
        <w:pStyle w:val="11"/>
        <w:spacing w:before="1" w:line="217" w:lineRule="auto"/>
        <w:ind w:left="500"/>
        <w:rPr>
          <w:color w:val="auto"/>
          <w:sz w:val="24"/>
          <w:szCs w:val="24"/>
          <w:highlight w:val="none"/>
        </w:rPr>
      </w:pPr>
      <w:r>
        <w:rPr>
          <w:color w:val="auto"/>
          <w:spacing w:val="-2"/>
          <w:sz w:val="24"/>
          <w:szCs w:val="24"/>
          <w:highlight w:val="none"/>
        </w:rPr>
        <w:t>（3）专业工程暂估价金额：</w:t>
      </w:r>
    </w:p>
    <w:p>
      <w:pPr>
        <w:pStyle w:val="11"/>
        <w:spacing w:before="182" w:line="360" w:lineRule="auto"/>
        <w:ind w:left="1091"/>
        <w:rPr>
          <w:rFonts w:ascii="Arial"/>
          <w:color w:val="auto"/>
          <w:sz w:val="21"/>
          <w:highlight w:val="none"/>
        </w:rPr>
      </w:pPr>
      <w:r>
        <w:rPr>
          <w:color w:val="auto"/>
          <w:spacing w:val="-2"/>
          <w:sz w:val="24"/>
          <w:szCs w:val="24"/>
          <w:highlight w:val="none"/>
        </w:rPr>
        <w:t>人民币（大写）</w:t>
      </w:r>
      <w:r>
        <w:rPr>
          <w:color w:val="auto"/>
          <w:sz w:val="24"/>
          <w:szCs w:val="24"/>
          <w:highlight w:val="none"/>
          <w:u w:val="single" w:color="auto"/>
        </w:rPr>
        <w:t xml:space="preserve">             </w:t>
      </w:r>
    </w:p>
    <w:p>
      <w:pPr>
        <w:pStyle w:val="11"/>
        <w:spacing w:line="219" w:lineRule="auto"/>
        <w:ind w:left="500"/>
        <w:rPr>
          <w:color w:val="auto"/>
          <w:sz w:val="24"/>
          <w:szCs w:val="24"/>
          <w:highlight w:val="none"/>
        </w:rPr>
      </w:pPr>
      <w:r>
        <w:rPr>
          <w:color w:val="auto"/>
          <w:spacing w:val="-3"/>
          <w:sz w:val="24"/>
          <w:szCs w:val="24"/>
          <w:highlight w:val="none"/>
        </w:rPr>
        <w:t>（4）暂列金额：</w:t>
      </w:r>
    </w:p>
    <w:p>
      <w:pPr>
        <w:pStyle w:val="11"/>
        <w:keepNext w:val="0"/>
        <w:keepLines/>
        <w:pageBreakBefore w:val="0"/>
        <w:widowControl w:val="0"/>
        <w:kinsoku/>
        <w:wordWrap/>
        <w:overflowPunct/>
        <w:topLinePunct w:val="0"/>
        <w:autoSpaceDE/>
        <w:autoSpaceDN/>
        <w:bidi w:val="0"/>
        <w:adjustRightInd/>
        <w:snapToGrid/>
        <w:spacing w:before="183" w:line="184" w:lineRule="auto"/>
        <w:ind w:left="1091"/>
        <w:textAlignment w:val="auto"/>
        <w:rPr>
          <w:color w:val="auto"/>
          <w:sz w:val="24"/>
          <w:szCs w:val="24"/>
          <w:highlight w:val="none"/>
        </w:rPr>
      </w:pPr>
      <w:r>
        <w:rPr>
          <w:color w:val="auto"/>
          <w:spacing w:val="-2"/>
          <w:sz w:val="24"/>
          <w:szCs w:val="24"/>
          <w:highlight w:val="none"/>
        </w:rPr>
        <w:t>人民币（大写）</w:t>
      </w:r>
      <w:r>
        <w:rPr>
          <w:color w:val="auto"/>
          <w:sz w:val="24"/>
          <w:szCs w:val="24"/>
          <w:highlight w:val="none"/>
          <w:u w:val="single" w:color="auto"/>
        </w:rPr>
        <w:t xml:space="preserve">              </w:t>
      </w:r>
    </w:p>
    <w:p>
      <w:pPr>
        <w:keepNext w:val="0"/>
        <w:keepLines/>
        <w:pageBreakBefore w:val="0"/>
        <w:widowControl w:val="0"/>
        <w:kinsoku/>
        <w:wordWrap/>
        <w:overflowPunct/>
        <w:topLinePunct w:val="0"/>
        <w:autoSpaceDE/>
        <w:autoSpaceDN/>
        <w:bidi w:val="0"/>
        <w:adjustRightInd/>
        <w:snapToGrid/>
        <w:spacing w:line="14" w:lineRule="auto"/>
        <w:textAlignment w:val="auto"/>
        <w:rPr>
          <w:rFonts w:ascii="Arial"/>
          <w:color w:val="auto"/>
          <w:sz w:val="2"/>
          <w:highlight w:val="none"/>
        </w:rPr>
      </w:pPr>
      <w:r>
        <w:rPr>
          <w:rFonts w:ascii="Arial" w:hAnsi="Arial" w:eastAsia="Arial" w:cs="Arial"/>
          <w:color w:val="auto"/>
          <w:sz w:val="2"/>
          <w:szCs w:val="2"/>
          <w:highlight w:val="none"/>
        </w:rPr>
        <w:br w:type="column"/>
      </w:r>
    </w:p>
    <w:p>
      <w:pPr>
        <w:pStyle w:val="11"/>
        <w:keepNext w:val="0"/>
        <w:keepLines/>
        <w:pageBreakBefore w:val="0"/>
        <w:widowControl w:val="0"/>
        <w:kinsoku/>
        <w:wordWrap/>
        <w:overflowPunct/>
        <w:topLinePunct w:val="0"/>
        <w:autoSpaceDE/>
        <w:autoSpaceDN/>
        <w:bidi w:val="0"/>
        <w:adjustRightInd/>
        <w:snapToGrid/>
        <w:textAlignment w:val="auto"/>
        <w:rPr>
          <w:color w:val="auto"/>
          <w:sz w:val="24"/>
          <w:szCs w:val="24"/>
          <w:highlight w:val="none"/>
        </w:rPr>
      </w:pPr>
    </w:p>
    <w:p>
      <w:pPr>
        <w:pStyle w:val="11"/>
        <w:spacing w:line="219" w:lineRule="auto"/>
        <w:ind w:left="500"/>
        <w:rPr>
          <w:color w:val="auto"/>
          <w:spacing w:val="-13"/>
          <w:sz w:val="24"/>
          <w:szCs w:val="24"/>
          <w:highlight w:val="none"/>
        </w:rPr>
      </w:pPr>
    </w:p>
    <w:p>
      <w:pPr>
        <w:pStyle w:val="11"/>
        <w:spacing w:line="219" w:lineRule="auto"/>
        <w:ind w:left="500"/>
        <w:rPr>
          <w:color w:val="auto"/>
          <w:spacing w:val="-13"/>
          <w:sz w:val="24"/>
          <w:szCs w:val="24"/>
          <w:highlight w:val="none"/>
        </w:rPr>
      </w:pPr>
    </w:p>
    <w:p>
      <w:pPr>
        <w:pStyle w:val="11"/>
        <w:spacing w:line="219" w:lineRule="auto"/>
        <w:rPr>
          <w:color w:val="auto"/>
          <w:spacing w:val="-3"/>
          <w:sz w:val="24"/>
          <w:szCs w:val="24"/>
          <w:highlight w:val="none"/>
        </w:rPr>
      </w:pPr>
      <w:r>
        <w:rPr>
          <w:color w:val="auto"/>
          <w:spacing w:val="-13"/>
          <w:sz w:val="24"/>
          <w:szCs w:val="24"/>
          <w:highlight w:val="none"/>
        </w:rPr>
        <w:t>(¥</w:t>
      </w:r>
      <w:r>
        <w:rPr>
          <w:color w:val="auto"/>
          <w:sz w:val="24"/>
          <w:szCs w:val="24"/>
          <w:highlight w:val="none"/>
          <w:u w:val="single" w:color="auto"/>
        </w:rPr>
        <w:t xml:space="preserve">          </w:t>
      </w:r>
      <w:r>
        <w:rPr>
          <w:color w:val="auto"/>
          <w:spacing w:val="-108"/>
          <w:sz w:val="24"/>
          <w:szCs w:val="24"/>
          <w:highlight w:val="none"/>
        </w:rPr>
        <w:t xml:space="preserve"> </w:t>
      </w:r>
      <w:r>
        <w:rPr>
          <w:color w:val="auto"/>
          <w:spacing w:val="-13"/>
          <w:sz w:val="24"/>
          <w:szCs w:val="24"/>
          <w:highlight w:val="none"/>
        </w:rPr>
        <w:t>元)。</w:t>
      </w:r>
    </w:p>
    <w:p>
      <w:pPr>
        <w:keepNext w:val="0"/>
        <w:keepLines/>
        <w:pageBreakBefore w:val="0"/>
        <w:widowControl w:val="0"/>
        <w:kinsoku/>
        <w:wordWrap/>
        <w:overflowPunct/>
        <w:topLinePunct w:val="0"/>
        <w:autoSpaceDE/>
        <w:autoSpaceDN/>
        <w:bidi w:val="0"/>
        <w:adjustRightInd/>
        <w:snapToGrid/>
        <w:textAlignment w:val="auto"/>
        <w:rPr>
          <w:color w:val="auto"/>
          <w:sz w:val="24"/>
          <w:szCs w:val="24"/>
          <w:highlight w:val="none"/>
        </w:rPr>
      </w:pPr>
    </w:p>
    <w:p>
      <w:pPr>
        <w:pStyle w:val="11"/>
        <w:rPr>
          <w:color w:val="auto"/>
          <w:sz w:val="24"/>
          <w:szCs w:val="24"/>
          <w:highlight w:val="none"/>
        </w:rPr>
      </w:pPr>
    </w:p>
    <w:p>
      <w:pPr>
        <w:pStyle w:val="11"/>
        <w:keepNext w:val="0"/>
        <w:keepLines/>
        <w:pageBreakBefore w:val="0"/>
        <w:widowControl w:val="0"/>
        <w:kinsoku/>
        <w:wordWrap/>
        <w:overflowPunct/>
        <w:topLinePunct w:val="0"/>
        <w:autoSpaceDE/>
        <w:autoSpaceDN/>
        <w:bidi w:val="0"/>
        <w:adjustRightInd/>
        <w:snapToGrid/>
        <w:spacing w:before="78" w:line="220" w:lineRule="auto"/>
        <w:textAlignment w:val="auto"/>
        <w:rPr>
          <w:color w:val="auto"/>
          <w:sz w:val="24"/>
          <w:szCs w:val="24"/>
          <w:highlight w:val="none"/>
        </w:rPr>
      </w:pPr>
      <w:r>
        <w:rPr>
          <w:color w:val="auto"/>
          <w:spacing w:val="-13"/>
          <w:sz w:val="24"/>
          <w:szCs w:val="24"/>
          <w:highlight w:val="none"/>
        </w:rPr>
        <w:t>(¥</w:t>
      </w:r>
      <w:r>
        <w:rPr>
          <w:color w:val="auto"/>
          <w:sz w:val="24"/>
          <w:szCs w:val="24"/>
          <w:highlight w:val="none"/>
          <w:u w:val="single" w:color="auto"/>
        </w:rPr>
        <w:t xml:space="preserve">          </w:t>
      </w:r>
      <w:r>
        <w:rPr>
          <w:color w:val="auto"/>
          <w:spacing w:val="-108"/>
          <w:sz w:val="24"/>
          <w:szCs w:val="24"/>
          <w:highlight w:val="none"/>
        </w:rPr>
        <w:t xml:space="preserve"> </w:t>
      </w:r>
      <w:r>
        <w:rPr>
          <w:color w:val="auto"/>
          <w:spacing w:val="-13"/>
          <w:sz w:val="24"/>
          <w:szCs w:val="24"/>
          <w:highlight w:val="none"/>
        </w:rPr>
        <w:t>元)；</w:t>
      </w:r>
    </w:p>
    <w:p>
      <w:pPr>
        <w:rPr>
          <w:color w:val="auto"/>
          <w:sz w:val="24"/>
          <w:szCs w:val="24"/>
          <w:highlight w:val="none"/>
        </w:rPr>
      </w:pPr>
    </w:p>
    <w:p>
      <w:pPr>
        <w:pStyle w:val="11"/>
        <w:rPr>
          <w:color w:val="auto"/>
          <w:sz w:val="24"/>
          <w:szCs w:val="24"/>
          <w:highlight w:val="none"/>
        </w:rPr>
      </w:pPr>
      <w:r>
        <w:rPr>
          <w:color w:val="auto"/>
          <w:spacing w:val="-13"/>
          <w:sz w:val="24"/>
          <w:szCs w:val="24"/>
          <w:highlight w:val="none"/>
        </w:rPr>
        <w:t>(¥</w:t>
      </w:r>
      <w:r>
        <w:rPr>
          <w:color w:val="auto"/>
          <w:sz w:val="24"/>
          <w:szCs w:val="24"/>
          <w:highlight w:val="none"/>
          <w:u w:val="single" w:color="auto"/>
        </w:rPr>
        <w:t xml:space="preserve">          </w:t>
      </w:r>
      <w:r>
        <w:rPr>
          <w:color w:val="auto"/>
          <w:spacing w:val="-108"/>
          <w:sz w:val="24"/>
          <w:szCs w:val="24"/>
          <w:highlight w:val="none"/>
        </w:rPr>
        <w:t xml:space="preserve"> </w:t>
      </w:r>
      <w:r>
        <w:rPr>
          <w:color w:val="auto"/>
          <w:spacing w:val="-13"/>
          <w:sz w:val="24"/>
          <w:szCs w:val="24"/>
          <w:highlight w:val="none"/>
        </w:rPr>
        <w:t>元)；</w:t>
      </w:r>
    </w:p>
    <w:p>
      <w:pPr>
        <w:pStyle w:val="11"/>
        <w:keepNext w:val="0"/>
        <w:keepLines/>
        <w:pageBreakBefore w:val="0"/>
        <w:widowControl w:val="0"/>
        <w:kinsoku/>
        <w:wordWrap/>
        <w:overflowPunct/>
        <w:topLinePunct w:val="0"/>
        <w:autoSpaceDE/>
        <w:autoSpaceDN/>
        <w:bidi w:val="0"/>
        <w:adjustRightInd/>
        <w:snapToGrid/>
        <w:spacing w:before="78" w:line="220" w:lineRule="auto"/>
        <w:textAlignment w:val="auto"/>
        <w:rPr>
          <w:color w:val="auto"/>
          <w:sz w:val="24"/>
          <w:szCs w:val="24"/>
          <w:highlight w:val="none"/>
        </w:rPr>
      </w:pPr>
    </w:p>
    <w:p>
      <w:pPr>
        <w:rPr>
          <w:color w:val="auto"/>
          <w:sz w:val="24"/>
          <w:szCs w:val="24"/>
          <w:highlight w:val="none"/>
        </w:rPr>
      </w:pPr>
    </w:p>
    <w:p>
      <w:pPr>
        <w:pStyle w:val="11"/>
        <w:keepNext w:val="0"/>
        <w:keepLines/>
        <w:pageBreakBefore w:val="0"/>
        <w:widowControl w:val="0"/>
        <w:kinsoku/>
        <w:wordWrap/>
        <w:overflowPunct/>
        <w:topLinePunct w:val="0"/>
        <w:autoSpaceDE/>
        <w:autoSpaceDN/>
        <w:bidi w:val="0"/>
        <w:adjustRightInd/>
        <w:snapToGrid/>
        <w:spacing w:before="78" w:line="220" w:lineRule="auto"/>
        <w:textAlignment w:val="auto"/>
        <w:rPr>
          <w:color w:val="auto"/>
          <w:spacing w:val="-3"/>
          <w:sz w:val="24"/>
          <w:szCs w:val="24"/>
          <w:highlight w:val="none"/>
        </w:rPr>
      </w:pPr>
      <w:r>
        <w:rPr>
          <w:color w:val="auto"/>
          <w:spacing w:val="-13"/>
          <w:sz w:val="24"/>
          <w:szCs w:val="24"/>
          <w:highlight w:val="none"/>
        </w:rPr>
        <w:t>(¥</w:t>
      </w:r>
      <w:r>
        <w:rPr>
          <w:color w:val="auto"/>
          <w:sz w:val="24"/>
          <w:szCs w:val="24"/>
          <w:highlight w:val="none"/>
          <w:u w:val="single" w:color="auto"/>
        </w:rPr>
        <w:t xml:space="preserve">          </w:t>
      </w:r>
      <w:r>
        <w:rPr>
          <w:color w:val="auto"/>
          <w:spacing w:val="-108"/>
          <w:sz w:val="24"/>
          <w:szCs w:val="24"/>
          <w:highlight w:val="none"/>
        </w:rPr>
        <w:t xml:space="preserve"> </w:t>
      </w:r>
      <w:r>
        <w:rPr>
          <w:color w:val="auto"/>
          <w:spacing w:val="-13"/>
          <w:sz w:val="24"/>
          <w:szCs w:val="24"/>
          <w:highlight w:val="none"/>
        </w:rPr>
        <w:t>元)；</w:t>
      </w: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spacing w:after="0"/>
        <w:rPr>
          <w:color w:val="auto"/>
          <w:highlight w:val="none"/>
        </w:rPr>
      </w:pPr>
    </w:p>
    <w:p>
      <w:pPr>
        <w:pStyle w:val="11"/>
        <w:rPr>
          <w:color w:val="auto"/>
          <w:sz w:val="24"/>
          <w:szCs w:val="24"/>
          <w:highlight w:val="none"/>
        </w:rPr>
      </w:pP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rPr>
          <w:color w:val="auto"/>
          <w:sz w:val="24"/>
          <w:szCs w:val="24"/>
          <w:highlight w:val="none"/>
        </w:rPr>
      </w:pPr>
    </w:p>
    <w:p>
      <w:pPr>
        <w:rPr>
          <w:color w:val="auto"/>
          <w:sz w:val="24"/>
          <w:szCs w:val="24"/>
          <w:highlight w:val="none"/>
        </w:rPr>
      </w:pPr>
    </w:p>
    <w:p>
      <w:pPr>
        <w:pStyle w:val="11"/>
        <w:rPr>
          <w:color w:val="auto"/>
          <w:highlight w:val="none"/>
        </w:rPr>
      </w:pPr>
    </w:p>
    <w:p>
      <w:pPr>
        <w:pStyle w:val="11"/>
        <w:keepNext w:val="0"/>
        <w:keepLines/>
        <w:pageBreakBefore w:val="0"/>
        <w:widowControl w:val="0"/>
        <w:kinsoku/>
        <w:wordWrap/>
        <w:overflowPunct/>
        <w:topLinePunct w:val="0"/>
        <w:autoSpaceDE/>
        <w:autoSpaceDN/>
        <w:bidi w:val="0"/>
        <w:adjustRightInd/>
        <w:snapToGrid/>
        <w:textAlignment w:val="auto"/>
        <w:rPr>
          <w:color w:val="auto"/>
          <w:highlight w:val="none"/>
        </w:rPr>
      </w:pPr>
    </w:p>
    <w:p>
      <w:pPr>
        <w:keepNext w:val="0"/>
        <w:keepLines/>
        <w:pageBreakBefore w:val="0"/>
        <w:widowControl w:val="0"/>
        <w:kinsoku/>
        <w:wordWrap/>
        <w:overflowPunct/>
        <w:topLinePunct w:val="0"/>
        <w:autoSpaceDE/>
        <w:autoSpaceDN/>
        <w:bidi w:val="0"/>
        <w:adjustRightInd/>
        <w:snapToGrid/>
        <w:textAlignment w:val="auto"/>
        <w:rPr>
          <w:color w:val="auto"/>
          <w:sz w:val="24"/>
          <w:szCs w:val="24"/>
          <w:highlight w:val="none"/>
        </w:rPr>
      </w:pPr>
    </w:p>
    <w:p>
      <w:pPr>
        <w:pStyle w:val="11"/>
        <w:keepNext w:val="0"/>
        <w:keepLines/>
        <w:pageBreakBefore w:val="0"/>
        <w:widowControl w:val="0"/>
        <w:kinsoku/>
        <w:wordWrap/>
        <w:overflowPunct/>
        <w:topLinePunct w:val="0"/>
        <w:autoSpaceDE/>
        <w:autoSpaceDN/>
        <w:bidi w:val="0"/>
        <w:adjustRightInd/>
        <w:snapToGrid/>
        <w:textAlignment w:val="auto"/>
        <w:rPr>
          <w:color w:val="auto"/>
          <w:highlight w:val="none"/>
        </w:rPr>
      </w:pPr>
    </w:p>
    <w:p>
      <w:pPr>
        <w:pStyle w:val="11"/>
        <w:keepNext w:val="0"/>
        <w:keepLines/>
        <w:pageBreakBefore w:val="0"/>
        <w:widowControl w:val="0"/>
        <w:kinsoku/>
        <w:wordWrap/>
        <w:overflowPunct/>
        <w:topLinePunct w:val="0"/>
        <w:autoSpaceDE/>
        <w:autoSpaceDN/>
        <w:bidi w:val="0"/>
        <w:adjustRightInd/>
        <w:snapToGrid/>
        <w:textAlignment w:val="auto"/>
        <w:rPr>
          <w:color w:val="auto"/>
          <w:highlight w:val="none"/>
        </w:rPr>
        <w:sectPr>
          <w:type w:val="continuous"/>
          <w:pgSz w:w="11906" w:h="16839"/>
          <w:pgMar w:top="1154" w:right="1059" w:bottom="0" w:left="1080" w:header="1134" w:footer="1417" w:gutter="0"/>
          <w:pgNumType w:fmt="decimal"/>
          <w:cols w:equalWidth="0" w:num="2">
            <w:col w:w="4512" w:space="100"/>
            <w:col w:w="5156"/>
          </w:cols>
        </w:sectPr>
      </w:pPr>
    </w:p>
    <w:p>
      <w:pPr>
        <w:pStyle w:val="11"/>
        <w:spacing w:line="219" w:lineRule="auto"/>
        <w:rPr>
          <w:color w:val="auto"/>
          <w:sz w:val="24"/>
          <w:szCs w:val="24"/>
          <w:highlight w:val="none"/>
        </w:rPr>
      </w:pPr>
      <w:r>
        <w:rPr>
          <w:color w:val="auto"/>
          <w:spacing w:val="-1"/>
          <w:sz w:val="24"/>
          <w:szCs w:val="24"/>
          <w:highlight w:val="none"/>
        </w:rPr>
        <w:t>2.合同价格形式：</w:t>
      </w:r>
      <w:r>
        <w:rPr>
          <w:color w:val="auto"/>
          <w:spacing w:val="-1"/>
          <w:sz w:val="24"/>
          <w:szCs w:val="24"/>
          <w:highlight w:val="none"/>
          <w:u w:val="single" w:color="auto"/>
        </w:rPr>
        <w:t xml:space="preserve">      固定综合单价</w:t>
      </w:r>
      <w:r>
        <w:rPr>
          <w:color w:val="auto"/>
          <w:sz w:val="24"/>
          <w:szCs w:val="24"/>
          <w:highlight w:val="none"/>
          <w:u w:val="single" w:color="auto"/>
        </w:rPr>
        <w:t xml:space="preserve">                          </w:t>
      </w:r>
      <w:r>
        <w:rPr>
          <w:color w:val="auto"/>
          <w:spacing w:val="-1"/>
          <w:sz w:val="24"/>
          <w:szCs w:val="24"/>
          <w:highlight w:val="none"/>
        </w:rPr>
        <w:t>。</w:t>
      </w:r>
    </w:p>
    <w:p>
      <w:pPr>
        <w:pStyle w:val="11"/>
        <w:spacing w:before="183" w:line="220" w:lineRule="auto"/>
        <w:ind w:left="493"/>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五、项目经理</w:t>
      </w:r>
    </w:p>
    <w:p>
      <w:pPr>
        <w:pStyle w:val="11"/>
        <w:spacing w:before="242" w:line="186" w:lineRule="auto"/>
        <w:ind w:left="489"/>
        <w:rPr>
          <w:rFonts w:ascii="仿宋" w:hAnsi="仿宋" w:eastAsia="仿宋" w:cs="仿宋"/>
          <w:color w:val="auto"/>
          <w:highlight w:val="none"/>
        </w:rPr>
      </w:pPr>
      <w:r>
        <w:rPr>
          <w:color w:val="auto"/>
          <w:spacing w:val="-2"/>
          <w:sz w:val="24"/>
          <w:szCs w:val="24"/>
          <w:highlight w:val="none"/>
        </w:rPr>
        <w:t>承包人项目经理：</w:t>
      </w:r>
      <w:r>
        <w:rPr>
          <w:color w:val="auto"/>
          <w:spacing w:val="2"/>
          <w:sz w:val="24"/>
          <w:szCs w:val="24"/>
          <w:highlight w:val="none"/>
          <w:u w:val="single" w:color="auto"/>
        </w:rPr>
        <w:t xml:space="preserve">                                      </w:t>
      </w:r>
      <w:r>
        <w:rPr>
          <w:rFonts w:ascii="仿宋" w:hAnsi="仿宋" w:eastAsia="仿宋" w:cs="仿宋"/>
          <w:color w:val="auto"/>
          <w:spacing w:val="-2"/>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1"/>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六、合同文件构成</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本协议书与下列文件一起构成合同文件：</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240" w:firstLineChars="10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（1）中标通知书；</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240" w:firstLineChars="10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（2）投标函及其附录；</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240" w:firstLineChars="10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（3）专用合同条款及其附件；</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240" w:firstLineChars="10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（4）通用合同条款；</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240" w:firstLineChars="10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（5）技术标准和要求；</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240" w:firstLineChars="10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（6）图纸；</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240" w:firstLineChars="10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（7）已标价工程量清单或预算书；</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240" w:firstLineChars="10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（8）其他合同文件。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rPr>
          <w:color w:val="auto"/>
          <w:sz w:val="24"/>
          <w:szCs w:val="24"/>
          <w:highlight w:val="none"/>
        </w:rPr>
      </w:pPr>
      <w:r>
        <w:rPr>
          <w:color w:val="auto"/>
          <w:sz w:val="24"/>
          <w:szCs w:val="24"/>
          <w:highlight w:val="none"/>
        </w:rPr>
        <w:t>在合同订立及履行过程中形成的与合同有关的文件均构</w:t>
      </w:r>
      <w:r>
        <w:rPr>
          <w:color w:val="auto"/>
          <w:spacing w:val="-1"/>
          <w:sz w:val="24"/>
          <w:szCs w:val="24"/>
          <w:highlight w:val="none"/>
        </w:rPr>
        <w:t>成合同文件组成部分。</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jc w:val="left"/>
        <w:textAlignment w:val="auto"/>
        <w:rPr>
          <w:rFonts w:ascii="Times New Roman" w:hAnsi="Times New Roman" w:cs="Times New Roman"/>
          <w:color w:val="auto"/>
          <w:sz w:val="24"/>
          <w:szCs w:val="24"/>
          <w:highlight w:val="none"/>
        </w:rPr>
      </w:pPr>
      <w:r>
        <w:rPr>
          <w:rFonts w:hint="eastAsia"/>
          <w:color w:val="auto"/>
          <w:spacing w:val="-3"/>
          <w:position w:val="17"/>
          <w:sz w:val="24"/>
          <w:szCs w:val="24"/>
          <w:highlight w:val="none"/>
          <w:lang w:val="en-US" w:eastAsia="zh-CN"/>
        </w:rPr>
        <w:t xml:space="preserve">   </w:t>
      </w:r>
      <w:r>
        <w:rPr>
          <w:rFonts w:ascii="Times New Roman" w:hAnsi="Times New Roman" w:cs="Times New Roman"/>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outlineLvl w:val="2"/>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七、承诺</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1.发包人承诺按照法律规定履行项目审批手续、筹集工程建设资金并按照合同约定的期限和方式支付合同价款。</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3.发包人和承包人通过招投标形式签订合同的，双方理解并承诺不再就同一工程另行签订与合同实质性内容相背离的协议。</w:t>
      </w:r>
    </w:p>
    <w:p>
      <w:pPr>
        <w:pStyle w:val="11"/>
        <w:keepNext w:val="0"/>
        <w:keepLines w:val="0"/>
        <w:pageBreakBefore w:val="0"/>
        <w:widowControl w:val="0"/>
        <w:kinsoku/>
        <w:wordWrap/>
        <w:overflowPunct/>
        <w:topLinePunct w:val="0"/>
        <w:autoSpaceDE/>
        <w:autoSpaceDN/>
        <w:bidi w:val="0"/>
        <w:adjustRightInd/>
        <w:snapToGrid/>
        <w:spacing w:line="360" w:lineRule="auto"/>
        <w:ind w:left="493"/>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八、词语含义</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rPr>
          <w:color w:val="auto"/>
          <w:sz w:val="24"/>
          <w:szCs w:val="24"/>
          <w:highlight w:val="none"/>
        </w:rPr>
      </w:pPr>
      <w:r>
        <w:rPr>
          <w:color w:val="auto"/>
          <w:spacing w:val="-1"/>
          <w:sz w:val="24"/>
          <w:szCs w:val="24"/>
          <w:highlight w:val="none"/>
        </w:rPr>
        <w:t>本协议书中词语含义与第二部分通用合同条款中赋予的含义相同。</w:t>
      </w:r>
    </w:p>
    <w:p>
      <w:pPr>
        <w:pStyle w:val="11"/>
        <w:keepNext w:val="0"/>
        <w:keepLines w:val="0"/>
        <w:pageBreakBefore w:val="0"/>
        <w:widowControl w:val="0"/>
        <w:kinsoku/>
        <w:wordWrap/>
        <w:overflowPunct/>
        <w:topLinePunct w:val="0"/>
        <w:autoSpaceDE/>
        <w:autoSpaceDN/>
        <w:bidi w:val="0"/>
        <w:adjustRightInd/>
        <w:snapToGrid/>
        <w:spacing w:line="360" w:lineRule="auto"/>
        <w:ind w:left="495"/>
        <w:textAlignment w:val="auto"/>
        <w:outlineLvl w:val="2"/>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九、签订时间</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rPr>
          <w:color w:val="auto"/>
          <w:sz w:val="24"/>
          <w:szCs w:val="24"/>
          <w:highlight w:val="none"/>
        </w:rPr>
      </w:pPr>
      <w:r>
        <w:rPr>
          <w:color w:val="auto"/>
          <w:spacing w:val="-7"/>
          <w:sz w:val="24"/>
          <w:szCs w:val="24"/>
          <w:highlight w:val="none"/>
        </w:rPr>
        <w:t>本合同于</w:t>
      </w:r>
      <w:r>
        <w:rPr>
          <w:color w:val="auto"/>
          <w:spacing w:val="1"/>
          <w:sz w:val="24"/>
          <w:szCs w:val="24"/>
          <w:highlight w:val="none"/>
          <w:u w:val="single" w:color="auto"/>
        </w:rPr>
        <w:t xml:space="preserve">         </w:t>
      </w:r>
      <w:r>
        <w:rPr>
          <w:color w:val="auto"/>
          <w:spacing w:val="-109"/>
          <w:sz w:val="24"/>
          <w:szCs w:val="24"/>
          <w:highlight w:val="none"/>
        </w:rPr>
        <w:t xml:space="preserve"> </w:t>
      </w:r>
      <w:r>
        <w:rPr>
          <w:color w:val="auto"/>
          <w:spacing w:val="-7"/>
          <w:sz w:val="24"/>
          <w:szCs w:val="24"/>
          <w:highlight w:val="none"/>
        </w:rPr>
        <w:t>年</w:t>
      </w:r>
      <w:r>
        <w:rPr>
          <w:color w:val="auto"/>
          <w:spacing w:val="-7"/>
          <w:sz w:val="24"/>
          <w:szCs w:val="24"/>
          <w:highlight w:val="none"/>
          <w:u w:val="single" w:color="auto"/>
        </w:rPr>
        <w:t xml:space="preserve">    </w:t>
      </w:r>
      <w:r>
        <w:rPr>
          <w:color w:val="auto"/>
          <w:spacing w:val="-104"/>
          <w:sz w:val="24"/>
          <w:szCs w:val="24"/>
          <w:highlight w:val="none"/>
        </w:rPr>
        <w:t xml:space="preserve"> </w:t>
      </w:r>
      <w:r>
        <w:rPr>
          <w:color w:val="auto"/>
          <w:spacing w:val="-7"/>
          <w:sz w:val="24"/>
          <w:szCs w:val="24"/>
          <w:highlight w:val="none"/>
        </w:rPr>
        <w:t>月</w:t>
      </w:r>
      <w:r>
        <w:rPr>
          <w:color w:val="auto"/>
          <w:sz w:val="24"/>
          <w:szCs w:val="24"/>
          <w:highlight w:val="none"/>
          <w:u w:val="single" w:color="auto"/>
        </w:rPr>
        <w:t xml:space="preserve">    </w:t>
      </w:r>
      <w:r>
        <w:rPr>
          <w:color w:val="auto"/>
          <w:spacing w:val="-70"/>
          <w:sz w:val="24"/>
          <w:szCs w:val="24"/>
          <w:highlight w:val="none"/>
        </w:rPr>
        <w:t xml:space="preserve"> </w:t>
      </w:r>
      <w:r>
        <w:rPr>
          <w:color w:val="auto"/>
          <w:spacing w:val="-7"/>
          <w:sz w:val="24"/>
          <w:szCs w:val="24"/>
          <w:highlight w:val="none"/>
        </w:rPr>
        <w:t>日签订。</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outlineLvl w:val="2"/>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十、签订地点</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rPr>
          <w:color w:val="auto"/>
          <w:sz w:val="24"/>
          <w:szCs w:val="24"/>
          <w:highlight w:val="none"/>
        </w:rPr>
      </w:pPr>
      <w:r>
        <w:rPr>
          <w:color w:val="auto"/>
          <w:sz w:val="24"/>
          <w:szCs w:val="24"/>
          <w:highlight w:val="none"/>
        </w:rPr>
        <w:t>本合同在</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11"/>
          <w:sz w:val="24"/>
          <w:szCs w:val="24"/>
          <w:highlight w:val="none"/>
        </w:rPr>
        <w:t xml:space="preserve"> </w:t>
      </w:r>
      <w:r>
        <w:rPr>
          <w:color w:val="auto"/>
          <w:spacing w:val="-1"/>
          <w:sz w:val="24"/>
          <w:szCs w:val="24"/>
          <w:highlight w:val="none"/>
        </w:rPr>
        <w:t>签订。</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outlineLvl w:val="2"/>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十一、补充协议</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rPr>
          <w:color w:val="auto"/>
          <w:sz w:val="24"/>
          <w:szCs w:val="24"/>
          <w:highlight w:val="none"/>
        </w:rPr>
      </w:pPr>
      <w:r>
        <w:rPr>
          <w:color w:val="auto"/>
          <w:sz w:val="24"/>
          <w:szCs w:val="24"/>
          <w:highlight w:val="none"/>
        </w:rPr>
        <w:t>合同未尽事宜，合同当事人另行签订补充协议，补</w:t>
      </w:r>
      <w:r>
        <w:rPr>
          <w:color w:val="auto"/>
          <w:spacing w:val="-1"/>
          <w:sz w:val="24"/>
          <w:szCs w:val="24"/>
          <w:highlight w:val="none"/>
        </w:rPr>
        <w:t>充协议是合同的组成部分。</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outlineLvl w:val="2"/>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十二、合同生效</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rPr>
          <w:color w:val="auto"/>
          <w:sz w:val="24"/>
          <w:szCs w:val="24"/>
          <w:highlight w:val="none"/>
        </w:rPr>
      </w:pPr>
      <w:r>
        <w:rPr>
          <w:color w:val="auto"/>
          <w:spacing w:val="-1"/>
          <w:sz w:val="24"/>
          <w:szCs w:val="24"/>
          <w:highlight w:val="none"/>
        </w:rPr>
        <w:t>本合同自</w:t>
      </w:r>
      <w:r>
        <w:rPr>
          <w:color w:val="auto"/>
          <w:spacing w:val="-1"/>
          <w:sz w:val="24"/>
          <w:szCs w:val="24"/>
          <w:highlight w:val="none"/>
          <w:u w:val="single" w:color="auto"/>
        </w:rPr>
        <w:t xml:space="preserve">     双方签字盖章后     </w:t>
      </w:r>
      <w:r>
        <w:rPr>
          <w:color w:val="auto"/>
          <w:spacing w:val="-108"/>
          <w:sz w:val="24"/>
          <w:szCs w:val="24"/>
          <w:highlight w:val="none"/>
        </w:rPr>
        <w:t xml:space="preserve"> </w:t>
      </w:r>
      <w:r>
        <w:rPr>
          <w:color w:val="auto"/>
          <w:spacing w:val="-1"/>
          <w:sz w:val="24"/>
          <w:szCs w:val="24"/>
          <w:highlight w:val="none"/>
        </w:rPr>
        <w:t>生效。</w:t>
      </w:r>
    </w:p>
    <w:p>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left="490"/>
        <w:textAlignment w:val="auto"/>
        <w:outlineLvl w:val="2"/>
        <w:rPr>
          <w:color w:val="auto"/>
          <w:spacing w:val="-1"/>
          <w:sz w:val="24"/>
          <w:szCs w:val="24"/>
          <w:highlight w:val="none"/>
          <w14:textOutline w14:w="4358" w14:cap="sq" w14:cmpd="sng">
            <w14:solidFill>
              <w14:srgbClr w14:val="000000"/>
            </w14:solidFill>
            <w14:prstDash w14:val="solid"/>
            <w14:bevel/>
          </w14:textOutline>
        </w:rPr>
      </w:pPr>
      <w:r>
        <w:rPr>
          <w:color w:val="auto"/>
          <w:spacing w:val="-1"/>
          <w:sz w:val="24"/>
          <w:szCs w:val="24"/>
          <w:highlight w:val="none"/>
          <w14:textOutline w14:w="4358" w14:cap="sq" w14:cmpd="sng">
            <w14:solidFill>
              <w14:srgbClr w14:val="000000"/>
            </w14:solidFill>
            <w14:prstDash w14:val="solid"/>
            <w14:bevel/>
          </w14:textOutline>
        </w:rPr>
        <w:t>合同份数</w:t>
      </w:r>
    </w:p>
    <w:p>
      <w:pPr>
        <w:pStyle w:val="1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default" w:eastAsia="宋体"/>
          <w:color w:val="auto"/>
          <w:spacing w:val="0"/>
          <w:sz w:val="24"/>
          <w:szCs w:val="24"/>
          <w:highlight w:val="none"/>
          <w:lang w:val="en-US" w:eastAsia="zh-CN"/>
        </w:rPr>
      </w:pPr>
      <w:r>
        <w:rPr>
          <w:rFonts w:hint="default"/>
          <w:b w:val="0"/>
          <w:bCs w:val="0"/>
          <w:color w:val="auto"/>
          <w:spacing w:val="0"/>
          <w:sz w:val="24"/>
          <w:szCs w:val="24"/>
          <w:highlight w:val="none"/>
          <w:lang w:val="en-US" w:eastAsia="zh-CN"/>
        </w:rPr>
        <w:t>本</w:t>
      </w:r>
      <w:r>
        <w:rPr>
          <w:rFonts w:hint="eastAsia" w:ascii="Times New Roman" w:hAnsi="Times New Roman" w:eastAsia="宋体" w:cs="Times New Roman"/>
          <w:b w:val="0"/>
          <w:bCs w:val="0"/>
          <w:color w:val="auto"/>
          <w:spacing w:val="0"/>
          <w:sz w:val="24"/>
          <w:szCs w:val="24"/>
          <w:highlight w:val="none"/>
          <w:lang w:val="en-US" w:eastAsia="zh-CN"/>
        </w:rPr>
        <w:t>合同一式</w:t>
      </w:r>
      <w:r>
        <w:rPr>
          <w:rFonts w:hint="eastAsia" w:ascii="Times New Roman" w:hAnsi="Times New Roman" w:eastAsia="宋体" w:cs="Times New Roman"/>
          <w:b w:val="0"/>
          <w:bCs w:val="0"/>
          <w:color w:val="auto"/>
          <w:spacing w:val="0"/>
          <w:sz w:val="24"/>
          <w:szCs w:val="24"/>
          <w:highlight w:val="none"/>
          <w:u w:val="single"/>
          <w:lang w:val="en-US" w:eastAsia="zh-CN"/>
        </w:rPr>
        <w:t xml:space="preserve">    </w:t>
      </w:r>
      <w:r>
        <w:rPr>
          <w:rFonts w:hint="eastAsia" w:ascii="Times New Roman" w:hAnsi="Times New Roman" w:eastAsia="宋体" w:cs="Times New Roman"/>
          <w:b w:val="0"/>
          <w:bCs w:val="0"/>
          <w:color w:val="auto"/>
          <w:spacing w:val="0"/>
          <w:sz w:val="24"/>
          <w:szCs w:val="24"/>
          <w:highlight w:val="none"/>
          <w:lang w:val="en-US" w:eastAsia="zh-CN"/>
        </w:rPr>
        <w:t>份，</w:t>
      </w:r>
      <w:r>
        <w:rPr>
          <w:color w:val="auto"/>
          <w:spacing w:val="-3"/>
          <w:sz w:val="24"/>
          <w:szCs w:val="24"/>
          <w:highlight w:val="none"/>
        </w:rPr>
        <w:t>均具有同等法律效力</w:t>
      </w:r>
      <w:r>
        <w:rPr>
          <w:rFonts w:hint="eastAsia"/>
          <w:color w:val="auto"/>
          <w:spacing w:val="-3"/>
          <w:sz w:val="24"/>
          <w:szCs w:val="24"/>
          <w:highlight w:val="none"/>
          <w:lang w:eastAsia="zh-CN"/>
        </w:rPr>
        <w:t>，</w:t>
      </w:r>
      <w:r>
        <w:rPr>
          <w:color w:val="auto"/>
          <w:spacing w:val="-3"/>
          <w:sz w:val="24"/>
          <w:szCs w:val="24"/>
          <w:highlight w:val="none"/>
        </w:rPr>
        <w:t>发包人执</w:t>
      </w:r>
      <w:r>
        <w:rPr>
          <w:color w:val="auto"/>
          <w:spacing w:val="-3"/>
          <w:sz w:val="24"/>
          <w:szCs w:val="24"/>
          <w:highlight w:val="none"/>
          <w:u w:val="single" w:color="auto"/>
        </w:rPr>
        <w:t xml:space="preserve">    </w:t>
      </w:r>
      <w:r>
        <w:rPr>
          <w:color w:val="auto"/>
          <w:spacing w:val="-111"/>
          <w:sz w:val="24"/>
          <w:szCs w:val="24"/>
          <w:highlight w:val="none"/>
        </w:rPr>
        <w:t xml:space="preserve"> </w:t>
      </w:r>
      <w:r>
        <w:rPr>
          <w:color w:val="auto"/>
          <w:spacing w:val="-3"/>
          <w:sz w:val="24"/>
          <w:szCs w:val="24"/>
          <w:highlight w:val="none"/>
        </w:rPr>
        <w:t>份，承包人执</w:t>
      </w:r>
      <w:r>
        <w:rPr>
          <w:color w:val="auto"/>
          <w:spacing w:val="-3"/>
          <w:sz w:val="24"/>
          <w:szCs w:val="24"/>
          <w:highlight w:val="none"/>
          <w:u w:val="single" w:color="auto"/>
        </w:rPr>
        <w:t xml:space="preserve">    </w:t>
      </w:r>
      <w:r>
        <w:rPr>
          <w:color w:val="auto"/>
          <w:spacing w:val="-110"/>
          <w:sz w:val="24"/>
          <w:szCs w:val="24"/>
          <w:highlight w:val="none"/>
        </w:rPr>
        <w:t xml:space="preserve"> </w:t>
      </w:r>
      <w:r>
        <w:rPr>
          <w:color w:val="auto"/>
          <w:spacing w:val="-3"/>
          <w:sz w:val="24"/>
          <w:szCs w:val="24"/>
          <w:highlight w:val="none"/>
        </w:rPr>
        <w:t>份，</w:t>
      </w:r>
      <w:r>
        <w:rPr>
          <w:rFonts w:hint="eastAsia"/>
          <w:color w:val="auto"/>
          <w:spacing w:val="-3"/>
          <w:sz w:val="24"/>
          <w:szCs w:val="24"/>
          <w:highlight w:val="none"/>
          <w:lang w:val="en-US" w:eastAsia="zh-CN"/>
        </w:rPr>
        <w:t>监督部门</w:t>
      </w:r>
      <w:r>
        <w:rPr>
          <w:color w:val="auto"/>
          <w:spacing w:val="-3"/>
          <w:sz w:val="24"/>
          <w:szCs w:val="24"/>
          <w:highlight w:val="none"/>
        </w:rPr>
        <w:t>备案</w:t>
      </w:r>
      <w:r>
        <w:rPr>
          <w:color w:val="auto"/>
          <w:spacing w:val="-3"/>
          <w:sz w:val="24"/>
          <w:szCs w:val="24"/>
          <w:highlight w:val="none"/>
          <w:u w:val="single" w:color="auto"/>
        </w:rPr>
        <w:t xml:space="preserve">    </w:t>
      </w:r>
      <w:r>
        <w:rPr>
          <w:color w:val="auto"/>
          <w:spacing w:val="-110"/>
          <w:sz w:val="24"/>
          <w:szCs w:val="24"/>
          <w:highlight w:val="none"/>
        </w:rPr>
        <w:t xml:space="preserve"> </w:t>
      </w:r>
      <w:r>
        <w:rPr>
          <w:color w:val="auto"/>
          <w:spacing w:val="-3"/>
          <w:sz w:val="24"/>
          <w:szCs w:val="24"/>
          <w:highlight w:val="none"/>
        </w:rPr>
        <w:t>份</w:t>
      </w:r>
    </w:p>
    <w:p>
      <w:pPr>
        <w:pStyle w:val="11"/>
        <w:spacing w:before="79" w:line="219" w:lineRule="auto"/>
        <w:rPr>
          <w:color w:val="auto"/>
          <w:sz w:val="24"/>
          <w:szCs w:val="24"/>
          <w:highlight w:val="none"/>
        </w:rPr>
      </w:pPr>
      <w:r>
        <w:rPr>
          <w:color w:val="auto"/>
          <w:spacing w:val="-8"/>
          <w:sz w:val="24"/>
          <w:szCs w:val="24"/>
          <w:highlight w:val="none"/>
        </w:rPr>
        <w:t>发包人：</w:t>
      </w:r>
      <w:r>
        <w:rPr>
          <w:color w:val="auto"/>
          <w:spacing w:val="26"/>
          <w:sz w:val="24"/>
          <w:szCs w:val="24"/>
          <w:highlight w:val="none"/>
        </w:rPr>
        <w:t xml:space="preserve">  </w:t>
      </w:r>
      <w:r>
        <w:rPr>
          <w:color w:val="auto"/>
          <w:spacing w:val="-8"/>
          <w:sz w:val="24"/>
          <w:szCs w:val="24"/>
          <w:highlight w:val="none"/>
        </w:rPr>
        <w:t>(公章)</w:t>
      </w: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 xml:space="preserve"> </w:t>
      </w:r>
      <w:r>
        <w:rPr>
          <w:rFonts w:hint="eastAsia"/>
          <w:color w:val="auto"/>
          <w:sz w:val="24"/>
          <w:szCs w:val="24"/>
          <w:highlight w:val="none"/>
          <w:lang w:val="en-US" w:eastAsia="zh-CN"/>
        </w:rPr>
        <w:t xml:space="preserve">     </w:t>
      </w:r>
      <w:r>
        <w:rPr>
          <w:color w:val="auto"/>
          <w:spacing w:val="-8"/>
          <w:sz w:val="24"/>
          <w:szCs w:val="24"/>
          <w:highlight w:val="none"/>
        </w:rPr>
        <w:t>承包人：</w:t>
      </w:r>
      <w:r>
        <w:rPr>
          <w:color w:val="auto"/>
          <w:spacing w:val="30"/>
          <w:sz w:val="24"/>
          <w:szCs w:val="24"/>
          <w:highlight w:val="none"/>
        </w:rPr>
        <w:t xml:space="preserve">  </w:t>
      </w:r>
      <w:r>
        <w:rPr>
          <w:color w:val="auto"/>
          <w:spacing w:val="-8"/>
          <w:sz w:val="24"/>
          <w:szCs w:val="24"/>
          <w:highlight w:val="none"/>
        </w:rPr>
        <w:t>(公章)</w:t>
      </w:r>
    </w:p>
    <w:p>
      <w:pPr>
        <w:spacing w:before="59"/>
        <w:rPr>
          <w:color w:val="auto"/>
          <w:highlight w:val="none"/>
        </w:rPr>
      </w:pPr>
    </w:p>
    <w:p>
      <w:pPr>
        <w:rPr>
          <w:color w:val="auto"/>
          <w:highlight w:val="none"/>
        </w:rPr>
        <w:sectPr>
          <w:pgSz w:w="11906" w:h="16839"/>
          <w:pgMar w:top="1154" w:right="1059" w:bottom="1191" w:left="1803" w:header="863" w:footer="1191" w:gutter="0"/>
          <w:pgNumType w:fmt="decimal"/>
          <w:cols w:equalWidth="0" w:num="1">
            <w:col w:w="9767"/>
          </w:cols>
        </w:sectPr>
      </w:pPr>
    </w:p>
    <w:p>
      <w:pPr>
        <w:pStyle w:val="11"/>
        <w:keepNext w:val="0"/>
        <w:keepLines w:val="0"/>
        <w:pageBreakBefore w:val="0"/>
        <w:widowControl w:val="0"/>
        <w:kinsoku/>
        <w:wordWrap/>
        <w:overflowPunct/>
        <w:topLinePunct w:val="0"/>
        <w:autoSpaceDE/>
        <w:autoSpaceDN/>
        <w:bidi w:val="0"/>
        <w:adjustRightInd/>
        <w:snapToGrid/>
        <w:spacing w:after="0" w:line="360" w:lineRule="auto"/>
        <w:ind w:left="1439" w:leftChars="114" w:hanging="1200" w:hangingChars="500"/>
        <w:textAlignment w:val="auto"/>
        <w:rPr>
          <w:rFonts w:eastAsia="宋体"/>
          <w:color w:val="auto"/>
          <w:sz w:val="24"/>
          <w:szCs w:val="24"/>
          <w:highlight w:val="none"/>
        </w:rPr>
      </w:pPr>
      <w:r>
        <w:rPr>
          <w:rFonts w:eastAsia="宋体"/>
          <w:color w:val="auto"/>
          <w:sz w:val="24"/>
          <w:szCs w:val="24"/>
          <w:highlight w:val="none"/>
        </w:rPr>
        <w:t>法定代表人或其委托代理人：（签字）</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firstLine="1440" w:firstLineChars="600"/>
        <w:textAlignment w:val="auto"/>
        <w:rPr>
          <w:rFonts w:eastAsia="宋体"/>
          <w:color w:val="auto"/>
          <w:sz w:val="24"/>
          <w:szCs w:val="24"/>
          <w:highlight w:val="none"/>
        </w:rPr>
      </w:pPr>
      <w:r>
        <w:rPr>
          <w:rFonts w:eastAsia="宋体"/>
          <w:color w:val="auto"/>
          <w:sz w:val="24"/>
          <w:szCs w:val="24"/>
          <w:highlight w:val="none"/>
        </w:rPr>
        <w:t>法定代表人或其委托代理人：</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firstLine="1920" w:firstLineChars="800"/>
        <w:textAlignment w:val="auto"/>
        <w:rPr>
          <w:color w:val="auto"/>
          <w:sz w:val="24"/>
          <w:szCs w:val="24"/>
          <w:highlight w:val="none"/>
        </w:rPr>
      </w:pPr>
      <w:r>
        <w:rPr>
          <w:rFonts w:eastAsia="宋体"/>
          <w:color w:val="auto"/>
          <w:sz w:val="24"/>
          <w:szCs w:val="24"/>
          <w:highlight w:val="none"/>
        </w:rPr>
        <w:t>（签字）</w:t>
      </w:r>
    </w:p>
    <w:p>
      <w:pPr>
        <w:spacing w:line="184" w:lineRule="auto"/>
        <w:rPr>
          <w:color w:val="auto"/>
          <w:sz w:val="24"/>
          <w:szCs w:val="24"/>
          <w:highlight w:val="none"/>
        </w:rPr>
      </w:pPr>
    </w:p>
    <w:p>
      <w:pPr>
        <w:pStyle w:val="18"/>
        <w:rPr>
          <w:color w:val="auto"/>
          <w:highlight w:val="none"/>
        </w:rPr>
        <w:sectPr>
          <w:type w:val="continuous"/>
          <w:pgSz w:w="11906" w:h="16839"/>
          <w:pgMar w:top="1154" w:right="1059" w:bottom="0" w:left="1080" w:header="863" w:footer="0" w:gutter="0"/>
          <w:pgNumType w:fmt="decimal"/>
          <w:cols w:equalWidth="0" w:num="2">
            <w:col w:w="3271" w:space="100"/>
            <w:col w:w="6397"/>
          </w:cols>
        </w:sectPr>
      </w:pPr>
    </w:p>
    <w:p>
      <w:pPr>
        <w:spacing w:line="306" w:lineRule="auto"/>
        <w:rPr>
          <w:rFonts w:ascii="Arial"/>
          <w:color w:val="auto"/>
          <w:sz w:val="21"/>
          <w:highlight w:val="none"/>
        </w:rPr>
      </w:pPr>
    </w:p>
    <w:p>
      <w:pPr>
        <w:spacing w:line="307" w:lineRule="auto"/>
        <w:rPr>
          <w:rFonts w:ascii="Arial"/>
          <w:color w:val="auto"/>
          <w:sz w:val="21"/>
          <w:highlight w:val="none"/>
        </w:rPr>
      </w:pPr>
    </w:p>
    <w:p>
      <w:pPr>
        <w:pStyle w:val="11"/>
        <w:spacing w:before="79" w:line="219" w:lineRule="auto"/>
        <w:ind w:left="12"/>
        <w:rPr>
          <w:color w:val="auto"/>
          <w:sz w:val="24"/>
          <w:szCs w:val="24"/>
          <w:highlight w:val="none"/>
        </w:rPr>
      </w:pPr>
      <w:r>
        <w:rPr>
          <w:color w:val="auto"/>
          <w:spacing w:val="-1"/>
          <w:sz w:val="24"/>
          <w:szCs w:val="24"/>
          <w:highlight w:val="none"/>
        </w:rPr>
        <w:t>组织机构代码：</w:t>
      </w:r>
      <w:r>
        <w:rPr>
          <w:color w:val="auto"/>
          <w:spacing w:val="-1"/>
          <w:sz w:val="24"/>
          <w:szCs w:val="24"/>
          <w:highlight w:val="none"/>
          <w:u w:val="single" w:color="auto"/>
        </w:rPr>
        <w:t xml:space="preserve">             </w:t>
      </w:r>
      <w:r>
        <w:rPr>
          <w:color w:val="auto"/>
          <w:spacing w:val="-1"/>
          <w:sz w:val="24"/>
          <w:szCs w:val="24"/>
          <w:highlight w:val="none"/>
        </w:rPr>
        <w:t xml:space="preserve">  组织机构代码：</w:t>
      </w:r>
      <w:r>
        <w:rPr>
          <w:color w:val="auto"/>
          <w:spacing w:val="1"/>
          <w:sz w:val="24"/>
          <w:szCs w:val="24"/>
          <w:highlight w:val="none"/>
          <w:u w:val="single" w:color="auto"/>
        </w:rPr>
        <w:t xml:space="preserve">              </w:t>
      </w:r>
    </w:p>
    <w:p>
      <w:pPr>
        <w:pStyle w:val="11"/>
        <w:spacing w:before="181" w:line="229" w:lineRule="auto"/>
        <w:ind w:left="9"/>
        <w:rPr>
          <w:color w:val="auto"/>
          <w:sz w:val="24"/>
          <w:szCs w:val="24"/>
          <w:highlight w:val="none"/>
        </w:rPr>
      </w:pPr>
      <w:r>
        <w:rPr>
          <w:color w:val="auto"/>
          <w:spacing w:val="-7"/>
          <w:sz w:val="24"/>
          <w:szCs w:val="24"/>
          <w:highlight w:val="none"/>
        </w:rPr>
        <w:t>地</w:t>
      </w:r>
      <w:r>
        <w:rPr>
          <w:color w:val="auto"/>
          <w:spacing w:val="5"/>
          <w:sz w:val="24"/>
          <w:szCs w:val="24"/>
          <w:highlight w:val="none"/>
        </w:rPr>
        <w:t xml:space="preserve">  </w:t>
      </w:r>
      <w:r>
        <w:rPr>
          <w:color w:val="auto"/>
          <w:spacing w:val="-7"/>
          <w:sz w:val="24"/>
          <w:szCs w:val="24"/>
          <w:highlight w:val="none"/>
        </w:rPr>
        <w:t>址：</w:t>
      </w:r>
      <w:r>
        <w:rPr>
          <w:color w:val="auto"/>
          <w:sz w:val="24"/>
          <w:szCs w:val="24"/>
          <w:highlight w:val="none"/>
          <w:u w:val="single" w:color="auto"/>
        </w:rPr>
        <w:t xml:space="preserve">                   </w:t>
      </w:r>
      <w:r>
        <w:rPr>
          <w:color w:val="auto"/>
          <w:spacing w:val="5"/>
          <w:sz w:val="24"/>
          <w:szCs w:val="24"/>
          <w:highlight w:val="none"/>
        </w:rPr>
        <w:t xml:space="preserve">  </w:t>
      </w:r>
      <w:r>
        <w:rPr>
          <w:color w:val="auto"/>
          <w:spacing w:val="-7"/>
          <w:sz w:val="24"/>
          <w:szCs w:val="24"/>
          <w:highlight w:val="none"/>
        </w:rPr>
        <w:t>地</w:t>
      </w:r>
      <w:r>
        <w:rPr>
          <w:color w:val="auto"/>
          <w:spacing w:val="5"/>
          <w:sz w:val="24"/>
          <w:szCs w:val="24"/>
          <w:highlight w:val="none"/>
        </w:rPr>
        <w:t xml:space="preserve">  </w:t>
      </w:r>
      <w:r>
        <w:rPr>
          <w:color w:val="auto"/>
          <w:spacing w:val="-7"/>
          <w:sz w:val="24"/>
          <w:szCs w:val="24"/>
          <w:highlight w:val="none"/>
        </w:rPr>
        <w:t>址：</w:t>
      </w:r>
      <w:r>
        <w:rPr>
          <w:color w:val="auto"/>
          <w:sz w:val="24"/>
          <w:szCs w:val="24"/>
          <w:highlight w:val="none"/>
          <w:u w:val="single" w:color="auto"/>
        </w:rPr>
        <w:t xml:space="preserve">                      </w:t>
      </w:r>
    </w:p>
    <w:p>
      <w:pPr>
        <w:pStyle w:val="11"/>
        <w:spacing w:before="169" w:line="219" w:lineRule="auto"/>
        <w:ind w:left="27"/>
        <w:rPr>
          <w:color w:val="auto"/>
          <w:sz w:val="24"/>
          <w:szCs w:val="24"/>
          <w:highlight w:val="none"/>
        </w:rPr>
      </w:pPr>
      <w:r>
        <w:rPr>
          <w:color w:val="auto"/>
          <w:spacing w:val="-6"/>
          <w:sz w:val="24"/>
          <w:szCs w:val="24"/>
          <w:highlight w:val="none"/>
        </w:rPr>
        <w:t>邮政编码：</w:t>
      </w:r>
      <w:r>
        <w:rPr>
          <w:color w:val="auto"/>
          <w:sz w:val="24"/>
          <w:szCs w:val="24"/>
          <w:highlight w:val="none"/>
          <w:u w:val="single" w:color="auto"/>
        </w:rPr>
        <w:t xml:space="preserve">                  </w:t>
      </w:r>
      <w:r>
        <w:rPr>
          <w:color w:val="auto"/>
          <w:spacing w:val="15"/>
          <w:sz w:val="24"/>
          <w:szCs w:val="24"/>
          <w:highlight w:val="none"/>
        </w:rPr>
        <w:t xml:space="preserve">  </w:t>
      </w:r>
      <w:r>
        <w:rPr>
          <w:color w:val="auto"/>
          <w:spacing w:val="-6"/>
          <w:sz w:val="24"/>
          <w:szCs w:val="24"/>
          <w:highlight w:val="none"/>
        </w:rPr>
        <w:t>邮政编码：</w:t>
      </w:r>
      <w:r>
        <w:rPr>
          <w:color w:val="auto"/>
          <w:sz w:val="24"/>
          <w:szCs w:val="24"/>
          <w:highlight w:val="none"/>
          <w:u w:val="single" w:color="auto"/>
        </w:rPr>
        <w:t xml:space="preserve">                   </w:t>
      </w:r>
    </w:p>
    <w:p>
      <w:pPr>
        <w:pStyle w:val="11"/>
        <w:spacing w:before="183" w:line="219" w:lineRule="auto"/>
        <w:ind w:left="10"/>
        <w:rPr>
          <w:color w:val="auto"/>
          <w:sz w:val="24"/>
          <w:szCs w:val="24"/>
          <w:highlight w:val="none"/>
        </w:rPr>
      </w:pPr>
      <w:r>
        <w:rPr>
          <w:color w:val="auto"/>
          <w:spacing w:val="-1"/>
          <w:sz w:val="24"/>
          <w:szCs w:val="24"/>
          <w:highlight w:val="none"/>
        </w:rPr>
        <w:t>法定代表人：</w:t>
      </w:r>
      <w:r>
        <w:rPr>
          <w:color w:val="auto"/>
          <w:spacing w:val="-1"/>
          <w:sz w:val="24"/>
          <w:szCs w:val="24"/>
          <w:highlight w:val="none"/>
          <w:u w:val="single" w:color="auto"/>
        </w:rPr>
        <w:t xml:space="preserve">               </w:t>
      </w:r>
      <w:r>
        <w:rPr>
          <w:color w:val="auto"/>
          <w:spacing w:val="-1"/>
          <w:sz w:val="24"/>
          <w:szCs w:val="24"/>
          <w:highlight w:val="none"/>
        </w:rPr>
        <w:t xml:space="preserve">  法定代表人：</w:t>
      </w:r>
      <w:r>
        <w:rPr>
          <w:color w:val="auto"/>
          <w:spacing w:val="1"/>
          <w:sz w:val="24"/>
          <w:szCs w:val="24"/>
          <w:highlight w:val="none"/>
          <w:u w:val="single" w:color="auto"/>
        </w:rPr>
        <w:t xml:space="preserve">                 </w:t>
      </w:r>
    </w:p>
    <w:p>
      <w:pPr>
        <w:spacing w:line="241" w:lineRule="auto"/>
        <w:rPr>
          <w:rFonts w:ascii="Arial"/>
          <w:color w:val="auto"/>
          <w:sz w:val="21"/>
          <w:highlight w:val="none"/>
        </w:rPr>
      </w:pPr>
    </w:p>
    <w:p>
      <w:pPr>
        <w:pStyle w:val="11"/>
        <w:spacing w:before="78" w:line="219" w:lineRule="auto"/>
        <w:ind w:left="8"/>
        <w:rPr>
          <w:color w:val="auto"/>
          <w:sz w:val="24"/>
          <w:szCs w:val="24"/>
          <w:highlight w:val="none"/>
        </w:rPr>
      </w:pPr>
      <w:r>
        <w:rPr>
          <w:color w:val="auto"/>
          <w:sz w:val="24"/>
          <w:szCs w:val="24"/>
          <w:highlight w:val="none"/>
        </w:rPr>
        <w:t>委托代理人：</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 xml:space="preserve">  委托代理人：</w:t>
      </w:r>
      <w:r>
        <w:rPr>
          <w:color w:val="auto"/>
          <w:sz w:val="24"/>
          <w:szCs w:val="24"/>
          <w:highlight w:val="none"/>
          <w:u w:val="single" w:color="auto"/>
        </w:rPr>
        <w:t xml:space="preserve">                 </w:t>
      </w:r>
    </w:p>
    <w:p>
      <w:pPr>
        <w:pStyle w:val="11"/>
        <w:spacing w:before="183" w:line="221" w:lineRule="auto"/>
        <w:ind w:left="37"/>
        <w:rPr>
          <w:color w:val="auto"/>
          <w:sz w:val="24"/>
          <w:szCs w:val="24"/>
          <w:highlight w:val="none"/>
        </w:rPr>
      </w:pPr>
      <w:r>
        <w:rPr>
          <w:color w:val="auto"/>
          <w:spacing w:val="-16"/>
          <w:sz w:val="24"/>
          <w:szCs w:val="24"/>
          <w:highlight w:val="none"/>
        </w:rPr>
        <w:t>电</w:t>
      </w:r>
      <w:r>
        <w:rPr>
          <w:color w:val="auto"/>
          <w:spacing w:val="5"/>
          <w:sz w:val="24"/>
          <w:szCs w:val="24"/>
          <w:highlight w:val="none"/>
        </w:rPr>
        <w:t xml:space="preserve">  </w:t>
      </w:r>
      <w:r>
        <w:rPr>
          <w:color w:val="auto"/>
          <w:spacing w:val="-16"/>
          <w:sz w:val="24"/>
          <w:szCs w:val="24"/>
          <w:highlight w:val="none"/>
        </w:rPr>
        <w:t>话：</w:t>
      </w:r>
      <w:r>
        <w:rPr>
          <w:color w:val="auto"/>
          <w:sz w:val="24"/>
          <w:szCs w:val="24"/>
          <w:highlight w:val="none"/>
          <w:u w:val="single" w:color="auto"/>
        </w:rPr>
        <w:t xml:space="preserve">                   </w:t>
      </w:r>
      <w:r>
        <w:rPr>
          <w:color w:val="auto"/>
          <w:spacing w:val="19"/>
          <w:sz w:val="24"/>
          <w:szCs w:val="24"/>
          <w:highlight w:val="none"/>
        </w:rPr>
        <w:t xml:space="preserve">  </w:t>
      </w:r>
      <w:r>
        <w:rPr>
          <w:color w:val="auto"/>
          <w:spacing w:val="-16"/>
          <w:sz w:val="24"/>
          <w:szCs w:val="24"/>
          <w:highlight w:val="none"/>
        </w:rPr>
        <w:t>电</w:t>
      </w:r>
      <w:r>
        <w:rPr>
          <w:color w:val="auto"/>
          <w:spacing w:val="4"/>
          <w:sz w:val="24"/>
          <w:szCs w:val="24"/>
          <w:highlight w:val="none"/>
        </w:rPr>
        <w:t xml:space="preserve">  </w:t>
      </w:r>
      <w:r>
        <w:rPr>
          <w:color w:val="auto"/>
          <w:spacing w:val="-16"/>
          <w:sz w:val="24"/>
          <w:szCs w:val="24"/>
          <w:highlight w:val="none"/>
        </w:rPr>
        <w:t>话：</w:t>
      </w:r>
      <w:r>
        <w:rPr>
          <w:color w:val="auto"/>
          <w:sz w:val="24"/>
          <w:szCs w:val="24"/>
          <w:highlight w:val="none"/>
          <w:u w:val="single" w:color="auto"/>
        </w:rPr>
        <w:t xml:space="preserve">                     </w:t>
      </w:r>
    </w:p>
    <w:p>
      <w:pPr>
        <w:pStyle w:val="11"/>
        <w:spacing w:before="177" w:line="219" w:lineRule="auto"/>
        <w:ind w:left="7"/>
        <w:rPr>
          <w:color w:val="auto"/>
          <w:sz w:val="24"/>
          <w:szCs w:val="24"/>
          <w:highlight w:val="none"/>
        </w:rPr>
      </w:pPr>
      <w:r>
        <w:rPr>
          <w:color w:val="auto"/>
          <w:spacing w:val="-4"/>
          <w:sz w:val="24"/>
          <w:szCs w:val="24"/>
          <w:highlight w:val="none"/>
        </w:rPr>
        <w:t>传</w:t>
      </w:r>
      <w:r>
        <w:rPr>
          <w:color w:val="auto"/>
          <w:spacing w:val="6"/>
          <w:sz w:val="24"/>
          <w:szCs w:val="24"/>
          <w:highlight w:val="none"/>
        </w:rPr>
        <w:t xml:space="preserve">  </w:t>
      </w:r>
      <w:r>
        <w:rPr>
          <w:color w:val="auto"/>
          <w:spacing w:val="-4"/>
          <w:sz w:val="24"/>
          <w:szCs w:val="24"/>
          <w:highlight w:val="none"/>
        </w:rPr>
        <w:t>真：</w:t>
      </w:r>
      <w:r>
        <w:rPr>
          <w:color w:val="auto"/>
          <w:sz w:val="24"/>
          <w:szCs w:val="24"/>
          <w:highlight w:val="none"/>
          <w:u w:val="single" w:color="auto"/>
        </w:rPr>
        <w:t xml:space="preserve">                   </w:t>
      </w:r>
      <w:r>
        <w:rPr>
          <w:color w:val="auto"/>
          <w:spacing w:val="-4"/>
          <w:sz w:val="24"/>
          <w:szCs w:val="24"/>
          <w:highlight w:val="none"/>
        </w:rPr>
        <w:t xml:space="preserve">  传</w:t>
      </w:r>
      <w:r>
        <w:rPr>
          <w:color w:val="auto"/>
          <w:spacing w:val="6"/>
          <w:sz w:val="24"/>
          <w:szCs w:val="24"/>
          <w:highlight w:val="none"/>
        </w:rPr>
        <w:t xml:space="preserve">  </w:t>
      </w:r>
      <w:r>
        <w:rPr>
          <w:color w:val="auto"/>
          <w:spacing w:val="-4"/>
          <w:sz w:val="24"/>
          <w:szCs w:val="24"/>
          <w:highlight w:val="none"/>
        </w:rPr>
        <w:t>真：</w:t>
      </w:r>
      <w:r>
        <w:rPr>
          <w:color w:val="auto"/>
          <w:sz w:val="24"/>
          <w:szCs w:val="24"/>
          <w:highlight w:val="none"/>
          <w:u w:val="single" w:color="auto"/>
        </w:rPr>
        <w:t xml:space="preserve">                     </w:t>
      </w:r>
    </w:p>
    <w:p>
      <w:pPr>
        <w:pStyle w:val="11"/>
        <w:spacing w:before="184" w:line="219" w:lineRule="auto"/>
        <w:ind w:left="37"/>
        <w:rPr>
          <w:color w:val="auto"/>
          <w:sz w:val="24"/>
          <w:szCs w:val="24"/>
          <w:highlight w:val="none"/>
        </w:rPr>
      </w:pPr>
      <w:r>
        <w:rPr>
          <w:color w:val="auto"/>
          <w:spacing w:val="-8"/>
          <w:sz w:val="24"/>
          <w:szCs w:val="24"/>
          <w:highlight w:val="none"/>
        </w:rPr>
        <w:t>电子信箱：</w:t>
      </w:r>
      <w:r>
        <w:rPr>
          <w:color w:val="auto"/>
          <w:sz w:val="24"/>
          <w:szCs w:val="24"/>
          <w:highlight w:val="none"/>
          <w:u w:val="single" w:color="auto"/>
        </w:rPr>
        <w:t xml:space="preserve">                 </w:t>
      </w:r>
      <w:r>
        <w:rPr>
          <w:color w:val="auto"/>
          <w:spacing w:val="20"/>
          <w:sz w:val="24"/>
          <w:szCs w:val="24"/>
          <w:highlight w:val="none"/>
        </w:rPr>
        <w:t xml:space="preserve">  </w:t>
      </w:r>
      <w:r>
        <w:rPr>
          <w:color w:val="auto"/>
          <w:spacing w:val="-8"/>
          <w:sz w:val="24"/>
          <w:szCs w:val="24"/>
          <w:highlight w:val="none"/>
        </w:rPr>
        <w:t>电子信箱：</w:t>
      </w:r>
      <w:r>
        <w:rPr>
          <w:color w:val="auto"/>
          <w:sz w:val="24"/>
          <w:szCs w:val="24"/>
          <w:highlight w:val="none"/>
          <w:u w:val="single" w:color="auto"/>
        </w:rPr>
        <w:t xml:space="preserve">                   </w:t>
      </w:r>
    </w:p>
    <w:p>
      <w:pPr>
        <w:pStyle w:val="11"/>
        <w:spacing w:before="180" w:line="220" w:lineRule="auto"/>
        <w:ind w:left="10"/>
        <w:rPr>
          <w:color w:val="auto"/>
          <w:sz w:val="24"/>
          <w:szCs w:val="24"/>
          <w:highlight w:val="none"/>
        </w:rPr>
      </w:pPr>
      <w:r>
        <w:rPr>
          <w:color w:val="auto"/>
          <w:spacing w:val="-1"/>
          <w:sz w:val="24"/>
          <w:szCs w:val="24"/>
          <w:highlight w:val="none"/>
        </w:rPr>
        <w:t>开户银行：</w:t>
      </w:r>
      <w:r>
        <w:rPr>
          <w:color w:val="auto"/>
          <w:spacing w:val="-1"/>
          <w:sz w:val="24"/>
          <w:szCs w:val="24"/>
          <w:highlight w:val="none"/>
          <w:u w:val="single" w:color="auto"/>
        </w:rPr>
        <w:t xml:space="preserve">                 </w:t>
      </w:r>
      <w:r>
        <w:rPr>
          <w:color w:val="auto"/>
          <w:spacing w:val="-1"/>
          <w:sz w:val="24"/>
          <w:szCs w:val="24"/>
          <w:highlight w:val="none"/>
        </w:rPr>
        <w:t xml:space="preserve">  开户银行：</w:t>
      </w:r>
      <w:r>
        <w:rPr>
          <w:color w:val="auto"/>
          <w:sz w:val="24"/>
          <w:szCs w:val="24"/>
          <w:highlight w:val="none"/>
          <w:u w:val="single" w:color="auto"/>
        </w:rPr>
        <w:t xml:space="preserve">                   </w:t>
      </w:r>
    </w:p>
    <w:p>
      <w:pPr>
        <w:pStyle w:val="11"/>
        <w:spacing w:before="181" w:line="221" w:lineRule="auto"/>
        <w:ind w:left="13"/>
        <w:rPr>
          <w:color w:val="auto"/>
          <w:sz w:val="24"/>
          <w:szCs w:val="24"/>
          <w:highlight w:val="none"/>
        </w:rPr>
      </w:pPr>
      <w:r>
        <w:rPr>
          <w:color w:val="auto"/>
          <w:spacing w:val="-7"/>
          <w:sz w:val="24"/>
          <w:szCs w:val="24"/>
          <w:highlight w:val="none"/>
        </w:rPr>
        <w:t>账</w:t>
      </w:r>
      <w:r>
        <w:rPr>
          <w:color w:val="auto"/>
          <w:spacing w:val="16"/>
          <w:sz w:val="24"/>
          <w:szCs w:val="24"/>
          <w:highlight w:val="none"/>
        </w:rPr>
        <w:t xml:space="preserve">  </w:t>
      </w:r>
      <w:r>
        <w:rPr>
          <w:color w:val="auto"/>
          <w:spacing w:val="-7"/>
          <w:sz w:val="24"/>
          <w:szCs w:val="24"/>
          <w:highlight w:val="none"/>
        </w:rPr>
        <w:t>号：</w:t>
      </w:r>
      <w:r>
        <w:rPr>
          <w:color w:val="auto"/>
          <w:sz w:val="24"/>
          <w:szCs w:val="24"/>
          <w:highlight w:val="none"/>
          <w:u w:val="single" w:color="auto"/>
        </w:rPr>
        <w:t xml:space="preserve">                   </w:t>
      </w:r>
      <w:r>
        <w:rPr>
          <w:color w:val="auto"/>
          <w:spacing w:val="4"/>
          <w:sz w:val="24"/>
          <w:szCs w:val="24"/>
          <w:highlight w:val="none"/>
        </w:rPr>
        <w:t xml:space="preserve">   </w:t>
      </w:r>
      <w:r>
        <w:rPr>
          <w:color w:val="auto"/>
          <w:spacing w:val="-7"/>
          <w:sz w:val="24"/>
          <w:szCs w:val="24"/>
          <w:highlight w:val="none"/>
        </w:rPr>
        <w:t>账</w:t>
      </w:r>
      <w:r>
        <w:rPr>
          <w:color w:val="auto"/>
          <w:spacing w:val="8"/>
          <w:sz w:val="24"/>
          <w:szCs w:val="24"/>
          <w:highlight w:val="none"/>
        </w:rPr>
        <w:t xml:space="preserve">  </w:t>
      </w:r>
      <w:r>
        <w:rPr>
          <w:color w:val="auto"/>
          <w:spacing w:val="-7"/>
          <w:sz w:val="24"/>
          <w:szCs w:val="24"/>
          <w:highlight w:val="none"/>
        </w:rPr>
        <w:t>号：</w:t>
      </w:r>
      <w:r>
        <w:rPr>
          <w:color w:val="auto"/>
          <w:spacing w:val="-7"/>
          <w:sz w:val="24"/>
          <w:szCs w:val="24"/>
          <w:highlight w:val="none"/>
          <w:u w:val="single" w:color="auto"/>
        </w:rPr>
        <w:t xml:space="preserve">                      </w:t>
      </w: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11"/>
        <w:spacing w:before="91" w:line="220" w:lineRule="auto"/>
        <w:outlineLvl w:val="1"/>
        <w:rPr>
          <w:color w:val="auto"/>
          <w:sz w:val="28"/>
          <w:szCs w:val="28"/>
          <w:highlight w:val="none"/>
          <w14:textOutline w14:w="5103" w14:cap="sq" w14:cmpd="sng">
            <w14:solidFill>
              <w14:srgbClr w14:val="000000"/>
            </w14:solidFill>
            <w14:prstDash w14:val="solid"/>
            <w14:bevel/>
          </w14:textOutline>
        </w:rPr>
      </w:pPr>
    </w:p>
    <w:p>
      <w:pPr>
        <w:rPr>
          <w:color w:val="auto"/>
          <w:sz w:val="28"/>
          <w:szCs w:val="28"/>
          <w:highlight w:val="none"/>
          <w14:textOutline w14:w="5103" w14:cap="sq" w14:cmpd="sng">
            <w14:solidFill>
              <w14:srgbClr w14:val="000000"/>
            </w14:solidFill>
            <w14:prstDash w14:val="solid"/>
            <w14:bevel/>
          </w14:textOutline>
        </w:rPr>
      </w:pPr>
    </w:p>
    <w:p>
      <w:pPr>
        <w:pStyle w:val="11"/>
        <w:keepNext w:val="0"/>
        <w:keepLines w:val="0"/>
        <w:pageBreakBefore w:val="0"/>
        <w:widowControl w:val="0"/>
        <w:kinsoku/>
        <w:wordWrap/>
        <w:overflowPunct/>
        <w:topLinePunct w:val="0"/>
        <w:autoSpaceDE/>
        <w:autoSpaceDN/>
        <w:bidi w:val="0"/>
        <w:adjustRightInd/>
        <w:snapToGrid/>
        <w:spacing w:before="91" w:line="221" w:lineRule="auto"/>
        <w:ind w:left="0"/>
        <w:jc w:val="center"/>
        <w:textAlignment w:val="auto"/>
        <w:outlineLvl w:val="1"/>
        <w:rPr>
          <w:color w:val="auto"/>
          <w:sz w:val="28"/>
          <w:szCs w:val="28"/>
          <w:highlight w:val="none"/>
        </w:rPr>
      </w:pPr>
      <w:r>
        <w:rPr>
          <w:color w:val="auto"/>
          <w:sz w:val="28"/>
          <w:szCs w:val="28"/>
          <w:highlight w:val="none"/>
          <w14:textOutline w14:w="5103" w14:cap="sq" w14:cmpd="sng">
            <w14:solidFill>
              <w14:srgbClr w14:val="000000"/>
            </w14:solidFill>
            <w14:prstDash w14:val="solid"/>
            <w14:bevel/>
          </w14:textOutline>
        </w:rPr>
        <w:t>第二部分</w:t>
      </w:r>
      <w:r>
        <w:rPr>
          <w:color w:val="auto"/>
          <w:sz w:val="28"/>
          <w:szCs w:val="28"/>
          <w:highlight w:val="none"/>
        </w:rPr>
        <w:t xml:space="preserve"> </w:t>
      </w:r>
      <w:r>
        <w:rPr>
          <w:color w:val="auto"/>
          <w:sz w:val="28"/>
          <w:szCs w:val="28"/>
          <w:highlight w:val="none"/>
          <w14:textOutline w14:w="5103" w14:cap="sq" w14:cmpd="sng">
            <w14:solidFill>
              <w14:srgbClr w14:val="000000"/>
            </w14:solidFill>
            <w14:prstDash w14:val="solid"/>
            <w14:bevel/>
          </w14:textOutline>
        </w:rPr>
        <w:t>通用合同条款</w:t>
      </w:r>
    </w:p>
    <w:p>
      <w:pPr>
        <w:pStyle w:val="11"/>
        <w:keepNext w:val="0"/>
        <w:keepLines w:val="0"/>
        <w:pageBreakBefore w:val="0"/>
        <w:widowControl w:val="0"/>
        <w:kinsoku/>
        <w:wordWrap/>
        <w:overflowPunct/>
        <w:topLinePunct w:val="0"/>
        <w:autoSpaceDE/>
        <w:autoSpaceDN/>
        <w:bidi w:val="0"/>
        <w:adjustRightInd/>
        <w:snapToGrid/>
        <w:spacing w:before="49" w:line="228" w:lineRule="auto"/>
        <w:ind w:left="0"/>
        <w:jc w:val="center"/>
        <w:textAlignment w:val="auto"/>
        <w:rPr>
          <w:color w:val="auto"/>
          <w:sz w:val="20"/>
          <w:szCs w:val="20"/>
          <w:highlight w:val="none"/>
        </w:rPr>
      </w:pPr>
      <w:r>
        <w:rPr>
          <w:color w:val="auto"/>
          <w:spacing w:val="4"/>
          <w:sz w:val="20"/>
          <w:szCs w:val="20"/>
          <w:highlight w:val="none"/>
        </w:rPr>
        <w:t>（略，见</w:t>
      </w:r>
      <w:r>
        <w:rPr>
          <w:color w:val="auto"/>
          <w:spacing w:val="-28"/>
          <w:sz w:val="20"/>
          <w:szCs w:val="20"/>
          <w:highlight w:val="none"/>
        </w:rPr>
        <w:t xml:space="preserve"> </w:t>
      </w:r>
      <w:r>
        <w:rPr>
          <w:color w:val="auto"/>
          <w:sz w:val="20"/>
          <w:szCs w:val="20"/>
          <w:highlight w:val="none"/>
        </w:rPr>
        <w:t>GF</w:t>
      </w:r>
      <w:r>
        <w:rPr>
          <w:color w:val="auto"/>
          <w:spacing w:val="4"/>
          <w:sz w:val="20"/>
          <w:szCs w:val="20"/>
          <w:highlight w:val="none"/>
        </w:rPr>
        <w:t>-2017-0201）</w:t>
      </w:r>
    </w:p>
    <w:p>
      <w:pPr>
        <w:keepNext w:val="0"/>
        <w:keepLines w:val="0"/>
        <w:pageBreakBefore w:val="0"/>
        <w:widowControl w:val="0"/>
        <w:kinsoku/>
        <w:wordWrap/>
        <w:overflowPunct/>
        <w:topLinePunct w:val="0"/>
        <w:autoSpaceDE/>
        <w:autoSpaceDN/>
        <w:bidi w:val="0"/>
        <w:adjustRightInd/>
        <w:snapToGrid/>
        <w:spacing w:line="241" w:lineRule="auto"/>
        <w:ind w:left="0"/>
        <w:jc w:val="center"/>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1" w:lineRule="auto"/>
        <w:ind w:left="0"/>
        <w:jc w:val="center"/>
        <w:textAlignment w:val="auto"/>
        <w:rPr>
          <w:rFonts w:ascii="Arial"/>
          <w:color w:val="auto"/>
          <w:sz w:val="21"/>
          <w:highlight w:val="none"/>
        </w:rPr>
      </w:pPr>
    </w:p>
    <w:p>
      <w:pPr>
        <w:pStyle w:val="11"/>
        <w:keepNext w:val="0"/>
        <w:keepLines w:val="0"/>
        <w:pageBreakBefore w:val="0"/>
        <w:widowControl w:val="0"/>
        <w:kinsoku/>
        <w:wordWrap/>
        <w:overflowPunct/>
        <w:topLinePunct w:val="0"/>
        <w:autoSpaceDE/>
        <w:autoSpaceDN/>
        <w:bidi w:val="0"/>
        <w:adjustRightInd/>
        <w:snapToGrid/>
        <w:spacing w:before="91" w:line="221" w:lineRule="auto"/>
        <w:ind w:left="0"/>
        <w:jc w:val="center"/>
        <w:textAlignment w:val="auto"/>
        <w:outlineLvl w:val="1"/>
        <w:rPr>
          <w:color w:val="auto"/>
          <w:sz w:val="28"/>
          <w:szCs w:val="28"/>
          <w:highlight w:val="none"/>
        </w:rPr>
      </w:pPr>
      <w:r>
        <w:rPr>
          <w:color w:val="auto"/>
          <w:sz w:val="28"/>
          <w:szCs w:val="28"/>
          <w:highlight w:val="none"/>
          <w14:textOutline w14:w="5103" w14:cap="sq" w14:cmpd="sng">
            <w14:solidFill>
              <w14:srgbClr w14:val="000000"/>
            </w14:solidFill>
            <w14:prstDash w14:val="solid"/>
            <w14:bevel/>
          </w14:textOutline>
        </w:rPr>
        <w:t>第三部分</w:t>
      </w:r>
      <w:r>
        <w:rPr>
          <w:color w:val="auto"/>
          <w:sz w:val="28"/>
          <w:szCs w:val="28"/>
          <w:highlight w:val="none"/>
        </w:rPr>
        <w:t xml:space="preserve"> </w:t>
      </w:r>
      <w:r>
        <w:rPr>
          <w:color w:val="auto"/>
          <w:sz w:val="28"/>
          <w:szCs w:val="28"/>
          <w:highlight w:val="none"/>
          <w14:textOutline w14:w="5103" w14:cap="sq" w14:cmpd="sng">
            <w14:solidFill>
              <w14:srgbClr w14:val="000000"/>
            </w14:solidFill>
            <w14:prstDash w14:val="solid"/>
            <w14:bevel/>
          </w14:textOutline>
        </w:rPr>
        <w:t>专用合同条款</w:t>
      </w:r>
    </w:p>
    <w:p>
      <w:pPr>
        <w:pStyle w:val="11"/>
        <w:keepNext w:val="0"/>
        <w:keepLines w:val="0"/>
        <w:pageBreakBefore w:val="0"/>
        <w:widowControl w:val="0"/>
        <w:kinsoku/>
        <w:wordWrap/>
        <w:overflowPunct/>
        <w:topLinePunct w:val="0"/>
        <w:autoSpaceDE/>
        <w:autoSpaceDN/>
        <w:bidi w:val="0"/>
        <w:adjustRightInd/>
        <w:snapToGrid/>
        <w:spacing w:before="49" w:line="228" w:lineRule="auto"/>
        <w:ind w:left="0"/>
        <w:jc w:val="center"/>
        <w:textAlignment w:val="auto"/>
        <w:rPr>
          <w:color w:val="auto"/>
          <w:sz w:val="20"/>
          <w:szCs w:val="20"/>
          <w:highlight w:val="none"/>
        </w:rPr>
      </w:pPr>
      <w:r>
        <w:rPr>
          <w:color w:val="auto"/>
          <w:spacing w:val="7"/>
          <w:sz w:val="20"/>
          <w:szCs w:val="20"/>
          <w:highlight w:val="none"/>
        </w:rPr>
        <w:t>（只列出了主要合同专用条款，其余条款见</w:t>
      </w:r>
      <w:r>
        <w:rPr>
          <w:color w:val="auto"/>
          <w:spacing w:val="-27"/>
          <w:sz w:val="20"/>
          <w:szCs w:val="20"/>
          <w:highlight w:val="none"/>
        </w:rPr>
        <w:t xml:space="preserve"> </w:t>
      </w:r>
      <w:r>
        <w:rPr>
          <w:color w:val="auto"/>
          <w:sz w:val="20"/>
          <w:szCs w:val="20"/>
          <w:highlight w:val="none"/>
        </w:rPr>
        <w:t>GF</w:t>
      </w:r>
      <w:r>
        <w:rPr>
          <w:color w:val="auto"/>
          <w:spacing w:val="7"/>
          <w:sz w:val="20"/>
          <w:szCs w:val="20"/>
          <w:highlight w:val="none"/>
        </w:rPr>
        <w:t>-2017-0201）</w:t>
      </w:r>
    </w:p>
    <w:p>
      <w:pPr>
        <w:pStyle w:val="11"/>
        <w:keepNext w:val="0"/>
        <w:keepLines w:val="0"/>
        <w:pageBreakBefore w:val="0"/>
        <w:widowControl w:val="0"/>
        <w:kinsoku/>
        <w:wordWrap/>
        <w:overflowPunct/>
        <w:topLinePunct w:val="0"/>
        <w:autoSpaceDE/>
        <w:autoSpaceDN/>
        <w:bidi w:val="0"/>
        <w:adjustRightInd/>
        <w:snapToGrid/>
        <w:spacing w:after="0" w:line="360" w:lineRule="auto"/>
        <w:ind w:left="15"/>
        <w:textAlignment w:val="auto"/>
        <w:rPr>
          <w:color w:val="auto"/>
          <w:sz w:val="24"/>
          <w:szCs w:val="24"/>
          <w:highlight w:val="none"/>
        </w:rPr>
      </w:pPr>
      <w:r>
        <w:rPr>
          <w:rFonts w:ascii="Times New Roman" w:hAnsi="Times New Roman" w:eastAsia="Times New Roman" w:cs="Times New Roman"/>
          <w:b/>
          <w:bCs/>
          <w:color w:val="auto"/>
          <w:spacing w:val="-5"/>
          <w:sz w:val="24"/>
          <w:szCs w:val="24"/>
          <w:highlight w:val="none"/>
        </w:rPr>
        <w:t>1.</w:t>
      </w:r>
      <w:r>
        <w:rPr>
          <w:rFonts w:ascii="Times New Roman" w:hAnsi="Times New Roman" w:eastAsia="Times New Roman" w:cs="Times New Roman"/>
          <w:b/>
          <w:bCs/>
          <w:color w:val="auto"/>
          <w:spacing w:val="7"/>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一般约定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1.1</w:t>
      </w:r>
      <w:r>
        <w:rPr>
          <w:color w:val="auto"/>
          <w:spacing w:val="11"/>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词语定义</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1.1.1</w:t>
      </w:r>
      <w:r>
        <w:rPr>
          <w:color w:val="auto"/>
          <w:spacing w:val="-49"/>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合同</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highlight w:val="none"/>
        </w:rPr>
        <w:fldChar w:fldCharType="begin"/>
      </w:r>
      <w:r>
        <w:rPr>
          <w:color w:val="auto"/>
          <w:highlight w:val="none"/>
        </w:rPr>
        <w:instrText xml:space="preserve"> HYPERLINK "1.1.1.10" </w:instrText>
      </w:r>
      <w:r>
        <w:rPr>
          <w:color w:val="auto"/>
          <w:highlight w:val="none"/>
        </w:rPr>
        <w:fldChar w:fldCharType="separate"/>
      </w:r>
      <w:r>
        <w:rPr>
          <w:color w:val="auto"/>
          <w:spacing w:val="-2"/>
          <w:sz w:val="24"/>
          <w:szCs w:val="24"/>
          <w:highlight w:val="none"/>
          <w14:textOutline w14:w="4358" w14:cap="sq" w14:cmpd="sng">
            <w14:solidFill>
              <w14:srgbClr w14:val="000000"/>
            </w14:solidFill>
            <w14:prstDash w14:val="solid"/>
            <w14:bevel/>
          </w14:textOutline>
        </w:rPr>
        <w:t>1.1.1.10</w:t>
      </w:r>
      <w:r>
        <w:rPr>
          <w:color w:val="auto"/>
          <w:spacing w:val="-2"/>
          <w:sz w:val="24"/>
          <w:szCs w:val="24"/>
          <w:highlight w:val="none"/>
          <w14:textOutline w14:w="4358" w14:cap="sq" w14:cmpd="sng">
            <w14:solidFill>
              <w14:srgbClr w14:val="000000"/>
            </w14:solidFill>
            <w14:prstDash w14:val="solid"/>
            <w14:bevel/>
          </w14:textOutline>
        </w:rPr>
        <w:fldChar w:fldCharType="end"/>
      </w:r>
      <w:r>
        <w:rPr>
          <w:color w:val="auto"/>
          <w:spacing w:val="-40"/>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其他合同文件包括：</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rPr>
          <w:color w:val="auto"/>
          <w:sz w:val="24"/>
          <w:szCs w:val="24"/>
          <w:highlight w:val="none"/>
        </w:rPr>
      </w:pPr>
      <w:r>
        <w:rPr>
          <w:color w:val="auto"/>
          <w:spacing w:val="-2"/>
          <w:sz w:val="24"/>
          <w:szCs w:val="24"/>
          <w:highlight w:val="none"/>
          <w:u w:val="single" w:color="auto"/>
        </w:rPr>
        <w:t>①本合同协议书；</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7"/>
        <w:textAlignment w:val="auto"/>
        <w:rPr>
          <w:color w:val="auto"/>
          <w:sz w:val="24"/>
          <w:szCs w:val="24"/>
          <w:highlight w:val="none"/>
        </w:rPr>
      </w:pPr>
      <w:r>
        <w:rPr>
          <w:color w:val="auto"/>
          <w:spacing w:val="-1"/>
          <w:sz w:val="24"/>
          <w:szCs w:val="24"/>
          <w:highlight w:val="none"/>
          <w:u w:val="single" w:color="auto"/>
        </w:rPr>
        <w:t>②本合同专用条款；</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7"/>
        <w:textAlignment w:val="auto"/>
        <w:rPr>
          <w:color w:val="auto"/>
          <w:sz w:val="24"/>
          <w:szCs w:val="24"/>
          <w:highlight w:val="none"/>
        </w:rPr>
      </w:pPr>
      <w:r>
        <w:rPr>
          <w:color w:val="auto"/>
          <w:spacing w:val="-1"/>
          <w:sz w:val="24"/>
          <w:szCs w:val="24"/>
          <w:highlight w:val="none"/>
          <w:u w:val="single" w:color="auto"/>
        </w:rPr>
        <w:t>③本合同通用条款；</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7"/>
        <w:textAlignment w:val="auto"/>
        <w:rPr>
          <w:color w:val="auto"/>
          <w:sz w:val="24"/>
          <w:szCs w:val="24"/>
          <w:highlight w:val="none"/>
        </w:rPr>
      </w:pPr>
      <w:r>
        <w:rPr>
          <w:color w:val="auto"/>
          <w:spacing w:val="-2"/>
          <w:sz w:val="24"/>
          <w:szCs w:val="24"/>
          <w:highlight w:val="none"/>
          <w:u w:val="single" w:color="auto"/>
        </w:rPr>
        <w:t>④中标通知书；</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7"/>
        <w:textAlignment w:val="auto"/>
        <w:rPr>
          <w:color w:val="auto"/>
          <w:sz w:val="24"/>
          <w:szCs w:val="24"/>
          <w:highlight w:val="none"/>
        </w:rPr>
      </w:pPr>
      <w:r>
        <w:rPr>
          <w:color w:val="auto"/>
          <w:spacing w:val="-1"/>
          <w:sz w:val="24"/>
          <w:szCs w:val="24"/>
          <w:highlight w:val="none"/>
          <w:u w:val="single" w:color="auto"/>
        </w:rPr>
        <w:t>⑤投标文件及报价函；</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7"/>
        <w:textAlignment w:val="auto"/>
        <w:rPr>
          <w:color w:val="auto"/>
          <w:sz w:val="24"/>
          <w:szCs w:val="24"/>
          <w:highlight w:val="none"/>
        </w:rPr>
      </w:pPr>
      <w:r>
        <w:rPr>
          <w:color w:val="auto"/>
          <w:spacing w:val="-2"/>
          <w:sz w:val="24"/>
          <w:szCs w:val="24"/>
          <w:highlight w:val="none"/>
          <w:u w:val="single" w:color="auto"/>
        </w:rPr>
        <w:t>⑥</w:t>
      </w:r>
      <w:r>
        <w:rPr>
          <w:rFonts w:hint="eastAsia"/>
          <w:color w:val="auto"/>
          <w:spacing w:val="-2"/>
          <w:sz w:val="24"/>
          <w:szCs w:val="24"/>
          <w:highlight w:val="none"/>
          <w:u w:val="single" w:color="auto"/>
          <w:lang w:val="en-US" w:eastAsia="zh-CN"/>
        </w:rPr>
        <w:t>招标</w:t>
      </w:r>
      <w:r>
        <w:rPr>
          <w:color w:val="auto"/>
          <w:spacing w:val="-2"/>
          <w:sz w:val="24"/>
          <w:szCs w:val="24"/>
          <w:highlight w:val="none"/>
          <w:u w:val="single" w:color="auto"/>
        </w:rPr>
        <w:t>文件；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7"/>
        <w:textAlignment w:val="auto"/>
        <w:rPr>
          <w:color w:val="auto"/>
          <w:sz w:val="24"/>
          <w:szCs w:val="24"/>
          <w:highlight w:val="none"/>
        </w:rPr>
      </w:pPr>
      <w:r>
        <w:rPr>
          <w:color w:val="auto"/>
          <w:spacing w:val="-2"/>
          <w:sz w:val="24"/>
          <w:szCs w:val="24"/>
          <w:highlight w:val="none"/>
          <w:u w:val="single" w:color="auto"/>
        </w:rPr>
        <w:t>⑦图纸；</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7"/>
        <w:textAlignment w:val="auto"/>
        <w:rPr>
          <w:color w:val="auto"/>
          <w:sz w:val="24"/>
          <w:szCs w:val="24"/>
          <w:highlight w:val="none"/>
        </w:rPr>
      </w:pPr>
      <w:r>
        <w:rPr>
          <w:color w:val="auto"/>
          <w:spacing w:val="-1"/>
          <w:sz w:val="24"/>
          <w:szCs w:val="24"/>
          <w:highlight w:val="none"/>
          <w:u w:val="single" w:color="auto"/>
        </w:rPr>
        <w:t>⑧标准、规范及有关技术文件；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12" w:right="20" w:firstLine="478"/>
        <w:textAlignment w:val="auto"/>
        <w:rPr>
          <w:color w:val="auto"/>
          <w:sz w:val="24"/>
          <w:szCs w:val="24"/>
          <w:highlight w:val="none"/>
        </w:rPr>
      </w:pPr>
      <w:r>
        <w:rPr>
          <w:color w:val="auto"/>
          <w:spacing w:val="-3"/>
          <w:sz w:val="24"/>
          <w:szCs w:val="24"/>
          <w:highlight w:val="none"/>
        </w:rPr>
        <w:t>合同履行中，发包人承包人有关工程的洽商、变更等书面协议或文件视为本合同的组成部</w:t>
      </w:r>
      <w:r>
        <w:rPr>
          <w:color w:val="auto"/>
          <w:spacing w:val="-7"/>
          <w:sz w:val="24"/>
          <w:szCs w:val="24"/>
          <w:highlight w:val="none"/>
        </w:rPr>
        <w:t>分。</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1.1.2</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合同当事人及其他相关方</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color w:val="auto"/>
          <w:spacing w:val="-4"/>
          <w:sz w:val="24"/>
          <w:szCs w:val="24"/>
          <w:highlight w:val="none"/>
        </w:rPr>
        <w:t>1.1.2.4</w:t>
      </w:r>
      <w:r>
        <w:rPr>
          <w:color w:val="auto"/>
          <w:spacing w:val="-4"/>
          <w:sz w:val="24"/>
          <w:szCs w:val="24"/>
          <w:highlight w:val="none"/>
        </w:rPr>
        <w:fldChar w:fldCharType="end"/>
      </w:r>
      <w:r>
        <w:rPr>
          <w:color w:val="auto"/>
          <w:spacing w:val="-45"/>
          <w:sz w:val="24"/>
          <w:szCs w:val="24"/>
          <w:highlight w:val="none"/>
        </w:rPr>
        <w:t xml:space="preserve"> </w:t>
      </w:r>
      <w:r>
        <w:rPr>
          <w:color w:val="auto"/>
          <w:spacing w:val="-4"/>
          <w:sz w:val="24"/>
          <w:szCs w:val="24"/>
          <w:highlight w:val="none"/>
        </w:rPr>
        <w:t>监理人：</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11"/>
          <w:sz w:val="24"/>
          <w:szCs w:val="24"/>
          <w:highlight w:val="none"/>
        </w:rPr>
        <w:t>名</w:t>
      </w:r>
      <w:r>
        <w:rPr>
          <w:color w:val="auto"/>
          <w:spacing w:val="2"/>
          <w:sz w:val="24"/>
          <w:szCs w:val="24"/>
          <w:highlight w:val="none"/>
        </w:rPr>
        <w:t xml:space="preserve">    </w:t>
      </w:r>
      <w:r>
        <w:rPr>
          <w:color w:val="auto"/>
          <w:spacing w:val="-11"/>
          <w:sz w:val="24"/>
          <w:szCs w:val="24"/>
          <w:highlight w:val="none"/>
        </w:rPr>
        <w:t>称</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9"/>
        <w:textAlignment w:val="auto"/>
        <w:rPr>
          <w:color w:val="auto"/>
          <w:sz w:val="24"/>
          <w:szCs w:val="24"/>
          <w:highlight w:val="none"/>
        </w:rPr>
      </w:pPr>
      <w:r>
        <w:rPr>
          <w:color w:val="auto"/>
          <w:spacing w:val="-3"/>
          <w:sz w:val="24"/>
          <w:szCs w:val="24"/>
          <w:highlight w:val="none"/>
        </w:rPr>
        <w:t>资质类别和等级</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3"/>
          <w:sz w:val="24"/>
          <w:szCs w:val="24"/>
          <w:highlight w:val="none"/>
        </w:rPr>
        <w:t>联系电话</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17"/>
        <w:textAlignment w:val="auto"/>
        <w:rPr>
          <w:color w:val="auto"/>
          <w:sz w:val="24"/>
          <w:szCs w:val="24"/>
          <w:highlight w:val="none"/>
        </w:rPr>
      </w:pPr>
      <w:r>
        <w:rPr>
          <w:color w:val="auto"/>
          <w:spacing w:val="-10"/>
          <w:sz w:val="24"/>
          <w:szCs w:val="24"/>
          <w:highlight w:val="none"/>
        </w:rPr>
        <w:t>电子信箱</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通信地址：</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color w:val="auto"/>
          <w:spacing w:val="-3"/>
          <w:sz w:val="24"/>
          <w:szCs w:val="24"/>
          <w:highlight w:val="none"/>
        </w:rPr>
        <w:t>1.1.2.5</w:t>
      </w:r>
      <w:r>
        <w:rPr>
          <w:color w:val="auto"/>
          <w:spacing w:val="-3"/>
          <w:sz w:val="24"/>
          <w:szCs w:val="24"/>
          <w:highlight w:val="none"/>
        </w:rPr>
        <w:fldChar w:fldCharType="end"/>
      </w:r>
      <w:r>
        <w:rPr>
          <w:color w:val="auto"/>
          <w:spacing w:val="-3"/>
          <w:sz w:val="24"/>
          <w:szCs w:val="24"/>
          <w:highlight w:val="none"/>
        </w:rPr>
        <w:t xml:space="preserve"> 设计人：</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11"/>
          <w:sz w:val="24"/>
          <w:szCs w:val="24"/>
          <w:highlight w:val="none"/>
        </w:rPr>
        <w:t>名</w:t>
      </w:r>
      <w:r>
        <w:rPr>
          <w:color w:val="auto"/>
          <w:spacing w:val="2"/>
          <w:sz w:val="24"/>
          <w:szCs w:val="24"/>
          <w:highlight w:val="none"/>
        </w:rPr>
        <w:t xml:space="preserve">    </w:t>
      </w:r>
      <w:r>
        <w:rPr>
          <w:color w:val="auto"/>
          <w:spacing w:val="-11"/>
          <w:sz w:val="24"/>
          <w:szCs w:val="24"/>
          <w:highlight w:val="none"/>
        </w:rPr>
        <w:t>称</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9"/>
        <w:textAlignment w:val="auto"/>
        <w:rPr>
          <w:color w:val="auto"/>
          <w:sz w:val="24"/>
          <w:szCs w:val="24"/>
          <w:highlight w:val="none"/>
        </w:rPr>
      </w:pPr>
      <w:r>
        <w:rPr>
          <w:color w:val="auto"/>
          <w:spacing w:val="-3"/>
          <w:sz w:val="24"/>
          <w:szCs w:val="24"/>
          <w:highlight w:val="none"/>
        </w:rPr>
        <w:t>资质类别和等级</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80" w:firstLine="484" w:firstLineChars="207"/>
        <w:textAlignment w:val="auto"/>
        <w:rPr>
          <w:rFonts w:ascii="Times New Roman" w:hAnsi="Times New Roman" w:eastAsia="宋体" w:cs="Times New Roman"/>
          <w:color w:val="auto"/>
          <w:spacing w:val="-3"/>
          <w:sz w:val="24"/>
          <w:highlight w:val="none"/>
        </w:rPr>
      </w:pPr>
      <w:r>
        <w:rPr>
          <w:color w:val="auto"/>
          <w:spacing w:val="-3"/>
          <w:sz w:val="24"/>
          <w:szCs w:val="24"/>
          <w:highlight w:val="none"/>
        </w:rPr>
        <w:t>联系电话：</w:t>
      </w:r>
      <w:r>
        <w:rPr>
          <w:color w:val="auto"/>
          <w:spacing w:val="-3"/>
          <w:sz w:val="24"/>
          <w:szCs w:val="24"/>
          <w:highlight w:val="none"/>
          <w:u w:val="single" w:color="auto"/>
        </w:rPr>
        <w:t xml:space="preserve">                                            </w:t>
      </w:r>
      <w:r>
        <w:rPr>
          <w:color w:val="auto"/>
          <w:spacing w:val="-3"/>
          <w:sz w:val="24"/>
          <w:szCs w:val="24"/>
          <w:highlight w:val="none"/>
          <w:u w:val="none" w:color="auto"/>
        </w:rPr>
        <w:t xml:space="preserve">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80" w:firstLine="484" w:firstLineChars="207"/>
        <w:textAlignment w:val="auto"/>
        <w:rPr>
          <w:color w:val="auto"/>
          <w:spacing w:val="-3"/>
          <w:sz w:val="24"/>
          <w:szCs w:val="24"/>
          <w:highlight w:val="none"/>
        </w:rPr>
      </w:pPr>
      <w:r>
        <w:rPr>
          <w:color w:val="auto"/>
          <w:spacing w:val="-3"/>
          <w:sz w:val="24"/>
          <w:szCs w:val="24"/>
          <w:highlight w:val="none"/>
        </w:rPr>
        <w:t>电子信箱：</w:t>
      </w:r>
      <w:r>
        <w:rPr>
          <w:color w:val="auto"/>
          <w:spacing w:val="-3"/>
          <w:sz w:val="24"/>
          <w:szCs w:val="24"/>
          <w:highlight w:val="none"/>
          <w:u w:val="single" w:color="auto"/>
        </w:rPr>
        <w:t xml:space="preserve">                                           </w:t>
      </w:r>
      <w:r>
        <w:rPr>
          <w:color w:val="auto"/>
          <w:spacing w:val="-3"/>
          <w:sz w:val="24"/>
          <w:szCs w:val="24"/>
          <w:highlight w:val="none"/>
          <w:u w:val="none" w:color="auto"/>
        </w:rPr>
        <w:t xml:space="preserve">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80" w:firstLine="18"/>
        <w:textAlignment w:val="auto"/>
        <w:rPr>
          <w:color w:val="auto"/>
          <w:spacing w:val="-3"/>
          <w:sz w:val="24"/>
          <w:szCs w:val="24"/>
          <w:highlight w:val="none"/>
        </w:rPr>
      </w:pPr>
      <w:r>
        <w:rPr>
          <w:color w:val="auto"/>
          <w:spacing w:val="-3"/>
          <w:sz w:val="24"/>
          <w:szCs w:val="24"/>
          <w:highlight w:val="none"/>
        </w:rPr>
        <w:t>通信地址：</w:t>
      </w:r>
      <w:r>
        <w:rPr>
          <w:color w:val="auto"/>
          <w:spacing w:val="-3"/>
          <w:sz w:val="24"/>
          <w:szCs w:val="24"/>
          <w:highlight w:val="none"/>
          <w:u w:val="none" w:color="auto"/>
        </w:rPr>
        <w:t xml:space="preserve">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1.1.3 工程和设备</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80" w:firstLine="18"/>
        <w:textAlignment w:val="auto"/>
        <w:rPr>
          <w:color w:val="auto"/>
          <w:sz w:val="24"/>
          <w:szCs w:val="24"/>
          <w:highlight w:val="none"/>
        </w:rPr>
      </w:pPr>
      <w:r>
        <w:rPr>
          <w:color w:val="auto"/>
          <w:highlight w:val="none"/>
        </w:rPr>
        <w:fldChar w:fldCharType="begin"/>
      </w:r>
      <w:r>
        <w:rPr>
          <w:color w:val="auto"/>
          <w:highlight w:val="none"/>
        </w:rPr>
        <w:instrText xml:space="preserve"> HYPERLINK "1.1.3.7" </w:instrText>
      </w:r>
      <w:r>
        <w:rPr>
          <w:color w:val="auto"/>
          <w:highlight w:val="none"/>
        </w:rPr>
        <w:fldChar w:fldCharType="separate"/>
      </w:r>
      <w:r>
        <w:rPr>
          <w:color w:val="auto"/>
          <w:spacing w:val="-3"/>
          <w:sz w:val="24"/>
          <w:szCs w:val="24"/>
          <w:highlight w:val="none"/>
        </w:rPr>
        <w:t>1.1.3.7</w:t>
      </w:r>
      <w:r>
        <w:rPr>
          <w:color w:val="auto"/>
          <w:spacing w:val="-3"/>
          <w:sz w:val="24"/>
          <w:szCs w:val="24"/>
          <w:highlight w:val="none"/>
        </w:rPr>
        <w:fldChar w:fldCharType="end"/>
      </w:r>
      <w:r>
        <w:rPr>
          <w:color w:val="auto"/>
          <w:spacing w:val="-3"/>
          <w:sz w:val="24"/>
          <w:szCs w:val="24"/>
          <w:highlight w:val="none"/>
        </w:rPr>
        <w:t xml:space="preserve"> 作为施工现场组成部分的其他场所包括：</w:t>
      </w:r>
      <w:r>
        <w:rPr>
          <w:color w:val="auto"/>
          <w:spacing w:val="-3"/>
          <w:sz w:val="24"/>
          <w:szCs w:val="24"/>
          <w:highlight w:val="none"/>
          <w:u w:val="single" w:color="auto"/>
        </w:rPr>
        <w:t xml:space="preserve">  指由发包人提供的用于工程施工的场所以</w:t>
      </w:r>
      <w:r>
        <w:rPr>
          <w:color w:val="auto"/>
          <w:spacing w:val="-1"/>
          <w:sz w:val="24"/>
          <w:szCs w:val="24"/>
          <w:highlight w:val="none"/>
          <w:u w:val="single" w:color="auto"/>
        </w:rPr>
        <w:t xml:space="preserve">及发包人在图纸中具体指定的供施工使用的任何其他场所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highlight w:val="none"/>
        </w:rPr>
        <w:fldChar w:fldCharType="begin"/>
      </w:r>
      <w:r>
        <w:rPr>
          <w:color w:val="auto"/>
          <w:highlight w:val="none"/>
        </w:rPr>
        <w:instrText xml:space="preserve"> HYPERLINK "1.1.3.9" </w:instrText>
      </w:r>
      <w:r>
        <w:rPr>
          <w:color w:val="auto"/>
          <w:highlight w:val="none"/>
        </w:rPr>
        <w:fldChar w:fldCharType="separate"/>
      </w:r>
      <w:r>
        <w:rPr>
          <w:color w:val="auto"/>
          <w:spacing w:val="-3"/>
          <w:sz w:val="24"/>
          <w:szCs w:val="24"/>
          <w:highlight w:val="none"/>
        </w:rPr>
        <w:t>1.1.3.9</w:t>
      </w:r>
      <w:r>
        <w:rPr>
          <w:color w:val="auto"/>
          <w:spacing w:val="-3"/>
          <w:sz w:val="24"/>
          <w:szCs w:val="24"/>
          <w:highlight w:val="none"/>
        </w:rPr>
        <w:fldChar w:fldCharType="end"/>
      </w:r>
      <w:r>
        <w:rPr>
          <w:color w:val="auto"/>
          <w:spacing w:val="-3"/>
          <w:sz w:val="24"/>
          <w:szCs w:val="24"/>
          <w:highlight w:val="none"/>
        </w:rPr>
        <w:t xml:space="preserve"> 永久占地包括：</w:t>
      </w:r>
      <w:r>
        <w:rPr>
          <w:color w:val="auto"/>
          <w:spacing w:val="2"/>
          <w:sz w:val="24"/>
          <w:szCs w:val="24"/>
          <w:highlight w:val="none"/>
          <w:u w:val="single" w:color="auto"/>
        </w:rPr>
        <w:t xml:space="preserve">           </w:t>
      </w:r>
      <w:r>
        <w:rPr>
          <w:color w:val="auto"/>
          <w:spacing w:val="-3"/>
          <w:sz w:val="24"/>
          <w:szCs w:val="24"/>
          <w:highlight w:val="none"/>
          <w:u w:val="single" w:color="auto"/>
        </w:rPr>
        <w:t>/</w:t>
      </w:r>
      <w:r>
        <w:rPr>
          <w:color w:val="auto"/>
          <w:sz w:val="24"/>
          <w:szCs w:val="24"/>
          <w:highlight w:val="none"/>
          <w:u w:val="single" w:color="auto"/>
        </w:rPr>
        <w:t xml:space="preserve">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highlight w:val="none"/>
        </w:rPr>
        <w:fldChar w:fldCharType="begin"/>
      </w:r>
      <w:r>
        <w:rPr>
          <w:color w:val="auto"/>
          <w:highlight w:val="none"/>
        </w:rPr>
        <w:instrText xml:space="preserve"> HYPERLINK "1.1.3.10" </w:instrText>
      </w:r>
      <w:r>
        <w:rPr>
          <w:color w:val="auto"/>
          <w:highlight w:val="none"/>
        </w:rPr>
        <w:fldChar w:fldCharType="separate"/>
      </w:r>
      <w:r>
        <w:rPr>
          <w:color w:val="auto"/>
          <w:spacing w:val="-2"/>
          <w:sz w:val="24"/>
          <w:szCs w:val="24"/>
          <w:highlight w:val="none"/>
        </w:rPr>
        <w:t>1.1.3.10</w:t>
      </w:r>
      <w:r>
        <w:rPr>
          <w:color w:val="auto"/>
          <w:spacing w:val="-2"/>
          <w:sz w:val="24"/>
          <w:szCs w:val="24"/>
          <w:highlight w:val="none"/>
        </w:rPr>
        <w:fldChar w:fldCharType="end"/>
      </w:r>
      <w:r>
        <w:rPr>
          <w:color w:val="auto"/>
          <w:spacing w:val="-2"/>
          <w:sz w:val="24"/>
          <w:szCs w:val="24"/>
          <w:highlight w:val="none"/>
        </w:rPr>
        <w:t xml:space="preserve"> 临时占地包括：</w:t>
      </w:r>
      <w:r>
        <w:rPr>
          <w:color w:val="auto"/>
          <w:spacing w:val="1"/>
          <w:sz w:val="24"/>
          <w:szCs w:val="24"/>
          <w:highlight w:val="none"/>
          <w:u w:val="single" w:color="auto"/>
        </w:rPr>
        <w:t xml:space="preserve">       </w:t>
      </w:r>
      <w:r>
        <w:rPr>
          <w:color w:val="auto"/>
          <w:spacing w:val="-2"/>
          <w:sz w:val="24"/>
          <w:szCs w:val="24"/>
          <w:highlight w:val="none"/>
          <w:u w:val="single" w:color="auto"/>
        </w:rPr>
        <w:t>/</w:t>
      </w:r>
      <w:r>
        <w:rPr>
          <w:color w:val="auto"/>
          <w:sz w:val="24"/>
          <w:szCs w:val="24"/>
          <w:highlight w:val="none"/>
          <w:u w:val="single" w:color="auto"/>
        </w:rPr>
        <w:t xml:space="preserve">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8"/>
          <w:sz w:val="24"/>
          <w:szCs w:val="24"/>
          <w:highlight w:val="none"/>
          <w14:textOutline w14:w="4358" w14:cap="sq" w14:cmpd="sng">
            <w14:solidFill>
              <w14:srgbClr w14:val="000000"/>
            </w14:solidFill>
            <w14:prstDash w14:val="solid"/>
            <w14:bevel/>
          </w14:textOutline>
        </w:rPr>
        <w:t>1.3</w:t>
      </w:r>
      <w:r>
        <w:rPr>
          <w:color w:val="auto"/>
          <w:spacing w:val="-46"/>
          <w:sz w:val="24"/>
          <w:szCs w:val="24"/>
          <w:highlight w:val="none"/>
        </w:rPr>
        <w:t xml:space="preserve"> </w:t>
      </w:r>
      <w:r>
        <w:rPr>
          <w:color w:val="auto"/>
          <w:spacing w:val="-8"/>
          <w:sz w:val="24"/>
          <w:szCs w:val="24"/>
          <w:highlight w:val="none"/>
          <w14:textOutline w14:w="4358" w14:cap="sq" w14:cmpd="sng">
            <w14:solidFill>
              <w14:srgbClr w14:val="000000"/>
            </w14:solidFill>
            <w14:prstDash w14:val="solid"/>
            <w14:bevel/>
          </w14:textOutline>
        </w:rPr>
        <w:t>法律</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firstLine="479"/>
        <w:jc w:val="both"/>
        <w:textAlignment w:val="auto"/>
        <w:rPr>
          <w:color w:val="auto"/>
          <w:sz w:val="24"/>
          <w:szCs w:val="24"/>
          <w:highlight w:val="none"/>
        </w:rPr>
      </w:pPr>
      <w:r>
        <w:rPr>
          <w:color w:val="auto"/>
          <w:spacing w:val="-11"/>
          <w:sz w:val="24"/>
          <w:szCs w:val="24"/>
          <w:highlight w:val="none"/>
        </w:rPr>
        <w:t>适用于合同的其他规范性文件：</w:t>
      </w:r>
      <w:r>
        <w:rPr>
          <w:color w:val="auto"/>
          <w:spacing w:val="56"/>
          <w:sz w:val="24"/>
          <w:szCs w:val="24"/>
          <w:highlight w:val="none"/>
          <w:u w:val="single" w:color="auto"/>
        </w:rPr>
        <w:t xml:space="preserve"> </w:t>
      </w:r>
      <w:r>
        <w:rPr>
          <w:color w:val="auto"/>
          <w:spacing w:val="-11"/>
          <w:sz w:val="24"/>
          <w:szCs w:val="24"/>
          <w:highlight w:val="none"/>
          <w:u w:val="single" w:color="auto"/>
        </w:rPr>
        <w:t>《中华人民共和国建筑法》、《中华人民共和国民法典》、</w:t>
      </w:r>
      <w:r>
        <w:rPr>
          <w:color w:val="auto"/>
          <w:spacing w:val="-3"/>
          <w:sz w:val="24"/>
          <w:szCs w:val="24"/>
          <w:highlight w:val="none"/>
          <w:u w:val="single" w:color="auto"/>
        </w:rPr>
        <w:t>国务院《建设工程质量管理条例》、国务院《建设工程安全生产管理条例》、建设部《房屋建筑工程和市政基础设施工程竣工验收备案管理暂行办法》、建设部《房屋建筑工程质量保修办</w:t>
      </w:r>
      <w:r>
        <w:rPr>
          <w:color w:val="auto"/>
          <w:spacing w:val="-2"/>
          <w:sz w:val="24"/>
          <w:szCs w:val="24"/>
          <w:highlight w:val="none"/>
          <w:u w:val="single" w:color="auto"/>
        </w:rPr>
        <w:t>法》、《建筑工程工程量清单计价规范》（</w:t>
      </w:r>
      <w:r>
        <w:rPr>
          <w:color w:val="auto"/>
          <w:spacing w:val="-3"/>
          <w:sz w:val="24"/>
          <w:szCs w:val="24"/>
          <w:highlight w:val="none"/>
          <w:u w:val="single" w:color="auto"/>
        </w:rPr>
        <w:t>GB50500-2008）、《陕西省建设工程工程量清单计价规则》（2009版）、中华人民共和国《工程建设标准强制性条文》、现行《建筑工程质量验</w:t>
      </w:r>
      <w:r>
        <w:rPr>
          <w:color w:val="auto"/>
          <w:spacing w:val="-2"/>
          <w:sz w:val="24"/>
          <w:szCs w:val="24"/>
          <w:highlight w:val="none"/>
          <w:u w:val="single" w:color="auto"/>
        </w:rPr>
        <w:t>收统一标准》、《建筑工程施工及验收规范》等国家、部门及地</w:t>
      </w:r>
      <w:r>
        <w:rPr>
          <w:color w:val="auto"/>
          <w:spacing w:val="-3"/>
          <w:sz w:val="24"/>
          <w:szCs w:val="24"/>
          <w:highlight w:val="none"/>
          <w:u w:val="single" w:color="auto"/>
        </w:rPr>
        <w:t>方现行及后续的有关法律、法</w:t>
      </w:r>
      <w:r>
        <w:rPr>
          <w:color w:val="auto"/>
          <w:spacing w:val="-1"/>
          <w:sz w:val="24"/>
          <w:szCs w:val="24"/>
          <w:highlight w:val="none"/>
          <w:u w:val="single" w:color="auto"/>
        </w:rPr>
        <w:t xml:space="preserve">规、规章、规范性文件等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rFonts w:ascii="Arial"/>
          <w:color w:val="auto"/>
          <w:sz w:val="21"/>
          <w:highlight w:val="none"/>
        </w:rPr>
      </w:pPr>
      <w:r>
        <w:rPr>
          <w:color w:val="auto"/>
          <w:spacing w:val="-3"/>
          <w:sz w:val="24"/>
          <w:szCs w:val="24"/>
          <w:highlight w:val="none"/>
          <w14:textOutline w14:w="4358" w14:cap="sq" w14:cmpd="sng">
            <w14:solidFill>
              <w14:srgbClr w14:val="000000"/>
            </w14:solidFill>
            <w14:prstDash w14:val="solid"/>
            <w14:bevel/>
          </w14:textOutline>
        </w:rPr>
        <w:t>1.4</w:t>
      </w:r>
      <w:r>
        <w:rPr>
          <w:color w:val="auto"/>
          <w:spacing w:val="-3"/>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标准和规范</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1.4.1</w:t>
      </w:r>
      <w:r>
        <w:rPr>
          <w:color w:val="auto"/>
          <w:spacing w:val="-51"/>
          <w:sz w:val="24"/>
          <w:szCs w:val="24"/>
          <w:highlight w:val="none"/>
        </w:rPr>
        <w:t xml:space="preserve"> </w:t>
      </w:r>
      <w:r>
        <w:rPr>
          <w:color w:val="auto"/>
          <w:spacing w:val="-3"/>
          <w:sz w:val="24"/>
          <w:szCs w:val="24"/>
          <w:highlight w:val="none"/>
        </w:rPr>
        <w:t>适用于工程的标准规范包括：</w:t>
      </w:r>
      <w:r>
        <w:rPr>
          <w:color w:val="auto"/>
          <w:spacing w:val="-3"/>
          <w:sz w:val="24"/>
          <w:szCs w:val="24"/>
          <w:highlight w:val="none"/>
          <w:u w:val="single" w:color="auto"/>
        </w:rPr>
        <w:t>执</w:t>
      </w:r>
      <w:r>
        <w:rPr>
          <w:color w:val="auto"/>
          <w:spacing w:val="-4"/>
          <w:sz w:val="24"/>
          <w:szCs w:val="24"/>
          <w:highlight w:val="none"/>
          <w:u w:val="single" w:color="auto"/>
        </w:rPr>
        <w:t>行现行国家标准、规范，没有国家标准、规范但</w:t>
      </w:r>
      <w:r>
        <w:rPr>
          <w:color w:val="auto"/>
          <w:spacing w:val="1"/>
          <w:sz w:val="24"/>
          <w:szCs w:val="24"/>
          <w:highlight w:val="none"/>
          <w:u w:val="single" w:color="auto"/>
        </w:rPr>
        <w:t>有行业标准、规范的，执行行业标准、规范  。</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1"/>
          <w:sz w:val="24"/>
          <w:szCs w:val="24"/>
          <w:highlight w:val="none"/>
        </w:rPr>
        <w:t>1.4.2 发包人提供国外标准、规范的名称：</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发包人提供国外标准、规范的份数：</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发包人提供国外标准、规范的名称：</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sz w:val="24"/>
          <w:szCs w:val="24"/>
          <w:highlight w:val="none"/>
        </w:rPr>
        <w:t>1.4.3</w:t>
      </w:r>
      <w:r>
        <w:rPr>
          <w:color w:val="auto"/>
          <w:spacing w:val="-36"/>
          <w:sz w:val="24"/>
          <w:szCs w:val="24"/>
          <w:highlight w:val="none"/>
        </w:rPr>
        <w:t xml:space="preserve"> </w:t>
      </w:r>
      <w:r>
        <w:rPr>
          <w:color w:val="auto"/>
          <w:spacing w:val="-1"/>
          <w:sz w:val="24"/>
          <w:szCs w:val="24"/>
          <w:highlight w:val="none"/>
        </w:rPr>
        <w:t>发包人对工程的技术标准和功能要求的特殊要求：</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1.5</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合同文件的优先顺序</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rPr>
        <w:t>合同文件组成及优先顺序为：</w:t>
      </w:r>
      <w:r>
        <w:rPr>
          <w:color w:val="auto"/>
          <w:spacing w:val="-1"/>
          <w:sz w:val="24"/>
          <w:szCs w:val="24"/>
          <w:highlight w:val="none"/>
          <w:u w:val="single" w:color="auto"/>
        </w:rPr>
        <w:t xml:space="preserve">  1、本合同协议书及其附件；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1"/>
          <w:sz w:val="24"/>
          <w:szCs w:val="24"/>
          <w:highlight w:val="none"/>
          <w:u w:val="single" w:color="auto"/>
        </w:rPr>
        <w:t>2、本合同专用条款及其附件；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2"/>
          <w:sz w:val="24"/>
          <w:szCs w:val="24"/>
          <w:highlight w:val="none"/>
          <w:u w:val="single" w:color="auto"/>
        </w:rPr>
        <w:t>3、本合同通用条款及其附件；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rPr>
          <w:color w:val="auto"/>
          <w:sz w:val="24"/>
          <w:szCs w:val="24"/>
          <w:highlight w:val="none"/>
        </w:rPr>
      </w:pPr>
      <w:r>
        <w:rPr>
          <w:color w:val="auto"/>
          <w:spacing w:val="-1"/>
          <w:sz w:val="24"/>
          <w:szCs w:val="24"/>
          <w:highlight w:val="none"/>
          <w:u w:val="single" w:color="auto"/>
        </w:rPr>
        <w:t>4、经发包人认可的承包人各项承诺；</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rFonts w:ascii="Arial"/>
          <w:color w:val="auto"/>
          <w:sz w:val="21"/>
          <w:highlight w:val="none"/>
        </w:rPr>
      </w:pPr>
      <w:r>
        <w:rPr>
          <w:color w:val="auto"/>
          <w:spacing w:val="-2"/>
          <w:sz w:val="24"/>
          <w:szCs w:val="24"/>
          <w:highlight w:val="none"/>
          <w:u w:val="single" w:color="auto"/>
        </w:rPr>
        <w:t>5、中标通知书；</w:t>
      </w:r>
    </w:p>
    <w:p>
      <w:pPr>
        <w:pStyle w:val="11"/>
        <w:spacing w:before="78" w:line="219" w:lineRule="auto"/>
        <w:ind w:left="491"/>
        <w:rPr>
          <w:color w:val="auto"/>
          <w:sz w:val="24"/>
          <w:szCs w:val="24"/>
          <w:highlight w:val="none"/>
        </w:rPr>
      </w:pPr>
      <w:r>
        <w:rPr>
          <w:color w:val="auto"/>
          <w:spacing w:val="-2"/>
          <w:sz w:val="24"/>
          <w:szCs w:val="24"/>
          <w:highlight w:val="none"/>
          <w:u w:val="single" w:color="auto"/>
        </w:rPr>
        <w:t>6、投标书及其附件；</w:t>
      </w:r>
    </w:p>
    <w:p>
      <w:pPr>
        <w:pStyle w:val="11"/>
        <w:spacing w:before="183" w:line="219" w:lineRule="auto"/>
        <w:ind w:left="495"/>
        <w:rPr>
          <w:color w:val="auto"/>
          <w:sz w:val="24"/>
          <w:szCs w:val="24"/>
          <w:highlight w:val="none"/>
        </w:rPr>
      </w:pPr>
      <w:r>
        <w:rPr>
          <w:color w:val="auto"/>
          <w:spacing w:val="-2"/>
          <w:sz w:val="24"/>
          <w:szCs w:val="24"/>
          <w:highlight w:val="none"/>
          <w:u w:val="single" w:color="auto"/>
        </w:rPr>
        <w:t>7、</w:t>
      </w:r>
      <w:r>
        <w:rPr>
          <w:rFonts w:hint="eastAsia"/>
          <w:color w:val="auto"/>
          <w:spacing w:val="-2"/>
          <w:sz w:val="24"/>
          <w:szCs w:val="24"/>
          <w:highlight w:val="none"/>
          <w:u w:val="single" w:color="auto"/>
          <w:lang w:val="en-US" w:eastAsia="zh-CN"/>
        </w:rPr>
        <w:t>招标</w:t>
      </w:r>
      <w:r>
        <w:rPr>
          <w:color w:val="auto"/>
          <w:spacing w:val="-2"/>
          <w:sz w:val="24"/>
          <w:szCs w:val="24"/>
          <w:highlight w:val="none"/>
          <w:u w:val="single" w:color="auto"/>
        </w:rPr>
        <w:t>文件及其附件；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2"/>
          <w:sz w:val="24"/>
          <w:szCs w:val="24"/>
          <w:highlight w:val="none"/>
          <w:u w:val="single" w:color="auto"/>
        </w:rPr>
        <w:t>8、标准、规范；</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3"/>
          <w:sz w:val="24"/>
          <w:szCs w:val="24"/>
          <w:highlight w:val="none"/>
          <w:u w:val="single" w:color="auto"/>
        </w:rPr>
        <w:t>9、图纸；</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u w:val="single" w:color="auto"/>
        </w:rPr>
        <w:t>10、工程量清单、工程报价单或预算书；</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u w:val="single" w:color="auto"/>
        </w:rPr>
        <w:t>11、其他合同文件</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1.6</w:t>
      </w:r>
      <w:r>
        <w:rPr>
          <w:color w:val="auto"/>
          <w:spacing w:val="36"/>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图纸和承包人文件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6"/>
          <w:sz w:val="24"/>
          <w:szCs w:val="24"/>
          <w:highlight w:val="none"/>
        </w:rPr>
        <w:t>1.6.1</w:t>
      </w:r>
      <w:r>
        <w:rPr>
          <w:color w:val="auto"/>
          <w:spacing w:val="32"/>
          <w:sz w:val="24"/>
          <w:szCs w:val="24"/>
          <w:highlight w:val="none"/>
        </w:rPr>
        <w:t xml:space="preserve"> </w:t>
      </w:r>
      <w:r>
        <w:rPr>
          <w:color w:val="auto"/>
          <w:spacing w:val="-6"/>
          <w:sz w:val="24"/>
          <w:szCs w:val="24"/>
          <w:highlight w:val="none"/>
        </w:rPr>
        <w:t>图纸的提供</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708" w:firstLineChars="300"/>
        <w:jc w:val="left"/>
        <w:textAlignment w:val="auto"/>
        <w:rPr>
          <w:color w:val="auto"/>
          <w:sz w:val="24"/>
          <w:szCs w:val="24"/>
          <w:highlight w:val="none"/>
        </w:rPr>
      </w:pPr>
      <w:r>
        <w:rPr>
          <w:color w:val="auto"/>
          <w:spacing w:val="-2"/>
          <w:sz w:val="24"/>
          <w:szCs w:val="24"/>
          <w:highlight w:val="none"/>
        </w:rPr>
        <w:t>发包人向承包人提供图纸的期限：</w:t>
      </w:r>
      <w:r>
        <w:rPr>
          <w:color w:val="auto"/>
          <w:spacing w:val="-2"/>
          <w:sz w:val="24"/>
          <w:szCs w:val="24"/>
          <w:highlight w:val="none"/>
          <w:u w:val="single" w:color="auto"/>
        </w:rPr>
        <w:t xml:space="preserve"> 取得中标通知书</w:t>
      </w:r>
      <w:r>
        <w:rPr>
          <w:color w:val="auto"/>
          <w:spacing w:val="-3"/>
          <w:sz w:val="24"/>
          <w:szCs w:val="24"/>
          <w:highlight w:val="none"/>
          <w:u w:val="single" w:color="auto"/>
        </w:rPr>
        <w:t>或施工批复后</w:t>
      </w:r>
      <w:r>
        <w:rPr>
          <w:color w:val="auto"/>
          <w:spacing w:val="-46"/>
          <w:sz w:val="24"/>
          <w:szCs w:val="24"/>
          <w:highlight w:val="none"/>
          <w:u w:val="single" w:color="auto"/>
        </w:rPr>
        <w:t xml:space="preserve"> </w:t>
      </w:r>
      <w:r>
        <w:rPr>
          <w:color w:val="auto"/>
          <w:spacing w:val="-3"/>
          <w:sz w:val="24"/>
          <w:szCs w:val="24"/>
          <w:highlight w:val="none"/>
          <w:u w:val="single" w:color="auto"/>
        </w:rPr>
        <w:t>3</w:t>
      </w:r>
      <w:r>
        <w:rPr>
          <w:color w:val="auto"/>
          <w:spacing w:val="-51"/>
          <w:sz w:val="24"/>
          <w:szCs w:val="24"/>
          <w:highlight w:val="none"/>
          <w:u w:val="single" w:color="auto"/>
        </w:rPr>
        <w:t xml:space="preserve"> </w:t>
      </w:r>
      <w:r>
        <w:rPr>
          <w:color w:val="auto"/>
          <w:spacing w:val="-3"/>
          <w:sz w:val="24"/>
          <w:szCs w:val="24"/>
          <w:highlight w:val="none"/>
          <w:u w:val="single" w:color="auto"/>
        </w:rPr>
        <w:t xml:space="preserve">个工作日内提供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2" w:firstLineChars="200"/>
        <w:jc w:val="left"/>
        <w:textAlignment w:val="auto"/>
        <w:rPr>
          <w:color w:val="auto"/>
          <w:sz w:val="24"/>
          <w:szCs w:val="24"/>
          <w:highlight w:val="none"/>
        </w:rPr>
      </w:pPr>
      <w:r>
        <w:rPr>
          <w:color w:val="auto"/>
          <w:spacing w:val="-2"/>
          <w:sz w:val="24"/>
          <w:szCs w:val="24"/>
          <w:highlight w:val="none"/>
        </w:rPr>
        <w:t>发包人向承包人提供图纸的数量：</w:t>
      </w:r>
      <w:r>
        <w:rPr>
          <w:color w:val="auto"/>
          <w:spacing w:val="-2"/>
          <w:sz w:val="24"/>
          <w:szCs w:val="24"/>
          <w:highlight w:val="none"/>
          <w:u w:val="single" w:color="auto"/>
        </w:rPr>
        <w:t xml:space="preserve"> 2</w:t>
      </w:r>
      <w:r>
        <w:rPr>
          <w:color w:val="auto"/>
          <w:spacing w:val="-42"/>
          <w:sz w:val="24"/>
          <w:szCs w:val="24"/>
          <w:highlight w:val="none"/>
          <w:u w:val="single" w:color="auto"/>
        </w:rPr>
        <w:t xml:space="preserve"> </w:t>
      </w:r>
      <w:r>
        <w:rPr>
          <w:color w:val="auto"/>
          <w:spacing w:val="-2"/>
          <w:sz w:val="24"/>
          <w:szCs w:val="24"/>
          <w:highlight w:val="none"/>
          <w:u w:val="single" w:color="auto"/>
        </w:rPr>
        <w:t>套，承包人需要多套施工图的，</w:t>
      </w:r>
      <w:r>
        <w:rPr>
          <w:color w:val="auto"/>
          <w:spacing w:val="-71"/>
          <w:sz w:val="24"/>
          <w:szCs w:val="24"/>
          <w:highlight w:val="none"/>
          <w:u w:val="single" w:color="auto"/>
        </w:rPr>
        <w:t xml:space="preserve"> </w:t>
      </w:r>
      <w:r>
        <w:rPr>
          <w:color w:val="auto"/>
          <w:spacing w:val="-2"/>
          <w:sz w:val="24"/>
          <w:szCs w:val="24"/>
          <w:highlight w:val="none"/>
          <w:u w:val="single" w:color="auto"/>
        </w:rPr>
        <w:t xml:space="preserve">自费复印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jc w:val="left"/>
        <w:textAlignment w:val="auto"/>
        <w:rPr>
          <w:color w:val="auto"/>
          <w:sz w:val="24"/>
          <w:szCs w:val="24"/>
          <w:highlight w:val="none"/>
        </w:rPr>
      </w:pPr>
      <w:r>
        <w:rPr>
          <w:color w:val="auto"/>
          <w:spacing w:val="-1"/>
          <w:sz w:val="24"/>
          <w:szCs w:val="24"/>
          <w:highlight w:val="none"/>
        </w:rPr>
        <w:t>发包人向承包人提供图纸的内容：</w:t>
      </w:r>
      <w:r>
        <w:rPr>
          <w:color w:val="auto"/>
          <w:spacing w:val="-1"/>
          <w:sz w:val="24"/>
          <w:szCs w:val="24"/>
          <w:highlight w:val="none"/>
          <w:u w:val="single" w:color="auto"/>
        </w:rPr>
        <w:t xml:space="preserve">本合同发包内容中的全部图纸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jc w:val="left"/>
        <w:textAlignment w:val="auto"/>
        <w:outlineLvl w:val="0"/>
        <w:rPr>
          <w:color w:val="auto"/>
          <w:sz w:val="24"/>
          <w:szCs w:val="24"/>
          <w:highlight w:val="none"/>
        </w:rPr>
      </w:pPr>
      <w:r>
        <w:rPr>
          <w:color w:val="auto"/>
          <w:spacing w:val="-3"/>
          <w:sz w:val="24"/>
          <w:szCs w:val="24"/>
          <w:highlight w:val="none"/>
        </w:rPr>
        <w:t>1.6.4 承包人文件</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2" w:firstLineChars="200"/>
        <w:jc w:val="left"/>
        <w:textAlignment w:val="auto"/>
        <w:rPr>
          <w:color w:val="auto"/>
          <w:sz w:val="24"/>
          <w:szCs w:val="24"/>
          <w:highlight w:val="none"/>
        </w:rPr>
      </w:pPr>
      <w:r>
        <w:rPr>
          <w:color w:val="auto"/>
          <w:spacing w:val="-2"/>
          <w:sz w:val="24"/>
          <w:szCs w:val="24"/>
          <w:highlight w:val="none"/>
        </w:rPr>
        <w:t>需要由承包人提供的文件，包括：</w:t>
      </w:r>
      <w:r>
        <w:rPr>
          <w:color w:val="auto"/>
          <w:spacing w:val="-2"/>
          <w:sz w:val="24"/>
          <w:szCs w:val="24"/>
          <w:highlight w:val="none"/>
          <w:u w:val="single" w:color="auto"/>
        </w:rPr>
        <w:t>施工组织设计和安全</w:t>
      </w:r>
      <w:r>
        <w:rPr>
          <w:color w:val="auto"/>
          <w:spacing w:val="-3"/>
          <w:sz w:val="24"/>
          <w:szCs w:val="24"/>
          <w:highlight w:val="none"/>
          <w:u w:val="single" w:color="auto"/>
        </w:rPr>
        <w:t>专项方案，每月</w:t>
      </w:r>
      <w:r>
        <w:rPr>
          <w:color w:val="auto"/>
          <w:spacing w:val="-48"/>
          <w:sz w:val="24"/>
          <w:szCs w:val="24"/>
          <w:highlight w:val="none"/>
          <w:u w:val="single" w:color="auto"/>
        </w:rPr>
        <w:t xml:space="preserve"> </w:t>
      </w:r>
      <w:r>
        <w:rPr>
          <w:color w:val="auto"/>
          <w:spacing w:val="-3"/>
          <w:sz w:val="24"/>
          <w:szCs w:val="24"/>
          <w:highlight w:val="none"/>
          <w:u w:val="single" w:color="auto"/>
        </w:rPr>
        <w:t>25 日前提供本月</w:t>
      </w:r>
      <w:r>
        <w:rPr>
          <w:color w:val="auto"/>
          <w:spacing w:val="-1"/>
          <w:sz w:val="24"/>
          <w:szCs w:val="24"/>
          <w:highlight w:val="none"/>
          <w:u w:val="single" w:color="auto"/>
        </w:rPr>
        <w:t xml:space="preserve">完成工程量报表、下月进度计划详表等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right="53" w:firstLine="476" w:firstLineChars="200"/>
        <w:jc w:val="left"/>
        <w:textAlignment w:val="auto"/>
        <w:rPr>
          <w:color w:val="auto"/>
          <w:sz w:val="24"/>
          <w:szCs w:val="24"/>
          <w:highlight w:val="none"/>
        </w:rPr>
      </w:pPr>
      <w:r>
        <w:rPr>
          <w:color w:val="auto"/>
          <w:spacing w:val="-1"/>
          <w:sz w:val="24"/>
          <w:szCs w:val="24"/>
          <w:highlight w:val="none"/>
        </w:rPr>
        <w:t>承包人提供的文件的期限为：</w:t>
      </w:r>
      <w:r>
        <w:rPr>
          <w:color w:val="auto"/>
          <w:spacing w:val="-1"/>
          <w:sz w:val="24"/>
          <w:szCs w:val="24"/>
          <w:highlight w:val="none"/>
          <w:u w:val="single" w:color="auto"/>
        </w:rPr>
        <w:t xml:space="preserve">  合同签订后</w:t>
      </w:r>
      <w:r>
        <w:rPr>
          <w:color w:val="auto"/>
          <w:spacing w:val="-24"/>
          <w:sz w:val="24"/>
          <w:szCs w:val="24"/>
          <w:highlight w:val="none"/>
          <w:u w:val="single" w:color="auto"/>
        </w:rPr>
        <w:t xml:space="preserve"> </w:t>
      </w:r>
      <w:r>
        <w:rPr>
          <w:color w:val="auto"/>
          <w:spacing w:val="-1"/>
          <w:sz w:val="24"/>
          <w:szCs w:val="24"/>
          <w:highlight w:val="none"/>
          <w:u w:val="single" w:color="auto"/>
        </w:rPr>
        <w:t>14</w:t>
      </w:r>
      <w:r>
        <w:rPr>
          <w:color w:val="auto"/>
          <w:spacing w:val="-43"/>
          <w:sz w:val="24"/>
          <w:szCs w:val="24"/>
          <w:highlight w:val="none"/>
          <w:u w:val="single" w:color="auto"/>
        </w:rPr>
        <w:t xml:space="preserve"> </w:t>
      </w:r>
      <w:r>
        <w:rPr>
          <w:color w:val="auto"/>
          <w:spacing w:val="-1"/>
          <w:sz w:val="24"/>
          <w:szCs w:val="24"/>
          <w:highlight w:val="none"/>
          <w:u w:val="single" w:color="auto"/>
        </w:rPr>
        <w:t>天内，但最迟不得晚于开工日期前</w:t>
      </w:r>
      <w:r>
        <w:rPr>
          <w:color w:val="auto"/>
          <w:spacing w:val="-45"/>
          <w:sz w:val="24"/>
          <w:szCs w:val="24"/>
          <w:highlight w:val="none"/>
          <w:u w:val="single" w:color="auto"/>
        </w:rPr>
        <w:t xml:space="preserve"> </w:t>
      </w:r>
      <w:r>
        <w:rPr>
          <w:color w:val="auto"/>
          <w:spacing w:val="-1"/>
          <w:sz w:val="24"/>
          <w:szCs w:val="24"/>
          <w:highlight w:val="none"/>
          <w:u w:val="single" w:color="auto"/>
        </w:rPr>
        <w:t>7</w:t>
      </w:r>
      <w:r>
        <w:rPr>
          <w:color w:val="auto"/>
          <w:spacing w:val="-46"/>
          <w:sz w:val="24"/>
          <w:szCs w:val="24"/>
          <w:highlight w:val="none"/>
          <w:u w:val="single" w:color="auto"/>
        </w:rPr>
        <w:t xml:space="preserve"> </w:t>
      </w:r>
      <w:r>
        <w:rPr>
          <w:color w:val="auto"/>
          <w:spacing w:val="-1"/>
          <w:sz w:val="24"/>
          <w:szCs w:val="24"/>
          <w:highlight w:val="none"/>
          <w:u w:val="single" w:color="auto"/>
        </w:rPr>
        <w:t>天，应提供完善的施工组织设计和安全专项方案，每月</w:t>
      </w:r>
      <w:r>
        <w:rPr>
          <w:color w:val="auto"/>
          <w:spacing w:val="-48"/>
          <w:sz w:val="24"/>
          <w:szCs w:val="24"/>
          <w:highlight w:val="none"/>
          <w:u w:val="single" w:color="auto"/>
        </w:rPr>
        <w:t xml:space="preserve"> </w:t>
      </w:r>
      <w:r>
        <w:rPr>
          <w:color w:val="auto"/>
          <w:spacing w:val="-1"/>
          <w:sz w:val="24"/>
          <w:szCs w:val="24"/>
          <w:highlight w:val="none"/>
          <w:u w:val="single" w:color="auto"/>
        </w:rPr>
        <w:t xml:space="preserve">25 </w:t>
      </w:r>
      <w:r>
        <w:rPr>
          <w:color w:val="auto"/>
          <w:spacing w:val="-2"/>
          <w:sz w:val="24"/>
          <w:szCs w:val="24"/>
          <w:highlight w:val="none"/>
          <w:u w:val="single" w:color="auto"/>
        </w:rPr>
        <w:t>日前提供本月完成工程量报表、下月进</w:t>
      </w:r>
      <w:r>
        <w:rPr>
          <w:color w:val="auto"/>
          <w:spacing w:val="-1"/>
          <w:sz w:val="24"/>
          <w:szCs w:val="24"/>
          <w:highlight w:val="none"/>
          <w:u w:val="single" w:color="auto"/>
        </w:rPr>
        <w:t xml:space="preserve">度计划详表等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承包人提供的文件的数量为：</w:t>
      </w:r>
      <w:r>
        <w:rPr>
          <w:color w:val="auto"/>
          <w:sz w:val="24"/>
          <w:szCs w:val="24"/>
          <w:highlight w:val="none"/>
          <w:u w:val="single" w:color="auto"/>
        </w:rPr>
        <w:t xml:space="preserve">    按发包人、监理</w:t>
      </w:r>
      <w:r>
        <w:rPr>
          <w:color w:val="auto"/>
          <w:spacing w:val="-1"/>
          <w:sz w:val="24"/>
          <w:szCs w:val="24"/>
          <w:highlight w:val="none"/>
          <w:u w:val="single" w:color="auto"/>
        </w:rPr>
        <w:t xml:space="preserve">单位要求执行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1"/>
          <w:sz w:val="24"/>
          <w:szCs w:val="24"/>
          <w:highlight w:val="none"/>
        </w:rPr>
        <w:t>承包人提供的文件的形式为：</w:t>
      </w:r>
      <w:r>
        <w:rPr>
          <w:color w:val="auto"/>
          <w:spacing w:val="-1"/>
          <w:sz w:val="24"/>
          <w:szCs w:val="24"/>
          <w:highlight w:val="none"/>
          <w:u w:val="single" w:color="auto"/>
        </w:rPr>
        <w:t xml:space="preserve">    纸质版及电子版（可编辑版、PDF</w:t>
      </w:r>
      <w:r>
        <w:rPr>
          <w:color w:val="auto"/>
          <w:spacing w:val="-49"/>
          <w:sz w:val="24"/>
          <w:szCs w:val="24"/>
          <w:highlight w:val="none"/>
          <w:u w:val="single" w:color="auto"/>
        </w:rPr>
        <w:t xml:space="preserve"> </w:t>
      </w:r>
      <w:r>
        <w:rPr>
          <w:color w:val="auto"/>
          <w:spacing w:val="-1"/>
          <w:sz w:val="24"/>
          <w:szCs w:val="24"/>
          <w:highlight w:val="none"/>
          <w:u w:val="single" w:color="auto"/>
        </w:rPr>
        <w:t>版</w:t>
      </w:r>
      <w:r>
        <w:rPr>
          <w:color w:val="auto"/>
          <w:spacing w:val="6"/>
          <w:sz w:val="24"/>
          <w:szCs w:val="24"/>
          <w:highlight w:val="none"/>
          <w:u w:val="single" w:color="auto"/>
        </w:rPr>
        <w:t>）</w:t>
      </w:r>
      <w:r>
        <w:rPr>
          <w:color w:val="auto"/>
          <w:sz w:val="24"/>
          <w:szCs w:val="24"/>
          <w:highlight w:val="none"/>
          <w:u w:val="single" w:color="auto"/>
        </w:rPr>
        <w:t xml:space="preserve">    </w:t>
      </w:r>
      <w:r>
        <w:rPr>
          <w:color w:val="auto"/>
          <w:spacing w:val="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发包人审批承包人文件的期限：</w:t>
      </w:r>
      <w:r>
        <w:rPr>
          <w:color w:val="auto"/>
          <w:sz w:val="24"/>
          <w:szCs w:val="24"/>
          <w:highlight w:val="none"/>
          <w:u w:val="single" w:color="auto"/>
        </w:rPr>
        <w:t xml:space="preserve">  按发包</w:t>
      </w:r>
      <w:r>
        <w:rPr>
          <w:color w:val="auto"/>
          <w:spacing w:val="-1"/>
          <w:sz w:val="24"/>
          <w:szCs w:val="24"/>
          <w:highlight w:val="none"/>
          <w:u w:val="single" w:color="auto"/>
        </w:rPr>
        <w:t xml:space="preserve">人、监理单位要求执行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1.6.5 现场图纸准备</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rPr>
        <w:t>关于现场图纸准备的约定：</w:t>
      </w:r>
      <w:r>
        <w:rPr>
          <w:color w:val="auto"/>
          <w:spacing w:val="-3"/>
          <w:sz w:val="24"/>
          <w:szCs w:val="24"/>
          <w:highlight w:val="none"/>
          <w:u w:val="single" w:color="auto"/>
        </w:rPr>
        <w:t xml:space="preserve">  施工现场保留一套完整图纸供发包人、监理人及有关人员随时使用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8"/>
          <w:sz w:val="24"/>
          <w:szCs w:val="24"/>
          <w:highlight w:val="none"/>
          <w14:textOutline w14:w="4358" w14:cap="sq" w14:cmpd="sng">
            <w14:solidFill>
              <w14:srgbClr w14:val="000000"/>
            </w14:solidFill>
            <w14:prstDash w14:val="solid"/>
            <w14:bevel/>
          </w14:textOutline>
        </w:rPr>
        <w:t>1.7</w:t>
      </w:r>
      <w:r>
        <w:rPr>
          <w:color w:val="auto"/>
          <w:spacing w:val="14"/>
          <w:sz w:val="24"/>
          <w:szCs w:val="24"/>
          <w:highlight w:val="none"/>
        </w:rPr>
        <w:t xml:space="preserve"> </w:t>
      </w:r>
      <w:r>
        <w:rPr>
          <w:color w:val="auto"/>
          <w:spacing w:val="-8"/>
          <w:sz w:val="24"/>
          <w:szCs w:val="24"/>
          <w:highlight w:val="none"/>
          <w14:textOutline w14:w="4358" w14:cap="sq" w14:cmpd="sng">
            <w14:solidFill>
              <w14:srgbClr w14:val="000000"/>
            </w14:solidFill>
            <w14:prstDash w14:val="solid"/>
            <w14:bevel/>
          </w14:textOutline>
        </w:rPr>
        <w:t>联络</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0" w:firstLineChars="200"/>
        <w:jc w:val="left"/>
        <w:textAlignment w:val="auto"/>
        <w:rPr>
          <w:color w:val="auto"/>
          <w:sz w:val="24"/>
          <w:szCs w:val="24"/>
          <w:highlight w:val="none"/>
        </w:rPr>
      </w:pPr>
      <w:r>
        <w:rPr>
          <w:color w:val="auto"/>
          <w:spacing w:val="-5"/>
          <w:sz w:val="24"/>
          <w:szCs w:val="24"/>
          <w:highlight w:val="none"/>
        </w:rPr>
        <w:t>1.7.1</w:t>
      </w:r>
      <w:r>
        <w:rPr>
          <w:color w:val="auto"/>
          <w:spacing w:val="-47"/>
          <w:sz w:val="24"/>
          <w:szCs w:val="24"/>
          <w:highlight w:val="none"/>
        </w:rPr>
        <w:t xml:space="preserve"> </w:t>
      </w:r>
      <w:r>
        <w:rPr>
          <w:color w:val="auto"/>
          <w:spacing w:val="-5"/>
          <w:sz w:val="24"/>
          <w:szCs w:val="24"/>
          <w:highlight w:val="none"/>
        </w:rPr>
        <w:t>发包人和承包人应当在</w:t>
      </w:r>
      <w:r>
        <w:rPr>
          <w:color w:val="auto"/>
          <w:spacing w:val="-5"/>
          <w:sz w:val="24"/>
          <w:szCs w:val="24"/>
          <w:highlight w:val="none"/>
          <w:u w:val="single" w:color="auto"/>
        </w:rPr>
        <w:t xml:space="preserve"> 3  </w:t>
      </w:r>
      <w:r>
        <w:rPr>
          <w:color w:val="auto"/>
          <w:spacing w:val="-6"/>
          <w:sz w:val="24"/>
          <w:szCs w:val="24"/>
          <w:highlight w:val="none"/>
        </w:rPr>
        <w:t>天内将与合同有关的通知、批准、证明、证书、指示、</w:t>
      </w:r>
      <w:r>
        <w:rPr>
          <w:color w:val="auto"/>
          <w:sz w:val="24"/>
          <w:szCs w:val="24"/>
          <w:highlight w:val="none"/>
        </w:rPr>
        <w:t>指令、要求、请求、同意、意见、确定和决</w:t>
      </w:r>
      <w:r>
        <w:rPr>
          <w:color w:val="auto"/>
          <w:spacing w:val="-1"/>
          <w:sz w:val="24"/>
          <w:szCs w:val="24"/>
          <w:highlight w:val="none"/>
        </w:rPr>
        <w:t>定等书面函件送达对方当事人。</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1"/>
          <w:sz w:val="24"/>
          <w:szCs w:val="24"/>
          <w:highlight w:val="none"/>
        </w:rPr>
        <w:t>1.7.2 发包人接收文件的地点：</w:t>
      </w:r>
      <w:r>
        <w:rPr>
          <w:color w:val="auto"/>
          <w:spacing w:val="-1"/>
          <w:sz w:val="24"/>
          <w:szCs w:val="24"/>
          <w:highlight w:val="none"/>
          <w:u w:val="single" w:color="auto"/>
        </w:rPr>
        <w:t xml:space="preserve">          /</w:t>
      </w:r>
      <w:r>
        <w:rPr>
          <w:color w:val="auto"/>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rFonts w:ascii="Arial"/>
          <w:color w:val="auto"/>
          <w:sz w:val="21"/>
          <w:highlight w:val="none"/>
        </w:rPr>
      </w:pPr>
      <w:r>
        <w:rPr>
          <w:color w:val="auto"/>
          <w:sz w:val="24"/>
          <w:szCs w:val="24"/>
          <w:highlight w:val="none"/>
        </w:rPr>
        <w:t>发包人指定的接收人为：</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承包人接收文件的地点：</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489"/>
        <w:textAlignment w:val="auto"/>
        <w:rPr>
          <w:color w:val="auto"/>
          <w:sz w:val="24"/>
          <w:szCs w:val="24"/>
          <w:highlight w:val="none"/>
        </w:rPr>
      </w:pPr>
      <w:r>
        <w:rPr>
          <w:color w:val="auto"/>
          <w:sz w:val="24"/>
          <w:szCs w:val="24"/>
          <w:highlight w:val="none"/>
        </w:rPr>
        <w:t>承包人指定的接收人为：</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490"/>
        <w:textAlignment w:val="auto"/>
        <w:rPr>
          <w:color w:val="auto"/>
          <w:sz w:val="24"/>
          <w:szCs w:val="24"/>
          <w:highlight w:val="none"/>
        </w:rPr>
      </w:pPr>
      <w:r>
        <w:rPr>
          <w:color w:val="auto"/>
          <w:sz w:val="24"/>
          <w:szCs w:val="24"/>
          <w:highlight w:val="none"/>
        </w:rPr>
        <w:t>监理人接收文件的地点：</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z w:val="24"/>
          <w:szCs w:val="24"/>
          <w:highlight w:val="none"/>
        </w:rPr>
        <w:t>监理人指定的接收人为：</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1.10</w:t>
      </w:r>
      <w:r>
        <w:rPr>
          <w:color w:val="auto"/>
          <w:spacing w:val="19"/>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交通运输</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5"/>
          <w:sz w:val="24"/>
          <w:szCs w:val="24"/>
          <w:highlight w:val="none"/>
        </w:rPr>
        <w:t>1.10.1</w:t>
      </w:r>
      <w:r>
        <w:rPr>
          <w:color w:val="auto"/>
          <w:spacing w:val="36"/>
          <w:sz w:val="24"/>
          <w:szCs w:val="24"/>
          <w:highlight w:val="none"/>
        </w:rPr>
        <w:t xml:space="preserve"> </w:t>
      </w:r>
      <w:r>
        <w:rPr>
          <w:color w:val="auto"/>
          <w:spacing w:val="-5"/>
          <w:sz w:val="24"/>
          <w:szCs w:val="24"/>
          <w:highlight w:val="none"/>
        </w:rPr>
        <w:t>出入现场的权利</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关于出入现场的权利的约定：</w:t>
      </w:r>
      <w:r>
        <w:rPr>
          <w:color w:val="auto"/>
          <w:spacing w:val="-1"/>
          <w:sz w:val="24"/>
          <w:szCs w:val="24"/>
          <w:highlight w:val="none"/>
          <w:u w:val="single" w:color="auto"/>
        </w:rPr>
        <w:t xml:space="preserve">      按通用条款执行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3"/>
          <w:sz w:val="24"/>
          <w:szCs w:val="24"/>
          <w:highlight w:val="none"/>
        </w:rPr>
        <w:t>1.10.3 场内交通</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关于场外交通和场内交通的边界的约定：</w:t>
      </w:r>
      <w:r>
        <w:rPr>
          <w:color w:val="auto"/>
          <w:spacing w:val="-1"/>
          <w:sz w:val="24"/>
          <w:szCs w:val="24"/>
          <w:highlight w:val="none"/>
          <w:u w:val="single" w:color="auto"/>
        </w:rPr>
        <w:t xml:space="preserve">  以建筑红线为边界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38" w:firstLine="454"/>
        <w:textAlignment w:val="auto"/>
        <w:rPr>
          <w:color w:val="auto"/>
          <w:sz w:val="24"/>
          <w:szCs w:val="24"/>
          <w:highlight w:val="none"/>
        </w:rPr>
      </w:pPr>
      <w:r>
        <w:rPr>
          <w:color w:val="auto"/>
          <w:spacing w:val="-4"/>
          <w:sz w:val="24"/>
          <w:szCs w:val="24"/>
          <w:highlight w:val="none"/>
        </w:rPr>
        <w:t>关于发包人向承包人免费提供满足工程施工需要的场内道路和交通设施的约定：</w:t>
      </w:r>
      <w:r>
        <w:rPr>
          <w:color w:val="auto"/>
          <w:spacing w:val="-4"/>
          <w:sz w:val="24"/>
          <w:szCs w:val="24"/>
          <w:highlight w:val="none"/>
          <w:u w:val="single" w:color="auto"/>
        </w:rPr>
        <w:t xml:space="preserve">  不</w:t>
      </w:r>
      <w:r>
        <w:rPr>
          <w:color w:val="auto"/>
          <w:spacing w:val="-5"/>
          <w:sz w:val="24"/>
          <w:szCs w:val="24"/>
          <w:highlight w:val="none"/>
          <w:u w:val="single" w:color="auto"/>
        </w:rPr>
        <w:t>提供</w:t>
      </w:r>
      <w:r>
        <w:rPr>
          <w:color w:val="auto"/>
          <w:spacing w:val="-5"/>
          <w:sz w:val="24"/>
          <w:szCs w:val="24"/>
          <w:highlight w:val="none"/>
        </w:rPr>
        <w:t>，</w:t>
      </w:r>
      <w:r>
        <w:rPr>
          <w:color w:val="auto"/>
          <w:spacing w:val="-3"/>
          <w:sz w:val="24"/>
          <w:szCs w:val="24"/>
          <w:highlight w:val="none"/>
          <w:u w:val="single" w:color="auto"/>
        </w:rPr>
        <w:t>由承包人负责修建、维修、养护和管理施工所需的场内临时道路和交</w:t>
      </w:r>
      <w:r>
        <w:rPr>
          <w:color w:val="auto"/>
          <w:spacing w:val="-4"/>
          <w:sz w:val="24"/>
          <w:szCs w:val="24"/>
          <w:highlight w:val="none"/>
          <w:u w:val="single" w:color="auto"/>
        </w:rPr>
        <w:t>通设施。发包人和监理人</w:t>
      </w:r>
      <w:r>
        <w:rPr>
          <w:color w:val="auto"/>
          <w:spacing w:val="-1"/>
          <w:sz w:val="24"/>
          <w:szCs w:val="24"/>
          <w:highlight w:val="none"/>
          <w:u w:val="single" w:color="auto"/>
        </w:rPr>
        <w:t xml:space="preserve">可以使用承包人修建的临时道路和交通设施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1.10.4</w:t>
      </w:r>
      <w:r>
        <w:rPr>
          <w:color w:val="auto"/>
          <w:spacing w:val="-41"/>
          <w:sz w:val="24"/>
          <w:szCs w:val="24"/>
          <w:highlight w:val="none"/>
        </w:rPr>
        <w:t xml:space="preserve"> </w:t>
      </w:r>
      <w:r>
        <w:rPr>
          <w:color w:val="auto"/>
          <w:spacing w:val="-3"/>
          <w:sz w:val="24"/>
          <w:szCs w:val="24"/>
          <w:highlight w:val="none"/>
        </w:rPr>
        <w:t>超大件和超重件的运输</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z w:val="24"/>
          <w:szCs w:val="24"/>
          <w:highlight w:val="none"/>
        </w:rPr>
        <w:t>运输超大件或超重件所需的道路和桥梁临时加固改造费用和其</w:t>
      </w:r>
      <w:r>
        <w:rPr>
          <w:color w:val="auto"/>
          <w:spacing w:val="-1"/>
          <w:sz w:val="24"/>
          <w:szCs w:val="24"/>
          <w:highlight w:val="none"/>
        </w:rPr>
        <w:t>他有关费用由</w:t>
      </w:r>
      <w:r>
        <w:rPr>
          <w:color w:val="auto"/>
          <w:spacing w:val="-1"/>
          <w:sz w:val="24"/>
          <w:szCs w:val="24"/>
          <w:highlight w:val="none"/>
          <w:u w:val="single" w:color="auto"/>
        </w:rPr>
        <w:t xml:space="preserve"> 承包人</w:t>
      </w:r>
      <w:r>
        <w:rPr>
          <w:color w:val="auto"/>
          <w:sz w:val="24"/>
          <w:szCs w:val="24"/>
          <w:highlight w:val="none"/>
          <w:u w:val="single" w:color="auto"/>
        </w:rPr>
        <w:t xml:space="preserve"> </w:t>
      </w:r>
      <w:r>
        <w:rPr>
          <w:color w:val="auto"/>
          <w:spacing w:val="-4"/>
          <w:sz w:val="24"/>
          <w:szCs w:val="24"/>
          <w:highlight w:val="none"/>
        </w:rPr>
        <w:t>承担。</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1.11</w:t>
      </w:r>
      <w:r>
        <w:rPr>
          <w:color w:val="auto"/>
          <w:spacing w:val="19"/>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知识产权</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right="181" w:firstLine="496"/>
        <w:jc w:val="both"/>
        <w:textAlignment w:val="auto"/>
        <w:rPr>
          <w:color w:val="auto"/>
          <w:sz w:val="24"/>
          <w:szCs w:val="24"/>
          <w:highlight w:val="none"/>
        </w:rPr>
      </w:pPr>
      <w:r>
        <w:rPr>
          <w:color w:val="auto"/>
          <w:spacing w:val="1"/>
          <w:sz w:val="24"/>
          <w:szCs w:val="24"/>
          <w:highlight w:val="none"/>
        </w:rPr>
        <w:t>1.11.1</w:t>
      </w:r>
      <w:r>
        <w:rPr>
          <w:color w:val="auto"/>
          <w:spacing w:val="-44"/>
          <w:sz w:val="24"/>
          <w:szCs w:val="24"/>
          <w:highlight w:val="none"/>
        </w:rPr>
        <w:t xml:space="preserve"> </w:t>
      </w:r>
      <w:r>
        <w:rPr>
          <w:color w:val="auto"/>
          <w:spacing w:val="1"/>
          <w:sz w:val="24"/>
          <w:szCs w:val="24"/>
          <w:highlight w:val="none"/>
        </w:rPr>
        <w:t>关于发包人提供给承包人的图纸、发包人为实施工程自行编制或委托编制的技术</w:t>
      </w:r>
      <w:r>
        <w:rPr>
          <w:color w:val="auto"/>
          <w:spacing w:val="3"/>
          <w:sz w:val="24"/>
          <w:szCs w:val="24"/>
          <w:highlight w:val="none"/>
        </w:rPr>
        <w:t>规范以及反映发包人关于合同要求或其他类似性质的文件的著作权的归属：</w:t>
      </w:r>
      <w:r>
        <w:rPr>
          <w:color w:val="auto"/>
          <w:spacing w:val="3"/>
          <w:sz w:val="24"/>
          <w:szCs w:val="24"/>
          <w:highlight w:val="none"/>
          <w:u w:val="single" w:color="auto"/>
        </w:rPr>
        <w:t>按通用条款执</w:t>
      </w:r>
      <w:r>
        <w:rPr>
          <w:color w:val="auto"/>
          <w:spacing w:val="-7"/>
          <w:sz w:val="24"/>
          <w:szCs w:val="24"/>
          <w:highlight w:val="none"/>
          <w:u w:val="single" w:color="auto"/>
        </w:rPr>
        <w:t>行</w:t>
      </w:r>
      <w:r>
        <w:rPr>
          <w:color w:val="auto"/>
          <w:sz w:val="24"/>
          <w:szCs w:val="24"/>
          <w:highlight w:val="none"/>
          <w:u w:val="single" w:color="auto"/>
        </w:rPr>
        <w:t xml:space="preserve">  </w:t>
      </w:r>
      <w:r>
        <w:rPr>
          <w:color w:val="auto"/>
          <w:spacing w:val="-7"/>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leftChars="233" w:right="181" w:firstLine="85" w:firstLineChars="36"/>
        <w:textAlignment w:val="auto"/>
        <w:rPr>
          <w:color w:val="auto"/>
          <w:sz w:val="24"/>
          <w:szCs w:val="24"/>
          <w:highlight w:val="none"/>
        </w:rPr>
      </w:pPr>
      <w:r>
        <w:rPr>
          <w:color w:val="auto"/>
          <w:spacing w:val="-1"/>
          <w:sz w:val="24"/>
          <w:szCs w:val="24"/>
          <w:highlight w:val="none"/>
        </w:rPr>
        <w:t>关于发包人提供的上述文件的使用限制的要求：</w:t>
      </w:r>
      <w:r>
        <w:rPr>
          <w:color w:val="auto"/>
          <w:spacing w:val="-1"/>
          <w:sz w:val="24"/>
          <w:szCs w:val="24"/>
          <w:highlight w:val="none"/>
          <w:u w:val="single" w:color="auto"/>
        </w:rPr>
        <w:t xml:space="preserve"> 按通用条款执行</w:t>
      </w:r>
      <w:r>
        <w:rPr>
          <w:color w:val="auto"/>
          <w:spacing w:val="-2"/>
          <w:sz w:val="24"/>
          <w:szCs w:val="24"/>
          <w:highlight w:val="none"/>
          <w:u w:val="single" w:color="auto"/>
        </w:rPr>
        <w:t xml:space="preserve">  </w:t>
      </w:r>
      <w:r>
        <w:rPr>
          <w:color w:val="auto"/>
          <w:spacing w:val="-2"/>
          <w:sz w:val="24"/>
          <w:szCs w:val="24"/>
          <w:highlight w:val="none"/>
        </w:rPr>
        <w:t>。</w:t>
      </w:r>
      <w:r>
        <w:rPr>
          <w:color w:val="auto"/>
          <w:spacing w:val="-2"/>
          <w:sz w:val="24"/>
          <w:szCs w:val="24"/>
          <w:highlight w:val="none"/>
        </w:rPr>
        <w:br w:type="textWrapping"/>
      </w:r>
      <w:r>
        <w:rPr>
          <w:color w:val="auto"/>
          <w:spacing w:val="-2"/>
          <w:sz w:val="24"/>
          <w:szCs w:val="24"/>
          <w:highlight w:val="none"/>
        </w:rPr>
        <w:t>1.11.2 关于承包人为实施工程所编制文件的著作权的归属：</w:t>
      </w:r>
      <w:r>
        <w:rPr>
          <w:color w:val="auto"/>
          <w:spacing w:val="-2"/>
          <w:sz w:val="24"/>
          <w:szCs w:val="24"/>
          <w:highlight w:val="none"/>
          <w:u w:val="single" w:color="auto"/>
        </w:rPr>
        <w:t>按通用条款</w:t>
      </w:r>
      <w:r>
        <w:rPr>
          <w:color w:val="auto"/>
          <w:spacing w:val="1"/>
          <w:sz w:val="24"/>
          <w:szCs w:val="24"/>
          <w:highlight w:val="none"/>
          <w:u w:val="single" w:color="auto"/>
        </w:rPr>
        <w:t>执行</w:t>
      </w:r>
      <w:r>
        <w:rPr>
          <w:color w:val="auto"/>
          <w:spacing w:val="-2"/>
          <w:sz w:val="24"/>
          <w:szCs w:val="24"/>
          <w:highlight w:val="none"/>
          <w:u w:val="none" w:color="auto"/>
        </w:rPr>
        <w:t xml:space="preserve"> </w:t>
      </w:r>
      <w:r>
        <w:rPr>
          <w:color w:val="auto"/>
          <w:spacing w:val="-2"/>
          <w:sz w:val="24"/>
          <w:szCs w:val="24"/>
          <w:highlight w:val="none"/>
          <w:u w:color="auto"/>
        </w:rPr>
        <w:t>。</w:t>
      </w:r>
      <w:r>
        <w:rPr>
          <w:color w:val="auto"/>
          <w:spacing w:val="-2"/>
          <w:sz w:val="24"/>
          <w:szCs w:val="24"/>
          <w:highlight w:val="none"/>
        </w:rPr>
        <w:br w:type="textWrapping"/>
      </w:r>
      <w:r>
        <w:rPr>
          <w:color w:val="auto"/>
          <w:sz w:val="24"/>
          <w:szCs w:val="24"/>
          <w:highlight w:val="none"/>
        </w:rPr>
        <w:t>关于承包人提供的上述文件的使用限制的要求</w:t>
      </w:r>
      <w:r>
        <w:rPr>
          <w:color w:val="auto"/>
          <w:spacing w:val="-1"/>
          <w:sz w:val="24"/>
          <w:szCs w:val="24"/>
          <w:highlight w:val="none"/>
        </w:rPr>
        <w:t>：</w:t>
      </w:r>
      <w:r>
        <w:rPr>
          <w:color w:val="auto"/>
          <w:spacing w:val="-1"/>
          <w:sz w:val="24"/>
          <w:szCs w:val="24"/>
          <w:highlight w:val="none"/>
          <w:u w:val="single" w:color="auto"/>
        </w:rPr>
        <w:t xml:space="preserve">  按通用条款执行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0"/>
        <w:rPr>
          <w:color w:val="auto"/>
          <w:sz w:val="24"/>
          <w:szCs w:val="24"/>
          <w:highlight w:val="none"/>
        </w:rPr>
      </w:pPr>
      <w:r>
        <w:rPr>
          <w:color w:val="auto"/>
          <w:sz w:val="24"/>
          <w:szCs w:val="24"/>
          <w:highlight w:val="none"/>
        </w:rPr>
        <w:t>1.11.4 承包人在施工过程中所采用的专利、专有技术、技术秘密的使用费的</w:t>
      </w:r>
      <w:r>
        <w:rPr>
          <w:color w:val="auto"/>
          <w:spacing w:val="-1"/>
          <w:sz w:val="24"/>
          <w:szCs w:val="24"/>
          <w:highlight w:val="none"/>
        </w:rPr>
        <w:t>承担方式：</w:t>
      </w:r>
      <w:r>
        <w:rPr>
          <w:color w:val="auto"/>
          <w:spacing w:val="-2"/>
          <w:sz w:val="24"/>
          <w:szCs w:val="24"/>
          <w:highlight w:val="none"/>
          <w:u w:val="single" w:color="auto"/>
        </w:rPr>
        <w:t xml:space="preserve">已包含在合同价款中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1.13</w:t>
      </w:r>
      <w:r>
        <w:rPr>
          <w:color w:val="auto"/>
          <w:spacing w:val="-49"/>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工程量清单错误的修正</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right="181" w:firstLine="499"/>
        <w:jc w:val="both"/>
        <w:textAlignment w:val="auto"/>
        <w:rPr>
          <w:color w:val="auto"/>
          <w:sz w:val="24"/>
          <w:szCs w:val="24"/>
          <w:highlight w:val="none"/>
        </w:rPr>
      </w:pPr>
      <w:r>
        <w:rPr>
          <w:color w:val="auto"/>
          <w:sz w:val="24"/>
          <w:szCs w:val="24"/>
          <w:highlight w:val="none"/>
        </w:rPr>
        <w:t>出现工程量清单错误时，是否调整合同价格：</w:t>
      </w:r>
      <w:r>
        <w:rPr>
          <w:color w:val="auto"/>
          <w:sz w:val="24"/>
          <w:szCs w:val="24"/>
          <w:highlight w:val="none"/>
          <w:u w:val="single" w:color="auto"/>
        </w:rPr>
        <w:t xml:space="preserve"> 结算时，工程量按照“经甲方</w:t>
      </w:r>
      <w:r>
        <w:rPr>
          <w:color w:val="auto"/>
          <w:spacing w:val="-1"/>
          <w:sz w:val="24"/>
          <w:szCs w:val="24"/>
          <w:highlight w:val="none"/>
          <w:u w:val="single" w:color="auto"/>
        </w:rPr>
        <w:t>确认的竣工</w:t>
      </w:r>
      <w:r>
        <w:rPr>
          <w:color w:val="auto"/>
          <w:sz w:val="24"/>
          <w:szCs w:val="24"/>
          <w:highlight w:val="none"/>
          <w:u w:val="single" w:color="auto"/>
        </w:rPr>
        <w:t>图纸</w:t>
      </w:r>
      <w:r>
        <w:rPr>
          <w:color w:val="auto"/>
          <w:spacing w:val="-89"/>
          <w:sz w:val="24"/>
          <w:szCs w:val="24"/>
          <w:highlight w:val="none"/>
          <w:u w:val="single" w:color="auto"/>
        </w:rPr>
        <w:t xml:space="preserve"> </w:t>
      </w:r>
      <w:r>
        <w:rPr>
          <w:color w:val="auto"/>
          <w:sz w:val="24"/>
          <w:szCs w:val="24"/>
          <w:highlight w:val="none"/>
          <w:u w:val="single" w:color="auto"/>
        </w:rPr>
        <w:t>”计算。 ①合同中有相同或类似工程项目单价的</w:t>
      </w:r>
      <w:r>
        <w:rPr>
          <w:color w:val="auto"/>
          <w:spacing w:val="-1"/>
          <w:sz w:val="24"/>
          <w:szCs w:val="24"/>
          <w:highlight w:val="none"/>
          <w:u w:val="single" w:color="auto"/>
        </w:rPr>
        <w:t>，可以参照合同中相同或类似项目的综</w:t>
      </w:r>
      <w:r>
        <w:rPr>
          <w:color w:val="auto"/>
          <w:spacing w:val="2"/>
          <w:sz w:val="24"/>
          <w:szCs w:val="24"/>
          <w:highlight w:val="none"/>
          <w:u w:val="single" w:color="auto"/>
        </w:rPr>
        <w:t>合单价计算确定。</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702" w:firstLineChars="300"/>
        <w:textAlignment w:val="auto"/>
        <w:rPr>
          <w:color w:val="auto"/>
          <w:sz w:val="24"/>
          <w:szCs w:val="24"/>
          <w:highlight w:val="none"/>
        </w:rPr>
      </w:pPr>
      <w:r>
        <w:rPr>
          <w:color w:val="auto"/>
          <w:spacing w:val="-3"/>
          <w:sz w:val="24"/>
          <w:szCs w:val="24"/>
          <w:highlight w:val="none"/>
          <w:u w:val="single" w:color="auto"/>
        </w:rPr>
        <w:t>②合同中没有类似工程项目综合单价的，由承包人根据合同中约定的组价原则或参考“计</w:t>
      </w:r>
      <w:r>
        <w:rPr>
          <w:color w:val="auto"/>
          <w:spacing w:val="-2"/>
          <w:sz w:val="24"/>
          <w:szCs w:val="24"/>
          <w:highlight w:val="none"/>
          <w:u w:val="single" w:color="auto"/>
        </w:rPr>
        <w:t>价依据</w:t>
      </w:r>
      <w:r>
        <w:rPr>
          <w:color w:val="auto"/>
          <w:spacing w:val="-88"/>
          <w:sz w:val="24"/>
          <w:szCs w:val="24"/>
          <w:highlight w:val="none"/>
          <w:u w:val="single" w:color="auto"/>
        </w:rPr>
        <w:t xml:space="preserve"> </w:t>
      </w:r>
      <w:r>
        <w:rPr>
          <w:color w:val="auto"/>
          <w:spacing w:val="-2"/>
          <w:sz w:val="24"/>
          <w:szCs w:val="24"/>
          <w:highlight w:val="none"/>
          <w:u w:val="single" w:color="auto"/>
        </w:rPr>
        <w:t>”提出适当的单价，经发包人或其委托的工程造价咨询单位审定后，作为结算的依</w:t>
      </w:r>
      <w:r>
        <w:rPr>
          <w:color w:val="auto"/>
          <w:spacing w:val="-3"/>
          <w:sz w:val="24"/>
          <w:szCs w:val="24"/>
          <w:highlight w:val="none"/>
          <w:u w:val="single" w:color="auto"/>
        </w:rPr>
        <w:t>据。</w:t>
      </w:r>
    </w:p>
    <w:p>
      <w:pPr>
        <w:pStyle w:val="11"/>
        <w:keepNext w:val="0"/>
        <w:keepLines w:val="0"/>
        <w:pageBreakBefore w:val="0"/>
        <w:widowControl w:val="0"/>
        <w:kinsoku/>
        <w:wordWrap/>
        <w:overflowPunct/>
        <w:topLinePunct w:val="0"/>
        <w:autoSpaceDE/>
        <w:autoSpaceDN/>
        <w:bidi w:val="0"/>
        <w:adjustRightInd/>
        <w:snapToGrid/>
        <w:spacing w:after="0" w:line="360" w:lineRule="auto"/>
        <w:ind w:left="12" w:right="61" w:firstLine="475"/>
        <w:textAlignment w:val="auto"/>
        <w:rPr>
          <w:color w:val="auto"/>
          <w:sz w:val="24"/>
          <w:szCs w:val="24"/>
          <w:highlight w:val="none"/>
        </w:rPr>
      </w:pPr>
      <w:r>
        <w:rPr>
          <w:color w:val="auto"/>
          <w:spacing w:val="-3"/>
          <w:sz w:val="24"/>
          <w:szCs w:val="24"/>
          <w:highlight w:val="none"/>
          <w:u w:val="single" w:color="auto"/>
        </w:rPr>
        <w:t>③由于清单项目中项目特征或工程内容发生部分变更的，应以原综合单价为基础，仅就变</w:t>
      </w:r>
      <w:r>
        <w:rPr>
          <w:color w:val="auto"/>
          <w:spacing w:val="1"/>
          <w:sz w:val="24"/>
          <w:szCs w:val="24"/>
          <w:highlight w:val="none"/>
          <w:u w:val="single" w:color="auto"/>
        </w:rPr>
        <w:t>更部分相应定额子目调整综合单价。</w:t>
      </w:r>
    </w:p>
    <w:p>
      <w:pPr>
        <w:pStyle w:val="11"/>
        <w:keepNext w:val="0"/>
        <w:keepLines w:val="0"/>
        <w:pageBreakBefore w:val="0"/>
        <w:widowControl w:val="0"/>
        <w:kinsoku/>
        <w:wordWrap/>
        <w:overflowPunct/>
        <w:topLinePunct w:val="0"/>
        <w:autoSpaceDE/>
        <w:autoSpaceDN/>
        <w:bidi w:val="0"/>
        <w:adjustRightInd/>
        <w:snapToGrid/>
        <w:spacing w:after="0" w:line="360" w:lineRule="auto"/>
        <w:ind w:left="15" w:right="64" w:firstLine="472"/>
        <w:textAlignment w:val="auto"/>
        <w:rPr>
          <w:color w:val="auto"/>
          <w:sz w:val="24"/>
          <w:szCs w:val="24"/>
          <w:highlight w:val="none"/>
        </w:rPr>
      </w:pPr>
      <w:r>
        <w:rPr>
          <w:color w:val="auto"/>
          <w:spacing w:val="4"/>
          <w:sz w:val="24"/>
          <w:szCs w:val="24"/>
          <w:highlight w:val="none"/>
          <w:u w:val="single" w:color="auto"/>
        </w:rPr>
        <w:t>④以上重新组价的综合单价不能高于按工程所在</w:t>
      </w:r>
      <w:r>
        <w:rPr>
          <w:color w:val="auto"/>
          <w:spacing w:val="3"/>
          <w:sz w:val="24"/>
          <w:szCs w:val="24"/>
          <w:highlight w:val="none"/>
          <w:u w:val="single" w:color="auto"/>
        </w:rPr>
        <w:t>地现行工程造价计价规则和计价依据规</w:t>
      </w:r>
      <w:r>
        <w:rPr>
          <w:color w:val="auto"/>
          <w:spacing w:val="2"/>
          <w:sz w:val="24"/>
          <w:szCs w:val="24"/>
          <w:highlight w:val="none"/>
          <w:u w:val="single" w:color="auto"/>
        </w:rPr>
        <w:t>定计算的价格。</w:t>
      </w:r>
    </w:p>
    <w:p>
      <w:pPr>
        <w:pStyle w:val="11"/>
        <w:keepNext w:val="0"/>
        <w:keepLines w:val="0"/>
        <w:pageBreakBefore w:val="0"/>
        <w:widowControl w:val="0"/>
        <w:kinsoku/>
        <w:wordWrap/>
        <w:overflowPunct/>
        <w:topLinePunct w:val="0"/>
        <w:autoSpaceDE/>
        <w:autoSpaceDN/>
        <w:bidi w:val="0"/>
        <w:adjustRightInd/>
        <w:snapToGrid/>
        <w:spacing w:after="0" w:line="360" w:lineRule="auto"/>
        <w:ind w:left="23" w:firstLine="467"/>
        <w:textAlignment w:val="auto"/>
        <w:rPr>
          <w:color w:val="auto"/>
          <w:sz w:val="24"/>
          <w:szCs w:val="24"/>
          <w:highlight w:val="none"/>
        </w:rPr>
      </w:pPr>
      <w:r>
        <w:rPr>
          <w:color w:val="auto"/>
          <w:spacing w:val="-7"/>
          <w:sz w:val="24"/>
          <w:szCs w:val="24"/>
          <w:highlight w:val="none"/>
          <w:u w:val="single" w:color="auto"/>
        </w:rPr>
        <w:t>现场所发生的施工零星用工在结算时按计日工用量（由现场签认）乘以相应的单</w:t>
      </w:r>
      <w:r>
        <w:rPr>
          <w:color w:val="auto"/>
          <w:spacing w:val="-8"/>
          <w:sz w:val="24"/>
          <w:szCs w:val="24"/>
          <w:highlight w:val="none"/>
          <w:u w:val="single" w:color="auto"/>
        </w:rPr>
        <w:t>价计算后，</w:t>
      </w:r>
      <w:r>
        <w:rPr>
          <w:color w:val="auto"/>
          <w:spacing w:val="-3"/>
          <w:sz w:val="24"/>
          <w:szCs w:val="24"/>
          <w:highlight w:val="none"/>
          <w:u w:val="single" w:color="auto"/>
        </w:rPr>
        <w:t xml:space="preserve">只计取利润和税金。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7"/>
        <w:textAlignment w:val="auto"/>
        <w:rPr>
          <w:color w:val="auto"/>
          <w:sz w:val="24"/>
          <w:szCs w:val="24"/>
          <w:highlight w:val="none"/>
        </w:rPr>
      </w:pPr>
      <w:r>
        <w:rPr>
          <w:color w:val="auto"/>
          <w:spacing w:val="-1"/>
          <w:sz w:val="24"/>
          <w:szCs w:val="24"/>
          <w:highlight w:val="none"/>
        </w:rPr>
        <w:t>允许调整合同价格的工程量偏差范围：</w:t>
      </w:r>
      <w:r>
        <w:rPr>
          <w:color w:val="auto"/>
          <w:spacing w:val="-1"/>
          <w:sz w:val="24"/>
          <w:szCs w:val="24"/>
          <w:highlight w:val="none"/>
          <w:u w:val="single" w:color="auto"/>
        </w:rPr>
        <w:t xml:space="preserve">  据实调整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2"/>
        <w:textAlignment w:val="auto"/>
        <w:outlineLvl w:val="1"/>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2.</w:t>
      </w:r>
      <w:r>
        <w:rPr>
          <w:color w:val="auto"/>
          <w:spacing w:val="16"/>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发包人</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outlineLvl w:val="0"/>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2.2</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发包人代表</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3"/>
          <w:sz w:val="24"/>
          <w:szCs w:val="24"/>
          <w:highlight w:val="none"/>
        </w:rPr>
        <w:t>发包人代表：</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11"/>
          <w:sz w:val="24"/>
          <w:szCs w:val="24"/>
          <w:highlight w:val="none"/>
        </w:rPr>
        <w:t>姓</w:t>
      </w:r>
      <w:r>
        <w:rPr>
          <w:color w:val="auto"/>
          <w:spacing w:val="3"/>
          <w:sz w:val="24"/>
          <w:szCs w:val="24"/>
          <w:highlight w:val="none"/>
        </w:rPr>
        <w:t xml:space="preserve">    </w:t>
      </w:r>
      <w:r>
        <w:rPr>
          <w:color w:val="auto"/>
          <w:spacing w:val="-11"/>
          <w:sz w:val="24"/>
          <w:szCs w:val="24"/>
          <w:highlight w:val="none"/>
        </w:rPr>
        <w:t>名</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4"/>
          <w:sz w:val="24"/>
          <w:szCs w:val="24"/>
          <w:highlight w:val="none"/>
        </w:rPr>
        <w:t>身份证号</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1"/>
          <w:sz w:val="24"/>
          <w:szCs w:val="24"/>
          <w:highlight w:val="none"/>
        </w:rPr>
        <w:t>职</w:t>
      </w:r>
      <w:r>
        <w:rPr>
          <w:color w:val="auto"/>
          <w:spacing w:val="2"/>
          <w:sz w:val="24"/>
          <w:szCs w:val="24"/>
          <w:highlight w:val="none"/>
        </w:rPr>
        <w:t xml:space="preserve">    </w:t>
      </w:r>
      <w:r>
        <w:rPr>
          <w:color w:val="auto"/>
          <w:spacing w:val="-11"/>
          <w:sz w:val="24"/>
          <w:szCs w:val="24"/>
          <w:highlight w:val="none"/>
        </w:rPr>
        <w:t>务</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3"/>
          <w:sz w:val="24"/>
          <w:szCs w:val="24"/>
          <w:highlight w:val="none"/>
        </w:rPr>
        <w:t>联系电话</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17"/>
        <w:textAlignment w:val="auto"/>
        <w:rPr>
          <w:color w:val="auto"/>
          <w:sz w:val="24"/>
          <w:szCs w:val="24"/>
          <w:highlight w:val="none"/>
        </w:rPr>
      </w:pPr>
      <w:r>
        <w:rPr>
          <w:color w:val="auto"/>
          <w:spacing w:val="-10"/>
          <w:sz w:val="24"/>
          <w:szCs w:val="24"/>
          <w:highlight w:val="none"/>
        </w:rPr>
        <w:t>电子信箱</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通信地址：</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1" w:firstLine="481"/>
        <w:jc w:val="both"/>
        <w:textAlignment w:val="auto"/>
        <w:rPr>
          <w:color w:val="auto"/>
          <w:sz w:val="24"/>
          <w:szCs w:val="24"/>
          <w:highlight w:val="none"/>
        </w:rPr>
      </w:pPr>
      <w:r>
        <w:rPr>
          <w:color w:val="auto"/>
          <w:spacing w:val="-3"/>
          <w:sz w:val="24"/>
          <w:szCs w:val="24"/>
          <w:highlight w:val="none"/>
        </w:rPr>
        <w:t>发包人对发包人代表的授权范围如下：</w:t>
      </w:r>
      <w:r>
        <w:rPr>
          <w:color w:val="auto"/>
          <w:spacing w:val="-3"/>
          <w:sz w:val="24"/>
          <w:szCs w:val="24"/>
          <w:highlight w:val="none"/>
          <w:u w:val="single" w:color="auto"/>
        </w:rPr>
        <w:t xml:space="preserve">  有权反对和要求承包人从该项目立即解除在发包</w:t>
      </w:r>
      <w:r>
        <w:rPr>
          <w:color w:val="auto"/>
          <w:spacing w:val="-7"/>
          <w:sz w:val="24"/>
          <w:szCs w:val="24"/>
          <w:highlight w:val="none"/>
          <w:u w:val="single" w:color="auto"/>
        </w:rPr>
        <w:t>人看来行为不端、不能胜任工作或玩忽职守，或者发包人出于其他考虑不希望该人出现在现场，</w:t>
      </w:r>
      <w:r>
        <w:rPr>
          <w:color w:val="auto"/>
          <w:sz w:val="24"/>
          <w:szCs w:val="24"/>
          <w:highlight w:val="none"/>
          <w:u w:val="single" w:color="auto"/>
        </w:rPr>
        <w:t>并且未经发包人同意不允许再次雇佣的人员。凡有任何人</w:t>
      </w:r>
      <w:r>
        <w:rPr>
          <w:color w:val="auto"/>
          <w:spacing w:val="-1"/>
          <w:sz w:val="24"/>
          <w:szCs w:val="24"/>
          <w:highlight w:val="none"/>
          <w:u w:val="single" w:color="auto"/>
        </w:rPr>
        <w:t xml:space="preserve">员离开，承包人都应尽快补充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492"/>
        <w:textAlignment w:val="auto"/>
        <w:outlineLvl w:val="0"/>
        <w:rPr>
          <w:color w:val="auto"/>
          <w:sz w:val="24"/>
          <w:szCs w:val="24"/>
          <w:highlight w:val="none"/>
        </w:rPr>
      </w:pPr>
      <w:r>
        <w:rPr>
          <w:color w:val="auto"/>
          <w:sz w:val="24"/>
          <w:szCs w:val="24"/>
          <w:highlight w:val="none"/>
          <w14:textOutline w14:w="4358" w14:cap="sq" w14:cmpd="sng">
            <w14:solidFill>
              <w14:srgbClr w14:val="000000"/>
            </w14:solidFill>
            <w14:prstDash w14:val="solid"/>
            <w14:bevel/>
          </w14:textOutline>
        </w:rPr>
        <w:t>2.4</w:t>
      </w:r>
      <w:r>
        <w:rPr>
          <w:color w:val="auto"/>
          <w:sz w:val="24"/>
          <w:szCs w:val="24"/>
          <w:highlight w:val="none"/>
        </w:rPr>
        <w:t xml:space="preserve"> </w:t>
      </w:r>
      <w:r>
        <w:rPr>
          <w:color w:val="auto"/>
          <w:sz w:val="24"/>
          <w:szCs w:val="24"/>
          <w:highlight w:val="none"/>
          <w14:textOutline w14:w="4358" w14:cap="sq" w14:cmpd="sng">
            <w14:solidFill>
              <w14:srgbClr w14:val="000000"/>
            </w14:solidFill>
            <w14:prstDash w14:val="solid"/>
            <w14:bevel/>
          </w14:textOutline>
        </w:rPr>
        <w:t>施工现场、施工条件和基础资料的提供</w:t>
      </w:r>
    </w:p>
    <w:p>
      <w:pPr>
        <w:pStyle w:val="11"/>
        <w:keepNext w:val="0"/>
        <w:keepLines w:val="0"/>
        <w:pageBreakBefore w:val="0"/>
        <w:widowControl w:val="0"/>
        <w:kinsoku/>
        <w:wordWrap/>
        <w:overflowPunct/>
        <w:topLinePunct w:val="0"/>
        <w:autoSpaceDE/>
        <w:autoSpaceDN/>
        <w:bidi w:val="0"/>
        <w:adjustRightInd/>
        <w:snapToGrid/>
        <w:spacing w:line="360" w:lineRule="auto"/>
        <w:ind w:left="492"/>
        <w:textAlignment w:val="auto"/>
        <w:rPr>
          <w:color w:val="auto"/>
          <w:sz w:val="24"/>
          <w:szCs w:val="24"/>
          <w:highlight w:val="none"/>
        </w:rPr>
      </w:pPr>
      <w:r>
        <w:rPr>
          <w:color w:val="auto"/>
          <w:spacing w:val="-2"/>
          <w:sz w:val="24"/>
          <w:szCs w:val="24"/>
          <w:highlight w:val="none"/>
        </w:rPr>
        <w:t>2.4.1 提供施工现场</w:t>
      </w:r>
    </w:p>
    <w:p>
      <w:pPr>
        <w:pStyle w:val="11"/>
        <w:keepNext w:val="0"/>
        <w:keepLines w:val="0"/>
        <w:pageBreakBefore w:val="0"/>
        <w:widowControl w:val="0"/>
        <w:kinsoku/>
        <w:wordWrap/>
        <w:overflowPunct/>
        <w:topLinePunct w:val="0"/>
        <w:autoSpaceDE/>
        <w:autoSpaceDN/>
        <w:bidi w:val="0"/>
        <w:adjustRightInd/>
        <w:snapToGrid/>
        <w:spacing w:line="360" w:lineRule="auto"/>
        <w:ind w:left="493"/>
        <w:textAlignment w:val="auto"/>
        <w:rPr>
          <w:color w:val="auto"/>
          <w:sz w:val="24"/>
          <w:szCs w:val="24"/>
          <w:highlight w:val="none"/>
        </w:rPr>
      </w:pPr>
      <w:r>
        <w:rPr>
          <w:color w:val="auto"/>
          <w:spacing w:val="-1"/>
          <w:sz w:val="24"/>
          <w:szCs w:val="24"/>
          <w:highlight w:val="none"/>
        </w:rPr>
        <w:t>关于发包人移交施工现场的期限要求：</w:t>
      </w:r>
      <w:r>
        <w:rPr>
          <w:color w:val="auto"/>
          <w:spacing w:val="-1"/>
          <w:sz w:val="24"/>
          <w:szCs w:val="24"/>
          <w:highlight w:val="none"/>
          <w:u w:val="single" w:color="auto"/>
        </w:rPr>
        <w:t xml:space="preserve">  开工前</w:t>
      </w:r>
      <w:r>
        <w:rPr>
          <w:color w:val="auto"/>
          <w:spacing w:val="-46"/>
          <w:sz w:val="24"/>
          <w:szCs w:val="24"/>
          <w:highlight w:val="none"/>
          <w:u w:val="single" w:color="auto"/>
        </w:rPr>
        <w:t xml:space="preserve"> </w:t>
      </w:r>
      <w:r>
        <w:rPr>
          <w:color w:val="auto"/>
          <w:spacing w:val="-1"/>
          <w:sz w:val="24"/>
          <w:szCs w:val="24"/>
          <w:highlight w:val="none"/>
          <w:u w:val="single" w:color="auto"/>
        </w:rPr>
        <w:t>5</w:t>
      </w:r>
      <w:r>
        <w:rPr>
          <w:color w:val="auto"/>
          <w:spacing w:val="-51"/>
          <w:sz w:val="24"/>
          <w:szCs w:val="24"/>
          <w:highlight w:val="none"/>
          <w:u w:val="single" w:color="auto"/>
        </w:rPr>
        <w:t xml:space="preserve"> </w:t>
      </w:r>
      <w:r>
        <w:rPr>
          <w:color w:val="auto"/>
          <w:spacing w:val="-1"/>
          <w:sz w:val="24"/>
          <w:szCs w:val="24"/>
          <w:highlight w:val="none"/>
          <w:u w:val="single" w:color="auto"/>
        </w:rPr>
        <w:t>个工作</w:t>
      </w:r>
      <w:r>
        <w:rPr>
          <w:color w:val="auto"/>
          <w:spacing w:val="-2"/>
          <w:sz w:val="24"/>
          <w:szCs w:val="24"/>
          <w:highlight w:val="none"/>
          <w:u w:val="single" w:color="auto"/>
        </w:rPr>
        <w:t xml:space="preserve">日内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2"/>
          <w:sz w:val="24"/>
          <w:szCs w:val="24"/>
          <w:highlight w:val="none"/>
        </w:rPr>
        <w:t>2.4.2 提供施工条件</w:t>
      </w:r>
    </w:p>
    <w:p>
      <w:pPr>
        <w:pStyle w:val="11"/>
        <w:keepNext w:val="0"/>
        <w:keepLines w:val="0"/>
        <w:pageBreakBefore w:val="0"/>
        <w:widowControl w:val="0"/>
        <w:kinsoku/>
        <w:wordWrap/>
        <w:overflowPunct/>
        <w:topLinePunct w:val="0"/>
        <w:autoSpaceDE/>
        <w:autoSpaceDN/>
        <w:bidi w:val="0"/>
        <w:adjustRightInd/>
        <w:snapToGrid/>
        <w:spacing w:after="0" w:line="360" w:lineRule="auto"/>
        <w:ind w:right="63"/>
        <w:jc w:val="center"/>
        <w:textAlignment w:val="auto"/>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关于发包人应负责提供施工所需要的条件，包括：</w:t>
      </w:r>
      <w:r>
        <w:rPr>
          <w:color w:val="auto"/>
          <w:sz w:val="24"/>
          <w:szCs w:val="24"/>
          <w:highlight w:val="none"/>
          <w:u w:val="single" w:color="auto"/>
        </w:rPr>
        <w:t xml:space="preserve"> 将水、电线路接至施工场区。组织现场水准点与坐标控制点交验，承包人自行安装</w:t>
      </w:r>
      <w:r>
        <w:rPr>
          <w:color w:val="auto"/>
          <w:spacing w:val="-1"/>
          <w:sz w:val="24"/>
          <w:szCs w:val="24"/>
          <w:highlight w:val="none"/>
          <w:u w:val="single" w:color="auto"/>
        </w:rPr>
        <w:t xml:space="preserve">水电表及相关设备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outlineLvl w:val="0"/>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2.5</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资金来源证明及支付担保</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发包人提供资金来源证明的期限要求：</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rFonts w:ascii="Arial"/>
          <w:color w:val="auto"/>
          <w:sz w:val="21"/>
          <w:highlight w:val="none"/>
        </w:rPr>
      </w:pPr>
      <w:r>
        <w:rPr>
          <w:color w:val="auto"/>
          <w:sz w:val="24"/>
          <w:szCs w:val="24"/>
          <w:highlight w:val="none"/>
        </w:rPr>
        <w:t>发包人是否提供支付担保：</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发包人提供支付担保的形式：</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4"/>
        <w:textAlignment w:val="auto"/>
        <w:outlineLvl w:val="1"/>
        <w:rPr>
          <w:color w:val="auto"/>
          <w:sz w:val="24"/>
          <w:szCs w:val="24"/>
          <w:highlight w:val="none"/>
        </w:rPr>
      </w:pPr>
      <w:r>
        <w:rPr>
          <w:color w:val="auto"/>
          <w:spacing w:val="-4"/>
          <w:sz w:val="24"/>
          <w:szCs w:val="24"/>
          <w:highlight w:val="none"/>
          <w14:textOutline w14:w="4358" w14:cap="sq" w14:cmpd="sng">
            <w14:solidFill>
              <w14:srgbClr w14:val="000000"/>
            </w14:solidFill>
            <w14:prstDash w14:val="solid"/>
            <w14:bevel/>
          </w14:textOutline>
        </w:rPr>
        <w:t>3.</w:t>
      </w:r>
      <w:r>
        <w:rPr>
          <w:color w:val="auto"/>
          <w:spacing w:val="9"/>
          <w:sz w:val="24"/>
          <w:szCs w:val="24"/>
          <w:highlight w:val="none"/>
        </w:rPr>
        <w:t xml:space="preserve"> </w:t>
      </w:r>
      <w:r>
        <w:rPr>
          <w:color w:val="auto"/>
          <w:spacing w:val="-4"/>
          <w:sz w:val="24"/>
          <w:szCs w:val="24"/>
          <w:highlight w:val="none"/>
          <w14:textOutline w14:w="4358" w14:cap="sq" w14:cmpd="sng">
            <w14:solidFill>
              <w14:srgbClr w14:val="000000"/>
            </w14:solidFill>
            <w14:prstDash w14:val="solid"/>
            <w14:bevel/>
          </w14:textOutline>
        </w:rPr>
        <w:t>承包人</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3.1</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承包人的一般义务</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rPr>
        <w:t>（9）承包人提交的竣工资料的内容：</w:t>
      </w:r>
      <w:r>
        <w:rPr>
          <w:color w:val="auto"/>
          <w:spacing w:val="-3"/>
          <w:sz w:val="24"/>
          <w:szCs w:val="24"/>
          <w:highlight w:val="none"/>
          <w:u w:val="single" w:color="auto"/>
        </w:rPr>
        <w:t xml:space="preserve"> 提交完整的符合国家现行《建设工程文件归档整理</w:t>
      </w:r>
      <w:r>
        <w:rPr>
          <w:color w:val="auto"/>
          <w:sz w:val="24"/>
          <w:szCs w:val="24"/>
          <w:highlight w:val="none"/>
          <w:u w:val="single" w:color="auto"/>
        </w:rPr>
        <w:t>规范》及工程所在地政府标准要求的竣工资料，</w:t>
      </w:r>
      <w:r>
        <w:rPr>
          <w:color w:val="auto"/>
          <w:spacing w:val="-1"/>
          <w:sz w:val="24"/>
          <w:szCs w:val="24"/>
          <w:highlight w:val="none"/>
          <w:u w:val="single" w:color="auto"/>
        </w:rPr>
        <w:t>包括合格的竣工图</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承包人需要提交的竣工资料套数：</w:t>
      </w:r>
      <w:r>
        <w:rPr>
          <w:color w:val="auto"/>
          <w:sz w:val="24"/>
          <w:szCs w:val="24"/>
          <w:highlight w:val="none"/>
          <w:u w:val="single" w:color="auto"/>
        </w:rPr>
        <w:t xml:space="preserve">  四套，</w:t>
      </w:r>
      <w:r>
        <w:rPr>
          <w:color w:val="auto"/>
          <w:spacing w:val="-1"/>
          <w:sz w:val="24"/>
          <w:szCs w:val="24"/>
          <w:highlight w:val="none"/>
          <w:u w:val="single" w:color="auto"/>
        </w:rPr>
        <w:t xml:space="preserve">正、副本各两套   </w:t>
      </w:r>
      <w:r>
        <w:rPr>
          <w:color w:val="auto"/>
          <w:spacing w:val="-1"/>
          <w:sz w:val="24"/>
          <w:szCs w:val="24"/>
          <w:highlight w:val="none"/>
        </w:rPr>
        <w:t>。</w:t>
      </w:r>
    </w:p>
    <w:p>
      <w:pPr>
        <w:pStyle w:val="11"/>
        <w:spacing w:before="1" w:line="217" w:lineRule="auto"/>
        <w:ind w:left="489"/>
        <w:rPr>
          <w:color w:val="auto"/>
          <w:sz w:val="24"/>
          <w:szCs w:val="24"/>
          <w:highlight w:val="none"/>
        </w:rPr>
      </w:pPr>
      <w:r>
        <w:rPr>
          <w:color w:val="auto"/>
          <w:spacing w:val="-2"/>
          <w:sz w:val="24"/>
          <w:szCs w:val="24"/>
          <w:highlight w:val="none"/>
        </w:rPr>
        <w:t>承包人提交的竣工资料的费用承担：</w:t>
      </w:r>
      <w:r>
        <w:rPr>
          <w:color w:val="auto"/>
          <w:spacing w:val="43"/>
          <w:sz w:val="24"/>
          <w:szCs w:val="24"/>
          <w:highlight w:val="none"/>
          <w:u w:val="single" w:color="auto"/>
        </w:rPr>
        <w:t xml:space="preserve"> </w:t>
      </w:r>
      <w:r>
        <w:rPr>
          <w:color w:val="auto"/>
          <w:spacing w:val="-2"/>
          <w:sz w:val="24"/>
          <w:szCs w:val="24"/>
          <w:highlight w:val="none"/>
          <w:u w:val="single" w:color="auto"/>
        </w:rPr>
        <w:t xml:space="preserve">已包含在合同价款中 </w:t>
      </w:r>
      <w:r>
        <w:rPr>
          <w:color w:val="auto"/>
          <w:spacing w:val="-2"/>
          <w:sz w:val="24"/>
          <w:szCs w:val="24"/>
          <w:highlight w:val="none"/>
        </w:rPr>
        <w:t>。</w:t>
      </w:r>
    </w:p>
    <w:p>
      <w:pPr>
        <w:pStyle w:val="11"/>
        <w:spacing w:before="185" w:line="219" w:lineRule="auto"/>
        <w:ind w:left="489"/>
        <w:rPr>
          <w:color w:val="auto"/>
          <w:sz w:val="24"/>
          <w:szCs w:val="24"/>
          <w:highlight w:val="none"/>
        </w:rPr>
      </w:pPr>
      <w:r>
        <w:rPr>
          <w:color w:val="auto"/>
          <w:spacing w:val="-2"/>
          <w:sz w:val="24"/>
          <w:szCs w:val="24"/>
          <w:highlight w:val="none"/>
        </w:rPr>
        <w:t>承包人提交的竣工资料移交时间：</w:t>
      </w:r>
      <w:r>
        <w:rPr>
          <w:color w:val="auto"/>
          <w:spacing w:val="-2"/>
          <w:sz w:val="24"/>
          <w:szCs w:val="24"/>
          <w:highlight w:val="none"/>
          <w:u w:val="single" w:color="auto"/>
        </w:rPr>
        <w:t xml:space="preserve"> 工程竣工验收合格后</w:t>
      </w:r>
      <w:r>
        <w:rPr>
          <w:color w:val="auto"/>
          <w:spacing w:val="-16"/>
          <w:sz w:val="24"/>
          <w:szCs w:val="24"/>
          <w:highlight w:val="none"/>
          <w:u w:val="single" w:color="auto"/>
        </w:rPr>
        <w:t xml:space="preserve"> </w:t>
      </w:r>
      <w:r>
        <w:rPr>
          <w:color w:val="auto"/>
          <w:spacing w:val="-2"/>
          <w:sz w:val="24"/>
          <w:szCs w:val="24"/>
          <w:highlight w:val="none"/>
          <w:u w:val="single" w:color="auto"/>
        </w:rPr>
        <w:t>1</w:t>
      </w:r>
      <w:r>
        <w:rPr>
          <w:color w:val="auto"/>
          <w:spacing w:val="-51"/>
          <w:sz w:val="24"/>
          <w:szCs w:val="24"/>
          <w:highlight w:val="none"/>
          <w:u w:val="single" w:color="auto"/>
        </w:rPr>
        <w:t xml:space="preserve"> </w:t>
      </w:r>
      <w:r>
        <w:rPr>
          <w:color w:val="auto"/>
          <w:spacing w:val="-2"/>
          <w:sz w:val="24"/>
          <w:szCs w:val="24"/>
          <w:highlight w:val="none"/>
          <w:u w:val="single" w:color="auto"/>
        </w:rPr>
        <w:t xml:space="preserve">个月内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3" w:right="80" w:firstLine="476"/>
        <w:textAlignment w:val="auto"/>
        <w:rPr>
          <w:color w:val="auto"/>
          <w:sz w:val="24"/>
          <w:szCs w:val="24"/>
          <w:highlight w:val="none"/>
        </w:rPr>
      </w:pPr>
      <w:r>
        <w:rPr>
          <w:color w:val="auto"/>
          <w:spacing w:val="-3"/>
          <w:sz w:val="24"/>
          <w:szCs w:val="24"/>
          <w:highlight w:val="none"/>
        </w:rPr>
        <w:t>承包人提交的竣工资料形式要求：</w:t>
      </w:r>
      <w:r>
        <w:rPr>
          <w:color w:val="auto"/>
          <w:spacing w:val="-3"/>
          <w:sz w:val="24"/>
          <w:szCs w:val="24"/>
          <w:highlight w:val="none"/>
          <w:u w:val="single" w:color="auto"/>
        </w:rPr>
        <w:t xml:space="preserve">  纸质版及电子文档，承包人应根据《关于加强全省建</w:t>
      </w:r>
      <w:r>
        <w:rPr>
          <w:color w:val="auto"/>
          <w:spacing w:val="-1"/>
          <w:sz w:val="24"/>
          <w:szCs w:val="24"/>
          <w:highlight w:val="none"/>
          <w:u w:val="single" w:color="auto"/>
        </w:rPr>
        <w:t>设工程电子档案报送工作的通知》（陕建发〔2010〕</w:t>
      </w:r>
      <w:r>
        <w:rPr>
          <w:color w:val="auto"/>
          <w:spacing w:val="-2"/>
          <w:sz w:val="24"/>
          <w:szCs w:val="24"/>
          <w:highlight w:val="none"/>
          <w:u w:val="single" w:color="auto"/>
        </w:rPr>
        <w:t>102</w:t>
      </w:r>
      <w:r>
        <w:rPr>
          <w:color w:val="auto"/>
          <w:spacing w:val="-45"/>
          <w:sz w:val="24"/>
          <w:szCs w:val="24"/>
          <w:highlight w:val="none"/>
          <w:u w:val="single" w:color="auto"/>
        </w:rPr>
        <w:t xml:space="preserve"> </w:t>
      </w:r>
      <w:r>
        <w:rPr>
          <w:color w:val="auto"/>
          <w:spacing w:val="-2"/>
          <w:sz w:val="24"/>
          <w:szCs w:val="24"/>
          <w:highlight w:val="none"/>
          <w:u w:val="single" w:color="auto"/>
        </w:rPr>
        <w:t>号）进行归档管理，如涉及到相关费</w:t>
      </w:r>
      <w:r>
        <w:rPr>
          <w:color w:val="auto"/>
          <w:spacing w:val="-1"/>
          <w:sz w:val="24"/>
          <w:szCs w:val="24"/>
          <w:highlight w:val="none"/>
          <w:u w:val="single" w:color="auto"/>
        </w:rPr>
        <w:t xml:space="preserve">用，由承包人承担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firstLine="491"/>
        <w:textAlignment w:val="auto"/>
        <w:rPr>
          <w:color w:val="auto"/>
          <w:sz w:val="24"/>
          <w:szCs w:val="24"/>
          <w:highlight w:val="none"/>
        </w:rPr>
      </w:pPr>
      <w:r>
        <w:rPr>
          <w:color w:val="auto"/>
          <w:spacing w:val="-7"/>
          <w:sz w:val="24"/>
          <w:szCs w:val="24"/>
          <w:highlight w:val="none"/>
        </w:rPr>
        <w:t>（10）承包人应履行的其他义务：</w:t>
      </w:r>
      <w:r>
        <w:rPr>
          <w:color w:val="auto"/>
          <w:spacing w:val="-7"/>
          <w:sz w:val="24"/>
          <w:szCs w:val="24"/>
          <w:highlight w:val="none"/>
          <w:u w:val="single" w:color="auto"/>
        </w:rPr>
        <w:t xml:space="preserve">  ①施工、生活用水用电由承包人自行解决，安装供水、</w:t>
      </w:r>
      <w:r>
        <w:rPr>
          <w:color w:val="auto"/>
          <w:spacing w:val="-2"/>
          <w:sz w:val="24"/>
          <w:szCs w:val="24"/>
          <w:highlight w:val="none"/>
          <w:u w:val="single" w:color="auto"/>
        </w:rPr>
        <w:t>供电线路及水、电表并承担其费用，水、电</w:t>
      </w:r>
      <w:r>
        <w:rPr>
          <w:color w:val="auto"/>
          <w:spacing w:val="-3"/>
          <w:sz w:val="24"/>
          <w:szCs w:val="24"/>
          <w:highlight w:val="none"/>
          <w:u w:val="single" w:color="auto"/>
        </w:rPr>
        <w:t>费由承包人按实际发生单向提供位缴纳；通讯线路</w:t>
      </w:r>
      <w:r>
        <w:rPr>
          <w:color w:val="auto"/>
          <w:spacing w:val="-1"/>
          <w:sz w:val="24"/>
          <w:szCs w:val="24"/>
          <w:highlight w:val="none"/>
          <w:u w:val="single" w:color="auto"/>
        </w:rPr>
        <w:t>和设备由承包人自行解决并承担其费用；</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right="80" w:firstLine="477"/>
        <w:textAlignment w:val="auto"/>
        <w:rPr>
          <w:color w:val="auto"/>
          <w:sz w:val="24"/>
          <w:szCs w:val="24"/>
          <w:highlight w:val="none"/>
        </w:rPr>
      </w:pPr>
      <w:r>
        <w:rPr>
          <w:color w:val="auto"/>
          <w:spacing w:val="-3"/>
          <w:sz w:val="24"/>
          <w:szCs w:val="24"/>
          <w:highlight w:val="none"/>
          <w:u w:val="single" w:color="auto"/>
        </w:rPr>
        <w:t>②场内道路由承包人自行解决。承包人负责施工过程中对原通行道路损坏的修复及工程四周安全防护等，确保行人、车辆安全通行，并负责对影响范围内水、电、通讯等管线的保护和</w:t>
      </w:r>
      <w:r>
        <w:rPr>
          <w:color w:val="auto"/>
          <w:spacing w:val="-4"/>
          <w:sz w:val="24"/>
          <w:szCs w:val="24"/>
          <w:highlight w:val="none"/>
          <w:u w:val="single" w:color="auto"/>
        </w:rPr>
        <w:t>修复；</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u w:val="single" w:color="auto"/>
        </w:rPr>
        <w:t>③在土石方倒运过程中，相关手续办理、沿线政策处理及道路维护、清扫、通行安全等责</w:t>
      </w:r>
      <w:r>
        <w:rPr>
          <w:color w:val="auto"/>
          <w:spacing w:val="-1"/>
          <w:sz w:val="24"/>
          <w:szCs w:val="24"/>
          <w:highlight w:val="none"/>
          <w:u w:val="single" w:color="auto"/>
        </w:rPr>
        <w:t>任及费用由承包人承担；</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u w:val="single" w:color="auto"/>
        </w:rPr>
        <w:t>④承包人对所有施工人员及劳务人员的疫情防控工作负全面责任，遵守当地政府及发包人</w:t>
      </w:r>
      <w:r>
        <w:rPr>
          <w:color w:val="auto"/>
          <w:spacing w:val="-1"/>
          <w:sz w:val="24"/>
          <w:szCs w:val="24"/>
          <w:highlight w:val="none"/>
          <w:u w:val="single" w:color="auto"/>
        </w:rPr>
        <w:t>关于疫情防控的相关制度及规定，并承担相关费用；</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80" w:firstLine="478"/>
        <w:textAlignment w:val="auto"/>
        <w:rPr>
          <w:color w:val="auto"/>
          <w:sz w:val="24"/>
          <w:szCs w:val="24"/>
          <w:highlight w:val="none"/>
        </w:rPr>
      </w:pPr>
      <w:r>
        <w:rPr>
          <w:color w:val="auto"/>
          <w:spacing w:val="-3"/>
          <w:sz w:val="24"/>
          <w:szCs w:val="24"/>
          <w:highlight w:val="none"/>
          <w:u w:val="single" w:color="auto"/>
        </w:rPr>
        <w:t>⑤为配合其他承包人在本项目施工范围的其他项目施工，承包人应按发包人的要求，为其</w:t>
      </w:r>
      <w:r>
        <w:rPr>
          <w:color w:val="auto"/>
          <w:spacing w:val="-2"/>
          <w:sz w:val="24"/>
          <w:szCs w:val="24"/>
          <w:highlight w:val="none"/>
          <w:u w:val="single" w:color="auto"/>
        </w:rPr>
        <w:t>他承包人提供必要的施工条件和服务，包括</w:t>
      </w:r>
      <w:r>
        <w:rPr>
          <w:color w:val="auto"/>
          <w:spacing w:val="-3"/>
          <w:sz w:val="24"/>
          <w:szCs w:val="24"/>
          <w:highlight w:val="none"/>
          <w:u w:val="single" w:color="auto"/>
        </w:rPr>
        <w:t>接受施工进度协调、工序的衔接、场地的使用及机</w:t>
      </w:r>
      <w:r>
        <w:rPr>
          <w:color w:val="auto"/>
          <w:sz w:val="24"/>
          <w:szCs w:val="24"/>
          <w:highlight w:val="none"/>
          <w:u w:val="single" w:color="auto"/>
        </w:rPr>
        <w:t>械设备的租用等，关于双方费用的补偿问题，由发包人组</w:t>
      </w:r>
      <w:r>
        <w:rPr>
          <w:color w:val="auto"/>
          <w:spacing w:val="-1"/>
          <w:sz w:val="24"/>
          <w:szCs w:val="24"/>
          <w:highlight w:val="none"/>
          <w:u w:val="single" w:color="auto"/>
        </w:rPr>
        <w:t>织各承包人协商解决；</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firstLine="477"/>
        <w:jc w:val="left"/>
        <w:textAlignment w:val="auto"/>
        <w:rPr>
          <w:color w:val="auto"/>
          <w:sz w:val="24"/>
          <w:szCs w:val="24"/>
          <w:highlight w:val="none"/>
        </w:rPr>
      </w:pPr>
      <w:r>
        <w:rPr>
          <w:color w:val="auto"/>
          <w:spacing w:val="-3"/>
          <w:sz w:val="24"/>
          <w:szCs w:val="24"/>
          <w:highlight w:val="none"/>
          <w:u w:val="single" w:color="auto"/>
        </w:rPr>
        <w:t>⑥承包人若需搭建临时办公用房需要向相关部门办理审批手续的，由承包人自行负责并</w:t>
      </w:r>
      <w:r>
        <w:rPr>
          <w:color w:val="auto"/>
          <w:spacing w:val="-4"/>
          <w:sz w:val="24"/>
          <w:szCs w:val="24"/>
          <w:highlight w:val="none"/>
          <w:u w:val="single" w:color="auto"/>
        </w:rPr>
        <w:t>承</w:t>
      </w:r>
      <w:r>
        <w:rPr>
          <w:color w:val="auto"/>
          <w:spacing w:val="-6"/>
          <w:sz w:val="24"/>
          <w:szCs w:val="24"/>
          <w:highlight w:val="none"/>
          <w:u w:val="single" w:color="auto"/>
        </w:rPr>
        <w:t>担其费用；在工程验收交工前，施工临时占用的场地（含硬化层）</w:t>
      </w:r>
      <w:r>
        <w:rPr>
          <w:color w:val="auto"/>
          <w:spacing w:val="-7"/>
          <w:sz w:val="24"/>
          <w:szCs w:val="24"/>
          <w:highlight w:val="none"/>
          <w:u w:val="single" w:color="auto"/>
        </w:rPr>
        <w:t>及临时搭建的办公房、工棚、</w:t>
      </w:r>
      <w:r>
        <w:rPr>
          <w:color w:val="auto"/>
          <w:spacing w:val="-1"/>
          <w:sz w:val="24"/>
          <w:szCs w:val="24"/>
          <w:highlight w:val="none"/>
          <w:u w:val="single" w:color="auto"/>
        </w:rPr>
        <w:t>围墙等，在工程验收合格后</w:t>
      </w:r>
      <w:r>
        <w:rPr>
          <w:color w:val="auto"/>
          <w:spacing w:val="-45"/>
          <w:sz w:val="24"/>
          <w:szCs w:val="24"/>
          <w:highlight w:val="none"/>
          <w:u w:val="single" w:color="auto"/>
        </w:rPr>
        <w:t xml:space="preserve"> </w:t>
      </w:r>
      <w:r>
        <w:rPr>
          <w:color w:val="auto"/>
          <w:spacing w:val="-1"/>
          <w:sz w:val="24"/>
          <w:szCs w:val="24"/>
          <w:highlight w:val="none"/>
          <w:u w:val="single" w:color="auto"/>
        </w:rPr>
        <w:t>20</w:t>
      </w:r>
      <w:r>
        <w:rPr>
          <w:color w:val="auto"/>
          <w:spacing w:val="-46"/>
          <w:sz w:val="24"/>
          <w:szCs w:val="24"/>
          <w:highlight w:val="none"/>
          <w:u w:val="single" w:color="auto"/>
        </w:rPr>
        <w:t xml:space="preserve"> </w:t>
      </w:r>
      <w:r>
        <w:rPr>
          <w:color w:val="auto"/>
          <w:spacing w:val="-1"/>
          <w:sz w:val="24"/>
          <w:szCs w:val="24"/>
          <w:highlight w:val="none"/>
          <w:u w:val="single" w:color="auto"/>
        </w:rPr>
        <w:t>天内必须自行拆除并清理干净，费用由承包人承担。承包人无</w:t>
      </w:r>
      <w:r>
        <w:rPr>
          <w:color w:val="auto"/>
          <w:spacing w:val="-3"/>
          <w:sz w:val="24"/>
          <w:szCs w:val="24"/>
          <w:highlight w:val="none"/>
          <w:u w:val="single" w:color="auto"/>
        </w:rPr>
        <w:t>经发包人确认的正当理由仍不按照约定期限执行的，发包人将安排其他单位拆除清理，相关费</w:t>
      </w:r>
      <w:r>
        <w:rPr>
          <w:color w:val="auto"/>
          <w:spacing w:val="-1"/>
          <w:sz w:val="24"/>
          <w:szCs w:val="24"/>
          <w:highlight w:val="none"/>
          <w:u w:val="single" w:color="auto"/>
        </w:rPr>
        <w:t>用从承包人合同价款中扣除，且按工期延误处罚；</w:t>
      </w:r>
    </w:p>
    <w:p>
      <w:pPr>
        <w:pStyle w:val="11"/>
        <w:keepNext w:val="0"/>
        <w:keepLines w:val="0"/>
        <w:pageBreakBefore w:val="0"/>
        <w:widowControl w:val="0"/>
        <w:kinsoku/>
        <w:wordWrap/>
        <w:overflowPunct/>
        <w:topLinePunct w:val="0"/>
        <w:autoSpaceDE/>
        <w:autoSpaceDN/>
        <w:bidi w:val="0"/>
        <w:adjustRightInd/>
        <w:snapToGrid/>
        <w:spacing w:after="0" w:line="360" w:lineRule="auto"/>
        <w:ind w:right="61" w:firstLine="468" w:firstLineChars="200"/>
        <w:jc w:val="left"/>
        <w:textAlignment w:val="auto"/>
        <w:rPr>
          <w:color w:val="auto"/>
          <w:sz w:val="24"/>
          <w:szCs w:val="24"/>
          <w:highlight w:val="none"/>
        </w:rPr>
      </w:pPr>
      <w:r>
        <w:rPr>
          <w:color w:val="auto"/>
          <w:spacing w:val="-3"/>
          <w:sz w:val="24"/>
          <w:szCs w:val="24"/>
          <w:highlight w:val="none"/>
          <w:u w:val="single" w:color="auto"/>
        </w:rPr>
        <w:t>⑦承包人应按文明施工、安全防护、环境保护要求进行施工，负责施工现场的保护，并承</w:t>
      </w:r>
      <w:r>
        <w:rPr>
          <w:color w:val="auto"/>
          <w:spacing w:val="-1"/>
          <w:sz w:val="24"/>
          <w:szCs w:val="24"/>
          <w:highlight w:val="none"/>
          <w:u w:val="single" w:color="auto"/>
        </w:rPr>
        <w:t>担因保护措施不力造成的损失及责任；</w:t>
      </w:r>
    </w:p>
    <w:p>
      <w:pPr>
        <w:pStyle w:val="11"/>
        <w:keepNext w:val="0"/>
        <w:keepLines w:val="0"/>
        <w:pageBreakBefore w:val="0"/>
        <w:widowControl w:val="0"/>
        <w:kinsoku/>
        <w:wordWrap/>
        <w:overflowPunct/>
        <w:topLinePunct w:val="0"/>
        <w:autoSpaceDE/>
        <w:autoSpaceDN/>
        <w:bidi w:val="0"/>
        <w:adjustRightInd/>
        <w:snapToGrid/>
        <w:spacing w:after="0" w:line="360" w:lineRule="auto"/>
        <w:ind w:right="61" w:firstLine="468" w:firstLineChars="200"/>
        <w:jc w:val="left"/>
        <w:textAlignment w:val="auto"/>
        <w:rPr>
          <w:color w:val="auto"/>
          <w:sz w:val="24"/>
          <w:szCs w:val="24"/>
          <w:highlight w:val="none"/>
        </w:rPr>
      </w:pPr>
      <w:r>
        <w:rPr>
          <w:color w:val="auto"/>
          <w:spacing w:val="-3"/>
          <w:sz w:val="24"/>
          <w:szCs w:val="24"/>
          <w:highlight w:val="none"/>
          <w:u w:val="single" w:color="auto"/>
        </w:rPr>
        <w:t>⑧承包人工程技术资料必须与工程施工进度同步，质保资料、试验资料、报验资料、合格</w:t>
      </w:r>
      <w:r>
        <w:rPr>
          <w:color w:val="auto"/>
          <w:spacing w:val="-2"/>
          <w:sz w:val="24"/>
          <w:szCs w:val="24"/>
          <w:highlight w:val="none"/>
          <w:u w:val="single" w:color="auto"/>
        </w:rPr>
        <w:t>证书等齐全有效，砼试块资料可采用</w:t>
      </w:r>
      <w:r>
        <w:rPr>
          <w:color w:val="auto"/>
          <w:spacing w:val="-35"/>
          <w:sz w:val="24"/>
          <w:szCs w:val="24"/>
          <w:highlight w:val="none"/>
          <w:u w:val="single" w:color="auto"/>
        </w:rPr>
        <w:t xml:space="preserve"> </w:t>
      </w:r>
      <w:r>
        <w:rPr>
          <w:color w:val="auto"/>
          <w:spacing w:val="-2"/>
          <w:sz w:val="24"/>
          <w:szCs w:val="24"/>
          <w:highlight w:val="none"/>
          <w:u w:val="single" w:color="auto"/>
        </w:rPr>
        <w:t>7</w:t>
      </w:r>
      <w:r>
        <w:rPr>
          <w:color w:val="auto"/>
          <w:spacing w:val="-46"/>
          <w:sz w:val="24"/>
          <w:szCs w:val="24"/>
          <w:highlight w:val="none"/>
          <w:u w:val="single" w:color="auto"/>
        </w:rPr>
        <w:t xml:space="preserve"> </w:t>
      </w:r>
      <w:r>
        <w:rPr>
          <w:color w:val="auto"/>
          <w:spacing w:val="-2"/>
          <w:sz w:val="24"/>
          <w:szCs w:val="24"/>
          <w:highlight w:val="none"/>
          <w:u w:val="single" w:color="auto"/>
        </w:rPr>
        <w:t>天龄期的报告单；</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7"/>
        <w:jc w:val="left"/>
        <w:textAlignment w:val="auto"/>
        <w:rPr>
          <w:color w:val="auto"/>
          <w:sz w:val="24"/>
          <w:szCs w:val="24"/>
          <w:highlight w:val="none"/>
        </w:rPr>
      </w:pPr>
      <w:r>
        <w:rPr>
          <w:color w:val="auto"/>
          <w:spacing w:val="-1"/>
          <w:sz w:val="24"/>
          <w:szCs w:val="24"/>
          <w:highlight w:val="none"/>
          <w:u w:val="single" w:color="auto"/>
        </w:rPr>
        <w:t>⑨农民工工资支付</w:t>
      </w:r>
    </w:p>
    <w:p>
      <w:pPr>
        <w:pStyle w:val="11"/>
        <w:keepNext w:val="0"/>
        <w:keepLines w:val="0"/>
        <w:pageBreakBefore w:val="0"/>
        <w:widowControl w:val="0"/>
        <w:kinsoku/>
        <w:wordWrap/>
        <w:overflowPunct/>
        <w:topLinePunct w:val="0"/>
        <w:autoSpaceDE/>
        <w:autoSpaceDN/>
        <w:bidi w:val="0"/>
        <w:adjustRightInd/>
        <w:snapToGrid/>
        <w:spacing w:after="0" w:line="360" w:lineRule="auto"/>
        <w:ind w:right="61" w:firstLine="468" w:firstLineChars="200"/>
        <w:jc w:val="left"/>
        <w:textAlignment w:val="auto"/>
        <w:rPr>
          <w:color w:val="auto"/>
          <w:sz w:val="24"/>
          <w:szCs w:val="24"/>
          <w:highlight w:val="none"/>
        </w:rPr>
      </w:pPr>
      <w:r>
        <w:rPr>
          <w:color w:val="auto"/>
          <w:spacing w:val="-3"/>
          <w:sz w:val="24"/>
          <w:szCs w:val="24"/>
          <w:highlight w:val="none"/>
          <w:u w:val="single" w:color="auto"/>
        </w:rPr>
        <w:t>按照《保障农民工工资支付条例》（国务院令第</w:t>
      </w:r>
      <w:r>
        <w:rPr>
          <w:color w:val="auto"/>
          <w:spacing w:val="-45"/>
          <w:sz w:val="24"/>
          <w:szCs w:val="24"/>
          <w:highlight w:val="none"/>
          <w:u w:val="single" w:color="auto"/>
        </w:rPr>
        <w:t xml:space="preserve"> </w:t>
      </w:r>
      <w:r>
        <w:rPr>
          <w:color w:val="auto"/>
          <w:spacing w:val="-3"/>
          <w:sz w:val="24"/>
          <w:szCs w:val="24"/>
          <w:highlight w:val="none"/>
          <w:u w:val="single" w:color="auto"/>
        </w:rPr>
        <w:t>72</w:t>
      </w:r>
      <w:r>
        <w:rPr>
          <w:color w:val="auto"/>
          <w:spacing w:val="-4"/>
          <w:sz w:val="24"/>
          <w:szCs w:val="24"/>
          <w:highlight w:val="none"/>
          <w:u w:val="single" w:color="auto"/>
        </w:rPr>
        <w:t>4</w:t>
      </w:r>
      <w:r>
        <w:rPr>
          <w:color w:val="auto"/>
          <w:spacing w:val="-44"/>
          <w:sz w:val="24"/>
          <w:szCs w:val="24"/>
          <w:highlight w:val="none"/>
          <w:u w:val="single" w:color="auto"/>
        </w:rPr>
        <w:t xml:space="preserve"> </w:t>
      </w:r>
      <w:r>
        <w:rPr>
          <w:color w:val="auto"/>
          <w:spacing w:val="-4"/>
          <w:sz w:val="24"/>
          <w:szCs w:val="24"/>
          <w:highlight w:val="none"/>
          <w:u w:val="single" w:color="auto"/>
        </w:rPr>
        <w:t>号）规定，承包人提供以下账户作为</w:t>
      </w:r>
      <w:r>
        <w:rPr>
          <w:color w:val="auto"/>
          <w:spacing w:val="-1"/>
          <w:sz w:val="24"/>
          <w:szCs w:val="24"/>
          <w:highlight w:val="none"/>
          <w:u w:val="single" w:color="auto"/>
        </w:rPr>
        <w:t>农民工工资专用账户：</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8"/>
          <w:sz w:val="24"/>
          <w:szCs w:val="24"/>
          <w:highlight w:val="none"/>
        </w:rPr>
        <w:t>户</w:t>
      </w:r>
      <w:r>
        <w:rPr>
          <w:color w:val="auto"/>
          <w:spacing w:val="6"/>
          <w:sz w:val="24"/>
          <w:szCs w:val="24"/>
          <w:highlight w:val="none"/>
        </w:rPr>
        <w:t xml:space="preserve">  </w:t>
      </w:r>
      <w:r>
        <w:rPr>
          <w:color w:val="auto"/>
          <w:spacing w:val="-8"/>
          <w:sz w:val="24"/>
          <w:szCs w:val="24"/>
          <w:highlight w:val="none"/>
        </w:rPr>
        <w:t>名：</w:t>
      </w:r>
    </w:p>
    <w:tbl>
      <w:tblPr>
        <w:tblStyle w:val="45"/>
        <w:tblW w:w="6720" w:type="dxa"/>
        <w:tblInd w:w="4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72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2" w:hRule="atLeast"/>
        </w:trPr>
        <w:tc>
          <w:tcPr>
            <w:tcW w:w="6720" w:type="dxa"/>
            <w:tcBorders>
              <w:top w:val="single" w:color="000000" w:sz="4" w:space="0"/>
              <w:bottom w:val="single" w:color="000000" w:sz="4" w:space="0"/>
            </w:tcBorders>
            <w:vAlign w:val="top"/>
          </w:tcPr>
          <w:p>
            <w:pPr>
              <w:pStyle w:val="44"/>
              <w:keepNext w:val="0"/>
              <w:keepLines w:val="0"/>
              <w:pageBreakBefore w:val="0"/>
              <w:widowControl w:val="0"/>
              <w:kinsoku/>
              <w:wordWrap/>
              <w:overflowPunct/>
              <w:topLinePunct w:val="0"/>
              <w:autoSpaceDE/>
              <w:autoSpaceDN/>
              <w:bidi w:val="0"/>
              <w:adjustRightInd/>
              <w:snapToGrid/>
              <w:spacing w:line="360" w:lineRule="auto"/>
              <w:ind w:left="10"/>
              <w:textAlignment w:val="auto"/>
              <w:rPr>
                <w:color w:val="auto"/>
                <w:sz w:val="24"/>
                <w:szCs w:val="24"/>
                <w:highlight w:val="none"/>
              </w:rPr>
            </w:pPr>
            <w:r>
              <w:rPr>
                <w:color w:val="auto"/>
                <w:spacing w:val="-3"/>
                <w:sz w:val="24"/>
                <w:szCs w:val="24"/>
                <w:highlight w:val="none"/>
              </w:rPr>
              <w:t>开户行：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6" w:hRule="atLeast"/>
        </w:trPr>
        <w:tc>
          <w:tcPr>
            <w:tcW w:w="6720" w:type="dxa"/>
            <w:tcBorders>
              <w:top w:val="single" w:color="000000" w:sz="4" w:space="0"/>
              <w:bottom w:val="single" w:color="000000" w:sz="4" w:space="0"/>
            </w:tcBorders>
            <w:vAlign w:val="top"/>
          </w:tcPr>
          <w:p>
            <w:pPr>
              <w:pStyle w:val="44"/>
              <w:keepNext w:val="0"/>
              <w:keepLines w:val="0"/>
              <w:pageBreakBefore w:val="0"/>
              <w:widowControl w:val="0"/>
              <w:kinsoku/>
              <w:wordWrap/>
              <w:overflowPunct/>
              <w:topLinePunct w:val="0"/>
              <w:autoSpaceDE/>
              <w:autoSpaceDN/>
              <w:bidi w:val="0"/>
              <w:adjustRightInd/>
              <w:snapToGrid/>
              <w:spacing w:line="360" w:lineRule="auto"/>
              <w:ind w:left="13"/>
              <w:textAlignment w:val="auto"/>
              <w:rPr>
                <w:color w:val="auto"/>
                <w:sz w:val="24"/>
                <w:szCs w:val="24"/>
                <w:highlight w:val="none"/>
              </w:rPr>
            </w:pPr>
            <w:r>
              <w:rPr>
                <w:color w:val="auto"/>
                <w:spacing w:val="-10"/>
                <w:sz w:val="24"/>
                <w:szCs w:val="24"/>
                <w:highlight w:val="none"/>
              </w:rPr>
              <w:t>账</w:t>
            </w:r>
            <w:r>
              <w:rPr>
                <w:color w:val="auto"/>
                <w:spacing w:val="7"/>
                <w:sz w:val="24"/>
                <w:szCs w:val="24"/>
                <w:highlight w:val="none"/>
              </w:rPr>
              <w:t xml:space="preserve">  </w:t>
            </w:r>
            <w:r>
              <w:rPr>
                <w:color w:val="auto"/>
                <w:spacing w:val="-10"/>
                <w:sz w:val="24"/>
                <w:szCs w:val="24"/>
                <w:highlight w:val="none"/>
              </w:rPr>
              <w:t>号：</w:t>
            </w:r>
          </w:p>
        </w:tc>
      </w:tr>
    </w:tbl>
    <w:p>
      <w:pPr>
        <w:pStyle w:val="11"/>
        <w:keepNext w:val="0"/>
        <w:keepLines w:val="0"/>
        <w:pageBreakBefore w:val="0"/>
        <w:widowControl w:val="0"/>
        <w:kinsoku/>
        <w:wordWrap/>
        <w:overflowPunct/>
        <w:topLinePunct w:val="0"/>
        <w:autoSpaceDE/>
        <w:autoSpaceDN/>
        <w:bidi w:val="0"/>
        <w:adjustRightInd/>
        <w:snapToGrid/>
        <w:spacing w:after="0" w:line="360" w:lineRule="auto"/>
        <w:ind w:left="7" w:firstLine="481"/>
        <w:jc w:val="both"/>
        <w:textAlignment w:val="auto"/>
        <w:rPr>
          <w:color w:val="auto"/>
          <w:sz w:val="24"/>
          <w:szCs w:val="24"/>
          <w:highlight w:val="none"/>
        </w:rPr>
      </w:pPr>
      <w:r>
        <w:rPr>
          <w:color w:val="auto"/>
          <w:spacing w:val="-6"/>
          <w:sz w:val="24"/>
          <w:szCs w:val="24"/>
          <w:highlight w:val="none"/>
          <w:u w:val="single" w:color="auto"/>
        </w:rPr>
        <w:t>承包人承诺，每月按验收合格工程进度款的</w:t>
      </w:r>
      <w:r>
        <w:rPr>
          <w:color w:val="auto"/>
          <w:spacing w:val="-33"/>
          <w:sz w:val="24"/>
          <w:szCs w:val="24"/>
          <w:highlight w:val="none"/>
          <w:u w:val="single" w:color="auto"/>
        </w:rPr>
        <w:t xml:space="preserve"> </w:t>
      </w:r>
      <w:r>
        <w:rPr>
          <w:color w:val="auto"/>
          <w:spacing w:val="-6"/>
          <w:sz w:val="24"/>
          <w:szCs w:val="24"/>
          <w:highlight w:val="none"/>
          <w:u w:val="single" w:color="auto"/>
        </w:rPr>
        <w:t>10%确定的农民工工资金额，经发包人</w:t>
      </w:r>
      <w:r>
        <w:rPr>
          <w:color w:val="auto"/>
          <w:spacing w:val="-7"/>
          <w:sz w:val="24"/>
          <w:szCs w:val="24"/>
          <w:highlight w:val="none"/>
          <w:u w:val="single" w:color="auto"/>
        </w:rPr>
        <w:t>审核后，</w:t>
      </w:r>
      <w:r>
        <w:rPr>
          <w:color w:val="auto"/>
          <w:spacing w:val="-2"/>
          <w:sz w:val="24"/>
          <w:szCs w:val="24"/>
          <w:highlight w:val="none"/>
          <w:u w:val="single" w:color="auto"/>
        </w:rPr>
        <w:t>将该笔款项支付至农民工工资专用账户中。农</w:t>
      </w:r>
      <w:r>
        <w:rPr>
          <w:color w:val="auto"/>
          <w:spacing w:val="-3"/>
          <w:sz w:val="24"/>
          <w:szCs w:val="24"/>
          <w:highlight w:val="none"/>
          <w:u w:val="single" w:color="auto"/>
        </w:rPr>
        <w:t>民工工资专用账户的款项专项用于支付该工程建</w:t>
      </w:r>
      <w:r>
        <w:rPr>
          <w:color w:val="auto"/>
          <w:spacing w:val="-2"/>
          <w:sz w:val="24"/>
          <w:szCs w:val="24"/>
          <w:highlight w:val="none"/>
          <w:u w:val="single" w:color="auto"/>
        </w:rPr>
        <w:t>设项目农民工工资，承包人不得将该账户的款</w:t>
      </w:r>
      <w:r>
        <w:rPr>
          <w:color w:val="auto"/>
          <w:spacing w:val="-3"/>
          <w:sz w:val="24"/>
          <w:szCs w:val="24"/>
          <w:highlight w:val="none"/>
          <w:u w:val="single" w:color="auto"/>
        </w:rPr>
        <w:t>项用于支付其他项目支出。每月进行工程量验收</w:t>
      </w:r>
      <w:r>
        <w:rPr>
          <w:color w:val="auto"/>
          <w:spacing w:val="-2"/>
          <w:sz w:val="24"/>
          <w:szCs w:val="24"/>
          <w:highlight w:val="none"/>
          <w:u w:val="single" w:color="auto"/>
        </w:rPr>
        <w:t>时应提供上月农民工工资发放明细，确保按时</w:t>
      </w:r>
      <w:r>
        <w:rPr>
          <w:color w:val="auto"/>
          <w:spacing w:val="-3"/>
          <w:sz w:val="24"/>
          <w:szCs w:val="24"/>
          <w:highlight w:val="none"/>
          <w:u w:val="single" w:color="auto"/>
        </w:rPr>
        <w:t>发放农民工工资，否则发包人有权从承包人合同</w:t>
      </w:r>
      <w:r>
        <w:rPr>
          <w:color w:val="auto"/>
          <w:spacing w:val="-1"/>
          <w:sz w:val="24"/>
          <w:szCs w:val="24"/>
          <w:highlight w:val="none"/>
          <w:u w:val="single" w:color="auto"/>
        </w:rPr>
        <w:t xml:space="preserve">价款中结算农民工工资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4"/>
          <w:sz w:val="24"/>
          <w:szCs w:val="24"/>
          <w:highlight w:val="none"/>
          <w14:textOutline w14:w="4358" w14:cap="sq" w14:cmpd="sng">
            <w14:solidFill>
              <w14:srgbClr w14:val="000000"/>
            </w14:solidFill>
            <w14:prstDash w14:val="solid"/>
            <w14:bevel/>
          </w14:textOutline>
        </w:rPr>
        <w:t>3.2</w:t>
      </w:r>
      <w:r>
        <w:rPr>
          <w:color w:val="auto"/>
          <w:spacing w:val="17"/>
          <w:sz w:val="24"/>
          <w:szCs w:val="24"/>
          <w:highlight w:val="none"/>
        </w:rPr>
        <w:t xml:space="preserve"> </w:t>
      </w:r>
      <w:r>
        <w:rPr>
          <w:color w:val="auto"/>
          <w:spacing w:val="-4"/>
          <w:sz w:val="24"/>
          <w:szCs w:val="24"/>
          <w:highlight w:val="none"/>
          <w14:textOutline w14:w="4358" w14:cap="sq" w14:cmpd="sng">
            <w14:solidFill>
              <w14:srgbClr w14:val="000000"/>
            </w14:solidFill>
            <w14:prstDash w14:val="solid"/>
            <w14:bevel/>
          </w14:textOutline>
        </w:rPr>
        <w:t>项目经理</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2"/>
          <w:sz w:val="24"/>
          <w:szCs w:val="24"/>
          <w:highlight w:val="none"/>
        </w:rPr>
        <w:t>3.2.1 项目经理：</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11"/>
          <w:sz w:val="24"/>
          <w:szCs w:val="24"/>
          <w:highlight w:val="none"/>
        </w:rPr>
        <w:t>姓</w:t>
      </w:r>
      <w:r>
        <w:rPr>
          <w:color w:val="auto"/>
          <w:spacing w:val="3"/>
          <w:sz w:val="24"/>
          <w:szCs w:val="24"/>
          <w:highlight w:val="none"/>
        </w:rPr>
        <w:t xml:space="preserve">    </w:t>
      </w:r>
      <w:r>
        <w:rPr>
          <w:color w:val="auto"/>
          <w:spacing w:val="-11"/>
          <w:sz w:val="24"/>
          <w:szCs w:val="24"/>
          <w:highlight w:val="none"/>
        </w:rPr>
        <w:t>名</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4"/>
          <w:sz w:val="24"/>
          <w:szCs w:val="24"/>
          <w:highlight w:val="none"/>
        </w:rPr>
        <w:t>身份证号</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2"/>
          <w:sz w:val="24"/>
          <w:szCs w:val="24"/>
          <w:highlight w:val="none"/>
        </w:rPr>
        <w:t>建造师执业资格等级</w:t>
      </w:r>
      <w:r>
        <w:rPr>
          <w:color w:val="auto"/>
          <w:spacing w:val="2"/>
          <w:sz w:val="24"/>
          <w:szCs w:val="24"/>
          <w:highlight w:val="none"/>
        </w:rPr>
        <w:t>：</w:t>
      </w:r>
      <w:r>
        <w:rPr>
          <w:color w:val="auto"/>
          <w:sz w:val="24"/>
          <w:szCs w:val="24"/>
          <w:highlight w:val="none"/>
          <w:u w:val="single" w:color="auto"/>
        </w:rPr>
        <w:t xml:space="preserve">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2"/>
          <w:sz w:val="24"/>
          <w:szCs w:val="24"/>
          <w:highlight w:val="none"/>
        </w:rPr>
        <w:t>建造师注册证书号</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2"/>
          <w:sz w:val="24"/>
          <w:szCs w:val="24"/>
          <w:highlight w:val="none"/>
        </w:rPr>
        <w:t>建造师执业印章号</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2"/>
          <w:sz w:val="24"/>
          <w:szCs w:val="24"/>
          <w:highlight w:val="none"/>
        </w:rPr>
        <w:t>安全生产考核合格证书号</w:t>
      </w:r>
      <w:r>
        <w:rPr>
          <w:color w:val="auto"/>
          <w:spacing w:val="3"/>
          <w:sz w:val="24"/>
          <w:szCs w:val="24"/>
          <w:highlight w:val="none"/>
        </w:rPr>
        <w:t>：</w:t>
      </w:r>
      <w:r>
        <w:rPr>
          <w:color w:val="auto"/>
          <w:sz w:val="24"/>
          <w:szCs w:val="24"/>
          <w:highlight w:val="none"/>
          <w:u w:val="single" w:color="auto"/>
        </w:rPr>
        <w:t xml:space="preserve">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3"/>
          <w:sz w:val="24"/>
          <w:szCs w:val="24"/>
          <w:highlight w:val="none"/>
        </w:rPr>
        <w:t>联系电话</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17"/>
        <w:textAlignment w:val="auto"/>
        <w:rPr>
          <w:color w:val="auto"/>
          <w:sz w:val="24"/>
          <w:szCs w:val="24"/>
          <w:highlight w:val="none"/>
        </w:rPr>
      </w:pPr>
      <w:r>
        <w:rPr>
          <w:color w:val="auto"/>
          <w:spacing w:val="-10"/>
          <w:sz w:val="24"/>
          <w:szCs w:val="24"/>
          <w:highlight w:val="none"/>
        </w:rPr>
        <w:t>电子信箱</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3"/>
          <w:sz w:val="24"/>
          <w:szCs w:val="24"/>
          <w:highlight w:val="none"/>
        </w:rPr>
        <w:t>通信地址</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rFonts w:ascii="Arial"/>
          <w:color w:val="auto"/>
          <w:sz w:val="21"/>
          <w:highlight w:val="none"/>
        </w:rPr>
      </w:pPr>
      <w:r>
        <w:rPr>
          <w:color w:val="auto"/>
          <w:spacing w:val="-14"/>
          <w:sz w:val="24"/>
          <w:szCs w:val="24"/>
          <w:highlight w:val="none"/>
        </w:rPr>
        <w:t>承 包 人 对 项</w:t>
      </w:r>
      <w:r>
        <w:rPr>
          <w:color w:val="auto"/>
          <w:spacing w:val="52"/>
          <w:sz w:val="24"/>
          <w:szCs w:val="24"/>
          <w:highlight w:val="none"/>
        </w:rPr>
        <w:t xml:space="preserve"> </w:t>
      </w:r>
      <w:r>
        <w:rPr>
          <w:color w:val="auto"/>
          <w:spacing w:val="-14"/>
          <w:sz w:val="24"/>
          <w:szCs w:val="24"/>
          <w:highlight w:val="none"/>
        </w:rPr>
        <w:t>目 经</w:t>
      </w:r>
      <w:r>
        <w:rPr>
          <w:color w:val="auto"/>
          <w:sz w:val="24"/>
          <w:szCs w:val="24"/>
          <w:highlight w:val="none"/>
        </w:rPr>
        <w:t xml:space="preserve"> </w:t>
      </w:r>
      <w:r>
        <w:rPr>
          <w:color w:val="auto"/>
          <w:spacing w:val="-14"/>
          <w:sz w:val="24"/>
          <w:szCs w:val="24"/>
          <w:highlight w:val="none"/>
        </w:rPr>
        <w:t>理</w:t>
      </w:r>
      <w:r>
        <w:rPr>
          <w:color w:val="auto"/>
          <w:spacing w:val="14"/>
          <w:sz w:val="24"/>
          <w:szCs w:val="24"/>
          <w:highlight w:val="none"/>
        </w:rPr>
        <w:t xml:space="preserve"> </w:t>
      </w:r>
      <w:r>
        <w:rPr>
          <w:color w:val="auto"/>
          <w:spacing w:val="-14"/>
          <w:sz w:val="24"/>
          <w:szCs w:val="24"/>
          <w:highlight w:val="none"/>
        </w:rPr>
        <w:t>的 授</w:t>
      </w:r>
      <w:r>
        <w:rPr>
          <w:color w:val="auto"/>
          <w:spacing w:val="-6"/>
          <w:sz w:val="24"/>
          <w:szCs w:val="24"/>
          <w:highlight w:val="none"/>
        </w:rPr>
        <w:t xml:space="preserve"> </w:t>
      </w:r>
      <w:r>
        <w:rPr>
          <w:color w:val="auto"/>
          <w:spacing w:val="-14"/>
          <w:sz w:val="24"/>
          <w:szCs w:val="24"/>
          <w:highlight w:val="none"/>
        </w:rPr>
        <w:t>权</w:t>
      </w:r>
      <w:r>
        <w:rPr>
          <w:color w:val="auto"/>
          <w:spacing w:val="4"/>
          <w:sz w:val="24"/>
          <w:szCs w:val="24"/>
          <w:highlight w:val="none"/>
        </w:rPr>
        <w:t xml:space="preserve"> </w:t>
      </w:r>
      <w:r>
        <w:rPr>
          <w:color w:val="auto"/>
          <w:spacing w:val="-14"/>
          <w:sz w:val="24"/>
          <w:szCs w:val="24"/>
          <w:highlight w:val="none"/>
        </w:rPr>
        <w:t>范</w:t>
      </w:r>
      <w:r>
        <w:rPr>
          <w:color w:val="auto"/>
          <w:spacing w:val="19"/>
          <w:sz w:val="24"/>
          <w:szCs w:val="24"/>
          <w:highlight w:val="none"/>
        </w:rPr>
        <w:t xml:space="preserve"> </w:t>
      </w:r>
      <w:r>
        <w:rPr>
          <w:color w:val="auto"/>
          <w:spacing w:val="-14"/>
          <w:sz w:val="24"/>
          <w:szCs w:val="24"/>
          <w:highlight w:val="none"/>
        </w:rPr>
        <w:t>围</w:t>
      </w:r>
      <w:r>
        <w:rPr>
          <w:color w:val="auto"/>
          <w:spacing w:val="-2"/>
          <w:sz w:val="24"/>
          <w:szCs w:val="24"/>
          <w:highlight w:val="none"/>
        </w:rPr>
        <w:t xml:space="preserve"> </w:t>
      </w:r>
      <w:r>
        <w:rPr>
          <w:color w:val="auto"/>
          <w:spacing w:val="-14"/>
          <w:sz w:val="24"/>
          <w:szCs w:val="24"/>
          <w:highlight w:val="none"/>
        </w:rPr>
        <w:t>如</w:t>
      </w:r>
      <w:r>
        <w:rPr>
          <w:color w:val="auto"/>
          <w:spacing w:val="5"/>
          <w:sz w:val="24"/>
          <w:szCs w:val="24"/>
          <w:highlight w:val="none"/>
        </w:rPr>
        <w:t xml:space="preserve"> </w:t>
      </w:r>
      <w:r>
        <w:rPr>
          <w:color w:val="auto"/>
          <w:spacing w:val="-14"/>
          <w:sz w:val="24"/>
          <w:szCs w:val="24"/>
          <w:highlight w:val="none"/>
        </w:rPr>
        <w:t>下</w:t>
      </w:r>
      <w:r>
        <w:rPr>
          <w:color w:val="auto"/>
          <w:spacing w:val="18"/>
          <w:sz w:val="24"/>
          <w:szCs w:val="24"/>
          <w:highlight w:val="none"/>
        </w:rPr>
        <w:t xml:space="preserve"> </w:t>
      </w:r>
      <w:r>
        <w:rPr>
          <w:color w:val="auto"/>
          <w:spacing w:val="-14"/>
          <w:sz w:val="24"/>
          <w:szCs w:val="24"/>
          <w:highlight w:val="none"/>
        </w:rPr>
        <w:t xml:space="preserve">： </w:t>
      </w:r>
      <w:r>
        <w:rPr>
          <w:color w:val="auto"/>
          <w:sz w:val="24"/>
          <w:szCs w:val="24"/>
          <w:highlight w:val="none"/>
          <w:u w:val="single" w:color="auto"/>
        </w:rPr>
        <w:t xml:space="preserve">                               </w:t>
      </w:r>
    </w:p>
    <w:p>
      <w:pPr>
        <w:pStyle w:val="11"/>
        <w:keepNext w:val="0"/>
        <w:keepLines w:val="0"/>
        <w:pageBreakBefore w:val="0"/>
        <w:widowControl w:val="0"/>
        <w:kinsoku/>
        <w:wordWrap/>
        <w:overflowPunct/>
        <w:topLinePunct w:val="0"/>
        <w:autoSpaceDE/>
        <w:autoSpaceDN/>
        <w:bidi w:val="0"/>
        <w:adjustRightInd/>
        <w:snapToGrid/>
        <w:spacing w:line="360" w:lineRule="auto"/>
        <w:ind w:left="9" w:right="125" w:firstLine="483"/>
        <w:jc w:val="both"/>
        <w:textAlignment w:val="auto"/>
        <w:rPr>
          <w:color w:val="auto"/>
          <w:sz w:val="24"/>
          <w:szCs w:val="24"/>
          <w:highlight w:val="none"/>
        </w:rPr>
      </w:pPr>
      <w:r>
        <w:rPr>
          <w:color w:val="auto"/>
          <w:spacing w:val="-2"/>
          <w:sz w:val="24"/>
          <w:szCs w:val="24"/>
          <w:highlight w:val="none"/>
        </w:rPr>
        <w:t>关于项目经理每月在施工现场的时间要求：</w:t>
      </w:r>
      <w:r>
        <w:rPr>
          <w:color w:val="auto"/>
          <w:spacing w:val="-2"/>
          <w:sz w:val="24"/>
          <w:szCs w:val="24"/>
          <w:highlight w:val="none"/>
          <w:u w:val="single" w:color="auto"/>
        </w:rPr>
        <w:t xml:space="preserve">   每周在工地不得少于</w:t>
      </w:r>
      <w:r>
        <w:rPr>
          <w:color w:val="auto"/>
          <w:spacing w:val="-46"/>
          <w:sz w:val="24"/>
          <w:szCs w:val="24"/>
          <w:highlight w:val="none"/>
          <w:u w:val="single" w:color="auto"/>
        </w:rPr>
        <w:t xml:space="preserve"> </w:t>
      </w:r>
      <w:r>
        <w:rPr>
          <w:color w:val="auto"/>
          <w:spacing w:val="-2"/>
          <w:sz w:val="24"/>
          <w:szCs w:val="24"/>
          <w:highlight w:val="none"/>
          <w:u w:val="single" w:color="auto"/>
        </w:rPr>
        <w:t>5</w:t>
      </w:r>
      <w:r>
        <w:rPr>
          <w:color w:val="auto"/>
          <w:spacing w:val="-46"/>
          <w:sz w:val="24"/>
          <w:szCs w:val="24"/>
          <w:highlight w:val="none"/>
          <w:u w:val="single" w:color="auto"/>
        </w:rPr>
        <w:t xml:space="preserve"> </w:t>
      </w:r>
      <w:r>
        <w:rPr>
          <w:color w:val="auto"/>
          <w:spacing w:val="-2"/>
          <w:sz w:val="24"/>
          <w:szCs w:val="24"/>
          <w:highlight w:val="none"/>
          <w:u w:val="single" w:color="auto"/>
        </w:rPr>
        <w:t>天，每少</w:t>
      </w:r>
      <w:r>
        <w:rPr>
          <w:color w:val="auto"/>
          <w:spacing w:val="-33"/>
          <w:sz w:val="24"/>
          <w:szCs w:val="24"/>
          <w:highlight w:val="none"/>
          <w:u w:val="single" w:color="auto"/>
        </w:rPr>
        <w:t xml:space="preserve"> </w:t>
      </w:r>
      <w:r>
        <w:rPr>
          <w:color w:val="auto"/>
          <w:spacing w:val="-3"/>
          <w:sz w:val="24"/>
          <w:szCs w:val="24"/>
          <w:highlight w:val="none"/>
          <w:u w:val="single" w:color="auto"/>
        </w:rPr>
        <w:t>1</w:t>
      </w:r>
      <w:r>
        <w:rPr>
          <w:color w:val="auto"/>
          <w:spacing w:val="-46"/>
          <w:sz w:val="24"/>
          <w:szCs w:val="24"/>
          <w:highlight w:val="none"/>
          <w:u w:val="single" w:color="auto"/>
        </w:rPr>
        <w:t xml:space="preserve"> </w:t>
      </w:r>
      <w:r>
        <w:rPr>
          <w:color w:val="auto"/>
          <w:spacing w:val="-3"/>
          <w:sz w:val="24"/>
          <w:szCs w:val="24"/>
          <w:highlight w:val="none"/>
          <w:u w:val="single" w:color="auto"/>
        </w:rPr>
        <w:t>天承担</w:t>
      </w:r>
      <w:r>
        <w:rPr>
          <w:color w:val="auto"/>
          <w:spacing w:val="-1"/>
          <w:sz w:val="24"/>
          <w:szCs w:val="24"/>
          <w:highlight w:val="none"/>
          <w:u w:val="single" w:color="auto"/>
        </w:rPr>
        <w:t>违约金</w:t>
      </w:r>
      <w:r>
        <w:rPr>
          <w:color w:val="auto"/>
          <w:spacing w:val="-40"/>
          <w:sz w:val="24"/>
          <w:szCs w:val="24"/>
          <w:highlight w:val="none"/>
          <w:u w:val="single" w:color="auto"/>
        </w:rPr>
        <w:t xml:space="preserve"> </w:t>
      </w:r>
      <w:r>
        <w:rPr>
          <w:color w:val="auto"/>
          <w:spacing w:val="-1"/>
          <w:sz w:val="24"/>
          <w:szCs w:val="24"/>
          <w:highlight w:val="none"/>
          <w:u w:val="single" w:color="auto"/>
        </w:rPr>
        <w:t>2000</w:t>
      </w:r>
      <w:r>
        <w:rPr>
          <w:color w:val="auto"/>
          <w:spacing w:val="-49"/>
          <w:sz w:val="24"/>
          <w:szCs w:val="24"/>
          <w:highlight w:val="none"/>
          <w:u w:val="single" w:color="auto"/>
        </w:rPr>
        <w:t xml:space="preserve"> </w:t>
      </w:r>
      <w:r>
        <w:rPr>
          <w:color w:val="auto"/>
          <w:spacing w:val="-1"/>
          <w:sz w:val="24"/>
          <w:szCs w:val="24"/>
          <w:highlight w:val="none"/>
          <w:u w:val="single" w:color="auto"/>
        </w:rPr>
        <w:t>元，项目经理要外出一天以上的（含一天）必须事先取得发包人的许可，否则按</w:t>
      </w:r>
      <w:r>
        <w:rPr>
          <w:color w:val="auto"/>
          <w:spacing w:val="-2"/>
          <w:sz w:val="24"/>
          <w:szCs w:val="24"/>
          <w:highlight w:val="none"/>
          <w:u w:val="single" w:color="auto"/>
        </w:rPr>
        <w:t>缺勤处理。项目经理每次请假时间不超过</w:t>
      </w:r>
      <w:r>
        <w:rPr>
          <w:color w:val="auto"/>
          <w:spacing w:val="-39"/>
          <w:sz w:val="24"/>
          <w:szCs w:val="24"/>
          <w:highlight w:val="none"/>
          <w:u w:val="single" w:color="auto"/>
        </w:rPr>
        <w:t xml:space="preserve"> </w:t>
      </w:r>
      <w:r>
        <w:rPr>
          <w:color w:val="auto"/>
          <w:spacing w:val="-2"/>
          <w:sz w:val="24"/>
          <w:szCs w:val="24"/>
          <w:highlight w:val="none"/>
          <w:u w:val="single" w:color="auto"/>
        </w:rPr>
        <w:t>3</w:t>
      </w:r>
      <w:r>
        <w:rPr>
          <w:color w:val="auto"/>
          <w:spacing w:val="-46"/>
          <w:sz w:val="24"/>
          <w:szCs w:val="24"/>
          <w:highlight w:val="none"/>
          <w:u w:val="single" w:color="auto"/>
        </w:rPr>
        <w:t xml:space="preserve"> </w:t>
      </w:r>
      <w:r>
        <w:rPr>
          <w:color w:val="auto"/>
          <w:spacing w:val="-2"/>
          <w:sz w:val="24"/>
          <w:szCs w:val="24"/>
          <w:highlight w:val="none"/>
          <w:u w:val="single" w:color="auto"/>
        </w:rPr>
        <w:t xml:space="preserve">天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1" w:right="99" w:firstLine="478"/>
        <w:jc w:val="both"/>
        <w:textAlignment w:val="auto"/>
        <w:rPr>
          <w:color w:val="auto"/>
          <w:sz w:val="24"/>
          <w:szCs w:val="24"/>
          <w:highlight w:val="none"/>
        </w:rPr>
      </w:pPr>
      <w:r>
        <w:rPr>
          <w:color w:val="auto"/>
          <w:sz w:val="24"/>
          <w:szCs w:val="24"/>
          <w:highlight w:val="none"/>
        </w:rPr>
        <w:t>承包人未提交劳动合同，以及没有为项目经理缴纳社会保险证明的违约责任：</w:t>
      </w:r>
      <w:r>
        <w:rPr>
          <w:color w:val="auto"/>
          <w:sz w:val="24"/>
          <w:szCs w:val="24"/>
          <w:highlight w:val="none"/>
          <w:u w:val="single" w:color="auto"/>
        </w:rPr>
        <w:t xml:space="preserve"> 项目经理</w:t>
      </w:r>
      <w:r>
        <w:rPr>
          <w:color w:val="auto"/>
          <w:spacing w:val="8"/>
          <w:sz w:val="24"/>
          <w:szCs w:val="24"/>
          <w:highlight w:val="none"/>
          <w:u w:val="single" w:color="auto"/>
        </w:rPr>
        <w:t>无权履行职责，发包人有权要求更换项目经理，</w:t>
      </w:r>
      <w:r>
        <w:rPr>
          <w:color w:val="auto"/>
          <w:spacing w:val="-59"/>
          <w:sz w:val="24"/>
          <w:szCs w:val="24"/>
          <w:highlight w:val="none"/>
          <w:u w:val="single" w:color="auto"/>
        </w:rPr>
        <w:t xml:space="preserve"> </w:t>
      </w:r>
      <w:r>
        <w:rPr>
          <w:color w:val="auto"/>
          <w:spacing w:val="8"/>
          <w:sz w:val="24"/>
          <w:szCs w:val="24"/>
          <w:highlight w:val="none"/>
          <w:u w:val="single" w:color="auto"/>
        </w:rPr>
        <w:t>由此增加的费用和延误的工期由承包人承</w:t>
      </w:r>
      <w:r>
        <w:rPr>
          <w:color w:val="auto"/>
          <w:spacing w:val="-6"/>
          <w:sz w:val="24"/>
          <w:szCs w:val="24"/>
          <w:highlight w:val="none"/>
          <w:u w:val="single" w:color="auto"/>
        </w:rPr>
        <w:t>担</w:t>
      </w:r>
      <w:r>
        <w:rPr>
          <w:color w:val="auto"/>
          <w:sz w:val="24"/>
          <w:szCs w:val="24"/>
          <w:highlight w:val="none"/>
          <w:u w:val="single" w:color="auto"/>
        </w:rPr>
        <w:t xml:space="preserve">       </w:t>
      </w:r>
      <w:r>
        <w:rPr>
          <w:color w:val="auto"/>
          <w:spacing w:val="-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23" w:firstLine="484"/>
        <w:jc w:val="both"/>
        <w:textAlignment w:val="auto"/>
        <w:rPr>
          <w:color w:val="auto"/>
          <w:sz w:val="24"/>
          <w:szCs w:val="24"/>
          <w:highlight w:val="none"/>
        </w:rPr>
      </w:pPr>
      <w:r>
        <w:rPr>
          <w:color w:val="auto"/>
          <w:spacing w:val="-4"/>
          <w:sz w:val="24"/>
          <w:szCs w:val="24"/>
          <w:highlight w:val="none"/>
        </w:rPr>
        <w:t>项目经理未经批准，擅自离开施工现场的违约责任：</w:t>
      </w:r>
      <w:r>
        <w:rPr>
          <w:color w:val="auto"/>
          <w:spacing w:val="-4"/>
          <w:sz w:val="24"/>
          <w:szCs w:val="24"/>
          <w:highlight w:val="none"/>
          <w:u w:val="single" w:color="auto"/>
        </w:rPr>
        <w:t xml:space="preserve"> 按</w:t>
      </w:r>
      <w:r>
        <w:rPr>
          <w:color w:val="auto"/>
          <w:spacing w:val="-48"/>
          <w:sz w:val="24"/>
          <w:szCs w:val="24"/>
          <w:highlight w:val="none"/>
          <w:u w:val="single" w:color="auto"/>
        </w:rPr>
        <w:t xml:space="preserve"> </w:t>
      </w:r>
      <w:r>
        <w:rPr>
          <w:color w:val="auto"/>
          <w:spacing w:val="-4"/>
          <w:sz w:val="24"/>
          <w:szCs w:val="24"/>
          <w:highlight w:val="none"/>
          <w:u w:val="single" w:color="auto"/>
        </w:rPr>
        <w:t>2000</w:t>
      </w:r>
      <w:r>
        <w:rPr>
          <w:color w:val="auto"/>
          <w:spacing w:val="-49"/>
          <w:sz w:val="24"/>
          <w:szCs w:val="24"/>
          <w:highlight w:val="none"/>
          <w:u w:val="single" w:color="auto"/>
        </w:rPr>
        <w:t xml:space="preserve"> </w:t>
      </w:r>
      <w:r>
        <w:rPr>
          <w:color w:val="auto"/>
          <w:spacing w:val="-4"/>
          <w:sz w:val="24"/>
          <w:szCs w:val="24"/>
          <w:highlight w:val="none"/>
          <w:u w:val="single" w:color="auto"/>
        </w:rPr>
        <w:t>元/天向发</w:t>
      </w:r>
      <w:r>
        <w:rPr>
          <w:color w:val="auto"/>
          <w:spacing w:val="-5"/>
          <w:sz w:val="24"/>
          <w:szCs w:val="24"/>
          <w:highlight w:val="none"/>
          <w:u w:val="single" w:color="auto"/>
        </w:rPr>
        <w:t>包人支付违约金，</w:t>
      </w:r>
      <w:r>
        <w:rPr>
          <w:color w:val="auto"/>
          <w:spacing w:val="-11"/>
          <w:sz w:val="24"/>
          <w:szCs w:val="24"/>
          <w:highlight w:val="none"/>
          <w:u w:val="single" w:color="auto"/>
        </w:rPr>
        <w:t>并按照《关于房屋建筑和市政设施工程领域建筑工人实名制管理工作的通</w:t>
      </w:r>
      <w:r>
        <w:rPr>
          <w:color w:val="auto"/>
          <w:spacing w:val="-12"/>
          <w:sz w:val="24"/>
          <w:szCs w:val="24"/>
          <w:highlight w:val="none"/>
          <w:u w:val="single" w:color="auto"/>
        </w:rPr>
        <w:t>知》（陕建管发〔2021〕</w:t>
      </w:r>
      <w:r>
        <w:rPr>
          <w:color w:val="auto"/>
          <w:spacing w:val="1"/>
          <w:sz w:val="24"/>
          <w:szCs w:val="24"/>
          <w:highlight w:val="none"/>
          <w:u w:val="single" w:color="auto"/>
        </w:rPr>
        <w:t>45</w:t>
      </w:r>
      <w:r>
        <w:rPr>
          <w:color w:val="auto"/>
          <w:spacing w:val="-25"/>
          <w:sz w:val="24"/>
          <w:szCs w:val="24"/>
          <w:highlight w:val="none"/>
          <w:u w:val="single" w:color="auto"/>
        </w:rPr>
        <w:t xml:space="preserve"> </w:t>
      </w:r>
      <w:r>
        <w:rPr>
          <w:color w:val="auto"/>
          <w:spacing w:val="1"/>
          <w:sz w:val="24"/>
          <w:szCs w:val="24"/>
          <w:highlight w:val="none"/>
          <w:u w:val="single" w:color="auto"/>
        </w:rPr>
        <w:t>号）文件规定进行不良行为上报，同时承担因擅自离开造成的其他责任。项目经理与技术</w:t>
      </w:r>
      <w:r>
        <w:rPr>
          <w:color w:val="auto"/>
          <w:spacing w:val="-1"/>
          <w:sz w:val="24"/>
          <w:szCs w:val="24"/>
          <w:highlight w:val="none"/>
          <w:u w:val="single" w:color="auto"/>
        </w:rPr>
        <w:t xml:space="preserve">负责人不能同时离场，否则视为同等违约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1" w:right="99" w:firstLine="482"/>
        <w:jc w:val="both"/>
        <w:textAlignment w:val="auto"/>
        <w:rPr>
          <w:color w:val="auto"/>
          <w:sz w:val="24"/>
          <w:szCs w:val="24"/>
          <w:highlight w:val="none"/>
        </w:rPr>
      </w:pPr>
      <w:r>
        <w:rPr>
          <w:color w:val="auto"/>
          <w:spacing w:val="-3"/>
          <w:sz w:val="24"/>
          <w:szCs w:val="24"/>
          <w:highlight w:val="none"/>
        </w:rPr>
        <w:t>3.2.3 承包人擅自更换项目经理的违约责任：</w:t>
      </w:r>
      <w:r>
        <w:rPr>
          <w:color w:val="auto"/>
          <w:spacing w:val="-3"/>
          <w:sz w:val="24"/>
          <w:szCs w:val="24"/>
          <w:highlight w:val="none"/>
          <w:u w:val="single" w:color="auto"/>
        </w:rPr>
        <w:t xml:space="preserve"> 按</w:t>
      </w:r>
      <w:r>
        <w:rPr>
          <w:color w:val="auto"/>
          <w:spacing w:val="-33"/>
          <w:sz w:val="24"/>
          <w:szCs w:val="24"/>
          <w:highlight w:val="none"/>
          <w:u w:val="single" w:color="auto"/>
        </w:rPr>
        <w:t xml:space="preserve"> </w:t>
      </w:r>
      <w:r>
        <w:rPr>
          <w:color w:val="auto"/>
          <w:spacing w:val="-3"/>
          <w:sz w:val="24"/>
          <w:szCs w:val="24"/>
          <w:highlight w:val="none"/>
          <w:u w:val="single" w:color="auto"/>
        </w:rPr>
        <w:t>1</w:t>
      </w:r>
      <w:r>
        <w:rPr>
          <w:color w:val="auto"/>
          <w:spacing w:val="-4"/>
          <w:sz w:val="24"/>
          <w:szCs w:val="24"/>
          <w:highlight w:val="none"/>
          <w:u w:val="single" w:color="auto"/>
        </w:rPr>
        <w:t>0</w:t>
      </w:r>
      <w:r>
        <w:rPr>
          <w:color w:val="auto"/>
          <w:spacing w:val="-45"/>
          <w:sz w:val="24"/>
          <w:szCs w:val="24"/>
          <w:highlight w:val="none"/>
          <w:u w:val="single" w:color="auto"/>
        </w:rPr>
        <w:t xml:space="preserve"> </w:t>
      </w:r>
      <w:r>
        <w:rPr>
          <w:color w:val="auto"/>
          <w:spacing w:val="-4"/>
          <w:sz w:val="24"/>
          <w:szCs w:val="24"/>
          <w:highlight w:val="none"/>
          <w:u w:val="single" w:color="auto"/>
        </w:rPr>
        <w:t>万元/次向发包人支付违约金，并</w:t>
      </w:r>
      <w:r>
        <w:rPr>
          <w:color w:val="auto"/>
          <w:spacing w:val="1"/>
          <w:sz w:val="24"/>
          <w:szCs w:val="24"/>
          <w:highlight w:val="none"/>
          <w:u w:val="single" w:color="auto"/>
        </w:rPr>
        <w:t>按照《关于开展全省建筑市场秩序专项整治工作的通知》（陕建发〔2019〕1180</w:t>
      </w:r>
      <w:r>
        <w:rPr>
          <w:color w:val="auto"/>
          <w:spacing w:val="-30"/>
          <w:sz w:val="24"/>
          <w:szCs w:val="24"/>
          <w:highlight w:val="none"/>
          <w:u w:val="single" w:color="auto"/>
        </w:rPr>
        <w:t xml:space="preserve"> </w:t>
      </w:r>
      <w:r>
        <w:rPr>
          <w:color w:val="auto"/>
          <w:spacing w:val="1"/>
          <w:sz w:val="24"/>
          <w:szCs w:val="24"/>
          <w:highlight w:val="none"/>
          <w:u w:val="single" w:color="auto"/>
        </w:rPr>
        <w:t>号）文件规</w:t>
      </w:r>
      <w:r>
        <w:rPr>
          <w:color w:val="auto"/>
          <w:spacing w:val="-1"/>
          <w:sz w:val="24"/>
          <w:szCs w:val="24"/>
          <w:highlight w:val="none"/>
          <w:u w:val="single" w:color="auto"/>
        </w:rPr>
        <w:t xml:space="preserve">定，在陕西省建筑市场监管与诚信信息一体化平台进行不良行为上报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outlineLvl w:val="0"/>
        <w:rPr>
          <w:color w:val="auto"/>
          <w:sz w:val="24"/>
          <w:szCs w:val="24"/>
          <w:highlight w:val="none"/>
        </w:rPr>
      </w:pPr>
      <w:r>
        <w:rPr>
          <w:color w:val="auto"/>
          <w:spacing w:val="-1"/>
          <w:sz w:val="24"/>
          <w:szCs w:val="24"/>
          <w:highlight w:val="none"/>
        </w:rPr>
        <w:t>3.2.4 承包人无正当理由拒绝更换项目经理的违约责任：</w:t>
      </w:r>
      <w:r>
        <w:rPr>
          <w:color w:val="auto"/>
          <w:spacing w:val="-1"/>
          <w:sz w:val="24"/>
          <w:szCs w:val="24"/>
          <w:highlight w:val="none"/>
          <w:u w:val="single" w:color="auto"/>
        </w:rPr>
        <w:t xml:space="preserve">  按</w:t>
      </w:r>
      <w:r>
        <w:rPr>
          <w:color w:val="auto"/>
          <w:spacing w:val="-21"/>
          <w:sz w:val="24"/>
          <w:szCs w:val="24"/>
          <w:highlight w:val="none"/>
          <w:u w:val="single" w:color="auto"/>
        </w:rPr>
        <w:t xml:space="preserve"> </w:t>
      </w:r>
      <w:r>
        <w:rPr>
          <w:color w:val="auto"/>
          <w:spacing w:val="-1"/>
          <w:sz w:val="24"/>
          <w:szCs w:val="24"/>
          <w:highlight w:val="none"/>
          <w:u w:val="single" w:color="auto"/>
        </w:rPr>
        <w:t>1</w:t>
      </w:r>
      <w:r>
        <w:rPr>
          <w:color w:val="auto"/>
          <w:spacing w:val="-45"/>
          <w:sz w:val="24"/>
          <w:szCs w:val="24"/>
          <w:highlight w:val="none"/>
          <w:u w:val="single" w:color="auto"/>
        </w:rPr>
        <w:t xml:space="preserve"> </w:t>
      </w:r>
      <w:r>
        <w:rPr>
          <w:color w:val="auto"/>
          <w:spacing w:val="-1"/>
          <w:sz w:val="24"/>
          <w:szCs w:val="24"/>
          <w:highlight w:val="none"/>
          <w:u w:val="single" w:color="auto"/>
        </w:rPr>
        <w:t>万元/天向发包人支付违</w:t>
      </w:r>
      <w:r>
        <w:rPr>
          <w:color w:val="auto"/>
          <w:spacing w:val="-2"/>
          <w:sz w:val="24"/>
          <w:szCs w:val="24"/>
          <w:highlight w:val="none"/>
          <w:u w:val="single" w:color="auto"/>
        </w:rPr>
        <w:t>约金，并按照《关于开展全省建筑市场秩序专项整治工作的通知》（陕建发〔2019〕1180</w:t>
      </w:r>
      <w:r>
        <w:rPr>
          <w:color w:val="auto"/>
          <w:spacing w:val="-41"/>
          <w:sz w:val="24"/>
          <w:szCs w:val="24"/>
          <w:highlight w:val="none"/>
          <w:u w:val="single" w:color="auto"/>
        </w:rPr>
        <w:t xml:space="preserve"> </w:t>
      </w:r>
      <w:r>
        <w:rPr>
          <w:color w:val="auto"/>
          <w:spacing w:val="-2"/>
          <w:sz w:val="24"/>
          <w:szCs w:val="24"/>
          <w:highlight w:val="none"/>
          <w:u w:val="single" w:color="auto"/>
        </w:rPr>
        <w:t>号）</w:t>
      </w:r>
      <w:r>
        <w:rPr>
          <w:color w:val="auto"/>
          <w:spacing w:val="1"/>
          <w:sz w:val="24"/>
          <w:szCs w:val="24"/>
          <w:highlight w:val="none"/>
          <w:u w:val="single" w:color="auto"/>
        </w:rPr>
        <w:t>文件规定，在陕西省建筑市场监管与诚信信息</w:t>
      </w:r>
      <w:r>
        <w:rPr>
          <w:color w:val="auto"/>
          <w:sz w:val="24"/>
          <w:szCs w:val="24"/>
          <w:highlight w:val="none"/>
          <w:u w:val="single" w:color="auto"/>
        </w:rPr>
        <w:t>一体化平台进行不良行为上报。</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3.3</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承包人人员</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color w:val="auto"/>
          <w:sz w:val="24"/>
          <w:szCs w:val="24"/>
          <w:highlight w:val="none"/>
        </w:rPr>
      </w:pPr>
      <w:r>
        <w:rPr>
          <w:color w:val="auto"/>
          <w:spacing w:val="10"/>
          <w:sz w:val="24"/>
          <w:szCs w:val="24"/>
          <w:highlight w:val="none"/>
        </w:rPr>
        <w:t>3.3.1 承包人提交项目管理机构及施工现场管理人员安排报告的期限：</w:t>
      </w:r>
      <w:r>
        <w:rPr>
          <w:color w:val="auto"/>
          <w:spacing w:val="-76"/>
          <w:sz w:val="24"/>
          <w:szCs w:val="24"/>
          <w:highlight w:val="none"/>
        </w:rPr>
        <w:t xml:space="preserve"> </w:t>
      </w:r>
      <w:r>
        <w:rPr>
          <w:color w:val="auto"/>
          <w:spacing w:val="10"/>
          <w:sz w:val="24"/>
          <w:szCs w:val="24"/>
          <w:highlight w:val="none"/>
          <w:u w:val="single" w:color="auto"/>
        </w:rPr>
        <w:t xml:space="preserve"> 开工前</w:t>
      </w:r>
      <w:r>
        <w:rPr>
          <w:color w:val="auto"/>
          <w:spacing w:val="-28"/>
          <w:sz w:val="24"/>
          <w:szCs w:val="24"/>
          <w:highlight w:val="none"/>
          <w:u w:val="single" w:color="auto"/>
        </w:rPr>
        <w:t xml:space="preserve"> </w:t>
      </w:r>
      <w:r>
        <w:rPr>
          <w:color w:val="auto"/>
          <w:spacing w:val="10"/>
          <w:sz w:val="24"/>
          <w:szCs w:val="24"/>
          <w:highlight w:val="none"/>
          <w:u w:val="single" w:color="auto"/>
        </w:rPr>
        <w:t>7</w:t>
      </w:r>
      <w:r>
        <w:rPr>
          <w:color w:val="auto"/>
          <w:spacing w:val="-31"/>
          <w:sz w:val="24"/>
          <w:szCs w:val="24"/>
          <w:highlight w:val="none"/>
          <w:u w:val="single" w:color="auto"/>
        </w:rPr>
        <w:t xml:space="preserve"> </w:t>
      </w:r>
      <w:r>
        <w:rPr>
          <w:color w:val="auto"/>
          <w:spacing w:val="10"/>
          <w:sz w:val="24"/>
          <w:szCs w:val="24"/>
          <w:highlight w:val="none"/>
          <w:u w:val="single" w:color="auto"/>
        </w:rPr>
        <w:t>天</w:t>
      </w:r>
      <w:r>
        <w:rPr>
          <w:color w:val="auto"/>
          <w:spacing w:val="-20"/>
          <w:sz w:val="24"/>
          <w:szCs w:val="24"/>
          <w:highlight w:val="none"/>
          <w:u w:val="single" w:color="auto"/>
        </w:rPr>
        <w:t>内</w:t>
      </w:r>
      <w:r>
        <w:rPr>
          <w:color w:val="auto"/>
          <w:sz w:val="24"/>
          <w:szCs w:val="24"/>
          <w:highlight w:val="none"/>
          <w:u w:val="single" w:color="auto"/>
        </w:rPr>
        <w:t xml:space="preserve">   </w:t>
      </w:r>
      <w:r>
        <w:rPr>
          <w:color w:val="auto"/>
          <w:spacing w:val="-20"/>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99" w:firstLine="485"/>
        <w:textAlignment w:val="auto"/>
        <w:rPr>
          <w:color w:val="auto"/>
          <w:sz w:val="24"/>
          <w:szCs w:val="24"/>
          <w:highlight w:val="none"/>
        </w:rPr>
      </w:pPr>
      <w:r>
        <w:rPr>
          <w:color w:val="auto"/>
          <w:spacing w:val="6"/>
          <w:sz w:val="24"/>
          <w:szCs w:val="24"/>
          <w:highlight w:val="none"/>
        </w:rPr>
        <w:t>3.3.3 承包人无正当理由拒绝撤换主要施工管理人员的违约责任：</w:t>
      </w:r>
      <w:r>
        <w:rPr>
          <w:color w:val="auto"/>
          <w:spacing w:val="6"/>
          <w:sz w:val="24"/>
          <w:szCs w:val="24"/>
          <w:highlight w:val="none"/>
          <w:u w:val="single" w:color="auto"/>
        </w:rPr>
        <w:t xml:space="preserve"> 项目技术负责人按</w:t>
      </w:r>
      <w:r>
        <w:rPr>
          <w:color w:val="auto"/>
          <w:spacing w:val="-2"/>
          <w:sz w:val="24"/>
          <w:szCs w:val="24"/>
          <w:highlight w:val="none"/>
          <w:u w:val="single" w:color="auto"/>
        </w:rPr>
        <w:t>2000</w:t>
      </w:r>
      <w:r>
        <w:rPr>
          <w:color w:val="auto"/>
          <w:spacing w:val="-49"/>
          <w:sz w:val="24"/>
          <w:szCs w:val="24"/>
          <w:highlight w:val="none"/>
          <w:u w:val="single" w:color="auto"/>
        </w:rPr>
        <w:t xml:space="preserve"> </w:t>
      </w:r>
      <w:r>
        <w:rPr>
          <w:color w:val="auto"/>
          <w:spacing w:val="-2"/>
          <w:sz w:val="24"/>
          <w:szCs w:val="24"/>
          <w:highlight w:val="none"/>
          <w:u w:val="single" w:color="auto"/>
        </w:rPr>
        <w:t>元/天，其他人员按</w:t>
      </w:r>
      <w:r>
        <w:rPr>
          <w:color w:val="auto"/>
          <w:spacing w:val="-33"/>
          <w:sz w:val="24"/>
          <w:szCs w:val="24"/>
          <w:highlight w:val="none"/>
          <w:u w:val="single" w:color="auto"/>
        </w:rPr>
        <w:t xml:space="preserve"> </w:t>
      </w:r>
      <w:r>
        <w:rPr>
          <w:color w:val="auto"/>
          <w:spacing w:val="-2"/>
          <w:sz w:val="24"/>
          <w:szCs w:val="24"/>
          <w:highlight w:val="none"/>
          <w:u w:val="single" w:color="auto"/>
        </w:rPr>
        <w:t>1000</w:t>
      </w:r>
      <w:r>
        <w:rPr>
          <w:color w:val="auto"/>
          <w:spacing w:val="-49"/>
          <w:sz w:val="24"/>
          <w:szCs w:val="24"/>
          <w:highlight w:val="none"/>
          <w:u w:val="single" w:color="auto"/>
        </w:rPr>
        <w:t xml:space="preserve"> </w:t>
      </w:r>
      <w:r>
        <w:rPr>
          <w:color w:val="auto"/>
          <w:spacing w:val="-2"/>
          <w:sz w:val="24"/>
          <w:szCs w:val="24"/>
          <w:highlight w:val="none"/>
          <w:u w:val="single" w:color="auto"/>
        </w:rPr>
        <w:t>元/天向发包人支付违约金，并按照《关于开展全省建筑</w:t>
      </w:r>
      <w:r>
        <w:rPr>
          <w:color w:val="auto"/>
          <w:spacing w:val="-3"/>
          <w:sz w:val="24"/>
          <w:szCs w:val="24"/>
          <w:highlight w:val="none"/>
          <w:u w:val="single" w:color="auto"/>
        </w:rPr>
        <w:t>市场秩</w:t>
      </w:r>
      <w:r>
        <w:rPr>
          <w:color w:val="auto"/>
          <w:spacing w:val="1"/>
          <w:sz w:val="24"/>
          <w:szCs w:val="24"/>
          <w:highlight w:val="none"/>
          <w:u w:val="single" w:color="auto"/>
        </w:rPr>
        <w:t>序专项整治工作的通知》（陕建发〔2019〕1180</w:t>
      </w:r>
      <w:r>
        <w:rPr>
          <w:color w:val="auto"/>
          <w:spacing w:val="-30"/>
          <w:sz w:val="24"/>
          <w:szCs w:val="24"/>
          <w:highlight w:val="none"/>
          <w:u w:val="single" w:color="auto"/>
        </w:rPr>
        <w:t xml:space="preserve"> </w:t>
      </w:r>
      <w:r>
        <w:rPr>
          <w:color w:val="auto"/>
          <w:spacing w:val="1"/>
          <w:sz w:val="24"/>
          <w:szCs w:val="24"/>
          <w:highlight w:val="none"/>
          <w:u w:val="single" w:color="auto"/>
        </w:rPr>
        <w:t>号）文件规定，在陕西省建筑市场监管与诚</w:t>
      </w:r>
      <w:r>
        <w:rPr>
          <w:color w:val="auto"/>
          <w:spacing w:val="-1"/>
          <w:sz w:val="24"/>
          <w:szCs w:val="24"/>
          <w:highlight w:val="none"/>
          <w:u w:val="single" w:color="auto"/>
        </w:rPr>
        <w:t xml:space="preserve">信信息一体化平台进行不良行为上报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rPr>
        <w:t>3.3.4 承包人主要施工管理人员离开施工现场的批准要求：</w:t>
      </w:r>
      <w:r>
        <w:rPr>
          <w:color w:val="auto"/>
          <w:spacing w:val="-3"/>
          <w:sz w:val="24"/>
          <w:szCs w:val="24"/>
          <w:highlight w:val="none"/>
          <w:u w:val="single" w:color="auto"/>
        </w:rPr>
        <w:t xml:space="preserve">由总监理工程师批准，发包人同意后方可离开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99" w:firstLine="484"/>
        <w:textAlignment w:val="auto"/>
        <w:rPr>
          <w:rFonts w:ascii="Arial"/>
          <w:color w:val="auto"/>
          <w:sz w:val="21"/>
          <w:highlight w:val="none"/>
        </w:rPr>
      </w:pPr>
      <w:r>
        <w:rPr>
          <w:color w:val="auto"/>
          <w:spacing w:val="-2"/>
          <w:sz w:val="24"/>
          <w:szCs w:val="24"/>
          <w:highlight w:val="none"/>
        </w:rPr>
        <w:t>3.3.5</w:t>
      </w:r>
      <w:r>
        <w:rPr>
          <w:color w:val="auto"/>
          <w:spacing w:val="-50"/>
          <w:sz w:val="24"/>
          <w:szCs w:val="24"/>
          <w:highlight w:val="none"/>
        </w:rPr>
        <w:t xml:space="preserve"> </w:t>
      </w:r>
      <w:r>
        <w:rPr>
          <w:color w:val="auto"/>
          <w:spacing w:val="-2"/>
          <w:sz w:val="24"/>
          <w:szCs w:val="24"/>
          <w:highlight w:val="none"/>
        </w:rPr>
        <w:t>承包人擅自更换主要施工管理人员的违约责任</w:t>
      </w:r>
      <w:r>
        <w:rPr>
          <w:color w:val="auto"/>
          <w:spacing w:val="-3"/>
          <w:sz w:val="24"/>
          <w:szCs w:val="24"/>
          <w:highlight w:val="none"/>
        </w:rPr>
        <w:t>：</w:t>
      </w:r>
      <w:r>
        <w:rPr>
          <w:color w:val="auto"/>
          <w:spacing w:val="-3"/>
          <w:sz w:val="24"/>
          <w:szCs w:val="24"/>
          <w:highlight w:val="none"/>
          <w:u w:val="single" w:color="auto"/>
        </w:rPr>
        <w:t xml:space="preserve"> 项目技术负责人按</w:t>
      </w:r>
      <w:r>
        <w:rPr>
          <w:color w:val="auto"/>
          <w:spacing w:val="-33"/>
          <w:sz w:val="24"/>
          <w:szCs w:val="24"/>
          <w:highlight w:val="none"/>
          <w:u w:val="single" w:color="auto"/>
        </w:rPr>
        <w:t xml:space="preserve"> </w:t>
      </w:r>
      <w:r>
        <w:rPr>
          <w:color w:val="auto"/>
          <w:spacing w:val="-3"/>
          <w:sz w:val="24"/>
          <w:szCs w:val="24"/>
          <w:highlight w:val="none"/>
          <w:u w:val="single" w:color="auto"/>
        </w:rPr>
        <w:t>1</w:t>
      </w:r>
      <w:r>
        <w:rPr>
          <w:color w:val="auto"/>
          <w:spacing w:val="-45"/>
          <w:sz w:val="24"/>
          <w:szCs w:val="24"/>
          <w:highlight w:val="none"/>
          <w:u w:val="single" w:color="auto"/>
        </w:rPr>
        <w:t xml:space="preserve"> </w:t>
      </w:r>
      <w:r>
        <w:rPr>
          <w:color w:val="auto"/>
          <w:spacing w:val="-3"/>
          <w:sz w:val="24"/>
          <w:szCs w:val="24"/>
          <w:highlight w:val="none"/>
          <w:u w:val="single" w:color="auto"/>
        </w:rPr>
        <w:t>万元/次，其他人员按</w:t>
      </w:r>
      <w:r>
        <w:rPr>
          <w:color w:val="auto"/>
          <w:spacing w:val="-46"/>
          <w:sz w:val="24"/>
          <w:szCs w:val="24"/>
          <w:highlight w:val="none"/>
          <w:u w:val="single" w:color="auto"/>
        </w:rPr>
        <w:t xml:space="preserve"> </w:t>
      </w:r>
      <w:r>
        <w:rPr>
          <w:color w:val="auto"/>
          <w:spacing w:val="-3"/>
          <w:sz w:val="24"/>
          <w:szCs w:val="24"/>
          <w:highlight w:val="none"/>
          <w:u w:val="single" w:color="auto"/>
        </w:rPr>
        <w:t>3000</w:t>
      </w:r>
      <w:r>
        <w:rPr>
          <w:color w:val="auto"/>
          <w:spacing w:val="-49"/>
          <w:sz w:val="24"/>
          <w:szCs w:val="24"/>
          <w:highlight w:val="none"/>
          <w:u w:val="single" w:color="auto"/>
        </w:rPr>
        <w:t xml:space="preserve"> </w:t>
      </w:r>
      <w:r>
        <w:rPr>
          <w:color w:val="auto"/>
          <w:spacing w:val="-3"/>
          <w:sz w:val="24"/>
          <w:szCs w:val="24"/>
          <w:highlight w:val="none"/>
          <w:u w:val="single" w:color="auto"/>
        </w:rPr>
        <w:t>元/次向发包人支付违约金，并按照《关于开展全省建筑市场秩序专项整治工作</w:t>
      </w:r>
      <w:r>
        <w:rPr>
          <w:color w:val="auto"/>
          <w:spacing w:val="1"/>
          <w:sz w:val="24"/>
          <w:szCs w:val="24"/>
          <w:highlight w:val="none"/>
          <w:u w:val="single" w:color="auto"/>
        </w:rPr>
        <w:t>的通知》（陕建发〔2019〕1180</w:t>
      </w:r>
      <w:r>
        <w:rPr>
          <w:color w:val="auto"/>
          <w:spacing w:val="-31"/>
          <w:sz w:val="24"/>
          <w:szCs w:val="24"/>
          <w:highlight w:val="none"/>
          <w:u w:val="single" w:color="auto"/>
        </w:rPr>
        <w:t xml:space="preserve"> </w:t>
      </w:r>
      <w:r>
        <w:rPr>
          <w:color w:val="auto"/>
          <w:spacing w:val="1"/>
          <w:sz w:val="24"/>
          <w:szCs w:val="24"/>
          <w:highlight w:val="none"/>
          <w:u w:val="single" w:color="auto"/>
        </w:rPr>
        <w:t>号）文件规定，在陕西省建筑市场监管与诚信信息一体化平</w:t>
      </w:r>
      <w:r>
        <w:rPr>
          <w:color w:val="auto"/>
          <w:spacing w:val="-3"/>
          <w:sz w:val="24"/>
          <w:szCs w:val="24"/>
          <w:highlight w:val="none"/>
          <w:u w:val="single" w:color="auto"/>
        </w:rPr>
        <w:t xml:space="preserve">台进行不良行为上报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firstLine="479"/>
        <w:jc w:val="both"/>
        <w:textAlignment w:val="auto"/>
        <w:rPr>
          <w:color w:val="auto"/>
          <w:sz w:val="24"/>
          <w:szCs w:val="24"/>
          <w:highlight w:val="none"/>
        </w:rPr>
      </w:pPr>
      <w:r>
        <w:rPr>
          <w:color w:val="auto"/>
          <w:spacing w:val="-4"/>
          <w:sz w:val="24"/>
          <w:szCs w:val="24"/>
          <w:highlight w:val="none"/>
        </w:rPr>
        <w:t>承包人主要施工管理人员擅自离开施工现场的违约责任</w:t>
      </w:r>
      <w:r>
        <w:rPr>
          <w:color w:val="auto"/>
          <w:spacing w:val="-5"/>
          <w:sz w:val="24"/>
          <w:szCs w:val="24"/>
          <w:highlight w:val="none"/>
        </w:rPr>
        <w:t>：</w:t>
      </w:r>
      <w:r>
        <w:rPr>
          <w:color w:val="auto"/>
          <w:spacing w:val="-5"/>
          <w:sz w:val="24"/>
          <w:szCs w:val="24"/>
          <w:highlight w:val="none"/>
          <w:u w:val="single" w:color="auto"/>
        </w:rPr>
        <w:t xml:space="preserve"> 项目技术负责人按</w:t>
      </w:r>
      <w:r>
        <w:rPr>
          <w:color w:val="auto"/>
          <w:spacing w:val="-48"/>
          <w:sz w:val="24"/>
          <w:szCs w:val="24"/>
          <w:highlight w:val="none"/>
          <w:u w:val="single" w:color="auto"/>
        </w:rPr>
        <w:t xml:space="preserve"> </w:t>
      </w:r>
      <w:r>
        <w:rPr>
          <w:color w:val="auto"/>
          <w:spacing w:val="-5"/>
          <w:sz w:val="24"/>
          <w:szCs w:val="24"/>
          <w:highlight w:val="none"/>
          <w:u w:val="single" w:color="auto"/>
        </w:rPr>
        <w:t>2000</w:t>
      </w:r>
      <w:r>
        <w:rPr>
          <w:color w:val="auto"/>
          <w:spacing w:val="-49"/>
          <w:sz w:val="24"/>
          <w:szCs w:val="24"/>
          <w:highlight w:val="none"/>
          <w:u w:val="single" w:color="auto"/>
        </w:rPr>
        <w:t xml:space="preserve"> </w:t>
      </w:r>
      <w:r>
        <w:rPr>
          <w:color w:val="auto"/>
          <w:spacing w:val="-5"/>
          <w:sz w:val="24"/>
          <w:szCs w:val="24"/>
          <w:highlight w:val="none"/>
          <w:u w:val="single" w:color="auto"/>
        </w:rPr>
        <w:t>元/天，</w:t>
      </w:r>
      <w:r>
        <w:rPr>
          <w:color w:val="auto"/>
          <w:spacing w:val="-3"/>
          <w:sz w:val="24"/>
          <w:szCs w:val="24"/>
          <w:highlight w:val="none"/>
          <w:u w:val="single" w:color="auto"/>
        </w:rPr>
        <w:t>其他人员按</w:t>
      </w:r>
      <w:r>
        <w:rPr>
          <w:color w:val="auto"/>
          <w:spacing w:val="-33"/>
          <w:sz w:val="24"/>
          <w:szCs w:val="24"/>
          <w:highlight w:val="none"/>
          <w:u w:val="single" w:color="auto"/>
        </w:rPr>
        <w:t xml:space="preserve"> </w:t>
      </w:r>
      <w:r>
        <w:rPr>
          <w:color w:val="auto"/>
          <w:spacing w:val="-3"/>
          <w:sz w:val="24"/>
          <w:szCs w:val="24"/>
          <w:highlight w:val="none"/>
          <w:u w:val="single" w:color="auto"/>
        </w:rPr>
        <w:t>1000</w:t>
      </w:r>
      <w:r>
        <w:rPr>
          <w:color w:val="auto"/>
          <w:spacing w:val="-48"/>
          <w:sz w:val="24"/>
          <w:szCs w:val="24"/>
          <w:highlight w:val="none"/>
          <w:u w:val="single" w:color="auto"/>
        </w:rPr>
        <w:t xml:space="preserve"> </w:t>
      </w:r>
      <w:r>
        <w:rPr>
          <w:color w:val="auto"/>
          <w:spacing w:val="-3"/>
          <w:sz w:val="24"/>
          <w:szCs w:val="24"/>
          <w:highlight w:val="none"/>
          <w:u w:val="single" w:color="auto"/>
        </w:rPr>
        <w:t>元/天向发包人支付违约金，并按照《关于</w:t>
      </w:r>
      <w:r>
        <w:rPr>
          <w:color w:val="auto"/>
          <w:spacing w:val="-4"/>
          <w:sz w:val="24"/>
          <w:szCs w:val="24"/>
          <w:highlight w:val="none"/>
          <w:u w:val="single" w:color="auto"/>
        </w:rPr>
        <w:t>开展全省建筑市场秩序专项整治工</w:t>
      </w:r>
      <w:r>
        <w:rPr>
          <w:color w:val="auto"/>
          <w:spacing w:val="1"/>
          <w:sz w:val="24"/>
          <w:szCs w:val="24"/>
          <w:highlight w:val="none"/>
          <w:u w:val="single" w:color="auto"/>
        </w:rPr>
        <w:t>作的通知》（陕建发〔2019〕1180</w:t>
      </w:r>
      <w:r>
        <w:rPr>
          <w:color w:val="auto"/>
          <w:spacing w:val="-32"/>
          <w:sz w:val="24"/>
          <w:szCs w:val="24"/>
          <w:highlight w:val="none"/>
          <w:u w:val="single" w:color="auto"/>
        </w:rPr>
        <w:t xml:space="preserve"> </w:t>
      </w:r>
      <w:r>
        <w:rPr>
          <w:color w:val="auto"/>
          <w:spacing w:val="1"/>
          <w:sz w:val="24"/>
          <w:szCs w:val="24"/>
          <w:highlight w:val="none"/>
          <w:u w:val="single" w:color="auto"/>
        </w:rPr>
        <w:t>号）文件规定，在陕西省建筑市场监管与诚信信息一体化</w:t>
      </w:r>
      <w:r>
        <w:rPr>
          <w:color w:val="auto"/>
          <w:spacing w:val="-1"/>
          <w:sz w:val="24"/>
          <w:szCs w:val="24"/>
          <w:highlight w:val="none"/>
          <w:u w:val="single" w:color="auto"/>
        </w:rPr>
        <w:t xml:space="preserve">平台进行不良行为上报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3.5</w:t>
      </w:r>
      <w:r>
        <w:rPr>
          <w:color w:val="auto"/>
          <w:spacing w:val="12"/>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分包</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2"/>
          <w:sz w:val="24"/>
          <w:szCs w:val="24"/>
          <w:highlight w:val="none"/>
        </w:rPr>
        <w:t>3.5.1 分包的一般约定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1"/>
          <w:sz w:val="24"/>
          <w:szCs w:val="24"/>
          <w:highlight w:val="none"/>
        </w:rPr>
        <w:t>禁止分包的工程包括：</w:t>
      </w:r>
      <w:r>
        <w:rPr>
          <w:color w:val="auto"/>
          <w:spacing w:val="-1"/>
          <w:sz w:val="24"/>
          <w:szCs w:val="24"/>
          <w:highlight w:val="none"/>
          <w:u w:val="single" w:color="auto"/>
        </w:rPr>
        <w:t xml:space="preserve">  全部工程范围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1"/>
        <w:textAlignment w:val="auto"/>
        <w:rPr>
          <w:color w:val="auto"/>
          <w:sz w:val="24"/>
          <w:szCs w:val="24"/>
          <w:highlight w:val="none"/>
        </w:rPr>
      </w:pPr>
      <w:r>
        <w:rPr>
          <w:color w:val="auto"/>
          <w:sz w:val="24"/>
          <w:szCs w:val="24"/>
          <w:highlight w:val="none"/>
        </w:rPr>
        <w:t>主体结构、关键性工作的范围：</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3"/>
          <w:sz w:val="24"/>
          <w:szCs w:val="24"/>
          <w:highlight w:val="none"/>
        </w:rPr>
        <w:t>3.5.2</w:t>
      </w:r>
      <w:r>
        <w:rPr>
          <w:color w:val="auto"/>
          <w:spacing w:val="-46"/>
          <w:sz w:val="24"/>
          <w:szCs w:val="24"/>
          <w:highlight w:val="none"/>
        </w:rPr>
        <w:t xml:space="preserve"> </w:t>
      </w:r>
      <w:r>
        <w:rPr>
          <w:color w:val="auto"/>
          <w:spacing w:val="-3"/>
          <w:sz w:val="24"/>
          <w:szCs w:val="24"/>
          <w:highlight w:val="none"/>
        </w:rPr>
        <w:t>分包的确定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7"/>
        <w:textAlignment w:val="auto"/>
        <w:rPr>
          <w:color w:val="auto"/>
          <w:sz w:val="24"/>
          <w:szCs w:val="24"/>
          <w:highlight w:val="none"/>
        </w:rPr>
      </w:pPr>
      <w:r>
        <w:rPr>
          <w:color w:val="auto"/>
          <w:sz w:val="24"/>
          <w:szCs w:val="24"/>
          <w:highlight w:val="none"/>
        </w:rPr>
        <w:t>允许分包的专业工程包括：</w:t>
      </w:r>
      <w:r>
        <w:rPr>
          <w:color w:val="auto"/>
          <w:sz w:val="24"/>
          <w:szCs w:val="24"/>
          <w:highlight w:val="none"/>
          <w:u w:val="single" w:color="auto"/>
        </w:rPr>
        <w:t xml:space="preserve">            </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z w:val="24"/>
          <w:szCs w:val="24"/>
          <w:highlight w:val="none"/>
        </w:rPr>
        <w:t>其他关于分包的约定：</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2"/>
          <w:sz w:val="24"/>
          <w:szCs w:val="24"/>
          <w:highlight w:val="none"/>
        </w:rPr>
        <w:t>3.5.4 分包合同价款</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关于分包合同价款支付的约定：</w:t>
      </w:r>
      <w:r>
        <w:rPr>
          <w:color w:val="auto"/>
          <w:sz w:val="24"/>
          <w:szCs w:val="24"/>
          <w:highlight w:val="none"/>
          <w:u w:val="single" w:color="auto"/>
        </w:rPr>
        <w:t xml:space="preserve">     </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z w:val="24"/>
          <w:szCs w:val="24"/>
          <w:highlight w:val="none"/>
          <w14:textOutline w14:w="4358" w14:cap="sq" w14:cmpd="sng">
            <w14:solidFill>
              <w14:srgbClr w14:val="000000"/>
            </w14:solidFill>
            <w14:prstDash w14:val="solid"/>
            <w14:bevel/>
          </w14:textOutline>
        </w:rPr>
        <w:t>3.6</w:t>
      </w:r>
      <w:r>
        <w:rPr>
          <w:color w:val="auto"/>
          <w:sz w:val="24"/>
          <w:szCs w:val="24"/>
          <w:highlight w:val="none"/>
        </w:rPr>
        <w:t xml:space="preserve"> </w:t>
      </w:r>
      <w:r>
        <w:rPr>
          <w:color w:val="auto"/>
          <w:sz w:val="24"/>
          <w:szCs w:val="24"/>
          <w:highlight w:val="none"/>
          <w14:textOutline w14:w="4358" w14:cap="sq" w14:cmpd="sng">
            <w14:solidFill>
              <w14:srgbClr w14:val="000000"/>
            </w14:solidFill>
            <w14:prstDash w14:val="solid"/>
            <w14:bevel/>
          </w14:textOutline>
        </w:rPr>
        <w:t>工程照管与成品、半成品保护</w:t>
      </w:r>
    </w:p>
    <w:p>
      <w:pPr>
        <w:pStyle w:val="11"/>
        <w:keepNext w:val="0"/>
        <w:keepLines w:val="0"/>
        <w:pageBreakBefore w:val="0"/>
        <w:widowControl w:val="0"/>
        <w:kinsoku/>
        <w:wordWrap/>
        <w:overflowPunct/>
        <w:topLinePunct w:val="0"/>
        <w:autoSpaceDE/>
        <w:autoSpaceDN/>
        <w:bidi w:val="0"/>
        <w:adjustRightInd/>
        <w:snapToGrid/>
        <w:spacing w:after="0" w:line="360" w:lineRule="auto"/>
        <w:ind w:right="61" w:firstLine="468" w:firstLineChars="200"/>
        <w:jc w:val="left"/>
        <w:textAlignment w:val="auto"/>
        <w:rPr>
          <w:color w:val="auto"/>
          <w:sz w:val="24"/>
          <w:szCs w:val="24"/>
          <w:highlight w:val="none"/>
        </w:rPr>
      </w:pPr>
      <w:r>
        <w:rPr>
          <w:color w:val="auto"/>
          <w:spacing w:val="-3"/>
          <w:sz w:val="24"/>
          <w:szCs w:val="24"/>
          <w:highlight w:val="none"/>
        </w:rPr>
        <w:t>承包人负责照管工程及工程相关的材料、工程设备的起始时间：</w:t>
      </w:r>
      <w:r>
        <w:rPr>
          <w:color w:val="auto"/>
          <w:spacing w:val="-3"/>
          <w:sz w:val="24"/>
          <w:szCs w:val="24"/>
          <w:highlight w:val="none"/>
          <w:u w:val="single" w:color="auto"/>
        </w:rPr>
        <w:t xml:space="preserve">  在未竣工验收以前均由</w:t>
      </w:r>
      <w:r>
        <w:rPr>
          <w:color w:val="auto"/>
          <w:spacing w:val="-1"/>
          <w:sz w:val="24"/>
          <w:szCs w:val="24"/>
          <w:highlight w:val="none"/>
          <w:u w:val="single" w:color="auto"/>
        </w:rPr>
        <w:t xml:space="preserve">承包人负责，并承担全部费用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4"/>
          <w:sz w:val="24"/>
          <w:szCs w:val="24"/>
          <w:highlight w:val="none"/>
          <w14:textOutline w14:w="4358" w14:cap="sq" w14:cmpd="sng">
            <w14:solidFill>
              <w14:srgbClr w14:val="000000"/>
            </w14:solidFill>
            <w14:prstDash w14:val="solid"/>
            <w14:bevel/>
          </w14:textOutline>
        </w:rPr>
        <w:t>3.7</w:t>
      </w:r>
      <w:r>
        <w:rPr>
          <w:color w:val="auto"/>
          <w:spacing w:val="17"/>
          <w:sz w:val="24"/>
          <w:szCs w:val="24"/>
          <w:highlight w:val="none"/>
        </w:rPr>
        <w:t xml:space="preserve"> </w:t>
      </w:r>
      <w:r>
        <w:rPr>
          <w:color w:val="auto"/>
          <w:spacing w:val="-4"/>
          <w:sz w:val="24"/>
          <w:szCs w:val="24"/>
          <w:highlight w:val="none"/>
          <w14:textOutline w14:w="4358" w14:cap="sq" w14:cmpd="sng">
            <w14:solidFill>
              <w14:srgbClr w14:val="000000"/>
            </w14:solidFill>
            <w14:prstDash w14:val="solid"/>
            <w14:bevel/>
          </w14:textOutline>
        </w:rPr>
        <w:t>履约担保</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承包人是否提供履约担保：</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承包人提供履约担保的形式、金额及期限的：</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textAlignment w:val="auto"/>
        <w:outlineLvl w:val="1"/>
        <w:rPr>
          <w:color w:val="auto"/>
          <w:sz w:val="24"/>
          <w:szCs w:val="24"/>
          <w:highlight w:val="none"/>
        </w:rPr>
      </w:pPr>
      <w:r>
        <w:rPr>
          <w:color w:val="auto"/>
          <w:spacing w:val="-3"/>
          <w:sz w:val="24"/>
          <w:szCs w:val="24"/>
          <w:highlight w:val="none"/>
          <w14:textOutline w14:w="4358" w14:cap="sq" w14:cmpd="sng">
            <w14:solidFill>
              <w14:srgbClr w14:val="000000"/>
            </w14:solidFill>
            <w14:prstDash w14:val="solid"/>
            <w14:bevel/>
          </w14:textOutline>
        </w:rPr>
        <w:t>4.</w:t>
      </w:r>
      <w:r>
        <w:rPr>
          <w:color w:val="auto"/>
          <w:spacing w:val="10"/>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监理人</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4.1</w:t>
      </w:r>
      <w:r>
        <w:rPr>
          <w:color w:val="auto"/>
          <w:spacing w:val="-49"/>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监理人的一般规定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关于监理人的监理内容：</w:t>
      </w:r>
      <w:r>
        <w:rPr>
          <w:color w:val="auto"/>
          <w:spacing w:val="-1"/>
          <w:sz w:val="24"/>
          <w:szCs w:val="24"/>
          <w:highlight w:val="none"/>
          <w:u w:val="single" w:color="auto"/>
        </w:rPr>
        <w:t xml:space="preserve">   见监理合同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关于监理人的监理权限：</w:t>
      </w:r>
      <w:r>
        <w:rPr>
          <w:color w:val="auto"/>
          <w:sz w:val="24"/>
          <w:szCs w:val="24"/>
          <w:highlight w:val="none"/>
          <w:u w:val="single" w:color="auto"/>
        </w:rPr>
        <w:t xml:space="preserve">  见</w:t>
      </w:r>
      <w:r>
        <w:rPr>
          <w:color w:val="auto"/>
          <w:spacing w:val="-1"/>
          <w:sz w:val="24"/>
          <w:szCs w:val="24"/>
          <w:highlight w:val="none"/>
          <w:u w:val="single" w:color="auto"/>
        </w:rPr>
        <w:t xml:space="preserve">监理合同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关于监理人在施工现场的办公场所、生活场所的提供和费</w:t>
      </w:r>
      <w:r>
        <w:rPr>
          <w:color w:val="auto"/>
          <w:spacing w:val="-1"/>
          <w:sz w:val="24"/>
          <w:szCs w:val="24"/>
          <w:highlight w:val="none"/>
        </w:rPr>
        <w:t>用承担的约定：</w:t>
      </w:r>
      <w:r>
        <w:rPr>
          <w:color w:val="auto"/>
          <w:spacing w:val="-1"/>
          <w:sz w:val="24"/>
          <w:szCs w:val="24"/>
          <w:highlight w:val="none"/>
          <w:u w:val="single" w:color="auto"/>
        </w:rPr>
        <w:t xml:space="preserve"> 见监理合</w:t>
      </w:r>
      <w:r>
        <w:rPr>
          <w:color w:val="auto"/>
          <w:spacing w:val="-17"/>
          <w:sz w:val="24"/>
          <w:szCs w:val="24"/>
          <w:highlight w:val="none"/>
          <w:u w:val="single" w:color="auto"/>
        </w:rPr>
        <w:t>同</w:t>
      </w:r>
      <w:r>
        <w:rPr>
          <w:color w:val="auto"/>
          <w:sz w:val="24"/>
          <w:szCs w:val="24"/>
          <w:highlight w:val="none"/>
          <w:u w:val="single" w:color="auto"/>
        </w:rPr>
        <w:t xml:space="preserve">  </w:t>
      </w:r>
      <w:r>
        <w:rPr>
          <w:color w:val="auto"/>
          <w:spacing w:val="-17"/>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4.2</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监理人员</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rFonts w:ascii="Arial"/>
          <w:color w:val="auto"/>
          <w:sz w:val="21"/>
          <w:highlight w:val="none"/>
        </w:rPr>
      </w:pPr>
      <w:r>
        <w:rPr>
          <w:color w:val="auto"/>
          <w:spacing w:val="-3"/>
          <w:sz w:val="24"/>
          <w:szCs w:val="24"/>
          <w:highlight w:val="none"/>
        </w:rPr>
        <w:t>总监理工程师：</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11"/>
          <w:sz w:val="24"/>
          <w:szCs w:val="24"/>
          <w:highlight w:val="none"/>
        </w:rPr>
        <w:t>姓</w:t>
      </w:r>
      <w:r>
        <w:rPr>
          <w:color w:val="auto"/>
          <w:spacing w:val="3"/>
          <w:sz w:val="24"/>
          <w:szCs w:val="24"/>
          <w:highlight w:val="none"/>
        </w:rPr>
        <w:t xml:space="preserve">    </w:t>
      </w:r>
      <w:r>
        <w:rPr>
          <w:color w:val="auto"/>
          <w:spacing w:val="-11"/>
          <w:sz w:val="24"/>
          <w:szCs w:val="24"/>
          <w:highlight w:val="none"/>
        </w:rPr>
        <w:t>名</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1"/>
          <w:sz w:val="24"/>
          <w:szCs w:val="24"/>
          <w:highlight w:val="none"/>
        </w:rPr>
        <w:t>职</w:t>
      </w:r>
      <w:r>
        <w:rPr>
          <w:color w:val="auto"/>
          <w:spacing w:val="2"/>
          <w:sz w:val="24"/>
          <w:szCs w:val="24"/>
          <w:highlight w:val="none"/>
        </w:rPr>
        <w:t xml:space="preserve">    </w:t>
      </w:r>
      <w:r>
        <w:rPr>
          <w:color w:val="auto"/>
          <w:spacing w:val="-11"/>
          <w:sz w:val="24"/>
          <w:szCs w:val="24"/>
          <w:highlight w:val="none"/>
        </w:rPr>
        <w:t>务</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rPr>
        <w:t>监理工程师执业资格证书号</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3"/>
          <w:sz w:val="24"/>
          <w:szCs w:val="24"/>
          <w:highlight w:val="none"/>
        </w:rPr>
        <w:t>联系电话</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17"/>
        <w:textAlignment w:val="auto"/>
        <w:rPr>
          <w:color w:val="auto"/>
          <w:sz w:val="24"/>
          <w:szCs w:val="24"/>
          <w:highlight w:val="none"/>
        </w:rPr>
      </w:pPr>
      <w:r>
        <w:rPr>
          <w:color w:val="auto"/>
          <w:spacing w:val="-10"/>
          <w:sz w:val="24"/>
          <w:szCs w:val="24"/>
          <w:highlight w:val="none"/>
        </w:rPr>
        <w:t>电子信箱</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3"/>
          <w:sz w:val="24"/>
          <w:szCs w:val="24"/>
          <w:highlight w:val="none"/>
        </w:rPr>
        <w:t>通信地址</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关于监理人的其他约定：</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4.4</w:t>
      </w:r>
      <w:r>
        <w:rPr>
          <w:color w:val="auto"/>
          <w:spacing w:val="14"/>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商定或确定</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4" w:firstLineChars="200"/>
        <w:jc w:val="left"/>
        <w:textAlignment w:val="auto"/>
        <w:rPr>
          <w:color w:val="auto"/>
          <w:sz w:val="24"/>
          <w:szCs w:val="24"/>
          <w:highlight w:val="none"/>
        </w:rPr>
      </w:pPr>
      <w:r>
        <w:rPr>
          <w:color w:val="auto"/>
          <w:spacing w:val="-4"/>
          <w:position w:val="17"/>
          <w:sz w:val="24"/>
          <w:szCs w:val="24"/>
          <w:highlight w:val="none"/>
        </w:rPr>
        <w:t>在发包人和承包人不能通过协商达成一致意见时，发包人授权监理人对以下事项进</w:t>
      </w:r>
      <w:r>
        <w:rPr>
          <w:color w:val="auto"/>
          <w:spacing w:val="-5"/>
          <w:position w:val="17"/>
          <w:sz w:val="24"/>
          <w:szCs w:val="24"/>
          <w:highlight w:val="none"/>
        </w:rPr>
        <w:t>行确定：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1"/>
          <w:sz w:val="24"/>
          <w:szCs w:val="24"/>
          <w:highlight w:val="none"/>
        </w:rPr>
        <w:t>（1</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1"/>
          <w:sz w:val="24"/>
          <w:szCs w:val="24"/>
          <w:highlight w:val="none"/>
        </w:rPr>
        <w:t>（2</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6"/>
          <w:sz w:val="24"/>
          <w:szCs w:val="24"/>
          <w:highlight w:val="none"/>
        </w:rPr>
        <w:t>（3）</w:t>
      </w:r>
      <w:r>
        <w:rPr>
          <w:color w:val="auto"/>
          <w:sz w:val="24"/>
          <w:szCs w:val="24"/>
          <w:highlight w:val="none"/>
          <w:u w:val="single" w:color="auto"/>
        </w:rPr>
        <w:t xml:space="preserve">                                   </w:t>
      </w:r>
      <w:r>
        <w:rPr>
          <w:color w:val="auto"/>
          <w:spacing w:val="-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4"/>
        <w:textAlignment w:val="auto"/>
        <w:outlineLvl w:val="1"/>
        <w:rPr>
          <w:color w:val="auto"/>
          <w:sz w:val="24"/>
          <w:szCs w:val="24"/>
          <w:highlight w:val="none"/>
        </w:rPr>
      </w:pPr>
      <w:r>
        <w:rPr>
          <w:color w:val="auto"/>
          <w:spacing w:val="-4"/>
          <w:sz w:val="24"/>
          <w:szCs w:val="24"/>
          <w:highlight w:val="none"/>
          <w14:textOutline w14:w="4358" w14:cap="sq" w14:cmpd="sng">
            <w14:solidFill>
              <w14:srgbClr w14:val="000000"/>
            </w14:solidFill>
            <w14:prstDash w14:val="solid"/>
            <w14:bevel/>
          </w14:textOutline>
        </w:rPr>
        <w:t>5.</w:t>
      </w:r>
      <w:r>
        <w:rPr>
          <w:color w:val="auto"/>
          <w:spacing w:val="13"/>
          <w:sz w:val="24"/>
          <w:szCs w:val="24"/>
          <w:highlight w:val="none"/>
        </w:rPr>
        <w:t xml:space="preserve"> </w:t>
      </w:r>
      <w:r>
        <w:rPr>
          <w:color w:val="auto"/>
          <w:spacing w:val="-4"/>
          <w:sz w:val="24"/>
          <w:szCs w:val="24"/>
          <w:highlight w:val="none"/>
          <w14:textOutline w14:w="4358" w14:cap="sq" w14:cmpd="sng">
            <w14:solidFill>
              <w14:srgbClr w14:val="000000"/>
            </w14:solidFill>
            <w14:prstDash w14:val="solid"/>
            <w14:bevel/>
          </w14:textOutline>
        </w:rPr>
        <w:t>工程质量</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outlineLvl w:val="0"/>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5.1</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质量要求</w:t>
      </w:r>
    </w:p>
    <w:p>
      <w:pPr>
        <w:pStyle w:val="11"/>
        <w:keepNext w:val="0"/>
        <w:keepLines w:val="0"/>
        <w:pageBreakBefore w:val="0"/>
        <w:widowControl w:val="0"/>
        <w:tabs>
          <w:tab w:val="left" w:pos="9720"/>
        </w:tabs>
        <w:kinsoku/>
        <w:wordWrap/>
        <w:overflowPunct/>
        <w:topLinePunct w:val="0"/>
        <w:autoSpaceDE/>
        <w:autoSpaceDN/>
        <w:bidi w:val="0"/>
        <w:adjustRightInd/>
        <w:snapToGrid/>
        <w:spacing w:after="0" w:line="360" w:lineRule="auto"/>
        <w:ind w:left="10" w:right="206" w:firstLine="483"/>
        <w:jc w:val="both"/>
        <w:textAlignment w:val="auto"/>
        <w:rPr>
          <w:color w:val="auto"/>
          <w:sz w:val="24"/>
          <w:szCs w:val="24"/>
          <w:highlight w:val="none"/>
        </w:rPr>
      </w:pPr>
      <w:r>
        <w:rPr>
          <w:color w:val="auto"/>
          <w:sz w:val="24"/>
          <w:szCs w:val="24"/>
          <w:highlight w:val="none"/>
        </w:rPr>
        <w:t>5.1.1 特殊质量标准和要求：</w:t>
      </w:r>
      <w:r>
        <w:rPr>
          <w:color w:val="auto"/>
          <w:sz w:val="24"/>
          <w:szCs w:val="24"/>
          <w:highlight w:val="none"/>
          <w:u w:val="single" w:color="auto"/>
        </w:rPr>
        <w:t xml:space="preserve"> 工程质量必须达到(</w:t>
      </w:r>
      <w:r>
        <w:rPr>
          <w:color w:val="auto"/>
          <w:spacing w:val="-1"/>
          <w:sz w:val="24"/>
          <w:szCs w:val="24"/>
          <w:highlight w:val="none"/>
          <w:u w:val="single" w:color="auto"/>
        </w:rPr>
        <w:t>建筑工程施工质量验收统一标准)有</w:t>
      </w:r>
      <w:r>
        <w:rPr>
          <w:color w:val="auto"/>
          <w:spacing w:val="-6"/>
          <w:sz w:val="24"/>
          <w:szCs w:val="24"/>
          <w:highlight w:val="none"/>
          <w:u w:val="single" w:color="auto"/>
        </w:rPr>
        <w:t>关标准的合格等级，按分项工程评定的合格率</w:t>
      </w:r>
      <w:r>
        <w:rPr>
          <w:color w:val="auto"/>
          <w:spacing w:val="-32"/>
          <w:sz w:val="24"/>
          <w:szCs w:val="24"/>
          <w:highlight w:val="none"/>
          <w:u w:val="single" w:color="auto"/>
        </w:rPr>
        <w:t xml:space="preserve"> </w:t>
      </w:r>
      <w:r>
        <w:rPr>
          <w:color w:val="auto"/>
          <w:spacing w:val="-6"/>
          <w:sz w:val="24"/>
          <w:szCs w:val="24"/>
          <w:highlight w:val="none"/>
          <w:u w:val="single" w:color="auto"/>
        </w:rPr>
        <w:t>100</w:t>
      </w:r>
      <w:r>
        <w:rPr>
          <w:color w:val="auto"/>
          <w:spacing w:val="12"/>
          <w:sz w:val="24"/>
          <w:szCs w:val="24"/>
          <w:highlight w:val="none"/>
          <w:u w:val="single" w:color="auto"/>
        </w:rPr>
        <w:t>％；</w:t>
      </w:r>
      <w:r>
        <w:rPr>
          <w:color w:val="auto"/>
          <w:spacing w:val="-6"/>
          <w:sz w:val="24"/>
          <w:szCs w:val="24"/>
          <w:highlight w:val="none"/>
          <w:u w:val="single" w:color="auto"/>
        </w:rPr>
        <w:t>工程一次交验合格率必须达到</w:t>
      </w:r>
      <w:r>
        <w:rPr>
          <w:color w:val="auto"/>
          <w:spacing w:val="-33"/>
          <w:sz w:val="24"/>
          <w:szCs w:val="24"/>
          <w:highlight w:val="none"/>
          <w:u w:val="single" w:color="auto"/>
        </w:rPr>
        <w:t xml:space="preserve"> </w:t>
      </w:r>
      <w:r>
        <w:rPr>
          <w:color w:val="auto"/>
          <w:spacing w:val="-6"/>
          <w:sz w:val="24"/>
          <w:szCs w:val="24"/>
          <w:highlight w:val="none"/>
          <w:u w:val="single" w:color="auto"/>
        </w:rPr>
        <w:t>100％。</w:t>
      </w:r>
      <w:r>
        <w:rPr>
          <w:color w:val="auto"/>
          <w:spacing w:val="-1"/>
          <w:sz w:val="24"/>
          <w:szCs w:val="24"/>
          <w:highlight w:val="none"/>
          <w:u w:val="single" w:color="auto"/>
        </w:rPr>
        <w:t>若因承包人原因导致工程质量未达到合格标准，则承包人承担合同价款</w:t>
      </w:r>
      <w:r>
        <w:rPr>
          <w:color w:val="auto"/>
          <w:spacing w:val="-31"/>
          <w:sz w:val="24"/>
          <w:szCs w:val="24"/>
          <w:highlight w:val="none"/>
          <w:u w:val="single" w:color="auto"/>
        </w:rPr>
        <w:t xml:space="preserve"> </w:t>
      </w:r>
      <w:r>
        <w:rPr>
          <w:color w:val="auto"/>
          <w:spacing w:val="-1"/>
          <w:sz w:val="24"/>
          <w:szCs w:val="24"/>
          <w:highlight w:val="none"/>
          <w:u w:val="single" w:color="auto"/>
        </w:rPr>
        <w:t xml:space="preserve">5%的违约金，并负责整改直至达到合格标准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关于工程奖项的约定：</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outlineLvl w:val="0"/>
        <w:rPr>
          <w:color w:val="auto"/>
          <w:sz w:val="24"/>
          <w:szCs w:val="24"/>
          <w:highlight w:val="none"/>
        </w:rPr>
      </w:pPr>
      <w:r>
        <w:rPr>
          <w:color w:val="auto"/>
          <w:spacing w:val="-4"/>
          <w:sz w:val="24"/>
          <w:szCs w:val="24"/>
          <w:highlight w:val="none"/>
          <w14:textOutline w14:w="4358" w14:cap="sq" w14:cmpd="sng">
            <w14:solidFill>
              <w14:srgbClr w14:val="000000"/>
            </w14:solidFill>
            <w14:prstDash w14:val="solid"/>
            <w14:bevel/>
          </w14:textOutline>
        </w:rPr>
        <w:t>5.3</w:t>
      </w:r>
      <w:r>
        <w:rPr>
          <w:color w:val="auto"/>
          <w:spacing w:val="28"/>
          <w:sz w:val="24"/>
          <w:szCs w:val="24"/>
          <w:highlight w:val="none"/>
        </w:rPr>
        <w:t xml:space="preserve"> </w:t>
      </w:r>
      <w:r>
        <w:rPr>
          <w:color w:val="auto"/>
          <w:spacing w:val="-4"/>
          <w:sz w:val="24"/>
          <w:szCs w:val="24"/>
          <w:highlight w:val="none"/>
          <w14:textOutline w14:w="4358" w14:cap="sq" w14:cmpd="sng">
            <w14:solidFill>
              <w14:srgbClr w14:val="000000"/>
            </w14:solidFill>
            <w14:prstDash w14:val="solid"/>
            <w14:bevel/>
          </w14:textOutline>
        </w:rPr>
        <w:t>隐蔽工程检查</w:t>
      </w:r>
    </w:p>
    <w:p>
      <w:pPr>
        <w:pStyle w:val="11"/>
        <w:keepNext w:val="0"/>
        <w:keepLines w:val="0"/>
        <w:pageBreakBefore w:val="0"/>
        <w:widowControl w:val="0"/>
        <w:tabs>
          <w:tab w:val="left" w:pos="9660"/>
        </w:tabs>
        <w:kinsoku/>
        <w:wordWrap/>
        <w:overflowPunct/>
        <w:topLinePunct w:val="0"/>
        <w:autoSpaceDE/>
        <w:autoSpaceDN/>
        <w:bidi w:val="0"/>
        <w:adjustRightInd/>
        <w:snapToGrid/>
        <w:spacing w:after="0" w:line="360" w:lineRule="auto"/>
        <w:ind w:left="7" w:right="179" w:firstLine="486"/>
        <w:jc w:val="both"/>
        <w:textAlignment w:val="auto"/>
        <w:rPr>
          <w:color w:val="auto"/>
          <w:sz w:val="24"/>
          <w:szCs w:val="24"/>
          <w:highlight w:val="none"/>
        </w:rPr>
      </w:pPr>
      <w:r>
        <w:rPr>
          <w:color w:val="auto"/>
          <w:spacing w:val="-5"/>
          <w:sz w:val="24"/>
          <w:szCs w:val="24"/>
          <w:highlight w:val="none"/>
        </w:rPr>
        <w:t>5.3.2</w:t>
      </w:r>
      <w:r>
        <w:rPr>
          <w:color w:val="auto"/>
          <w:spacing w:val="-44"/>
          <w:sz w:val="24"/>
          <w:szCs w:val="24"/>
          <w:highlight w:val="none"/>
        </w:rPr>
        <w:t xml:space="preserve"> </w:t>
      </w:r>
      <w:r>
        <w:rPr>
          <w:color w:val="auto"/>
          <w:spacing w:val="-5"/>
          <w:sz w:val="24"/>
          <w:szCs w:val="24"/>
          <w:highlight w:val="none"/>
        </w:rPr>
        <w:t>承包人提前通知监理人隐蔽工程检查的期限的约定：</w:t>
      </w:r>
      <w:r>
        <w:rPr>
          <w:color w:val="auto"/>
          <w:spacing w:val="-5"/>
          <w:sz w:val="24"/>
          <w:szCs w:val="24"/>
          <w:highlight w:val="none"/>
          <w:u w:val="single" w:color="auto"/>
        </w:rPr>
        <w:t xml:space="preserve"> 未经监理（发包人）批准，</w:t>
      </w:r>
      <w:r>
        <w:rPr>
          <w:color w:val="auto"/>
          <w:spacing w:val="-2"/>
          <w:sz w:val="24"/>
          <w:szCs w:val="24"/>
          <w:highlight w:val="none"/>
          <w:u w:val="single" w:color="auto"/>
        </w:rPr>
        <w:t>承包人所施工的任何隐蔽工程均不能实施覆盖</w:t>
      </w:r>
      <w:r>
        <w:rPr>
          <w:color w:val="auto"/>
          <w:spacing w:val="-3"/>
          <w:sz w:val="24"/>
          <w:szCs w:val="24"/>
          <w:highlight w:val="none"/>
          <w:u w:val="single" w:color="auto"/>
        </w:rPr>
        <w:t>，当承包人施工的隐蔽工程已自检合格具备验收</w:t>
      </w:r>
      <w:r>
        <w:rPr>
          <w:color w:val="auto"/>
          <w:spacing w:val="-1"/>
          <w:sz w:val="24"/>
          <w:szCs w:val="24"/>
          <w:highlight w:val="none"/>
          <w:u w:val="single" w:color="auto"/>
        </w:rPr>
        <w:t>条件时，承包人必须提前</w:t>
      </w:r>
      <w:r>
        <w:rPr>
          <w:color w:val="auto"/>
          <w:spacing w:val="-47"/>
          <w:sz w:val="24"/>
          <w:szCs w:val="24"/>
          <w:highlight w:val="none"/>
          <w:u w:val="single" w:color="auto"/>
        </w:rPr>
        <w:t xml:space="preserve"> </w:t>
      </w:r>
      <w:r>
        <w:rPr>
          <w:color w:val="auto"/>
          <w:spacing w:val="-1"/>
          <w:sz w:val="24"/>
          <w:szCs w:val="24"/>
          <w:highlight w:val="none"/>
          <w:u w:val="single" w:color="auto"/>
        </w:rPr>
        <w:t>24</w:t>
      </w:r>
      <w:r>
        <w:rPr>
          <w:color w:val="auto"/>
          <w:spacing w:val="-44"/>
          <w:sz w:val="24"/>
          <w:szCs w:val="24"/>
          <w:highlight w:val="none"/>
          <w:u w:val="single" w:color="auto"/>
        </w:rPr>
        <w:t xml:space="preserve"> </w:t>
      </w:r>
      <w:r>
        <w:rPr>
          <w:color w:val="auto"/>
          <w:spacing w:val="-1"/>
          <w:sz w:val="24"/>
          <w:szCs w:val="24"/>
          <w:highlight w:val="none"/>
          <w:u w:val="single" w:color="auto"/>
        </w:rPr>
        <w:t>小时书面通知监理（发包人</w:t>
      </w:r>
      <w:r>
        <w:rPr>
          <w:color w:val="auto"/>
          <w:spacing w:val="4"/>
          <w:sz w:val="24"/>
          <w:szCs w:val="24"/>
          <w:highlight w:val="none"/>
          <w:u w:val="single" w:color="auto"/>
        </w:rPr>
        <w:t>），</w:t>
      </w:r>
      <w:r>
        <w:rPr>
          <w:color w:val="auto"/>
          <w:spacing w:val="-1"/>
          <w:sz w:val="24"/>
          <w:szCs w:val="24"/>
          <w:highlight w:val="none"/>
          <w:u w:val="single" w:color="auto"/>
        </w:rPr>
        <w:t>通知包括隐蔽的</w:t>
      </w:r>
      <w:r>
        <w:rPr>
          <w:color w:val="auto"/>
          <w:spacing w:val="-2"/>
          <w:sz w:val="24"/>
          <w:szCs w:val="24"/>
          <w:highlight w:val="none"/>
          <w:u w:val="single" w:color="auto"/>
        </w:rPr>
        <w:t>内容、地点、申请验收的时间，由监理组织有关人员对该部分</w:t>
      </w:r>
      <w:r>
        <w:rPr>
          <w:color w:val="auto"/>
          <w:spacing w:val="-3"/>
          <w:sz w:val="24"/>
          <w:szCs w:val="24"/>
          <w:highlight w:val="none"/>
          <w:u w:val="single" w:color="auto"/>
        </w:rPr>
        <w:t>工程进行检验，检验合格后，再报请发包人进行</w:t>
      </w:r>
      <w:r>
        <w:rPr>
          <w:color w:val="auto"/>
          <w:spacing w:val="-4"/>
          <w:sz w:val="24"/>
          <w:szCs w:val="24"/>
          <w:highlight w:val="none"/>
          <w:u w:val="single" w:color="auto"/>
        </w:rPr>
        <w:t xml:space="preserve">隐蔽验收   </w:t>
      </w:r>
      <w:r>
        <w:rPr>
          <w:color w:val="auto"/>
          <w:spacing w:val="-4"/>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rPr>
        <w:t>监理人不能按时进行检查时，应提前</w:t>
      </w:r>
      <w:r>
        <w:rPr>
          <w:color w:val="auto"/>
          <w:spacing w:val="-1"/>
          <w:sz w:val="24"/>
          <w:szCs w:val="24"/>
          <w:highlight w:val="none"/>
          <w:u w:val="single" w:color="auto"/>
        </w:rPr>
        <w:t xml:space="preserve">  12  </w:t>
      </w:r>
      <w:r>
        <w:rPr>
          <w:color w:val="auto"/>
          <w:spacing w:val="-99"/>
          <w:sz w:val="24"/>
          <w:szCs w:val="24"/>
          <w:highlight w:val="none"/>
        </w:rPr>
        <w:t xml:space="preserve"> </w:t>
      </w:r>
      <w:r>
        <w:rPr>
          <w:color w:val="auto"/>
          <w:spacing w:val="-1"/>
          <w:sz w:val="24"/>
          <w:szCs w:val="24"/>
          <w:highlight w:val="none"/>
        </w:rPr>
        <w:t>小时提交书面延期要求。</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rFonts w:ascii="Arial"/>
          <w:color w:val="auto"/>
          <w:sz w:val="21"/>
          <w:highlight w:val="none"/>
        </w:rPr>
      </w:pPr>
      <w:r>
        <w:rPr>
          <w:color w:val="auto"/>
          <w:spacing w:val="-2"/>
          <w:sz w:val="24"/>
          <w:szCs w:val="24"/>
          <w:highlight w:val="none"/>
        </w:rPr>
        <w:t>关于延期最长不得超过：</w:t>
      </w:r>
      <w:r>
        <w:rPr>
          <w:color w:val="auto"/>
          <w:spacing w:val="-2"/>
          <w:sz w:val="24"/>
          <w:szCs w:val="24"/>
          <w:highlight w:val="none"/>
          <w:u w:val="single" w:color="auto"/>
        </w:rPr>
        <w:t xml:space="preserve">   24  </w:t>
      </w:r>
      <w:r>
        <w:rPr>
          <w:color w:val="auto"/>
          <w:spacing w:val="-93"/>
          <w:sz w:val="24"/>
          <w:szCs w:val="24"/>
          <w:highlight w:val="none"/>
        </w:rPr>
        <w:t xml:space="preserve"> </w:t>
      </w:r>
      <w:r>
        <w:rPr>
          <w:color w:val="auto"/>
          <w:spacing w:val="-2"/>
          <w:sz w:val="24"/>
          <w:szCs w:val="24"/>
          <w:highlight w:val="none"/>
        </w:rPr>
        <w:t>小时。</w:t>
      </w:r>
    </w:p>
    <w:p>
      <w:pPr>
        <w:pStyle w:val="11"/>
        <w:keepNext w:val="0"/>
        <w:keepLines w:val="0"/>
        <w:pageBreakBefore w:val="0"/>
        <w:widowControl w:val="0"/>
        <w:kinsoku/>
        <w:wordWrap/>
        <w:overflowPunct/>
        <w:topLinePunct w:val="0"/>
        <w:autoSpaceDE/>
        <w:autoSpaceDN/>
        <w:bidi w:val="0"/>
        <w:adjustRightInd/>
        <w:snapToGrid/>
        <w:spacing w:after="0" w:line="360" w:lineRule="auto"/>
        <w:ind w:left="11"/>
        <w:textAlignment w:val="auto"/>
        <w:outlineLvl w:val="1"/>
        <w:rPr>
          <w:color w:val="auto"/>
          <w:sz w:val="24"/>
          <w:szCs w:val="24"/>
          <w:highlight w:val="none"/>
        </w:rPr>
      </w:pPr>
      <w:r>
        <w:rPr>
          <w:color w:val="auto"/>
          <w:sz w:val="24"/>
          <w:szCs w:val="24"/>
          <w:highlight w:val="none"/>
          <w14:textOutline w14:w="4358" w14:cap="sq" w14:cmpd="sng">
            <w14:solidFill>
              <w14:srgbClr w14:val="000000"/>
            </w14:solidFill>
            <w14:prstDash w14:val="solid"/>
            <w14:bevel/>
          </w14:textOutline>
        </w:rPr>
        <w:t>6.</w:t>
      </w:r>
      <w:r>
        <w:rPr>
          <w:color w:val="auto"/>
          <w:sz w:val="24"/>
          <w:szCs w:val="24"/>
          <w:highlight w:val="none"/>
        </w:rPr>
        <w:t xml:space="preserve"> </w:t>
      </w:r>
      <w:r>
        <w:rPr>
          <w:color w:val="auto"/>
          <w:sz w:val="24"/>
          <w:szCs w:val="24"/>
          <w:highlight w:val="none"/>
          <w14:textOutline w14:w="4358" w14:cap="sq" w14:cmpd="sng">
            <w14:solidFill>
              <w14:srgbClr w14:val="000000"/>
            </w14:solidFill>
            <w14:prstDash w14:val="solid"/>
            <w14:bevel/>
          </w14:textOutline>
        </w:rPr>
        <w:t>安全文明施工与环境保护</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1"/>
        <w:textAlignment w:val="auto"/>
        <w:rPr>
          <w:color w:val="auto"/>
          <w:sz w:val="24"/>
          <w:szCs w:val="24"/>
          <w:highlight w:val="none"/>
        </w:rPr>
      </w:pPr>
      <w:r>
        <w:rPr>
          <w:color w:val="auto"/>
          <w:spacing w:val="-3"/>
          <w:sz w:val="24"/>
          <w:szCs w:val="24"/>
          <w:highlight w:val="none"/>
          <w14:textOutline w14:w="4358" w14:cap="sq" w14:cmpd="sng">
            <w14:solidFill>
              <w14:srgbClr w14:val="000000"/>
            </w14:solidFill>
            <w14:prstDash w14:val="solid"/>
            <w14:bevel/>
          </w14:textOutline>
        </w:rPr>
        <w:t>6.1</w:t>
      </w:r>
      <w:r>
        <w:rPr>
          <w:color w:val="auto"/>
          <w:spacing w:val="-39"/>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安全文明施工</w:t>
      </w:r>
    </w:p>
    <w:p>
      <w:pPr>
        <w:pStyle w:val="11"/>
        <w:keepNext w:val="0"/>
        <w:keepLines w:val="0"/>
        <w:pageBreakBefore w:val="0"/>
        <w:widowControl w:val="0"/>
        <w:tabs>
          <w:tab w:val="left" w:pos="135"/>
        </w:tabs>
        <w:kinsoku/>
        <w:wordWrap/>
        <w:overflowPunct/>
        <w:topLinePunct w:val="0"/>
        <w:autoSpaceDE/>
        <w:autoSpaceDN/>
        <w:bidi w:val="0"/>
        <w:adjustRightInd/>
        <w:snapToGrid/>
        <w:spacing w:after="0" w:line="360" w:lineRule="auto"/>
        <w:ind w:right="40" w:firstLine="491"/>
        <w:jc w:val="both"/>
        <w:textAlignment w:val="auto"/>
        <w:rPr>
          <w:rFonts w:ascii="Arial"/>
          <w:color w:val="auto"/>
          <w:sz w:val="21"/>
          <w:highlight w:val="none"/>
        </w:rPr>
      </w:pPr>
      <w:r>
        <w:rPr>
          <w:color w:val="auto"/>
          <w:sz w:val="24"/>
          <w:szCs w:val="24"/>
          <w:highlight w:val="none"/>
        </w:rPr>
        <w:t>6.1.1 项目安全生产的达标目标及相</w:t>
      </w:r>
      <w:r>
        <w:rPr>
          <w:color w:val="auto"/>
          <w:spacing w:val="-1"/>
          <w:sz w:val="24"/>
          <w:szCs w:val="24"/>
          <w:highlight w:val="none"/>
        </w:rPr>
        <w:t>应事项的约定</w:t>
      </w:r>
      <w:r>
        <w:rPr>
          <w:color w:val="auto"/>
          <w:spacing w:val="-21"/>
          <w:sz w:val="24"/>
          <w:szCs w:val="24"/>
          <w:highlight w:val="none"/>
        </w:rPr>
        <w:t>：</w:t>
      </w:r>
      <w:r>
        <w:rPr>
          <w:rFonts w:ascii="仿宋" w:hAnsi="仿宋" w:eastAsia="仿宋" w:cs="仿宋"/>
          <w:color w:val="auto"/>
          <w:spacing w:val="17"/>
          <w:sz w:val="20"/>
          <w:szCs w:val="20"/>
          <w:highlight w:val="none"/>
          <w:u w:val="single" w:color="auto"/>
        </w:rPr>
        <w:t xml:space="preserve"> </w:t>
      </w:r>
      <w:r>
        <w:rPr>
          <w:rFonts w:ascii="仿宋" w:hAnsi="仿宋" w:eastAsia="仿宋" w:cs="仿宋"/>
          <w:color w:val="auto"/>
          <w:spacing w:val="-21"/>
          <w:sz w:val="20"/>
          <w:szCs w:val="20"/>
          <w:highlight w:val="none"/>
          <w:u w:val="single" w:color="auto"/>
        </w:rPr>
        <w:t>（</w:t>
      </w:r>
      <w:r>
        <w:rPr>
          <w:color w:val="auto"/>
          <w:spacing w:val="-1"/>
          <w:sz w:val="24"/>
          <w:szCs w:val="24"/>
          <w:highlight w:val="none"/>
          <w:u w:val="single" w:color="auto"/>
        </w:rPr>
        <w:t>1）符合安全、环保、职业健康有</w:t>
      </w:r>
      <w:r>
        <w:rPr>
          <w:color w:val="auto"/>
          <w:sz w:val="24"/>
          <w:szCs w:val="24"/>
          <w:highlight w:val="none"/>
        </w:rPr>
        <w:t xml:space="preserve"> </w:t>
      </w:r>
      <w:r>
        <w:rPr>
          <w:color w:val="auto"/>
          <w:spacing w:val="1"/>
          <w:sz w:val="24"/>
          <w:szCs w:val="24"/>
          <w:highlight w:val="none"/>
          <w:u w:val="single" w:color="auto"/>
        </w:rPr>
        <w:t>关法律法规、标准规范要求</w:t>
      </w:r>
      <w:r>
        <w:rPr>
          <w:color w:val="auto"/>
          <w:spacing w:val="-31"/>
          <w:sz w:val="24"/>
          <w:szCs w:val="24"/>
          <w:highlight w:val="none"/>
          <w:u w:val="single" w:color="auto"/>
        </w:rPr>
        <w:t>；（</w:t>
      </w:r>
      <w:r>
        <w:rPr>
          <w:color w:val="auto"/>
          <w:spacing w:val="1"/>
          <w:sz w:val="24"/>
          <w:szCs w:val="24"/>
          <w:highlight w:val="none"/>
          <w:u w:val="single" w:color="auto"/>
        </w:rPr>
        <w:t>2）杜绝安全生产和重大涉险</w:t>
      </w:r>
      <w:r>
        <w:rPr>
          <w:color w:val="auto"/>
          <w:sz w:val="24"/>
          <w:szCs w:val="24"/>
          <w:highlight w:val="none"/>
          <w:u w:val="single" w:color="auto"/>
        </w:rPr>
        <w:t>责任事故</w:t>
      </w:r>
      <w:r>
        <w:rPr>
          <w:color w:val="auto"/>
          <w:spacing w:val="-31"/>
          <w:sz w:val="24"/>
          <w:szCs w:val="24"/>
          <w:highlight w:val="none"/>
          <w:u w:val="single" w:color="auto"/>
        </w:rPr>
        <w:t>；（</w:t>
      </w:r>
      <w:r>
        <w:rPr>
          <w:color w:val="auto"/>
          <w:sz w:val="24"/>
          <w:szCs w:val="24"/>
          <w:highlight w:val="none"/>
          <w:u w:val="single" w:color="auto"/>
        </w:rPr>
        <w:t>3）杜绝一般及以上</w:t>
      </w:r>
      <w:r>
        <w:rPr>
          <w:color w:val="auto"/>
          <w:spacing w:val="2"/>
          <w:sz w:val="24"/>
          <w:szCs w:val="24"/>
          <w:highlight w:val="none"/>
        </w:rPr>
        <w:t xml:space="preserve"> </w:t>
      </w:r>
      <w:r>
        <w:rPr>
          <w:color w:val="auto"/>
          <w:spacing w:val="1"/>
          <w:sz w:val="24"/>
          <w:szCs w:val="24"/>
          <w:highlight w:val="none"/>
          <w:u w:val="single" w:color="auto"/>
        </w:rPr>
        <w:t>火灾事故</w:t>
      </w:r>
      <w:r>
        <w:rPr>
          <w:color w:val="auto"/>
          <w:spacing w:val="-18"/>
          <w:sz w:val="24"/>
          <w:szCs w:val="24"/>
          <w:highlight w:val="none"/>
          <w:u w:val="single" w:color="auto"/>
        </w:rPr>
        <w:t>；（</w:t>
      </w:r>
      <w:r>
        <w:rPr>
          <w:color w:val="auto"/>
          <w:spacing w:val="1"/>
          <w:sz w:val="24"/>
          <w:szCs w:val="24"/>
          <w:highlight w:val="none"/>
          <w:u w:val="single" w:color="auto"/>
        </w:rPr>
        <w:t>4）控制噪声、粉尘、渣土、废水、废气对环境的污染</w:t>
      </w:r>
      <w:r>
        <w:rPr>
          <w:color w:val="auto"/>
          <w:spacing w:val="-18"/>
          <w:sz w:val="24"/>
          <w:szCs w:val="24"/>
          <w:highlight w:val="none"/>
          <w:u w:val="single" w:color="auto"/>
        </w:rPr>
        <w:t>；（</w:t>
      </w:r>
      <w:r>
        <w:rPr>
          <w:color w:val="auto"/>
          <w:spacing w:val="1"/>
          <w:sz w:val="24"/>
          <w:szCs w:val="24"/>
          <w:highlight w:val="none"/>
          <w:u w:val="single" w:color="auto"/>
        </w:rPr>
        <w:t>5）做到施</w:t>
      </w:r>
      <w:r>
        <w:rPr>
          <w:color w:val="auto"/>
          <w:sz w:val="24"/>
          <w:szCs w:val="24"/>
          <w:highlight w:val="none"/>
          <w:u w:val="single" w:color="auto"/>
        </w:rPr>
        <w:t>工不扰民，</w:t>
      </w:r>
      <w:r>
        <w:rPr>
          <w:color w:val="auto"/>
          <w:spacing w:val="3"/>
          <w:sz w:val="24"/>
          <w:szCs w:val="24"/>
          <w:highlight w:val="none"/>
        </w:rPr>
        <w:t xml:space="preserve"> </w:t>
      </w:r>
      <w:r>
        <w:rPr>
          <w:color w:val="auto"/>
          <w:spacing w:val="-4"/>
          <w:sz w:val="24"/>
          <w:szCs w:val="24"/>
          <w:highlight w:val="none"/>
          <w:u w:val="single" w:color="auto"/>
        </w:rPr>
        <w:t>不影响办公和会议</w:t>
      </w:r>
      <w:r>
        <w:rPr>
          <w:color w:val="auto"/>
          <w:spacing w:val="-62"/>
          <w:w w:val="96"/>
          <w:sz w:val="24"/>
          <w:szCs w:val="24"/>
          <w:highlight w:val="none"/>
          <w:u w:val="single" w:color="auto"/>
        </w:rPr>
        <w:t>；（</w:t>
      </w:r>
      <w:r>
        <w:rPr>
          <w:color w:val="auto"/>
          <w:spacing w:val="-4"/>
          <w:sz w:val="24"/>
          <w:szCs w:val="24"/>
          <w:highlight w:val="none"/>
          <w:u w:val="single" w:color="auto"/>
        </w:rPr>
        <w:t>6）职业健康安全教育覆盖率</w:t>
      </w:r>
      <w:r>
        <w:rPr>
          <w:color w:val="auto"/>
          <w:spacing w:val="-25"/>
          <w:sz w:val="24"/>
          <w:szCs w:val="24"/>
          <w:highlight w:val="none"/>
          <w:u w:val="single" w:color="auto"/>
        </w:rPr>
        <w:t xml:space="preserve"> </w:t>
      </w:r>
      <w:r>
        <w:rPr>
          <w:color w:val="auto"/>
          <w:spacing w:val="-4"/>
          <w:sz w:val="24"/>
          <w:szCs w:val="24"/>
          <w:highlight w:val="none"/>
          <w:u w:val="single" w:color="auto"/>
        </w:rPr>
        <w:t>100%</w:t>
      </w:r>
      <w:r>
        <w:rPr>
          <w:color w:val="auto"/>
          <w:spacing w:val="-62"/>
          <w:w w:val="96"/>
          <w:sz w:val="24"/>
          <w:szCs w:val="24"/>
          <w:highlight w:val="none"/>
          <w:u w:val="single" w:color="auto"/>
        </w:rPr>
        <w:t>；</w:t>
      </w:r>
      <w:r>
        <w:rPr>
          <w:color w:val="auto"/>
          <w:spacing w:val="-10"/>
          <w:sz w:val="24"/>
          <w:szCs w:val="24"/>
          <w:highlight w:val="none"/>
          <w:u w:val="single" w:color="auto"/>
        </w:rPr>
        <w:t>（</w:t>
      </w:r>
      <w:r>
        <w:rPr>
          <w:rFonts w:hint="eastAsia"/>
          <w:color w:val="auto"/>
          <w:spacing w:val="-10"/>
          <w:sz w:val="24"/>
          <w:szCs w:val="24"/>
          <w:highlight w:val="none"/>
          <w:u w:val="single" w:color="auto"/>
          <w:lang w:val="en-US" w:eastAsia="zh-CN"/>
        </w:rPr>
        <w:t>7</w:t>
      </w:r>
      <w:r>
        <w:rPr>
          <w:color w:val="auto"/>
          <w:spacing w:val="-10"/>
          <w:sz w:val="24"/>
          <w:szCs w:val="24"/>
          <w:highlight w:val="none"/>
          <w:u w:val="single" w:color="auto"/>
        </w:rPr>
        <w:t>）</w:t>
      </w:r>
      <w:r>
        <w:rPr>
          <w:color w:val="auto"/>
          <w:spacing w:val="-4"/>
          <w:sz w:val="24"/>
          <w:szCs w:val="24"/>
          <w:highlight w:val="none"/>
          <w:u w:val="single" w:color="auto"/>
        </w:rPr>
        <w:t>个人劳动保护用品配备率</w:t>
      </w:r>
      <w:r>
        <w:rPr>
          <w:color w:val="auto"/>
          <w:spacing w:val="-33"/>
          <w:sz w:val="24"/>
          <w:szCs w:val="24"/>
          <w:highlight w:val="none"/>
          <w:u w:val="single" w:color="auto"/>
        </w:rPr>
        <w:t xml:space="preserve"> </w:t>
      </w:r>
      <w:r>
        <w:rPr>
          <w:color w:val="auto"/>
          <w:spacing w:val="-4"/>
          <w:sz w:val="24"/>
          <w:szCs w:val="24"/>
          <w:highlight w:val="none"/>
          <w:u w:val="single" w:color="auto"/>
        </w:rPr>
        <w:t>100%；</w:t>
      </w:r>
      <w:r>
        <w:rPr>
          <w:color w:val="auto"/>
          <w:spacing w:val="-10"/>
          <w:sz w:val="24"/>
          <w:szCs w:val="24"/>
          <w:highlight w:val="none"/>
          <w:u w:val="single" w:color="auto"/>
        </w:rPr>
        <w:t>（8）重点特种设备监控率</w:t>
      </w:r>
      <w:r>
        <w:rPr>
          <w:color w:val="auto"/>
          <w:spacing w:val="-29"/>
          <w:sz w:val="24"/>
          <w:szCs w:val="24"/>
          <w:highlight w:val="none"/>
          <w:u w:val="single" w:color="auto"/>
        </w:rPr>
        <w:t xml:space="preserve"> </w:t>
      </w:r>
      <w:r>
        <w:rPr>
          <w:color w:val="auto"/>
          <w:spacing w:val="-10"/>
          <w:sz w:val="24"/>
          <w:szCs w:val="24"/>
          <w:highlight w:val="none"/>
          <w:u w:val="single" w:color="auto"/>
        </w:rPr>
        <w:t>100%，监控责任人落实率</w:t>
      </w:r>
      <w:r>
        <w:rPr>
          <w:color w:val="auto"/>
          <w:spacing w:val="-33"/>
          <w:sz w:val="24"/>
          <w:szCs w:val="24"/>
          <w:highlight w:val="none"/>
          <w:u w:val="single" w:color="auto"/>
        </w:rPr>
        <w:t xml:space="preserve"> </w:t>
      </w:r>
      <w:r>
        <w:rPr>
          <w:color w:val="auto"/>
          <w:spacing w:val="-10"/>
          <w:sz w:val="24"/>
          <w:szCs w:val="24"/>
          <w:highlight w:val="none"/>
          <w:u w:val="single" w:color="auto"/>
        </w:rPr>
        <w:t>100%</w:t>
      </w:r>
      <w:r>
        <w:rPr>
          <w:color w:val="auto"/>
          <w:spacing w:val="-53"/>
          <w:w w:val="82"/>
          <w:sz w:val="24"/>
          <w:szCs w:val="24"/>
          <w:highlight w:val="none"/>
          <w:u w:val="single" w:color="auto"/>
        </w:rPr>
        <w:t>；（</w:t>
      </w:r>
      <w:r>
        <w:rPr>
          <w:rFonts w:hint="eastAsia"/>
          <w:color w:val="auto"/>
          <w:spacing w:val="-10"/>
          <w:sz w:val="24"/>
          <w:szCs w:val="24"/>
          <w:highlight w:val="none"/>
          <w:u w:val="single" w:color="auto"/>
          <w:lang w:val="en-US" w:eastAsia="zh-CN"/>
        </w:rPr>
        <w:t>9</w:t>
      </w:r>
      <w:r>
        <w:rPr>
          <w:color w:val="auto"/>
          <w:spacing w:val="-10"/>
          <w:sz w:val="24"/>
          <w:szCs w:val="24"/>
          <w:highlight w:val="none"/>
          <w:u w:val="single" w:color="auto"/>
        </w:rPr>
        <w:t>）特种</w:t>
      </w:r>
      <w:r>
        <w:rPr>
          <w:color w:val="auto"/>
          <w:spacing w:val="-11"/>
          <w:sz w:val="24"/>
          <w:szCs w:val="24"/>
          <w:highlight w:val="none"/>
          <w:u w:val="single" w:color="auto"/>
        </w:rPr>
        <w:t>作业人员持证上岗率</w:t>
      </w:r>
      <w:r>
        <w:rPr>
          <w:color w:val="auto"/>
          <w:spacing w:val="-33"/>
          <w:sz w:val="24"/>
          <w:szCs w:val="24"/>
          <w:highlight w:val="none"/>
          <w:u w:val="single" w:color="auto"/>
        </w:rPr>
        <w:t xml:space="preserve"> </w:t>
      </w:r>
      <w:r>
        <w:rPr>
          <w:color w:val="auto"/>
          <w:spacing w:val="-11"/>
          <w:sz w:val="24"/>
          <w:szCs w:val="24"/>
          <w:highlight w:val="none"/>
          <w:u w:val="single" w:color="auto"/>
        </w:rPr>
        <w:t>100%；</w:t>
      </w:r>
      <w:r>
        <w:rPr>
          <w:color w:val="auto"/>
          <w:spacing w:val="-3"/>
          <w:sz w:val="24"/>
          <w:szCs w:val="24"/>
          <w:highlight w:val="none"/>
          <w:u w:val="single" w:color="auto"/>
        </w:rPr>
        <w:t>（10）固体废弃物分类、集中管理</w:t>
      </w:r>
      <w:r>
        <w:rPr>
          <w:color w:val="auto"/>
          <w:spacing w:val="-8"/>
          <w:sz w:val="24"/>
          <w:szCs w:val="24"/>
          <w:highlight w:val="none"/>
          <w:u w:val="single" w:color="auto"/>
        </w:rPr>
        <w:t>；（</w:t>
      </w:r>
      <w:r>
        <w:rPr>
          <w:color w:val="auto"/>
          <w:spacing w:val="-3"/>
          <w:sz w:val="24"/>
          <w:szCs w:val="24"/>
          <w:highlight w:val="none"/>
          <w:u w:val="single" w:color="auto"/>
        </w:rPr>
        <w:t xml:space="preserve">11）杜绝因管控不到位引发的新冠疫情传染事件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37" w:firstLine="453"/>
        <w:textAlignment w:val="auto"/>
        <w:rPr>
          <w:color w:val="auto"/>
          <w:sz w:val="24"/>
          <w:szCs w:val="24"/>
          <w:highlight w:val="none"/>
        </w:rPr>
      </w:pPr>
      <w:r>
        <w:rPr>
          <w:color w:val="auto"/>
          <w:spacing w:val="-6"/>
          <w:sz w:val="24"/>
          <w:szCs w:val="24"/>
          <w:highlight w:val="none"/>
        </w:rPr>
        <w:t>6.1.2 临时用电保证措施：</w:t>
      </w:r>
      <w:r>
        <w:rPr>
          <w:color w:val="auto"/>
          <w:spacing w:val="-6"/>
          <w:sz w:val="24"/>
          <w:szCs w:val="24"/>
          <w:highlight w:val="none"/>
          <w:u w:val="single" w:color="auto"/>
        </w:rPr>
        <w:t>承包人必须按照有关规定编制临时用电方案，计划停（送、接）</w:t>
      </w:r>
      <w:r>
        <w:rPr>
          <w:color w:val="auto"/>
          <w:spacing w:val="-3"/>
          <w:sz w:val="24"/>
          <w:szCs w:val="24"/>
          <w:highlight w:val="none"/>
          <w:u w:val="single" w:color="auto"/>
        </w:rPr>
        <w:t>电或临时用电前，必须先行联系发包人。因承包人原因造成事件、事故</w:t>
      </w:r>
      <w:r>
        <w:rPr>
          <w:color w:val="auto"/>
          <w:spacing w:val="-4"/>
          <w:sz w:val="24"/>
          <w:szCs w:val="24"/>
          <w:highlight w:val="none"/>
          <w:u w:val="single" w:color="auto"/>
        </w:rPr>
        <w:t>时，承包人承担全部责</w:t>
      </w:r>
      <w:r>
        <w:rPr>
          <w:color w:val="auto"/>
          <w:spacing w:val="1"/>
          <w:sz w:val="24"/>
          <w:szCs w:val="24"/>
          <w:highlight w:val="none"/>
          <w:u w:val="single" w:color="auto"/>
        </w:rPr>
        <w:t>任和费用，并赔偿因此对发包人造成的损失。</w:t>
      </w:r>
    </w:p>
    <w:p>
      <w:pPr>
        <w:pStyle w:val="11"/>
        <w:keepNext w:val="0"/>
        <w:keepLines w:val="0"/>
        <w:pageBreakBefore w:val="0"/>
        <w:widowControl w:val="0"/>
        <w:kinsoku/>
        <w:wordWrap/>
        <w:overflowPunct/>
        <w:topLinePunct w:val="0"/>
        <w:autoSpaceDE/>
        <w:autoSpaceDN/>
        <w:bidi w:val="0"/>
        <w:adjustRightInd/>
        <w:snapToGrid/>
        <w:spacing w:after="0" w:line="440" w:lineRule="exact"/>
        <w:ind w:firstLine="472" w:firstLineChars="200"/>
        <w:textAlignment w:val="auto"/>
        <w:rPr>
          <w:color w:val="auto"/>
          <w:sz w:val="24"/>
          <w:szCs w:val="24"/>
          <w:highlight w:val="none"/>
        </w:rPr>
      </w:pPr>
      <w:r>
        <w:rPr>
          <w:color w:val="auto"/>
          <w:spacing w:val="-2"/>
          <w:sz w:val="24"/>
          <w:szCs w:val="24"/>
          <w:highlight w:val="none"/>
        </w:rPr>
        <w:t>6.1.3 工程周边安全防护：</w:t>
      </w:r>
      <w:r>
        <w:rPr>
          <w:color w:val="auto"/>
          <w:spacing w:val="-2"/>
          <w:sz w:val="24"/>
          <w:szCs w:val="24"/>
          <w:highlight w:val="none"/>
          <w:u w:val="single" w:color="auto"/>
        </w:rPr>
        <w:t>承包人必须做好工程周边安全防护工作，</w:t>
      </w:r>
      <w:r>
        <w:rPr>
          <w:color w:val="auto"/>
          <w:spacing w:val="-3"/>
          <w:sz w:val="24"/>
          <w:szCs w:val="24"/>
          <w:highlight w:val="none"/>
          <w:u w:val="single" w:color="auto"/>
        </w:rPr>
        <w:t>并确保过往车辆、行</w:t>
      </w:r>
      <w:r>
        <w:rPr>
          <w:color w:val="auto"/>
          <w:spacing w:val="1"/>
          <w:sz w:val="24"/>
          <w:szCs w:val="24"/>
          <w:highlight w:val="none"/>
          <w:u w:val="single" w:color="auto"/>
        </w:rPr>
        <w:t>人安全通行，费用已包含在合同价款。</w:t>
      </w:r>
    </w:p>
    <w:p>
      <w:pPr>
        <w:pStyle w:val="11"/>
        <w:keepNext w:val="0"/>
        <w:keepLines w:val="0"/>
        <w:pageBreakBefore w:val="0"/>
        <w:widowControl w:val="0"/>
        <w:kinsoku/>
        <w:wordWrap/>
        <w:overflowPunct/>
        <w:topLinePunct w:val="0"/>
        <w:autoSpaceDE/>
        <w:autoSpaceDN/>
        <w:bidi w:val="0"/>
        <w:adjustRightInd/>
        <w:snapToGrid/>
        <w:spacing w:after="0" w:line="440" w:lineRule="exact"/>
        <w:ind w:left="14" w:right="99" w:firstLine="477"/>
        <w:textAlignment w:val="auto"/>
        <w:rPr>
          <w:color w:val="auto"/>
          <w:sz w:val="24"/>
          <w:szCs w:val="24"/>
          <w:highlight w:val="none"/>
        </w:rPr>
      </w:pPr>
      <w:r>
        <w:rPr>
          <w:color w:val="auto"/>
          <w:spacing w:val="-2"/>
          <w:sz w:val="24"/>
          <w:szCs w:val="24"/>
          <w:highlight w:val="none"/>
        </w:rPr>
        <w:t>6.1.4 关于治安保卫的特别约定：</w:t>
      </w:r>
      <w:r>
        <w:rPr>
          <w:color w:val="auto"/>
          <w:spacing w:val="-2"/>
          <w:sz w:val="24"/>
          <w:szCs w:val="24"/>
          <w:highlight w:val="none"/>
          <w:u w:val="single" w:color="auto"/>
        </w:rPr>
        <w:t>在工</w:t>
      </w:r>
      <w:r>
        <w:rPr>
          <w:color w:val="auto"/>
          <w:spacing w:val="-3"/>
          <w:sz w:val="24"/>
          <w:szCs w:val="24"/>
          <w:highlight w:val="none"/>
          <w:u w:val="single" w:color="auto"/>
        </w:rPr>
        <w:t>程场地范围内，承包人具有进行保护或为公众提供安全和方便责任。承包人对施工场地发生的盗窃、打架斗殴等事件承担全部责任。承包人不得</w:t>
      </w:r>
      <w:r>
        <w:rPr>
          <w:color w:val="auto"/>
          <w:spacing w:val="1"/>
          <w:sz w:val="24"/>
          <w:szCs w:val="24"/>
          <w:highlight w:val="none"/>
          <w:u w:val="single" w:color="auto"/>
        </w:rPr>
        <w:t>拖欠农民工工资。不得发生上访等群体性事件行。</w:t>
      </w:r>
    </w:p>
    <w:p>
      <w:pPr>
        <w:pStyle w:val="11"/>
        <w:keepNext w:val="0"/>
        <w:keepLines w:val="0"/>
        <w:pageBreakBefore w:val="0"/>
        <w:widowControl w:val="0"/>
        <w:kinsoku/>
        <w:wordWrap/>
        <w:overflowPunct/>
        <w:topLinePunct w:val="0"/>
        <w:autoSpaceDE/>
        <w:autoSpaceDN/>
        <w:bidi w:val="0"/>
        <w:adjustRightInd/>
        <w:snapToGrid/>
        <w:spacing w:after="0" w:line="440" w:lineRule="exact"/>
        <w:ind w:left="493"/>
        <w:textAlignment w:val="auto"/>
        <w:rPr>
          <w:color w:val="auto"/>
          <w:sz w:val="24"/>
          <w:szCs w:val="24"/>
          <w:highlight w:val="none"/>
        </w:rPr>
      </w:pPr>
      <w:r>
        <w:rPr>
          <w:color w:val="auto"/>
          <w:spacing w:val="-1"/>
          <w:sz w:val="24"/>
          <w:szCs w:val="24"/>
          <w:highlight w:val="none"/>
        </w:rPr>
        <w:t>关于编制施工场地治安管理计划的约定：</w:t>
      </w:r>
      <w:r>
        <w:rPr>
          <w:color w:val="auto"/>
          <w:spacing w:val="-1"/>
          <w:sz w:val="24"/>
          <w:szCs w:val="24"/>
          <w:highlight w:val="none"/>
          <w:u w:val="single" w:color="auto"/>
        </w:rPr>
        <w:t>开工前</w:t>
      </w:r>
      <w:r>
        <w:rPr>
          <w:color w:val="auto"/>
          <w:spacing w:val="-30"/>
          <w:sz w:val="24"/>
          <w:szCs w:val="24"/>
          <w:highlight w:val="none"/>
          <w:u w:val="single" w:color="auto"/>
        </w:rPr>
        <w:t xml:space="preserve"> </w:t>
      </w:r>
      <w:r>
        <w:rPr>
          <w:color w:val="auto"/>
          <w:spacing w:val="-1"/>
          <w:sz w:val="24"/>
          <w:szCs w:val="24"/>
          <w:highlight w:val="none"/>
          <w:u w:val="single" w:color="auto"/>
        </w:rPr>
        <w:t>3</w:t>
      </w:r>
      <w:r>
        <w:rPr>
          <w:color w:val="auto"/>
          <w:spacing w:val="-46"/>
          <w:sz w:val="24"/>
          <w:szCs w:val="24"/>
          <w:highlight w:val="none"/>
          <w:u w:val="single" w:color="auto"/>
        </w:rPr>
        <w:t xml:space="preserve"> </w:t>
      </w:r>
      <w:r>
        <w:rPr>
          <w:color w:val="auto"/>
          <w:spacing w:val="-1"/>
          <w:sz w:val="24"/>
          <w:szCs w:val="24"/>
          <w:highlight w:val="none"/>
          <w:u w:val="single" w:color="auto"/>
        </w:rPr>
        <w:t>天提供。</w:t>
      </w:r>
    </w:p>
    <w:p>
      <w:pPr>
        <w:pStyle w:val="11"/>
        <w:keepNext w:val="0"/>
        <w:keepLines w:val="0"/>
        <w:pageBreakBefore w:val="0"/>
        <w:widowControl w:val="0"/>
        <w:kinsoku/>
        <w:wordWrap/>
        <w:overflowPunct/>
        <w:topLinePunct w:val="0"/>
        <w:autoSpaceDE/>
        <w:autoSpaceDN/>
        <w:bidi w:val="0"/>
        <w:adjustRightInd/>
        <w:snapToGrid/>
        <w:spacing w:line="440" w:lineRule="exact"/>
        <w:ind w:left="491"/>
        <w:textAlignment w:val="auto"/>
        <w:rPr>
          <w:color w:val="auto"/>
          <w:sz w:val="24"/>
          <w:szCs w:val="24"/>
          <w:highlight w:val="none"/>
        </w:rPr>
      </w:pPr>
      <w:r>
        <w:rPr>
          <w:color w:val="auto"/>
          <w:spacing w:val="-2"/>
          <w:sz w:val="24"/>
          <w:szCs w:val="24"/>
          <w:highlight w:val="none"/>
        </w:rPr>
        <w:t>6.1.5 文明施工</w:t>
      </w:r>
    </w:p>
    <w:p>
      <w:pPr>
        <w:pStyle w:val="11"/>
        <w:keepNext w:val="0"/>
        <w:keepLines w:val="0"/>
        <w:pageBreakBefore w:val="0"/>
        <w:widowControl w:val="0"/>
        <w:kinsoku/>
        <w:wordWrap/>
        <w:overflowPunct/>
        <w:topLinePunct w:val="0"/>
        <w:autoSpaceDE/>
        <w:autoSpaceDN/>
        <w:bidi w:val="0"/>
        <w:adjustRightInd/>
        <w:snapToGrid/>
        <w:spacing w:line="440" w:lineRule="exact"/>
        <w:ind w:left="11" w:right="99" w:firstLine="479"/>
        <w:textAlignment w:val="auto"/>
        <w:rPr>
          <w:color w:val="auto"/>
          <w:sz w:val="24"/>
          <w:szCs w:val="24"/>
          <w:highlight w:val="none"/>
        </w:rPr>
      </w:pPr>
      <w:r>
        <w:rPr>
          <w:color w:val="auto"/>
          <w:spacing w:val="-3"/>
          <w:sz w:val="24"/>
          <w:szCs w:val="24"/>
          <w:highlight w:val="none"/>
        </w:rPr>
        <w:t>合同当事人对文明施工的要求：</w:t>
      </w:r>
      <w:r>
        <w:rPr>
          <w:color w:val="auto"/>
          <w:spacing w:val="-3"/>
          <w:sz w:val="24"/>
          <w:szCs w:val="24"/>
          <w:highlight w:val="none"/>
          <w:u w:val="single" w:color="auto"/>
        </w:rPr>
        <w:t xml:space="preserve"> 按照陕西省文明工地验收标准组织实施。严格按陕西省文明工地检查（验收）标准实施，安全施工。承包人按照国家和当地政府有关规定应采取的任</w:t>
      </w:r>
      <w:r>
        <w:rPr>
          <w:color w:val="auto"/>
          <w:spacing w:val="17"/>
          <w:sz w:val="24"/>
          <w:szCs w:val="24"/>
          <w:highlight w:val="none"/>
        </w:rPr>
        <w:t xml:space="preserve"> </w:t>
      </w:r>
      <w:r>
        <w:rPr>
          <w:color w:val="auto"/>
          <w:spacing w:val="-3"/>
          <w:sz w:val="24"/>
          <w:szCs w:val="24"/>
          <w:highlight w:val="none"/>
          <w:u w:val="single" w:color="auto"/>
        </w:rPr>
        <w:t>何必要安全防护措施已包含在承包人的合同价款当中，发包人不另行支付。承包人承担由于自</w:t>
      </w:r>
      <w:r>
        <w:rPr>
          <w:color w:val="auto"/>
          <w:spacing w:val="-1"/>
          <w:sz w:val="24"/>
          <w:szCs w:val="24"/>
          <w:highlight w:val="none"/>
          <w:u w:val="single" w:color="auto"/>
        </w:rPr>
        <w:t xml:space="preserve">身措施不力造成事故的责任和因此发生的费用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99" w:firstLine="481"/>
        <w:textAlignment w:val="auto"/>
        <w:rPr>
          <w:color w:val="auto"/>
          <w:sz w:val="24"/>
          <w:szCs w:val="24"/>
          <w:highlight w:val="none"/>
        </w:rPr>
      </w:pPr>
      <w:r>
        <w:rPr>
          <w:color w:val="auto"/>
          <w:spacing w:val="-2"/>
          <w:sz w:val="24"/>
          <w:szCs w:val="24"/>
          <w:highlight w:val="none"/>
        </w:rPr>
        <w:t>6.1.6 关于安全文明施工费支付比例和支付期</w:t>
      </w:r>
      <w:r>
        <w:rPr>
          <w:color w:val="auto"/>
          <w:spacing w:val="-3"/>
          <w:sz w:val="24"/>
          <w:szCs w:val="24"/>
          <w:highlight w:val="none"/>
        </w:rPr>
        <w:t>限的约定：</w:t>
      </w:r>
      <w:r>
        <w:rPr>
          <w:color w:val="auto"/>
          <w:spacing w:val="-3"/>
          <w:sz w:val="24"/>
          <w:szCs w:val="24"/>
          <w:highlight w:val="none"/>
          <w:u w:val="single" w:color="auto"/>
        </w:rPr>
        <w:t xml:space="preserve">  承包方应当确保安全文明施工</w:t>
      </w:r>
      <w:r>
        <w:rPr>
          <w:color w:val="auto"/>
          <w:spacing w:val="-2"/>
          <w:sz w:val="24"/>
          <w:szCs w:val="24"/>
          <w:highlight w:val="none"/>
          <w:u w:val="single" w:color="auto"/>
        </w:rPr>
        <w:t>措施费专款专用，在财务管理中单独列出安</w:t>
      </w:r>
      <w:r>
        <w:rPr>
          <w:color w:val="auto"/>
          <w:spacing w:val="-3"/>
          <w:sz w:val="24"/>
          <w:szCs w:val="24"/>
          <w:highlight w:val="none"/>
          <w:u w:val="single" w:color="auto"/>
        </w:rPr>
        <w:t>全文明施工措施项目费用清单，承包人不得挪用安</w:t>
      </w:r>
      <w:r>
        <w:rPr>
          <w:color w:val="auto"/>
          <w:spacing w:val="-2"/>
          <w:sz w:val="24"/>
          <w:szCs w:val="24"/>
          <w:highlight w:val="none"/>
          <w:u w:val="single" w:color="auto"/>
        </w:rPr>
        <w:t xml:space="preserve">全文明施工措施项目费。开工后全额支付安全文明施工费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1"/>
        <w:textAlignment w:val="auto"/>
        <w:rPr>
          <w:rFonts w:ascii="Arial"/>
          <w:color w:val="auto"/>
          <w:sz w:val="21"/>
          <w:highlight w:val="none"/>
        </w:rPr>
      </w:pPr>
      <w:r>
        <w:rPr>
          <w:color w:val="auto"/>
          <w:spacing w:val="-2"/>
          <w:sz w:val="24"/>
          <w:szCs w:val="24"/>
          <w:highlight w:val="none"/>
        </w:rPr>
        <w:t>6.2 环境保护</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rPr>
        <w:t>项目安全生产的达标目标及相应事项的约定：</w:t>
      </w:r>
      <w:r>
        <w:rPr>
          <w:color w:val="auto"/>
          <w:spacing w:val="-3"/>
          <w:sz w:val="24"/>
          <w:szCs w:val="24"/>
          <w:highlight w:val="none"/>
          <w:u w:val="single" w:color="auto"/>
        </w:rPr>
        <w:t>杜绝一般及以上突发环境事件，主要污染物</w:t>
      </w:r>
      <w:r>
        <w:rPr>
          <w:color w:val="auto"/>
          <w:spacing w:val="-1"/>
          <w:sz w:val="24"/>
          <w:szCs w:val="24"/>
          <w:highlight w:val="none"/>
          <w:u w:val="single" w:color="auto"/>
        </w:rPr>
        <w:t>稳定达标排放、固废（含危废）合法合规处置</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5"/>
        <w:textAlignment w:val="auto"/>
        <w:outlineLvl w:val="1"/>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7.</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工期和进度</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7.1</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施工组织设计</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2" w:firstLineChars="200"/>
        <w:textAlignment w:val="auto"/>
        <w:rPr>
          <w:color w:val="auto"/>
          <w:sz w:val="24"/>
          <w:szCs w:val="24"/>
          <w:highlight w:val="none"/>
        </w:rPr>
      </w:pPr>
      <w:r>
        <w:rPr>
          <w:color w:val="auto"/>
          <w:spacing w:val="-2"/>
          <w:sz w:val="24"/>
          <w:szCs w:val="24"/>
          <w:highlight w:val="none"/>
        </w:rPr>
        <w:t>7.1.1 合同当事人约定的施工组织设</w:t>
      </w:r>
      <w:r>
        <w:rPr>
          <w:color w:val="auto"/>
          <w:spacing w:val="-3"/>
          <w:sz w:val="24"/>
          <w:szCs w:val="24"/>
          <w:highlight w:val="none"/>
        </w:rPr>
        <w:t>计应包括的其他内容：</w:t>
      </w:r>
      <w:r>
        <w:rPr>
          <w:color w:val="auto"/>
          <w:spacing w:val="-3"/>
          <w:sz w:val="24"/>
          <w:szCs w:val="24"/>
          <w:highlight w:val="none"/>
          <w:u w:val="single" w:color="auto"/>
        </w:rPr>
        <w:t xml:space="preserve"> 按招标文件约定，招标文件</w:t>
      </w:r>
      <w:r>
        <w:rPr>
          <w:color w:val="auto"/>
          <w:sz w:val="24"/>
          <w:szCs w:val="24"/>
          <w:highlight w:val="none"/>
          <w:u w:val="single" w:color="auto"/>
        </w:rPr>
        <w:t>无约定的按通用条款及《建筑施工组织设计规范》（GB5050</w:t>
      </w:r>
      <w:r>
        <w:rPr>
          <w:color w:val="auto"/>
          <w:spacing w:val="-1"/>
          <w:sz w:val="24"/>
          <w:szCs w:val="24"/>
          <w:highlight w:val="none"/>
          <w:u w:val="single" w:color="auto"/>
        </w:rPr>
        <w:t xml:space="preserve">2-2009）执行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1"/>
          <w:sz w:val="24"/>
          <w:szCs w:val="24"/>
          <w:highlight w:val="none"/>
        </w:rPr>
        <w:t>7.1.2 施工组织设计的提交和修改</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承包人提交详细施工组织设计的期限的约定：</w:t>
      </w:r>
      <w:r>
        <w:rPr>
          <w:color w:val="auto"/>
          <w:sz w:val="24"/>
          <w:szCs w:val="24"/>
          <w:highlight w:val="none"/>
          <w:u w:val="single" w:color="auto"/>
        </w:rPr>
        <w:t xml:space="preserve"> </w:t>
      </w:r>
      <w:r>
        <w:rPr>
          <w:color w:val="auto"/>
          <w:spacing w:val="-1"/>
          <w:sz w:val="24"/>
          <w:szCs w:val="24"/>
          <w:highlight w:val="none"/>
          <w:u w:val="single" w:color="auto"/>
        </w:rPr>
        <w:t xml:space="preserve">合同签订后14天内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sz w:val="24"/>
          <w:szCs w:val="24"/>
          <w:highlight w:val="none"/>
        </w:rPr>
        <w:t>发包人和监理人在收到详细的施工组织设计后确认或提出修改意见的期限：</w:t>
      </w:r>
      <w:r>
        <w:rPr>
          <w:color w:val="auto"/>
          <w:spacing w:val="-1"/>
          <w:sz w:val="24"/>
          <w:szCs w:val="24"/>
          <w:highlight w:val="none"/>
          <w:u w:val="single" w:color="auto"/>
        </w:rPr>
        <w:t>收到后</w:t>
      </w:r>
      <w:r>
        <w:rPr>
          <w:color w:val="auto"/>
          <w:spacing w:val="-37"/>
          <w:sz w:val="24"/>
          <w:szCs w:val="24"/>
          <w:highlight w:val="none"/>
          <w:u w:val="single" w:color="auto"/>
        </w:rPr>
        <w:t xml:space="preserve"> </w:t>
      </w:r>
      <w:r>
        <w:rPr>
          <w:color w:val="auto"/>
          <w:spacing w:val="-1"/>
          <w:sz w:val="24"/>
          <w:szCs w:val="24"/>
          <w:highlight w:val="none"/>
          <w:u w:val="single" w:color="auto"/>
        </w:rPr>
        <w:t>7</w:t>
      </w:r>
      <w:r>
        <w:rPr>
          <w:color w:val="auto"/>
          <w:spacing w:val="-46"/>
          <w:sz w:val="24"/>
          <w:szCs w:val="24"/>
          <w:highlight w:val="none"/>
          <w:u w:val="single" w:color="auto"/>
        </w:rPr>
        <w:t xml:space="preserve"> </w:t>
      </w:r>
      <w:r>
        <w:rPr>
          <w:color w:val="auto"/>
          <w:spacing w:val="-1"/>
          <w:sz w:val="24"/>
          <w:szCs w:val="24"/>
          <w:highlight w:val="none"/>
          <w:u w:val="single" w:color="auto"/>
        </w:rPr>
        <w:t>天</w:t>
      </w:r>
      <w:r>
        <w:rPr>
          <w:color w:val="auto"/>
          <w:spacing w:val="-20"/>
          <w:sz w:val="24"/>
          <w:szCs w:val="24"/>
          <w:highlight w:val="none"/>
          <w:u w:val="single" w:color="auto"/>
        </w:rPr>
        <w:t>内</w:t>
      </w:r>
      <w:r>
        <w:rPr>
          <w:color w:val="auto"/>
          <w:sz w:val="24"/>
          <w:szCs w:val="24"/>
          <w:highlight w:val="none"/>
          <w:u w:val="single" w:color="auto"/>
        </w:rPr>
        <w:t xml:space="preserve"> </w:t>
      </w:r>
      <w:r>
        <w:rPr>
          <w:color w:val="auto"/>
          <w:spacing w:val="-20"/>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7.2</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施工进度计划</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2"/>
          <w:sz w:val="24"/>
          <w:szCs w:val="24"/>
          <w:highlight w:val="none"/>
        </w:rPr>
        <w:t>7.2.2 施工进度计划的修订</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sz w:val="24"/>
          <w:szCs w:val="24"/>
          <w:highlight w:val="none"/>
        </w:rPr>
        <w:t>发包人和监理人在收到修订的施工进度计划后确认或提出修改意见的期限：</w:t>
      </w:r>
      <w:r>
        <w:rPr>
          <w:color w:val="auto"/>
          <w:spacing w:val="-1"/>
          <w:sz w:val="24"/>
          <w:szCs w:val="24"/>
          <w:highlight w:val="none"/>
          <w:u w:val="single" w:color="auto"/>
        </w:rPr>
        <w:t xml:space="preserve"> 收到后</w:t>
      </w:r>
      <w:r>
        <w:rPr>
          <w:color w:val="auto"/>
          <w:spacing w:val="-36"/>
          <w:sz w:val="24"/>
          <w:szCs w:val="24"/>
          <w:highlight w:val="none"/>
          <w:u w:val="single" w:color="auto"/>
        </w:rPr>
        <w:t xml:space="preserve"> </w:t>
      </w:r>
      <w:r>
        <w:rPr>
          <w:color w:val="auto"/>
          <w:spacing w:val="-1"/>
          <w:sz w:val="24"/>
          <w:szCs w:val="24"/>
          <w:highlight w:val="none"/>
          <w:u w:val="single" w:color="auto"/>
        </w:rPr>
        <w:t>7</w:t>
      </w:r>
      <w:r>
        <w:rPr>
          <w:color w:val="auto"/>
          <w:spacing w:val="-46"/>
          <w:sz w:val="24"/>
          <w:szCs w:val="24"/>
          <w:highlight w:val="none"/>
          <w:u w:val="single" w:color="auto"/>
        </w:rPr>
        <w:t xml:space="preserve"> </w:t>
      </w:r>
      <w:r>
        <w:rPr>
          <w:color w:val="auto"/>
          <w:spacing w:val="-1"/>
          <w:sz w:val="24"/>
          <w:szCs w:val="24"/>
          <w:highlight w:val="none"/>
          <w:u w:val="single" w:color="auto"/>
        </w:rPr>
        <w:t>天</w:t>
      </w:r>
      <w:r>
        <w:rPr>
          <w:color w:val="auto"/>
          <w:spacing w:val="-20"/>
          <w:sz w:val="24"/>
          <w:szCs w:val="24"/>
          <w:highlight w:val="none"/>
          <w:u w:val="single" w:color="auto"/>
        </w:rPr>
        <w:t>内</w:t>
      </w:r>
      <w:r>
        <w:rPr>
          <w:color w:val="auto"/>
          <w:sz w:val="24"/>
          <w:szCs w:val="24"/>
          <w:highlight w:val="none"/>
          <w:u w:val="single" w:color="auto"/>
        </w:rPr>
        <w:t xml:space="preserve">     </w:t>
      </w:r>
      <w:r>
        <w:rPr>
          <w:color w:val="auto"/>
          <w:spacing w:val="-20"/>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7.3</w:t>
      </w:r>
      <w:r>
        <w:rPr>
          <w:color w:val="auto"/>
          <w:spacing w:val="11"/>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开工</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2"/>
          <w:sz w:val="24"/>
          <w:szCs w:val="24"/>
          <w:highlight w:val="none"/>
        </w:rPr>
        <w:t>7.3.1 开工准备</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2" w:firstLineChars="200"/>
        <w:textAlignment w:val="auto"/>
        <w:rPr>
          <w:color w:val="auto"/>
          <w:sz w:val="24"/>
          <w:szCs w:val="24"/>
          <w:highlight w:val="none"/>
        </w:rPr>
      </w:pPr>
      <w:r>
        <w:rPr>
          <w:color w:val="auto"/>
          <w:spacing w:val="-2"/>
          <w:sz w:val="24"/>
          <w:szCs w:val="24"/>
          <w:highlight w:val="none"/>
        </w:rPr>
        <w:t>关于承包人提交工程开工报审表的期限：</w:t>
      </w:r>
      <w:r>
        <w:rPr>
          <w:color w:val="auto"/>
          <w:spacing w:val="-2"/>
          <w:sz w:val="24"/>
          <w:szCs w:val="24"/>
          <w:highlight w:val="none"/>
          <w:u w:val="single" w:color="auto"/>
        </w:rPr>
        <w:t xml:space="preserve">  合同签订后</w:t>
      </w:r>
      <w:r>
        <w:rPr>
          <w:color w:val="auto"/>
          <w:spacing w:val="-25"/>
          <w:sz w:val="24"/>
          <w:szCs w:val="24"/>
          <w:highlight w:val="none"/>
          <w:u w:val="single" w:color="auto"/>
        </w:rPr>
        <w:t xml:space="preserve"> </w:t>
      </w:r>
      <w:r>
        <w:rPr>
          <w:color w:val="auto"/>
          <w:spacing w:val="-2"/>
          <w:sz w:val="24"/>
          <w:szCs w:val="24"/>
          <w:highlight w:val="none"/>
          <w:u w:val="single" w:color="auto"/>
        </w:rPr>
        <w:t>14</w:t>
      </w:r>
      <w:r>
        <w:rPr>
          <w:color w:val="auto"/>
          <w:spacing w:val="-46"/>
          <w:sz w:val="24"/>
          <w:szCs w:val="24"/>
          <w:highlight w:val="none"/>
          <w:u w:val="single" w:color="auto"/>
        </w:rPr>
        <w:t xml:space="preserve"> </w:t>
      </w:r>
      <w:r>
        <w:rPr>
          <w:color w:val="auto"/>
          <w:spacing w:val="-2"/>
          <w:sz w:val="24"/>
          <w:szCs w:val="24"/>
          <w:highlight w:val="none"/>
          <w:u w:val="single" w:color="auto"/>
        </w:rPr>
        <w:t xml:space="preserve">天内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关于发包人应完成的其他开工准备工作及期限：</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关于承包人应完成的其他开工准备工作及期限：</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3"/>
          <w:sz w:val="24"/>
          <w:szCs w:val="24"/>
          <w:highlight w:val="none"/>
        </w:rPr>
        <w:t>7.3.2</w:t>
      </w:r>
      <w:r>
        <w:rPr>
          <w:color w:val="auto"/>
          <w:spacing w:val="-50"/>
          <w:sz w:val="24"/>
          <w:szCs w:val="24"/>
          <w:highlight w:val="none"/>
        </w:rPr>
        <w:t xml:space="preserve"> </w:t>
      </w:r>
      <w:r>
        <w:rPr>
          <w:color w:val="auto"/>
          <w:spacing w:val="-3"/>
          <w:sz w:val="24"/>
          <w:szCs w:val="24"/>
          <w:highlight w:val="none"/>
        </w:rPr>
        <w:t>开工通知</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rPr>
        <w:t>因发包人原因造成监理人未能在计划开工日期之日起</w:t>
      </w:r>
      <w:r>
        <w:rPr>
          <w:color w:val="auto"/>
          <w:spacing w:val="-3"/>
          <w:sz w:val="24"/>
          <w:szCs w:val="24"/>
          <w:highlight w:val="none"/>
          <w:u w:val="single" w:color="auto"/>
        </w:rPr>
        <w:t xml:space="preserve">  90  </w:t>
      </w:r>
      <w:r>
        <w:rPr>
          <w:color w:val="auto"/>
          <w:spacing w:val="-106"/>
          <w:sz w:val="24"/>
          <w:szCs w:val="24"/>
          <w:highlight w:val="none"/>
        </w:rPr>
        <w:t xml:space="preserve"> </w:t>
      </w:r>
      <w:r>
        <w:rPr>
          <w:color w:val="auto"/>
          <w:spacing w:val="-3"/>
          <w:sz w:val="24"/>
          <w:szCs w:val="24"/>
          <w:highlight w:val="none"/>
        </w:rPr>
        <w:t>天内</w:t>
      </w:r>
      <w:r>
        <w:rPr>
          <w:color w:val="auto"/>
          <w:spacing w:val="-4"/>
          <w:sz w:val="24"/>
          <w:szCs w:val="24"/>
          <w:highlight w:val="none"/>
        </w:rPr>
        <w:t>发出开工通知的，承包人</w:t>
      </w:r>
      <w:r>
        <w:rPr>
          <w:color w:val="auto"/>
          <w:spacing w:val="-1"/>
          <w:sz w:val="24"/>
          <w:szCs w:val="24"/>
          <w:highlight w:val="none"/>
        </w:rPr>
        <w:t>有权提出价格调整要求，或者解除合同。</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7.4</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测量放线</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rFonts w:eastAsia="宋体"/>
          <w:color w:val="auto"/>
          <w:spacing w:val="-1"/>
          <w:sz w:val="24"/>
          <w:szCs w:val="24"/>
          <w:highlight w:val="none"/>
        </w:rPr>
      </w:pPr>
      <w:r>
        <w:rPr>
          <w:rFonts w:eastAsia="宋体"/>
          <w:color w:val="auto"/>
          <w:spacing w:val="-1"/>
          <w:sz w:val="24"/>
          <w:szCs w:val="24"/>
          <w:highlight w:val="none"/>
        </w:rPr>
        <w:t>7.4.1 发包人通过监理人向承包人提供测量基准点、基准线和水准点及其书面资料的期限：</w:t>
      </w:r>
      <w:r>
        <w:rPr>
          <w:rFonts w:eastAsia="宋体"/>
          <w:color w:val="auto"/>
          <w:spacing w:val="-1"/>
          <w:sz w:val="24"/>
          <w:szCs w:val="24"/>
          <w:highlight w:val="none"/>
          <w:u w:val="single"/>
        </w:rPr>
        <w:t xml:space="preserve">/           </w:t>
      </w:r>
      <w:r>
        <w:rPr>
          <w:rFonts w:eastAsia="宋体"/>
          <w:color w:val="auto"/>
          <w:spacing w:val="-1"/>
          <w:sz w:val="24"/>
          <w:szCs w:val="24"/>
          <w:highlight w:val="none"/>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4"/>
          <w:sz w:val="24"/>
          <w:szCs w:val="24"/>
          <w:highlight w:val="none"/>
          <w14:textOutline w14:w="4358" w14:cap="sq" w14:cmpd="sng">
            <w14:solidFill>
              <w14:srgbClr w14:val="000000"/>
            </w14:solidFill>
            <w14:prstDash w14:val="solid"/>
            <w14:bevel/>
          </w14:textOutline>
        </w:rPr>
        <w:t>7.5</w:t>
      </w:r>
      <w:r>
        <w:rPr>
          <w:color w:val="auto"/>
          <w:spacing w:val="16"/>
          <w:sz w:val="24"/>
          <w:szCs w:val="24"/>
          <w:highlight w:val="none"/>
        </w:rPr>
        <w:t xml:space="preserve"> </w:t>
      </w:r>
      <w:r>
        <w:rPr>
          <w:color w:val="auto"/>
          <w:spacing w:val="-4"/>
          <w:sz w:val="24"/>
          <w:szCs w:val="24"/>
          <w:highlight w:val="none"/>
          <w14:textOutline w14:w="4358" w14:cap="sq" w14:cmpd="sng">
            <w14:solidFill>
              <w14:srgbClr w14:val="000000"/>
            </w14:solidFill>
            <w14:prstDash w14:val="solid"/>
            <w14:bevel/>
          </w14:textOutline>
        </w:rPr>
        <w:t>工期延误</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rFonts w:ascii="Arial"/>
          <w:color w:val="auto"/>
          <w:sz w:val="21"/>
          <w:highlight w:val="none"/>
        </w:rPr>
      </w:pPr>
      <w:r>
        <w:rPr>
          <w:color w:val="auto"/>
          <w:spacing w:val="-1"/>
          <w:sz w:val="24"/>
          <w:szCs w:val="24"/>
          <w:highlight w:val="none"/>
        </w:rPr>
        <w:t>7.5.1 因发包人原因导致工期延误</w:t>
      </w:r>
    </w:p>
    <w:p>
      <w:pPr>
        <w:pStyle w:val="11"/>
        <w:keepNext w:val="0"/>
        <w:keepLines w:val="0"/>
        <w:pageBreakBefore w:val="0"/>
        <w:widowControl w:val="0"/>
        <w:kinsoku/>
        <w:wordWrap/>
        <w:overflowPunct/>
        <w:topLinePunct w:val="0"/>
        <w:autoSpaceDE/>
        <w:autoSpaceDN/>
        <w:bidi w:val="0"/>
        <w:adjustRightInd/>
        <w:snapToGrid/>
        <w:spacing w:after="0" w:line="360" w:lineRule="auto"/>
        <w:ind w:left="11" w:right="20" w:firstLine="489"/>
        <w:jc w:val="both"/>
        <w:textAlignment w:val="auto"/>
        <w:rPr>
          <w:color w:val="auto"/>
          <w:sz w:val="24"/>
          <w:szCs w:val="24"/>
          <w:highlight w:val="none"/>
        </w:rPr>
      </w:pPr>
      <w:r>
        <w:rPr>
          <w:color w:val="auto"/>
          <w:spacing w:val="-3"/>
          <w:sz w:val="24"/>
          <w:szCs w:val="24"/>
          <w:highlight w:val="none"/>
        </w:rPr>
        <w:t>（7）因发包人原因导致工期延误的其他情形：</w:t>
      </w:r>
      <w:r>
        <w:rPr>
          <w:color w:val="auto"/>
          <w:spacing w:val="-3"/>
          <w:sz w:val="24"/>
          <w:szCs w:val="24"/>
          <w:highlight w:val="none"/>
          <w:u w:val="single" w:color="auto"/>
        </w:rPr>
        <w:t xml:space="preserve">  1）重大设计变更而影响施工进度关键线</w:t>
      </w:r>
      <w:r>
        <w:rPr>
          <w:color w:val="auto"/>
          <w:spacing w:val="-1"/>
          <w:sz w:val="24"/>
          <w:szCs w:val="24"/>
          <w:highlight w:val="none"/>
          <w:u w:val="single" w:color="auto"/>
        </w:rPr>
        <w:t>路的；2）不可抗力。以上原因造成的工期延误须在发生后</w:t>
      </w:r>
      <w:r>
        <w:rPr>
          <w:color w:val="auto"/>
          <w:spacing w:val="-45"/>
          <w:sz w:val="24"/>
          <w:szCs w:val="24"/>
          <w:highlight w:val="none"/>
          <w:u w:val="single" w:color="auto"/>
        </w:rPr>
        <w:t xml:space="preserve"> </w:t>
      </w:r>
      <w:r>
        <w:rPr>
          <w:color w:val="auto"/>
          <w:spacing w:val="-1"/>
          <w:sz w:val="24"/>
          <w:szCs w:val="24"/>
          <w:highlight w:val="none"/>
          <w:u w:val="single" w:color="auto"/>
        </w:rPr>
        <w:t>7</w:t>
      </w:r>
      <w:r>
        <w:rPr>
          <w:color w:val="auto"/>
          <w:spacing w:val="-46"/>
          <w:sz w:val="24"/>
          <w:szCs w:val="24"/>
          <w:highlight w:val="none"/>
          <w:u w:val="single" w:color="auto"/>
        </w:rPr>
        <w:t xml:space="preserve"> </w:t>
      </w:r>
      <w:r>
        <w:rPr>
          <w:color w:val="auto"/>
          <w:spacing w:val="-1"/>
          <w:sz w:val="24"/>
          <w:szCs w:val="24"/>
          <w:highlight w:val="none"/>
          <w:u w:val="single" w:color="auto"/>
        </w:rPr>
        <w:t>天内办理延期申请，逾期不予认</w:t>
      </w:r>
      <w:r>
        <w:rPr>
          <w:color w:val="auto"/>
          <w:spacing w:val="-6"/>
          <w:sz w:val="24"/>
          <w:szCs w:val="24"/>
          <w:highlight w:val="none"/>
          <w:u w:val="single" w:color="auto"/>
        </w:rPr>
        <w:t>可</w:t>
      </w:r>
      <w:r>
        <w:rPr>
          <w:color w:val="auto"/>
          <w:sz w:val="24"/>
          <w:szCs w:val="24"/>
          <w:highlight w:val="none"/>
          <w:u w:val="single" w:color="auto"/>
        </w:rPr>
        <w:t xml:space="preserve">     </w:t>
      </w:r>
      <w:r>
        <w:rPr>
          <w:color w:val="auto"/>
          <w:spacing w:val="-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1"/>
          <w:sz w:val="24"/>
          <w:szCs w:val="24"/>
          <w:highlight w:val="none"/>
        </w:rPr>
        <w:t>7.5.2 因承包人原因导致工期延误</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jc w:val="left"/>
        <w:textAlignment w:val="auto"/>
        <w:rPr>
          <w:color w:val="auto"/>
          <w:sz w:val="24"/>
          <w:szCs w:val="24"/>
          <w:highlight w:val="none"/>
        </w:rPr>
      </w:pPr>
      <w:r>
        <w:rPr>
          <w:color w:val="auto"/>
          <w:spacing w:val="-4"/>
          <w:sz w:val="24"/>
          <w:szCs w:val="24"/>
          <w:highlight w:val="none"/>
        </w:rPr>
        <w:t>因承包人原因造成工期延误，逾期竣工违约金的计算方法为：</w:t>
      </w:r>
      <w:r>
        <w:rPr>
          <w:color w:val="auto"/>
          <w:spacing w:val="-4"/>
          <w:sz w:val="24"/>
          <w:szCs w:val="24"/>
          <w:highlight w:val="none"/>
          <w:u w:val="single" w:color="auto"/>
        </w:rPr>
        <w:t>按</w:t>
      </w:r>
      <w:r>
        <w:rPr>
          <w:color w:val="auto"/>
          <w:spacing w:val="-30"/>
          <w:sz w:val="24"/>
          <w:szCs w:val="24"/>
          <w:highlight w:val="none"/>
          <w:u w:val="single" w:color="auto"/>
        </w:rPr>
        <w:t xml:space="preserve"> </w:t>
      </w:r>
      <w:r>
        <w:rPr>
          <w:color w:val="auto"/>
          <w:spacing w:val="-4"/>
          <w:sz w:val="24"/>
          <w:szCs w:val="24"/>
          <w:highlight w:val="none"/>
          <w:u w:val="single" w:color="auto"/>
        </w:rPr>
        <w:t>5000</w:t>
      </w:r>
      <w:r>
        <w:rPr>
          <w:color w:val="auto"/>
          <w:spacing w:val="-49"/>
          <w:sz w:val="24"/>
          <w:szCs w:val="24"/>
          <w:highlight w:val="none"/>
          <w:u w:val="single" w:color="auto"/>
        </w:rPr>
        <w:t xml:space="preserve"> </w:t>
      </w:r>
      <w:r>
        <w:rPr>
          <w:color w:val="auto"/>
          <w:spacing w:val="-4"/>
          <w:sz w:val="24"/>
          <w:szCs w:val="24"/>
          <w:highlight w:val="none"/>
          <w:u w:val="single" w:color="auto"/>
        </w:rPr>
        <w:t>元/天向发包人支付</w:t>
      </w:r>
      <w:r>
        <w:rPr>
          <w:color w:val="auto"/>
          <w:spacing w:val="-2"/>
          <w:sz w:val="24"/>
          <w:szCs w:val="24"/>
          <w:highlight w:val="none"/>
          <w:u w:val="single" w:color="auto"/>
        </w:rPr>
        <w:t xml:space="preserve">违约金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right="20" w:firstLine="480"/>
        <w:textAlignment w:val="auto"/>
        <w:rPr>
          <w:color w:val="auto"/>
          <w:sz w:val="24"/>
          <w:szCs w:val="24"/>
          <w:highlight w:val="none"/>
        </w:rPr>
      </w:pPr>
      <w:r>
        <w:rPr>
          <w:color w:val="auto"/>
          <w:spacing w:val="-1"/>
          <w:sz w:val="24"/>
          <w:szCs w:val="24"/>
          <w:highlight w:val="none"/>
        </w:rPr>
        <w:t>因承包人原因造成工期延误，逾期竣工违约金的上限：</w:t>
      </w:r>
      <w:r>
        <w:rPr>
          <w:color w:val="auto"/>
          <w:spacing w:val="-1"/>
          <w:sz w:val="24"/>
          <w:szCs w:val="24"/>
          <w:highlight w:val="none"/>
          <w:u w:val="single" w:color="auto"/>
        </w:rPr>
        <w:t xml:space="preserve">  超过限额或单次拖延施工进度</w:t>
      </w:r>
      <w:r>
        <w:rPr>
          <w:color w:val="auto"/>
          <w:spacing w:val="-2"/>
          <w:sz w:val="24"/>
          <w:szCs w:val="24"/>
          <w:highlight w:val="none"/>
          <w:u w:val="single" w:color="auto"/>
        </w:rPr>
        <w:t>10</w:t>
      </w:r>
      <w:r>
        <w:rPr>
          <w:color w:val="auto"/>
          <w:spacing w:val="-46"/>
          <w:sz w:val="24"/>
          <w:szCs w:val="24"/>
          <w:highlight w:val="none"/>
          <w:u w:val="single" w:color="auto"/>
        </w:rPr>
        <w:t xml:space="preserve"> </w:t>
      </w:r>
      <w:r>
        <w:rPr>
          <w:color w:val="auto"/>
          <w:spacing w:val="-2"/>
          <w:sz w:val="24"/>
          <w:szCs w:val="24"/>
          <w:highlight w:val="none"/>
          <w:u w:val="single" w:color="auto"/>
        </w:rPr>
        <w:t>天以上、累计拖延施工进度</w:t>
      </w:r>
      <w:r>
        <w:rPr>
          <w:color w:val="auto"/>
          <w:spacing w:val="-45"/>
          <w:sz w:val="24"/>
          <w:szCs w:val="24"/>
          <w:highlight w:val="none"/>
          <w:u w:val="single" w:color="auto"/>
        </w:rPr>
        <w:t xml:space="preserve"> </w:t>
      </w:r>
      <w:r>
        <w:rPr>
          <w:color w:val="auto"/>
          <w:spacing w:val="-2"/>
          <w:sz w:val="24"/>
          <w:szCs w:val="24"/>
          <w:highlight w:val="none"/>
          <w:u w:val="single" w:color="auto"/>
        </w:rPr>
        <w:t>30</w:t>
      </w:r>
      <w:r>
        <w:rPr>
          <w:color w:val="auto"/>
          <w:spacing w:val="-46"/>
          <w:sz w:val="24"/>
          <w:szCs w:val="24"/>
          <w:highlight w:val="none"/>
          <w:u w:val="single" w:color="auto"/>
        </w:rPr>
        <w:t xml:space="preserve"> </w:t>
      </w:r>
      <w:r>
        <w:rPr>
          <w:color w:val="auto"/>
          <w:spacing w:val="-2"/>
          <w:sz w:val="24"/>
          <w:szCs w:val="24"/>
          <w:highlight w:val="none"/>
          <w:u w:val="single" w:color="auto"/>
        </w:rPr>
        <w:t>天以上时，</w:t>
      </w:r>
      <w:r>
        <w:rPr>
          <w:color w:val="auto"/>
          <w:spacing w:val="-3"/>
          <w:sz w:val="24"/>
          <w:szCs w:val="24"/>
          <w:highlight w:val="none"/>
          <w:u w:val="single" w:color="auto"/>
        </w:rPr>
        <w:t>发包人有权委托第三方进行施工，费用由承包人</w:t>
      </w:r>
      <w:r>
        <w:rPr>
          <w:color w:val="auto"/>
          <w:spacing w:val="-4"/>
          <w:sz w:val="24"/>
          <w:szCs w:val="24"/>
          <w:highlight w:val="none"/>
          <w:u w:val="single" w:color="auto"/>
        </w:rPr>
        <w:t xml:space="preserve">的进度款支付  </w:t>
      </w:r>
      <w:r>
        <w:rPr>
          <w:color w:val="auto"/>
          <w:spacing w:val="-4"/>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7.6</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不利物质条件</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不利物质条件的其他情形和有关约定：</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7.7</w:t>
      </w:r>
      <w:r>
        <w:rPr>
          <w:color w:val="auto"/>
          <w:spacing w:val="-43"/>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异常恶劣的气候条件</w:t>
      </w:r>
    </w:p>
    <w:p>
      <w:pPr>
        <w:pStyle w:val="11"/>
        <w:keepNext w:val="0"/>
        <w:keepLines w:val="0"/>
        <w:pageBreakBefore w:val="0"/>
        <w:widowControl w:val="0"/>
        <w:kinsoku/>
        <w:wordWrap/>
        <w:overflowPunct/>
        <w:topLinePunct w:val="0"/>
        <w:autoSpaceDE/>
        <w:autoSpaceDN/>
        <w:bidi w:val="0"/>
        <w:adjustRightInd/>
        <w:snapToGrid/>
        <w:spacing w:line="360" w:lineRule="auto"/>
        <w:ind w:left="493"/>
        <w:textAlignment w:val="auto"/>
        <w:rPr>
          <w:color w:val="auto"/>
          <w:sz w:val="24"/>
          <w:szCs w:val="24"/>
          <w:highlight w:val="none"/>
        </w:rPr>
      </w:pPr>
      <w:r>
        <w:rPr>
          <w:color w:val="auto"/>
          <w:spacing w:val="-1"/>
          <w:position w:val="17"/>
          <w:sz w:val="24"/>
          <w:szCs w:val="24"/>
          <w:highlight w:val="none"/>
        </w:rPr>
        <w:t>发包人和承包人同意以下情形视为异常恶劣的气候条件：</w:t>
      </w:r>
    </w:p>
    <w:p>
      <w:pPr>
        <w:pStyle w:val="11"/>
        <w:keepNext w:val="0"/>
        <w:keepLines w:val="0"/>
        <w:pageBreakBefore w:val="0"/>
        <w:widowControl w:val="0"/>
        <w:kinsoku/>
        <w:wordWrap/>
        <w:overflowPunct/>
        <w:topLinePunct w:val="0"/>
        <w:autoSpaceDE/>
        <w:autoSpaceDN/>
        <w:bidi w:val="0"/>
        <w:adjustRightInd/>
        <w:snapToGrid/>
        <w:spacing w:line="360" w:lineRule="auto"/>
        <w:ind w:left="500"/>
        <w:textAlignment w:val="auto"/>
        <w:rPr>
          <w:color w:val="auto"/>
          <w:sz w:val="24"/>
          <w:szCs w:val="24"/>
          <w:highlight w:val="none"/>
        </w:rPr>
      </w:pPr>
      <w:r>
        <w:rPr>
          <w:color w:val="auto"/>
          <w:spacing w:val="-5"/>
          <w:sz w:val="24"/>
          <w:szCs w:val="24"/>
          <w:highlight w:val="none"/>
        </w:rPr>
        <w:t>（1）</w:t>
      </w:r>
      <w:r>
        <w:rPr>
          <w:color w:val="auto"/>
          <w:spacing w:val="1"/>
          <w:sz w:val="24"/>
          <w:szCs w:val="24"/>
          <w:highlight w:val="none"/>
          <w:u w:val="single" w:color="auto"/>
        </w:rPr>
        <w:t xml:space="preserve">              </w:t>
      </w:r>
      <w:r>
        <w:rPr>
          <w:color w:val="auto"/>
          <w:spacing w:val="-5"/>
          <w:sz w:val="24"/>
          <w:szCs w:val="24"/>
          <w:highlight w:val="none"/>
          <w:u w:val="single" w:color="auto"/>
        </w:rPr>
        <w:t>另行协商</w:t>
      </w:r>
      <w:r>
        <w:rPr>
          <w:color w:val="auto"/>
          <w:sz w:val="24"/>
          <w:szCs w:val="24"/>
          <w:highlight w:val="none"/>
          <w:u w:val="single" w:color="auto"/>
        </w:rPr>
        <w:t xml:space="preserve">             </w:t>
      </w:r>
      <w:r>
        <w:rPr>
          <w:color w:val="auto"/>
          <w:spacing w:val="-5"/>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00"/>
        <w:textAlignment w:val="auto"/>
        <w:rPr>
          <w:color w:val="auto"/>
          <w:sz w:val="24"/>
          <w:szCs w:val="24"/>
          <w:highlight w:val="none"/>
        </w:rPr>
      </w:pPr>
      <w:r>
        <w:rPr>
          <w:color w:val="auto"/>
          <w:spacing w:val="-11"/>
          <w:sz w:val="24"/>
          <w:szCs w:val="24"/>
          <w:highlight w:val="none"/>
        </w:rPr>
        <w:t>（2</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00"/>
        <w:textAlignment w:val="auto"/>
        <w:rPr>
          <w:color w:val="auto"/>
          <w:sz w:val="24"/>
          <w:szCs w:val="24"/>
          <w:highlight w:val="none"/>
        </w:rPr>
      </w:pPr>
      <w:r>
        <w:rPr>
          <w:color w:val="auto"/>
          <w:spacing w:val="-3"/>
          <w:sz w:val="24"/>
          <w:szCs w:val="24"/>
          <w:highlight w:val="none"/>
        </w:rPr>
        <w:t>（3）</w:t>
      </w:r>
      <w:r>
        <w:rPr>
          <w:color w:val="auto"/>
          <w:spacing w:val="-3"/>
          <w:sz w:val="24"/>
          <w:szCs w:val="24"/>
          <w:highlight w:val="none"/>
          <w:u w:val="single" w:color="auto"/>
        </w:rPr>
        <w:t xml:space="preserve">                                            </w:t>
      </w:r>
      <w:r>
        <w:rPr>
          <w:color w:val="auto"/>
          <w:spacing w:val="-3"/>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495"/>
        <w:textAlignment w:val="auto"/>
        <w:outlineLvl w:val="0"/>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7.9</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提前竣工的奖励</w:t>
      </w:r>
    </w:p>
    <w:p>
      <w:pPr>
        <w:pStyle w:val="11"/>
        <w:keepNext w:val="0"/>
        <w:keepLines w:val="0"/>
        <w:pageBreakBefore w:val="0"/>
        <w:widowControl w:val="0"/>
        <w:kinsoku/>
        <w:wordWrap/>
        <w:overflowPunct/>
        <w:topLinePunct w:val="0"/>
        <w:autoSpaceDE/>
        <w:autoSpaceDN/>
        <w:bidi w:val="0"/>
        <w:adjustRightInd/>
        <w:snapToGrid/>
        <w:spacing w:line="360" w:lineRule="auto"/>
        <w:ind w:left="495"/>
        <w:textAlignment w:val="auto"/>
        <w:rPr>
          <w:color w:val="auto"/>
          <w:sz w:val="24"/>
          <w:szCs w:val="24"/>
          <w:highlight w:val="none"/>
        </w:rPr>
      </w:pPr>
      <w:r>
        <w:rPr>
          <w:color w:val="auto"/>
          <w:spacing w:val="-1"/>
          <w:sz w:val="24"/>
          <w:szCs w:val="24"/>
          <w:highlight w:val="none"/>
        </w:rPr>
        <w:t>7.9.2</w:t>
      </w:r>
      <w:r>
        <w:rPr>
          <w:color w:val="auto"/>
          <w:spacing w:val="-37"/>
          <w:sz w:val="24"/>
          <w:szCs w:val="24"/>
          <w:highlight w:val="none"/>
        </w:rPr>
        <w:t xml:space="preserve"> </w:t>
      </w:r>
      <w:r>
        <w:rPr>
          <w:color w:val="auto"/>
          <w:spacing w:val="-1"/>
          <w:sz w:val="24"/>
          <w:szCs w:val="24"/>
          <w:highlight w:val="none"/>
        </w:rPr>
        <w:t>提前竣工的奖励：</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textAlignment w:val="auto"/>
        <w:outlineLvl w:val="1"/>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8.</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材料与设备</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8.4</w:t>
      </w:r>
      <w:r>
        <w:rPr>
          <w:color w:val="auto"/>
          <w:spacing w:val="-4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材料与工程设备的保管与使用</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rPr>
        <w:t>8.4.1</w:t>
      </w:r>
      <w:r>
        <w:rPr>
          <w:color w:val="auto"/>
          <w:spacing w:val="-38"/>
          <w:sz w:val="24"/>
          <w:szCs w:val="24"/>
          <w:highlight w:val="none"/>
        </w:rPr>
        <w:t xml:space="preserve"> </w:t>
      </w:r>
      <w:r>
        <w:rPr>
          <w:color w:val="auto"/>
          <w:spacing w:val="-1"/>
          <w:sz w:val="24"/>
          <w:szCs w:val="24"/>
          <w:highlight w:val="none"/>
        </w:rPr>
        <w:t>发包人供应的材料设备的保管费用的承担：</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outlineLvl w:val="0"/>
        <w:rPr>
          <w:color w:val="auto"/>
          <w:sz w:val="24"/>
          <w:szCs w:val="24"/>
          <w:highlight w:val="none"/>
        </w:rPr>
      </w:pPr>
      <w:r>
        <w:rPr>
          <w:color w:val="auto"/>
          <w:spacing w:val="-4"/>
          <w:sz w:val="24"/>
          <w:szCs w:val="24"/>
          <w:highlight w:val="none"/>
          <w14:textOutline w14:w="4358" w14:cap="sq" w14:cmpd="sng">
            <w14:solidFill>
              <w14:srgbClr w14:val="000000"/>
            </w14:solidFill>
            <w14:prstDash w14:val="solid"/>
            <w14:bevel/>
          </w14:textOutline>
        </w:rPr>
        <w:t>8.6</w:t>
      </w:r>
      <w:r>
        <w:rPr>
          <w:color w:val="auto"/>
          <w:spacing w:val="11"/>
          <w:sz w:val="24"/>
          <w:szCs w:val="24"/>
          <w:highlight w:val="none"/>
        </w:rPr>
        <w:t xml:space="preserve"> </w:t>
      </w:r>
      <w:r>
        <w:rPr>
          <w:color w:val="auto"/>
          <w:spacing w:val="-4"/>
          <w:sz w:val="24"/>
          <w:szCs w:val="24"/>
          <w:highlight w:val="none"/>
          <w14:textOutline w14:w="4358" w14:cap="sq" w14:cmpd="sng">
            <w14:solidFill>
              <w14:srgbClr w14:val="000000"/>
            </w14:solidFill>
            <w14:prstDash w14:val="solid"/>
            <w14:bevel/>
          </w14:textOutline>
        </w:rPr>
        <w:t>样品</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2"/>
          <w:sz w:val="24"/>
          <w:szCs w:val="24"/>
          <w:highlight w:val="none"/>
        </w:rPr>
        <w:t>8.6.1</w:t>
      </w:r>
      <w:r>
        <w:rPr>
          <w:color w:val="auto"/>
          <w:spacing w:val="74"/>
          <w:sz w:val="24"/>
          <w:szCs w:val="24"/>
          <w:highlight w:val="none"/>
        </w:rPr>
        <w:t xml:space="preserve"> </w:t>
      </w:r>
      <w:r>
        <w:rPr>
          <w:color w:val="auto"/>
          <w:spacing w:val="-2"/>
          <w:sz w:val="24"/>
          <w:szCs w:val="24"/>
          <w:highlight w:val="none"/>
        </w:rPr>
        <w:t>样品的报送与封存</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20" w:firstLine="493"/>
        <w:textAlignment w:val="auto"/>
        <w:rPr>
          <w:rFonts w:ascii="Arial"/>
          <w:color w:val="auto"/>
          <w:sz w:val="21"/>
          <w:highlight w:val="none"/>
        </w:rPr>
      </w:pPr>
      <w:r>
        <w:rPr>
          <w:color w:val="auto"/>
          <w:spacing w:val="-2"/>
          <w:sz w:val="24"/>
          <w:szCs w:val="24"/>
          <w:highlight w:val="none"/>
        </w:rPr>
        <w:t>需要承包人报送样品的材料或工程设备，样品的种类、名称、规格、数量要求</w:t>
      </w:r>
      <w:r>
        <w:rPr>
          <w:color w:val="auto"/>
          <w:spacing w:val="-16"/>
          <w:sz w:val="24"/>
          <w:szCs w:val="24"/>
          <w:highlight w:val="none"/>
        </w:rPr>
        <w:t>：</w:t>
      </w:r>
      <w:r>
        <w:rPr>
          <w:color w:val="auto"/>
          <w:spacing w:val="-14"/>
          <w:sz w:val="24"/>
          <w:szCs w:val="24"/>
          <w:highlight w:val="none"/>
          <w:u w:val="single" w:color="auto"/>
        </w:rPr>
        <w:t xml:space="preserve"> </w:t>
      </w:r>
      <w:r>
        <w:rPr>
          <w:color w:val="auto"/>
          <w:spacing w:val="-16"/>
          <w:sz w:val="24"/>
          <w:szCs w:val="24"/>
          <w:highlight w:val="none"/>
          <w:u w:val="single" w:color="auto"/>
        </w:rPr>
        <w:t>（</w:t>
      </w:r>
      <w:r>
        <w:rPr>
          <w:color w:val="auto"/>
          <w:spacing w:val="-2"/>
          <w:sz w:val="24"/>
          <w:szCs w:val="24"/>
          <w:highlight w:val="none"/>
          <w:u w:val="single" w:color="auto"/>
        </w:rPr>
        <w:t>1）对所有合同规定的由承包人自主采购的材料或</w:t>
      </w:r>
      <w:r>
        <w:rPr>
          <w:color w:val="auto"/>
          <w:spacing w:val="-3"/>
          <w:sz w:val="24"/>
          <w:szCs w:val="24"/>
          <w:highlight w:val="none"/>
          <w:u w:val="single" w:color="auto"/>
        </w:rPr>
        <w:t>设备，采购前承包人应将供应商的相关资料报送监</w:t>
      </w:r>
      <w:r>
        <w:rPr>
          <w:color w:val="auto"/>
          <w:spacing w:val="-2"/>
          <w:sz w:val="24"/>
          <w:szCs w:val="24"/>
          <w:highlight w:val="none"/>
          <w:u w:val="single" w:color="auto"/>
        </w:rPr>
        <w:t>理工程师和发包人审查，当监理工程师或发</w:t>
      </w:r>
      <w:r>
        <w:rPr>
          <w:color w:val="auto"/>
          <w:spacing w:val="-3"/>
          <w:sz w:val="24"/>
          <w:szCs w:val="24"/>
          <w:highlight w:val="none"/>
          <w:u w:val="single" w:color="auto"/>
        </w:rPr>
        <w:t>包人认为有必要对供应商进行实地考察时，承包人</w:t>
      </w:r>
      <w:r>
        <w:rPr>
          <w:color w:val="auto"/>
          <w:spacing w:val="1"/>
          <w:sz w:val="24"/>
          <w:szCs w:val="24"/>
          <w:highlight w:val="none"/>
          <w:u w:val="single" w:color="auto"/>
        </w:rPr>
        <w:t>应提供必要的协助及相关考察费用 ；</w:t>
      </w:r>
    </w:p>
    <w:p>
      <w:pPr>
        <w:pStyle w:val="11"/>
        <w:keepNext w:val="0"/>
        <w:keepLines w:val="0"/>
        <w:pageBreakBefore w:val="0"/>
        <w:widowControl w:val="0"/>
        <w:tabs>
          <w:tab w:val="left" w:pos="615"/>
        </w:tabs>
        <w:kinsoku/>
        <w:wordWrap/>
        <w:overflowPunct/>
        <w:topLinePunct w:val="0"/>
        <w:autoSpaceDE/>
        <w:autoSpaceDN/>
        <w:bidi w:val="0"/>
        <w:adjustRightInd/>
        <w:snapToGrid/>
        <w:spacing w:after="0" w:line="360" w:lineRule="auto"/>
        <w:ind w:left="10" w:right="20" w:firstLine="469"/>
        <w:jc w:val="both"/>
        <w:textAlignment w:val="auto"/>
        <w:rPr>
          <w:color w:val="auto"/>
          <w:sz w:val="24"/>
          <w:szCs w:val="24"/>
          <w:highlight w:val="none"/>
        </w:rPr>
      </w:pPr>
      <w:r>
        <w:rPr>
          <w:color w:val="auto"/>
          <w:sz w:val="24"/>
          <w:szCs w:val="24"/>
          <w:highlight w:val="none"/>
          <w:u w:val="single" w:color="auto"/>
        </w:rPr>
        <w:tab/>
      </w:r>
      <w:r>
        <w:rPr>
          <w:color w:val="auto"/>
          <w:spacing w:val="-3"/>
          <w:sz w:val="24"/>
          <w:szCs w:val="24"/>
          <w:highlight w:val="none"/>
          <w:u w:val="single" w:color="auto"/>
        </w:rPr>
        <w:t>（2）所有用于本工程的材料和设备进场以</w:t>
      </w:r>
      <w:r>
        <w:rPr>
          <w:color w:val="auto"/>
          <w:spacing w:val="-4"/>
          <w:sz w:val="24"/>
          <w:szCs w:val="24"/>
          <w:highlight w:val="none"/>
          <w:u w:val="single" w:color="auto"/>
        </w:rPr>
        <w:t>前，承包人必须向监理工程师提交生产厂商出</w:t>
      </w:r>
      <w:r>
        <w:rPr>
          <w:color w:val="auto"/>
          <w:spacing w:val="-3"/>
          <w:sz w:val="24"/>
          <w:szCs w:val="24"/>
          <w:highlight w:val="none"/>
          <w:u w:val="single" w:color="auto"/>
        </w:rPr>
        <w:t>具的生产许可证、质量合格证和检验报告，以证明该材料或设备质量符合本合同或技术规范的规定。在质量和性能均应符合国家标准和设计要求，并经发包方委托的监理工程师验收合格后</w:t>
      </w:r>
      <w:r>
        <w:rPr>
          <w:color w:val="auto"/>
          <w:sz w:val="24"/>
          <w:szCs w:val="24"/>
          <w:highlight w:val="none"/>
          <w:u w:val="single" w:color="auto"/>
        </w:rPr>
        <w:t>方能进场，供货还必须满足施工进度要求，否则发包人有权自行采购 ；</w:t>
      </w:r>
    </w:p>
    <w:p>
      <w:pPr>
        <w:pStyle w:val="11"/>
        <w:keepNext w:val="0"/>
        <w:keepLines w:val="0"/>
        <w:pageBreakBefore w:val="0"/>
        <w:widowControl w:val="0"/>
        <w:tabs>
          <w:tab w:val="left" w:pos="615"/>
        </w:tabs>
        <w:kinsoku/>
        <w:wordWrap/>
        <w:overflowPunct/>
        <w:topLinePunct w:val="0"/>
        <w:autoSpaceDE/>
        <w:autoSpaceDN/>
        <w:bidi w:val="0"/>
        <w:adjustRightInd/>
        <w:snapToGrid/>
        <w:spacing w:after="0" w:line="360" w:lineRule="auto"/>
        <w:ind w:left="9" w:right="20" w:firstLine="470"/>
        <w:jc w:val="both"/>
        <w:textAlignment w:val="auto"/>
        <w:rPr>
          <w:color w:val="auto"/>
          <w:sz w:val="24"/>
          <w:szCs w:val="24"/>
          <w:highlight w:val="none"/>
        </w:rPr>
      </w:pPr>
      <w:r>
        <w:rPr>
          <w:color w:val="auto"/>
          <w:sz w:val="24"/>
          <w:szCs w:val="24"/>
          <w:highlight w:val="none"/>
          <w:u w:val="single" w:color="auto"/>
        </w:rPr>
        <w:tab/>
      </w:r>
      <w:r>
        <w:rPr>
          <w:color w:val="auto"/>
          <w:spacing w:val="-3"/>
          <w:sz w:val="24"/>
          <w:szCs w:val="24"/>
          <w:highlight w:val="none"/>
          <w:u w:val="single" w:color="auto"/>
        </w:rPr>
        <w:t>（3）承包人应按监理工程师和发包人的指</w:t>
      </w:r>
      <w:r>
        <w:rPr>
          <w:color w:val="auto"/>
          <w:spacing w:val="-4"/>
          <w:sz w:val="24"/>
          <w:szCs w:val="24"/>
          <w:highlight w:val="none"/>
          <w:u w:val="single" w:color="auto"/>
        </w:rPr>
        <w:t>令随时配合对施工现场材料或设备的检验，并</w:t>
      </w:r>
      <w:r>
        <w:rPr>
          <w:color w:val="auto"/>
          <w:spacing w:val="-2"/>
          <w:sz w:val="24"/>
          <w:szCs w:val="24"/>
          <w:highlight w:val="none"/>
          <w:u w:val="single" w:color="auto"/>
        </w:rPr>
        <w:t>应为监理工程师对材料或设备的检验提供一</w:t>
      </w:r>
      <w:r>
        <w:rPr>
          <w:color w:val="auto"/>
          <w:spacing w:val="-3"/>
          <w:sz w:val="24"/>
          <w:szCs w:val="24"/>
          <w:highlight w:val="none"/>
          <w:u w:val="single" w:color="auto"/>
        </w:rPr>
        <w:t>切必要的协助，在材料用于工程之前，承包人应按</w:t>
      </w:r>
      <w:r>
        <w:rPr>
          <w:color w:val="auto"/>
          <w:sz w:val="24"/>
          <w:szCs w:val="24"/>
          <w:highlight w:val="none"/>
          <w:u w:val="single" w:color="auto"/>
        </w:rPr>
        <w:t>监理工程师的要求提供材料样品，材料应按先送检通过、后采</w:t>
      </w:r>
      <w:r>
        <w:rPr>
          <w:color w:val="auto"/>
          <w:spacing w:val="-1"/>
          <w:sz w:val="24"/>
          <w:szCs w:val="24"/>
          <w:highlight w:val="none"/>
          <w:u w:val="single" w:color="auto"/>
        </w:rPr>
        <w:t xml:space="preserve">用的原则进行使用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outlineLvl w:val="0"/>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8.8</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施工设备和临时设施</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rPr>
        <w:t>8.8.1 承包人提供的施工设备和临时设施</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关于修建临时设施费用承担的约定：</w:t>
      </w:r>
      <w:r>
        <w:rPr>
          <w:color w:val="auto"/>
          <w:sz w:val="24"/>
          <w:szCs w:val="24"/>
          <w:highlight w:val="none"/>
          <w:u w:val="single" w:color="auto"/>
        </w:rPr>
        <w:t xml:space="preserve">        执行</w:t>
      </w:r>
      <w:r>
        <w:rPr>
          <w:color w:val="auto"/>
          <w:spacing w:val="-1"/>
          <w:sz w:val="24"/>
          <w:szCs w:val="24"/>
          <w:highlight w:val="none"/>
          <w:u w:val="single" w:color="auto"/>
        </w:rPr>
        <w:t xml:space="preserve">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textAlignment w:val="auto"/>
        <w:outlineLvl w:val="1"/>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9.</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试验与检验</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9.1</w:t>
      </w:r>
      <w:r>
        <w:rPr>
          <w:color w:val="auto"/>
          <w:spacing w:val="-50"/>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试验设备与试验人员</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2"/>
          <w:sz w:val="24"/>
          <w:szCs w:val="24"/>
          <w:highlight w:val="none"/>
        </w:rPr>
        <w:t>9.1.2 试验设备</w:t>
      </w:r>
    </w:p>
    <w:p>
      <w:pPr>
        <w:pStyle w:val="11"/>
        <w:keepNext w:val="0"/>
        <w:keepLines w:val="0"/>
        <w:pageBreakBefore w:val="0"/>
        <w:widowControl w:val="0"/>
        <w:kinsoku/>
        <w:wordWrap/>
        <w:overflowPunct/>
        <w:topLinePunct w:val="0"/>
        <w:autoSpaceDE/>
        <w:autoSpaceDN/>
        <w:bidi w:val="0"/>
        <w:adjustRightInd/>
        <w:snapToGrid/>
        <w:spacing w:after="0" w:line="360" w:lineRule="auto"/>
        <w:ind w:right="20" w:firstLine="468" w:firstLineChars="200"/>
        <w:jc w:val="left"/>
        <w:textAlignment w:val="auto"/>
        <w:rPr>
          <w:color w:val="auto"/>
          <w:sz w:val="24"/>
          <w:szCs w:val="24"/>
          <w:highlight w:val="none"/>
        </w:rPr>
      </w:pPr>
      <w:r>
        <w:rPr>
          <w:color w:val="auto"/>
          <w:spacing w:val="-3"/>
          <w:sz w:val="24"/>
          <w:szCs w:val="24"/>
          <w:highlight w:val="none"/>
        </w:rPr>
        <w:t>施工现场需要配置的试验场所：</w:t>
      </w:r>
      <w:r>
        <w:rPr>
          <w:color w:val="auto"/>
          <w:spacing w:val="-3"/>
          <w:sz w:val="24"/>
          <w:szCs w:val="24"/>
          <w:highlight w:val="none"/>
          <w:u w:val="single" w:color="auto"/>
        </w:rPr>
        <w:t xml:space="preserve">  承包人在施工组织设计中明确，在开工前，向监理报验</w:t>
      </w:r>
      <w:r>
        <w:rPr>
          <w:color w:val="auto"/>
          <w:spacing w:val="-7"/>
          <w:sz w:val="24"/>
          <w:szCs w:val="24"/>
          <w:highlight w:val="none"/>
          <w:u w:val="single" w:color="auto"/>
        </w:rPr>
        <w:t>行</w:t>
      </w:r>
      <w:r>
        <w:rPr>
          <w:color w:val="auto"/>
          <w:sz w:val="24"/>
          <w:szCs w:val="24"/>
          <w:highlight w:val="none"/>
          <w:u w:val="single" w:color="auto"/>
        </w:rPr>
        <w:t xml:space="preserve">   </w:t>
      </w:r>
      <w:r>
        <w:rPr>
          <w:color w:val="auto"/>
          <w:spacing w:val="-7"/>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right="46" w:firstLine="480" w:firstLineChars="200"/>
        <w:jc w:val="left"/>
        <w:textAlignment w:val="auto"/>
        <w:rPr>
          <w:color w:val="auto"/>
          <w:sz w:val="24"/>
          <w:szCs w:val="24"/>
          <w:highlight w:val="none"/>
        </w:rPr>
      </w:pPr>
      <w:r>
        <w:rPr>
          <w:color w:val="auto"/>
          <w:sz w:val="24"/>
          <w:szCs w:val="24"/>
          <w:highlight w:val="none"/>
        </w:rPr>
        <w:t>施工现场需要配备的试验设备：</w:t>
      </w:r>
      <w:r>
        <w:rPr>
          <w:color w:val="auto"/>
          <w:sz w:val="24"/>
          <w:szCs w:val="24"/>
          <w:highlight w:val="none"/>
          <w:u w:val="single" w:color="auto"/>
        </w:rPr>
        <w:t xml:space="preserve"> 承包人在施工组织设计中明确，</w:t>
      </w:r>
      <w:r>
        <w:rPr>
          <w:color w:val="auto"/>
          <w:spacing w:val="-1"/>
          <w:sz w:val="24"/>
          <w:szCs w:val="24"/>
          <w:highlight w:val="none"/>
          <w:u w:val="single" w:color="auto"/>
        </w:rPr>
        <w:t>在开工前，向监理报验</w:t>
      </w:r>
      <w:r>
        <w:rPr>
          <w:color w:val="auto"/>
          <w:spacing w:val="-7"/>
          <w:sz w:val="24"/>
          <w:szCs w:val="24"/>
          <w:highlight w:val="none"/>
          <w:u w:val="single" w:color="auto"/>
        </w:rPr>
        <w:t>行</w:t>
      </w:r>
      <w:r>
        <w:rPr>
          <w:color w:val="auto"/>
          <w:sz w:val="24"/>
          <w:szCs w:val="24"/>
          <w:highlight w:val="none"/>
          <w:u w:val="single" w:color="auto"/>
        </w:rPr>
        <w:t xml:space="preserve">  </w:t>
      </w:r>
      <w:r>
        <w:rPr>
          <w:color w:val="auto"/>
          <w:spacing w:val="-7"/>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z w:val="24"/>
          <w:szCs w:val="24"/>
          <w:highlight w:val="none"/>
        </w:rPr>
        <w:t>施工现场需要具备的其他试验条件：</w:t>
      </w:r>
      <w:r>
        <w:rPr>
          <w:color w:val="auto"/>
          <w:sz w:val="24"/>
          <w:szCs w:val="24"/>
          <w:highlight w:val="none"/>
          <w:u w:val="single" w:color="auto"/>
        </w:rPr>
        <w:t xml:space="preserve">   按有</w:t>
      </w:r>
      <w:r>
        <w:rPr>
          <w:color w:val="auto"/>
          <w:spacing w:val="-1"/>
          <w:sz w:val="24"/>
          <w:szCs w:val="24"/>
          <w:highlight w:val="none"/>
          <w:u w:val="single" w:color="auto"/>
        </w:rPr>
        <w:t xml:space="preserve">关标准规范执行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outlineLvl w:val="0"/>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9.4</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现场工艺试验</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1"/>
        <w:textAlignment w:val="auto"/>
        <w:rPr>
          <w:color w:val="auto"/>
          <w:sz w:val="24"/>
          <w:szCs w:val="24"/>
          <w:highlight w:val="none"/>
        </w:rPr>
      </w:pPr>
      <w:r>
        <w:rPr>
          <w:color w:val="auto"/>
          <w:sz w:val="24"/>
          <w:szCs w:val="24"/>
          <w:highlight w:val="none"/>
        </w:rPr>
        <w:t>现场工艺试验的有关约定：</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color w:val="auto"/>
          <w:sz w:val="24"/>
          <w:szCs w:val="24"/>
          <w:highlight w:val="none"/>
        </w:rPr>
      </w:pPr>
      <w:r>
        <w:rPr>
          <w:color w:val="auto"/>
          <w:spacing w:val="-7"/>
          <w:sz w:val="24"/>
          <w:szCs w:val="24"/>
          <w:highlight w:val="none"/>
          <w14:textOutline w14:w="4358" w14:cap="sq" w14:cmpd="sng">
            <w14:solidFill>
              <w14:srgbClr w14:val="000000"/>
            </w14:solidFill>
            <w14:prstDash w14:val="solid"/>
            <w14:bevel/>
          </w14:textOutline>
        </w:rPr>
        <w:t>10.</w:t>
      </w:r>
      <w:r>
        <w:rPr>
          <w:color w:val="auto"/>
          <w:spacing w:val="9"/>
          <w:sz w:val="24"/>
          <w:szCs w:val="24"/>
          <w:highlight w:val="none"/>
        </w:rPr>
        <w:t xml:space="preserve"> </w:t>
      </w:r>
      <w:r>
        <w:rPr>
          <w:color w:val="auto"/>
          <w:spacing w:val="-7"/>
          <w:sz w:val="24"/>
          <w:szCs w:val="24"/>
          <w:highlight w:val="none"/>
          <w14:textOutline w14:w="4358" w14:cap="sq" w14:cmpd="sng">
            <w14:solidFill>
              <w14:srgbClr w14:val="000000"/>
            </w14:solidFill>
            <w14:prstDash w14:val="solid"/>
            <w14:bevel/>
          </w14:textOutline>
        </w:rPr>
        <w:t>变更</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14:textOutline w14:w="4358" w14:cap="sq" w14:cmpd="sng">
            <w14:solidFill>
              <w14:srgbClr w14:val="000000"/>
            </w14:solidFill>
            <w14:prstDash w14:val="solid"/>
            <w14:bevel/>
          </w14:textOutline>
        </w:rPr>
        <w:t>10.1</w:t>
      </w:r>
      <w:r>
        <w:rPr>
          <w:color w:val="auto"/>
          <w:spacing w:val="-54"/>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变更的范围</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关于变更的范围的约定：</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3"/>
          <w:sz w:val="24"/>
          <w:szCs w:val="24"/>
          <w:highlight w:val="none"/>
          <w14:textOutline w14:w="4358" w14:cap="sq" w14:cmpd="sng">
            <w14:solidFill>
              <w14:srgbClr w14:val="000000"/>
            </w14:solidFill>
            <w14:prstDash w14:val="solid"/>
            <w14:bevel/>
          </w14:textOutline>
        </w:rPr>
        <w:t>10.4</w:t>
      </w:r>
      <w:r>
        <w:rPr>
          <w:color w:val="auto"/>
          <w:spacing w:val="-3"/>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变更估价</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10.4.1 变更估价原则</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 xml:space="preserve">关于变更估价的约定: </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rFonts w:ascii="Arial"/>
          <w:color w:val="auto"/>
          <w:sz w:val="21"/>
          <w:highlight w:val="none"/>
        </w:rPr>
      </w:pPr>
      <w:r>
        <w:rPr>
          <w:color w:val="auto"/>
          <w:spacing w:val="-1"/>
          <w:sz w:val="24"/>
          <w:szCs w:val="24"/>
          <w:highlight w:val="none"/>
          <w14:textOutline w14:w="4358" w14:cap="sq" w14:cmpd="sng">
            <w14:solidFill>
              <w14:srgbClr w14:val="000000"/>
            </w14:solidFill>
            <w14:prstDash w14:val="solid"/>
            <w14:bevel/>
          </w14:textOutline>
        </w:rPr>
        <w:t>本条通用条款内容：</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3"/>
        <w:textAlignment w:val="auto"/>
        <w:rPr>
          <w:color w:val="auto"/>
          <w:sz w:val="24"/>
          <w:szCs w:val="24"/>
          <w:highlight w:val="none"/>
        </w:rPr>
      </w:pPr>
      <w:r>
        <w:rPr>
          <w:color w:val="auto"/>
          <w:spacing w:val="-1"/>
          <w:sz w:val="24"/>
          <w:szCs w:val="24"/>
          <w:highlight w:val="none"/>
        </w:rPr>
        <w:t>除专用合同条款另有约定外，变更估价按照本款约定处理：</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（1）已标价工程量清单或预算书有相同项目的，按照相同项目单价认定；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37" w:firstLine="491"/>
        <w:textAlignment w:val="auto"/>
        <w:rPr>
          <w:color w:val="auto"/>
          <w:sz w:val="24"/>
          <w:szCs w:val="24"/>
          <w:highlight w:val="none"/>
        </w:rPr>
      </w:pPr>
      <w:r>
        <w:rPr>
          <w:color w:val="auto"/>
          <w:sz w:val="24"/>
          <w:szCs w:val="24"/>
          <w:highlight w:val="none"/>
        </w:rPr>
        <w:t>（2）已标价工程量清单或预算书中无相同项目，但有类似项目的，参照类似项目的单价</w:t>
      </w:r>
      <w:r>
        <w:rPr>
          <w:color w:val="auto"/>
          <w:spacing w:val="-4"/>
          <w:sz w:val="24"/>
          <w:szCs w:val="24"/>
          <w:highlight w:val="none"/>
        </w:rPr>
        <w:t>认定；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35" w:firstLine="491"/>
        <w:textAlignment w:val="auto"/>
        <w:rPr>
          <w:color w:val="auto"/>
          <w:sz w:val="24"/>
          <w:szCs w:val="24"/>
          <w:highlight w:val="none"/>
        </w:rPr>
      </w:pPr>
      <w:r>
        <w:rPr>
          <w:color w:val="auto"/>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w:t>
      </w:r>
      <w:r>
        <w:rPr>
          <w:color w:val="auto"/>
          <w:spacing w:val="-4"/>
          <w:sz w:val="24"/>
          <w:szCs w:val="24"/>
          <w:highlight w:val="none"/>
        </w:rPr>
        <w:t>单价。</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10.5</w:t>
      </w:r>
      <w:r>
        <w:rPr>
          <w:color w:val="auto"/>
          <w:spacing w:val="-53"/>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承包人的合理化建议</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rPr>
        <w:t>监理人审查承包人合理化建议的期限：</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发包人审批承包人合理化建议的期限：</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position w:val="17"/>
          <w:sz w:val="24"/>
          <w:szCs w:val="24"/>
          <w:highlight w:val="none"/>
        </w:rPr>
        <w:t>承包人提出的合理化建议降低了合同价格或者提高了工程经济</w:t>
      </w:r>
      <w:r>
        <w:rPr>
          <w:color w:val="auto"/>
          <w:spacing w:val="-1"/>
          <w:position w:val="17"/>
          <w:sz w:val="24"/>
          <w:szCs w:val="24"/>
          <w:highlight w:val="none"/>
        </w:rPr>
        <w:t>效益的奖励的</w:t>
      </w:r>
      <w:r>
        <w:rPr>
          <w:rFonts w:eastAsia="宋体"/>
          <w:color w:val="auto"/>
          <w:position w:val="17"/>
          <w:sz w:val="24"/>
          <w:szCs w:val="24"/>
          <w:highlight w:val="none"/>
        </w:rPr>
        <w:t>方法和金额为：</w:t>
      </w:r>
      <w:r>
        <w:rPr>
          <w:color w:val="auto"/>
          <w:spacing w:val="3"/>
          <w:sz w:val="24"/>
          <w:szCs w:val="24"/>
          <w:highlight w:val="none"/>
          <w:u w:val="single" w:color="auto"/>
        </w:rPr>
        <w:t xml:space="preserve">   </w:t>
      </w:r>
      <w:r>
        <w:rPr>
          <w:color w:val="auto"/>
          <w:spacing w:val="-6"/>
          <w:sz w:val="24"/>
          <w:szCs w:val="24"/>
          <w:highlight w:val="none"/>
          <w:u w:val="single" w:color="auto"/>
        </w:rPr>
        <w:t>/</w:t>
      </w:r>
      <w:r>
        <w:rPr>
          <w:color w:val="auto"/>
          <w:sz w:val="24"/>
          <w:szCs w:val="24"/>
          <w:highlight w:val="none"/>
          <w:u w:val="single" w:color="auto"/>
        </w:rPr>
        <w:t xml:space="preserve">                             </w:t>
      </w:r>
      <w:r>
        <w:rPr>
          <w:color w:val="auto"/>
          <w:spacing w:val="-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6"/>
          <w:sz w:val="24"/>
          <w:szCs w:val="24"/>
          <w:highlight w:val="none"/>
          <w14:textOutline w14:w="4358" w14:cap="sq" w14:cmpd="sng">
            <w14:solidFill>
              <w14:srgbClr w14:val="000000"/>
            </w14:solidFill>
            <w14:prstDash w14:val="solid"/>
            <w14:bevel/>
          </w14:textOutline>
        </w:rPr>
        <w:t>10.7</w:t>
      </w:r>
      <w:r>
        <w:rPr>
          <w:color w:val="auto"/>
          <w:spacing w:val="21"/>
          <w:sz w:val="24"/>
          <w:szCs w:val="24"/>
          <w:highlight w:val="none"/>
        </w:rPr>
        <w:t xml:space="preserve"> </w:t>
      </w:r>
      <w:r>
        <w:rPr>
          <w:color w:val="auto"/>
          <w:spacing w:val="-6"/>
          <w:sz w:val="24"/>
          <w:szCs w:val="24"/>
          <w:highlight w:val="none"/>
          <w14:textOutline w14:w="4358" w14:cap="sq" w14:cmpd="sng">
            <w14:solidFill>
              <w14:srgbClr w14:val="000000"/>
            </w14:solidFill>
            <w14:prstDash w14:val="solid"/>
            <w14:bevel/>
          </w14:textOutline>
        </w:rPr>
        <w:t>暂估价</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6"/>
        <w:textAlignment w:val="auto"/>
        <w:rPr>
          <w:color w:val="auto"/>
          <w:sz w:val="24"/>
          <w:szCs w:val="24"/>
          <w:highlight w:val="none"/>
        </w:rPr>
      </w:pPr>
      <w:r>
        <w:rPr>
          <w:color w:val="auto"/>
          <w:spacing w:val="-2"/>
          <w:sz w:val="24"/>
          <w:szCs w:val="24"/>
          <w:highlight w:val="none"/>
        </w:rPr>
        <w:t>暂估价材料和工程设备的明细详见附件</w:t>
      </w:r>
      <w:r>
        <w:rPr>
          <w:color w:val="auto"/>
          <w:spacing w:val="-20"/>
          <w:sz w:val="24"/>
          <w:szCs w:val="24"/>
          <w:highlight w:val="none"/>
        </w:rPr>
        <w:t xml:space="preserve"> </w:t>
      </w:r>
      <w:r>
        <w:rPr>
          <w:color w:val="auto"/>
          <w:spacing w:val="-2"/>
          <w:sz w:val="24"/>
          <w:szCs w:val="24"/>
          <w:highlight w:val="none"/>
        </w:rPr>
        <w:t>11：《暂估价一览表》。</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10.7.1 依法必须招标的暂估价项目</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rPr>
          <w:color w:val="auto"/>
          <w:sz w:val="24"/>
          <w:szCs w:val="24"/>
          <w:highlight w:val="none"/>
        </w:rPr>
      </w:pPr>
      <w:r>
        <w:rPr>
          <w:color w:val="auto"/>
          <w:spacing w:val="-1"/>
          <w:sz w:val="24"/>
          <w:szCs w:val="24"/>
          <w:highlight w:val="none"/>
        </w:rPr>
        <w:t>对于依法必须招标的暂估价项目的确认和批准采取第</w:t>
      </w:r>
      <w:r>
        <w:rPr>
          <w:color w:val="auto"/>
          <w:spacing w:val="-1"/>
          <w:sz w:val="24"/>
          <w:szCs w:val="24"/>
          <w:highlight w:val="none"/>
          <w:u w:val="single" w:color="auto"/>
        </w:rPr>
        <w:t xml:space="preserve">  2  </w:t>
      </w:r>
      <w:r>
        <w:rPr>
          <w:color w:val="auto"/>
          <w:spacing w:val="-96"/>
          <w:sz w:val="24"/>
          <w:szCs w:val="24"/>
          <w:highlight w:val="none"/>
        </w:rPr>
        <w:t xml:space="preserve"> </w:t>
      </w:r>
      <w:r>
        <w:rPr>
          <w:color w:val="auto"/>
          <w:spacing w:val="-1"/>
          <w:sz w:val="24"/>
          <w:szCs w:val="24"/>
          <w:highlight w:val="none"/>
        </w:rPr>
        <w:t>种方式确定。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本条通用条款内容：</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35" w:firstLine="480"/>
        <w:textAlignment w:val="auto"/>
        <w:rPr>
          <w:color w:val="auto"/>
          <w:sz w:val="24"/>
          <w:szCs w:val="24"/>
          <w:highlight w:val="none"/>
        </w:rPr>
      </w:pPr>
      <w:r>
        <w:rPr>
          <w:color w:val="auto"/>
          <w:spacing w:val="-4"/>
          <w:sz w:val="24"/>
          <w:szCs w:val="24"/>
          <w:highlight w:val="none"/>
        </w:rPr>
        <w:t>第</w:t>
      </w:r>
      <w:r>
        <w:rPr>
          <w:color w:val="auto"/>
          <w:spacing w:val="-18"/>
          <w:sz w:val="24"/>
          <w:szCs w:val="24"/>
          <w:highlight w:val="none"/>
        </w:rPr>
        <w:t xml:space="preserve"> </w:t>
      </w:r>
      <w:r>
        <w:rPr>
          <w:color w:val="auto"/>
          <w:spacing w:val="-4"/>
          <w:sz w:val="24"/>
          <w:szCs w:val="24"/>
          <w:highlight w:val="none"/>
        </w:rPr>
        <w:t>1</w:t>
      </w:r>
      <w:r>
        <w:rPr>
          <w:color w:val="auto"/>
          <w:spacing w:val="-50"/>
          <w:sz w:val="24"/>
          <w:szCs w:val="24"/>
          <w:highlight w:val="none"/>
        </w:rPr>
        <w:t xml:space="preserve"> </w:t>
      </w:r>
      <w:r>
        <w:rPr>
          <w:color w:val="auto"/>
          <w:spacing w:val="-4"/>
          <w:sz w:val="24"/>
          <w:szCs w:val="24"/>
          <w:highlight w:val="none"/>
        </w:rPr>
        <w:t>种方式：对于依法必须招标的暂估价项目，由承包人招标，对该暂估价项目的确认和</w:t>
      </w:r>
      <w:r>
        <w:rPr>
          <w:color w:val="auto"/>
          <w:spacing w:val="-1"/>
          <w:sz w:val="24"/>
          <w:szCs w:val="24"/>
          <w:highlight w:val="none"/>
        </w:rPr>
        <w:t>批准按照以下约定执行：</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35" w:firstLine="491"/>
        <w:textAlignment w:val="auto"/>
        <w:rPr>
          <w:color w:val="auto"/>
          <w:sz w:val="24"/>
          <w:szCs w:val="24"/>
          <w:highlight w:val="none"/>
        </w:rPr>
      </w:pPr>
      <w:r>
        <w:rPr>
          <w:color w:val="auto"/>
          <w:spacing w:val="-4"/>
          <w:sz w:val="24"/>
          <w:szCs w:val="24"/>
          <w:highlight w:val="none"/>
        </w:rPr>
        <w:t>（1）承包人应当根据施工进度计划，在招标工作启动前</w:t>
      </w:r>
      <w:r>
        <w:rPr>
          <w:color w:val="auto"/>
          <w:spacing w:val="-30"/>
          <w:sz w:val="24"/>
          <w:szCs w:val="24"/>
          <w:highlight w:val="none"/>
        </w:rPr>
        <w:t xml:space="preserve"> </w:t>
      </w:r>
      <w:r>
        <w:rPr>
          <w:color w:val="auto"/>
          <w:spacing w:val="-4"/>
          <w:sz w:val="24"/>
          <w:szCs w:val="24"/>
          <w:highlight w:val="none"/>
        </w:rPr>
        <w:t>14</w:t>
      </w:r>
      <w:r>
        <w:rPr>
          <w:color w:val="auto"/>
          <w:spacing w:val="-46"/>
          <w:sz w:val="24"/>
          <w:szCs w:val="24"/>
          <w:highlight w:val="none"/>
        </w:rPr>
        <w:t xml:space="preserve"> </w:t>
      </w:r>
      <w:r>
        <w:rPr>
          <w:color w:val="auto"/>
          <w:spacing w:val="-4"/>
          <w:sz w:val="24"/>
          <w:szCs w:val="24"/>
          <w:highlight w:val="none"/>
        </w:rPr>
        <w:t>天将招标方案通过监理人报送</w:t>
      </w:r>
      <w:r>
        <w:rPr>
          <w:color w:val="auto"/>
          <w:spacing w:val="-3"/>
          <w:sz w:val="24"/>
          <w:szCs w:val="24"/>
          <w:highlight w:val="none"/>
        </w:rPr>
        <w:t>发包人审查，发包人应当在收到承包人报送的招标方案后</w:t>
      </w:r>
      <w:r>
        <w:rPr>
          <w:color w:val="auto"/>
          <w:spacing w:val="-45"/>
          <w:sz w:val="24"/>
          <w:szCs w:val="24"/>
          <w:highlight w:val="none"/>
        </w:rPr>
        <w:t xml:space="preserve"> </w:t>
      </w:r>
      <w:r>
        <w:rPr>
          <w:color w:val="auto"/>
          <w:spacing w:val="-3"/>
          <w:sz w:val="24"/>
          <w:szCs w:val="24"/>
          <w:highlight w:val="none"/>
        </w:rPr>
        <w:t>7</w:t>
      </w:r>
      <w:r>
        <w:rPr>
          <w:color w:val="auto"/>
          <w:spacing w:val="-45"/>
          <w:sz w:val="24"/>
          <w:szCs w:val="24"/>
          <w:highlight w:val="none"/>
        </w:rPr>
        <w:t xml:space="preserve"> </w:t>
      </w:r>
      <w:r>
        <w:rPr>
          <w:color w:val="auto"/>
          <w:spacing w:val="-3"/>
          <w:sz w:val="24"/>
          <w:szCs w:val="24"/>
          <w:highlight w:val="none"/>
        </w:rPr>
        <w:t>天内批准</w:t>
      </w:r>
      <w:r>
        <w:rPr>
          <w:color w:val="auto"/>
          <w:spacing w:val="-4"/>
          <w:sz w:val="24"/>
          <w:szCs w:val="24"/>
          <w:highlight w:val="none"/>
        </w:rPr>
        <w:t>或提出修改意见。承包人</w:t>
      </w:r>
      <w:r>
        <w:rPr>
          <w:color w:val="auto"/>
          <w:spacing w:val="-1"/>
          <w:sz w:val="24"/>
          <w:szCs w:val="24"/>
          <w:highlight w:val="none"/>
        </w:rPr>
        <w:t>应当按照经过发包人批准的招标方案开展招标工作；</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firstLine="490"/>
        <w:textAlignment w:val="auto"/>
        <w:rPr>
          <w:color w:val="auto"/>
          <w:sz w:val="24"/>
          <w:szCs w:val="24"/>
          <w:highlight w:val="none"/>
        </w:rPr>
      </w:pPr>
      <w:r>
        <w:rPr>
          <w:color w:val="auto"/>
          <w:spacing w:val="-3"/>
          <w:sz w:val="24"/>
          <w:szCs w:val="24"/>
          <w:highlight w:val="none"/>
        </w:rPr>
        <w:t>（2）承包人应当根据施工进度计划，提前</w:t>
      </w:r>
      <w:r>
        <w:rPr>
          <w:color w:val="auto"/>
          <w:spacing w:val="-33"/>
          <w:sz w:val="24"/>
          <w:szCs w:val="24"/>
          <w:highlight w:val="none"/>
        </w:rPr>
        <w:t xml:space="preserve"> </w:t>
      </w:r>
      <w:r>
        <w:rPr>
          <w:color w:val="auto"/>
          <w:spacing w:val="-3"/>
          <w:sz w:val="24"/>
          <w:szCs w:val="24"/>
          <w:highlight w:val="none"/>
        </w:rPr>
        <w:t>14</w:t>
      </w:r>
      <w:r>
        <w:rPr>
          <w:color w:val="auto"/>
          <w:spacing w:val="-46"/>
          <w:sz w:val="24"/>
          <w:szCs w:val="24"/>
          <w:highlight w:val="none"/>
        </w:rPr>
        <w:t xml:space="preserve"> </w:t>
      </w:r>
      <w:r>
        <w:rPr>
          <w:color w:val="auto"/>
          <w:spacing w:val="-3"/>
          <w:sz w:val="24"/>
          <w:szCs w:val="24"/>
          <w:highlight w:val="none"/>
        </w:rPr>
        <w:t>天将招标文件通过监理人报送发包人审</w:t>
      </w:r>
      <w:r>
        <w:rPr>
          <w:color w:val="auto"/>
          <w:spacing w:val="-4"/>
          <w:sz w:val="24"/>
          <w:szCs w:val="24"/>
          <w:highlight w:val="none"/>
        </w:rPr>
        <w:t>批，</w:t>
      </w:r>
      <w:r>
        <w:rPr>
          <w:color w:val="auto"/>
          <w:sz w:val="24"/>
          <w:szCs w:val="24"/>
          <w:highlight w:val="none"/>
        </w:rPr>
        <w:t xml:space="preserve"> </w:t>
      </w:r>
      <w:r>
        <w:rPr>
          <w:color w:val="auto"/>
          <w:spacing w:val="-3"/>
          <w:sz w:val="24"/>
          <w:szCs w:val="24"/>
          <w:highlight w:val="none"/>
        </w:rPr>
        <w:t>发包人应当在收到承包人报送的相关文件后</w:t>
      </w:r>
      <w:r>
        <w:rPr>
          <w:color w:val="auto"/>
          <w:spacing w:val="-45"/>
          <w:sz w:val="24"/>
          <w:szCs w:val="24"/>
          <w:highlight w:val="none"/>
        </w:rPr>
        <w:t xml:space="preserve"> </w:t>
      </w:r>
      <w:r>
        <w:rPr>
          <w:color w:val="auto"/>
          <w:spacing w:val="-3"/>
          <w:sz w:val="24"/>
          <w:szCs w:val="24"/>
          <w:highlight w:val="none"/>
        </w:rPr>
        <w:t>7</w:t>
      </w:r>
      <w:r>
        <w:rPr>
          <w:color w:val="auto"/>
          <w:spacing w:val="-45"/>
          <w:sz w:val="24"/>
          <w:szCs w:val="24"/>
          <w:highlight w:val="none"/>
        </w:rPr>
        <w:t xml:space="preserve"> </w:t>
      </w:r>
      <w:r>
        <w:rPr>
          <w:color w:val="auto"/>
          <w:spacing w:val="-3"/>
          <w:sz w:val="24"/>
          <w:szCs w:val="24"/>
          <w:highlight w:val="none"/>
        </w:rPr>
        <w:t>天内完成审批或提出</w:t>
      </w:r>
      <w:r>
        <w:rPr>
          <w:color w:val="auto"/>
          <w:spacing w:val="-4"/>
          <w:sz w:val="24"/>
          <w:szCs w:val="24"/>
          <w:highlight w:val="none"/>
        </w:rPr>
        <w:t>修改意见；发包人有权确定</w:t>
      </w:r>
      <w:r>
        <w:rPr>
          <w:color w:val="auto"/>
          <w:sz w:val="24"/>
          <w:szCs w:val="24"/>
          <w:highlight w:val="none"/>
        </w:rPr>
        <w:t xml:space="preserve"> </w:t>
      </w:r>
      <w:r>
        <w:rPr>
          <w:color w:val="auto"/>
          <w:spacing w:val="-1"/>
          <w:sz w:val="24"/>
          <w:szCs w:val="24"/>
          <w:highlight w:val="none"/>
        </w:rPr>
        <w:t>招标控制价并按照法律规定参加评标；</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35" w:firstLine="491"/>
        <w:textAlignment w:val="auto"/>
        <w:rPr>
          <w:color w:val="auto"/>
          <w:sz w:val="24"/>
          <w:szCs w:val="24"/>
          <w:highlight w:val="none"/>
        </w:rPr>
      </w:pPr>
      <w:r>
        <w:rPr>
          <w:color w:val="auto"/>
          <w:spacing w:val="-1"/>
          <w:sz w:val="24"/>
          <w:szCs w:val="24"/>
          <w:highlight w:val="none"/>
        </w:rPr>
        <w:t>（3）承包人与供应商、分包人在签订暂估价合同前，应当提前</w:t>
      </w:r>
      <w:r>
        <w:rPr>
          <w:color w:val="auto"/>
          <w:spacing w:val="-31"/>
          <w:sz w:val="24"/>
          <w:szCs w:val="24"/>
          <w:highlight w:val="none"/>
        </w:rPr>
        <w:t xml:space="preserve"> </w:t>
      </w:r>
      <w:r>
        <w:rPr>
          <w:color w:val="auto"/>
          <w:spacing w:val="-1"/>
          <w:sz w:val="24"/>
          <w:szCs w:val="24"/>
          <w:highlight w:val="none"/>
        </w:rPr>
        <w:t>7</w:t>
      </w:r>
      <w:r>
        <w:rPr>
          <w:color w:val="auto"/>
          <w:spacing w:val="-46"/>
          <w:sz w:val="24"/>
          <w:szCs w:val="24"/>
          <w:highlight w:val="none"/>
        </w:rPr>
        <w:t xml:space="preserve"> </w:t>
      </w:r>
      <w:r>
        <w:rPr>
          <w:color w:val="auto"/>
          <w:spacing w:val="-1"/>
          <w:sz w:val="24"/>
          <w:szCs w:val="24"/>
          <w:highlight w:val="none"/>
        </w:rPr>
        <w:t>天将确定的中标候选供</w:t>
      </w:r>
      <w:r>
        <w:rPr>
          <w:color w:val="auto"/>
          <w:sz w:val="24"/>
          <w:szCs w:val="24"/>
          <w:highlight w:val="none"/>
        </w:rPr>
        <w:t xml:space="preserve"> </w:t>
      </w:r>
      <w:r>
        <w:rPr>
          <w:color w:val="auto"/>
          <w:spacing w:val="-3"/>
          <w:sz w:val="24"/>
          <w:szCs w:val="24"/>
          <w:highlight w:val="none"/>
        </w:rPr>
        <w:t>应商或中标候选分包人的资料报送发包人，发包人应在收到资料后</w:t>
      </w:r>
      <w:r>
        <w:rPr>
          <w:color w:val="auto"/>
          <w:spacing w:val="-46"/>
          <w:sz w:val="24"/>
          <w:szCs w:val="24"/>
          <w:highlight w:val="none"/>
        </w:rPr>
        <w:t xml:space="preserve"> </w:t>
      </w:r>
      <w:r>
        <w:rPr>
          <w:color w:val="auto"/>
          <w:spacing w:val="-3"/>
          <w:sz w:val="24"/>
          <w:szCs w:val="24"/>
          <w:highlight w:val="none"/>
        </w:rPr>
        <w:t>3</w:t>
      </w:r>
      <w:r>
        <w:rPr>
          <w:color w:val="auto"/>
          <w:spacing w:val="-45"/>
          <w:sz w:val="24"/>
          <w:szCs w:val="24"/>
          <w:highlight w:val="none"/>
        </w:rPr>
        <w:t xml:space="preserve"> </w:t>
      </w:r>
      <w:r>
        <w:rPr>
          <w:color w:val="auto"/>
          <w:spacing w:val="-3"/>
          <w:sz w:val="24"/>
          <w:szCs w:val="24"/>
          <w:highlight w:val="none"/>
        </w:rPr>
        <w:t>天</w:t>
      </w:r>
      <w:r>
        <w:rPr>
          <w:color w:val="auto"/>
          <w:spacing w:val="-4"/>
          <w:sz w:val="24"/>
          <w:szCs w:val="24"/>
          <w:highlight w:val="none"/>
        </w:rPr>
        <w:t>内与承包人共同确定中</w:t>
      </w:r>
      <w:r>
        <w:rPr>
          <w:color w:val="auto"/>
          <w:spacing w:val="-1"/>
          <w:sz w:val="24"/>
          <w:szCs w:val="24"/>
          <w:highlight w:val="none"/>
        </w:rPr>
        <w:t>标人；承包人应当在签订合同后</w:t>
      </w:r>
      <w:r>
        <w:rPr>
          <w:color w:val="auto"/>
          <w:spacing w:val="-45"/>
          <w:sz w:val="24"/>
          <w:szCs w:val="24"/>
          <w:highlight w:val="none"/>
        </w:rPr>
        <w:t xml:space="preserve"> </w:t>
      </w:r>
      <w:r>
        <w:rPr>
          <w:color w:val="auto"/>
          <w:spacing w:val="-1"/>
          <w:sz w:val="24"/>
          <w:szCs w:val="24"/>
          <w:highlight w:val="none"/>
        </w:rPr>
        <w:t>7</w:t>
      </w:r>
      <w:r>
        <w:rPr>
          <w:color w:val="auto"/>
          <w:spacing w:val="-46"/>
          <w:sz w:val="24"/>
          <w:szCs w:val="24"/>
          <w:highlight w:val="none"/>
        </w:rPr>
        <w:t xml:space="preserve"> </w:t>
      </w:r>
      <w:r>
        <w:rPr>
          <w:color w:val="auto"/>
          <w:spacing w:val="-1"/>
          <w:sz w:val="24"/>
          <w:szCs w:val="24"/>
          <w:highlight w:val="none"/>
        </w:rPr>
        <w:t>天内，将暂估价合同副本报送</w:t>
      </w:r>
      <w:r>
        <w:rPr>
          <w:color w:val="auto"/>
          <w:spacing w:val="-2"/>
          <w:sz w:val="24"/>
          <w:szCs w:val="24"/>
          <w:highlight w:val="none"/>
        </w:rPr>
        <w:t>发包人留存。</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35" w:firstLine="480"/>
        <w:textAlignment w:val="auto"/>
        <w:rPr>
          <w:color w:val="auto"/>
          <w:sz w:val="24"/>
          <w:szCs w:val="24"/>
          <w:highlight w:val="none"/>
        </w:rPr>
      </w:pPr>
      <w:r>
        <w:rPr>
          <w:color w:val="auto"/>
          <w:spacing w:val="-3"/>
          <w:sz w:val="24"/>
          <w:szCs w:val="24"/>
          <w:highlight w:val="none"/>
        </w:rPr>
        <w:t>第</w:t>
      </w:r>
      <w:r>
        <w:rPr>
          <w:color w:val="auto"/>
          <w:spacing w:val="-48"/>
          <w:sz w:val="24"/>
          <w:szCs w:val="24"/>
          <w:highlight w:val="none"/>
        </w:rPr>
        <w:t xml:space="preserve"> </w:t>
      </w:r>
      <w:r>
        <w:rPr>
          <w:color w:val="auto"/>
          <w:spacing w:val="-3"/>
          <w:sz w:val="24"/>
          <w:szCs w:val="24"/>
          <w:highlight w:val="none"/>
        </w:rPr>
        <w:t>2</w:t>
      </w:r>
      <w:r>
        <w:rPr>
          <w:color w:val="auto"/>
          <w:spacing w:val="-50"/>
          <w:sz w:val="24"/>
          <w:szCs w:val="24"/>
          <w:highlight w:val="none"/>
        </w:rPr>
        <w:t xml:space="preserve"> </w:t>
      </w:r>
      <w:r>
        <w:rPr>
          <w:color w:val="auto"/>
          <w:spacing w:val="-3"/>
          <w:sz w:val="24"/>
          <w:szCs w:val="24"/>
          <w:highlight w:val="none"/>
        </w:rPr>
        <w:t>种方式：对于依法必须招标的暂估价项目，由发包人和承包人共</w:t>
      </w:r>
      <w:r>
        <w:rPr>
          <w:color w:val="auto"/>
          <w:spacing w:val="-4"/>
          <w:sz w:val="24"/>
          <w:szCs w:val="24"/>
          <w:highlight w:val="none"/>
        </w:rPr>
        <w:t>同招标确定暂估价供</w:t>
      </w:r>
      <w:r>
        <w:rPr>
          <w:color w:val="auto"/>
          <w:spacing w:val="-1"/>
          <w:sz w:val="24"/>
          <w:szCs w:val="24"/>
          <w:highlight w:val="none"/>
        </w:rPr>
        <w:t>应商或分包人的，承包人应按照施工进度计划，在招标工作启动前</w:t>
      </w:r>
      <w:r>
        <w:rPr>
          <w:color w:val="auto"/>
          <w:spacing w:val="-20"/>
          <w:sz w:val="24"/>
          <w:szCs w:val="24"/>
          <w:highlight w:val="none"/>
        </w:rPr>
        <w:t xml:space="preserve"> </w:t>
      </w:r>
      <w:r>
        <w:rPr>
          <w:color w:val="auto"/>
          <w:spacing w:val="-1"/>
          <w:sz w:val="24"/>
          <w:szCs w:val="24"/>
          <w:highlight w:val="none"/>
        </w:rPr>
        <w:t>14</w:t>
      </w:r>
      <w:r>
        <w:rPr>
          <w:color w:val="auto"/>
          <w:spacing w:val="-46"/>
          <w:sz w:val="24"/>
          <w:szCs w:val="24"/>
          <w:highlight w:val="none"/>
        </w:rPr>
        <w:t xml:space="preserve"> </w:t>
      </w:r>
      <w:r>
        <w:rPr>
          <w:color w:val="auto"/>
          <w:spacing w:val="-1"/>
          <w:sz w:val="24"/>
          <w:szCs w:val="24"/>
          <w:highlight w:val="none"/>
        </w:rPr>
        <w:t>天通知发包人，并提交</w:t>
      </w:r>
      <w:r>
        <w:rPr>
          <w:color w:val="auto"/>
          <w:spacing w:val="-3"/>
          <w:sz w:val="24"/>
          <w:szCs w:val="24"/>
          <w:highlight w:val="none"/>
        </w:rPr>
        <w:t>暂估价招标方案和工作分工。发包人应在收到后</w:t>
      </w:r>
      <w:r>
        <w:rPr>
          <w:color w:val="auto"/>
          <w:spacing w:val="-45"/>
          <w:sz w:val="24"/>
          <w:szCs w:val="24"/>
          <w:highlight w:val="none"/>
        </w:rPr>
        <w:t xml:space="preserve"> </w:t>
      </w:r>
      <w:r>
        <w:rPr>
          <w:color w:val="auto"/>
          <w:spacing w:val="-3"/>
          <w:sz w:val="24"/>
          <w:szCs w:val="24"/>
          <w:highlight w:val="none"/>
        </w:rPr>
        <w:t>7</w:t>
      </w:r>
      <w:r>
        <w:rPr>
          <w:color w:val="auto"/>
          <w:spacing w:val="-45"/>
          <w:sz w:val="24"/>
          <w:szCs w:val="24"/>
          <w:highlight w:val="none"/>
        </w:rPr>
        <w:t xml:space="preserve"> </w:t>
      </w:r>
      <w:r>
        <w:rPr>
          <w:color w:val="auto"/>
          <w:spacing w:val="-3"/>
          <w:sz w:val="24"/>
          <w:szCs w:val="24"/>
          <w:highlight w:val="none"/>
        </w:rPr>
        <w:t>天内确认。确定中</w:t>
      </w:r>
      <w:r>
        <w:rPr>
          <w:color w:val="auto"/>
          <w:spacing w:val="-4"/>
          <w:sz w:val="24"/>
          <w:szCs w:val="24"/>
          <w:highlight w:val="none"/>
        </w:rPr>
        <w:t>标人后，由发包人、承包</w:t>
      </w:r>
      <w:r>
        <w:rPr>
          <w:color w:val="auto"/>
          <w:spacing w:val="-1"/>
          <w:sz w:val="24"/>
          <w:szCs w:val="24"/>
          <w:highlight w:val="none"/>
        </w:rPr>
        <w:t>人与中标人共同签订暂估价合同。</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10.7.2 不属于依法必须招标的暂估价项目</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z w:val="24"/>
          <w:szCs w:val="24"/>
          <w:highlight w:val="none"/>
        </w:rPr>
        <w:t>对于不属于依法必须招标的暂估价项目的确认和批准采取第</w:t>
      </w:r>
      <w:r>
        <w:rPr>
          <w:color w:val="auto"/>
          <w:sz w:val="24"/>
          <w:szCs w:val="24"/>
          <w:highlight w:val="none"/>
          <w:u w:val="single" w:color="auto"/>
        </w:rPr>
        <w:t xml:space="preserve"> </w:t>
      </w:r>
      <w:r>
        <w:rPr>
          <w:color w:val="auto"/>
          <w:spacing w:val="-1"/>
          <w:sz w:val="24"/>
          <w:szCs w:val="24"/>
          <w:highlight w:val="none"/>
          <w:u w:val="single" w:color="auto"/>
        </w:rPr>
        <w:t xml:space="preserve"> 1 </w:t>
      </w:r>
      <w:r>
        <w:rPr>
          <w:color w:val="auto"/>
          <w:spacing w:val="-1"/>
          <w:sz w:val="24"/>
          <w:szCs w:val="24"/>
          <w:highlight w:val="none"/>
        </w:rPr>
        <w:t xml:space="preserve"> 种方式确定。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本条通用条款内容：</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1"/>
          <w:sz w:val="24"/>
          <w:szCs w:val="24"/>
          <w:highlight w:val="none"/>
        </w:rPr>
        <w:t>第</w:t>
      </w:r>
      <w:r>
        <w:rPr>
          <w:color w:val="auto"/>
          <w:spacing w:val="-33"/>
          <w:sz w:val="24"/>
          <w:szCs w:val="24"/>
          <w:highlight w:val="none"/>
        </w:rPr>
        <w:t xml:space="preserve"> </w:t>
      </w:r>
      <w:r>
        <w:rPr>
          <w:color w:val="auto"/>
          <w:spacing w:val="-1"/>
          <w:sz w:val="24"/>
          <w:szCs w:val="24"/>
          <w:highlight w:val="none"/>
        </w:rPr>
        <w:t>1</w:t>
      </w:r>
      <w:r>
        <w:rPr>
          <w:color w:val="auto"/>
          <w:spacing w:val="-51"/>
          <w:sz w:val="24"/>
          <w:szCs w:val="24"/>
          <w:highlight w:val="none"/>
        </w:rPr>
        <w:t xml:space="preserve"> </w:t>
      </w:r>
      <w:r>
        <w:rPr>
          <w:color w:val="auto"/>
          <w:spacing w:val="-1"/>
          <w:sz w:val="24"/>
          <w:szCs w:val="24"/>
          <w:highlight w:val="none"/>
        </w:rPr>
        <w:t>种方式：对于不属于依法必须招标的暂估价项目</w:t>
      </w:r>
      <w:r>
        <w:rPr>
          <w:color w:val="auto"/>
          <w:spacing w:val="-2"/>
          <w:sz w:val="24"/>
          <w:szCs w:val="24"/>
          <w:highlight w:val="none"/>
        </w:rPr>
        <w:t>，按本项约定确认和批准：</w:t>
      </w:r>
    </w:p>
    <w:p>
      <w:pPr>
        <w:pStyle w:val="11"/>
        <w:keepNext w:val="0"/>
        <w:keepLines w:val="0"/>
        <w:pageBreakBefore w:val="0"/>
        <w:widowControl w:val="0"/>
        <w:kinsoku/>
        <w:wordWrap/>
        <w:overflowPunct/>
        <w:topLinePunct w:val="0"/>
        <w:autoSpaceDE/>
        <w:autoSpaceDN/>
        <w:bidi w:val="0"/>
        <w:adjustRightInd/>
        <w:snapToGrid/>
        <w:spacing w:after="0" w:line="360" w:lineRule="auto"/>
        <w:ind w:left="12" w:right="20" w:firstLine="488"/>
        <w:textAlignment w:val="auto"/>
        <w:rPr>
          <w:color w:val="auto"/>
          <w:sz w:val="24"/>
          <w:szCs w:val="24"/>
          <w:highlight w:val="none"/>
        </w:rPr>
      </w:pPr>
      <w:r>
        <w:rPr>
          <w:color w:val="auto"/>
          <w:spacing w:val="-4"/>
          <w:sz w:val="24"/>
          <w:szCs w:val="24"/>
          <w:highlight w:val="none"/>
        </w:rPr>
        <w:t>（1）承包人应根据施工进度计划，在签订暂估价项目的采购合同、分包合同前</w:t>
      </w:r>
      <w:r>
        <w:rPr>
          <w:color w:val="auto"/>
          <w:spacing w:val="-30"/>
          <w:sz w:val="24"/>
          <w:szCs w:val="24"/>
          <w:highlight w:val="none"/>
        </w:rPr>
        <w:t xml:space="preserve"> </w:t>
      </w:r>
      <w:r>
        <w:rPr>
          <w:color w:val="auto"/>
          <w:spacing w:val="-4"/>
          <w:sz w:val="24"/>
          <w:szCs w:val="24"/>
          <w:highlight w:val="none"/>
        </w:rPr>
        <w:t>28</w:t>
      </w:r>
      <w:r>
        <w:rPr>
          <w:color w:val="auto"/>
          <w:spacing w:val="-46"/>
          <w:sz w:val="24"/>
          <w:szCs w:val="24"/>
          <w:highlight w:val="none"/>
        </w:rPr>
        <w:t xml:space="preserve"> </w:t>
      </w:r>
      <w:r>
        <w:rPr>
          <w:color w:val="auto"/>
          <w:spacing w:val="-4"/>
          <w:sz w:val="24"/>
          <w:szCs w:val="24"/>
          <w:highlight w:val="none"/>
        </w:rPr>
        <w:t>天向监</w:t>
      </w:r>
      <w:r>
        <w:rPr>
          <w:color w:val="auto"/>
          <w:spacing w:val="2"/>
          <w:sz w:val="24"/>
          <w:szCs w:val="24"/>
          <w:highlight w:val="none"/>
        </w:rPr>
        <w:t>理人提出书面申请。监理人应当在收到申请后</w:t>
      </w:r>
      <w:r>
        <w:rPr>
          <w:color w:val="auto"/>
          <w:spacing w:val="-26"/>
          <w:sz w:val="24"/>
          <w:szCs w:val="24"/>
          <w:highlight w:val="none"/>
        </w:rPr>
        <w:t xml:space="preserve"> </w:t>
      </w:r>
      <w:r>
        <w:rPr>
          <w:color w:val="auto"/>
          <w:spacing w:val="2"/>
          <w:sz w:val="24"/>
          <w:szCs w:val="24"/>
          <w:highlight w:val="none"/>
        </w:rPr>
        <w:t>3</w:t>
      </w:r>
      <w:r>
        <w:rPr>
          <w:color w:val="auto"/>
          <w:spacing w:val="-44"/>
          <w:sz w:val="24"/>
          <w:szCs w:val="24"/>
          <w:highlight w:val="none"/>
        </w:rPr>
        <w:t xml:space="preserve"> </w:t>
      </w:r>
      <w:r>
        <w:rPr>
          <w:color w:val="auto"/>
          <w:spacing w:val="2"/>
          <w:sz w:val="24"/>
          <w:szCs w:val="24"/>
          <w:highlight w:val="none"/>
        </w:rPr>
        <w:t>天内报送发包人，发包人应当在收到申请后</w:t>
      </w:r>
      <w:r>
        <w:rPr>
          <w:color w:val="auto"/>
          <w:sz w:val="24"/>
          <w:szCs w:val="24"/>
          <w:highlight w:val="none"/>
        </w:rPr>
        <w:t xml:space="preserve"> </w:t>
      </w:r>
      <w:r>
        <w:rPr>
          <w:color w:val="auto"/>
          <w:spacing w:val="1"/>
          <w:sz w:val="24"/>
          <w:szCs w:val="24"/>
          <w:highlight w:val="none"/>
        </w:rPr>
        <w:t>14</w:t>
      </w:r>
      <w:r>
        <w:rPr>
          <w:color w:val="auto"/>
          <w:spacing w:val="-29"/>
          <w:sz w:val="24"/>
          <w:szCs w:val="24"/>
          <w:highlight w:val="none"/>
        </w:rPr>
        <w:t xml:space="preserve"> </w:t>
      </w:r>
      <w:r>
        <w:rPr>
          <w:color w:val="auto"/>
          <w:spacing w:val="1"/>
          <w:sz w:val="24"/>
          <w:szCs w:val="24"/>
          <w:highlight w:val="none"/>
        </w:rPr>
        <w:t>天内给予批准或提出修改意见，发包人逾期未予批准或提出修改意见的，视为该书面申请</w:t>
      </w:r>
      <w:r>
        <w:rPr>
          <w:color w:val="auto"/>
          <w:spacing w:val="-3"/>
          <w:sz w:val="24"/>
          <w:szCs w:val="24"/>
          <w:highlight w:val="none"/>
        </w:rPr>
        <w:t>已获得同意；</w:t>
      </w:r>
    </w:p>
    <w:p>
      <w:pPr>
        <w:pStyle w:val="11"/>
        <w:keepNext w:val="0"/>
        <w:keepLines w:val="0"/>
        <w:pageBreakBefore w:val="0"/>
        <w:widowControl w:val="0"/>
        <w:kinsoku/>
        <w:wordWrap/>
        <w:overflowPunct/>
        <w:topLinePunct w:val="0"/>
        <w:autoSpaceDE/>
        <w:autoSpaceDN/>
        <w:bidi w:val="0"/>
        <w:adjustRightInd/>
        <w:snapToGrid/>
        <w:spacing w:after="0" w:line="360" w:lineRule="auto"/>
        <w:ind w:left="11" w:right="23" w:firstLine="489"/>
        <w:textAlignment w:val="auto"/>
        <w:rPr>
          <w:color w:val="auto"/>
          <w:sz w:val="24"/>
          <w:szCs w:val="24"/>
          <w:highlight w:val="none"/>
        </w:rPr>
      </w:pPr>
      <w:r>
        <w:rPr>
          <w:color w:val="auto"/>
          <w:sz w:val="24"/>
          <w:szCs w:val="24"/>
          <w:highlight w:val="none"/>
        </w:rPr>
        <w:t>（2）发包人认为承包人确定的供应商、分包人无法满足工程质量或合同要求的，发包人</w:t>
      </w:r>
      <w:r>
        <w:rPr>
          <w:color w:val="auto"/>
          <w:spacing w:val="1"/>
          <w:sz w:val="24"/>
          <w:szCs w:val="24"/>
          <w:highlight w:val="none"/>
        </w:rPr>
        <w:t>可以要求承包人重新确定暂估价项目的供应商、分包人;</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color w:val="auto"/>
          <w:sz w:val="24"/>
          <w:szCs w:val="24"/>
          <w:highlight w:val="none"/>
        </w:rPr>
      </w:pPr>
      <w:r>
        <w:rPr>
          <w:color w:val="auto"/>
          <w:spacing w:val="-1"/>
          <w:sz w:val="24"/>
          <w:szCs w:val="24"/>
          <w:highlight w:val="none"/>
        </w:rPr>
        <w:t>（3）承包人应当在签订暂估价合同后</w:t>
      </w:r>
      <w:r>
        <w:rPr>
          <w:color w:val="auto"/>
          <w:spacing w:val="-44"/>
          <w:sz w:val="24"/>
          <w:szCs w:val="24"/>
          <w:highlight w:val="none"/>
        </w:rPr>
        <w:t xml:space="preserve"> </w:t>
      </w:r>
      <w:r>
        <w:rPr>
          <w:color w:val="auto"/>
          <w:spacing w:val="-1"/>
          <w:sz w:val="24"/>
          <w:szCs w:val="24"/>
          <w:highlight w:val="none"/>
        </w:rPr>
        <w:t>7</w:t>
      </w:r>
      <w:r>
        <w:rPr>
          <w:color w:val="auto"/>
          <w:spacing w:val="-46"/>
          <w:sz w:val="24"/>
          <w:szCs w:val="24"/>
          <w:highlight w:val="none"/>
        </w:rPr>
        <w:t xml:space="preserve"> </w:t>
      </w:r>
      <w:r>
        <w:rPr>
          <w:color w:val="auto"/>
          <w:spacing w:val="-1"/>
          <w:sz w:val="24"/>
          <w:szCs w:val="24"/>
          <w:highlight w:val="none"/>
        </w:rPr>
        <w:t>天内，将</w:t>
      </w:r>
      <w:r>
        <w:rPr>
          <w:color w:val="auto"/>
          <w:spacing w:val="-2"/>
          <w:sz w:val="24"/>
          <w:szCs w:val="24"/>
          <w:highlight w:val="none"/>
        </w:rPr>
        <w:t>暂估价合同副本报送发包人留存。</w:t>
      </w:r>
    </w:p>
    <w:p>
      <w:pPr>
        <w:pStyle w:val="11"/>
        <w:keepNext w:val="0"/>
        <w:keepLines w:val="0"/>
        <w:pageBreakBefore w:val="0"/>
        <w:widowControl w:val="0"/>
        <w:kinsoku/>
        <w:wordWrap/>
        <w:overflowPunct/>
        <w:topLinePunct w:val="0"/>
        <w:autoSpaceDE/>
        <w:autoSpaceDN/>
        <w:bidi w:val="0"/>
        <w:adjustRightInd/>
        <w:snapToGrid/>
        <w:spacing w:line="360" w:lineRule="auto"/>
        <w:ind w:left="9" w:right="20" w:firstLine="480"/>
        <w:textAlignment w:val="auto"/>
        <w:rPr>
          <w:color w:val="auto"/>
          <w:sz w:val="24"/>
          <w:szCs w:val="24"/>
          <w:highlight w:val="none"/>
        </w:rPr>
      </w:pPr>
      <w:r>
        <w:rPr>
          <w:color w:val="auto"/>
          <w:spacing w:val="-2"/>
          <w:sz w:val="24"/>
          <w:szCs w:val="24"/>
          <w:highlight w:val="none"/>
        </w:rPr>
        <w:t>第</w:t>
      </w:r>
      <w:r>
        <w:rPr>
          <w:color w:val="auto"/>
          <w:spacing w:val="-48"/>
          <w:sz w:val="24"/>
          <w:szCs w:val="24"/>
          <w:highlight w:val="none"/>
        </w:rPr>
        <w:t xml:space="preserve"> </w:t>
      </w:r>
      <w:r>
        <w:rPr>
          <w:color w:val="auto"/>
          <w:spacing w:val="-2"/>
          <w:sz w:val="24"/>
          <w:szCs w:val="24"/>
          <w:highlight w:val="none"/>
        </w:rPr>
        <w:t>2</w:t>
      </w:r>
      <w:r>
        <w:rPr>
          <w:color w:val="auto"/>
          <w:spacing w:val="-51"/>
          <w:sz w:val="24"/>
          <w:szCs w:val="24"/>
          <w:highlight w:val="none"/>
        </w:rPr>
        <w:t xml:space="preserve"> </w:t>
      </w:r>
      <w:r>
        <w:rPr>
          <w:color w:val="auto"/>
          <w:spacing w:val="-2"/>
          <w:sz w:val="24"/>
          <w:szCs w:val="24"/>
          <w:highlight w:val="none"/>
        </w:rPr>
        <w:t>种方式：承包人按照第</w:t>
      </w:r>
      <w:r>
        <w:rPr>
          <w:color w:val="auto"/>
          <w:spacing w:val="-33"/>
          <w:sz w:val="24"/>
          <w:szCs w:val="24"/>
          <w:highlight w:val="none"/>
        </w:rPr>
        <w:t xml:space="preserve"> </w:t>
      </w:r>
      <w:r>
        <w:rPr>
          <w:color w:val="auto"/>
          <w:spacing w:val="-2"/>
          <w:sz w:val="24"/>
          <w:szCs w:val="24"/>
          <w:highlight w:val="none"/>
        </w:rPr>
        <w:t>10.7.1</w:t>
      </w:r>
      <w:r>
        <w:rPr>
          <w:color w:val="auto"/>
          <w:spacing w:val="-44"/>
          <w:sz w:val="24"/>
          <w:szCs w:val="24"/>
          <w:highlight w:val="none"/>
        </w:rPr>
        <w:t xml:space="preserve"> </w:t>
      </w:r>
      <w:r>
        <w:rPr>
          <w:color w:val="auto"/>
          <w:spacing w:val="-2"/>
          <w:sz w:val="24"/>
          <w:szCs w:val="24"/>
          <w:highlight w:val="none"/>
        </w:rPr>
        <w:t>项〔依法必须招标的暂估价项目〕约定的第</w:t>
      </w:r>
      <w:r>
        <w:rPr>
          <w:color w:val="auto"/>
          <w:spacing w:val="-33"/>
          <w:sz w:val="24"/>
          <w:szCs w:val="24"/>
          <w:highlight w:val="none"/>
        </w:rPr>
        <w:t xml:space="preserve"> </w:t>
      </w:r>
      <w:r>
        <w:rPr>
          <w:color w:val="auto"/>
          <w:spacing w:val="-2"/>
          <w:sz w:val="24"/>
          <w:szCs w:val="24"/>
          <w:highlight w:val="none"/>
        </w:rPr>
        <w:t>1</w:t>
      </w:r>
      <w:r>
        <w:rPr>
          <w:color w:val="auto"/>
          <w:spacing w:val="-50"/>
          <w:sz w:val="24"/>
          <w:szCs w:val="24"/>
          <w:highlight w:val="none"/>
        </w:rPr>
        <w:t xml:space="preserve"> </w:t>
      </w:r>
      <w:r>
        <w:rPr>
          <w:color w:val="auto"/>
          <w:spacing w:val="-3"/>
          <w:sz w:val="24"/>
          <w:szCs w:val="24"/>
          <w:highlight w:val="none"/>
        </w:rPr>
        <w:t>种方式</w:t>
      </w:r>
      <w:r>
        <w:rPr>
          <w:color w:val="auto"/>
          <w:spacing w:val="-2"/>
          <w:sz w:val="24"/>
          <w:szCs w:val="24"/>
          <w:highlight w:val="none"/>
        </w:rPr>
        <w:t>确定暂估价项目。</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2"/>
          <w:sz w:val="24"/>
          <w:szCs w:val="24"/>
          <w:highlight w:val="none"/>
        </w:rPr>
        <w:t>第</w:t>
      </w:r>
      <w:r>
        <w:rPr>
          <w:color w:val="auto"/>
          <w:spacing w:val="-42"/>
          <w:sz w:val="24"/>
          <w:szCs w:val="24"/>
          <w:highlight w:val="none"/>
        </w:rPr>
        <w:t xml:space="preserve"> </w:t>
      </w:r>
      <w:r>
        <w:rPr>
          <w:color w:val="auto"/>
          <w:spacing w:val="-2"/>
          <w:sz w:val="24"/>
          <w:szCs w:val="24"/>
          <w:highlight w:val="none"/>
        </w:rPr>
        <w:t>3</w:t>
      </w:r>
      <w:r>
        <w:rPr>
          <w:color w:val="auto"/>
          <w:spacing w:val="-51"/>
          <w:sz w:val="24"/>
          <w:szCs w:val="24"/>
          <w:highlight w:val="none"/>
        </w:rPr>
        <w:t xml:space="preserve"> </w:t>
      </w:r>
      <w:r>
        <w:rPr>
          <w:color w:val="auto"/>
          <w:spacing w:val="-2"/>
          <w:sz w:val="24"/>
          <w:szCs w:val="24"/>
          <w:highlight w:val="none"/>
        </w:rPr>
        <w:t>种方式：承包人直接实施的暂估价项目</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 w:right="20" w:firstLine="440"/>
        <w:textAlignment w:val="auto"/>
        <w:rPr>
          <w:color w:val="auto"/>
          <w:sz w:val="24"/>
          <w:szCs w:val="24"/>
          <w:highlight w:val="none"/>
        </w:rPr>
      </w:pPr>
      <w:r>
        <w:rPr>
          <w:color w:val="auto"/>
          <w:spacing w:val="-3"/>
          <w:sz w:val="24"/>
          <w:szCs w:val="24"/>
          <w:highlight w:val="none"/>
        </w:rPr>
        <w:t>承包人具备实施暂估价项目的资格和条件的，经发包人和承包人协商一致后，可由承包人</w:t>
      </w:r>
      <w:r>
        <w:rPr>
          <w:color w:val="auto"/>
          <w:spacing w:val="-2"/>
          <w:sz w:val="24"/>
          <w:szCs w:val="24"/>
          <w:highlight w:val="none"/>
        </w:rPr>
        <w:t>自行实施暂估价项目，合同当事人可以在专用合同条款约定具体事项。</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2"/>
          <w:sz w:val="24"/>
          <w:szCs w:val="24"/>
          <w:highlight w:val="none"/>
        </w:rPr>
        <w:t>第</w:t>
      </w:r>
      <w:r>
        <w:rPr>
          <w:color w:val="auto"/>
          <w:spacing w:val="-42"/>
          <w:sz w:val="24"/>
          <w:szCs w:val="24"/>
          <w:highlight w:val="none"/>
        </w:rPr>
        <w:t xml:space="preserve"> </w:t>
      </w:r>
      <w:r>
        <w:rPr>
          <w:color w:val="auto"/>
          <w:spacing w:val="-2"/>
          <w:sz w:val="24"/>
          <w:szCs w:val="24"/>
          <w:highlight w:val="none"/>
        </w:rPr>
        <w:t>3</w:t>
      </w:r>
      <w:r>
        <w:rPr>
          <w:color w:val="auto"/>
          <w:spacing w:val="-51"/>
          <w:sz w:val="24"/>
          <w:szCs w:val="24"/>
          <w:highlight w:val="none"/>
        </w:rPr>
        <w:t xml:space="preserve"> </w:t>
      </w:r>
      <w:r>
        <w:rPr>
          <w:color w:val="auto"/>
          <w:spacing w:val="-2"/>
          <w:sz w:val="24"/>
          <w:szCs w:val="24"/>
          <w:highlight w:val="none"/>
        </w:rPr>
        <w:t>种方式：承包人直接实施的暂估价项目</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2"/>
          <w:sz w:val="24"/>
          <w:szCs w:val="24"/>
          <w:highlight w:val="none"/>
        </w:rPr>
        <w:t>第</w:t>
      </w:r>
      <w:r>
        <w:rPr>
          <w:color w:val="auto"/>
          <w:spacing w:val="-42"/>
          <w:sz w:val="24"/>
          <w:szCs w:val="24"/>
          <w:highlight w:val="none"/>
        </w:rPr>
        <w:t xml:space="preserve"> </w:t>
      </w:r>
      <w:r>
        <w:rPr>
          <w:color w:val="auto"/>
          <w:spacing w:val="-2"/>
          <w:sz w:val="24"/>
          <w:szCs w:val="24"/>
          <w:highlight w:val="none"/>
        </w:rPr>
        <w:t>3</w:t>
      </w:r>
      <w:r>
        <w:rPr>
          <w:color w:val="auto"/>
          <w:spacing w:val="-51"/>
          <w:sz w:val="24"/>
          <w:szCs w:val="24"/>
          <w:highlight w:val="none"/>
        </w:rPr>
        <w:t xml:space="preserve"> </w:t>
      </w:r>
      <w:r>
        <w:rPr>
          <w:color w:val="auto"/>
          <w:spacing w:val="-2"/>
          <w:sz w:val="24"/>
          <w:szCs w:val="24"/>
          <w:highlight w:val="none"/>
        </w:rPr>
        <w:t>种方式：承包人直接实施的暂估价项目</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firstLine="476" w:firstLineChars="200"/>
        <w:textAlignment w:val="auto"/>
        <w:rPr>
          <w:color w:val="auto"/>
          <w:sz w:val="24"/>
          <w:szCs w:val="24"/>
          <w:highlight w:val="none"/>
        </w:rPr>
      </w:pPr>
      <w:r>
        <w:rPr>
          <w:color w:val="auto"/>
          <w:spacing w:val="-1"/>
          <w:sz w:val="24"/>
          <w:szCs w:val="24"/>
          <w:highlight w:val="none"/>
        </w:rPr>
        <w:t>承包人直接实施的暂估价项目的约定：</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10.8</w:t>
      </w:r>
      <w:r>
        <w:rPr>
          <w:color w:val="auto"/>
          <w:spacing w:val="19"/>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暂列金额</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20" w:firstLine="481"/>
        <w:jc w:val="both"/>
        <w:textAlignment w:val="auto"/>
        <w:rPr>
          <w:color w:val="auto"/>
          <w:sz w:val="24"/>
          <w:szCs w:val="24"/>
          <w:highlight w:val="none"/>
        </w:rPr>
      </w:pPr>
      <w:r>
        <w:rPr>
          <w:color w:val="auto"/>
          <w:sz w:val="24"/>
          <w:szCs w:val="24"/>
          <w:highlight w:val="none"/>
        </w:rPr>
        <w:t>合同当事人关于暂列金额使用的约定：</w:t>
      </w:r>
      <w:r>
        <w:rPr>
          <w:color w:val="auto"/>
          <w:sz w:val="24"/>
          <w:szCs w:val="24"/>
          <w:highlight w:val="none"/>
          <w:u w:val="single" w:color="auto"/>
        </w:rPr>
        <w:t xml:space="preserve"> 暂列金额应按照发包</w:t>
      </w:r>
      <w:r>
        <w:rPr>
          <w:color w:val="auto"/>
          <w:spacing w:val="-1"/>
          <w:sz w:val="24"/>
          <w:szCs w:val="24"/>
          <w:highlight w:val="none"/>
          <w:u w:val="single" w:color="auto"/>
        </w:rPr>
        <w:t>人的要求使用，发包人的要</w:t>
      </w:r>
      <w:r>
        <w:rPr>
          <w:color w:val="auto"/>
          <w:spacing w:val="-2"/>
          <w:sz w:val="24"/>
          <w:szCs w:val="24"/>
          <w:highlight w:val="none"/>
          <w:u w:val="single" w:color="auto"/>
        </w:rPr>
        <w:t>求通过发包人代表和监理人发出，暂列金额</w:t>
      </w:r>
      <w:r>
        <w:rPr>
          <w:color w:val="auto"/>
          <w:spacing w:val="-3"/>
          <w:sz w:val="24"/>
          <w:szCs w:val="24"/>
          <w:highlight w:val="none"/>
          <w:u w:val="single" w:color="auto"/>
        </w:rPr>
        <w:t>的使用发包人必须同意并全过程参与。暂列金不计</w:t>
      </w:r>
      <w:r>
        <w:rPr>
          <w:color w:val="auto"/>
          <w:spacing w:val="-2"/>
          <w:sz w:val="24"/>
          <w:szCs w:val="24"/>
          <w:highlight w:val="none"/>
          <w:u w:val="single" w:color="auto"/>
        </w:rPr>
        <w:t>入工程款付款的基数，按实际发生经发包人</w:t>
      </w:r>
      <w:r>
        <w:rPr>
          <w:color w:val="auto"/>
          <w:spacing w:val="-3"/>
          <w:sz w:val="24"/>
          <w:szCs w:val="24"/>
          <w:highlight w:val="none"/>
          <w:u w:val="single" w:color="auto"/>
        </w:rPr>
        <w:t>签证后确定全部使用、部分使用或不适用，承包人</w:t>
      </w:r>
      <w:r>
        <w:rPr>
          <w:color w:val="auto"/>
          <w:spacing w:val="-2"/>
          <w:sz w:val="24"/>
          <w:szCs w:val="24"/>
          <w:highlight w:val="none"/>
          <w:u w:val="single" w:color="auto"/>
        </w:rPr>
        <w:t>无权使用。工程量清单发生调整幅度超过合同价款</w:t>
      </w:r>
      <w:r>
        <w:rPr>
          <w:color w:val="auto"/>
          <w:spacing w:val="-3"/>
          <w:sz w:val="24"/>
          <w:szCs w:val="24"/>
          <w:highlight w:val="none"/>
          <w:u w:val="single" w:color="auto"/>
        </w:rPr>
        <w:t>的5%时，发包人委托工程造价咨询机构审定</w:t>
      </w:r>
      <w:r>
        <w:rPr>
          <w:color w:val="auto"/>
          <w:spacing w:val="-1"/>
          <w:sz w:val="24"/>
          <w:szCs w:val="24"/>
          <w:highlight w:val="none"/>
          <w:u w:val="single" w:color="auto"/>
        </w:rPr>
        <w:t xml:space="preserve">后，按照审定造价支付暂列金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11.</w:t>
      </w:r>
      <w:r>
        <w:rPr>
          <w:color w:val="auto"/>
          <w:spacing w:val="11"/>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价格调整</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1"/>
          <w:sz w:val="24"/>
          <w:szCs w:val="24"/>
          <w:highlight w:val="none"/>
          <w14:textOutline w14:w="4358" w14:cap="sq" w14:cmpd="sng">
            <w14:solidFill>
              <w14:srgbClr w14:val="000000"/>
            </w14:solidFill>
            <w14:prstDash w14:val="solid"/>
            <w14:bevel/>
          </w14:textOutline>
        </w:rPr>
        <w:t>11.1</w:t>
      </w:r>
      <w:r>
        <w:rPr>
          <w:color w:val="auto"/>
          <w:spacing w:val="-1"/>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市场价格波动引起的调整</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z w:val="24"/>
          <w:szCs w:val="24"/>
          <w:highlight w:val="none"/>
        </w:rPr>
        <w:t>市场价格波动是否调整合同价格的约定：</w:t>
      </w:r>
      <w:r>
        <w:rPr>
          <w:color w:val="auto"/>
          <w:sz w:val="24"/>
          <w:szCs w:val="24"/>
          <w:highlight w:val="none"/>
          <w:u w:val="single" w:color="auto"/>
        </w:rPr>
        <w:t xml:space="preserve"> 除招</w:t>
      </w:r>
      <w:r>
        <w:rPr>
          <w:color w:val="auto"/>
          <w:spacing w:val="-1"/>
          <w:sz w:val="24"/>
          <w:szCs w:val="24"/>
          <w:highlight w:val="none"/>
          <w:u w:val="single" w:color="auto"/>
        </w:rPr>
        <w:t xml:space="preserve">标文件规定外，均不调整价格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sz w:val="24"/>
          <w:szCs w:val="24"/>
          <w:highlight w:val="none"/>
        </w:rPr>
        <w:t>因市场价格波动调整合同价格，采用以下第</w:t>
      </w:r>
      <w:r>
        <w:rPr>
          <w:color w:val="auto"/>
          <w:spacing w:val="-1"/>
          <w:sz w:val="24"/>
          <w:szCs w:val="24"/>
          <w:highlight w:val="none"/>
          <w:u w:val="single" w:color="auto"/>
        </w:rPr>
        <w:t xml:space="preserve">  3  </w:t>
      </w:r>
      <w:r>
        <w:rPr>
          <w:color w:val="auto"/>
          <w:spacing w:val="-111"/>
          <w:sz w:val="24"/>
          <w:szCs w:val="24"/>
          <w:highlight w:val="none"/>
        </w:rPr>
        <w:t xml:space="preserve"> </w:t>
      </w:r>
      <w:r>
        <w:rPr>
          <w:color w:val="auto"/>
          <w:spacing w:val="-1"/>
          <w:sz w:val="24"/>
          <w:szCs w:val="24"/>
          <w:highlight w:val="none"/>
        </w:rPr>
        <w:t>种方式对合同价格进行调</w:t>
      </w:r>
      <w:r>
        <w:rPr>
          <w:color w:val="auto"/>
          <w:spacing w:val="-2"/>
          <w:sz w:val="24"/>
          <w:szCs w:val="24"/>
          <w:highlight w:val="none"/>
        </w:rPr>
        <w:t>整：</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rFonts w:ascii="Arial"/>
          <w:color w:val="auto"/>
          <w:sz w:val="21"/>
          <w:highlight w:val="none"/>
        </w:rPr>
      </w:pPr>
      <w:r>
        <w:rPr>
          <w:color w:val="auto"/>
          <w:spacing w:val="-3"/>
          <w:sz w:val="24"/>
          <w:szCs w:val="24"/>
          <w:highlight w:val="none"/>
        </w:rPr>
        <w:t>第</w:t>
      </w:r>
      <w:r>
        <w:rPr>
          <w:color w:val="auto"/>
          <w:spacing w:val="-23"/>
          <w:sz w:val="24"/>
          <w:szCs w:val="24"/>
          <w:highlight w:val="none"/>
        </w:rPr>
        <w:t xml:space="preserve"> </w:t>
      </w:r>
      <w:r>
        <w:rPr>
          <w:color w:val="auto"/>
          <w:spacing w:val="-3"/>
          <w:sz w:val="24"/>
          <w:szCs w:val="24"/>
          <w:highlight w:val="none"/>
        </w:rPr>
        <w:t>1</w:t>
      </w:r>
      <w:r>
        <w:rPr>
          <w:color w:val="auto"/>
          <w:spacing w:val="-51"/>
          <w:sz w:val="24"/>
          <w:szCs w:val="24"/>
          <w:highlight w:val="none"/>
        </w:rPr>
        <w:t xml:space="preserve"> </w:t>
      </w:r>
      <w:r>
        <w:rPr>
          <w:color w:val="auto"/>
          <w:spacing w:val="-3"/>
          <w:sz w:val="24"/>
          <w:szCs w:val="24"/>
          <w:highlight w:val="none"/>
        </w:rPr>
        <w:t>种方式：采用价格指数进行价格调整。</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position w:val="17"/>
          <w:sz w:val="24"/>
          <w:szCs w:val="24"/>
          <w:highlight w:val="none"/>
        </w:rPr>
        <w:t>关于各可调因子、定值和变值权重，以及基本价格指数及其来源的约</w:t>
      </w:r>
      <w:r>
        <w:rPr>
          <w:color w:val="auto"/>
          <w:spacing w:val="-16"/>
          <w:sz w:val="24"/>
          <w:szCs w:val="24"/>
          <w:highlight w:val="none"/>
        </w:rPr>
        <w:t>定</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2"/>
          <w:sz w:val="24"/>
          <w:szCs w:val="24"/>
          <w:highlight w:val="none"/>
        </w:rPr>
        <w:t>第</w:t>
      </w:r>
      <w:r>
        <w:rPr>
          <w:color w:val="auto"/>
          <w:spacing w:val="-42"/>
          <w:sz w:val="24"/>
          <w:szCs w:val="24"/>
          <w:highlight w:val="none"/>
        </w:rPr>
        <w:t xml:space="preserve"> </w:t>
      </w:r>
      <w:r>
        <w:rPr>
          <w:color w:val="auto"/>
          <w:spacing w:val="-2"/>
          <w:sz w:val="24"/>
          <w:szCs w:val="24"/>
          <w:highlight w:val="none"/>
        </w:rPr>
        <w:t>2</w:t>
      </w:r>
      <w:r>
        <w:rPr>
          <w:color w:val="auto"/>
          <w:spacing w:val="-51"/>
          <w:sz w:val="24"/>
          <w:szCs w:val="24"/>
          <w:highlight w:val="none"/>
        </w:rPr>
        <w:t xml:space="preserve"> </w:t>
      </w:r>
      <w:r>
        <w:rPr>
          <w:color w:val="auto"/>
          <w:spacing w:val="-2"/>
          <w:sz w:val="24"/>
          <w:szCs w:val="24"/>
          <w:highlight w:val="none"/>
        </w:rPr>
        <w:t>种方式：采用造价信息进行价格调整。</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（2）关于基准价格的约定：</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right="20" w:firstLine="480"/>
        <w:jc w:val="both"/>
        <w:textAlignment w:val="auto"/>
        <w:rPr>
          <w:color w:val="auto"/>
          <w:sz w:val="24"/>
          <w:szCs w:val="24"/>
          <w:highlight w:val="none"/>
        </w:rPr>
      </w:pPr>
      <w:r>
        <w:rPr>
          <w:color w:val="auto"/>
          <w:spacing w:val="-2"/>
          <w:sz w:val="24"/>
          <w:szCs w:val="24"/>
          <w:highlight w:val="none"/>
        </w:rPr>
        <w:t>专用合同条款①承包人在已标价工程量清单或预算书中载明的材料单价低于基准价格的：专用合同条款合同履行期间材料单价涨幅以基准价格为</w:t>
      </w:r>
      <w:r>
        <w:rPr>
          <w:color w:val="auto"/>
          <w:spacing w:val="-3"/>
          <w:sz w:val="24"/>
          <w:szCs w:val="24"/>
          <w:highlight w:val="none"/>
        </w:rPr>
        <w:t>基础超过</w:t>
      </w:r>
      <w:r>
        <w:rPr>
          <w:color w:val="auto"/>
          <w:spacing w:val="-3"/>
          <w:sz w:val="24"/>
          <w:szCs w:val="24"/>
          <w:highlight w:val="none"/>
          <w:u w:val="single" w:color="auto"/>
        </w:rPr>
        <w:t xml:space="preserve">   </w:t>
      </w:r>
      <w:r>
        <w:rPr>
          <w:color w:val="auto"/>
          <w:spacing w:val="-3"/>
          <w:sz w:val="24"/>
          <w:szCs w:val="24"/>
          <w:highlight w:val="none"/>
        </w:rPr>
        <w:t>%时，或材料单价跌幅以已</w:t>
      </w:r>
      <w:r>
        <w:rPr>
          <w:color w:val="auto"/>
          <w:sz w:val="24"/>
          <w:szCs w:val="24"/>
          <w:highlight w:val="none"/>
        </w:rPr>
        <w:t>标价工程量清单或预算书中载明材料单价为基础超过</w:t>
      </w:r>
      <w:r>
        <w:rPr>
          <w:color w:val="auto"/>
          <w:sz w:val="24"/>
          <w:szCs w:val="24"/>
          <w:highlight w:val="none"/>
          <w:u w:val="single" w:color="auto"/>
        </w:rPr>
        <w:t xml:space="preserve">   </w:t>
      </w:r>
      <w:r>
        <w:rPr>
          <w:color w:val="auto"/>
          <w:sz w:val="24"/>
          <w:szCs w:val="24"/>
          <w:highlight w:val="none"/>
        </w:rPr>
        <w:t>%</w:t>
      </w:r>
      <w:r>
        <w:rPr>
          <w:color w:val="auto"/>
          <w:spacing w:val="-1"/>
          <w:sz w:val="24"/>
          <w:szCs w:val="24"/>
          <w:highlight w:val="none"/>
        </w:rPr>
        <w:t>时，其超过部分据实调整。</w:t>
      </w:r>
    </w:p>
    <w:p>
      <w:pPr>
        <w:pStyle w:val="11"/>
        <w:keepNext w:val="0"/>
        <w:keepLines w:val="0"/>
        <w:pageBreakBefore w:val="0"/>
        <w:widowControl w:val="0"/>
        <w:kinsoku/>
        <w:wordWrap/>
        <w:overflowPunct/>
        <w:topLinePunct w:val="0"/>
        <w:autoSpaceDE/>
        <w:autoSpaceDN/>
        <w:bidi w:val="0"/>
        <w:adjustRightInd/>
        <w:snapToGrid/>
        <w:spacing w:line="360" w:lineRule="auto"/>
        <w:ind w:left="10" w:right="53" w:firstLine="477"/>
        <w:jc w:val="both"/>
        <w:textAlignment w:val="auto"/>
        <w:rPr>
          <w:color w:val="auto"/>
          <w:sz w:val="24"/>
          <w:szCs w:val="24"/>
          <w:highlight w:val="none"/>
        </w:rPr>
      </w:pPr>
      <w:r>
        <w:rPr>
          <w:color w:val="auto"/>
          <w:spacing w:val="-3"/>
          <w:sz w:val="24"/>
          <w:szCs w:val="24"/>
          <w:highlight w:val="none"/>
        </w:rPr>
        <w:t>②承包人在已标价工程量清单或预算书中载明的材料单价高于基准价格的：专用合同条款</w:t>
      </w:r>
      <w:r>
        <w:rPr>
          <w:color w:val="auto"/>
          <w:spacing w:val="-2"/>
          <w:sz w:val="24"/>
          <w:szCs w:val="24"/>
          <w:highlight w:val="none"/>
        </w:rPr>
        <w:t>合同履行期间材料单价跌幅以基准价格为基础超过</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r>
        <w:rPr>
          <w:color w:val="auto"/>
          <w:spacing w:val="-3"/>
          <w:sz w:val="24"/>
          <w:szCs w:val="24"/>
          <w:highlight w:val="none"/>
        </w:rPr>
        <w:t>%时，材料单价涨幅以已标价工程量清单</w:t>
      </w:r>
      <w:r>
        <w:rPr>
          <w:color w:val="auto"/>
          <w:spacing w:val="-1"/>
          <w:sz w:val="24"/>
          <w:szCs w:val="24"/>
          <w:highlight w:val="none"/>
        </w:rPr>
        <w:t>或预算书中载明材料单价为基础超过</w:t>
      </w:r>
      <w:r>
        <w:rPr>
          <w:color w:val="auto"/>
          <w:spacing w:val="-1"/>
          <w:sz w:val="24"/>
          <w:szCs w:val="24"/>
          <w:highlight w:val="none"/>
          <w:u w:val="single" w:color="auto"/>
        </w:rPr>
        <w:t xml:space="preserve">   </w:t>
      </w:r>
      <w:r>
        <w:rPr>
          <w:color w:val="auto"/>
          <w:spacing w:val="-1"/>
          <w:sz w:val="24"/>
          <w:szCs w:val="24"/>
          <w:highlight w:val="none"/>
        </w:rPr>
        <w:t>%时，其超过部分据实调整。</w:t>
      </w:r>
    </w:p>
    <w:p>
      <w:pPr>
        <w:pStyle w:val="11"/>
        <w:keepNext w:val="0"/>
        <w:keepLines w:val="0"/>
        <w:pageBreakBefore w:val="0"/>
        <w:widowControl w:val="0"/>
        <w:kinsoku/>
        <w:wordWrap/>
        <w:overflowPunct/>
        <w:topLinePunct w:val="0"/>
        <w:autoSpaceDE/>
        <w:autoSpaceDN/>
        <w:bidi w:val="0"/>
        <w:adjustRightInd/>
        <w:snapToGrid/>
        <w:spacing w:line="360" w:lineRule="auto"/>
        <w:ind w:right="53" w:firstLine="238" w:firstLineChars="100"/>
        <w:jc w:val="left"/>
        <w:textAlignment w:val="auto"/>
        <w:rPr>
          <w:rFonts w:eastAsia="宋体"/>
          <w:color w:val="auto"/>
          <w:spacing w:val="-2"/>
          <w:sz w:val="24"/>
          <w:szCs w:val="24"/>
          <w:highlight w:val="none"/>
        </w:rPr>
      </w:pPr>
      <w:r>
        <w:rPr>
          <w:rFonts w:hint="eastAsia"/>
          <w:color w:val="auto"/>
          <w:spacing w:val="-1"/>
          <w:position w:val="17"/>
          <w:sz w:val="24"/>
          <w:szCs w:val="24"/>
          <w:highlight w:val="none"/>
          <w:lang w:val="en-US" w:eastAsia="zh-CN"/>
        </w:rPr>
        <w:t xml:space="preserve"> </w:t>
      </w:r>
      <w:r>
        <w:rPr>
          <w:rFonts w:hint="eastAsia" w:eastAsia="宋体"/>
          <w:color w:val="auto"/>
          <w:spacing w:val="-2"/>
          <w:sz w:val="24"/>
          <w:szCs w:val="24"/>
          <w:highlight w:val="none"/>
          <w:lang w:val="en-US" w:eastAsia="zh-CN"/>
        </w:rPr>
        <w:t xml:space="preserve"> </w:t>
      </w:r>
      <w:r>
        <w:rPr>
          <w:rFonts w:eastAsia="宋体"/>
          <w:color w:val="auto"/>
          <w:spacing w:val="-2"/>
          <w:sz w:val="24"/>
          <w:szCs w:val="24"/>
          <w:highlight w:val="none"/>
        </w:rPr>
        <w:t>③承包人在已标价工程量清单或预算书中载明的材料单价等于基准单价的：专用合同条款合同履行期间材料单价涨跌幅以基准单价为基础超过±</w:t>
      </w:r>
      <w:r>
        <w:rPr>
          <w:rFonts w:eastAsia="宋体"/>
          <w:color w:val="auto"/>
          <w:spacing w:val="-2"/>
          <w:sz w:val="24"/>
          <w:szCs w:val="24"/>
          <w:highlight w:val="none"/>
          <w:u w:val="single"/>
        </w:rPr>
        <w:t xml:space="preserve">   </w:t>
      </w:r>
      <w:r>
        <w:rPr>
          <w:rFonts w:eastAsia="宋体"/>
          <w:color w:val="auto"/>
          <w:spacing w:val="-2"/>
          <w:sz w:val="24"/>
          <w:szCs w:val="24"/>
          <w:highlight w:val="none"/>
        </w:rPr>
        <w:t>%时，其超过部分据实调整。</w:t>
      </w:r>
    </w:p>
    <w:p>
      <w:pPr>
        <w:pStyle w:val="11"/>
        <w:keepNext w:val="0"/>
        <w:keepLines w:val="0"/>
        <w:pageBreakBefore w:val="0"/>
        <w:widowControl w:val="0"/>
        <w:kinsoku/>
        <w:wordWrap/>
        <w:overflowPunct/>
        <w:topLinePunct w:val="0"/>
        <w:autoSpaceDE/>
        <w:autoSpaceDN/>
        <w:bidi w:val="0"/>
        <w:adjustRightInd/>
        <w:snapToGrid/>
        <w:spacing w:after="0" w:line="360" w:lineRule="auto"/>
        <w:ind w:left="65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种方式：其他价格调整方式：</w:t>
      </w:r>
      <w:r>
        <w:rPr>
          <w:rFonts w:hint="eastAsia" w:ascii="宋体" w:hAnsi="宋体" w:eastAsia="宋体" w:cs="宋体"/>
          <w:color w:val="auto"/>
          <w:sz w:val="24"/>
          <w:szCs w:val="24"/>
          <w:highlight w:val="none"/>
          <w:u w:val="single" w:color="auto"/>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12.</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合同价格、计量与支付</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12.1</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合同价格形式</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1、单价合同。</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right="53" w:firstLine="48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color="auto"/>
        </w:rPr>
        <w:t xml:space="preserve"> 招标工程量清单包含的由</w:t>
      </w:r>
      <w:r>
        <w:rPr>
          <w:rFonts w:hint="eastAsia" w:ascii="宋体" w:hAnsi="宋体" w:eastAsia="宋体" w:cs="宋体"/>
          <w:color w:val="auto"/>
          <w:spacing w:val="-1"/>
          <w:sz w:val="24"/>
          <w:szCs w:val="24"/>
          <w:highlight w:val="none"/>
          <w:u w:val="single" w:color="auto"/>
        </w:rPr>
        <w:t>于承包人漏报、未报的项目，招</w:t>
      </w:r>
      <w:r>
        <w:rPr>
          <w:rFonts w:hint="eastAsia" w:ascii="宋体" w:hAnsi="宋体" w:eastAsia="宋体" w:cs="宋体"/>
          <w:color w:val="auto"/>
          <w:spacing w:val="-3"/>
          <w:sz w:val="24"/>
          <w:szCs w:val="24"/>
          <w:highlight w:val="none"/>
          <w:u w:val="single" w:color="auto"/>
        </w:rPr>
        <w:t>标人视同投标人优惠，不予调整，并认为此项费用已包括在工程量清单的其它综合单价和合价</w:t>
      </w:r>
      <w:r>
        <w:rPr>
          <w:rFonts w:hint="eastAsia" w:ascii="宋体" w:hAnsi="宋体" w:eastAsia="宋体" w:cs="宋体"/>
          <w:color w:val="auto"/>
          <w:spacing w:val="-16"/>
          <w:sz w:val="24"/>
          <w:szCs w:val="24"/>
          <w:highlight w:val="none"/>
          <w:u w:val="single" w:color="auto"/>
        </w:rPr>
        <w:t>中</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right="53"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color="auto"/>
        </w:rPr>
        <w:t xml:space="preserve"> 应由承包人承担的风险费用已由承</w:t>
      </w:r>
      <w:r>
        <w:rPr>
          <w:rFonts w:hint="eastAsia" w:ascii="宋体" w:hAnsi="宋体" w:eastAsia="宋体" w:cs="宋体"/>
          <w:color w:val="auto"/>
          <w:spacing w:val="-1"/>
          <w:sz w:val="24"/>
          <w:szCs w:val="24"/>
          <w:highlight w:val="none"/>
          <w:u w:val="single" w:color="auto"/>
        </w:rPr>
        <w:t>包人根据自身经验作了充分</w:t>
      </w:r>
      <w:r>
        <w:rPr>
          <w:rFonts w:hint="eastAsia" w:ascii="宋体" w:hAnsi="宋体" w:eastAsia="宋体" w:cs="宋体"/>
          <w:color w:val="auto"/>
          <w:spacing w:val="-2"/>
          <w:sz w:val="24"/>
          <w:szCs w:val="24"/>
          <w:highlight w:val="none"/>
          <w:u w:val="single" w:color="auto"/>
        </w:rPr>
        <w:t>估计并已计入合同协议确定的合同价款中，</w:t>
      </w:r>
      <w:r>
        <w:rPr>
          <w:rFonts w:hint="eastAsia" w:ascii="宋体" w:hAnsi="宋体" w:eastAsia="宋体" w:cs="宋体"/>
          <w:color w:val="auto"/>
          <w:spacing w:val="-3"/>
          <w:sz w:val="24"/>
          <w:szCs w:val="24"/>
          <w:highlight w:val="none"/>
          <w:u w:val="single" w:color="auto"/>
        </w:rPr>
        <w:t>风险费用未单独计列的，应认为已经包含在合同价</w:t>
      </w:r>
      <w:r>
        <w:rPr>
          <w:rFonts w:hint="eastAsia" w:ascii="宋体" w:hAnsi="宋体" w:eastAsia="宋体" w:cs="宋体"/>
          <w:color w:val="auto"/>
          <w:spacing w:val="-2"/>
          <w:sz w:val="24"/>
          <w:szCs w:val="24"/>
          <w:highlight w:val="none"/>
          <w:u w:val="single" w:color="auto"/>
        </w:rPr>
        <w:t>款中。投标人所报清单中的相同清单项综合</w:t>
      </w:r>
      <w:r>
        <w:rPr>
          <w:rFonts w:hint="eastAsia" w:ascii="宋体" w:hAnsi="宋体" w:eastAsia="宋体" w:cs="宋体"/>
          <w:color w:val="auto"/>
          <w:spacing w:val="-3"/>
          <w:sz w:val="24"/>
          <w:szCs w:val="24"/>
          <w:highlight w:val="none"/>
          <w:u w:val="single" w:color="auto"/>
        </w:rPr>
        <w:t>单价应保持一致，若出现不同综合单价时，结算时</w:t>
      </w:r>
      <w:r>
        <w:rPr>
          <w:rFonts w:hint="eastAsia" w:ascii="宋体" w:hAnsi="宋体" w:eastAsia="宋体" w:cs="宋体"/>
          <w:color w:val="auto"/>
          <w:spacing w:val="-1"/>
          <w:sz w:val="24"/>
          <w:szCs w:val="24"/>
          <w:highlight w:val="none"/>
          <w:u w:val="single" w:color="auto"/>
        </w:rPr>
        <w:t xml:space="preserve">按不利于承包人的原则进行结算  </w:t>
      </w:r>
      <w:r>
        <w:rPr>
          <w:rFonts w:hint="eastAsia" w:ascii="宋体" w:hAnsi="宋体" w:eastAsia="宋体" w:cs="宋体"/>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风险范围以外合同价格的调整方法：</w:t>
      </w:r>
      <w:r>
        <w:rPr>
          <w:rFonts w:hint="eastAsia" w:ascii="宋体" w:hAnsi="宋体" w:eastAsia="宋体" w:cs="宋体"/>
          <w:color w:val="auto"/>
          <w:spacing w:val="-1"/>
          <w:sz w:val="24"/>
          <w:szCs w:val="24"/>
          <w:highlight w:val="none"/>
          <w:u w:val="single" w:color="auto"/>
        </w:rPr>
        <w:t xml:space="preserve"> 政策性调价文件、招标</w:t>
      </w:r>
      <w:r>
        <w:rPr>
          <w:rFonts w:hint="eastAsia" w:ascii="宋体" w:hAnsi="宋体" w:eastAsia="宋体" w:cs="宋体"/>
          <w:color w:val="auto"/>
          <w:spacing w:val="-2"/>
          <w:sz w:val="24"/>
          <w:szCs w:val="24"/>
          <w:highlight w:val="none"/>
          <w:u w:val="single" w:color="auto"/>
        </w:rPr>
        <w:t>工程量清单中的暂定项、清单漏项、经发包人确认的变更、签证，属</w:t>
      </w:r>
      <w:r>
        <w:rPr>
          <w:rFonts w:hint="eastAsia" w:ascii="宋体" w:hAnsi="宋体" w:eastAsia="宋体" w:cs="宋体"/>
          <w:color w:val="auto"/>
          <w:spacing w:val="-3"/>
          <w:sz w:val="24"/>
          <w:szCs w:val="24"/>
          <w:highlight w:val="none"/>
          <w:u w:val="single" w:color="auto"/>
        </w:rPr>
        <w:t>于风险范围外合同价款，计算费用时按下列方法进</w:t>
      </w:r>
      <w:r>
        <w:rPr>
          <w:rFonts w:hint="eastAsia" w:ascii="宋体" w:hAnsi="宋体" w:eastAsia="宋体" w:cs="宋体"/>
          <w:color w:val="auto"/>
          <w:spacing w:val="-5"/>
          <w:sz w:val="24"/>
          <w:szCs w:val="24"/>
          <w:highlight w:val="none"/>
          <w:u w:val="single" w:color="auto"/>
        </w:rPr>
        <w:t>行：</w:t>
      </w:r>
    </w:p>
    <w:p>
      <w:pPr>
        <w:pStyle w:val="11"/>
        <w:keepNext w:val="0"/>
        <w:keepLines w:val="0"/>
        <w:pageBreakBefore w:val="0"/>
        <w:widowControl w:val="0"/>
        <w:tabs>
          <w:tab w:val="left" w:pos="615"/>
        </w:tabs>
        <w:kinsoku/>
        <w:wordWrap/>
        <w:overflowPunct/>
        <w:topLinePunct w:val="0"/>
        <w:autoSpaceDE/>
        <w:autoSpaceDN/>
        <w:bidi w:val="0"/>
        <w:adjustRightInd/>
        <w:snapToGrid/>
        <w:spacing w:after="0" w:line="360" w:lineRule="auto"/>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4"/>
          <w:sz w:val="24"/>
          <w:szCs w:val="24"/>
          <w:highlight w:val="none"/>
          <w:u w:val="single" w:color="auto"/>
        </w:rPr>
        <w:t>（1）合同已有适用的综合单价，按合同已有的综合单价结算。</w:t>
      </w:r>
    </w:p>
    <w:p>
      <w:pPr>
        <w:pStyle w:val="11"/>
        <w:keepNext w:val="0"/>
        <w:keepLines w:val="0"/>
        <w:pageBreakBefore w:val="0"/>
        <w:widowControl w:val="0"/>
        <w:tabs>
          <w:tab w:val="left" w:pos="615"/>
        </w:tabs>
        <w:kinsoku/>
        <w:wordWrap/>
        <w:overflowPunct/>
        <w:topLinePunct w:val="0"/>
        <w:autoSpaceDE/>
        <w:autoSpaceDN/>
        <w:bidi w:val="0"/>
        <w:adjustRightInd/>
        <w:snapToGrid/>
        <w:spacing w:after="0" w:line="360" w:lineRule="auto"/>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4"/>
          <w:sz w:val="24"/>
          <w:szCs w:val="24"/>
          <w:highlight w:val="none"/>
          <w:u w:val="single" w:color="auto"/>
        </w:rPr>
        <w:t>（2）合同中只有类似的综合单价，参照类似综合单价进行结算。</w:t>
      </w:r>
    </w:p>
    <w:p>
      <w:pPr>
        <w:pStyle w:val="11"/>
        <w:keepNext w:val="0"/>
        <w:keepLines w:val="0"/>
        <w:pageBreakBefore w:val="0"/>
        <w:widowControl w:val="0"/>
        <w:tabs>
          <w:tab w:val="left" w:pos="615"/>
        </w:tabs>
        <w:kinsoku/>
        <w:wordWrap/>
        <w:overflowPunct/>
        <w:topLinePunct w:val="0"/>
        <w:autoSpaceDE/>
        <w:autoSpaceDN/>
        <w:bidi w:val="0"/>
        <w:adjustRightInd/>
        <w:snapToGrid/>
        <w:spacing w:after="0" w:line="360" w:lineRule="auto"/>
        <w:ind w:left="8" w:right="82" w:firstLine="4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3"/>
          <w:sz w:val="24"/>
          <w:szCs w:val="24"/>
          <w:highlight w:val="none"/>
          <w:u w:val="single" w:color="auto"/>
        </w:rPr>
        <w:t>（3）合同中没有适用或类似的综合单价时，按招标期控制价的编制原则编制其综合单价</w:t>
      </w:r>
      <w:r>
        <w:rPr>
          <w:rFonts w:hint="eastAsia" w:ascii="宋体" w:hAnsi="宋体" w:eastAsia="宋体" w:cs="宋体"/>
          <w:color w:val="auto"/>
          <w:spacing w:val="1"/>
          <w:sz w:val="24"/>
          <w:szCs w:val="24"/>
          <w:highlight w:val="none"/>
          <w:u w:val="single" w:color="auto"/>
        </w:rPr>
        <w:t>优惠比例=[(招标控制价上限-中标价)/招标控</w:t>
      </w:r>
      <w:r>
        <w:rPr>
          <w:rFonts w:hint="eastAsia" w:ascii="宋体" w:hAnsi="宋体" w:eastAsia="宋体" w:cs="宋体"/>
          <w:color w:val="auto"/>
          <w:sz w:val="24"/>
          <w:szCs w:val="24"/>
          <w:highlight w:val="none"/>
          <w:u w:val="single" w:color="auto"/>
        </w:rPr>
        <w:t>制价上限]×100%。</w:t>
      </w:r>
    </w:p>
    <w:p>
      <w:pPr>
        <w:pStyle w:val="11"/>
        <w:keepNext w:val="0"/>
        <w:keepLines w:val="0"/>
        <w:pageBreakBefore w:val="0"/>
        <w:widowControl w:val="0"/>
        <w:tabs>
          <w:tab w:val="left" w:pos="615"/>
        </w:tabs>
        <w:kinsoku/>
        <w:wordWrap/>
        <w:overflowPunct/>
        <w:topLinePunct w:val="0"/>
        <w:autoSpaceDE/>
        <w:autoSpaceDN/>
        <w:bidi w:val="0"/>
        <w:adjustRightInd/>
        <w:snapToGrid/>
        <w:spacing w:after="0" w:line="360" w:lineRule="auto"/>
        <w:ind w:left="29" w:firstLine="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6"/>
          <w:sz w:val="24"/>
          <w:szCs w:val="24"/>
          <w:highlight w:val="none"/>
          <w:u w:val="single" w:color="auto"/>
        </w:rPr>
        <w:t>（4）经发包方认质认价的材料，在工程结算时计算材料差价，本工程约定的± 5%幅度内</w:t>
      </w:r>
      <w:r>
        <w:rPr>
          <w:rFonts w:hint="eastAsia" w:ascii="宋体" w:hAnsi="宋体" w:eastAsia="宋体" w:cs="宋体"/>
          <w:color w:val="auto"/>
          <w:spacing w:val="-7"/>
          <w:sz w:val="24"/>
          <w:szCs w:val="24"/>
          <w:highlight w:val="none"/>
          <w:u w:val="single" w:color="auto"/>
        </w:rPr>
        <w:t>的风险由承包人自主报价、自我承担，约定幅度外的风险由发包人承担。本工程主要建筑材料、</w:t>
      </w:r>
      <w:r>
        <w:rPr>
          <w:rFonts w:hint="eastAsia" w:ascii="宋体" w:hAnsi="宋体" w:eastAsia="宋体" w:cs="宋体"/>
          <w:color w:val="auto"/>
          <w:sz w:val="24"/>
          <w:szCs w:val="24"/>
          <w:highlight w:val="none"/>
          <w:u w:val="single" w:color="auto"/>
        </w:rPr>
        <w:t>设备包括： 商品混凝土、水泥 、砂、石</w:t>
      </w:r>
      <w:r>
        <w:rPr>
          <w:rFonts w:hint="eastAsia" w:ascii="宋体" w:hAnsi="宋体" w:eastAsia="宋体" w:cs="宋体"/>
          <w:color w:val="auto"/>
          <w:spacing w:val="-1"/>
          <w:sz w:val="24"/>
          <w:szCs w:val="24"/>
          <w:highlight w:val="none"/>
          <w:u w:val="single" w:color="auto"/>
        </w:rPr>
        <w:t xml:space="preserve">、熟石灰、汽油、柴油    </w:t>
      </w:r>
      <w:r>
        <w:rPr>
          <w:rFonts w:hint="eastAsia" w:ascii="宋体" w:hAnsi="宋体" w:eastAsia="宋体" w:cs="宋体"/>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2、总价合同。</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color="auto"/>
        </w:rPr>
        <w:t xml:space="preserve">              /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z w:val="24"/>
          <w:szCs w:val="24"/>
          <w:highlight w:val="none"/>
        </w:rPr>
        <w:t>风险费用的计算方法：</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z w:val="24"/>
          <w:szCs w:val="24"/>
          <w:highlight w:val="none"/>
        </w:rPr>
        <w:t>风险范围以外合同价格的调整方法：</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1"/>
          <w:sz w:val="24"/>
          <w:szCs w:val="24"/>
          <w:highlight w:val="none"/>
        </w:rPr>
        <w:t>3、其他价格方式：</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12.2</w:t>
      </w:r>
      <w:r>
        <w:rPr>
          <w:color w:val="auto"/>
          <w:spacing w:val="14"/>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预付款</w:t>
      </w:r>
    </w:p>
    <w:p>
      <w:pPr>
        <w:pStyle w:val="11"/>
        <w:keepNext w:val="0"/>
        <w:keepLines w:val="0"/>
        <w:pageBreakBefore w:val="0"/>
        <w:widowControl w:val="0"/>
        <w:kinsoku/>
        <w:wordWrap/>
        <w:overflowPunct/>
        <w:topLinePunct w:val="0"/>
        <w:autoSpaceDE/>
        <w:autoSpaceDN/>
        <w:bidi w:val="0"/>
        <w:adjustRightInd/>
        <w:snapToGrid/>
        <w:spacing w:line="360" w:lineRule="auto"/>
        <w:ind w:left="507"/>
        <w:textAlignment w:val="auto"/>
        <w:rPr>
          <w:color w:val="auto"/>
          <w:sz w:val="24"/>
          <w:szCs w:val="24"/>
          <w:highlight w:val="none"/>
        </w:rPr>
      </w:pPr>
      <w:r>
        <w:rPr>
          <w:color w:val="auto"/>
          <w:spacing w:val="-3"/>
          <w:sz w:val="24"/>
          <w:szCs w:val="24"/>
          <w:highlight w:val="none"/>
        </w:rPr>
        <w:t>12.2.1 预付款的支付</w:t>
      </w:r>
    </w:p>
    <w:p>
      <w:pPr>
        <w:pStyle w:val="11"/>
        <w:keepNext w:val="0"/>
        <w:keepLines w:val="0"/>
        <w:pageBreakBefore w:val="0"/>
        <w:widowControl w:val="0"/>
        <w:kinsoku/>
        <w:wordWrap/>
        <w:overflowPunct/>
        <w:topLinePunct w:val="0"/>
        <w:autoSpaceDE/>
        <w:autoSpaceDN/>
        <w:bidi w:val="0"/>
        <w:adjustRightInd/>
        <w:snapToGrid/>
        <w:spacing w:line="360" w:lineRule="auto"/>
        <w:ind w:left="491"/>
        <w:textAlignment w:val="auto"/>
        <w:rPr>
          <w:color w:val="auto"/>
          <w:sz w:val="24"/>
          <w:szCs w:val="24"/>
          <w:highlight w:val="none"/>
        </w:rPr>
      </w:pPr>
      <w:r>
        <w:rPr>
          <w:color w:val="auto"/>
          <w:sz w:val="24"/>
          <w:szCs w:val="24"/>
          <w:highlight w:val="none"/>
        </w:rPr>
        <w:t>预付款支付比例或金额：</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491"/>
        <w:textAlignment w:val="auto"/>
        <w:rPr>
          <w:color w:val="auto"/>
          <w:sz w:val="24"/>
          <w:szCs w:val="24"/>
          <w:highlight w:val="none"/>
        </w:rPr>
      </w:pPr>
      <w:r>
        <w:rPr>
          <w:color w:val="auto"/>
          <w:sz w:val="24"/>
          <w:szCs w:val="24"/>
          <w:highlight w:val="none"/>
        </w:rPr>
        <w:t>预付款支付期限：</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491"/>
        <w:textAlignment w:val="auto"/>
        <w:rPr>
          <w:color w:val="auto"/>
          <w:sz w:val="24"/>
          <w:szCs w:val="24"/>
          <w:highlight w:val="none"/>
        </w:rPr>
      </w:pPr>
      <w:r>
        <w:rPr>
          <w:color w:val="auto"/>
          <w:sz w:val="24"/>
          <w:szCs w:val="24"/>
          <w:highlight w:val="none"/>
        </w:rPr>
        <w:t>预付款扣回的方式：</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07"/>
        <w:textAlignment w:val="auto"/>
        <w:rPr>
          <w:color w:val="auto"/>
          <w:sz w:val="24"/>
          <w:szCs w:val="24"/>
          <w:highlight w:val="none"/>
        </w:rPr>
      </w:pPr>
      <w:r>
        <w:rPr>
          <w:color w:val="auto"/>
          <w:spacing w:val="-3"/>
          <w:sz w:val="24"/>
          <w:szCs w:val="24"/>
          <w:highlight w:val="none"/>
        </w:rPr>
        <w:t>12.2.2 预付款担保</w:t>
      </w:r>
    </w:p>
    <w:p>
      <w:pPr>
        <w:pStyle w:val="11"/>
        <w:keepNext w:val="0"/>
        <w:keepLines w:val="0"/>
        <w:pageBreakBefore w:val="0"/>
        <w:widowControl w:val="0"/>
        <w:kinsoku/>
        <w:wordWrap/>
        <w:overflowPunct/>
        <w:topLinePunct w:val="0"/>
        <w:autoSpaceDE/>
        <w:autoSpaceDN/>
        <w:bidi w:val="0"/>
        <w:adjustRightInd/>
        <w:snapToGrid/>
        <w:spacing w:line="360" w:lineRule="auto"/>
        <w:ind w:left="489"/>
        <w:textAlignment w:val="auto"/>
        <w:rPr>
          <w:color w:val="auto"/>
          <w:sz w:val="24"/>
          <w:szCs w:val="24"/>
          <w:highlight w:val="none"/>
        </w:rPr>
      </w:pPr>
      <w:r>
        <w:rPr>
          <w:color w:val="auto"/>
          <w:sz w:val="24"/>
          <w:szCs w:val="24"/>
          <w:highlight w:val="none"/>
        </w:rPr>
        <w:t>承包人提交预付款担保的期限：</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491"/>
        <w:textAlignment w:val="auto"/>
        <w:rPr>
          <w:color w:val="auto"/>
          <w:sz w:val="24"/>
          <w:szCs w:val="24"/>
          <w:highlight w:val="none"/>
        </w:rPr>
      </w:pPr>
      <w:r>
        <w:rPr>
          <w:color w:val="auto"/>
          <w:sz w:val="24"/>
          <w:szCs w:val="24"/>
          <w:highlight w:val="none"/>
        </w:rPr>
        <w:t>预付款担保的形式为：</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07"/>
        <w:textAlignment w:val="auto"/>
        <w:rPr>
          <w:color w:val="auto"/>
          <w:sz w:val="24"/>
          <w:szCs w:val="24"/>
          <w:highlight w:val="none"/>
        </w:rPr>
      </w:pPr>
      <w:r>
        <w:rPr>
          <w:color w:val="auto"/>
          <w:spacing w:val="-6"/>
          <w:sz w:val="24"/>
          <w:szCs w:val="24"/>
          <w:highlight w:val="none"/>
          <w14:textOutline w14:w="4358" w14:cap="sq" w14:cmpd="sng">
            <w14:solidFill>
              <w14:srgbClr w14:val="000000"/>
            </w14:solidFill>
            <w14:prstDash w14:val="solid"/>
            <w14:bevel/>
          </w14:textOutline>
        </w:rPr>
        <w:t>12.3</w:t>
      </w:r>
      <w:r>
        <w:rPr>
          <w:color w:val="auto"/>
          <w:spacing w:val="12"/>
          <w:sz w:val="24"/>
          <w:szCs w:val="24"/>
          <w:highlight w:val="none"/>
        </w:rPr>
        <w:t xml:space="preserve"> </w:t>
      </w:r>
      <w:r>
        <w:rPr>
          <w:color w:val="auto"/>
          <w:spacing w:val="-6"/>
          <w:sz w:val="24"/>
          <w:szCs w:val="24"/>
          <w:highlight w:val="none"/>
          <w14:textOutline w14:w="4358" w14:cap="sq" w14:cmpd="sng">
            <w14:solidFill>
              <w14:srgbClr w14:val="000000"/>
            </w14:solidFill>
            <w14:prstDash w14:val="solid"/>
            <w14:bevel/>
          </w14:textOutline>
        </w:rPr>
        <w:t>计量</w:t>
      </w:r>
    </w:p>
    <w:p>
      <w:pPr>
        <w:pStyle w:val="11"/>
        <w:keepNext w:val="0"/>
        <w:keepLines w:val="0"/>
        <w:pageBreakBefore w:val="0"/>
        <w:widowControl w:val="0"/>
        <w:kinsoku/>
        <w:wordWrap/>
        <w:overflowPunct/>
        <w:topLinePunct w:val="0"/>
        <w:autoSpaceDE/>
        <w:autoSpaceDN/>
        <w:bidi w:val="0"/>
        <w:adjustRightInd/>
        <w:snapToGrid/>
        <w:spacing w:line="360" w:lineRule="auto"/>
        <w:ind w:left="507"/>
        <w:textAlignment w:val="auto"/>
        <w:rPr>
          <w:color w:val="auto"/>
          <w:sz w:val="24"/>
          <w:szCs w:val="24"/>
          <w:highlight w:val="none"/>
        </w:rPr>
      </w:pPr>
      <w:r>
        <w:rPr>
          <w:color w:val="auto"/>
          <w:spacing w:val="-3"/>
          <w:sz w:val="24"/>
          <w:szCs w:val="24"/>
          <w:highlight w:val="none"/>
        </w:rPr>
        <w:t>12.3.1 计量原则</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工程量计算规则：</w:t>
      </w:r>
      <w:r>
        <w:rPr>
          <w:color w:val="auto"/>
          <w:sz w:val="24"/>
          <w:szCs w:val="24"/>
          <w:highlight w:val="none"/>
          <w:u w:val="single" w:color="auto"/>
        </w:rPr>
        <w:t xml:space="preserve"> 依据《陕西省建设工程工程量清单计价规</w:t>
      </w:r>
      <w:r>
        <w:rPr>
          <w:color w:val="auto"/>
          <w:spacing w:val="-1"/>
          <w:sz w:val="24"/>
          <w:szCs w:val="24"/>
          <w:highlight w:val="none"/>
          <w:u w:val="single" w:color="auto"/>
        </w:rPr>
        <w:t>则》（2009）实际已完成的合格工程并经发包人、监理人、承包人三方共同确</w:t>
      </w:r>
      <w:r>
        <w:rPr>
          <w:color w:val="auto"/>
          <w:spacing w:val="-2"/>
          <w:sz w:val="24"/>
          <w:szCs w:val="24"/>
          <w:highlight w:val="none"/>
          <w:u w:val="single" w:color="auto"/>
        </w:rPr>
        <w:t xml:space="preserve">认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07"/>
        <w:textAlignment w:val="auto"/>
        <w:rPr>
          <w:color w:val="auto"/>
          <w:sz w:val="24"/>
          <w:szCs w:val="24"/>
          <w:highlight w:val="none"/>
        </w:rPr>
      </w:pPr>
      <w:r>
        <w:rPr>
          <w:color w:val="auto"/>
          <w:spacing w:val="-3"/>
          <w:sz w:val="24"/>
          <w:szCs w:val="24"/>
          <w:highlight w:val="none"/>
        </w:rPr>
        <w:t>12.3.2 计量周期</w:t>
      </w:r>
    </w:p>
    <w:p>
      <w:pPr>
        <w:pStyle w:val="11"/>
        <w:keepNext w:val="0"/>
        <w:keepLines w:val="0"/>
        <w:pageBreakBefore w:val="0"/>
        <w:widowControl w:val="0"/>
        <w:kinsoku/>
        <w:wordWrap/>
        <w:overflowPunct/>
        <w:topLinePunct w:val="0"/>
        <w:autoSpaceDE/>
        <w:autoSpaceDN/>
        <w:bidi w:val="0"/>
        <w:adjustRightInd/>
        <w:snapToGrid/>
        <w:spacing w:line="360" w:lineRule="auto"/>
        <w:ind w:left="493"/>
        <w:textAlignment w:val="auto"/>
        <w:rPr>
          <w:color w:val="auto"/>
          <w:sz w:val="24"/>
          <w:szCs w:val="24"/>
          <w:highlight w:val="none"/>
        </w:rPr>
      </w:pPr>
      <w:r>
        <w:rPr>
          <w:color w:val="auto"/>
          <w:sz w:val="24"/>
          <w:szCs w:val="24"/>
          <w:highlight w:val="none"/>
        </w:rPr>
        <w:t>关于计量周期的约定：</w:t>
      </w:r>
      <w:r>
        <w:rPr>
          <w:color w:val="auto"/>
          <w:sz w:val="24"/>
          <w:szCs w:val="24"/>
          <w:highlight w:val="none"/>
          <w:u w:val="single" w:color="auto"/>
        </w:rPr>
        <w:t xml:space="preserve">           执</w:t>
      </w:r>
      <w:r>
        <w:rPr>
          <w:color w:val="auto"/>
          <w:spacing w:val="-1"/>
          <w:sz w:val="24"/>
          <w:szCs w:val="24"/>
          <w:highlight w:val="none"/>
          <w:u w:val="single" w:color="auto"/>
        </w:rPr>
        <w:t xml:space="preserve">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07"/>
        <w:textAlignment w:val="auto"/>
        <w:rPr>
          <w:color w:val="auto"/>
          <w:sz w:val="24"/>
          <w:szCs w:val="24"/>
          <w:highlight w:val="none"/>
        </w:rPr>
      </w:pPr>
      <w:r>
        <w:rPr>
          <w:color w:val="auto"/>
          <w:spacing w:val="-2"/>
          <w:sz w:val="24"/>
          <w:szCs w:val="24"/>
          <w:highlight w:val="none"/>
        </w:rPr>
        <w:t>12.3.3 单价合同的计量</w:t>
      </w:r>
    </w:p>
    <w:p>
      <w:pPr>
        <w:pStyle w:val="11"/>
        <w:keepNext w:val="0"/>
        <w:keepLines w:val="0"/>
        <w:pageBreakBefore w:val="0"/>
        <w:widowControl w:val="0"/>
        <w:kinsoku/>
        <w:wordWrap/>
        <w:overflowPunct/>
        <w:topLinePunct w:val="0"/>
        <w:autoSpaceDE/>
        <w:autoSpaceDN/>
        <w:bidi w:val="0"/>
        <w:adjustRightInd/>
        <w:snapToGrid/>
        <w:spacing w:line="360" w:lineRule="auto"/>
        <w:ind w:left="493"/>
        <w:textAlignment w:val="auto"/>
        <w:rPr>
          <w:color w:val="auto"/>
          <w:sz w:val="24"/>
          <w:szCs w:val="24"/>
          <w:highlight w:val="none"/>
        </w:rPr>
      </w:pPr>
      <w:r>
        <w:rPr>
          <w:color w:val="auto"/>
          <w:sz w:val="24"/>
          <w:szCs w:val="24"/>
          <w:highlight w:val="none"/>
        </w:rPr>
        <w:t>关于单价合同计量的约定：</w:t>
      </w:r>
      <w:r>
        <w:rPr>
          <w:color w:val="auto"/>
          <w:sz w:val="24"/>
          <w:szCs w:val="24"/>
          <w:highlight w:val="none"/>
          <w:u w:val="single" w:color="auto"/>
        </w:rPr>
        <w:t xml:space="preserve">     执行</w:t>
      </w:r>
      <w:r>
        <w:rPr>
          <w:color w:val="auto"/>
          <w:spacing w:val="-1"/>
          <w:sz w:val="24"/>
          <w:szCs w:val="24"/>
          <w:highlight w:val="none"/>
          <w:u w:val="single" w:color="auto"/>
        </w:rPr>
        <w:t xml:space="preserve">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07"/>
        <w:textAlignment w:val="auto"/>
        <w:rPr>
          <w:color w:val="auto"/>
          <w:sz w:val="24"/>
          <w:szCs w:val="24"/>
          <w:highlight w:val="none"/>
        </w:rPr>
      </w:pPr>
      <w:r>
        <w:rPr>
          <w:color w:val="auto"/>
          <w:spacing w:val="-2"/>
          <w:sz w:val="24"/>
          <w:szCs w:val="24"/>
          <w:highlight w:val="none"/>
        </w:rPr>
        <w:t>12.3.4 总价合同的计量</w:t>
      </w:r>
    </w:p>
    <w:p>
      <w:pPr>
        <w:pStyle w:val="11"/>
        <w:keepNext w:val="0"/>
        <w:keepLines w:val="0"/>
        <w:pageBreakBefore w:val="0"/>
        <w:widowControl w:val="0"/>
        <w:kinsoku/>
        <w:wordWrap/>
        <w:overflowPunct/>
        <w:topLinePunct w:val="0"/>
        <w:autoSpaceDE/>
        <w:autoSpaceDN/>
        <w:bidi w:val="0"/>
        <w:adjustRightInd/>
        <w:snapToGrid/>
        <w:spacing w:line="360" w:lineRule="auto"/>
        <w:ind w:left="493"/>
        <w:textAlignment w:val="auto"/>
        <w:rPr>
          <w:color w:val="auto"/>
          <w:sz w:val="24"/>
          <w:szCs w:val="24"/>
          <w:highlight w:val="none"/>
        </w:rPr>
      </w:pPr>
      <w:r>
        <w:rPr>
          <w:color w:val="auto"/>
          <w:spacing w:val="-1"/>
          <w:sz w:val="24"/>
          <w:szCs w:val="24"/>
          <w:highlight w:val="none"/>
        </w:rPr>
        <w:t>关于总价合同计量的约定：</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hint="eastAsia"/>
          <w:color w:val="auto"/>
          <w:spacing w:val="-2"/>
          <w:sz w:val="24"/>
          <w:szCs w:val="24"/>
          <w:highlight w:val="none"/>
          <w:lang w:val="en-US" w:eastAsia="zh-CN"/>
        </w:rPr>
        <w:t xml:space="preserve">   </w:t>
      </w:r>
      <w:r>
        <w:rPr>
          <w:color w:val="auto"/>
          <w:spacing w:val="-2"/>
          <w:sz w:val="24"/>
          <w:szCs w:val="24"/>
          <w:highlight w:val="none"/>
        </w:rPr>
        <w:t>12.3.5</w:t>
      </w:r>
      <w:r>
        <w:rPr>
          <w:color w:val="auto"/>
          <w:spacing w:val="-44"/>
          <w:sz w:val="24"/>
          <w:szCs w:val="24"/>
          <w:highlight w:val="none"/>
        </w:rPr>
        <w:t xml:space="preserve"> </w:t>
      </w:r>
      <w:r>
        <w:rPr>
          <w:color w:val="auto"/>
          <w:spacing w:val="-2"/>
          <w:sz w:val="24"/>
          <w:szCs w:val="24"/>
          <w:highlight w:val="none"/>
        </w:rPr>
        <w:t>总价合同采用支付分解表计量</w:t>
      </w:r>
      <w:r>
        <w:rPr>
          <w:color w:val="auto"/>
          <w:spacing w:val="-3"/>
          <w:sz w:val="24"/>
          <w:szCs w:val="24"/>
          <w:highlight w:val="none"/>
        </w:rPr>
        <w:t>支付的，是否适用第</w:t>
      </w:r>
      <w:r>
        <w:rPr>
          <w:color w:val="auto"/>
          <w:spacing w:val="-33"/>
          <w:sz w:val="24"/>
          <w:szCs w:val="24"/>
          <w:highlight w:val="none"/>
        </w:rPr>
        <w:t xml:space="preserve"> </w:t>
      </w:r>
      <w:r>
        <w:rPr>
          <w:color w:val="auto"/>
          <w:spacing w:val="-3"/>
          <w:sz w:val="24"/>
          <w:szCs w:val="24"/>
          <w:highlight w:val="none"/>
        </w:rPr>
        <w:t>12.3.4 项〔总价合同的计量〕</w:t>
      </w:r>
      <w:r>
        <w:rPr>
          <w:color w:val="auto"/>
          <w:spacing w:val="-1"/>
          <w:sz w:val="24"/>
          <w:szCs w:val="24"/>
          <w:highlight w:val="none"/>
        </w:rPr>
        <w:t>约定进行计量：</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12.3.6 其他价格形式合同的计量</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z w:val="24"/>
          <w:szCs w:val="24"/>
          <w:highlight w:val="none"/>
        </w:rPr>
        <w:t>其他价格形式的计量方式和程序：</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12.4</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工程进度款支付</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12.4.1 付款周期</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right="20" w:firstLine="482"/>
        <w:textAlignment w:val="auto"/>
        <w:rPr>
          <w:color w:val="auto"/>
          <w:sz w:val="24"/>
          <w:szCs w:val="24"/>
          <w:highlight w:val="none"/>
        </w:rPr>
      </w:pPr>
      <w:r>
        <w:rPr>
          <w:color w:val="auto"/>
          <w:sz w:val="24"/>
          <w:szCs w:val="24"/>
          <w:highlight w:val="none"/>
        </w:rPr>
        <w:t>关于付款周期的约定：</w:t>
      </w:r>
      <w:r>
        <w:rPr>
          <w:color w:val="auto"/>
          <w:sz w:val="24"/>
          <w:szCs w:val="24"/>
          <w:highlight w:val="none"/>
          <w:u w:val="single" w:color="auto"/>
        </w:rPr>
        <w:t xml:space="preserve"> </w:t>
      </w:r>
      <w:r>
        <w:rPr>
          <w:rFonts w:hint="eastAsia"/>
          <w:color w:val="auto"/>
          <w:sz w:val="24"/>
          <w:szCs w:val="24"/>
          <w:highlight w:val="none"/>
          <w:u w:val="single" w:color="auto"/>
          <w:lang w:val="en-US" w:eastAsia="zh-CN"/>
        </w:rPr>
        <w:t>按照施工进度付款：施工进度达到70%时支付合同款的40%，待竣工结算审核完成后付至97%；留竣工结算价的3%作为工程质保金，质保期满两年后，支付全部质保金；支付质保金前需扣除因质量问题引起并由发包人支付的工程维修费用，质保金无利息。</w:t>
      </w:r>
      <w:r>
        <w:rPr>
          <w:color w:val="auto"/>
          <w:spacing w:val="-2"/>
          <w:sz w:val="24"/>
          <w:szCs w:val="24"/>
          <w:highlight w:val="none"/>
          <w:u w:val="single" w:color="auto"/>
        </w:rPr>
        <w:t xml:space="preserve">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507"/>
        <w:textAlignment w:val="auto"/>
        <w:rPr>
          <w:color w:val="auto"/>
          <w:sz w:val="24"/>
          <w:szCs w:val="24"/>
          <w:highlight w:val="none"/>
        </w:rPr>
      </w:pPr>
      <w:r>
        <w:rPr>
          <w:color w:val="auto"/>
          <w:spacing w:val="-2"/>
          <w:sz w:val="24"/>
          <w:szCs w:val="24"/>
          <w:highlight w:val="none"/>
        </w:rPr>
        <w:t>12.4.2 进度付款申请单的编制</w:t>
      </w:r>
    </w:p>
    <w:p>
      <w:pPr>
        <w:pStyle w:val="11"/>
        <w:keepNext w:val="0"/>
        <w:keepLines w:val="0"/>
        <w:pageBreakBefore w:val="0"/>
        <w:widowControl w:val="0"/>
        <w:kinsoku/>
        <w:wordWrap/>
        <w:overflowPunct/>
        <w:topLinePunct w:val="0"/>
        <w:autoSpaceDE/>
        <w:autoSpaceDN/>
        <w:bidi w:val="0"/>
        <w:adjustRightInd/>
        <w:snapToGrid/>
        <w:spacing w:line="360" w:lineRule="auto"/>
        <w:ind w:left="493"/>
        <w:textAlignment w:val="auto"/>
        <w:rPr>
          <w:color w:val="auto"/>
          <w:sz w:val="24"/>
          <w:szCs w:val="24"/>
          <w:highlight w:val="none"/>
        </w:rPr>
      </w:pPr>
      <w:r>
        <w:rPr>
          <w:color w:val="auto"/>
          <w:sz w:val="24"/>
          <w:szCs w:val="24"/>
          <w:highlight w:val="none"/>
        </w:rPr>
        <w:t>关于进度付款申请单编制的约定：</w:t>
      </w:r>
      <w:r>
        <w:rPr>
          <w:color w:val="auto"/>
          <w:sz w:val="24"/>
          <w:szCs w:val="24"/>
          <w:highlight w:val="none"/>
          <w:u w:val="single" w:color="auto"/>
        </w:rPr>
        <w:t xml:space="preserve">    </w:t>
      </w:r>
      <w:r>
        <w:rPr>
          <w:color w:val="auto"/>
          <w:spacing w:val="-1"/>
          <w:sz w:val="24"/>
          <w:szCs w:val="24"/>
          <w:highlight w:val="none"/>
          <w:u w:val="single" w:color="auto"/>
        </w:rPr>
        <w:t xml:space="preserve">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12.4.3 进度付款申请单的提交</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right="20" w:firstLine="482"/>
        <w:textAlignment w:val="auto"/>
        <w:rPr>
          <w:color w:val="auto"/>
          <w:spacing w:val="12"/>
          <w:sz w:val="24"/>
          <w:szCs w:val="24"/>
          <w:highlight w:val="none"/>
        </w:rPr>
      </w:pPr>
      <w:r>
        <w:rPr>
          <w:color w:val="auto"/>
          <w:spacing w:val="-2"/>
          <w:sz w:val="24"/>
          <w:szCs w:val="24"/>
          <w:highlight w:val="none"/>
        </w:rPr>
        <w:t>（1）单价合同进度付款申请单提交的约定：</w:t>
      </w:r>
      <w:r>
        <w:rPr>
          <w:color w:val="auto"/>
          <w:spacing w:val="-2"/>
          <w:sz w:val="24"/>
          <w:szCs w:val="24"/>
          <w:highlight w:val="none"/>
          <w:u w:val="single" w:color="auto"/>
        </w:rPr>
        <w:t xml:space="preserve">  执行通用合同款     </w:t>
      </w:r>
      <w:r>
        <w:rPr>
          <w:color w:val="auto"/>
          <w:spacing w:val="-2"/>
          <w:sz w:val="24"/>
          <w:szCs w:val="24"/>
          <w:highlight w:val="none"/>
        </w:rPr>
        <w:t>。</w:t>
      </w:r>
      <w:r>
        <w:rPr>
          <w:color w:val="auto"/>
          <w:spacing w:val="12"/>
          <w:sz w:val="24"/>
          <w:szCs w:val="24"/>
          <w:highlight w:val="none"/>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left="10" w:right="20" w:firstLine="482"/>
        <w:textAlignment w:val="auto"/>
        <w:rPr>
          <w:color w:val="auto"/>
          <w:sz w:val="24"/>
          <w:szCs w:val="24"/>
          <w:highlight w:val="none"/>
        </w:rPr>
      </w:pPr>
      <w:r>
        <w:rPr>
          <w:color w:val="auto"/>
          <w:spacing w:val="-1"/>
          <w:sz w:val="24"/>
          <w:szCs w:val="24"/>
          <w:highlight w:val="none"/>
        </w:rPr>
        <w:t>（2）总价合同进度付款申请单提交的约定：</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sz w:val="24"/>
          <w:szCs w:val="24"/>
          <w:highlight w:val="none"/>
        </w:rPr>
        <w:t>（3）其他价格形式合同进度付款申请单提交的约定：</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12.4.4 进度款审核和支付</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（1）监理人审查并报送发包人的期限：</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发包人完成审批并签发进度款支付证书的期限：</w:t>
      </w:r>
      <w:r>
        <w:rPr>
          <w:color w:val="auto"/>
          <w:sz w:val="24"/>
          <w:szCs w:val="24"/>
          <w:highlight w:val="none"/>
          <w:u w:val="single" w:color="auto"/>
        </w:rPr>
        <w:t xml:space="preserve">  执行</w:t>
      </w:r>
      <w:r>
        <w:rPr>
          <w:color w:val="auto"/>
          <w:spacing w:val="-1"/>
          <w:sz w:val="24"/>
          <w:szCs w:val="24"/>
          <w:highlight w:val="none"/>
          <w:u w:val="single" w:color="auto"/>
        </w:rPr>
        <w:t xml:space="preserve">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（2）发包人支付进度款的期限：</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3"/>
        <w:textAlignment w:val="auto"/>
        <w:rPr>
          <w:color w:val="auto"/>
          <w:sz w:val="24"/>
          <w:szCs w:val="24"/>
          <w:highlight w:val="none"/>
        </w:rPr>
      </w:pPr>
      <w:r>
        <w:rPr>
          <w:color w:val="auto"/>
          <w:sz w:val="24"/>
          <w:szCs w:val="24"/>
          <w:highlight w:val="none"/>
        </w:rPr>
        <w:t>发包人逾期支付进度款的违约金的计算方式：</w:t>
      </w:r>
      <w:r>
        <w:rPr>
          <w:color w:val="auto"/>
          <w:sz w:val="24"/>
          <w:szCs w:val="24"/>
          <w:highlight w:val="none"/>
          <w:u w:val="single" w:color="auto"/>
        </w:rPr>
        <w:t xml:space="preserve"> 执</w:t>
      </w:r>
      <w:r>
        <w:rPr>
          <w:color w:val="auto"/>
          <w:spacing w:val="-1"/>
          <w:sz w:val="24"/>
          <w:szCs w:val="24"/>
          <w:highlight w:val="none"/>
          <w:u w:val="single" w:color="auto"/>
        </w:rPr>
        <w:t xml:space="preserve">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627"/>
        <w:textAlignment w:val="auto"/>
        <w:rPr>
          <w:color w:val="auto"/>
          <w:sz w:val="24"/>
          <w:szCs w:val="24"/>
          <w:highlight w:val="none"/>
        </w:rPr>
      </w:pPr>
      <w:r>
        <w:rPr>
          <w:color w:val="auto"/>
          <w:spacing w:val="-2"/>
          <w:sz w:val="24"/>
          <w:szCs w:val="24"/>
          <w:highlight w:val="none"/>
        </w:rPr>
        <w:t>12.4.6 支付分解表的编制</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z w:val="24"/>
          <w:szCs w:val="24"/>
          <w:highlight w:val="none"/>
        </w:rPr>
        <w:t>2、总价合同支付分解表的编制与审批：</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pacing w:val="-1"/>
          <w:sz w:val="24"/>
          <w:szCs w:val="24"/>
          <w:highlight w:val="none"/>
        </w:rPr>
        <w:t>3、单价合同的总价项目支付分解表的编制与审批：</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13.</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验收和工程试车</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13.1</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分部分项工程验收</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1"/>
          <w:sz w:val="24"/>
          <w:szCs w:val="24"/>
          <w:highlight w:val="none"/>
        </w:rPr>
        <w:t>13.1.2</w:t>
      </w:r>
      <w:r>
        <w:rPr>
          <w:color w:val="auto"/>
          <w:spacing w:val="-49"/>
          <w:sz w:val="24"/>
          <w:szCs w:val="24"/>
          <w:highlight w:val="none"/>
        </w:rPr>
        <w:t xml:space="preserve"> </w:t>
      </w:r>
      <w:r>
        <w:rPr>
          <w:color w:val="auto"/>
          <w:spacing w:val="-1"/>
          <w:sz w:val="24"/>
          <w:szCs w:val="24"/>
          <w:highlight w:val="none"/>
        </w:rPr>
        <w:t>监理人不能按时进行验收时，应提前</w:t>
      </w:r>
      <w:r>
        <w:rPr>
          <w:color w:val="auto"/>
          <w:spacing w:val="-1"/>
          <w:sz w:val="24"/>
          <w:szCs w:val="24"/>
          <w:highlight w:val="none"/>
          <w:u w:val="single" w:color="auto"/>
        </w:rPr>
        <w:t xml:space="preserve"> </w:t>
      </w:r>
      <w:r>
        <w:rPr>
          <w:color w:val="auto"/>
          <w:spacing w:val="-2"/>
          <w:sz w:val="24"/>
          <w:szCs w:val="24"/>
          <w:highlight w:val="none"/>
          <w:u w:val="single" w:color="auto"/>
        </w:rPr>
        <w:t xml:space="preserve"> 24  </w:t>
      </w:r>
      <w:r>
        <w:rPr>
          <w:color w:val="auto"/>
          <w:spacing w:val="-105"/>
          <w:sz w:val="24"/>
          <w:szCs w:val="24"/>
          <w:highlight w:val="none"/>
        </w:rPr>
        <w:t xml:space="preserve"> </w:t>
      </w:r>
      <w:r>
        <w:rPr>
          <w:color w:val="auto"/>
          <w:spacing w:val="-2"/>
          <w:sz w:val="24"/>
          <w:szCs w:val="24"/>
          <w:highlight w:val="none"/>
        </w:rPr>
        <w:t>小时提交书面延期要求。</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2"/>
          <w:sz w:val="24"/>
          <w:szCs w:val="24"/>
          <w:highlight w:val="none"/>
        </w:rPr>
        <w:t>关于延期最长不得超过：</w:t>
      </w:r>
      <w:r>
        <w:rPr>
          <w:color w:val="auto"/>
          <w:spacing w:val="-2"/>
          <w:sz w:val="24"/>
          <w:szCs w:val="24"/>
          <w:highlight w:val="none"/>
          <w:u w:val="single" w:color="auto"/>
        </w:rPr>
        <w:t xml:space="preserve">   48   </w:t>
      </w:r>
      <w:r>
        <w:rPr>
          <w:color w:val="auto"/>
          <w:spacing w:val="-91"/>
          <w:sz w:val="24"/>
          <w:szCs w:val="24"/>
          <w:highlight w:val="none"/>
        </w:rPr>
        <w:t xml:space="preserve"> </w:t>
      </w:r>
      <w:r>
        <w:rPr>
          <w:color w:val="auto"/>
          <w:spacing w:val="-2"/>
          <w:sz w:val="24"/>
          <w:szCs w:val="24"/>
          <w:highlight w:val="none"/>
        </w:rPr>
        <w:t>小时。</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rFonts w:ascii="Arial"/>
          <w:color w:val="auto"/>
          <w:sz w:val="21"/>
          <w:highlight w:val="none"/>
        </w:rPr>
      </w:pPr>
      <w:r>
        <w:rPr>
          <w:color w:val="auto"/>
          <w:spacing w:val="-3"/>
          <w:sz w:val="24"/>
          <w:szCs w:val="24"/>
          <w:highlight w:val="none"/>
          <w14:textOutline w14:w="4358" w14:cap="sq" w14:cmpd="sng">
            <w14:solidFill>
              <w14:srgbClr w14:val="000000"/>
            </w14:solidFill>
            <w14:prstDash w14:val="solid"/>
            <w14:bevel/>
          </w14:textOutline>
        </w:rPr>
        <w:t>13.2</w:t>
      </w:r>
      <w:r>
        <w:rPr>
          <w:color w:val="auto"/>
          <w:spacing w:val="-3"/>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竣工验收</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4"/>
          <w:sz w:val="24"/>
          <w:szCs w:val="24"/>
          <w:highlight w:val="none"/>
        </w:rPr>
        <w:t>13.2.2</w:t>
      </w:r>
      <w:r>
        <w:rPr>
          <w:color w:val="auto"/>
          <w:spacing w:val="-41"/>
          <w:sz w:val="24"/>
          <w:szCs w:val="24"/>
          <w:highlight w:val="none"/>
        </w:rPr>
        <w:t xml:space="preserve"> </w:t>
      </w:r>
      <w:r>
        <w:rPr>
          <w:color w:val="auto"/>
          <w:spacing w:val="-4"/>
          <w:sz w:val="24"/>
          <w:szCs w:val="24"/>
          <w:highlight w:val="none"/>
        </w:rPr>
        <w:t>竣工验收程序</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2" w:firstLineChars="200"/>
        <w:textAlignment w:val="auto"/>
        <w:rPr>
          <w:color w:val="auto"/>
          <w:sz w:val="24"/>
          <w:szCs w:val="24"/>
          <w:highlight w:val="none"/>
        </w:rPr>
      </w:pPr>
      <w:r>
        <w:rPr>
          <w:color w:val="auto"/>
          <w:spacing w:val="-2"/>
          <w:sz w:val="24"/>
          <w:szCs w:val="24"/>
          <w:highlight w:val="none"/>
        </w:rPr>
        <w:t>关于竣工验收程序的约定：</w:t>
      </w:r>
      <w:r>
        <w:rPr>
          <w:color w:val="auto"/>
          <w:spacing w:val="-2"/>
          <w:sz w:val="24"/>
          <w:szCs w:val="24"/>
          <w:highlight w:val="none"/>
          <w:u w:val="single" w:color="auto"/>
        </w:rPr>
        <w:t>1</w:t>
      </w:r>
      <w:r>
        <w:rPr>
          <w:color w:val="auto"/>
          <w:spacing w:val="-30"/>
          <w:sz w:val="24"/>
          <w:szCs w:val="24"/>
          <w:highlight w:val="none"/>
          <w:u w:val="single" w:color="auto"/>
        </w:rPr>
        <w:t xml:space="preserve"> </w:t>
      </w:r>
      <w:r>
        <w:rPr>
          <w:color w:val="auto"/>
          <w:spacing w:val="-2"/>
          <w:sz w:val="24"/>
          <w:szCs w:val="24"/>
          <w:highlight w:val="none"/>
          <w:u w:val="single" w:color="auto"/>
        </w:rPr>
        <w:t>工程具备竣工验收条件，承包人按国家工程竣工验收有关规</w:t>
      </w:r>
      <w:r>
        <w:rPr>
          <w:color w:val="auto"/>
          <w:sz w:val="24"/>
          <w:szCs w:val="24"/>
          <w:highlight w:val="none"/>
          <w:u w:val="single" w:color="auto"/>
        </w:rPr>
        <w:t>定，向发包人提供完整竣工资料及竣工验收报告。承包人向发包人提供竣工图 3 套。</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u w:val="single" w:color="auto"/>
        </w:rPr>
        <w:t>2</w:t>
      </w:r>
      <w:r>
        <w:rPr>
          <w:color w:val="auto"/>
          <w:spacing w:val="-47"/>
          <w:sz w:val="24"/>
          <w:szCs w:val="24"/>
          <w:highlight w:val="none"/>
          <w:u w:val="single" w:color="auto"/>
        </w:rPr>
        <w:t xml:space="preserve"> </w:t>
      </w:r>
      <w:r>
        <w:rPr>
          <w:color w:val="auto"/>
          <w:spacing w:val="-3"/>
          <w:sz w:val="24"/>
          <w:szCs w:val="24"/>
          <w:highlight w:val="none"/>
          <w:u w:val="single" w:color="auto"/>
        </w:rPr>
        <w:t>发包人收到竣工验收报告后</w:t>
      </w:r>
      <w:r>
        <w:rPr>
          <w:color w:val="auto"/>
          <w:spacing w:val="-48"/>
          <w:sz w:val="24"/>
          <w:szCs w:val="24"/>
          <w:highlight w:val="none"/>
          <w:u w:val="single" w:color="auto"/>
        </w:rPr>
        <w:t xml:space="preserve"> </w:t>
      </w:r>
      <w:r>
        <w:rPr>
          <w:color w:val="auto"/>
          <w:spacing w:val="-3"/>
          <w:sz w:val="24"/>
          <w:szCs w:val="24"/>
          <w:highlight w:val="none"/>
          <w:u w:val="single" w:color="auto"/>
        </w:rPr>
        <w:t>28</w:t>
      </w:r>
      <w:r>
        <w:rPr>
          <w:color w:val="auto"/>
          <w:spacing w:val="-46"/>
          <w:sz w:val="24"/>
          <w:szCs w:val="24"/>
          <w:highlight w:val="none"/>
          <w:u w:val="single" w:color="auto"/>
        </w:rPr>
        <w:t xml:space="preserve"> </w:t>
      </w:r>
      <w:r>
        <w:rPr>
          <w:color w:val="auto"/>
          <w:spacing w:val="-3"/>
          <w:sz w:val="24"/>
          <w:szCs w:val="24"/>
          <w:highlight w:val="none"/>
          <w:u w:val="single" w:color="auto"/>
        </w:rPr>
        <w:t>天内组织有关单位验收，并在验收后</w:t>
      </w:r>
      <w:r>
        <w:rPr>
          <w:color w:val="auto"/>
          <w:spacing w:val="-33"/>
          <w:sz w:val="24"/>
          <w:szCs w:val="24"/>
          <w:highlight w:val="none"/>
          <w:u w:val="single" w:color="auto"/>
        </w:rPr>
        <w:t xml:space="preserve"> </w:t>
      </w:r>
      <w:r>
        <w:rPr>
          <w:color w:val="auto"/>
          <w:spacing w:val="-3"/>
          <w:sz w:val="24"/>
          <w:szCs w:val="24"/>
          <w:highlight w:val="none"/>
          <w:u w:val="single" w:color="auto"/>
        </w:rPr>
        <w:t>1</w:t>
      </w:r>
      <w:r>
        <w:rPr>
          <w:color w:val="auto"/>
          <w:spacing w:val="-4"/>
          <w:sz w:val="24"/>
          <w:szCs w:val="24"/>
          <w:highlight w:val="none"/>
          <w:u w:val="single" w:color="auto"/>
        </w:rPr>
        <w:t>4</w:t>
      </w:r>
      <w:r>
        <w:rPr>
          <w:color w:val="auto"/>
          <w:spacing w:val="-45"/>
          <w:sz w:val="24"/>
          <w:szCs w:val="24"/>
          <w:highlight w:val="none"/>
          <w:u w:val="single" w:color="auto"/>
        </w:rPr>
        <w:t xml:space="preserve"> </w:t>
      </w:r>
      <w:r>
        <w:rPr>
          <w:color w:val="auto"/>
          <w:spacing w:val="-4"/>
          <w:sz w:val="24"/>
          <w:szCs w:val="24"/>
          <w:highlight w:val="none"/>
          <w:u w:val="single" w:color="auto"/>
        </w:rPr>
        <w:t>天内给予认可或</w:t>
      </w:r>
      <w:r>
        <w:rPr>
          <w:color w:val="auto"/>
          <w:spacing w:val="1"/>
          <w:sz w:val="24"/>
          <w:szCs w:val="24"/>
          <w:highlight w:val="none"/>
          <w:u w:val="single" w:color="auto"/>
        </w:rPr>
        <w:t>提出修改意见。承包人按要求修改，并承担由自</w:t>
      </w:r>
      <w:r>
        <w:rPr>
          <w:color w:val="auto"/>
          <w:sz w:val="24"/>
          <w:szCs w:val="24"/>
          <w:highlight w:val="none"/>
          <w:u w:val="single" w:color="auto"/>
        </w:rPr>
        <w:t>身原因造成修改的费用。</w:t>
      </w:r>
    </w:p>
    <w:p>
      <w:pPr>
        <w:pStyle w:val="11"/>
        <w:keepNext w:val="0"/>
        <w:keepLines w:val="0"/>
        <w:pageBreakBefore w:val="0"/>
        <w:widowControl w:val="0"/>
        <w:kinsoku/>
        <w:wordWrap/>
        <w:overflowPunct/>
        <w:topLinePunct w:val="0"/>
        <w:autoSpaceDE/>
        <w:autoSpaceDN/>
        <w:bidi w:val="0"/>
        <w:adjustRightInd/>
        <w:snapToGrid/>
        <w:spacing w:after="0" w:line="360" w:lineRule="auto"/>
        <w:ind w:left="464" w:leftChars="221" w:firstLine="0" w:firstLineChars="0"/>
        <w:jc w:val="left"/>
        <w:textAlignment w:val="auto"/>
        <w:rPr>
          <w:color w:val="auto"/>
          <w:sz w:val="24"/>
          <w:szCs w:val="24"/>
          <w:highlight w:val="none"/>
        </w:rPr>
      </w:pPr>
      <w:r>
        <w:rPr>
          <w:color w:val="auto"/>
          <w:spacing w:val="-4"/>
          <w:sz w:val="24"/>
          <w:szCs w:val="24"/>
          <w:highlight w:val="none"/>
          <w:u w:val="single" w:color="auto"/>
        </w:rPr>
        <w:t>3</w:t>
      </w:r>
      <w:r>
        <w:rPr>
          <w:color w:val="auto"/>
          <w:spacing w:val="-28"/>
          <w:sz w:val="24"/>
          <w:szCs w:val="24"/>
          <w:highlight w:val="none"/>
          <w:u w:val="single" w:color="auto"/>
        </w:rPr>
        <w:t xml:space="preserve"> </w:t>
      </w:r>
      <w:r>
        <w:rPr>
          <w:color w:val="auto"/>
          <w:spacing w:val="-4"/>
          <w:sz w:val="24"/>
          <w:szCs w:val="24"/>
          <w:highlight w:val="none"/>
          <w:u w:val="single" w:color="auto"/>
        </w:rPr>
        <w:t>中间交工工程的验收程序按本通用条款</w:t>
      </w:r>
      <w:r>
        <w:rPr>
          <w:color w:val="auto"/>
          <w:spacing w:val="-33"/>
          <w:sz w:val="24"/>
          <w:szCs w:val="24"/>
          <w:highlight w:val="none"/>
          <w:u w:val="single" w:color="auto"/>
        </w:rPr>
        <w:t xml:space="preserve"> </w:t>
      </w:r>
      <w:r>
        <w:rPr>
          <w:color w:val="auto"/>
          <w:spacing w:val="-4"/>
          <w:sz w:val="24"/>
          <w:szCs w:val="24"/>
          <w:highlight w:val="none"/>
          <w:u w:val="single" w:color="auto"/>
        </w:rPr>
        <w:t>1</w:t>
      </w:r>
      <w:r>
        <w:rPr>
          <w:color w:val="auto"/>
          <w:spacing w:val="-50"/>
          <w:sz w:val="24"/>
          <w:szCs w:val="24"/>
          <w:highlight w:val="none"/>
          <w:u w:val="single" w:color="auto"/>
        </w:rPr>
        <w:t xml:space="preserve"> </w:t>
      </w:r>
      <w:r>
        <w:rPr>
          <w:color w:val="auto"/>
          <w:spacing w:val="-4"/>
          <w:sz w:val="24"/>
          <w:szCs w:val="24"/>
          <w:highlight w:val="none"/>
          <w:u w:val="single" w:color="auto"/>
        </w:rPr>
        <w:t>款至</w:t>
      </w:r>
      <w:r>
        <w:rPr>
          <w:color w:val="auto"/>
          <w:spacing w:val="-47"/>
          <w:sz w:val="24"/>
          <w:szCs w:val="24"/>
          <w:highlight w:val="none"/>
          <w:u w:val="single" w:color="auto"/>
        </w:rPr>
        <w:t xml:space="preserve"> </w:t>
      </w:r>
      <w:r>
        <w:rPr>
          <w:color w:val="auto"/>
          <w:spacing w:val="-4"/>
          <w:sz w:val="24"/>
          <w:szCs w:val="24"/>
          <w:highlight w:val="none"/>
          <w:u w:val="single" w:color="auto"/>
        </w:rPr>
        <w:t>2</w:t>
      </w:r>
      <w:r>
        <w:rPr>
          <w:color w:val="auto"/>
          <w:spacing w:val="-50"/>
          <w:sz w:val="24"/>
          <w:szCs w:val="24"/>
          <w:highlight w:val="none"/>
          <w:u w:val="single" w:color="auto"/>
        </w:rPr>
        <w:t xml:space="preserve"> </w:t>
      </w:r>
      <w:r>
        <w:rPr>
          <w:color w:val="auto"/>
          <w:spacing w:val="-4"/>
          <w:sz w:val="24"/>
          <w:szCs w:val="24"/>
          <w:highlight w:val="none"/>
          <w:u w:val="single" w:color="auto"/>
        </w:rPr>
        <w:t>款办</w:t>
      </w:r>
      <w:r>
        <w:rPr>
          <w:color w:val="auto"/>
          <w:spacing w:val="-5"/>
          <w:sz w:val="24"/>
          <w:szCs w:val="24"/>
          <w:highlight w:val="none"/>
          <w:u w:val="single" w:color="auto"/>
        </w:rPr>
        <w:t>理，其范围和竣工时间为</w:t>
      </w:r>
      <w:r>
        <w:rPr>
          <w:rFonts w:hint="eastAsia"/>
          <w:color w:val="auto"/>
          <w:spacing w:val="-5"/>
          <w:sz w:val="24"/>
          <w:szCs w:val="24"/>
          <w:highlight w:val="none"/>
          <w:u w:val="single" w:color="auto"/>
          <w:lang w:eastAsia="zh-CN"/>
        </w:rPr>
        <w:t>：</w:t>
      </w:r>
      <w:r>
        <w:rPr>
          <w:color w:val="auto"/>
          <w:spacing w:val="-5"/>
          <w:sz w:val="24"/>
          <w:szCs w:val="24"/>
          <w:highlight w:val="none"/>
          <w:u w:val="single" w:color="auto"/>
        </w:rPr>
        <w:t>无 。</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sz w:val="24"/>
          <w:szCs w:val="24"/>
          <w:highlight w:val="none"/>
          <w:u w:val="single" w:color="auto"/>
        </w:rPr>
        <w:t>4</w:t>
      </w:r>
      <w:r>
        <w:rPr>
          <w:color w:val="auto"/>
          <w:spacing w:val="-48"/>
          <w:sz w:val="24"/>
          <w:szCs w:val="24"/>
          <w:highlight w:val="none"/>
          <w:u w:val="single" w:color="auto"/>
        </w:rPr>
        <w:t xml:space="preserve"> </w:t>
      </w:r>
      <w:r>
        <w:rPr>
          <w:color w:val="auto"/>
          <w:spacing w:val="-1"/>
          <w:sz w:val="24"/>
          <w:szCs w:val="24"/>
          <w:highlight w:val="none"/>
          <w:u w:val="single" w:color="auto"/>
        </w:rPr>
        <w:t>工程在电梯验收、人防验收、消防验收、环保验</w:t>
      </w:r>
      <w:r>
        <w:rPr>
          <w:color w:val="auto"/>
          <w:spacing w:val="-2"/>
          <w:sz w:val="24"/>
          <w:szCs w:val="24"/>
          <w:highlight w:val="none"/>
          <w:u w:val="single" w:color="auto"/>
        </w:rPr>
        <w:t>收、卫生防疫验收、规划验收等专业验</w:t>
      </w:r>
      <w:r>
        <w:rPr>
          <w:color w:val="auto"/>
          <w:sz w:val="24"/>
          <w:szCs w:val="24"/>
          <w:highlight w:val="none"/>
          <w:u w:val="single" w:color="auto"/>
        </w:rPr>
        <w:t>收通过后，方可进行四方验收、质量监督站核验等综合验收。</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2" w:firstLineChars="200"/>
        <w:textAlignment w:val="auto"/>
        <w:rPr>
          <w:color w:val="auto"/>
          <w:sz w:val="24"/>
          <w:szCs w:val="24"/>
          <w:highlight w:val="none"/>
        </w:rPr>
      </w:pPr>
      <w:r>
        <w:rPr>
          <w:color w:val="auto"/>
          <w:spacing w:val="-2"/>
          <w:sz w:val="24"/>
          <w:szCs w:val="24"/>
          <w:highlight w:val="none"/>
          <w:u w:val="single" w:color="auto"/>
        </w:rPr>
        <w:t>5</w:t>
      </w:r>
      <w:r>
        <w:rPr>
          <w:color w:val="auto"/>
          <w:spacing w:val="-31"/>
          <w:sz w:val="24"/>
          <w:szCs w:val="24"/>
          <w:highlight w:val="none"/>
          <w:u w:val="single" w:color="auto"/>
        </w:rPr>
        <w:t xml:space="preserve"> </w:t>
      </w:r>
      <w:r>
        <w:rPr>
          <w:color w:val="auto"/>
          <w:spacing w:val="-2"/>
          <w:sz w:val="24"/>
          <w:szCs w:val="24"/>
          <w:highlight w:val="none"/>
          <w:u w:val="single" w:color="auto"/>
        </w:rPr>
        <w:t>因特殊原因，发包人要求部分单位工程或工程部位甩项竣工的，双方另行签订甩项竣工</w:t>
      </w:r>
      <w:r>
        <w:rPr>
          <w:color w:val="auto"/>
          <w:spacing w:val="-1"/>
          <w:sz w:val="24"/>
          <w:szCs w:val="24"/>
          <w:highlight w:val="none"/>
          <w:u w:val="single" w:color="auto"/>
        </w:rPr>
        <w:t>协议，明确双方责任和工程价款的支付方法。</w:t>
      </w:r>
      <w:r>
        <w:rPr>
          <w:color w:val="auto"/>
          <w:spacing w:val="4"/>
          <w:sz w:val="24"/>
          <w:szCs w:val="24"/>
          <w:highlight w:val="none"/>
          <w:u w:val="single" w:color="auto"/>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sz w:val="24"/>
          <w:szCs w:val="24"/>
          <w:highlight w:val="none"/>
          <w:u w:val="single" w:color="auto"/>
        </w:rPr>
        <w:t>6</w:t>
      </w:r>
      <w:r>
        <w:rPr>
          <w:color w:val="auto"/>
          <w:spacing w:val="-48"/>
          <w:sz w:val="24"/>
          <w:szCs w:val="24"/>
          <w:highlight w:val="none"/>
          <w:u w:val="single" w:color="auto"/>
        </w:rPr>
        <w:t xml:space="preserve"> </w:t>
      </w:r>
      <w:r>
        <w:rPr>
          <w:color w:val="auto"/>
          <w:spacing w:val="-1"/>
          <w:sz w:val="24"/>
          <w:szCs w:val="24"/>
          <w:highlight w:val="none"/>
          <w:u w:val="single" w:color="auto"/>
        </w:rPr>
        <w:t>按通用条款执行，承包人对竣工验收问题的整改时限最高为</w:t>
      </w:r>
      <w:r>
        <w:rPr>
          <w:color w:val="auto"/>
          <w:spacing w:val="-49"/>
          <w:sz w:val="24"/>
          <w:szCs w:val="24"/>
          <w:highlight w:val="none"/>
          <w:u w:val="single" w:color="auto"/>
        </w:rPr>
        <w:t xml:space="preserve"> </w:t>
      </w:r>
      <w:r>
        <w:rPr>
          <w:color w:val="auto"/>
          <w:spacing w:val="-1"/>
          <w:sz w:val="24"/>
          <w:szCs w:val="24"/>
          <w:highlight w:val="none"/>
          <w:u w:val="single" w:color="auto"/>
        </w:rPr>
        <w:t>6</w:t>
      </w:r>
      <w:r>
        <w:rPr>
          <w:color w:val="auto"/>
          <w:spacing w:val="-2"/>
          <w:sz w:val="24"/>
          <w:szCs w:val="24"/>
          <w:highlight w:val="none"/>
          <w:u w:val="single" w:color="auto"/>
        </w:rPr>
        <w:t>0</w:t>
      </w:r>
      <w:r>
        <w:rPr>
          <w:color w:val="auto"/>
          <w:spacing w:val="-46"/>
          <w:sz w:val="24"/>
          <w:szCs w:val="24"/>
          <w:highlight w:val="none"/>
          <w:u w:val="single" w:color="auto"/>
        </w:rPr>
        <w:t xml:space="preserve"> </w:t>
      </w:r>
      <w:r>
        <w:rPr>
          <w:color w:val="auto"/>
          <w:spacing w:val="-2"/>
          <w:sz w:val="24"/>
          <w:szCs w:val="24"/>
          <w:highlight w:val="none"/>
          <w:u w:val="single" w:color="auto"/>
        </w:rPr>
        <w:t>天，超过规定时间仍未</w:t>
      </w:r>
      <w:r>
        <w:rPr>
          <w:color w:val="auto"/>
          <w:spacing w:val="-6"/>
          <w:sz w:val="24"/>
          <w:szCs w:val="24"/>
          <w:highlight w:val="none"/>
          <w:u w:val="single" w:color="auto"/>
        </w:rPr>
        <w:t>完成整改，视为未通过竣工验收，重新组织验收，并</w:t>
      </w:r>
      <w:r>
        <w:rPr>
          <w:color w:val="auto"/>
          <w:spacing w:val="-7"/>
          <w:sz w:val="24"/>
          <w:szCs w:val="24"/>
          <w:highlight w:val="none"/>
          <w:u w:val="single" w:color="auto"/>
        </w:rPr>
        <w:t>按</w:t>
      </w:r>
      <w:r>
        <w:rPr>
          <w:color w:val="auto"/>
          <w:spacing w:val="-45"/>
          <w:sz w:val="24"/>
          <w:szCs w:val="24"/>
          <w:highlight w:val="none"/>
          <w:u w:val="single" w:color="auto"/>
        </w:rPr>
        <w:t xml:space="preserve"> </w:t>
      </w:r>
      <w:r>
        <w:rPr>
          <w:color w:val="auto"/>
          <w:spacing w:val="-7"/>
          <w:sz w:val="24"/>
          <w:szCs w:val="24"/>
          <w:highlight w:val="none"/>
          <w:u w:val="single" w:color="auto"/>
        </w:rPr>
        <w:t>5000</w:t>
      </w:r>
      <w:r>
        <w:rPr>
          <w:color w:val="auto"/>
          <w:spacing w:val="-49"/>
          <w:sz w:val="24"/>
          <w:szCs w:val="24"/>
          <w:highlight w:val="none"/>
          <w:u w:val="single" w:color="auto"/>
        </w:rPr>
        <w:t xml:space="preserve"> </w:t>
      </w:r>
      <w:r>
        <w:rPr>
          <w:color w:val="auto"/>
          <w:spacing w:val="-7"/>
          <w:sz w:val="24"/>
          <w:szCs w:val="24"/>
          <w:highlight w:val="none"/>
          <w:u w:val="single" w:color="auto"/>
        </w:rPr>
        <w:t xml:space="preserve">元/条问题向发包人支付违约金  </w:t>
      </w:r>
      <w:r>
        <w:rPr>
          <w:color w:val="auto"/>
          <w:spacing w:val="-7"/>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z w:val="24"/>
          <w:szCs w:val="24"/>
          <w:highlight w:val="none"/>
        </w:rPr>
        <w:t>发包人不按照本项约定组织竣工验收、颁发工程接收证</w:t>
      </w:r>
      <w:r>
        <w:rPr>
          <w:color w:val="auto"/>
          <w:spacing w:val="-1"/>
          <w:sz w:val="24"/>
          <w:szCs w:val="24"/>
          <w:highlight w:val="none"/>
        </w:rPr>
        <w:t>书的违约金的计算方法：</w:t>
      </w:r>
      <w:r>
        <w:rPr>
          <w:color w:val="auto"/>
          <w:spacing w:val="-1"/>
          <w:sz w:val="24"/>
          <w:szCs w:val="24"/>
          <w:highlight w:val="none"/>
          <w:u w:val="single" w:color="auto"/>
        </w:rPr>
        <w:t xml:space="preserve"> 执行通</w:t>
      </w:r>
      <w:r>
        <w:rPr>
          <w:color w:val="auto"/>
          <w:spacing w:val="-2"/>
          <w:sz w:val="24"/>
          <w:szCs w:val="24"/>
          <w:highlight w:val="none"/>
          <w:u w:val="single" w:color="auto"/>
        </w:rPr>
        <w:t xml:space="preserve">用合同条款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13.2.5</w:t>
      </w:r>
      <w:r>
        <w:rPr>
          <w:color w:val="auto"/>
          <w:spacing w:val="-35"/>
          <w:sz w:val="24"/>
          <w:szCs w:val="24"/>
          <w:highlight w:val="none"/>
        </w:rPr>
        <w:t xml:space="preserve"> </w:t>
      </w:r>
      <w:r>
        <w:rPr>
          <w:color w:val="auto"/>
          <w:spacing w:val="-3"/>
          <w:sz w:val="24"/>
          <w:szCs w:val="24"/>
          <w:highlight w:val="none"/>
        </w:rPr>
        <w:t>移交、接收全部与部分工程</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pacing w:val="-1"/>
          <w:sz w:val="24"/>
          <w:szCs w:val="24"/>
          <w:highlight w:val="none"/>
        </w:rPr>
        <w:t>承包人向发包人移交工程的期限：</w:t>
      </w:r>
      <w:r>
        <w:rPr>
          <w:color w:val="auto"/>
          <w:spacing w:val="-1"/>
          <w:sz w:val="24"/>
          <w:szCs w:val="24"/>
          <w:highlight w:val="none"/>
          <w:u w:val="single" w:color="auto"/>
        </w:rPr>
        <w:t xml:space="preserve"> 颁发工程接收</w:t>
      </w:r>
      <w:r>
        <w:rPr>
          <w:color w:val="auto"/>
          <w:spacing w:val="-2"/>
          <w:sz w:val="24"/>
          <w:szCs w:val="24"/>
          <w:highlight w:val="none"/>
          <w:u w:val="single" w:color="auto"/>
        </w:rPr>
        <w:t>证书后</w:t>
      </w:r>
      <w:r>
        <w:rPr>
          <w:color w:val="auto"/>
          <w:spacing w:val="-45"/>
          <w:sz w:val="24"/>
          <w:szCs w:val="24"/>
          <w:highlight w:val="none"/>
          <w:u w:val="single" w:color="auto"/>
        </w:rPr>
        <w:t xml:space="preserve"> </w:t>
      </w:r>
      <w:r>
        <w:rPr>
          <w:color w:val="auto"/>
          <w:spacing w:val="-2"/>
          <w:sz w:val="24"/>
          <w:szCs w:val="24"/>
          <w:highlight w:val="none"/>
          <w:u w:val="single" w:color="auto"/>
        </w:rPr>
        <w:t>7</w:t>
      </w:r>
      <w:r>
        <w:rPr>
          <w:color w:val="auto"/>
          <w:spacing w:val="-46"/>
          <w:sz w:val="24"/>
          <w:szCs w:val="24"/>
          <w:highlight w:val="none"/>
          <w:u w:val="single" w:color="auto"/>
        </w:rPr>
        <w:t xml:space="preserve"> </w:t>
      </w:r>
      <w:r>
        <w:rPr>
          <w:color w:val="auto"/>
          <w:spacing w:val="-2"/>
          <w:sz w:val="24"/>
          <w:szCs w:val="24"/>
          <w:highlight w:val="none"/>
          <w:u w:val="single" w:color="auto"/>
        </w:rPr>
        <w:t xml:space="preserve">天内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z w:val="24"/>
          <w:szCs w:val="24"/>
          <w:highlight w:val="none"/>
        </w:rPr>
        <w:t>发包人未按本合同约定接收全部或部分工程的，违约金</w:t>
      </w:r>
      <w:r>
        <w:rPr>
          <w:color w:val="auto"/>
          <w:spacing w:val="-1"/>
          <w:sz w:val="24"/>
          <w:szCs w:val="24"/>
          <w:highlight w:val="none"/>
        </w:rPr>
        <w:t>的计算方法为：</w:t>
      </w:r>
      <w:r>
        <w:rPr>
          <w:color w:val="auto"/>
          <w:spacing w:val="-1"/>
          <w:sz w:val="24"/>
          <w:szCs w:val="24"/>
          <w:highlight w:val="none"/>
          <w:u w:val="single" w:color="auto"/>
        </w:rPr>
        <w:t xml:space="preserve">发包人自应当接收工程之日起，承担工程照管、成品保护、保管等与工程有关的各项费用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jc w:val="right"/>
        <w:textAlignment w:val="auto"/>
        <w:rPr>
          <w:color w:val="auto"/>
          <w:sz w:val="24"/>
          <w:szCs w:val="24"/>
          <w:highlight w:val="none"/>
        </w:rPr>
      </w:pPr>
      <w:r>
        <w:rPr>
          <w:rFonts w:hint="eastAsia"/>
          <w:color w:val="auto"/>
          <w:spacing w:val="-1"/>
          <w:sz w:val="24"/>
          <w:szCs w:val="24"/>
          <w:highlight w:val="none"/>
          <w:lang w:val="en-US" w:eastAsia="zh-CN"/>
        </w:rPr>
        <w:t xml:space="preserve">   </w:t>
      </w:r>
      <w:r>
        <w:rPr>
          <w:color w:val="auto"/>
          <w:spacing w:val="-1"/>
          <w:sz w:val="24"/>
          <w:szCs w:val="24"/>
          <w:highlight w:val="none"/>
        </w:rPr>
        <w:t>承包人未按时移交工程的，违约金的计算方法为：</w:t>
      </w:r>
      <w:r>
        <w:rPr>
          <w:color w:val="auto"/>
          <w:spacing w:val="-1"/>
          <w:sz w:val="24"/>
          <w:szCs w:val="24"/>
          <w:highlight w:val="none"/>
          <w:u w:val="single" w:color="auto"/>
        </w:rPr>
        <w:t xml:space="preserve">  承包人应承</w:t>
      </w:r>
      <w:r>
        <w:rPr>
          <w:color w:val="auto"/>
          <w:spacing w:val="-2"/>
          <w:sz w:val="24"/>
          <w:szCs w:val="24"/>
          <w:highlight w:val="none"/>
          <w:u w:val="single" w:color="auto"/>
        </w:rPr>
        <w:t>担工程照管、成品保护、</w:t>
      </w:r>
      <w:r>
        <w:rPr>
          <w:color w:val="auto"/>
          <w:spacing w:val="-1"/>
          <w:sz w:val="24"/>
          <w:szCs w:val="24"/>
          <w:highlight w:val="none"/>
          <w:u w:val="single" w:color="auto"/>
        </w:rPr>
        <w:t>保管等与工程有关的各项费用，并按</w:t>
      </w:r>
      <w:r>
        <w:rPr>
          <w:color w:val="auto"/>
          <w:spacing w:val="-33"/>
          <w:sz w:val="24"/>
          <w:szCs w:val="24"/>
          <w:highlight w:val="none"/>
          <w:u w:val="single" w:color="auto"/>
        </w:rPr>
        <w:t xml:space="preserve"> </w:t>
      </w:r>
      <w:r>
        <w:rPr>
          <w:color w:val="auto"/>
          <w:spacing w:val="-1"/>
          <w:sz w:val="24"/>
          <w:szCs w:val="24"/>
          <w:highlight w:val="none"/>
          <w:u w:val="single" w:color="auto"/>
        </w:rPr>
        <w:t>1000</w:t>
      </w:r>
      <w:r>
        <w:rPr>
          <w:color w:val="auto"/>
          <w:spacing w:val="-2"/>
          <w:sz w:val="24"/>
          <w:szCs w:val="24"/>
          <w:highlight w:val="none"/>
          <w:u w:val="single" w:color="auto"/>
        </w:rPr>
        <w:t>0</w:t>
      </w:r>
      <w:r>
        <w:rPr>
          <w:color w:val="auto"/>
          <w:spacing w:val="-49"/>
          <w:sz w:val="24"/>
          <w:szCs w:val="24"/>
          <w:highlight w:val="none"/>
          <w:u w:val="single" w:color="auto"/>
        </w:rPr>
        <w:t xml:space="preserve"> </w:t>
      </w:r>
      <w:r>
        <w:rPr>
          <w:color w:val="auto"/>
          <w:spacing w:val="-2"/>
          <w:sz w:val="24"/>
          <w:szCs w:val="24"/>
          <w:highlight w:val="none"/>
          <w:u w:val="single" w:color="auto"/>
        </w:rPr>
        <w:t xml:space="preserve">元/天向发包人支付违约金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13.3</w:t>
      </w:r>
      <w:r>
        <w:rPr>
          <w:color w:val="auto"/>
          <w:spacing w:val="19"/>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工程试车</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13.3.1 试车程序</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1"/>
          <w:sz w:val="24"/>
          <w:szCs w:val="24"/>
          <w:highlight w:val="none"/>
        </w:rPr>
        <w:t>工程试车内容：</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（1）单机无负荷试车费用由</w:t>
      </w:r>
      <w:r>
        <w:rPr>
          <w:color w:val="auto"/>
          <w:spacing w:val="-1"/>
          <w:sz w:val="24"/>
          <w:szCs w:val="24"/>
          <w:highlight w:val="none"/>
          <w:u w:val="single" w:color="auto"/>
        </w:rPr>
        <w:t xml:space="preserve">          /           </w:t>
      </w:r>
      <w:r>
        <w:rPr>
          <w:color w:val="auto"/>
          <w:spacing w:val="-104"/>
          <w:sz w:val="24"/>
          <w:szCs w:val="24"/>
          <w:highlight w:val="none"/>
        </w:rPr>
        <w:t xml:space="preserve"> </w:t>
      </w:r>
      <w:r>
        <w:rPr>
          <w:color w:val="auto"/>
          <w:spacing w:val="-1"/>
          <w:sz w:val="24"/>
          <w:szCs w:val="24"/>
          <w:highlight w:val="none"/>
        </w:rPr>
        <w:t>承担；</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（2）无负荷联动试车费用由</w:t>
      </w:r>
      <w:r>
        <w:rPr>
          <w:color w:val="auto"/>
          <w:spacing w:val="-1"/>
          <w:sz w:val="24"/>
          <w:szCs w:val="24"/>
          <w:highlight w:val="none"/>
          <w:u w:val="single" w:color="auto"/>
        </w:rPr>
        <w:t xml:space="preserve">         /            </w:t>
      </w:r>
      <w:r>
        <w:rPr>
          <w:color w:val="auto"/>
          <w:spacing w:val="-104"/>
          <w:sz w:val="24"/>
          <w:szCs w:val="24"/>
          <w:highlight w:val="none"/>
        </w:rPr>
        <w:t xml:space="preserve"> </w:t>
      </w:r>
      <w:r>
        <w:rPr>
          <w:color w:val="auto"/>
          <w:spacing w:val="-1"/>
          <w:sz w:val="24"/>
          <w:szCs w:val="24"/>
          <w:highlight w:val="none"/>
        </w:rPr>
        <w:t>承担。</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13.3.3 投料试车</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关于投料试车相关事项的约定：</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3"/>
          <w:sz w:val="24"/>
          <w:szCs w:val="24"/>
          <w:highlight w:val="none"/>
          <w14:textOutline w14:w="4358" w14:cap="sq" w14:cmpd="sng">
            <w14:solidFill>
              <w14:srgbClr w14:val="000000"/>
            </w14:solidFill>
            <w14:prstDash w14:val="solid"/>
            <w14:bevel/>
          </w14:textOutline>
        </w:rPr>
        <w:t>13.6</w:t>
      </w:r>
      <w:r>
        <w:rPr>
          <w:color w:val="auto"/>
          <w:spacing w:val="-3"/>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竣工退场</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rFonts w:ascii="Arial"/>
          <w:color w:val="auto"/>
          <w:sz w:val="21"/>
          <w:highlight w:val="none"/>
        </w:rPr>
      </w:pPr>
      <w:r>
        <w:rPr>
          <w:color w:val="auto"/>
          <w:spacing w:val="-3"/>
          <w:sz w:val="24"/>
          <w:szCs w:val="24"/>
          <w:highlight w:val="none"/>
        </w:rPr>
        <w:t>13.6.1 竣工退场</w:t>
      </w:r>
    </w:p>
    <w:p>
      <w:pPr>
        <w:pStyle w:val="11"/>
        <w:keepNext w:val="0"/>
        <w:keepLines w:val="0"/>
        <w:pageBreakBefore w:val="0"/>
        <w:widowControl w:val="0"/>
        <w:kinsoku/>
        <w:wordWrap/>
        <w:overflowPunct/>
        <w:topLinePunct w:val="0"/>
        <w:autoSpaceDE/>
        <w:autoSpaceDN/>
        <w:bidi w:val="0"/>
        <w:adjustRightInd/>
        <w:snapToGrid/>
        <w:spacing w:after="0" w:line="360" w:lineRule="auto"/>
        <w:ind w:right="46"/>
        <w:jc w:val="right"/>
        <w:textAlignment w:val="auto"/>
        <w:rPr>
          <w:color w:val="auto"/>
          <w:sz w:val="24"/>
          <w:szCs w:val="24"/>
          <w:highlight w:val="none"/>
        </w:rPr>
      </w:pPr>
      <w:r>
        <w:rPr>
          <w:rFonts w:hint="eastAsia"/>
          <w:color w:val="auto"/>
          <w:spacing w:val="-1"/>
          <w:sz w:val="24"/>
          <w:szCs w:val="24"/>
          <w:highlight w:val="none"/>
          <w:lang w:val="en-US" w:eastAsia="zh-CN"/>
        </w:rPr>
        <w:t xml:space="preserve">   </w:t>
      </w:r>
      <w:r>
        <w:rPr>
          <w:color w:val="auto"/>
          <w:spacing w:val="-1"/>
          <w:sz w:val="24"/>
          <w:szCs w:val="24"/>
          <w:highlight w:val="none"/>
        </w:rPr>
        <w:t>承包人完成竣工退场的期限：</w:t>
      </w:r>
      <w:r>
        <w:rPr>
          <w:color w:val="auto"/>
          <w:spacing w:val="-1"/>
          <w:sz w:val="24"/>
          <w:szCs w:val="24"/>
          <w:highlight w:val="none"/>
          <w:u w:val="single" w:color="auto"/>
        </w:rPr>
        <w:t xml:space="preserve"> 工程接收证书颁发后</w:t>
      </w:r>
      <w:r>
        <w:rPr>
          <w:color w:val="auto"/>
          <w:spacing w:val="-33"/>
          <w:sz w:val="24"/>
          <w:szCs w:val="24"/>
          <w:highlight w:val="none"/>
          <w:u w:val="single" w:color="auto"/>
        </w:rPr>
        <w:t xml:space="preserve"> </w:t>
      </w:r>
      <w:r>
        <w:rPr>
          <w:color w:val="auto"/>
          <w:spacing w:val="-1"/>
          <w:sz w:val="24"/>
          <w:szCs w:val="24"/>
          <w:highlight w:val="none"/>
          <w:u w:val="single" w:color="auto"/>
        </w:rPr>
        <w:t>15</w:t>
      </w:r>
      <w:r>
        <w:rPr>
          <w:color w:val="auto"/>
          <w:spacing w:val="-46"/>
          <w:sz w:val="24"/>
          <w:szCs w:val="24"/>
          <w:highlight w:val="none"/>
          <w:u w:val="single" w:color="auto"/>
        </w:rPr>
        <w:t xml:space="preserve"> </w:t>
      </w:r>
      <w:r>
        <w:rPr>
          <w:color w:val="auto"/>
          <w:spacing w:val="-1"/>
          <w:sz w:val="24"/>
          <w:szCs w:val="24"/>
          <w:highlight w:val="none"/>
          <w:u w:val="single" w:color="auto"/>
        </w:rPr>
        <w:t>天内</w:t>
      </w:r>
      <w:r>
        <w:rPr>
          <w:color w:val="auto"/>
          <w:spacing w:val="-2"/>
          <w:sz w:val="24"/>
          <w:szCs w:val="24"/>
          <w:highlight w:val="none"/>
          <w:u w:val="single" w:color="auto"/>
        </w:rPr>
        <w:t>，承包人负责按照通用条款</w:t>
      </w:r>
      <w:r>
        <w:rPr>
          <w:color w:val="auto"/>
          <w:sz w:val="24"/>
          <w:szCs w:val="24"/>
          <w:highlight w:val="none"/>
          <w:u w:val="single" w:color="auto"/>
        </w:rPr>
        <w:t>要求对施工场地进行清理并承担相关费用，直至监</w:t>
      </w:r>
      <w:r>
        <w:rPr>
          <w:color w:val="auto"/>
          <w:spacing w:val="-1"/>
          <w:sz w:val="24"/>
          <w:szCs w:val="24"/>
          <w:highlight w:val="none"/>
          <w:u w:val="single" w:color="auto"/>
        </w:rPr>
        <w:t xml:space="preserve">理人检验合格为止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14.</w:t>
      </w:r>
      <w:r>
        <w:rPr>
          <w:color w:val="auto"/>
          <w:spacing w:val="11"/>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竣工结算</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14.1</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竣工结算申请</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承包人提交竣工结算申请单的期限：</w:t>
      </w:r>
      <w:r>
        <w:rPr>
          <w:color w:val="auto"/>
          <w:sz w:val="24"/>
          <w:szCs w:val="24"/>
          <w:highlight w:val="none"/>
          <w:u w:val="single" w:color="auto"/>
        </w:rPr>
        <w:t xml:space="preserve">    </w:t>
      </w:r>
      <w:r>
        <w:rPr>
          <w:color w:val="auto"/>
          <w:spacing w:val="-1"/>
          <w:sz w:val="24"/>
          <w:szCs w:val="24"/>
          <w:highlight w:val="none"/>
          <w:u w:val="single" w:color="auto"/>
        </w:rPr>
        <w:t xml:space="preserve">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rPr>
        <w:t>竣工结算申请单应包括的内容：</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14.2</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竣工结算审核</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发包人审批竣工付款申请单的期限：</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发包人完成竣工付款的期限：</w:t>
      </w:r>
      <w:r>
        <w:rPr>
          <w:color w:val="auto"/>
          <w:sz w:val="24"/>
          <w:szCs w:val="24"/>
          <w:highlight w:val="none"/>
          <w:u w:val="single" w:color="auto"/>
        </w:rPr>
        <w:t xml:space="preserve">      执行通用</w:t>
      </w:r>
      <w:r>
        <w:rPr>
          <w:color w:val="auto"/>
          <w:spacing w:val="-1"/>
          <w:sz w:val="24"/>
          <w:szCs w:val="24"/>
          <w:highlight w:val="none"/>
          <w:u w:val="single" w:color="auto"/>
        </w:rPr>
        <w:t xml:space="preserve">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z w:val="24"/>
          <w:szCs w:val="24"/>
          <w:highlight w:val="none"/>
        </w:rPr>
        <w:t>关于竣工付款证书异议部分复核的方式和程序：</w:t>
      </w:r>
      <w:r>
        <w:rPr>
          <w:color w:val="auto"/>
          <w:sz w:val="24"/>
          <w:szCs w:val="24"/>
          <w:highlight w:val="none"/>
          <w:u w:val="single" w:color="auto"/>
        </w:rPr>
        <w:t xml:space="preserve"> 执行</w:t>
      </w:r>
      <w:r>
        <w:rPr>
          <w:color w:val="auto"/>
          <w:spacing w:val="-1"/>
          <w:sz w:val="24"/>
          <w:szCs w:val="24"/>
          <w:highlight w:val="none"/>
          <w:u w:val="single" w:color="auto"/>
        </w:rPr>
        <w:t xml:space="preserve">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5"/>
          <w:sz w:val="24"/>
          <w:szCs w:val="24"/>
          <w:highlight w:val="none"/>
          <w14:textOutline w14:w="4358" w14:cap="sq" w14:cmpd="sng">
            <w14:solidFill>
              <w14:srgbClr w14:val="000000"/>
            </w14:solidFill>
            <w14:prstDash w14:val="solid"/>
            <w14:bevel/>
          </w14:textOutline>
        </w:rPr>
        <w:t>14.4</w:t>
      </w:r>
      <w:r>
        <w:rPr>
          <w:color w:val="auto"/>
          <w:spacing w:val="19"/>
          <w:sz w:val="24"/>
          <w:szCs w:val="24"/>
          <w:highlight w:val="none"/>
        </w:rPr>
        <w:t xml:space="preserve"> </w:t>
      </w:r>
      <w:r>
        <w:rPr>
          <w:color w:val="auto"/>
          <w:spacing w:val="-5"/>
          <w:sz w:val="24"/>
          <w:szCs w:val="24"/>
          <w:highlight w:val="none"/>
          <w14:textOutline w14:w="4358" w14:cap="sq" w14:cmpd="sng">
            <w14:solidFill>
              <w14:srgbClr w14:val="000000"/>
            </w14:solidFill>
            <w14:prstDash w14:val="solid"/>
            <w14:bevel/>
          </w14:textOutline>
        </w:rPr>
        <w:t>最终结清</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14.4.1 最终结清申请单</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承包人提交最终结清申请单的份数：</w:t>
      </w:r>
      <w:r>
        <w:rPr>
          <w:color w:val="auto"/>
          <w:sz w:val="24"/>
          <w:szCs w:val="24"/>
          <w:highlight w:val="none"/>
          <w:u w:val="single" w:color="auto"/>
        </w:rPr>
        <w:t xml:space="preserve">    执</w:t>
      </w:r>
      <w:r>
        <w:rPr>
          <w:color w:val="auto"/>
          <w:spacing w:val="-1"/>
          <w:sz w:val="24"/>
          <w:szCs w:val="24"/>
          <w:highlight w:val="none"/>
          <w:u w:val="single" w:color="auto"/>
        </w:rPr>
        <w:t xml:space="preserve">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承包人提交最终结算申请单的期限：</w:t>
      </w:r>
      <w:r>
        <w:rPr>
          <w:color w:val="auto"/>
          <w:sz w:val="24"/>
          <w:szCs w:val="24"/>
          <w:highlight w:val="none"/>
          <w:u w:val="single" w:color="auto"/>
        </w:rPr>
        <w:t xml:space="preserve">   执行</w:t>
      </w:r>
      <w:r>
        <w:rPr>
          <w:color w:val="auto"/>
          <w:spacing w:val="-1"/>
          <w:sz w:val="24"/>
          <w:szCs w:val="24"/>
          <w:highlight w:val="none"/>
          <w:u w:val="single" w:color="auto"/>
        </w:rPr>
        <w:t xml:space="preserve">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14.4.2 最终结清证书和支付</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（1）发包人完成最终结清申请单的审批并颁发最终结清证书的期限：</w:t>
      </w:r>
      <w:r>
        <w:rPr>
          <w:color w:val="auto"/>
          <w:spacing w:val="-1"/>
          <w:sz w:val="24"/>
          <w:szCs w:val="24"/>
          <w:highlight w:val="none"/>
          <w:u w:val="single" w:color="auto"/>
        </w:rPr>
        <w:t xml:space="preserve"> 执行通用合同条</w:t>
      </w:r>
      <w:r>
        <w:rPr>
          <w:color w:val="auto"/>
          <w:spacing w:val="-6"/>
          <w:sz w:val="24"/>
          <w:szCs w:val="24"/>
          <w:highlight w:val="none"/>
          <w:u w:val="single" w:color="auto"/>
        </w:rPr>
        <w:t>款</w:t>
      </w:r>
      <w:r>
        <w:rPr>
          <w:color w:val="auto"/>
          <w:sz w:val="24"/>
          <w:szCs w:val="24"/>
          <w:highlight w:val="none"/>
          <w:u w:val="single" w:color="auto"/>
        </w:rPr>
        <w:t xml:space="preserve">    </w:t>
      </w:r>
      <w:r>
        <w:rPr>
          <w:color w:val="auto"/>
          <w:spacing w:val="-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（2）发包人完成支付的期限：</w:t>
      </w:r>
      <w:r>
        <w:rPr>
          <w:color w:val="auto"/>
          <w:spacing w:val="-1"/>
          <w:sz w:val="24"/>
          <w:szCs w:val="24"/>
          <w:highlight w:val="none"/>
          <w:u w:val="single" w:color="auto"/>
        </w:rPr>
        <w:t xml:space="preserve">     执行通用合同条款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15.</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缺陷责任期与保修</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14:textOutline w14:w="4358" w14:cap="sq" w14:cmpd="sng">
            <w14:solidFill>
              <w14:srgbClr w14:val="000000"/>
            </w14:solidFill>
            <w14:prstDash w14:val="solid"/>
            <w14:bevel/>
          </w14:textOutline>
        </w:rPr>
        <w:t>15.2</w:t>
      </w:r>
      <w:r>
        <w:rPr>
          <w:color w:val="auto"/>
          <w:spacing w:val="-54"/>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缺陷责任期</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缺陷责任期的具体期限：</w:t>
      </w:r>
      <w:r>
        <w:rPr>
          <w:color w:val="auto"/>
          <w:sz w:val="24"/>
          <w:szCs w:val="24"/>
          <w:highlight w:val="none"/>
          <w:u w:val="single" w:color="auto"/>
        </w:rPr>
        <w:t xml:space="preserve">     见工程质</w:t>
      </w:r>
      <w:r>
        <w:rPr>
          <w:color w:val="auto"/>
          <w:spacing w:val="-1"/>
          <w:sz w:val="24"/>
          <w:szCs w:val="24"/>
          <w:highlight w:val="none"/>
          <w:u w:val="single" w:color="auto"/>
        </w:rPr>
        <w:t xml:space="preserve">量保修书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15.3</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质量保证金</w:t>
      </w:r>
    </w:p>
    <w:p>
      <w:pPr>
        <w:pStyle w:val="11"/>
        <w:keepNext w:val="0"/>
        <w:keepLines w:val="0"/>
        <w:pageBreakBefore w:val="0"/>
        <w:widowControl w:val="0"/>
        <w:kinsoku/>
        <w:wordWrap/>
        <w:overflowPunct/>
        <w:topLinePunct w:val="0"/>
        <w:autoSpaceDE/>
        <w:autoSpaceDN/>
        <w:bidi w:val="0"/>
        <w:adjustRightInd/>
        <w:snapToGrid/>
        <w:spacing w:after="0" w:line="360" w:lineRule="auto"/>
        <w:ind w:left="13" w:right="20" w:firstLine="480"/>
        <w:jc w:val="both"/>
        <w:textAlignment w:val="auto"/>
        <w:rPr>
          <w:color w:val="auto"/>
          <w:sz w:val="24"/>
          <w:szCs w:val="24"/>
          <w:highlight w:val="none"/>
        </w:rPr>
      </w:pPr>
      <w:r>
        <w:rPr>
          <w:color w:val="auto"/>
          <w:spacing w:val="-3"/>
          <w:sz w:val="24"/>
          <w:szCs w:val="24"/>
          <w:highlight w:val="none"/>
        </w:rPr>
        <w:t>关于是否扣留质量保证金的约定：</w:t>
      </w:r>
      <w:r>
        <w:rPr>
          <w:color w:val="auto"/>
          <w:spacing w:val="-3"/>
          <w:sz w:val="24"/>
          <w:szCs w:val="24"/>
          <w:highlight w:val="none"/>
          <w:u w:val="single" w:color="auto"/>
        </w:rPr>
        <w:t xml:space="preserve">   执行合同附件建筑工程质量保修书规定   </w:t>
      </w:r>
      <w:r>
        <w:rPr>
          <w:color w:val="auto"/>
          <w:spacing w:val="-3"/>
          <w:sz w:val="24"/>
          <w:szCs w:val="24"/>
          <w:highlight w:val="none"/>
        </w:rPr>
        <w:t>。在工程</w:t>
      </w:r>
      <w:r>
        <w:rPr>
          <w:color w:val="auto"/>
          <w:spacing w:val="18"/>
          <w:sz w:val="24"/>
          <w:szCs w:val="24"/>
          <w:highlight w:val="none"/>
        </w:rPr>
        <w:t xml:space="preserve"> </w:t>
      </w:r>
      <w:r>
        <w:rPr>
          <w:color w:val="auto"/>
          <w:spacing w:val="-3"/>
          <w:sz w:val="24"/>
          <w:szCs w:val="24"/>
          <w:highlight w:val="none"/>
        </w:rPr>
        <w:t>项目竣工前，承包人按专用合同条款第</w:t>
      </w:r>
      <w:r>
        <w:rPr>
          <w:color w:val="auto"/>
          <w:spacing w:val="-46"/>
          <w:sz w:val="24"/>
          <w:szCs w:val="24"/>
          <w:highlight w:val="none"/>
        </w:rPr>
        <w:t xml:space="preserve"> </w:t>
      </w:r>
      <w:r>
        <w:rPr>
          <w:color w:val="auto"/>
          <w:spacing w:val="-3"/>
          <w:sz w:val="24"/>
          <w:szCs w:val="24"/>
          <w:highlight w:val="none"/>
        </w:rPr>
        <w:t>3.7</w:t>
      </w:r>
      <w:r>
        <w:rPr>
          <w:color w:val="auto"/>
          <w:spacing w:val="-48"/>
          <w:sz w:val="24"/>
          <w:szCs w:val="24"/>
          <w:highlight w:val="none"/>
        </w:rPr>
        <w:t xml:space="preserve"> </w:t>
      </w:r>
      <w:r>
        <w:rPr>
          <w:color w:val="auto"/>
          <w:spacing w:val="-3"/>
          <w:sz w:val="24"/>
          <w:szCs w:val="24"/>
          <w:highlight w:val="none"/>
        </w:rPr>
        <w:t>条提供履约担保的，发包人不得</w:t>
      </w:r>
      <w:r>
        <w:rPr>
          <w:color w:val="auto"/>
          <w:spacing w:val="-4"/>
          <w:sz w:val="24"/>
          <w:szCs w:val="24"/>
          <w:highlight w:val="none"/>
        </w:rPr>
        <w:t>同时预留工程质量</w:t>
      </w:r>
      <w:r>
        <w:rPr>
          <w:color w:val="auto"/>
          <w:spacing w:val="-3"/>
          <w:sz w:val="24"/>
          <w:szCs w:val="24"/>
          <w:highlight w:val="none"/>
        </w:rPr>
        <w:t>保证金。</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2"/>
          <w:sz w:val="24"/>
          <w:szCs w:val="24"/>
          <w:highlight w:val="none"/>
        </w:rPr>
        <w:t>15.3.1 承包人提供质量保证金的方式</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rFonts w:ascii="Arial"/>
          <w:color w:val="auto"/>
          <w:sz w:val="21"/>
          <w:highlight w:val="none"/>
        </w:rPr>
      </w:pPr>
      <w:r>
        <w:rPr>
          <w:color w:val="auto"/>
          <w:spacing w:val="-1"/>
          <w:sz w:val="24"/>
          <w:szCs w:val="24"/>
          <w:highlight w:val="none"/>
        </w:rPr>
        <w:t>质量保证金采用以下第</w:t>
      </w:r>
      <w:r>
        <w:rPr>
          <w:color w:val="auto"/>
          <w:spacing w:val="-1"/>
          <w:sz w:val="24"/>
          <w:szCs w:val="24"/>
          <w:highlight w:val="none"/>
          <w:u w:val="single" w:color="auto"/>
        </w:rPr>
        <w:t xml:space="preserve">  2   </w:t>
      </w:r>
      <w:r>
        <w:rPr>
          <w:color w:val="auto"/>
          <w:spacing w:val="-111"/>
          <w:sz w:val="24"/>
          <w:szCs w:val="24"/>
          <w:highlight w:val="none"/>
        </w:rPr>
        <w:t xml:space="preserve"> </w:t>
      </w:r>
      <w:r>
        <w:rPr>
          <w:color w:val="auto"/>
          <w:spacing w:val="-1"/>
          <w:sz w:val="24"/>
          <w:szCs w:val="24"/>
          <w:highlight w:val="none"/>
        </w:rPr>
        <w:t>种方式：</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（1）质量保证金保函，保证金额为：</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2"/>
          <w:sz w:val="24"/>
          <w:szCs w:val="24"/>
          <w:highlight w:val="none"/>
        </w:rPr>
        <w:t>（2）</w:t>
      </w:r>
      <w:r>
        <w:rPr>
          <w:color w:val="auto"/>
          <w:spacing w:val="-2"/>
          <w:sz w:val="24"/>
          <w:szCs w:val="24"/>
          <w:highlight w:val="none"/>
          <w:u w:val="single" w:color="auto"/>
        </w:rPr>
        <w:t xml:space="preserve">  3</w:t>
      </w:r>
      <w:r>
        <w:rPr>
          <w:color w:val="auto"/>
          <w:spacing w:val="1"/>
          <w:sz w:val="24"/>
          <w:szCs w:val="24"/>
          <w:highlight w:val="none"/>
          <w:u w:val="single" w:color="auto"/>
        </w:rPr>
        <w:t xml:space="preserve">  </w:t>
      </w:r>
      <w:r>
        <w:rPr>
          <w:color w:val="auto"/>
          <w:spacing w:val="-2"/>
          <w:sz w:val="24"/>
          <w:szCs w:val="24"/>
          <w:highlight w:val="none"/>
        </w:rPr>
        <w:t>%的工程款；</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（3）其他方式:</w:t>
      </w:r>
      <w:r>
        <w:rPr>
          <w:color w:val="auto"/>
          <w:spacing w:val="-1"/>
          <w:sz w:val="24"/>
          <w:szCs w:val="24"/>
          <w:highlight w:val="none"/>
          <w:u w:val="single" w:color="auto"/>
        </w:rPr>
        <w:t xml:space="preserve">             /</w:t>
      </w:r>
      <w:r>
        <w:rPr>
          <w:color w:val="auto"/>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2"/>
          <w:sz w:val="24"/>
          <w:szCs w:val="24"/>
          <w:highlight w:val="none"/>
        </w:rPr>
        <w:t>15.3.2 质量保证金的扣留</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pacing w:val="-1"/>
          <w:sz w:val="24"/>
          <w:szCs w:val="24"/>
          <w:highlight w:val="none"/>
        </w:rPr>
        <w:t>质量保证金的扣留采取以下第</w:t>
      </w:r>
      <w:r>
        <w:rPr>
          <w:color w:val="auto"/>
          <w:spacing w:val="-1"/>
          <w:sz w:val="24"/>
          <w:szCs w:val="24"/>
          <w:highlight w:val="none"/>
          <w:u w:val="single" w:color="auto"/>
        </w:rPr>
        <w:t xml:space="preserve">  2   </w:t>
      </w:r>
      <w:r>
        <w:rPr>
          <w:color w:val="auto"/>
          <w:spacing w:val="-109"/>
          <w:sz w:val="24"/>
          <w:szCs w:val="24"/>
          <w:highlight w:val="none"/>
        </w:rPr>
        <w:t xml:space="preserve"> </w:t>
      </w:r>
      <w:r>
        <w:rPr>
          <w:color w:val="auto"/>
          <w:spacing w:val="-1"/>
          <w:sz w:val="24"/>
          <w:szCs w:val="24"/>
          <w:highlight w:val="none"/>
        </w:rPr>
        <w:t>种方式：</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80" w:firstLine="480"/>
        <w:textAlignment w:val="auto"/>
        <w:rPr>
          <w:color w:val="auto"/>
          <w:spacing w:val="-3"/>
          <w:sz w:val="24"/>
          <w:szCs w:val="24"/>
          <w:highlight w:val="none"/>
        </w:rPr>
      </w:pPr>
      <w:r>
        <w:rPr>
          <w:color w:val="auto"/>
          <w:spacing w:val="-3"/>
          <w:sz w:val="24"/>
          <w:szCs w:val="24"/>
          <w:highlight w:val="none"/>
        </w:rPr>
        <w:t>（1）在支付工程进度款时逐次扣留，在此情形下，质量保证金的计算基数不包括预付款的支付、扣回以及价格调整的金额；</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9"/>
        <w:textAlignment w:val="auto"/>
        <w:outlineLvl w:val="0"/>
        <w:rPr>
          <w:color w:val="auto"/>
          <w:sz w:val="24"/>
          <w:szCs w:val="24"/>
          <w:highlight w:val="none"/>
        </w:rPr>
      </w:pPr>
      <w:r>
        <w:rPr>
          <w:color w:val="auto"/>
          <w:spacing w:val="-1"/>
          <w:sz w:val="24"/>
          <w:szCs w:val="24"/>
          <w:highlight w:val="none"/>
        </w:rPr>
        <w:t>（2）工程竣工结算时一次性扣留质量保证金；</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z w:val="24"/>
          <w:szCs w:val="24"/>
          <w:highlight w:val="none"/>
        </w:rPr>
        <w:t>（3）其他扣留方式:</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关于质量保证金的补充约定：</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6"/>
          <w:sz w:val="24"/>
          <w:szCs w:val="24"/>
          <w:highlight w:val="none"/>
          <w14:textOutline w14:w="4358" w14:cap="sq" w14:cmpd="sng">
            <w14:solidFill>
              <w14:srgbClr w14:val="000000"/>
            </w14:solidFill>
            <w14:prstDash w14:val="solid"/>
            <w14:bevel/>
          </w14:textOutline>
        </w:rPr>
        <w:t>15.4</w:t>
      </w:r>
      <w:r>
        <w:rPr>
          <w:color w:val="auto"/>
          <w:spacing w:val="-50"/>
          <w:sz w:val="24"/>
          <w:szCs w:val="24"/>
          <w:highlight w:val="none"/>
        </w:rPr>
        <w:t xml:space="preserve"> </w:t>
      </w:r>
      <w:r>
        <w:rPr>
          <w:color w:val="auto"/>
          <w:spacing w:val="-6"/>
          <w:sz w:val="24"/>
          <w:szCs w:val="24"/>
          <w:highlight w:val="none"/>
          <w14:textOutline w14:w="4358" w14:cap="sq" w14:cmpd="sng">
            <w14:solidFill>
              <w14:srgbClr w14:val="000000"/>
            </w14:solidFill>
            <w14:prstDash w14:val="solid"/>
            <w14:bevel/>
          </w14:textOutline>
        </w:rPr>
        <w:t>保修</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3"/>
          <w:sz w:val="24"/>
          <w:szCs w:val="24"/>
          <w:highlight w:val="none"/>
        </w:rPr>
        <w:t>15.4.1 保修责任</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rPr>
          <w:color w:val="auto"/>
          <w:sz w:val="24"/>
          <w:szCs w:val="24"/>
          <w:highlight w:val="none"/>
        </w:rPr>
      </w:pPr>
      <w:r>
        <w:rPr>
          <w:color w:val="auto"/>
          <w:spacing w:val="-1"/>
          <w:sz w:val="24"/>
          <w:szCs w:val="24"/>
          <w:highlight w:val="none"/>
        </w:rPr>
        <w:t>工程保修期为：</w:t>
      </w:r>
      <w:r>
        <w:rPr>
          <w:color w:val="auto"/>
          <w:spacing w:val="-1"/>
          <w:sz w:val="24"/>
          <w:szCs w:val="24"/>
          <w:highlight w:val="none"/>
          <w:u w:val="single" w:color="auto"/>
        </w:rPr>
        <w:t xml:space="preserve">      见工程质量保修书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5"/>
        <w:textAlignment w:val="auto"/>
        <w:rPr>
          <w:color w:val="auto"/>
          <w:sz w:val="24"/>
          <w:szCs w:val="24"/>
          <w:highlight w:val="none"/>
        </w:rPr>
      </w:pPr>
      <w:r>
        <w:rPr>
          <w:color w:val="auto"/>
          <w:spacing w:val="-3"/>
          <w:sz w:val="24"/>
          <w:szCs w:val="24"/>
          <w:highlight w:val="none"/>
        </w:rPr>
        <w:t>15.4.3 修复通知</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80" w:firstLine="480"/>
        <w:textAlignment w:val="auto"/>
        <w:rPr>
          <w:color w:val="auto"/>
          <w:sz w:val="24"/>
          <w:szCs w:val="24"/>
          <w:highlight w:val="none"/>
        </w:rPr>
      </w:pPr>
      <w:r>
        <w:rPr>
          <w:color w:val="auto"/>
          <w:spacing w:val="-3"/>
          <w:sz w:val="24"/>
          <w:szCs w:val="24"/>
          <w:highlight w:val="none"/>
        </w:rPr>
        <w:t>承包人收到保修通知并到达工程现场的合理时间：</w:t>
      </w:r>
      <w:r>
        <w:rPr>
          <w:color w:val="auto"/>
          <w:spacing w:val="-3"/>
          <w:sz w:val="24"/>
          <w:szCs w:val="24"/>
          <w:highlight w:val="none"/>
          <w:u w:val="single" w:color="auto"/>
        </w:rPr>
        <w:t xml:space="preserve"> 发包人可以口头通知承包人并在口头</w:t>
      </w:r>
      <w:r>
        <w:rPr>
          <w:color w:val="auto"/>
          <w:spacing w:val="-4"/>
          <w:sz w:val="24"/>
          <w:szCs w:val="24"/>
          <w:highlight w:val="none"/>
          <w:u w:val="single" w:color="auto"/>
        </w:rPr>
        <w:t>通知后</w:t>
      </w:r>
      <w:r>
        <w:rPr>
          <w:color w:val="auto"/>
          <w:spacing w:val="-39"/>
          <w:sz w:val="24"/>
          <w:szCs w:val="24"/>
          <w:highlight w:val="none"/>
          <w:u w:val="single" w:color="auto"/>
        </w:rPr>
        <w:t xml:space="preserve"> </w:t>
      </w:r>
      <w:r>
        <w:rPr>
          <w:color w:val="auto"/>
          <w:spacing w:val="-4"/>
          <w:sz w:val="24"/>
          <w:szCs w:val="24"/>
          <w:highlight w:val="none"/>
          <w:u w:val="single" w:color="auto"/>
        </w:rPr>
        <w:t>48</w:t>
      </w:r>
      <w:r>
        <w:rPr>
          <w:color w:val="auto"/>
          <w:spacing w:val="-45"/>
          <w:sz w:val="24"/>
          <w:szCs w:val="24"/>
          <w:highlight w:val="none"/>
          <w:u w:val="single" w:color="auto"/>
        </w:rPr>
        <w:t xml:space="preserve"> </w:t>
      </w:r>
      <w:r>
        <w:rPr>
          <w:color w:val="auto"/>
          <w:spacing w:val="-4"/>
          <w:sz w:val="24"/>
          <w:szCs w:val="24"/>
          <w:highlight w:val="none"/>
          <w:u w:val="single" w:color="auto"/>
        </w:rPr>
        <w:t>小时内书面确认，承包人应在</w:t>
      </w:r>
      <w:r>
        <w:rPr>
          <w:color w:val="auto"/>
          <w:spacing w:val="-47"/>
          <w:sz w:val="24"/>
          <w:szCs w:val="24"/>
          <w:highlight w:val="none"/>
          <w:u w:val="single" w:color="auto"/>
        </w:rPr>
        <w:t xml:space="preserve"> </w:t>
      </w:r>
      <w:r>
        <w:rPr>
          <w:color w:val="auto"/>
          <w:spacing w:val="-4"/>
          <w:sz w:val="24"/>
          <w:szCs w:val="24"/>
          <w:highlight w:val="none"/>
          <w:u w:val="single" w:color="auto"/>
        </w:rPr>
        <w:t>24</w:t>
      </w:r>
      <w:r>
        <w:rPr>
          <w:color w:val="auto"/>
          <w:spacing w:val="-44"/>
          <w:sz w:val="24"/>
          <w:szCs w:val="24"/>
          <w:highlight w:val="none"/>
          <w:u w:val="single" w:color="auto"/>
        </w:rPr>
        <w:t xml:space="preserve"> </w:t>
      </w:r>
      <w:r>
        <w:rPr>
          <w:color w:val="auto"/>
          <w:spacing w:val="-4"/>
          <w:sz w:val="24"/>
          <w:szCs w:val="24"/>
          <w:highlight w:val="none"/>
          <w:u w:val="single" w:color="auto"/>
        </w:rPr>
        <w:t>小时期限内到达工程现场并修复缺陷或损坏；紧急</w:t>
      </w:r>
      <w:r>
        <w:rPr>
          <w:color w:val="auto"/>
          <w:spacing w:val="-1"/>
          <w:sz w:val="24"/>
          <w:szCs w:val="24"/>
          <w:highlight w:val="none"/>
          <w:u w:val="single" w:color="auto"/>
        </w:rPr>
        <w:t>情况必须于</w:t>
      </w:r>
      <w:r>
        <w:rPr>
          <w:color w:val="auto"/>
          <w:spacing w:val="-33"/>
          <w:sz w:val="24"/>
          <w:szCs w:val="24"/>
          <w:highlight w:val="none"/>
          <w:u w:val="single" w:color="auto"/>
        </w:rPr>
        <w:t xml:space="preserve"> </w:t>
      </w:r>
      <w:r>
        <w:rPr>
          <w:color w:val="auto"/>
          <w:spacing w:val="-1"/>
          <w:sz w:val="24"/>
          <w:szCs w:val="24"/>
          <w:highlight w:val="none"/>
          <w:u w:val="single" w:color="auto"/>
        </w:rPr>
        <w:t>12</w:t>
      </w:r>
      <w:r>
        <w:rPr>
          <w:color w:val="auto"/>
          <w:spacing w:val="-44"/>
          <w:sz w:val="24"/>
          <w:szCs w:val="24"/>
          <w:highlight w:val="none"/>
          <w:u w:val="single" w:color="auto"/>
        </w:rPr>
        <w:t xml:space="preserve"> </w:t>
      </w:r>
      <w:r>
        <w:rPr>
          <w:color w:val="auto"/>
          <w:spacing w:val="-1"/>
          <w:sz w:val="24"/>
          <w:szCs w:val="24"/>
          <w:highlight w:val="none"/>
          <w:u w:val="single" w:color="auto"/>
        </w:rPr>
        <w:t>小时内到达。若承包人未按约定时间达到现场并修</w:t>
      </w:r>
      <w:r>
        <w:rPr>
          <w:color w:val="auto"/>
          <w:spacing w:val="-2"/>
          <w:sz w:val="24"/>
          <w:szCs w:val="24"/>
          <w:highlight w:val="none"/>
          <w:u w:val="single" w:color="auto"/>
        </w:rPr>
        <w:t>复缺陷或损坏，则发包人有权自行或委托第三方进行修复缺陷或损坏，</w:t>
      </w:r>
      <w:r>
        <w:rPr>
          <w:color w:val="auto"/>
          <w:spacing w:val="-3"/>
          <w:sz w:val="24"/>
          <w:szCs w:val="24"/>
          <w:highlight w:val="none"/>
          <w:u w:val="single" w:color="auto"/>
        </w:rPr>
        <w:t>因此产生的所有费用，发包人有权在未经承包人同</w:t>
      </w:r>
      <w:r>
        <w:rPr>
          <w:color w:val="auto"/>
          <w:spacing w:val="-1"/>
          <w:sz w:val="24"/>
          <w:szCs w:val="24"/>
          <w:highlight w:val="none"/>
          <w:u w:val="single" w:color="auto"/>
        </w:rPr>
        <w:t xml:space="preserve">意的情况下自行从结算款或质量保证金中扣除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color w:val="auto"/>
          <w:sz w:val="24"/>
          <w:szCs w:val="24"/>
          <w:highlight w:val="none"/>
        </w:rPr>
      </w:pPr>
      <w:r>
        <w:rPr>
          <w:color w:val="auto"/>
          <w:spacing w:val="-7"/>
          <w:sz w:val="24"/>
          <w:szCs w:val="24"/>
          <w:highlight w:val="none"/>
          <w14:textOutline w14:w="4358" w14:cap="sq" w14:cmpd="sng">
            <w14:solidFill>
              <w14:srgbClr w14:val="000000"/>
            </w14:solidFill>
            <w14:prstDash w14:val="solid"/>
            <w14:bevel/>
          </w14:textOutline>
        </w:rPr>
        <w:t>16.</w:t>
      </w:r>
      <w:r>
        <w:rPr>
          <w:color w:val="auto"/>
          <w:spacing w:val="9"/>
          <w:sz w:val="24"/>
          <w:szCs w:val="24"/>
          <w:highlight w:val="none"/>
        </w:rPr>
        <w:t xml:space="preserve"> </w:t>
      </w:r>
      <w:r>
        <w:rPr>
          <w:color w:val="auto"/>
          <w:spacing w:val="-7"/>
          <w:sz w:val="24"/>
          <w:szCs w:val="24"/>
          <w:highlight w:val="none"/>
          <w14:textOutline w14:w="4358" w14:cap="sq" w14:cmpd="sng">
            <w14:solidFill>
              <w14:srgbClr w14:val="000000"/>
            </w14:solidFill>
            <w14:prstDash w14:val="solid"/>
            <w14:bevel/>
          </w14:textOutline>
        </w:rPr>
        <w:t>违约</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16.1</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发包人违约</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16.1.1</w:t>
      </w:r>
      <w:r>
        <w:rPr>
          <w:color w:val="auto"/>
          <w:spacing w:val="-47"/>
          <w:sz w:val="24"/>
          <w:szCs w:val="24"/>
          <w:highlight w:val="none"/>
        </w:rPr>
        <w:t xml:space="preserve"> </w:t>
      </w:r>
      <w:r>
        <w:rPr>
          <w:color w:val="auto"/>
          <w:spacing w:val="-3"/>
          <w:sz w:val="24"/>
          <w:szCs w:val="24"/>
          <w:highlight w:val="none"/>
        </w:rPr>
        <w:t>发包人违约的情形</w:t>
      </w:r>
    </w:p>
    <w:p>
      <w:pPr>
        <w:pStyle w:val="11"/>
        <w:keepNext w:val="0"/>
        <w:keepLines w:val="0"/>
        <w:pageBreakBefore w:val="0"/>
        <w:widowControl w:val="0"/>
        <w:kinsoku/>
        <w:wordWrap/>
        <w:overflowPunct/>
        <w:topLinePunct w:val="0"/>
        <w:autoSpaceDE/>
        <w:autoSpaceDN/>
        <w:bidi w:val="0"/>
        <w:adjustRightInd/>
        <w:snapToGrid/>
        <w:spacing w:after="0" w:line="360" w:lineRule="auto"/>
        <w:ind w:left="13"/>
        <w:textAlignment w:val="auto"/>
        <w:rPr>
          <w:color w:val="auto"/>
          <w:sz w:val="24"/>
          <w:szCs w:val="24"/>
          <w:highlight w:val="none"/>
        </w:rPr>
      </w:pPr>
      <w:r>
        <w:rPr>
          <w:color w:val="auto"/>
          <w:sz w:val="24"/>
          <w:szCs w:val="24"/>
          <w:highlight w:val="none"/>
        </w:rPr>
        <w:t>发包人违约的其他情形：</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16.1.2 发包人违约的责任</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发包人违约责任的承担方式和计算方法：</w:t>
      </w:r>
    </w:p>
    <w:p>
      <w:pPr>
        <w:pStyle w:val="11"/>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4"/>
          <w:sz w:val="24"/>
          <w:szCs w:val="24"/>
          <w:highlight w:val="none"/>
        </w:rPr>
        <w:t>因发包人原因未能在计划开工日期前</w:t>
      </w:r>
      <w:r>
        <w:rPr>
          <w:color w:val="auto"/>
          <w:spacing w:val="-45"/>
          <w:sz w:val="24"/>
          <w:szCs w:val="24"/>
          <w:highlight w:val="none"/>
        </w:rPr>
        <w:t xml:space="preserve"> </w:t>
      </w:r>
      <w:r>
        <w:rPr>
          <w:color w:val="auto"/>
          <w:spacing w:val="-4"/>
          <w:sz w:val="24"/>
          <w:szCs w:val="24"/>
          <w:highlight w:val="none"/>
        </w:rPr>
        <w:t>7</w:t>
      </w:r>
      <w:r>
        <w:rPr>
          <w:color w:val="auto"/>
          <w:spacing w:val="-46"/>
          <w:sz w:val="24"/>
          <w:szCs w:val="24"/>
          <w:highlight w:val="none"/>
        </w:rPr>
        <w:t xml:space="preserve"> </w:t>
      </w:r>
      <w:r>
        <w:rPr>
          <w:color w:val="auto"/>
          <w:spacing w:val="-5"/>
          <w:sz w:val="24"/>
          <w:szCs w:val="24"/>
          <w:highlight w:val="none"/>
        </w:rPr>
        <w:t>天内下达开工通知的违约责任：</w:t>
      </w:r>
      <w:r>
        <w:rPr>
          <w:color w:val="auto"/>
          <w:spacing w:val="-5"/>
          <w:sz w:val="24"/>
          <w:szCs w:val="24"/>
          <w:highlight w:val="none"/>
          <w:u w:val="single" w:color="auto"/>
        </w:rPr>
        <w:t xml:space="preserve">工期顺延  </w:t>
      </w:r>
      <w:r>
        <w:rPr>
          <w:color w:val="auto"/>
          <w:spacing w:val="-5"/>
          <w:sz w:val="24"/>
          <w:szCs w:val="24"/>
          <w:highlight w:val="none"/>
        </w:rPr>
        <w:t>。</w:t>
      </w:r>
      <w:r>
        <w:rPr>
          <w:color w:val="auto"/>
          <w:sz w:val="24"/>
          <w:szCs w:val="24"/>
          <w:highlight w:val="none"/>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56" w:firstLineChars="200"/>
        <w:textAlignment w:val="auto"/>
        <w:rPr>
          <w:color w:val="auto"/>
          <w:sz w:val="24"/>
          <w:szCs w:val="24"/>
          <w:highlight w:val="none"/>
        </w:rPr>
      </w:pPr>
      <w:r>
        <w:rPr>
          <w:color w:val="auto"/>
          <w:spacing w:val="-6"/>
          <w:sz w:val="24"/>
          <w:szCs w:val="24"/>
          <w:highlight w:val="none"/>
        </w:rPr>
        <w:t>（2）因发包人原因未能按合同约定支付合同价款的违约责任：</w:t>
      </w:r>
      <w:r>
        <w:rPr>
          <w:color w:val="auto"/>
          <w:spacing w:val="-6"/>
          <w:sz w:val="24"/>
          <w:szCs w:val="24"/>
          <w:highlight w:val="none"/>
          <w:u w:val="single" w:color="auto"/>
        </w:rPr>
        <w:t xml:space="preserve">双方另行协商 </w:t>
      </w:r>
      <w:r>
        <w:rPr>
          <w:color w:val="auto"/>
          <w:spacing w:val="-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color w:val="auto"/>
          <w:sz w:val="24"/>
          <w:szCs w:val="24"/>
          <w:highlight w:val="none"/>
        </w:rPr>
      </w:pPr>
      <w:r>
        <w:rPr>
          <w:color w:val="auto"/>
          <w:spacing w:val="-3"/>
          <w:sz w:val="24"/>
          <w:szCs w:val="24"/>
          <w:highlight w:val="none"/>
        </w:rPr>
        <w:t>（3）发包人违反第</w:t>
      </w:r>
      <w:r>
        <w:rPr>
          <w:color w:val="auto"/>
          <w:spacing w:val="-18"/>
          <w:sz w:val="24"/>
          <w:szCs w:val="24"/>
          <w:highlight w:val="none"/>
        </w:rPr>
        <w:t xml:space="preserve"> </w:t>
      </w:r>
      <w:r>
        <w:rPr>
          <w:color w:val="auto"/>
          <w:spacing w:val="-3"/>
          <w:sz w:val="24"/>
          <w:szCs w:val="24"/>
          <w:highlight w:val="none"/>
        </w:rPr>
        <w:t>10.1</w:t>
      </w:r>
      <w:r>
        <w:rPr>
          <w:color w:val="auto"/>
          <w:spacing w:val="-50"/>
          <w:sz w:val="24"/>
          <w:szCs w:val="24"/>
          <w:highlight w:val="none"/>
        </w:rPr>
        <w:t xml:space="preserve"> </w:t>
      </w:r>
      <w:r>
        <w:rPr>
          <w:color w:val="auto"/>
          <w:spacing w:val="-3"/>
          <w:sz w:val="24"/>
          <w:szCs w:val="24"/>
          <w:highlight w:val="none"/>
        </w:rPr>
        <w:t>款〔变更的范围〕第（2）项约定，</w:t>
      </w:r>
      <w:r>
        <w:rPr>
          <w:color w:val="auto"/>
          <w:spacing w:val="-71"/>
          <w:sz w:val="24"/>
          <w:szCs w:val="24"/>
          <w:highlight w:val="none"/>
        </w:rPr>
        <w:t xml:space="preserve"> </w:t>
      </w:r>
      <w:r>
        <w:rPr>
          <w:color w:val="auto"/>
          <w:spacing w:val="-3"/>
          <w:sz w:val="24"/>
          <w:szCs w:val="24"/>
          <w:highlight w:val="none"/>
        </w:rPr>
        <w:t>自行实施被取消的工作或转</w:t>
      </w:r>
      <w:r>
        <w:rPr>
          <w:color w:val="auto"/>
          <w:spacing w:val="-1"/>
          <w:sz w:val="24"/>
          <w:szCs w:val="24"/>
          <w:highlight w:val="none"/>
        </w:rPr>
        <w:t>由他人实施的违约责任：</w:t>
      </w:r>
      <w:r>
        <w:rPr>
          <w:color w:val="auto"/>
          <w:spacing w:val="-1"/>
          <w:sz w:val="24"/>
          <w:szCs w:val="24"/>
          <w:highlight w:val="none"/>
          <w:u w:val="single" w:color="auto"/>
        </w:rPr>
        <w:t xml:space="preserve">    双方另行协商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9" w:firstLine="491"/>
        <w:textAlignment w:val="auto"/>
        <w:rPr>
          <w:color w:val="auto"/>
          <w:sz w:val="24"/>
          <w:szCs w:val="24"/>
          <w:highlight w:val="none"/>
        </w:rPr>
      </w:pPr>
      <w:r>
        <w:rPr>
          <w:color w:val="auto"/>
          <w:spacing w:val="-1"/>
          <w:sz w:val="24"/>
          <w:szCs w:val="24"/>
          <w:highlight w:val="none"/>
        </w:rPr>
        <w:t>（4）发包人提供的材料、工程设备的规格、数量或质量不符合合同约定，或因发包人原因导致交货日期延误或交货地点变更等情况的违约责任：</w:t>
      </w:r>
      <w:r>
        <w:rPr>
          <w:color w:val="auto"/>
          <w:spacing w:val="-1"/>
          <w:sz w:val="24"/>
          <w:szCs w:val="24"/>
          <w:highlight w:val="none"/>
          <w:u w:val="single" w:color="auto"/>
        </w:rPr>
        <w:t xml:space="preserve"> 发包人提供的材料、工程设备的规</w:t>
      </w:r>
      <w:r>
        <w:rPr>
          <w:color w:val="auto"/>
          <w:spacing w:val="-2"/>
          <w:sz w:val="24"/>
          <w:szCs w:val="24"/>
          <w:highlight w:val="none"/>
          <w:u w:val="single" w:color="auto"/>
        </w:rPr>
        <w:t>格或质量不符合合同约定的，由发包人负责</w:t>
      </w:r>
      <w:r>
        <w:rPr>
          <w:color w:val="auto"/>
          <w:spacing w:val="-3"/>
          <w:sz w:val="24"/>
          <w:szCs w:val="24"/>
          <w:highlight w:val="none"/>
          <w:u w:val="single" w:color="auto"/>
        </w:rPr>
        <w:t>更换；发包人提供的材料、工程设备的数量不符合</w:t>
      </w:r>
      <w:r>
        <w:rPr>
          <w:color w:val="auto"/>
          <w:spacing w:val="-7"/>
          <w:sz w:val="24"/>
          <w:szCs w:val="24"/>
          <w:highlight w:val="none"/>
          <w:u w:val="single" w:color="auto"/>
        </w:rPr>
        <w:t>合同约定的，数量不足的由发包人在双方约定时间内补齐，数量超出的，由承包人退回发包人；</w:t>
      </w:r>
      <w:r>
        <w:rPr>
          <w:color w:val="auto"/>
          <w:spacing w:val="-2"/>
          <w:sz w:val="24"/>
          <w:szCs w:val="24"/>
          <w:highlight w:val="none"/>
          <w:u w:val="single" w:color="auto"/>
        </w:rPr>
        <w:t>因发包人原因导致交货日期延误，若影响工</w:t>
      </w:r>
      <w:r>
        <w:rPr>
          <w:color w:val="auto"/>
          <w:spacing w:val="-3"/>
          <w:sz w:val="24"/>
          <w:szCs w:val="24"/>
          <w:highlight w:val="none"/>
          <w:u w:val="single" w:color="auto"/>
        </w:rPr>
        <w:t>期的发包人予以顺延工期；因发包人原因导致交货</w:t>
      </w:r>
      <w:r>
        <w:rPr>
          <w:color w:val="auto"/>
          <w:sz w:val="24"/>
          <w:szCs w:val="24"/>
          <w:highlight w:val="none"/>
          <w:u w:val="single" w:color="auto"/>
        </w:rPr>
        <w:t>地点变更等情况的，由发包人负责倒运或发包人委托承包人倒运</w:t>
      </w:r>
      <w:r>
        <w:rPr>
          <w:color w:val="auto"/>
          <w:spacing w:val="-1"/>
          <w:sz w:val="24"/>
          <w:szCs w:val="24"/>
          <w:highlight w:val="none"/>
          <w:u w:val="single" w:color="auto"/>
        </w:rPr>
        <w:t xml:space="preserve">，费用发包人承担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color w:val="auto"/>
          <w:sz w:val="24"/>
          <w:szCs w:val="24"/>
          <w:highlight w:val="none"/>
        </w:rPr>
      </w:pPr>
      <w:r>
        <w:rPr>
          <w:color w:val="auto"/>
          <w:spacing w:val="-1"/>
          <w:sz w:val="24"/>
          <w:szCs w:val="24"/>
          <w:highlight w:val="none"/>
        </w:rPr>
        <w:t>（5）因发包人违反合同约定造成暂停施工的违约责任：</w:t>
      </w:r>
      <w:r>
        <w:rPr>
          <w:color w:val="auto"/>
          <w:spacing w:val="-1"/>
          <w:sz w:val="24"/>
          <w:szCs w:val="24"/>
          <w:highlight w:val="none"/>
          <w:u w:val="single" w:color="auto"/>
        </w:rPr>
        <w:t xml:space="preserve"> 若影响工期的，工期予以顺</w:t>
      </w:r>
      <w:r>
        <w:rPr>
          <w:color w:val="auto"/>
          <w:spacing w:val="-6"/>
          <w:sz w:val="24"/>
          <w:szCs w:val="24"/>
          <w:highlight w:val="none"/>
          <w:u w:val="single" w:color="auto"/>
        </w:rPr>
        <w:t>延</w:t>
      </w:r>
      <w:r>
        <w:rPr>
          <w:color w:val="auto"/>
          <w:sz w:val="24"/>
          <w:szCs w:val="24"/>
          <w:highlight w:val="none"/>
          <w:u w:val="single" w:color="auto"/>
        </w:rPr>
        <w:t xml:space="preserve">    </w:t>
      </w:r>
      <w:r>
        <w:rPr>
          <w:color w:val="auto"/>
          <w:spacing w:val="-6"/>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76" w:firstLineChars="200"/>
        <w:textAlignment w:val="auto"/>
        <w:rPr>
          <w:rFonts w:eastAsia="宋体"/>
          <w:color w:val="auto"/>
          <w:spacing w:val="-1"/>
          <w:sz w:val="24"/>
          <w:szCs w:val="24"/>
          <w:highlight w:val="none"/>
        </w:rPr>
      </w:pPr>
      <w:r>
        <w:rPr>
          <w:rFonts w:eastAsia="宋体"/>
          <w:color w:val="auto"/>
          <w:spacing w:val="-1"/>
          <w:sz w:val="24"/>
          <w:szCs w:val="24"/>
          <w:highlight w:val="none"/>
        </w:rPr>
        <w:t>（6）发包人无正当理由没有在约定期限内发出复工指示，导致承包人无法复工的违约责任：</w:t>
      </w:r>
      <w:r>
        <w:rPr>
          <w:rFonts w:eastAsia="宋体"/>
          <w:color w:val="auto"/>
          <w:spacing w:val="-1"/>
          <w:sz w:val="24"/>
          <w:szCs w:val="24"/>
          <w:highlight w:val="none"/>
          <w:u w:val="single"/>
        </w:rPr>
        <w:t xml:space="preserve">若影响工期的，工期予以顺延  </w:t>
      </w:r>
      <w:r>
        <w:rPr>
          <w:rFonts w:eastAsia="宋体"/>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（7）其他：</w:t>
      </w:r>
      <w:r>
        <w:rPr>
          <w:color w:val="auto"/>
          <w:spacing w:val="-1"/>
          <w:sz w:val="24"/>
          <w:szCs w:val="24"/>
          <w:highlight w:val="none"/>
          <w:u w:val="single" w:color="auto"/>
        </w:rPr>
        <w:t xml:space="preserve">        双方协商解决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4"/>
          <w:sz w:val="24"/>
          <w:szCs w:val="24"/>
          <w:highlight w:val="none"/>
        </w:rPr>
        <w:t>16.1.3</w:t>
      </w:r>
      <w:r>
        <w:rPr>
          <w:color w:val="auto"/>
          <w:spacing w:val="35"/>
          <w:sz w:val="24"/>
          <w:szCs w:val="24"/>
          <w:highlight w:val="none"/>
        </w:rPr>
        <w:t xml:space="preserve"> </w:t>
      </w:r>
      <w:r>
        <w:rPr>
          <w:color w:val="auto"/>
          <w:spacing w:val="-4"/>
          <w:sz w:val="24"/>
          <w:szCs w:val="24"/>
          <w:highlight w:val="none"/>
        </w:rPr>
        <w:t>因发包人违约解除合同</w:t>
      </w:r>
    </w:p>
    <w:p>
      <w:pPr>
        <w:pStyle w:val="11"/>
        <w:keepNext w:val="0"/>
        <w:keepLines w:val="0"/>
        <w:pageBreakBefore w:val="0"/>
        <w:widowControl w:val="0"/>
        <w:kinsoku/>
        <w:wordWrap/>
        <w:overflowPunct/>
        <w:topLinePunct w:val="0"/>
        <w:autoSpaceDE/>
        <w:autoSpaceDN/>
        <w:bidi w:val="0"/>
        <w:adjustRightInd/>
        <w:snapToGrid/>
        <w:spacing w:after="0" w:line="360" w:lineRule="auto"/>
        <w:ind w:right="58" w:firstLine="472" w:firstLineChars="200"/>
        <w:jc w:val="left"/>
        <w:textAlignment w:val="auto"/>
        <w:rPr>
          <w:color w:val="auto"/>
          <w:sz w:val="24"/>
          <w:szCs w:val="24"/>
          <w:highlight w:val="none"/>
        </w:rPr>
      </w:pPr>
      <w:r>
        <w:rPr>
          <w:color w:val="auto"/>
          <w:spacing w:val="-2"/>
          <w:sz w:val="24"/>
          <w:szCs w:val="24"/>
          <w:highlight w:val="none"/>
        </w:rPr>
        <w:t>承包人按16.1.1项〔发包人违约的情形〕约定暂停施工满</w:t>
      </w:r>
      <w:r>
        <w:rPr>
          <w:color w:val="auto"/>
          <w:spacing w:val="-2"/>
          <w:sz w:val="24"/>
          <w:szCs w:val="24"/>
          <w:highlight w:val="none"/>
          <w:u w:val="single" w:color="auto"/>
        </w:rPr>
        <w:t xml:space="preserve">   </w:t>
      </w:r>
      <w:r>
        <w:rPr>
          <w:color w:val="auto"/>
          <w:spacing w:val="-3"/>
          <w:sz w:val="24"/>
          <w:szCs w:val="24"/>
          <w:highlight w:val="none"/>
          <w:u w:val="single" w:color="auto"/>
        </w:rPr>
        <w:t xml:space="preserve">30 </w:t>
      </w:r>
      <w:r>
        <w:rPr>
          <w:color w:val="auto"/>
          <w:spacing w:val="-3"/>
          <w:sz w:val="24"/>
          <w:szCs w:val="24"/>
          <w:highlight w:val="none"/>
        </w:rPr>
        <w:t>天后发包人仍不纠正其违</w:t>
      </w:r>
      <w:r>
        <w:rPr>
          <w:color w:val="auto"/>
          <w:spacing w:val="-1"/>
          <w:sz w:val="24"/>
          <w:szCs w:val="24"/>
          <w:highlight w:val="none"/>
        </w:rPr>
        <w:t>约行为并致使合同目的不能实现的，承包人有权解除合同。</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16.2</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承包人违约</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2"/>
          <w:sz w:val="24"/>
          <w:szCs w:val="24"/>
          <w:highlight w:val="none"/>
        </w:rPr>
        <w:t>16.2.1 承包人违约的情形</w:t>
      </w:r>
    </w:p>
    <w:p>
      <w:pPr>
        <w:pStyle w:val="11"/>
        <w:keepNext w:val="0"/>
        <w:keepLines w:val="0"/>
        <w:pageBreakBefore w:val="0"/>
        <w:widowControl w:val="0"/>
        <w:kinsoku/>
        <w:wordWrap/>
        <w:overflowPunct/>
        <w:topLinePunct w:val="0"/>
        <w:autoSpaceDE/>
        <w:autoSpaceDN/>
        <w:bidi w:val="0"/>
        <w:adjustRightInd/>
        <w:snapToGrid/>
        <w:spacing w:after="0" w:line="360" w:lineRule="auto"/>
        <w:ind w:left="11" w:right="85" w:firstLine="478"/>
        <w:textAlignment w:val="auto"/>
        <w:rPr>
          <w:color w:val="auto"/>
          <w:sz w:val="24"/>
          <w:szCs w:val="24"/>
          <w:highlight w:val="none"/>
        </w:rPr>
      </w:pPr>
      <w:r>
        <w:rPr>
          <w:color w:val="auto"/>
          <w:spacing w:val="1"/>
          <w:sz w:val="24"/>
          <w:szCs w:val="24"/>
          <w:highlight w:val="none"/>
        </w:rPr>
        <w:t>承包人违约的其他情形</w:t>
      </w:r>
      <w:r>
        <w:rPr>
          <w:color w:val="auto"/>
          <w:spacing w:val="-18"/>
          <w:sz w:val="24"/>
          <w:szCs w:val="24"/>
          <w:highlight w:val="none"/>
        </w:rPr>
        <w:t>：</w:t>
      </w:r>
      <w:r>
        <w:rPr>
          <w:color w:val="auto"/>
          <w:spacing w:val="-18"/>
          <w:sz w:val="24"/>
          <w:szCs w:val="24"/>
          <w:highlight w:val="none"/>
          <w:u w:val="single" w:color="auto"/>
        </w:rPr>
        <w:t>（</w:t>
      </w:r>
      <w:r>
        <w:rPr>
          <w:color w:val="auto"/>
          <w:spacing w:val="1"/>
          <w:sz w:val="24"/>
          <w:szCs w:val="24"/>
          <w:highlight w:val="none"/>
          <w:u w:val="single" w:color="auto"/>
        </w:rPr>
        <w:t>1）承包人不得随意更换投标文</w:t>
      </w:r>
      <w:r>
        <w:rPr>
          <w:color w:val="auto"/>
          <w:sz w:val="24"/>
          <w:szCs w:val="24"/>
          <w:highlight w:val="none"/>
          <w:u w:val="single" w:color="auto"/>
        </w:rPr>
        <w:t>件约定项目经理。承包人擅</w:t>
      </w:r>
      <w:r>
        <w:rPr>
          <w:color w:val="auto"/>
          <w:spacing w:val="-1"/>
          <w:sz w:val="24"/>
          <w:szCs w:val="24"/>
          <w:highlight w:val="none"/>
          <w:u w:val="single" w:color="auto"/>
        </w:rPr>
        <w:t>自更换项目经理，应按</w:t>
      </w:r>
      <w:r>
        <w:rPr>
          <w:color w:val="auto"/>
          <w:spacing w:val="-46"/>
          <w:sz w:val="24"/>
          <w:szCs w:val="24"/>
          <w:highlight w:val="none"/>
          <w:u w:val="single" w:color="auto"/>
        </w:rPr>
        <w:t xml:space="preserve"> </w:t>
      </w:r>
      <w:r>
        <w:rPr>
          <w:color w:val="auto"/>
          <w:spacing w:val="-1"/>
          <w:sz w:val="24"/>
          <w:szCs w:val="24"/>
          <w:highlight w:val="none"/>
          <w:u w:val="single" w:color="auto"/>
        </w:rPr>
        <w:t>5</w:t>
      </w:r>
      <w:r>
        <w:rPr>
          <w:color w:val="auto"/>
          <w:spacing w:val="-45"/>
          <w:sz w:val="24"/>
          <w:szCs w:val="24"/>
          <w:highlight w:val="none"/>
          <w:u w:val="single" w:color="auto"/>
        </w:rPr>
        <w:t xml:space="preserve"> </w:t>
      </w:r>
      <w:r>
        <w:rPr>
          <w:color w:val="auto"/>
          <w:spacing w:val="-1"/>
          <w:sz w:val="24"/>
          <w:szCs w:val="24"/>
          <w:highlight w:val="none"/>
          <w:u w:val="single" w:color="auto"/>
        </w:rPr>
        <w:t>万元/人·次的标准向发包人支付违约金。如需要更换项目技术负责人及其它专业工程师，应至少提前</w:t>
      </w:r>
      <w:r>
        <w:rPr>
          <w:color w:val="auto"/>
          <w:spacing w:val="-33"/>
          <w:sz w:val="24"/>
          <w:szCs w:val="24"/>
          <w:highlight w:val="none"/>
          <w:u w:val="single" w:color="auto"/>
        </w:rPr>
        <w:t xml:space="preserve"> </w:t>
      </w:r>
      <w:r>
        <w:rPr>
          <w:color w:val="auto"/>
          <w:spacing w:val="-1"/>
          <w:sz w:val="24"/>
          <w:szCs w:val="24"/>
          <w:highlight w:val="none"/>
          <w:u w:val="single" w:color="auto"/>
        </w:rPr>
        <w:t>15</w:t>
      </w:r>
      <w:r>
        <w:rPr>
          <w:color w:val="auto"/>
          <w:spacing w:val="-46"/>
          <w:sz w:val="24"/>
          <w:szCs w:val="24"/>
          <w:highlight w:val="none"/>
          <w:u w:val="single" w:color="auto"/>
        </w:rPr>
        <w:t xml:space="preserve"> </w:t>
      </w:r>
      <w:r>
        <w:rPr>
          <w:color w:val="auto"/>
          <w:spacing w:val="-1"/>
          <w:sz w:val="24"/>
          <w:szCs w:val="24"/>
          <w:highlight w:val="none"/>
          <w:u w:val="single" w:color="auto"/>
        </w:rPr>
        <w:t>天以书面形式通知发包人</w:t>
      </w:r>
      <w:r>
        <w:rPr>
          <w:color w:val="auto"/>
          <w:spacing w:val="-2"/>
          <w:sz w:val="24"/>
          <w:szCs w:val="24"/>
          <w:highlight w:val="none"/>
          <w:u w:val="single" w:color="auto"/>
        </w:rPr>
        <w:t>，并征得发包人同意；后任继</w:t>
      </w:r>
      <w:r>
        <w:rPr>
          <w:color w:val="auto"/>
          <w:spacing w:val="-1"/>
          <w:sz w:val="24"/>
          <w:szCs w:val="24"/>
          <w:highlight w:val="none"/>
          <w:u w:val="single" w:color="auto"/>
        </w:rPr>
        <w:t xml:space="preserve">续行使合同文件约定的前任的职权，履行前任的义务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rPr>
        <w:t>16.2.2</w:t>
      </w:r>
      <w:r>
        <w:rPr>
          <w:color w:val="auto"/>
          <w:spacing w:val="-47"/>
          <w:sz w:val="24"/>
          <w:szCs w:val="24"/>
          <w:highlight w:val="none"/>
        </w:rPr>
        <w:t xml:space="preserve"> </w:t>
      </w:r>
      <w:r>
        <w:rPr>
          <w:color w:val="auto"/>
          <w:spacing w:val="-3"/>
          <w:sz w:val="24"/>
          <w:szCs w:val="24"/>
          <w:highlight w:val="none"/>
        </w:rPr>
        <w:t>承包人违约的责任</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承包人违约责任的承担方式和计算方法：</w:t>
      </w:r>
      <w:r>
        <w:rPr>
          <w:color w:val="auto"/>
          <w:sz w:val="24"/>
          <w:szCs w:val="24"/>
          <w:highlight w:val="none"/>
          <w:u w:val="single" w:color="auto"/>
        </w:rPr>
        <w:t xml:space="preserve">  </w:t>
      </w:r>
      <w:r>
        <w:rPr>
          <w:color w:val="auto"/>
          <w:spacing w:val="-1"/>
          <w:sz w:val="24"/>
          <w:szCs w:val="24"/>
          <w:highlight w:val="none"/>
          <w:u w:val="single" w:color="auto"/>
        </w:rPr>
        <w:t xml:space="preserve">  /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16.2.3</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因承包人违约解除合同</w:t>
      </w:r>
    </w:p>
    <w:p>
      <w:pPr>
        <w:pStyle w:val="11"/>
        <w:keepNext w:val="0"/>
        <w:keepLines w:val="0"/>
        <w:pageBreakBefore w:val="0"/>
        <w:widowControl w:val="0"/>
        <w:tabs>
          <w:tab w:val="left" w:pos="135"/>
        </w:tabs>
        <w:kinsoku/>
        <w:wordWrap/>
        <w:overflowPunct/>
        <w:topLinePunct w:val="0"/>
        <w:autoSpaceDE/>
        <w:autoSpaceDN/>
        <w:bidi w:val="0"/>
        <w:adjustRightInd/>
        <w:snapToGrid/>
        <w:spacing w:after="0" w:line="360" w:lineRule="auto"/>
        <w:ind w:firstLine="493"/>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关于承包人违约解除合同的特别约定</w:t>
      </w:r>
      <w:r>
        <w:rPr>
          <w:rFonts w:hint="eastAsia" w:ascii="宋体" w:hAnsi="宋体" w:eastAsia="宋体" w:cs="宋体"/>
          <w:color w:val="auto"/>
          <w:spacing w:val="-53"/>
          <w:sz w:val="24"/>
          <w:szCs w:val="24"/>
          <w:highlight w:val="none"/>
        </w:rPr>
        <w:t>：</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w:t>
      </w:r>
      <w:r>
        <w:rPr>
          <w:rFonts w:hint="eastAsia" w:ascii="宋体" w:hAnsi="宋体" w:cs="宋体"/>
          <w:color w:val="auto"/>
          <w:spacing w:val="-4"/>
          <w:sz w:val="24"/>
          <w:szCs w:val="24"/>
          <w:highlight w:val="none"/>
          <w:u w:val="single" w:color="auto"/>
          <w:lang w:val="en-US" w:eastAsia="zh-CN"/>
        </w:rPr>
        <w:t>1</w:t>
      </w:r>
      <w:r>
        <w:rPr>
          <w:rFonts w:hint="eastAsia" w:ascii="宋体" w:hAnsi="宋体" w:eastAsia="宋体" w:cs="宋体"/>
          <w:color w:val="auto"/>
          <w:spacing w:val="-4"/>
          <w:sz w:val="24"/>
          <w:szCs w:val="24"/>
          <w:highlight w:val="none"/>
          <w:u w:val="single" w:color="auto"/>
        </w:rPr>
        <w:t>）</w:t>
      </w:r>
      <w:r>
        <w:rPr>
          <w:rFonts w:hint="eastAsia" w:ascii="宋体" w:hAnsi="宋体" w:eastAsia="宋体" w:cs="宋体"/>
          <w:color w:val="auto"/>
          <w:spacing w:val="-3"/>
          <w:sz w:val="24"/>
          <w:szCs w:val="24"/>
          <w:highlight w:val="none"/>
          <w:u w:val="single" w:color="auto"/>
        </w:rPr>
        <w:t>承包人未按双方确认的施工计划组织施工；</w:t>
      </w:r>
      <w:r>
        <w:rPr>
          <w:rFonts w:hint="eastAsia" w:ascii="宋体" w:hAnsi="宋体" w:eastAsia="宋体" w:cs="宋体"/>
          <w:color w:val="auto"/>
          <w:spacing w:val="-4"/>
          <w:sz w:val="24"/>
          <w:szCs w:val="24"/>
          <w:highlight w:val="none"/>
          <w:u w:val="single" w:color="auto"/>
        </w:rPr>
        <w:t>（2）承包人所施工的分部分项工程经两次验收均不合格</w:t>
      </w:r>
      <w:r>
        <w:rPr>
          <w:rFonts w:hint="eastAsia" w:ascii="宋体" w:hAnsi="宋体" w:eastAsia="宋体" w:cs="宋体"/>
          <w:color w:val="auto"/>
          <w:spacing w:val="-35"/>
          <w:sz w:val="24"/>
          <w:szCs w:val="24"/>
          <w:highlight w:val="none"/>
          <w:u w:val="single" w:color="auto"/>
        </w:rPr>
        <w:t>；（</w:t>
      </w:r>
      <w:r>
        <w:rPr>
          <w:rFonts w:hint="eastAsia" w:ascii="宋体" w:hAnsi="宋体" w:eastAsia="宋体" w:cs="宋体"/>
          <w:color w:val="auto"/>
          <w:spacing w:val="-4"/>
          <w:sz w:val="24"/>
          <w:szCs w:val="24"/>
          <w:highlight w:val="none"/>
          <w:u w:val="single" w:color="auto"/>
        </w:rPr>
        <w:t>3）承包人擅自更换本工程项目经</w:t>
      </w:r>
      <w:r>
        <w:rPr>
          <w:rFonts w:hint="eastAsia" w:ascii="宋体" w:hAnsi="宋体" w:eastAsia="宋体" w:cs="宋体"/>
          <w:color w:val="auto"/>
          <w:spacing w:val="1"/>
          <w:sz w:val="24"/>
          <w:szCs w:val="24"/>
          <w:highlight w:val="none"/>
          <w:u w:val="single" w:color="auto"/>
        </w:rPr>
        <w:t>理</w:t>
      </w:r>
      <w:r>
        <w:rPr>
          <w:rFonts w:hint="eastAsia" w:ascii="宋体" w:hAnsi="宋体" w:eastAsia="宋体" w:cs="宋体"/>
          <w:color w:val="auto"/>
          <w:spacing w:val="-18"/>
          <w:sz w:val="24"/>
          <w:szCs w:val="24"/>
          <w:highlight w:val="none"/>
          <w:u w:val="single" w:color="auto"/>
        </w:rPr>
        <w:t>；（</w:t>
      </w:r>
      <w:r>
        <w:rPr>
          <w:rFonts w:hint="eastAsia" w:ascii="宋体" w:hAnsi="宋体" w:eastAsia="宋体" w:cs="宋体"/>
          <w:color w:val="auto"/>
          <w:spacing w:val="1"/>
          <w:sz w:val="24"/>
          <w:szCs w:val="24"/>
          <w:highlight w:val="none"/>
          <w:u w:val="single" w:color="auto"/>
        </w:rPr>
        <w:t>4）承包人未按照本合同约定及时移交工</w:t>
      </w:r>
      <w:r>
        <w:rPr>
          <w:rFonts w:hint="eastAsia" w:ascii="宋体" w:hAnsi="宋体" w:eastAsia="宋体" w:cs="宋体"/>
          <w:color w:val="auto"/>
          <w:sz w:val="24"/>
          <w:szCs w:val="24"/>
          <w:highlight w:val="none"/>
          <w:u w:val="single" w:color="auto"/>
        </w:rPr>
        <w:t>程和满足备案要求的完整竣工资料，逾期超过30</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color w:val="auto"/>
          <w:sz w:val="24"/>
          <w:szCs w:val="24"/>
          <w:highlight w:val="none"/>
          <w:u w:val="single" w:color="auto"/>
        </w:rPr>
        <w:t>天</w:t>
      </w:r>
      <w:r>
        <w:rPr>
          <w:rFonts w:hint="eastAsia" w:ascii="宋体" w:hAnsi="宋体" w:eastAsia="宋体" w:cs="宋体"/>
          <w:color w:val="auto"/>
          <w:spacing w:val="-23"/>
          <w:sz w:val="24"/>
          <w:szCs w:val="24"/>
          <w:highlight w:val="none"/>
          <w:u w:val="single" w:color="auto"/>
        </w:rPr>
        <w:t>；（</w:t>
      </w:r>
      <w:r>
        <w:rPr>
          <w:rFonts w:hint="eastAsia" w:ascii="宋体" w:hAnsi="宋体" w:eastAsia="宋体" w:cs="宋体"/>
          <w:color w:val="auto"/>
          <w:sz w:val="24"/>
          <w:szCs w:val="24"/>
          <w:highlight w:val="none"/>
          <w:u w:val="single" w:color="auto"/>
        </w:rPr>
        <w:t>5）承包人欠付农民工工资、劳务费、材料款</w:t>
      </w:r>
      <w:r>
        <w:rPr>
          <w:rFonts w:hint="eastAsia" w:ascii="宋体" w:hAnsi="宋体" w:eastAsia="宋体" w:cs="宋体"/>
          <w:color w:val="auto"/>
          <w:spacing w:val="-1"/>
          <w:sz w:val="24"/>
          <w:szCs w:val="24"/>
          <w:highlight w:val="none"/>
          <w:u w:val="single" w:color="auto"/>
        </w:rPr>
        <w:t>等，导致相关人员围堵发包人工地</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5</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天</w:t>
      </w:r>
      <w:r>
        <w:rPr>
          <w:rFonts w:hint="eastAsia" w:ascii="宋体" w:hAnsi="宋体" w:eastAsia="宋体" w:cs="宋体"/>
          <w:color w:val="auto"/>
          <w:sz w:val="24"/>
          <w:szCs w:val="24"/>
          <w:highlight w:val="none"/>
          <w:u w:val="single" w:color="auto"/>
        </w:rPr>
        <w:t>或办公经营场所</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color w:val="auto"/>
          <w:sz w:val="24"/>
          <w:szCs w:val="24"/>
          <w:highlight w:val="none"/>
          <w:u w:val="single" w:color="auto"/>
        </w:rPr>
        <w:t>3</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color w:val="auto"/>
          <w:sz w:val="24"/>
          <w:szCs w:val="24"/>
          <w:highlight w:val="none"/>
          <w:u w:val="single" w:color="auto"/>
        </w:rPr>
        <w:t>次或办公经营场所单次一天以上</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z w:val="24"/>
          <w:szCs w:val="24"/>
          <w:highlight w:val="none"/>
          <w:u w:val="single" w:color="auto"/>
        </w:rPr>
        <w:t>6）项目经理不胜任本职工作，发包人</w:t>
      </w:r>
      <w:r>
        <w:rPr>
          <w:rFonts w:hint="eastAsia" w:ascii="宋体" w:hAnsi="宋体" w:eastAsia="宋体" w:cs="宋体"/>
          <w:color w:val="auto"/>
          <w:spacing w:val="-3"/>
          <w:sz w:val="24"/>
          <w:szCs w:val="24"/>
          <w:highlight w:val="none"/>
          <w:u w:val="single" w:color="auto"/>
        </w:rPr>
        <w:t>和工程师可提前</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7</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天以书面形式通知承包人更换合格的项目经理，</w:t>
      </w:r>
      <w:r>
        <w:rPr>
          <w:rFonts w:hint="eastAsia" w:ascii="宋体" w:hAnsi="宋体" w:eastAsia="宋体" w:cs="宋体"/>
          <w:color w:val="auto"/>
          <w:spacing w:val="-4"/>
          <w:sz w:val="24"/>
          <w:szCs w:val="24"/>
          <w:highlight w:val="none"/>
          <w:u w:val="single" w:color="auto"/>
        </w:rPr>
        <w:t>如更换后的项目经理仍旧不</w:t>
      </w:r>
      <w:r>
        <w:rPr>
          <w:rFonts w:hint="eastAsia" w:ascii="宋体" w:hAnsi="宋体" w:eastAsia="宋体" w:cs="宋体"/>
          <w:color w:val="auto"/>
          <w:spacing w:val="1"/>
          <w:sz w:val="24"/>
          <w:szCs w:val="24"/>
          <w:highlight w:val="none"/>
          <w:u w:val="single" w:color="auto"/>
        </w:rPr>
        <w:t>能胜任本职工作，发包人有解除合同的权利</w:t>
      </w:r>
      <w:r>
        <w:rPr>
          <w:rFonts w:hint="eastAsia" w:ascii="宋体" w:hAnsi="宋体" w:eastAsia="宋体" w:cs="宋体"/>
          <w:color w:val="auto"/>
          <w:spacing w:val="-17"/>
          <w:sz w:val="24"/>
          <w:szCs w:val="24"/>
          <w:highlight w:val="none"/>
          <w:u w:val="single" w:color="auto"/>
        </w:rPr>
        <w:t>；（</w:t>
      </w:r>
      <w:r>
        <w:rPr>
          <w:rFonts w:hint="eastAsia" w:ascii="宋体" w:hAnsi="宋体" w:eastAsia="宋体" w:cs="宋体"/>
          <w:color w:val="auto"/>
          <w:spacing w:val="1"/>
          <w:sz w:val="24"/>
          <w:szCs w:val="24"/>
          <w:highlight w:val="none"/>
          <w:u w:val="single" w:color="auto"/>
        </w:rPr>
        <w:t>7）承包人违反本合同约定义务，经发包人催</w:t>
      </w:r>
      <w:r>
        <w:rPr>
          <w:rFonts w:hint="eastAsia" w:ascii="宋体" w:hAnsi="宋体" w:eastAsia="宋体" w:cs="宋体"/>
          <w:color w:val="auto"/>
          <w:spacing w:val="-2"/>
          <w:sz w:val="24"/>
          <w:szCs w:val="24"/>
          <w:highlight w:val="none"/>
          <w:u w:val="single" w:color="auto"/>
        </w:rPr>
        <w:t xml:space="preserve">告后在限期内未改正的    </w:t>
      </w:r>
      <w:r>
        <w:rPr>
          <w:rFonts w:hint="eastAsia" w:ascii="宋体" w:hAnsi="宋体" w:eastAsia="宋体" w:cs="宋体"/>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position w:val="17"/>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pacing w:val="-3"/>
          <w:position w:val="17"/>
          <w:sz w:val="24"/>
          <w:szCs w:val="24"/>
          <w:highlight w:val="none"/>
          <w:u w:val="single"/>
        </w:rPr>
        <w:t xml:space="preserve">      无          </w:t>
      </w:r>
      <w:r>
        <w:rPr>
          <w:rFonts w:hint="eastAsia" w:ascii="宋体" w:hAnsi="宋体" w:eastAsia="宋体" w:cs="宋体"/>
          <w:color w:val="auto"/>
          <w:spacing w:val="-3"/>
          <w:position w:val="17"/>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sq" w14:cmpd="sng">
            <w14:solidFill>
              <w14:srgbClr w14:val="000000"/>
            </w14:solidFill>
            <w14:prstDash w14:val="solid"/>
            <w14:bevel/>
          </w14:textOutline>
        </w:rPr>
        <w:t>17.</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14:textOutline w14:w="4358" w14:cap="sq" w14:cmpd="sng">
            <w14:solidFill>
              <w14:srgbClr w14:val="000000"/>
            </w14:solidFill>
            <w14:prstDash w14:val="solid"/>
            <w14:bevel/>
          </w14:textOutline>
        </w:rPr>
        <w:t>不可抗力</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17.1</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不可抗力的确认</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除通用合同条款约定的不可抗力事件之外，视为不可抗力的其他情形：</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10"/>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执行通用条款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4358" w14:cap="sq" w14:cmpd="sng">
            <w14:solidFill>
              <w14:srgbClr w14:val="000000"/>
            </w14:solidFill>
            <w14:prstDash w14:val="solid"/>
            <w14:bevel/>
          </w14:textOutline>
        </w:rPr>
        <w:t>17.4</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14:textOutline w14:w="4358" w14:cap="sq" w14:cmpd="sng">
            <w14:solidFill>
              <w14:srgbClr w14:val="000000"/>
            </w14:solidFill>
            <w14:prstDash w14:val="solid"/>
            <w14:bevel/>
          </w14:textOutline>
        </w:rPr>
        <w:t>因不可抗力解除合同</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color="auto"/>
        </w:rPr>
        <w:t xml:space="preserve"> 3</w:t>
      </w:r>
      <w:r>
        <w:rPr>
          <w:rFonts w:hint="eastAsia" w:ascii="宋体" w:hAnsi="宋体" w:eastAsia="宋体" w:cs="宋体"/>
          <w:color w:val="auto"/>
          <w:spacing w:val="-1"/>
          <w:sz w:val="24"/>
          <w:szCs w:val="24"/>
          <w:highlight w:val="none"/>
          <w:u w:val="single" w:color="auto"/>
        </w:rPr>
        <w:t xml:space="preserve">0 </w:t>
      </w:r>
      <w:r>
        <w:rPr>
          <w:rFonts w:hint="eastAsia" w:ascii="宋体" w:hAnsi="宋体" w:eastAsia="宋体" w:cs="宋体"/>
          <w:color w:val="auto"/>
          <w:spacing w:val="-1"/>
          <w:sz w:val="24"/>
          <w:szCs w:val="24"/>
          <w:highlight w:val="none"/>
        </w:rPr>
        <w:t>天内完成款项的支付。</w:t>
      </w:r>
    </w:p>
    <w:p>
      <w:pPr>
        <w:pStyle w:val="11"/>
        <w:keepNext w:val="0"/>
        <w:keepLines w:val="0"/>
        <w:pageBreakBefore w:val="0"/>
        <w:widowControl w:val="0"/>
        <w:kinsoku/>
        <w:wordWrap/>
        <w:overflowPunct/>
        <w:topLinePunct w:val="0"/>
        <w:autoSpaceDE/>
        <w:autoSpaceDN/>
        <w:bidi w:val="0"/>
        <w:adjustRightInd/>
        <w:snapToGrid/>
        <w:spacing w:after="0" w:line="360" w:lineRule="auto"/>
        <w:ind w:left="2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358" w14:cap="sq" w14:cmpd="sng">
            <w14:solidFill>
              <w14:srgbClr w14:val="000000"/>
            </w14:solidFill>
            <w14:prstDash w14:val="solid"/>
            <w14:bevel/>
          </w14:textOutline>
        </w:rPr>
        <w:t>18.</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8"/>
          <w:sz w:val="24"/>
          <w:szCs w:val="24"/>
          <w:highlight w:val="none"/>
          <w14:textOutline w14:w="4358" w14:cap="sq" w14:cmpd="sng">
            <w14:solidFill>
              <w14:srgbClr w14:val="000000"/>
            </w14:solidFill>
            <w14:prstDash w14:val="solid"/>
            <w14:bevel/>
          </w14:textOutline>
        </w:rPr>
        <w:t>保险</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4358" w14:cap="sq" w14:cmpd="sng">
            <w14:solidFill>
              <w14:srgbClr w14:val="000000"/>
            </w14:solidFill>
            <w14:prstDash w14:val="solid"/>
            <w14:bevel/>
          </w14:textOutline>
        </w:rPr>
        <w:t>18.1</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5"/>
          <w:sz w:val="24"/>
          <w:szCs w:val="24"/>
          <w:highlight w:val="none"/>
          <w14:textOutline w14:w="4358" w14:cap="sq" w14:cmpd="sng">
            <w14:solidFill>
              <w14:srgbClr w14:val="000000"/>
            </w14:solidFill>
            <w14:prstDash w14:val="solid"/>
            <w14:bevel/>
          </w14:textOutline>
        </w:rPr>
        <w:t>工程保险</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color="auto"/>
        </w:rPr>
        <w:t xml:space="preserve">  发包人投保内容是建筑</w:t>
      </w:r>
      <w:r>
        <w:rPr>
          <w:rFonts w:hint="eastAsia" w:ascii="宋体" w:hAnsi="宋体" w:eastAsia="宋体" w:cs="宋体"/>
          <w:color w:val="auto"/>
          <w:spacing w:val="-1"/>
          <w:sz w:val="24"/>
          <w:szCs w:val="24"/>
          <w:highlight w:val="none"/>
          <w:u w:val="single" w:color="auto"/>
        </w:rPr>
        <w:t xml:space="preserve">物及附属设备，承包人投保内容是施工人员意外伤害险   </w:t>
      </w:r>
      <w:r>
        <w:rPr>
          <w:rFonts w:hint="eastAsia" w:ascii="宋体" w:hAnsi="宋体" w:eastAsia="宋体" w:cs="宋体"/>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sq" w14:cmpd="sng">
            <w14:solidFill>
              <w14:srgbClr w14:val="000000"/>
            </w14:solidFill>
            <w14:prstDash w14:val="solid"/>
            <w14:bevel/>
          </w14:textOutline>
        </w:rPr>
        <w:t>18.3</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14:textOutline w14:w="4358" w14:cap="sq" w14:cmpd="sng">
            <w14:solidFill>
              <w14:srgbClr w14:val="000000"/>
            </w14:solidFill>
            <w14:prstDash w14:val="solid"/>
            <w14:bevel/>
          </w14:textOutline>
        </w:rPr>
        <w:t>其他保险</w:t>
      </w:r>
    </w:p>
    <w:p>
      <w:pPr>
        <w:pStyle w:val="11"/>
        <w:keepNext w:val="0"/>
        <w:keepLines w:val="0"/>
        <w:pageBreakBefore w:val="0"/>
        <w:widowControl w:val="0"/>
        <w:kinsoku/>
        <w:wordWrap/>
        <w:overflowPunct/>
        <w:topLinePunct w:val="0"/>
        <w:autoSpaceDE/>
        <w:autoSpaceDN/>
        <w:bidi w:val="0"/>
        <w:adjustRightInd/>
        <w:snapToGrid/>
        <w:spacing w:after="0" w:line="360" w:lineRule="auto"/>
        <w:ind w:left="22" w:right="80" w:firstLine="4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关于其他保险的约定：</w:t>
      </w:r>
      <w:r>
        <w:rPr>
          <w:rFonts w:hint="eastAsia" w:ascii="宋体" w:hAnsi="宋体" w:eastAsia="宋体" w:cs="宋体"/>
          <w:color w:val="auto"/>
          <w:spacing w:val="38"/>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由承包人承担施工现场的全部</w:t>
      </w:r>
      <w:r>
        <w:rPr>
          <w:rFonts w:hint="eastAsia" w:ascii="宋体" w:hAnsi="宋体" w:eastAsia="宋体" w:cs="宋体"/>
          <w:color w:val="auto"/>
          <w:spacing w:val="-2"/>
          <w:sz w:val="24"/>
          <w:szCs w:val="24"/>
          <w:highlight w:val="none"/>
          <w:u w:val="single" w:color="auto"/>
        </w:rPr>
        <w:t>人员办理意外伤害保险并支付保险</w:t>
      </w:r>
      <w:r>
        <w:rPr>
          <w:rFonts w:hint="eastAsia" w:ascii="宋体" w:hAnsi="宋体" w:eastAsia="宋体" w:cs="宋体"/>
          <w:color w:val="auto"/>
          <w:spacing w:val="-3"/>
          <w:sz w:val="24"/>
          <w:szCs w:val="24"/>
          <w:highlight w:val="none"/>
          <w:u w:val="single" w:color="auto"/>
        </w:rPr>
        <w:t>费用，以上全部人员包括发包人和承包人员工以及为履行合同聘请的第三方人员，费用已包含</w:t>
      </w:r>
      <w:r>
        <w:rPr>
          <w:rFonts w:hint="eastAsia" w:ascii="宋体" w:hAnsi="宋体" w:eastAsia="宋体" w:cs="宋体"/>
          <w:color w:val="auto"/>
          <w:spacing w:val="-1"/>
          <w:sz w:val="24"/>
          <w:szCs w:val="24"/>
          <w:highlight w:val="none"/>
          <w:u w:val="single" w:color="auto"/>
        </w:rPr>
        <w:t xml:space="preserve">在合同价款中  </w:t>
      </w:r>
      <w:r>
        <w:rPr>
          <w:rFonts w:hint="eastAsia" w:ascii="宋体" w:hAnsi="宋体" w:eastAsia="宋体" w:cs="宋体"/>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color w:val="auto"/>
          <w:sz w:val="24"/>
          <w:szCs w:val="24"/>
          <w:highlight w:val="none"/>
        </w:rPr>
      </w:pPr>
      <w:r>
        <w:rPr>
          <w:color w:val="auto"/>
          <w:sz w:val="24"/>
          <w:szCs w:val="24"/>
          <w:highlight w:val="none"/>
        </w:rPr>
        <w:t>承包人是否应为其施工设备等办理财产保险：</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7"/>
        <w:textAlignment w:val="auto"/>
        <w:rPr>
          <w:color w:val="auto"/>
          <w:sz w:val="24"/>
          <w:szCs w:val="24"/>
          <w:highlight w:val="none"/>
        </w:rPr>
      </w:pPr>
      <w:r>
        <w:rPr>
          <w:color w:val="auto"/>
          <w:spacing w:val="-3"/>
          <w:sz w:val="24"/>
          <w:szCs w:val="24"/>
          <w:highlight w:val="none"/>
          <w14:textOutline w14:w="4358" w14:cap="sq" w14:cmpd="sng">
            <w14:solidFill>
              <w14:srgbClr w14:val="000000"/>
            </w14:solidFill>
            <w14:prstDash w14:val="solid"/>
            <w14:bevel/>
          </w14:textOutline>
        </w:rPr>
        <w:t>18.7</w:t>
      </w:r>
      <w:r>
        <w:rPr>
          <w:color w:val="auto"/>
          <w:spacing w:val="-3"/>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通知义务</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1"/>
          <w:sz w:val="24"/>
          <w:szCs w:val="24"/>
          <w:highlight w:val="none"/>
        </w:rPr>
        <w:t>关于变更保险合同时的通知义务的约定：</w:t>
      </w:r>
      <w:r>
        <w:rPr>
          <w:color w:val="auto"/>
          <w:spacing w:val="-1"/>
          <w:sz w:val="24"/>
          <w:szCs w:val="24"/>
          <w:highlight w:val="none"/>
          <w:u w:val="single" w:color="auto"/>
        </w:rPr>
        <w:t xml:space="preserve">  执行通用条款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12"/>
        <w:textAlignment w:val="auto"/>
        <w:outlineLvl w:val="1"/>
        <w:rPr>
          <w:color w:val="auto"/>
          <w:sz w:val="24"/>
          <w:szCs w:val="24"/>
          <w:highlight w:val="none"/>
        </w:rPr>
      </w:pPr>
      <w:r>
        <w:rPr>
          <w:color w:val="auto"/>
          <w:spacing w:val="-4"/>
          <w:sz w:val="24"/>
          <w:szCs w:val="24"/>
          <w:highlight w:val="none"/>
          <w14:textOutline w14:w="4358" w14:cap="sq" w14:cmpd="sng">
            <w14:solidFill>
              <w14:srgbClr w14:val="000000"/>
            </w14:solidFill>
            <w14:prstDash w14:val="solid"/>
            <w14:bevel/>
          </w14:textOutline>
        </w:rPr>
        <w:t>20.</w:t>
      </w:r>
      <w:r>
        <w:rPr>
          <w:color w:val="auto"/>
          <w:spacing w:val="19"/>
          <w:sz w:val="24"/>
          <w:szCs w:val="24"/>
          <w:highlight w:val="none"/>
        </w:rPr>
        <w:t xml:space="preserve"> </w:t>
      </w:r>
      <w:r>
        <w:rPr>
          <w:color w:val="auto"/>
          <w:spacing w:val="-4"/>
          <w:sz w:val="24"/>
          <w:szCs w:val="24"/>
          <w:highlight w:val="none"/>
          <w14:textOutline w14:w="4358" w14:cap="sq" w14:cmpd="sng">
            <w14:solidFill>
              <w14:srgbClr w14:val="000000"/>
            </w14:solidFill>
            <w14:prstDash w14:val="solid"/>
            <w14:bevel/>
          </w14:textOutline>
        </w:rPr>
        <w:t>争议解决</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outlineLvl w:val="0"/>
        <w:rPr>
          <w:color w:val="auto"/>
          <w:sz w:val="24"/>
          <w:szCs w:val="24"/>
          <w:highlight w:val="none"/>
        </w:rPr>
      </w:pPr>
      <w:r>
        <w:rPr>
          <w:color w:val="auto"/>
          <w:spacing w:val="-3"/>
          <w:sz w:val="24"/>
          <w:szCs w:val="24"/>
          <w:highlight w:val="none"/>
          <w14:textOutline w14:w="4358" w14:cap="sq" w14:cmpd="sng">
            <w14:solidFill>
              <w14:srgbClr w14:val="000000"/>
            </w14:solidFill>
            <w14:prstDash w14:val="solid"/>
            <w14:bevel/>
          </w14:textOutline>
        </w:rPr>
        <w:t>20.3</w:t>
      </w:r>
      <w:r>
        <w:rPr>
          <w:color w:val="auto"/>
          <w:spacing w:val="17"/>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争议评审</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z w:val="24"/>
          <w:szCs w:val="24"/>
          <w:highlight w:val="none"/>
        </w:rPr>
        <w:t>合同当事人是否同意将工程争议提交争议评审小组决定：</w:t>
      </w:r>
      <w:r>
        <w:rPr>
          <w:color w:val="auto"/>
          <w:sz w:val="24"/>
          <w:szCs w:val="24"/>
          <w:highlight w:val="none"/>
          <w:u w:val="single" w:color="auto"/>
        </w:rPr>
        <w:t xml:space="preserve"> 本</w:t>
      </w:r>
      <w:r>
        <w:rPr>
          <w:color w:val="auto"/>
          <w:spacing w:val="-1"/>
          <w:sz w:val="24"/>
          <w:szCs w:val="24"/>
          <w:highlight w:val="none"/>
          <w:u w:val="single" w:color="auto"/>
        </w:rPr>
        <w:t>项目争议按照合同通用条款中和解、调解、仲裁或诉讼的方式解决，不进行争议评审</w:t>
      </w:r>
      <w:r>
        <w:rPr>
          <w:color w:val="auto"/>
          <w:spacing w:val="-2"/>
          <w:sz w:val="24"/>
          <w:szCs w:val="24"/>
          <w:highlight w:val="none"/>
          <w:u w:val="single" w:color="auto"/>
        </w:rPr>
        <w:t xml:space="preserve">。  </w:t>
      </w:r>
      <w:r>
        <w:rPr>
          <w:color w:val="auto"/>
          <w:spacing w:val="-2"/>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outlineLvl w:val="0"/>
        <w:rPr>
          <w:rFonts w:ascii="Arial"/>
          <w:color w:val="auto"/>
          <w:sz w:val="21"/>
          <w:highlight w:val="none"/>
        </w:rPr>
      </w:pPr>
      <w:r>
        <w:rPr>
          <w:color w:val="auto"/>
          <w:spacing w:val="-1"/>
          <w:sz w:val="24"/>
          <w:szCs w:val="24"/>
          <w:highlight w:val="none"/>
        </w:rPr>
        <w:t>20.3.1 争议评审小组的确定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z w:val="24"/>
          <w:szCs w:val="24"/>
          <w:highlight w:val="none"/>
        </w:rPr>
        <w:t>争议评审小组成员的确定：</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8"/>
        <w:textAlignment w:val="auto"/>
        <w:rPr>
          <w:color w:val="auto"/>
          <w:sz w:val="24"/>
          <w:szCs w:val="24"/>
          <w:highlight w:val="none"/>
        </w:rPr>
      </w:pPr>
      <w:r>
        <w:rPr>
          <w:color w:val="auto"/>
          <w:sz w:val="24"/>
          <w:szCs w:val="24"/>
          <w:highlight w:val="none"/>
        </w:rPr>
        <w:t>选定争议评审员的期限：</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4"/>
        <w:textAlignment w:val="auto"/>
        <w:rPr>
          <w:color w:val="auto"/>
          <w:sz w:val="24"/>
          <w:szCs w:val="24"/>
          <w:highlight w:val="none"/>
        </w:rPr>
      </w:pPr>
      <w:r>
        <w:rPr>
          <w:color w:val="auto"/>
          <w:sz w:val="24"/>
          <w:szCs w:val="24"/>
          <w:highlight w:val="none"/>
        </w:rPr>
        <w:t>争议评审小组成员的报酬承担方式：</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z w:val="24"/>
          <w:szCs w:val="24"/>
          <w:highlight w:val="none"/>
        </w:rPr>
        <w:t>其他事项的约定：</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outlineLvl w:val="0"/>
        <w:rPr>
          <w:color w:val="auto"/>
          <w:sz w:val="24"/>
          <w:szCs w:val="24"/>
          <w:highlight w:val="none"/>
        </w:rPr>
      </w:pPr>
      <w:r>
        <w:rPr>
          <w:color w:val="auto"/>
          <w:spacing w:val="-1"/>
          <w:sz w:val="24"/>
          <w:szCs w:val="24"/>
          <w:highlight w:val="none"/>
        </w:rPr>
        <w:t>20.3.2 争议评审小组的决定</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0"/>
        <w:textAlignment w:val="auto"/>
        <w:rPr>
          <w:color w:val="auto"/>
          <w:sz w:val="24"/>
          <w:szCs w:val="24"/>
          <w:highlight w:val="none"/>
        </w:rPr>
      </w:pPr>
      <w:r>
        <w:rPr>
          <w:color w:val="auto"/>
          <w:sz w:val="24"/>
          <w:szCs w:val="24"/>
          <w:highlight w:val="none"/>
        </w:rPr>
        <w:t>合同当事人关于本项的约定：</w:t>
      </w:r>
      <w:r>
        <w:rPr>
          <w:color w:val="auto"/>
          <w:sz w:val="24"/>
          <w:szCs w:val="24"/>
          <w:highlight w:val="none"/>
          <w:u w:val="single" w:color="auto"/>
        </w:rPr>
        <w:t xml:space="preserve">          /      </w:t>
      </w:r>
      <w:r>
        <w:rPr>
          <w:color w:val="auto"/>
          <w:spacing w:val="-1"/>
          <w:sz w:val="24"/>
          <w:szCs w:val="24"/>
          <w:highlight w:val="none"/>
          <w:u w:val="single" w:color="auto"/>
        </w:rPr>
        <w:t xml:space="preserve">           </w:t>
      </w:r>
      <w:r>
        <w:rPr>
          <w:color w:val="auto"/>
          <w:spacing w:val="-1"/>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2"/>
        <w:textAlignment w:val="auto"/>
        <w:outlineLvl w:val="0"/>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20.4</w:t>
      </w:r>
      <w:r>
        <w:rPr>
          <w:color w:val="auto"/>
          <w:spacing w:val="-49"/>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仲裁或诉讼</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8"/>
        <w:textAlignment w:val="auto"/>
        <w:rPr>
          <w:color w:val="auto"/>
          <w:sz w:val="24"/>
          <w:szCs w:val="24"/>
          <w:highlight w:val="none"/>
        </w:rPr>
      </w:pPr>
      <w:r>
        <w:rPr>
          <w:color w:val="auto"/>
          <w:spacing w:val="-1"/>
          <w:sz w:val="24"/>
          <w:szCs w:val="24"/>
          <w:highlight w:val="none"/>
        </w:rPr>
        <w:t>因合同及合同有关事项发生的争议，按下列第</w:t>
      </w:r>
      <w:r>
        <w:rPr>
          <w:color w:val="auto"/>
          <w:spacing w:val="-1"/>
          <w:sz w:val="24"/>
          <w:szCs w:val="24"/>
          <w:highlight w:val="none"/>
          <w:u w:val="single" w:color="auto"/>
        </w:rPr>
        <w:t xml:space="preserve">   2 </w:t>
      </w:r>
      <w:r>
        <w:rPr>
          <w:color w:val="auto"/>
          <w:spacing w:val="-2"/>
          <w:sz w:val="24"/>
          <w:szCs w:val="24"/>
          <w:highlight w:val="none"/>
          <w:u w:val="single" w:color="auto"/>
        </w:rPr>
        <w:t xml:space="preserve"> </w:t>
      </w:r>
      <w:r>
        <w:rPr>
          <w:color w:val="auto"/>
          <w:spacing w:val="-111"/>
          <w:sz w:val="24"/>
          <w:szCs w:val="24"/>
          <w:highlight w:val="none"/>
        </w:rPr>
        <w:t xml:space="preserve"> </w:t>
      </w:r>
      <w:r>
        <w:rPr>
          <w:color w:val="auto"/>
          <w:spacing w:val="-2"/>
          <w:sz w:val="24"/>
          <w:szCs w:val="24"/>
          <w:highlight w:val="none"/>
        </w:rPr>
        <w:t>种方式解决：</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z w:val="24"/>
          <w:szCs w:val="24"/>
          <w:highlight w:val="none"/>
        </w:rPr>
      </w:pPr>
      <w:r>
        <w:rPr>
          <w:color w:val="auto"/>
          <w:spacing w:val="-1"/>
          <w:sz w:val="24"/>
          <w:szCs w:val="24"/>
          <w:highlight w:val="none"/>
        </w:rPr>
        <w:t>（1）向</w:t>
      </w:r>
      <w:r>
        <w:rPr>
          <w:color w:val="auto"/>
          <w:spacing w:val="-1"/>
          <w:sz w:val="24"/>
          <w:szCs w:val="24"/>
          <w:highlight w:val="none"/>
          <w:u w:val="single" w:color="auto"/>
        </w:rPr>
        <w:t xml:space="preserve">         /            </w:t>
      </w:r>
      <w:r>
        <w:rPr>
          <w:color w:val="auto"/>
          <w:spacing w:val="-106"/>
          <w:sz w:val="24"/>
          <w:szCs w:val="24"/>
          <w:highlight w:val="none"/>
        </w:rPr>
        <w:t xml:space="preserve"> </w:t>
      </w:r>
      <w:r>
        <w:rPr>
          <w:color w:val="auto"/>
          <w:spacing w:val="-1"/>
          <w:sz w:val="24"/>
          <w:szCs w:val="24"/>
          <w:highlight w:val="none"/>
        </w:rPr>
        <w:t>仲裁委员会申请仲裁；</w:t>
      </w:r>
    </w:p>
    <w:p>
      <w:pPr>
        <w:pStyle w:val="11"/>
        <w:keepNext w:val="0"/>
        <w:keepLines w:val="0"/>
        <w:pageBreakBefore w:val="0"/>
        <w:widowControl w:val="0"/>
        <w:kinsoku/>
        <w:wordWrap/>
        <w:overflowPunct/>
        <w:topLinePunct w:val="0"/>
        <w:autoSpaceDE/>
        <w:autoSpaceDN/>
        <w:bidi w:val="0"/>
        <w:adjustRightInd/>
        <w:snapToGrid/>
        <w:spacing w:after="0" w:line="360" w:lineRule="auto"/>
        <w:ind w:left="500"/>
        <w:textAlignment w:val="auto"/>
        <w:rPr>
          <w:color w:val="auto"/>
          <w:spacing w:val="-2"/>
          <w:sz w:val="24"/>
          <w:szCs w:val="24"/>
          <w:highlight w:val="none"/>
        </w:rPr>
      </w:pPr>
      <w:r>
        <w:rPr>
          <w:color w:val="auto"/>
          <w:spacing w:val="-1"/>
          <w:sz w:val="24"/>
          <w:szCs w:val="24"/>
          <w:highlight w:val="none"/>
        </w:rPr>
        <w:t>（2）向</w:t>
      </w:r>
      <w:r>
        <w:rPr>
          <w:color w:val="auto"/>
          <w:spacing w:val="-1"/>
          <w:sz w:val="24"/>
          <w:szCs w:val="24"/>
          <w:highlight w:val="none"/>
          <w:u w:val="single" w:color="auto"/>
        </w:rPr>
        <w:t xml:space="preserve">     工程所在地        </w:t>
      </w:r>
      <w:r>
        <w:rPr>
          <w:color w:val="auto"/>
          <w:spacing w:val="-108"/>
          <w:sz w:val="24"/>
          <w:szCs w:val="24"/>
          <w:highlight w:val="none"/>
        </w:rPr>
        <w:t xml:space="preserve"> </w:t>
      </w:r>
      <w:r>
        <w:rPr>
          <w:color w:val="auto"/>
          <w:spacing w:val="-1"/>
          <w:sz w:val="24"/>
          <w:szCs w:val="24"/>
          <w:highlight w:val="none"/>
        </w:rPr>
        <w:t>人民</w:t>
      </w:r>
      <w:r>
        <w:rPr>
          <w:color w:val="auto"/>
          <w:spacing w:val="-2"/>
          <w:sz w:val="24"/>
          <w:szCs w:val="24"/>
          <w:highlight w:val="none"/>
        </w:rPr>
        <w:t>法院起诉。</w:t>
      </w:r>
    </w:p>
    <w:p>
      <w:pPr>
        <w:rPr>
          <w:color w:val="auto"/>
          <w:spacing w:val="-2"/>
          <w:sz w:val="24"/>
          <w:szCs w:val="24"/>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rPr>
          <w:color w:val="auto"/>
          <w:spacing w:val="-11"/>
          <w:sz w:val="24"/>
          <w:szCs w:val="24"/>
          <w:highlight w:val="none"/>
        </w:rPr>
      </w:pPr>
      <w:r>
        <w:rPr>
          <w:color w:val="auto"/>
          <w:spacing w:val="-11"/>
          <w:sz w:val="24"/>
          <w:szCs w:val="24"/>
          <w:highlight w:val="none"/>
        </w:rPr>
        <w:br w:type="page"/>
      </w:r>
    </w:p>
    <w:p>
      <w:pPr>
        <w:rPr>
          <w:color w:val="auto"/>
          <w:sz w:val="24"/>
          <w:szCs w:val="24"/>
          <w:highlight w:val="none"/>
        </w:rPr>
      </w:pPr>
      <w:r>
        <w:rPr>
          <w:color w:val="auto"/>
          <w:spacing w:val="-11"/>
          <w:sz w:val="24"/>
          <w:szCs w:val="24"/>
          <w:highlight w:val="none"/>
        </w:rPr>
        <w:t>附件</w:t>
      </w:r>
      <w:r>
        <w:rPr>
          <w:color w:val="auto"/>
          <w:spacing w:val="-46"/>
          <w:sz w:val="24"/>
          <w:szCs w:val="24"/>
          <w:highlight w:val="none"/>
        </w:rPr>
        <w:t xml:space="preserve"> </w:t>
      </w:r>
      <w:r>
        <w:rPr>
          <w:color w:val="auto"/>
          <w:spacing w:val="-11"/>
          <w:sz w:val="24"/>
          <w:szCs w:val="24"/>
          <w:highlight w:val="none"/>
        </w:rPr>
        <w:t>3：</w:t>
      </w:r>
    </w:p>
    <w:p>
      <w:pPr>
        <w:pStyle w:val="11"/>
        <w:spacing w:before="274" w:line="219" w:lineRule="auto"/>
        <w:ind w:left="4044"/>
        <w:rPr>
          <w:color w:val="auto"/>
          <w:sz w:val="24"/>
          <w:szCs w:val="24"/>
          <w:highlight w:val="none"/>
        </w:rPr>
      </w:pPr>
      <w:r>
        <w:rPr>
          <w:color w:val="auto"/>
          <w:spacing w:val="-2"/>
          <w:sz w:val="24"/>
          <w:szCs w:val="24"/>
          <w:highlight w:val="none"/>
        </w:rPr>
        <w:t>工程质量保修书</w:t>
      </w:r>
    </w:p>
    <w:p>
      <w:pPr>
        <w:pStyle w:val="11"/>
        <w:keepNext w:val="0"/>
        <w:keepLines w:val="0"/>
        <w:pageBreakBefore w:val="0"/>
        <w:widowControl w:val="0"/>
        <w:kinsoku/>
        <w:wordWrap/>
        <w:overflowPunct/>
        <w:topLinePunct w:val="0"/>
        <w:autoSpaceDE/>
        <w:autoSpaceDN/>
        <w:bidi w:val="0"/>
        <w:adjustRightInd/>
        <w:snapToGrid/>
        <w:spacing w:after="0" w:line="360" w:lineRule="auto"/>
        <w:ind w:left="493"/>
        <w:textAlignment w:val="auto"/>
        <w:rPr>
          <w:color w:val="auto"/>
          <w:sz w:val="24"/>
          <w:szCs w:val="24"/>
          <w:highlight w:val="none"/>
        </w:rPr>
      </w:pPr>
      <w:r>
        <w:rPr>
          <w:color w:val="auto"/>
          <w:spacing w:val="-3"/>
          <w:sz w:val="24"/>
          <w:szCs w:val="24"/>
          <w:highlight w:val="none"/>
        </w:rPr>
        <w:t>发包人（全称</w:t>
      </w:r>
      <w:r>
        <w:rPr>
          <w:color w:val="auto"/>
          <w:spacing w:val="1"/>
          <w:sz w:val="24"/>
          <w:szCs w:val="24"/>
          <w:highlight w:val="none"/>
        </w:rPr>
        <w:t>）：</w:t>
      </w:r>
      <w:r>
        <w:rPr>
          <w:color w:val="auto"/>
          <w:sz w:val="24"/>
          <w:szCs w:val="24"/>
          <w:highlight w:val="none"/>
          <w:u w:val="single" w:color="auto"/>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left="489"/>
        <w:textAlignment w:val="auto"/>
        <w:rPr>
          <w:rFonts w:ascii="Arial"/>
          <w:color w:val="auto"/>
          <w:sz w:val="21"/>
          <w:highlight w:val="none"/>
        </w:rPr>
      </w:pPr>
      <w:r>
        <w:rPr>
          <w:color w:val="auto"/>
          <w:spacing w:val="-2"/>
          <w:sz w:val="24"/>
          <w:szCs w:val="24"/>
          <w:highlight w:val="none"/>
        </w:rPr>
        <w:t>承包人（全称</w:t>
      </w:r>
      <w:r>
        <w:rPr>
          <w:color w:val="auto"/>
          <w:sz w:val="24"/>
          <w:szCs w:val="24"/>
          <w:highlight w:val="none"/>
        </w:rPr>
        <w:t>）：</w:t>
      </w:r>
      <w:r>
        <w:rPr>
          <w:color w:val="auto"/>
          <w:sz w:val="24"/>
          <w:szCs w:val="24"/>
          <w:highlight w:val="none"/>
          <w:u w:val="single" w:color="auto"/>
        </w:rPr>
        <w:t xml:space="preserve">                                </w:t>
      </w:r>
    </w:p>
    <w:p>
      <w:pPr>
        <w:pStyle w:val="11"/>
        <w:keepNext w:val="0"/>
        <w:keepLines w:val="0"/>
        <w:pageBreakBefore w:val="0"/>
        <w:widowControl w:val="0"/>
        <w:kinsoku/>
        <w:wordWrap/>
        <w:overflowPunct/>
        <w:topLinePunct w:val="0"/>
        <w:autoSpaceDE/>
        <w:autoSpaceDN/>
        <w:bidi w:val="0"/>
        <w:adjustRightInd/>
        <w:snapToGrid/>
        <w:spacing w:after="0" w:line="360" w:lineRule="auto"/>
        <w:ind w:right="8" w:firstLine="472" w:firstLineChars="200"/>
        <w:jc w:val="both"/>
        <w:textAlignment w:val="auto"/>
        <w:rPr>
          <w:rFonts w:eastAsia="宋体"/>
          <w:color w:val="auto"/>
          <w:sz w:val="24"/>
          <w:szCs w:val="24"/>
          <w:highlight w:val="none"/>
        </w:rPr>
      </w:pPr>
      <w:r>
        <w:rPr>
          <w:color w:val="auto"/>
          <w:spacing w:val="-2"/>
          <w:position w:val="17"/>
          <w:sz w:val="24"/>
          <w:szCs w:val="24"/>
          <w:highlight w:val="none"/>
        </w:rPr>
        <w:t>发包人和承包人根据《中华人民共和国建筑法》和</w:t>
      </w:r>
      <w:r>
        <w:rPr>
          <w:color w:val="auto"/>
          <w:spacing w:val="-3"/>
          <w:position w:val="17"/>
          <w:sz w:val="24"/>
          <w:szCs w:val="24"/>
          <w:highlight w:val="none"/>
        </w:rPr>
        <w:t>《建设工程质量管理条例》，</w:t>
      </w:r>
      <w:r>
        <w:rPr>
          <w:rFonts w:eastAsia="宋体"/>
          <w:color w:val="auto"/>
          <w:sz w:val="24"/>
          <w:szCs w:val="24"/>
          <w:highlight w:val="none"/>
        </w:rPr>
        <w:t>经协商一致就</w:t>
      </w:r>
      <w:r>
        <w:rPr>
          <w:rFonts w:eastAsia="宋体"/>
          <w:color w:val="auto"/>
          <w:sz w:val="24"/>
          <w:szCs w:val="24"/>
          <w:highlight w:val="none"/>
          <w:u w:val="single"/>
        </w:rPr>
        <w:t xml:space="preserve">                </w:t>
      </w:r>
      <w:r>
        <w:rPr>
          <w:rFonts w:eastAsia="宋体"/>
          <w:color w:val="auto"/>
          <w:sz w:val="24"/>
          <w:szCs w:val="24"/>
          <w:highlight w:val="none"/>
        </w:rPr>
        <w:t>（工程全称）签订工程质量保修书。</w:t>
      </w:r>
    </w:p>
    <w:p>
      <w:pPr>
        <w:pStyle w:val="11"/>
        <w:keepNext w:val="0"/>
        <w:keepLines w:val="0"/>
        <w:pageBreakBefore w:val="0"/>
        <w:widowControl w:val="0"/>
        <w:kinsoku/>
        <w:wordWrap/>
        <w:overflowPunct/>
        <w:topLinePunct w:val="0"/>
        <w:autoSpaceDE/>
        <w:autoSpaceDN/>
        <w:bidi w:val="0"/>
        <w:adjustRightInd/>
        <w:snapToGrid/>
        <w:spacing w:after="0" w:line="360" w:lineRule="auto"/>
        <w:ind w:left="13"/>
        <w:textAlignment w:val="auto"/>
        <w:rPr>
          <w:color w:val="auto"/>
          <w:sz w:val="24"/>
          <w:szCs w:val="24"/>
          <w:highlight w:val="none"/>
        </w:rPr>
      </w:pPr>
      <w:r>
        <w:rPr>
          <w:color w:val="auto"/>
          <w:spacing w:val="-2"/>
          <w:sz w:val="24"/>
          <w:szCs w:val="24"/>
          <w:highlight w:val="none"/>
        </w:rPr>
        <w:t>一、工程质量保修范围和内容</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z w:val="24"/>
          <w:szCs w:val="24"/>
          <w:highlight w:val="none"/>
        </w:rPr>
        <w:t>承包人在质量保修期内，按照有关法律规定和合同约定，</w:t>
      </w:r>
      <w:r>
        <w:rPr>
          <w:color w:val="auto"/>
          <w:spacing w:val="-1"/>
          <w:sz w:val="24"/>
          <w:szCs w:val="24"/>
          <w:highlight w:val="none"/>
        </w:rPr>
        <w:t>承担工程质量保修责任。</w:t>
      </w:r>
      <w:r>
        <w:rPr>
          <w:color w:val="auto"/>
          <w:spacing w:val="-3"/>
          <w:sz w:val="24"/>
          <w:szCs w:val="24"/>
          <w:highlight w:val="none"/>
        </w:rPr>
        <w:t>质量保修范围包括地基基础工程、主体结构工程，屋面防水工程、有防水要求的卫生间、房间</w:t>
      </w:r>
      <w:r>
        <w:rPr>
          <w:color w:val="auto"/>
          <w:spacing w:val="18"/>
          <w:sz w:val="24"/>
          <w:szCs w:val="24"/>
          <w:highlight w:val="none"/>
        </w:rPr>
        <w:t xml:space="preserve"> </w:t>
      </w:r>
      <w:r>
        <w:rPr>
          <w:color w:val="auto"/>
          <w:spacing w:val="-3"/>
          <w:sz w:val="24"/>
          <w:szCs w:val="24"/>
          <w:highlight w:val="none"/>
        </w:rPr>
        <w:t>和外墙面的防渗漏，供热与供冷系统，电气管线、给排水管道、设备安装和装修工程，以及双</w:t>
      </w:r>
      <w:r>
        <w:rPr>
          <w:color w:val="auto"/>
          <w:spacing w:val="18"/>
          <w:sz w:val="24"/>
          <w:szCs w:val="24"/>
          <w:highlight w:val="none"/>
        </w:rPr>
        <w:t xml:space="preserve"> </w:t>
      </w:r>
      <w:r>
        <w:rPr>
          <w:color w:val="auto"/>
          <w:spacing w:val="-2"/>
          <w:sz w:val="24"/>
          <w:szCs w:val="24"/>
          <w:highlight w:val="none"/>
        </w:rPr>
        <w:t>方约定的其他项目。具体保修的内容，双方约定</w:t>
      </w:r>
      <w:r>
        <w:rPr>
          <w:color w:val="auto"/>
          <w:spacing w:val="-3"/>
          <w:sz w:val="24"/>
          <w:szCs w:val="24"/>
          <w:highlight w:val="none"/>
        </w:rPr>
        <w:t>如下：</w:t>
      </w:r>
      <w:r>
        <w:rPr>
          <w:color w:val="auto"/>
          <w:spacing w:val="-3"/>
          <w:sz w:val="24"/>
          <w:szCs w:val="24"/>
          <w:highlight w:val="none"/>
          <w:u w:val="single" w:color="auto"/>
        </w:rPr>
        <w:t xml:space="preserve">  承包人对承包范围内的全部施工工程</w:t>
      </w:r>
      <w:r>
        <w:rPr>
          <w:color w:val="auto"/>
          <w:spacing w:val="-1"/>
          <w:sz w:val="24"/>
          <w:szCs w:val="24"/>
          <w:highlight w:val="none"/>
          <w:u w:val="single" w:color="auto"/>
        </w:rPr>
        <w:t xml:space="preserve">均实行保修         </w:t>
      </w:r>
      <w:r>
        <w:rPr>
          <w:color w:val="auto"/>
          <w:spacing w:val="-1"/>
          <w:sz w:val="24"/>
          <w:szCs w:val="24"/>
          <w:highlight w:val="none"/>
        </w:rPr>
        <w:t>。</w:t>
      </w:r>
    </w:p>
    <w:p>
      <w:pPr>
        <w:pStyle w:val="11"/>
        <w:spacing w:before="0" w:line="360" w:lineRule="auto"/>
        <w:ind w:left="13"/>
        <w:rPr>
          <w:color w:val="auto"/>
          <w:sz w:val="24"/>
          <w:szCs w:val="24"/>
          <w:highlight w:val="none"/>
        </w:rPr>
      </w:pPr>
      <w:r>
        <w:rPr>
          <w:color w:val="auto"/>
          <w:spacing w:val="-2"/>
          <w:sz w:val="24"/>
          <w:szCs w:val="24"/>
          <w:highlight w:val="none"/>
        </w:rPr>
        <w:t>二、质量保修期</w:t>
      </w:r>
    </w:p>
    <w:p>
      <w:pPr>
        <w:pStyle w:val="11"/>
        <w:spacing w:before="0" w:after="0" w:line="360" w:lineRule="auto"/>
        <w:ind w:left="0" w:firstLine="480" w:firstLineChars="200"/>
        <w:rPr>
          <w:color w:val="auto"/>
          <w:sz w:val="24"/>
          <w:szCs w:val="24"/>
          <w:highlight w:val="none"/>
        </w:rPr>
      </w:pPr>
      <w:r>
        <w:rPr>
          <w:color w:val="auto"/>
          <w:position w:val="0"/>
          <w:sz w:val="24"/>
          <w:szCs w:val="24"/>
          <w:highlight w:val="none"/>
        </w:rPr>
        <w:t>根据《建设工程质量管理条例》及有关规定，</w:t>
      </w:r>
      <w:r>
        <w:rPr>
          <w:color w:val="auto"/>
          <w:spacing w:val="0"/>
          <w:position w:val="0"/>
          <w:sz w:val="24"/>
          <w:szCs w:val="24"/>
          <w:highlight w:val="none"/>
        </w:rPr>
        <w:t>工程的质量保修期如下：</w:t>
      </w:r>
    </w:p>
    <w:p>
      <w:pPr>
        <w:pStyle w:val="11"/>
        <w:spacing w:after="0" w:line="360" w:lineRule="auto"/>
        <w:ind w:left="0" w:firstLine="480" w:firstLineChars="200"/>
        <w:rPr>
          <w:color w:val="auto"/>
          <w:sz w:val="24"/>
          <w:szCs w:val="24"/>
          <w:highlight w:val="none"/>
        </w:rPr>
      </w:pPr>
      <w:r>
        <w:rPr>
          <w:color w:val="auto"/>
          <w:spacing w:val="0"/>
          <w:sz w:val="24"/>
          <w:szCs w:val="24"/>
          <w:highlight w:val="none"/>
        </w:rPr>
        <w:t>1．地基基础工程和主体结构工程为设计文件规定的工程合理使用年限；</w:t>
      </w:r>
    </w:p>
    <w:p>
      <w:pPr>
        <w:pStyle w:val="11"/>
        <w:spacing w:before="0" w:after="0" w:line="360" w:lineRule="auto"/>
        <w:ind w:left="0" w:firstLine="480" w:firstLineChars="200"/>
        <w:rPr>
          <w:color w:val="auto"/>
          <w:sz w:val="24"/>
          <w:szCs w:val="24"/>
          <w:highlight w:val="none"/>
        </w:rPr>
      </w:pPr>
      <w:r>
        <w:rPr>
          <w:color w:val="auto"/>
          <w:spacing w:val="0"/>
          <w:sz w:val="24"/>
          <w:szCs w:val="24"/>
          <w:highlight w:val="none"/>
        </w:rPr>
        <w:t>2．屋面防水工程、有防水要求的卫生间、房间和外墙面的防渗为</w:t>
      </w:r>
      <w:r>
        <w:rPr>
          <w:color w:val="auto"/>
          <w:spacing w:val="0"/>
          <w:sz w:val="24"/>
          <w:szCs w:val="24"/>
          <w:highlight w:val="none"/>
          <w:u w:val="none" w:color="auto"/>
        </w:rPr>
        <w:t xml:space="preserve"> </w:t>
      </w:r>
      <w:r>
        <w:rPr>
          <w:i/>
          <w:iCs/>
          <w:color w:val="auto"/>
          <w:spacing w:val="0"/>
          <w:sz w:val="24"/>
          <w:szCs w:val="24"/>
          <w:highlight w:val="none"/>
          <w:u w:val="none" w:color="auto"/>
        </w:rPr>
        <w:t xml:space="preserve"> 5  </w:t>
      </w:r>
      <w:r>
        <w:rPr>
          <w:color w:val="auto"/>
          <w:spacing w:val="0"/>
          <w:sz w:val="24"/>
          <w:szCs w:val="24"/>
          <w:highlight w:val="none"/>
          <w:u w:val="none" w:color="auto"/>
        </w:rPr>
        <w:t xml:space="preserve"> </w:t>
      </w:r>
      <w:r>
        <w:rPr>
          <w:color w:val="auto"/>
          <w:spacing w:val="0"/>
          <w:sz w:val="24"/>
          <w:szCs w:val="24"/>
          <w:highlight w:val="none"/>
        </w:rPr>
        <w:t xml:space="preserve"> 年；</w:t>
      </w:r>
    </w:p>
    <w:p>
      <w:pPr>
        <w:pStyle w:val="11"/>
        <w:spacing w:after="0" w:line="360" w:lineRule="auto"/>
        <w:ind w:left="0" w:firstLine="480" w:firstLineChars="200"/>
        <w:rPr>
          <w:color w:val="auto"/>
          <w:sz w:val="24"/>
          <w:szCs w:val="24"/>
          <w:highlight w:val="none"/>
        </w:rPr>
      </w:pPr>
      <w:r>
        <w:rPr>
          <w:color w:val="auto"/>
          <w:spacing w:val="0"/>
          <w:sz w:val="24"/>
          <w:szCs w:val="24"/>
          <w:highlight w:val="none"/>
        </w:rPr>
        <w:t>3．装修工程为</w:t>
      </w:r>
      <w:r>
        <w:rPr>
          <w:color w:val="auto"/>
          <w:spacing w:val="0"/>
          <w:sz w:val="24"/>
          <w:szCs w:val="24"/>
          <w:highlight w:val="none"/>
          <w:u w:val="single" w:color="auto"/>
        </w:rPr>
        <w:t xml:space="preserve">  2</w:t>
      </w:r>
      <w:r>
        <w:rPr>
          <w:color w:val="auto"/>
          <w:sz w:val="24"/>
          <w:szCs w:val="24"/>
          <w:highlight w:val="none"/>
          <w:u w:val="single" w:color="auto"/>
        </w:rPr>
        <w:t xml:space="preserve">   </w:t>
      </w:r>
      <w:r>
        <w:rPr>
          <w:color w:val="auto"/>
          <w:spacing w:val="0"/>
          <w:sz w:val="24"/>
          <w:szCs w:val="24"/>
          <w:highlight w:val="none"/>
        </w:rPr>
        <w:t>年；</w:t>
      </w:r>
    </w:p>
    <w:p>
      <w:pPr>
        <w:pStyle w:val="11"/>
        <w:spacing w:before="0" w:after="0" w:line="360" w:lineRule="auto"/>
        <w:ind w:left="0" w:firstLine="480" w:firstLineChars="200"/>
        <w:rPr>
          <w:color w:val="auto"/>
          <w:sz w:val="24"/>
          <w:szCs w:val="24"/>
          <w:highlight w:val="none"/>
        </w:rPr>
      </w:pPr>
      <w:r>
        <w:rPr>
          <w:color w:val="auto"/>
          <w:spacing w:val="0"/>
          <w:sz w:val="24"/>
          <w:szCs w:val="24"/>
          <w:highlight w:val="none"/>
        </w:rPr>
        <w:t>4．电气管线、给排水管道、设备安装工程为</w:t>
      </w:r>
      <w:r>
        <w:rPr>
          <w:color w:val="auto"/>
          <w:spacing w:val="0"/>
          <w:sz w:val="24"/>
          <w:szCs w:val="24"/>
          <w:highlight w:val="none"/>
          <w:u w:val="single" w:color="auto"/>
        </w:rPr>
        <w:t xml:space="preserve">   2  </w:t>
      </w:r>
      <w:r>
        <w:rPr>
          <w:color w:val="auto"/>
          <w:spacing w:val="0"/>
          <w:sz w:val="24"/>
          <w:szCs w:val="24"/>
          <w:highlight w:val="none"/>
        </w:rPr>
        <w:t>年；</w:t>
      </w:r>
    </w:p>
    <w:p>
      <w:pPr>
        <w:pStyle w:val="11"/>
        <w:spacing w:before="0" w:after="0" w:line="360" w:lineRule="auto"/>
        <w:ind w:left="0" w:firstLine="480" w:firstLineChars="200"/>
        <w:rPr>
          <w:color w:val="auto"/>
          <w:sz w:val="24"/>
          <w:szCs w:val="24"/>
          <w:highlight w:val="none"/>
        </w:rPr>
      </w:pPr>
      <w:r>
        <w:rPr>
          <w:color w:val="auto"/>
          <w:spacing w:val="0"/>
          <w:sz w:val="24"/>
          <w:szCs w:val="24"/>
          <w:highlight w:val="none"/>
        </w:rPr>
        <w:t>5．供热与供冷系统为</w:t>
      </w:r>
      <w:r>
        <w:rPr>
          <w:color w:val="auto"/>
          <w:spacing w:val="0"/>
          <w:sz w:val="24"/>
          <w:szCs w:val="24"/>
          <w:highlight w:val="none"/>
          <w:u w:val="none" w:color="auto"/>
        </w:rPr>
        <w:t xml:space="preserve"> </w:t>
      </w:r>
      <w:r>
        <w:rPr>
          <w:i w:val="0"/>
          <w:iCs w:val="0"/>
          <w:color w:val="auto"/>
          <w:spacing w:val="0"/>
          <w:sz w:val="24"/>
          <w:szCs w:val="24"/>
          <w:highlight w:val="none"/>
          <w:u w:val="single" w:color="auto"/>
        </w:rPr>
        <w:t xml:space="preserve"> 2  </w:t>
      </w:r>
      <w:r>
        <w:rPr>
          <w:i/>
          <w:iCs/>
          <w:color w:val="auto"/>
          <w:spacing w:val="0"/>
          <w:sz w:val="24"/>
          <w:szCs w:val="24"/>
          <w:highlight w:val="none"/>
          <w:u w:val="single" w:color="auto"/>
        </w:rPr>
        <w:t xml:space="preserve"> </w:t>
      </w:r>
      <w:r>
        <w:rPr>
          <w:color w:val="auto"/>
          <w:spacing w:val="0"/>
          <w:sz w:val="24"/>
          <w:szCs w:val="24"/>
          <w:highlight w:val="none"/>
        </w:rPr>
        <w:t xml:space="preserve"> 个采暖期、供冷期；</w:t>
      </w:r>
    </w:p>
    <w:p>
      <w:pPr>
        <w:pStyle w:val="11"/>
        <w:spacing w:before="0" w:after="0" w:line="360" w:lineRule="auto"/>
        <w:ind w:left="0" w:firstLine="480" w:firstLineChars="200"/>
        <w:rPr>
          <w:color w:val="auto"/>
          <w:sz w:val="24"/>
          <w:szCs w:val="24"/>
          <w:highlight w:val="none"/>
        </w:rPr>
      </w:pPr>
      <w:r>
        <w:rPr>
          <w:color w:val="auto"/>
          <w:spacing w:val="0"/>
          <w:sz w:val="24"/>
          <w:szCs w:val="24"/>
          <w:highlight w:val="none"/>
        </w:rPr>
        <w:t>6．住宅小区内的给排水设施、道路等配套工程为</w:t>
      </w:r>
      <w:r>
        <w:rPr>
          <w:color w:val="auto"/>
          <w:spacing w:val="0"/>
          <w:sz w:val="24"/>
          <w:szCs w:val="24"/>
          <w:highlight w:val="none"/>
          <w:u w:val="none" w:color="auto"/>
        </w:rPr>
        <w:t xml:space="preserve"> </w:t>
      </w:r>
      <w:r>
        <w:rPr>
          <w:color w:val="auto"/>
          <w:spacing w:val="0"/>
          <w:sz w:val="24"/>
          <w:szCs w:val="24"/>
          <w:highlight w:val="none"/>
          <w:u w:val="single" w:color="auto"/>
        </w:rPr>
        <w:t xml:space="preserve">  2  </w:t>
      </w:r>
      <w:r>
        <w:rPr>
          <w:color w:val="auto"/>
          <w:spacing w:val="0"/>
          <w:sz w:val="24"/>
          <w:szCs w:val="24"/>
          <w:highlight w:val="none"/>
        </w:rPr>
        <w:t>年；</w:t>
      </w:r>
    </w:p>
    <w:p>
      <w:pPr>
        <w:pStyle w:val="11"/>
        <w:spacing w:before="0" w:after="0" w:line="360" w:lineRule="auto"/>
        <w:ind w:left="0" w:firstLine="480" w:firstLineChars="200"/>
        <w:rPr>
          <w:color w:val="auto"/>
          <w:sz w:val="24"/>
          <w:szCs w:val="24"/>
          <w:highlight w:val="none"/>
        </w:rPr>
      </w:pPr>
      <w:r>
        <w:rPr>
          <w:color w:val="auto"/>
          <w:sz w:val="24"/>
          <w:szCs w:val="24"/>
          <w:highlight w:val="none"/>
        </w:rPr>
        <w:t>7．其他项目保修期限约定如下：</w:t>
      </w:r>
      <w:r>
        <w:rPr>
          <w:color w:val="auto"/>
          <w:sz w:val="24"/>
          <w:szCs w:val="24"/>
          <w:highlight w:val="none"/>
          <w:u w:val="none" w:color="auto"/>
        </w:rPr>
        <w:t xml:space="preserve"> </w:t>
      </w:r>
      <w:r>
        <w:rPr>
          <w:color w:val="auto"/>
          <w:sz w:val="24"/>
          <w:szCs w:val="24"/>
          <w:highlight w:val="none"/>
          <w:u w:val="single" w:color="auto"/>
        </w:rPr>
        <w:t xml:space="preserve">   无 </w:t>
      </w:r>
      <w:r>
        <w:rPr>
          <w:color w:val="auto"/>
          <w:sz w:val="24"/>
          <w:szCs w:val="24"/>
          <w:highlight w:val="none"/>
          <w:u w:val="none" w:color="auto"/>
        </w:rPr>
        <w:t xml:space="preserve">         </w:t>
      </w:r>
      <w:r>
        <w:rPr>
          <w:color w:val="auto"/>
          <w:spacing w:val="0"/>
          <w:sz w:val="24"/>
          <w:szCs w:val="24"/>
          <w:highlight w:val="none"/>
          <w:u w:val="none" w:color="auto"/>
        </w:rPr>
        <w:t xml:space="preserve">                </w:t>
      </w:r>
      <w:r>
        <w:rPr>
          <w:color w:val="auto"/>
          <w:spacing w:val="0"/>
          <w:sz w:val="24"/>
          <w:szCs w:val="24"/>
          <w:highlight w:val="none"/>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color w:val="auto"/>
          <w:sz w:val="24"/>
          <w:szCs w:val="24"/>
          <w:highlight w:val="none"/>
        </w:rPr>
      </w:pPr>
      <w:r>
        <w:rPr>
          <w:color w:val="auto"/>
          <w:spacing w:val="0"/>
          <w:sz w:val="24"/>
          <w:szCs w:val="24"/>
          <w:highlight w:val="none"/>
        </w:rPr>
        <w:t>质量保修期自工程竣工验收合格之日起计算。</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color w:val="auto"/>
          <w:sz w:val="24"/>
          <w:szCs w:val="24"/>
          <w:highlight w:val="none"/>
        </w:rPr>
      </w:pPr>
      <w:r>
        <w:rPr>
          <w:color w:val="auto"/>
          <w:spacing w:val="0"/>
          <w:sz w:val="24"/>
          <w:szCs w:val="24"/>
          <w:highlight w:val="none"/>
        </w:rPr>
        <w:t>三、缺陷责任期</w:t>
      </w:r>
    </w:p>
    <w:p>
      <w:pPr>
        <w:pStyle w:val="11"/>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jc w:val="left"/>
        <w:textAlignment w:val="auto"/>
        <w:rPr>
          <w:color w:val="auto"/>
          <w:sz w:val="24"/>
          <w:szCs w:val="24"/>
          <w:highlight w:val="none"/>
        </w:rPr>
      </w:pPr>
      <w:r>
        <w:rPr>
          <w:rFonts w:hint="default"/>
          <w:color w:val="auto"/>
          <w:spacing w:val="0"/>
          <w:sz w:val="24"/>
          <w:szCs w:val="24"/>
          <w:highlight w:val="none"/>
          <w:lang w:val="en-US" w:eastAsia="zh-CN"/>
        </w:rPr>
        <w:t xml:space="preserve">    </w:t>
      </w:r>
      <w:r>
        <w:rPr>
          <w:color w:val="auto"/>
          <w:spacing w:val="0"/>
          <w:sz w:val="24"/>
          <w:szCs w:val="24"/>
          <w:highlight w:val="none"/>
        </w:rPr>
        <w:t>工程缺陷责任期为</w:t>
      </w:r>
      <w:r>
        <w:rPr>
          <w:color w:val="auto"/>
          <w:spacing w:val="0"/>
          <w:sz w:val="24"/>
          <w:szCs w:val="24"/>
          <w:highlight w:val="none"/>
          <w:u w:val="single" w:color="auto"/>
        </w:rPr>
        <w:t xml:space="preserve"> 24  </w:t>
      </w:r>
      <w:r>
        <w:rPr>
          <w:color w:val="auto"/>
          <w:spacing w:val="0"/>
          <w:sz w:val="24"/>
          <w:szCs w:val="24"/>
          <w:highlight w:val="none"/>
        </w:rPr>
        <w:t>个月，缺陷责任期自工程通过竣工验收之日起计算。单位工程先于全部工程进行验收，单位工程缺陷责任期自单位工程验收合格之日起算。</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color w:val="auto"/>
          <w:sz w:val="24"/>
          <w:szCs w:val="24"/>
          <w:highlight w:val="none"/>
        </w:rPr>
      </w:pPr>
      <w:r>
        <w:rPr>
          <w:color w:val="auto"/>
          <w:spacing w:val="0"/>
          <w:position w:val="0"/>
          <w:sz w:val="24"/>
          <w:szCs w:val="24"/>
          <w:highlight w:val="none"/>
        </w:rPr>
        <w:t>缺陷责任期终止后，发包人应退还剩余的质量保证金。</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color w:val="auto"/>
          <w:sz w:val="24"/>
          <w:szCs w:val="24"/>
          <w:highlight w:val="none"/>
        </w:rPr>
      </w:pPr>
      <w:r>
        <w:rPr>
          <w:color w:val="auto"/>
          <w:spacing w:val="0"/>
          <w:sz w:val="24"/>
          <w:szCs w:val="24"/>
          <w:highlight w:val="none"/>
        </w:rPr>
        <w:t>四、质量保修责任</w:t>
      </w:r>
    </w:p>
    <w:p>
      <w:pPr>
        <w:pStyle w:val="11"/>
        <w:keepNext w:val="0"/>
        <w:keepLines w:val="0"/>
        <w:pageBreakBefore w:val="0"/>
        <w:widowControl w:val="0"/>
        <w:kinsoku/>
        <w:wordWrap/>
        <w:overflowPunct/>
        <w:topLinePunct w:val="0"/>
        <w:autoSpaceDE/>
        <w:autoSpaceDN/>
        <w:bidi w:val="0"/>
        <w:adjustRightInd/>
        <w:snapToGrid/>
        <w:spacing w:after="0" w:line="360" w:lineRule="auto"/>
        <w:ind w:right="12"/>
        <w:jc w:val="left"/>
        <w:textAlignment w:val="auto"/>
        <w:rPr>
          <w:color w:val="auto"/>
          <w:sz w:val="24"/>
          <w:szCs w:val="24"/>
          <w:highlight w:val="none"/>
        </w:rPr>
      </w:pPr>
      <w:r>
        <w:rPr>
          <w:rFonts w:hint="eastAsia"/>
          <w:color w:val="auto"/>
          <w:spacing w:val="-4"/>
          <w:sz w:val="24"/>
          <w:szCs w:val="24"/>
          <w:highlight w:val="none"/>
          <w:lang w:val="en-US" w:eastAsia="zh-CN"/>
        </w:rPr>
        <w:t xml:space="preserve">   </w:t>
      </w:r>
      <w:r>
        <w:rPr>
          <w:color w:val="auto"/>
          <w:spacing w:val="-4"/>
          <w:sz w:val="24"/>
          <w:szCs w:val="24"/>
          <w:highlight w:val="none"/>
        </w:rPr>
        <w:t>1．属于保修范围、内容的项目，承包人应当在接到保修通知之日起</w:t>
      </w:r>
      <w:r>
        <w:rPr>
          <w:color w:val="auto"/>
          <w:spacing w:val="-29"/>
          <w:sz w:val="24"/>
          <w:szCs w:val="24"/>
          <w:highlight w:val="none"/>
        </w:rPr>
        <w:t xml:space="preserve"> </w:t>
      </w:r>
      <w:r>
        <w:rPr>
          <w:color w:val="auto"/>
          <w:spacing w:val="-4"/>
          <w:sz w:val="24"/>
          <w:szCs w:val="24"/>
          <w:highlight w:val="none"/>
        </w:rPr>
        <w:t>7</w:t>
      </w:r>
      <w:r>
        <w:rPr>
          <w:color w:val="auto"/>
          <w:spacing w:val="-45"/>
          <w:sz w:val="24"/>
          <w:szCs w:val="24"/>
          <w:highlight w:val="none"/>
        </w:rPr>
        <w:t xml:space="preserve"> </w:t>
      </w:r>
      <w:r>
        <w:rPr>
          <w:color w:val="auto"/>
          <w:spacing w:val="-4"/>
          <w:sz w:val="24"/>
          <w:szCs w:val="24"/>
          <w:highlight w:val="none"/>
        </w:rPr>
        <w:t>天内派人保修。承</w:t>
      </w:r>
      <w:r>
        <w:rPr>
          <w:color w:val="auto"/>
          <w:spacing w:val="-1"/>
          <w:sz w:val="24"/>
          <w:szCs w:val="24"/>
          <w:highlight w:val="none"/>
        </w:rPr>
        <w:t>包人不在约定期限内派人保修的，发包人可以委托他人修理。</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color w:val="auto"/>
          <w:sz w:val="24"/>
          <w:szCs w:val="24"/>
          <w:highlight w:val="none"/>
        </w:rPr>
      </w:pPr>
      <w:r>
        <w:rPr>
          <w:color w:val="auto"/>
          <w:sz w:val="24"/>
          <w:szCs w:val="24"/>
          <w:highlight w:val="none"/>
        </w:rPr>
        <w:t>2．发生紧急事故需抢修的，承包人在接到事故通知后</w:t>
      </w:r>
      <w:r>
        <w:rPr>
          <w:color w:val="auto"/>
          <w:spacing w:val="-1"/>
          <w:sz w:val="24"/>
          <w:szCs w:val="24"/>
          <w:highlight w:val="none"/>
        </w:rPr>
        <w:t>，应当立即到达事故现场抢修。</w:t>
      </w:r>
    </w:p>
    <w:p>
      <w:pPr>
        <w:spacing w:line="257"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spacing w:line="258" w:lineRule="auto"/>
        <w:rPr>
          <w:rFonts w:ascii="Arial"/>
          <w:color w:val="auto"/>
          <w:sz w:val="21"/>
          <w:highlight w:val="none"/>
        </w:rPr>
      </w:pPr>
    </w:p>
    <w:p>
      <w:pPr>
        <w:pStyle w:val="11"/>
        <w:spacing w:before="78" w:line="219" w:lineRule="auto"/>
        <w:ind w:left="721"/>
        <w:rPr>
          <w:color w:val="auto"/>
          <w:sz w:val="24"/>
          <w:szCs w:val="24"/>
          <w:highlight w:val="none"/>
        </w:rPr>
      </w:pPr>
      <w:r>
        <w:rPr>
          <w:color w:val="auto"/>
          <w:spacing w:val="-1"/>
          <w:sz w:val="24"/>
          <w:szCs w:val="24"/>
          <w:highlight w:val="none"/>
        </w:rPr>
        <w:t>发包人(公章)：</w:t>
      </w:r>
      <w:r>
        <w:rPr>
          <w:color w:val="auto"/>
          <w:spacing w:val="-1"/>
          <w:sz w:val="24"/>
          <w:szCs w:val="24"/>
          <w:highlight w:val="none"/>
          <w:u w:val="single" w:color="auto"/>
        </w:rPr>
        <w:t xml:space="preserve">              </w:t>
      </w:r>
      <w:r>
        <w:rPr>
          <w:color w:val="auto"/>
          <w:spacing w:val="-1"/>
          <w:sz w:val="24"/>
          <w:szCs w:val="24"/>
          <w:highlight w:val="none"/>
        </w:rPr>
        <w:t xml:space="preserve">   承包人(公章)：</w:t>
      </w:r>
      <w:r>
        <w:rPr>
          <w:color w:val="auto"/>
          <w:spacing w:val="1"/>
          <w:sz w:val="24"/>
          <w:szCs w:val="24"/>
          <w:highlight w:val="none"/>
          <w:u w:val="single" w:color="auto"/>
        </w:rPr>
        <w:t xml:space="preserve">              </w:t>
      </w:r>
    </w:p>
    <w:p>
      <w:pPr>
        <w:pStyle w:val="11"/>
        <w:spacing w:before="183" w:line="229" w:lineRule="auto"/>
        <w:ind w:left="717"/>
        <w:rPr>
          <w:color w:val="auto"/>
          <w:sz w:val="24"/>
          <w:szCs w:val="24"/>
          <w:highlight w:val="none"/>
        </w:rPr>
      </w:pPr>
      <w:r>
        <w:rPr>
          <w:color w:val="auto"/>
          <w:spacing w:val="-7"/>
          <w:sz w:val="24"/>
          <w:szCs w:val="24"/>
          <w:highlight w:val="none"/>
        </w:rPr>
        <w:t>地</w:t>
      </w:r>
      <w:r>
        <w:rPr>
          <w:color w:val="auto"/>
          <w:spacing w:val="5"/>
          <w:sz w:val="24"/>
          <w:szCs w:val="24"/>
          <w:highlight w:val="none"/>
        </w:rPr>
        <w:t xml:space="preserve">  </w:t>
      </w:r>
      <w:r>
        <w:rPr>
          <w:color w:val="auto"/>
          <w:spacing w:val="-7"/>
          <w:sz w:val="24"/>
          <w:szCs w:val="24"/>
          <w:highlight w:val="none"/>
        </w:rPr>
        <w:t>址：</w:t>
      </w:r>
      <w:r>
        <w:rPr>
          <w:color w:val="auto"/>
          <w:sz w:val="24"/>
          <w:szCs w:val="24"/>
          <w:highlight w:val="none"/>
          <w:u w:val="single" w:color="auto"/>
        </w:rPr>
        <w:t xml:space="preserve">                   </w:t>
      </w:r>
      <w:r>
        <w:rPr>
          <w:color w:val="auto"/>
          <w:spacing w:val="3"/>
          <w:sz w:val="24"/>
          <w:szCs w:val="24"/>
          <w:highlight w:val="none"/>
        </w:rPr>
        <w:t xml:space="preserve">   </w:t>
      </w:r>
      <w:r>
        <w:rPr>
          <w:color w:val="auto"/>
          <w:spacing w:val="-7"/>
          <w:sz w:val="24"/>
          <w:szCs w:val="24"/>
          <w:highlight w:val="none"/>
        </w:rPr>
        <w:t>地</w:t>
      </w:r>
      <w:r>
        <w:rPr>
          <w:color w:val="auto"/>
          <w:spacing w:val="6"/>
          <w:sz w:val="24"/>
          <w:szCs w:val="24"/>
          <w:highlight w:val="none"/>
        </w:rPr>
        <w:t xml:space="preserve">  </w:t>
      </w:r>
      <w:r>
        <w:rPr>
          <w:color w:val="auto"/>
          <w:spacing w:val="-7"/>
          <w:sz w:val="24"/>
          <w:szCs w:val="24"/>
          <w:highlight w:val="none"/>
        </w:rPr>
        <w:t>址：</w:t>
      </w:r>
      <w:r>
        <w:rPr>
          <w:color w:val="auto"/>
          <w:sz w:val="24"/>
          <w:szCs w:val="24"/>
          <w:highlight w:val="none"/>
          <w:u w:val="single" w:color="auto"/>
        </w:rPr>
        <w:t xml:space="preserve">                    </w:t>
      </w:r>
    </w:p>
    <w:p>
      <w:pPr>
        <w:pStyle w:val="11"/>
        <w:spacing w:before="168" w:line="219" w:lineRule="auto"/>
        <w:ind w:left="718"/>
        <w:rPr>
          <w:color w:val="auto"/>
          <w:sz w:val="24"/>
          <w:szCs w:val="24"/>
          <w:highlight w:val="none"/>
        </w:rPr>
      </w:pPr>
      <w:r>
        <w:rPr>
          <w:color w:val="auto"/>
          <w:sz w:val="24"/>
          <w:szCs w:val="24"/>
          <w:highlight w:val="none"/>
        </w:rPr>
        <w:t>法定代表人(签字)：</w:t>
      </w:r>
      <w:r>
        <w:rPr>
          <w:color w:val="auto"/>
          <w:sz w:val="24"/>
          <w:szCs w:val="24"/>
          <w:highlight w:val="none"/>
          <w:u w:val="single" w:color="auto"/>
        </w:rPr>
        <w:t xml:space="preserve">          </w:t>
      </w:r>
      <w:r>
        <w:rPr>
          <w:color w:val="auto"/>
          <w:sz w:val="24"/>
          <w:szCs w:val="24"/>
          <w:highlight w:val="none"/>
        </w:rPr>
        <w:t xml:space="preserve"> </w:t>
      </w:r>
      <w:r>
        <w:rPr>
          <w:color w:val="auto"/>
          <w:spacing w:val="-1"/>
          <w:sz w:val="24"/>
          <w:szCs w:val="24"/>
          <w:highlight w:val="none"/>
        </w:rPr>
        <w:t xml:space="preserve">  法定代表人(签字)：</w:t>
      </w:r>
      <w:r>
        <w:rPr>
          <w:color w:val="auto"/>
          <w:sz w:val="24"/>
          <w:szCs w:val="24"/>
          <w:highlight w:val="none"/>
          <w:u w:val="single" w:color="auto"/>
        </w:rPr>
        <w:t xml:space="preserve">           </w:t>
      </w:r>
    </w:p>
    <w:p>
      <w:pPr>
        <w:pStyle w:val="11"/>
        <w:spacing w:before="183" w:line="219" w:lineRule="auto"/>
        <w:ind w:left="716"/>
        <w:rPr>
          <w:color w:val="auto"/>
          <w:sz w:val="24"/>
          <w:szCs w:val="24"/>
          <w:highlight w:val="none"/>
        </w:rPr>
      </w:pPr>
      <w:r>
        <w:rPr>
          <w:color w:val="auto"/>
          <w:sz w:val="24"/>
          <w:szCs w:val="24"/>
          <w:highlight w:val="none"/>
        </w:rPr>
        <w:t>委托代理人(签字)：</w:t>
      </w:r>
      <w:r>
        <w:rPr>
          <w:color w:val="auto"/>
          <w:sz w:val="24"/>
          <w:szCs w:val="24"/>
          <w:highlight w:val="none"/>
          <w:u w:val="single" w:color="auto"/>
        </w:rPr>
        <w:t xml:space="preserve">          </w:t>
      </w:r>
      <w:r>
        <w:rPr>
          <w:color w:val="auto"/>
          <w:sz w:val="24"/>
          <w:szCs w:val="24"/>
          <w:highlight w:val="none"/>
        </w:rPr>
        <w:t xml:space="preserve">   </w:t>
      </w:r>
      <w:r>
        <w:rPr>
          <w:color w:val="auto"/>
          <w:spacing w:val="-1"/>
          <w:sz w:val="24"/>
          <w:szCs w:val="24"/>
          <w:highlight w:val="none"/>
        </w:rPr>
        <w:t>委托代理人(签字)：</w:t>
      </w:r>
      <w:r>
        <w:rPr>
          <w:color w:val="auto"/>
          <w:sz w:val="24"/>
          <w:szCs w:val="24"/>
          <w:highlight w:val="none"/>
          <w:u w:val="single" w:color="auto"/>
        </w:rPr>
        <w:t xml:space="preserve">           </w:t>
      </w:r>
    </w:p>
    <w:p>
      <w:pPr>
        <w:pStyle w:val="11"/>
        <w:spacing w:before="184" w:line="221" w:lineRule="auto"/>
        <w:ind w:left="745"/>
        <w:rPr>
          <w:color w:val="auto"/>
          <w:sz w:val="24"/>
          <w:szCs w:val="24"/>
          <w:highlight w:val="none"/>
        </w:rPr>
      </w:pPr>
      <w:r>
        <w:rPr>
          <w:color w:val="auto"/>
          <w:spacing w:val="-16"/>
          <w:sz w:val="24"/>
          <w:szCs w:val="24"/>
          <w:highlight w:val="none"/>
        </w:rPr>
        <w:t>电</w:t>
      </w:r>
      <w:r>
        <w:rPr>
          <w:color w:val="auto"/>
          <w:spacing w:val="5"/>
          <w:sz w:val="24"/>
          <w:szCs w:val="24"/>
          <w:highlight w:val="none"/>
        </w:rPr>
        <w:t xml:space="preserve">  </w:t>
      </w:r>
      <w:r>
        <w:rPr>
          <w:color w:val="auto"/>
          <w:spacing w:val="-16"/>
          <w:sz w:val="24"/>
          <w:szCs w:val="24"/>
          <w:highlight w:val="none"/>
        </w:rPr>
        <w:t>话：</w:t>
      </w:r>
      <w:r>
        <w:rPr>
          <w:color w:val="auto"/>
          <w:sz w:val="24"/>
          <w:szCs w:val="24"/>
          <w:highlight w:val="none"/>
          <w:u w:val="single" w:color="auto"/>
        </w:rPr>
        <w:t xml:space="preserve">                   </w:t>
      </w:r>
      <w:r>
        <w:rPr>
          <w:color w:val="auto"/>
          <w:spacing w:val="12"/>
          <w:sz w:val="24"/>
          <w:szCs w:val="24"/>
          <w:highlight w:val="none"/>
        </w:rPr>
        <w:t xml:space="preserve">   </w:t>
      </w:r>
      <w:r>
        <w:rPr>
          <w:color w:val="auto"/>
          <w:spacing w:val="-16"/>
          <w:sz w:val="24"/>
          <w:szCs w:val="24"/>
          <w:highlight w:val="none"/>
        </w:rPr>
        <w:t>电</w:t>
      </w:r>
      <w:r>
        <w:rPr>
          <w:color w:val="auto"/>
          <w:spacing w:val="5"/>
          <w:sz w:val="24"/>
          <w:szCs w:val="24"/>
          <w:highlight w:val="none"/>
        </w:rPr>
        <w:t xml:space="preserve">  </w:t>
      </w:r>
      <w:r>
        <w:rPr>
          <w:color w:val="auto"/>
          <w:spacing w:val="-16"/>
          <w:sz w:val="24"/>
          <w:szCs w:val="24"/>
          <w:highlight w:val="none"/>
        </w:rPr>
        <w:t>话：</w:t>
      </w:r>
      <w:r>
        <w:rPr>
          <w:color w:val="auto"/>
          <w:sz w:val="24"/>
          <w:szCs w:val="24"/>
          <w:highlight w:val="none"/>
          <w:u w:val="single" w:color="auto"/>
        </w:rPr>
        <w:t xml:space="preserve">                     </w:t>
      </w:r>
    </w:p>
    <w:p>
      <w:pPr>
        <w:pStyle w:val="11"/>
        <w:spacing w:before="177" w:line="219" w:lineRule="auto"/>
        <w:ind w:left="715"/>
        <w:rPr>
          <w:color w:val="auto"/>
          <w:sz w:val="24"/>
          <w:szCs w:val="24"/>
          <w:highlight w:val="none"/>
        </w:rPr>
      </w:pPr>
      <w:r>
        <w:rPr>
          <w:color w:val="auto"/>
          <w:spacing w:val="-7"/>
          <w:sz w:val="24"/>
          <w:szCs w:val="24"/>
          <w:highlight w:val="none"/>
        </w:rPr>
        <w:t>传</w:t>
      </w:r>
      <w:r>
        <w:rPr>
          <w:color w:val="auto"/>
          <w:spacing w:val="6"/>
          <w:sz w:val="24"/>
          <w:szCs w:val="24"/>
          <w:highlight w:val="none"/>
        </w:rPr>
        <w:t xml:space="preserve">  </w:t>
      </w:r>
      <w:r>
        <w:rPr>
          <w:color w:val="auto"/>
          <w:spacing w:val="-7"/>
          <w:sz w:val="24"/>
          <w:szCs w:val="24"/>
          <w:highlight w:val="none"/>
        </w:rPr>
        <w:t>真：</w:t>
      </w:r>
      <w:r>
        <w:rPr>
          <w:color w:val="auto"/>
          <w:sz w:val="24"/>
          <w:szCs w:val="24"/>
          <w:highlight w:val="none"/>
          <w:u w:val="single" w:color="auto"/>
        </w:rPr>
        <w:t xml:space="preserve">                   </w:t>
      </w:r>
      <w:r>
        <w:rPr>
          <w:color w:val="auto"/>
          <w:spacing w:val="3"/>
          <w:sz w:val="24"/>
          <w:szCs w:val="24"/>
          <w:highlight w:val="none"/>
        </w:rPr>
        <w:t xml:space="preserve">   </w:t>
      </w:r>
      <w:r>
        <w:rPr>
          <w:color w:val="auto"/>
          <w:spacing w:val="-7"/>
          <w:sz w:val="24"/>
          <w:szCs w:val="24"/>
          <w:highlight w:val="none"/>
        </w:rPr>
        <w:t>传</w:t>
      </w:r>
      <w:r>
        <w:rPr>
          <w:color w:val="auto"/>
          <w:spacing w:val="6"/>
          <w:sz w:val="24"/>
          <w:szCs w:val="24"/>
          <w:highlight w:val="none"/>
        </w:rPr>
        <w:t xml:space="preserve">  </w:t>
      </w:r>
      <w:r>
        <w:rPr>
          <w:color w:val="auto"/>
          <w:spacing w:val="-7"/>
          <w:sz w:val="24"/>
          <w:szCs w:val="24"/>
          <w:highlight w:val="none"/>
        </w:rPr>
        <w:t>真：</w:t>
      </w:r>
      <w:r>
        <w:rPr>
          <w:color w:val="auto"/>
          <w:sz w:val="24"/>
          <w:szCs w:val="24"/>
          <w:highlight w:val="none"/>
          <w:u w:val="single" w:color="auto"/>
        </w:rPr>
        <w:t xml:space="preserve">                     </w:t>
      </w:r>
    </w:p>
    <w:p>
      <w:pPr>
        <w:pStyle w:val="11"/>
        <w:spacing w:before="181" w:line="220" w:lineRule="auto"/>
        <w:ind w:left="718"/>
        <w:rPr>
          <w:color w:val="auto"/>
          <w:sz w:val="24"/>
          <w:szCs w:val="24"/>
          <w:highlight w:val="none"/>
        </w:rPr>
      </w:pPr>
      <w:r>
        <w:rPr>
          <w:color w:val="auto"/>
          <w:spacing w:val="-1"/>
          <w:sz w:val="24"/>
          <w:szCs w:val="24"/>
          <w:highlight w:val="none"/>
        </w:rPr>
        <w:t>开户银行：</w:t>
      </w:r>
      <w:r>
        <w:rPr>
          <w:color w:val="auto"/>
          <w:spacing w:val="-1"/>
          <w:sz w:val="24"/>
          <w:szCs w:val="24"/>
          <w:highlight w:val="none"/>
          <w:u w:val="single" w:color="auto"/>
        </w:rPr>
        <w:t xml:space="preserve">                 </w:t>
      </w:r>
      <w:r>
        <w:rPr>
          <w:color w:val="auto"/>
          <w:spacing w:val="-1"/>
          <w:sz w:val="24"/>
          <w:szCs w:val="24"/>
          <w:highlight w:val="none"/>
        </w:rPr>
        <w:t xml:space="preserve">   开户银行：</w:t>
      </w:r>
      <w:r>
        <w:rPr>
          <w:color w:val="auto"/>
          <w:sz w:val="24"/>
          <w:szCs w:val="24"/>
          <w:highlight w:val="none"/>
          <w:u w:val="single" w:color="auto"/>
        </w:rPr>
        <w:t xml:space="preserve">                   </w:t>
      </w:r>
    </w:p>
    <w:p>
      <w:pPr>
        <w:pStyle w:val="11"/>
        <w:spacing w:before="182" w:line="221" w:lineRule="auto"/>
        <w:ind w:left="721"/>
        <w:rPr>
          <w:color w:val="auto"/>
          <w:sz w:val="24"/>
          <w:szCs w:val="24"/>
          <w:highlight w:val="none"/>
        </w:rPr>
      </w:pPr>
      <w:r>
        <w:rPr>
          <w:color w:val="auto"/>
          <w:spacing w:val="-7"/>
          <w:sz w:val="24"/>
          <w:szCs w:val="24"/>
          <w:highlight w:val="none"/>
        </w:rPr>
        <w:t>账</w:t>
      </w:r>
      <w:r>
        <w:rPr>
          <w:color w:val="auto"/>
          <w:spacing w:val="16"/>
          <w:sz w:val="24"/>
          <w:szCs w:val="24"/>
          <w:highlight w:val="none"/>
        </w:rPr>
        <w:t xml:space="preserve">  </w:t>
      </w:r>
      <w:r>
        <w:rPr>
          <w:color w:val="auto"/>
          <w:spacing w:val="-7"/>
          <w:sz w:val="24"/>
          <w:szCs w:val="24"/>
          <w:highlight w:val="none"/>
        </w:rPr>
        <w:t>号：</w:t>
      </w:r>
      <w:r>
        <w:rPr>
          <w:color w:val="auto"/>
          <w:sz w:val="24"/>
          <w:szCs w:val="24"/>
          <w:highlight w:val="none"/>
          <w:u w:val="single" w:color="auto"/>
        </w:rPr>
        <w:t xml:space="preserve">                   </w:t>
      </w:r>
      <w:r>
        <w:rPr>
          <w:color w:val="auto"/>
          <w:spacing w:val="4"/>
          <w:sz w:val="24"/>
          <w:szCs w:val="24"/>
          <w:highlight w:val="none"/>
        </w:rPr>
        <w:t xml:space="preserve">   </w:t>
      </w:r>
      <w:r>
        <w:rPr>
          <w:color w:val="auto"/>
          <w:spacing w:val="-7"/>
          <w:sz w:val="24"/>
          <w:szCs w:val="24"/>
          <w:highlight w:val="none"/>
        </w:rPr>
        <w:t>账</w:t>
      </w:r>
      <w:r>
        <w:rPr>
          <w:color w:val="auto"/>
          <w:spacing w:val="8"/>
          <w:sz w:val="24"/>
          <w:szCs w:val="24"/>
          <w:highlight w:val="none"/>
        </w:rPr>
        <w:t xml:space="preserve">  </w:t>
      </w:r>
      <w:r>
        <w:rPr>
          <w:color w:val="auto"/>
          <w:spacing w:val="-7"/>
          <w:sz w:val="24"/>
          <w:szCs w:val="24"/>
          <w:highlight w:val="none"/>
        </w:rPr>
        <w:t>号：</w:t>
      </w:r>
      <w:r>
        <w:rPr>
          <w:color w:val="auto"/>
          <w:spacing w:val="-7"/>
          <w:sz w:val="24"/>
          <w:szCs w:val="24"/>
          <w:highlight w:val="none"/>
          <w:u w:val="single" w:color="auto"/>
        </w:rPr>
        <w:t xml:space="preserve">                      </w:t>
      </w:r>
    </w:p>
    <w:p>
      <w:pPr>
        <w:pStyle w:val="11"/>
        <w:spacing w:before="181" w:line="219" w:lineRule="auto"/>
        <w:ind w:left="735"/>
        <w:rPr>
          <w:color w:val="auto"/>
          <w:sz w:val="24"/>
          <w:szCs w:val="24"/>
          <w:highlight w:val="none"/>
        </w:rPr>
      </w:pPr>
      <w:r>
        <w:rPr>
          <w:color w:val="auto"/>
          <w:spacing w:val="-6"/>
          <w:sz w:val="24"/>
          <w:szCs w:val="24"/>
          <w:highlight w:val="none"/>
        </w:rPr>
        <w:t>邮政编码：</w:t>
      </w:r>
      <w:r>
        <w:rPr>
          <w:color w:val="auto"/>
          <w:sz w:val="24"/>
          <w:szCs w:val="24"/>
          <w:highlight w:val="none"/>
          <w:u w:val="single" w:color="auto"/>
        </w:rPr>
        <w:t xml:space="preserve">                 </w:t>
      </w:r>
      <w:r>
        <w:rPr>
          <w:color w:val="auto"/>
          <w:spacing w:val="10"/>
          <w:sz w:val="24"/>
          <w:szCs w:val="24"/>
          <w:highlight w:val="none"/>
        </w:rPr>
        <w:t xml:space="preserve">   </w:t>
      </w:r>
      <w:r>
        <w:rPr>
          <w:color w:val="auto"/>
          <w:spacing w:val="-6"/>
          <w:sz w:val="24"/>
          <w:szCs w:val="24"/>
          <w:highlight w:val="none"/>
        </w:rPr>
        <w:t>邮政编码：</w:t>
      </w:r>
      <w:r>
        <w:rPr>
          <w:color w:val="auto"/>
          <w:sz w:val="24"/>
          <w:szCs w:val="24"/>
          <w:highlight w:val="none"/>
          <w:u w:val="single" w:color="auto"/>
        </w:rPr>
        <w:t xml:space="preserve">                   </w:t>
      </w: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352" w:lineRule="auto"/>
        <w:rPr>
          <w:rFonts w:ascii="Arial"/>
          <w:color w:val="auto"/>
          <w:sz w:val="21"/>
          <w:highlight w:val="none"/>
        </w:rPr>
      </w:pPr>
    </w:p>
    <w:p>
      <w:pPr>
        <w:rPr>
          <w:color w:val="auto"/>
          <w:spacing w:val="-11"/>
          <w:sz w:val="24"/>
          <w:szCs w:val="24"/>
          <w:highlight w:val="none"/>
        </w:rPr>
      </w:pPr>
      <w:r>
        <w:rPr>
          <w:color w:val="auto"/>
          <w:spacing w:val="-11"/>
          <w:sz w:val="24"/>
          <w:szCs w:val="24"/>
          <w:highlight w:val="none"/>
        </w:rPr>
        <w:br w:type="page"/>
      </w:r>
    </w:p>
    <w:p>
      <w:pPr>
        <w:pStyle w:val="11"/>
        <w:spacing w:before="78" w:line="219" w:lineRule="auto"/>
        <w:ind w:left="73"/>
        <w:rPr>
          <w:color w:val="auto"/>
          <w:sz w:val="24"/>
          <w:szCs w:val="24"/>
          <w:highlight w:val="none"/>
        </w:rPr>
      </w:pPr>
      <w:r>
        <w:rPr>
          <w:color w:val="auto"/>
          <w:spacing w:val="-11"/>
          <w:sz w:val="24"/>
          <w:szCs w:val="24"/>
          <w:highlight w:val="none"/>
        </w:rPr>
        <w:t>附件</w:t>
      </w:r>
      <w:r>
        <w:rPr>
          <w:color w:val="auto"/>
          <w:spacing w:val="-46"/>
          <w:sz w:val="24"/>
          <w:szCs w:val="24"/>
          <w:highlight w:val="none"/>
        </w:rPr>
        <w:t xml:space="preserve"> </w:t>
      </w:r>
      <w:r>
        <w:rPr>
          <w:color w:val="auto"/>
          <w:spacing w:val="-11"/>
          <w:sz w:val="24"/>
          <w:szCs w:val="24"/>
          <w:highlight w:val="none"/>
        </w:rPr>
        <w:t>5：</w:t>
      </w:r>
    </w:p>
    <w:p>
      <w:pPr>
        <w:pStyle w:val="11"/>
        <w:spacing w:before="301" w:line="227" w:lineRule="auto"/>
        <w:ind w:left="3245"/>
        <w:rPr>
          <w:color w:val="auto"/>
          <w:sz w:val="20"/>
          <w:szCs w:val="20"/>
          <w:highlight w:val="none"/>
        </w:rPr>
      </w:pPr>
      <w:r>
        <w:rPr>
          <w:color w:val="auto"/>
          <w:spacing w:val="9"/>
          <w:sz w:val="20"/>
          <w:szCs w:val="20"/>
          <w:highlight w:val="none"/>
        </w:rPr>
        <w:t>承包人用于本工程施工的机械设备表</w:t>
      </w:r>
    </w:p>
    <w:p>
      <w:pPr>
        <w:spacing w:line="140" w:lineRule="exact"/>
        <w:rPr>
          <w:color w:val="auto"/>
          <w:highlight w:val="none"/>
        </w:rPr>
      </w:pPr>
    </w:p>
    <w:tbl>
      <w:tblPr>
        <w:tblStyle w:val="45"/>
        <w:tblW w:w="89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9"/>
        <w:gridCol w:w="1288"/>
        <w:gridCol w:w="772"/>
        <w:gridCol w:w="961"/>
        <w:gridCol w:w="799"/>
        <w:gridCol w:w="926"/>
        <w:gridCol w:w="1129"/>
        <w:gridCol w:w="114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jc w:val="center"/>
        </w:trPr>
        <w:tc>
          <w:tcPr>
            <w:tcW w:w="1069" w:type="dxa"/>
            <w:tcBorders>
              <w:top w:val="single" w:color="000000" w:sz="10" w:space="0"/>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color w:val="auto"/>
                <w:sz w:val="21"/>
                <w:highlight w:val="none"/>
              </w:rPr>
            </w:pPr>
          </w:p>
          <w:p>
            <w:pPr>
              <w:pStyle w:val="44"/>
              <w:keepNext w:val="0"/>
              <w:keepLines w:val="0"/>
              <w:pageBreakBefore w:val="0"/>
              <w:widowControl w:val="0"/>
              <w:kinsoku/>
              <w:wordWrap/>
              <w:overflowPunct/>
              <w:topLinePunct w:val="0"/>
              <w:autoSpaceDE/>
              <w:autoSpaceDN/>
              <w:bidi w:val="0"/>
              <w:adjustRightInd/>
              <w:snapToGrid/>
              <w:spacing w:line="240" w:lineRule="auto"/>
              <w:ind w:left="87"/>
              <w:jc w:val="center"/>
              <w:textAlignment w:val="auto"/>
              <w:rPr>
                <w:color w:val="auto"/>
                <w:highlight w:val="none"/>
              </w:rPr>
            </w:pPr>
            <w:r>
              <w:rPr>
                <w:color w:val="auto"/>
                <w:spacing w:val="5"/>
                <w:highlight w:val="none"/>
              </w:rPr>
              <w:t>序号</w:t>
            </w:r>
          </w:p>
        </w:tc>
        <w:tc>
          <w:tcPr>
            <w:tcW w:w="1288" w:type="dxa"/>
            <w:tcBorders>
              <w:top w:val="single" w:color="000000" w:sz="10"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87"/>
              <w:jc w:val="center"/>
              <w:textAlignment w:val="auto"/>
              <w:rPr>
                <w:rFonts w:ascii="宋体" w:hAnsi="宋体" w:eastAsia="宋体" w:cs="宋体"/>
                <w:color w:val="auto"/>
                <w:spacing w:val="5"/>
                <w:sz w:val="18"/>
                <w:szCs w:val="18"/>
                <w:highlight w:val="none"/>
              </w:rPr>
            </w:pPr>
          </w:p>
          <w:p>
            <w:pPr>
              <w:pStyle w:val="44"/>
              <w:keepNext w:val="0"/>
              <w:keepLines w:val="0"/>
              <w:pageBreakBefore w:val="0"/>
              <w:widowControl w:val="0"/>
              <w:kinsoku/>
              <w:wordWrap/>
              <w:overflowPunct/>
              <w:topLinePunct w:val="0"/>
              <w:autoSpaceDE/>
              <w:autoSpaceDN/>
              <w:bidi w:val="0"/>
              <w:adjustRightInd/>
              <w:snapToGrid/>
              <w:spacing w:line="240" w:lineRule="auto"/>
              <w:ind w:left="88"/>
              <w:jc w:val="center"/>
              <w:textAlignment w:val="auto"/>
              <w:rPr>
                <w:rFonts w:ascii="宋体" w:hAnsi="宋体" w:eastAsia="宋体" w:cs="宋体"/>
                <w:color w:val="auto"/>
                <w:spacing w:val="19"/>
                <w:position w:val="18"/>
                <w:highlight w:val="none"/>
              </w:rPr>
            </w:pPr>
            <w:r>
              <w:rPr>
                <w:rFonts w:ascii="宋体" w:hAnsi="宋体" w:eastAsia="宋体" w:cs="宋体"/>
                <w:color w:val="auto"/>
                <w:spacing w:val="19"/>
                <w:position w:val="18"/>
                <w:highlight w:val="none"/>
              </w:rPr>
              <w:t>机械或设备</w:t>
            </w:r>
          </w:p>
          <w:p>
            <w:pPr>
              <w:pStyle w:val="44"/>
              <w:keepNext w:val="0"/>
              <w:keepLines w:val="0"/>
              <w:pageBreakBefore w:val="0"/>
              <w:widowControl w:val="0"/>
              <w:kinsoku/>
              <w:wordWrap/>
              <w:overflowPunct/>
              <w:topLinePunct w:val="0"/>
              <w:autoSpaceDE/>
              <w:autoSpaceDN/>
              <w:bidi w:val="0"/>
              <w:adjustRightInd/>
              <w:snapToGrid/>
              <w:spacing w:line="240" w:lineRule="auto"/>
              <w:ind w:left="88"/>
              <w:jc w:val="center"/>
              <w:textAlignment w:val="auto"/>
              <w:rPr>
                <w:color w:val="auto"/>
                <w:highlight w:val="none"/>
              </w:rPr>
            </w:pPr>
            <w:r>
              <w:rPr>
                <w:rFonts w:ascii="宋体" w:hAnsi="宋体" w:eastAsia="宋体" w:cs="宋体"/>
                <w:color w:val="auto"/>
                <w:spacing w:val="19"/>
                <w:position w:val="18"/>
                <w:highlight w:val="none"/>
              </w:rPr>
              <w:t>名称</w:t>
            </w:r>
          </w:p>
        </w:tc>
        <w:tc>
          <w:tcPr>
            <w:tcW w:w="772" w:type="dxa"/>
            <w:tcBorders>
              <w:top w:val="single" w:color="000000" w:sz="10"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88"/>
              <w:jc w:val="center"/>
              <w:textAlignment w:val="auto"/>
              <w:rPr>
                <w:rFonts w:hint="eastAsia" w:eastAsia="宋体"/>
                <w:color w:val="auto"/>
                <w:highlight w:val="none"/>
                <w:lang w:val="en-US" w:eastAsia="zh-CN"/>
              </w:rPr>
            </w:pPr>
            <w:r>
              <w:rPr>
                <w:color w:val="auto"/>
                <w:spacing w:val="19"/>
                <w:position w:val="18"/>
                <w:highlight w:val="none"/>
              </w:rPr>
              <w:t>规格</w:t>
            </w:r>
            <w:r>
              <w:rPr>
                <w:rFonts w:hint="eastAsia"/>
                <w:color w:val="auto"/>
                <w:spacing w:val="19"/>
                <w:position w:val="18"/>
                <w:highlight w:val="none"/>
                <w:lang w:val="en-US" w:eastAsia="zh-CN"/>
              </w:rPr>
              <w:t>型号</w:t>
            </w:r>
          </w:p>
        </w:tc>
        <w:tc>
          <w:tcPr>
            <w:tcW w:w="961" w:type="dxa"/>
            <w:tcBorders>
              <w:top w:val="single" w:color="000000" w:sz="10"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91"/>
              <w:jc w:val="center"/>
              <w:textAlignment w:val="auto"/>
              <w:rPr>
                <w:color w:val="auto"/>
                <w:highlight w:val="none"/>
              </w:rPr>
            </w:pPr>
            <w:r>
              <w:rPr>
                <w:color w:val="auto"/>
                <w:spacing w:val="3"/>
                <w:highlight w:val="none"/>
              </w:rPr>
              <w:t>数量</w:t>
            </w:r>
          </w:p>
        </w:tc>
        <w:tc>
          <w:tcPr>
            <w:tcW w:w="799" w:type="dxa"/>
            <w:tcBorders>
              <w:top w:val="single" w:color="000000" w:sz="10"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93"/>
              <w:jc w:val="center"/>
              <w:textAlignment w:val="auto"/>
              <w:rPr>
                <w:color w:val="auto"/>
                <w:highlight w:val="none"/>
              </w:rPr>
            </w:pPr>
            <w:r>
              <w:rPr>
                <w:color w:val="auto"/>
                <w:spacing w:val="4"/>
                <w:highlight w:val="none"/>
              </w:rPr>
              <w:t>产地</w:t>
            </w:r>
          </w:p>
        </w:tc>
        <w:tc>
          <w:tcPr>
            <w:tcW w:w="926" w:type="dxa"/>
            <w:tcBorders>
              <w:top w:val="single" w:color="000000" w:sz="10"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95"/>
              <w:jc w:val="center"/>
              <w:textAlignment w:val="auto"/>
              <w:rPr>
                <w:rFonts w:hint="eastAsia" w:eastAsia="宋体"/>
                <w:color w:val="auto"/>
                <w:highlight w:val="none"/>
                <w:lang w:val="en-US" w:eastAsia="zh-CN"/>
              </w:rPr>
            </w:pPr>
            <w:r>
              <w:rPr>
                <w:color w:val="auto"/>
                <w:position w:val="18"/>
                <w:highlight w:val="none"/>
              </w:rPr>
              <w:t>制造</w:t>
            </w:r>
            <w:r>
              <w:rPr>
                <w:rFonts w:hint="eastAsia"/>
                <w:color w:val="auto"/>
                <w:position w:val="18"/>
                <w:highlight w:val="none"/>
                <w:lang w:val="en-US" w:eastAsia="zh-CN"/>
              </w:rPr>
              <w:t>年份</w:t>
            </w:r>
          </w:p>
        </w:tc>
        <w:tc>
          <w:tcPr>
            <w:tcW w:w="1129" w:type="dxa"/>
            <w:tcBorders>
              <w:top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color w:val="auto"/>
                <w:sz w:val="21"/>
                <w:highlight w:val="none"/>
              </w:rPr>
            </w:pPr>
          </w:p>
          <w:p>
            <w:pPr>
              <w:pStyle w:val="44"/>
              <w:keepNext w:val="0"/>
              <w:keepLines w:val="0"/>
              <w:pageBreakBefore w:val="0"/>
              <w:widowControl w:val="0"/>
              <w:kinsoku/>
              <w:wordWrap/>
              <w:overflowPunct/>
              <w:topLinePunct w:val="0"/>
              <w:autoSpaceDE/>
              <w:autoSpaceDN/>
              <w:bidi w:val="0"/>
              <w:adjustRightInd/>
              <w:snapToGrid/>
              <w:spacing w:line="240" w:lineRule="auto"/>
              <w:ind w:left="98"/>
              <w:jc w:val="center"/>
              <w:textAlignment w:val="auto"/>
              <w:rPr>
                <w:color w:val="auto"/>
                <w:highlight w:val="none"/>
              </w:rPr>
            </w:pPr>
            <w:r>
              <w:rPr>
                <w:color w:val="auto"/>
                <w:spacing w:val="8"/>
                <w:highlight w:val="none"/>
              </w:rPr>
              <w:t>额定功率(</w:t>
            </w:r>
            <w:r>
              <w:rPr>
                <w:color w:val="auto"/>
                <w:highlight w:val="none"/>
              </w:rPr>
              <w:t>kW</w:t>
            </w:r>
            <w:r>
              <w:rPr>
                <w:color w:val="auto"/>
                <w:spacing w:val="8"/>
                <w:highlight w:val="none"/>
              </w:rPr>
              <w:t>)</w:t>
            </w:r>
          </w:p>
        </w:tc>
        <w:tc>
          <w:tcPr>
            <w:tcW w:w="1141" w:type="dxa"/>
            <w:tcBorders>
              <w:top w:val="single" w:color="000000" w:sz="10" w:space="0"/>
            </w:tcBorders>
            <w:vAlign w:val="center"/>
          </w:tcPr>
          <w:p>
            <w:pPr>
              <w:pStyle w:val="44"/>
              <w:keepNext w:val="0"/>
              <w:keepLines w:val="0"/>
              <w:pageBreakBefore w:val="0"/>
              <w:widowControl w:val="0"/>
              <w:kinsoku/>
              <w:wordWrap/>
              <w:overflowPunct/>
              <w:topLinePunct w:val="0"/>
              <w:autoSpaceDE/>
              <w:autoSpaceDN/>
              <w:bidi w:val="0"/>
              <w:adjustRightInd/>
              <w:snapToGrid/>
              <w:spacing w:line="240" w:lineRule="auto"/>
              <w:ind w:left="102"/>
              <w:jc w:val="center"/>
              <w:textAlignment w:val="auto"/>
              <w:rPr>
                <w:rFonts w:hint="eastAsia" w:eastAsia="宋体"/>
                <w:color w:val="auto"/>
                <w:highlight w:val="none"/>
                <w:lang w:val="en-US" w:eastAsia="zh-CN"/>
              </w:rPr>
            </w:pPr>
            <w:r>
              <w:rPr>
                <w:color w:val="auto"/>
                <w:position w:val="18"/>
                <w:highlight w:val="none"/>
              </w:rPr>
              <w:t>生产</w:t>
            </w:r>
            <w:r>
              <w:rPr>
                <w:rFonts w:hint="eastAsia"/>
                <w:color w:val="auto"/>
                <w:position w:val="18"/>
                <w:highlight w:val="none"/>
                <w:lang w:val="en-US" w:eastAsia="zh-CN"/>
              </w:rPr>
              <w:t>能力</w:t>
            </w:r>
          </w:p>
        </w:tc>
        <w:tc>
          <w:tcPr>
            <w:tcW w:w="850" w:type="dxa"/>
            <w:tcBorders>
              <w:top w:val="single" w:color="000000" w:sz="10"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color w:val="auto"/>
                <w:sz w:val="21"/>
                <w:highlight w:val="none"/>
              </w:rPr>
            </w:pPr>
          </w:p>
          <w:p>
            <w:pPr>
              <w:pStyle w:val="44"/>
              <w:keepNext w:val="0"/>
              <w:keepLines w:val="0"/>
              <w:pageBreakBefore w:val="0"/>
              <w:widowControl w:val="0"/>
              <w:kinsoku/>
              <w:wordWrap/>
              <w:overflowPunct/>
              <w:topLinePunct w:val="0"/>
              <w:autoSpaceDE/>
              <w:autoSpaceDN/>
              <w:bidi w:val="0"/>
              <w:adjustRightInd/>
              <w:snapToGrid/>
              <w:spacing w:line="240" w:lineRule="auto"/>
              <w:ind w:left="106"/>
              <w:jc w:val="center"/>
              <w:textAlignment w:val="auto"/>
              <w:rPr>
                <w:color w:val="auto"/>
                <w:highlight w:val="none"/>
              </w:rPr>
            </w:pPr>
            <w:r>
              <w:rPr>
                <w:color w:val="auto"/>
                <w:spacing w:val="3"/>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69" w:type="dxa"/>
            <w:tcBorders>
              <w:left w:val="single" w:color="000000" w:sz="10" w:space="0"/>
            </w:tcBorders>
            <w:vAlign w:val="top"/>
          </w:tcPr>
          <w:p>
            <w:pPr>
              <w:rPr>
                <w:rFonts w:ascii="Arial"/>
                <w:color w:val="auto"/>
                <w:sz w:val="21"/>
                <w:highlight w:val="none"/>
              </w:rPr>
            </w:pPr>
          </w:p>
        </w:tc>
        <w:tc>
          <w:tcPr>
            <w:tcW w:w="1288" w:type="dxa"/>
            <w:vAlign w:val="top"/>
          </w:tcPr>
          <w:p>
            <w:pPr>
              <w:rPr>
                <w:rFonts w:ascii="Arial"/>
                <w:color w:val="auto"/>
                <w:sz w:val="21"/>
                <w:highlight w:val="none"/>
              </w:rPr>
            </w:pPr>
          </w:p>
        </w:tc>
        <w:tc>
          <w:tcPr>
            <w:tcW w:w="772" w:type="dxa"/>
            <w:vAlign w:val="top"/>
          </w:tcPr>
          <w:p>
            <w:pPr>
              <w:rPr>
                <w:rFonts w:ascii="Arial"/>
                <w:color w:val="auto"/>
                <w:sz w:val="21"/>
                <w:highlight w:val="none"/>
              </w:rPr>
            </w:pPr>
          </w:p>
        </w:tc>
        <w:tc>
          <w:tcPr>
            <w:tcW w:w="961" w:type="dxa"/>
            <w:vAlign w:val="top"/>
          </w:tcPr>
          <w:p>
            <w:pPr>
              <w:rPr>
                <w:rFonts w:ascii="Arial"/>
                <w:color w:val="auto"/>
                <w:sz w:val="21"/>
                <w:highlight w:val="none"/>
              </w:rPr>
            </w:pPr>
          </w:p>
        </w:tc>
        <w:tc>
          <w:tcPr>
            <w:tcW w:w="799" w:type="dxa"/>
            <w:vAlign w:val="top"/>
          </w:tcPr>
          <w:p>
            <w:pPr>
              <w:rPr>
                <w:rFonts w:ascii="Arial"/>
                <w:color w:val="auto"/>
                <w:sz w:val="21"/>
                <w:highlight w:val="none"/>
              </w:rPr>
            </w:pPr>
          </w:p>
        </w:tc>
        <w:tc>
          <w:tcPr>
            <w:tcW w:w="926" w:type="dxa"/>
            <w:vAlign w:val="top"/>
          </w:tcPr>
          <w:p>
            <w:pPr>
              <w:rPr>
                <w:rFonts w:ascii="Arial"/>
                <w:color w:val="auto"/>
                <w:sz w:val="21"/>
                <w:highlight w:val="none"/>
              </w:rPr>
            </w:pPr>
          </w:p>
        </w:tc>
        <w:tc>
          <w:tcPr>
            <w:tcW w:w="1129" w:type="dxa"/>
            <w:vAlign w:val="top"/>
          </w:tcPr>
          <w:p>
            <w:pPr>
              <w:rPr>
                <w:rFonts w:ascii="Arial"/>
                <w:color w:val="auto"/>
                <w:sz w:val="21"/>
                <w:highlight w:val="none"/>
              </w:rPr>
            </w:pPr>
          </w:p>
        </w:tc>
        <w:tc>
          <w:tcPr>
            <w:tcW w:w="1141" w:type="dxa"/>
            <w:vAlign w:val="top"/>
          </w:tcPr>
          <w:p>
            <w:pPr>
              <w:rPr>
                <w:rFonts w:ascii="Arial"/>
                <w:color w:val="auto"/>
                <w:sz w:val="21"/>
                <w:highlight w:val="none"/>
              </w:rPr>
            </w:pPr>
          </w:p>
        </w:tc>
        <w:tc>
          <w:tcPr>
            <w:tcW w:w="850"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069" w:type="dxa"/>
            <w:tcBorders>
              <w:left w:val="single" w:color="000000" w:sz="10" w:space="0"/>
              <w:bottom w:val="single" w:color="000000" w:sz="10" w:space="0"/>
            </w:tcBorders>
            <w:vAlign w:val="top"/>
          </w:tcPr>
          <w:p>
            <w:pPr>
              <w:rPr>
                <w:rFonts w:ascii="Arial"/>
                <w:color w:val="auto"/>
                <w:sz w:val="21"/>
                <w:highlight w:val="none"/>
              </w:rPr>
            </w:pPr>
          </w:p>
        </w:tc>
        <w:tc>
          <w:tcPr>
            <w:tcW w:w="1288" w:type="dxa"/>
            <w:tcBorders>
              <w:bottom w:val="single" w:color="000000" w:sz="10" w:space="0"/>
            </w:tcBorders>
            <w:vAlign w:val="top"/>
          </w:tcPr>
          <w:p>
            <w:pPr>
              <w:rPr>
                <w:rFonts w:ascii="Arial"/>
                <w:color w:val="auto"/>
                <w:sz w:val="21"/>
                <w:highlight w:val="none"/>
              </w:rPr>
            </w:pPr>
          </w:p>
        </w:tc>
        <w:tc>
          <w:tcPr>
            <w:tcW w:w="772" w:type="dxa"/>
            <w:tcBorders>
              <w:bottom w:val="single" w:color="000000" w:sz="10" w:space="0"/>
            </w:tcBorders>
            <w:vAlign w:val="top"/>
          </w:tcPr>
          <w:p>
            <w:pPr>
              <w:rPr>
                <w:rFonts w:ascii="Arial"/>
                <w:color w:val="auto"/>
                <w:sz w:val="21"/>
                <w:highlight w:val="none"/>
              </w:rPr>
            </w:pPr>
          </w:p>
        </w:tc>
        <w:tc>
          <w:tcPr>
            <w:tcW w:w="961" w:type="dxa"/>
            <w:tcBorders>
              <w:bottom w:val="single" w:color="000000" w:sz="10" w:space="0"/>
            </w:tcBorders>
            <w:vAlign w:val="top"/>
          </w:tcPr>
          <w:p>
            <w:pPr>
              <w:rPr>
                <w:rFonts w:ascii="Arial"/>
                <w:color w:val="auto"/>
                <w:sz w:val="21"/>
                <w:highlight w:val="none"/>
              </w:rPr>
            </w:pPr>
          </w:p>
        </w:tc>
        <w:tc>
          <w:tcPr>
            <w:tcW w:w="799" w:type="dxa"/>
            <w:tcBorders>
              <w:bottom w:val="single" w:color="000000" w:sz="10" w:space="0"/>
            </w:tcBorders>
            <w:vAlign w:val="top"/>
          </w:tcPr>
          <w:p>
            <w:pPr>
              <w:rPr>
                <w:rFonts w:ascii="Arial"/>
                <w:color w:val="auto"/>
                <w:sz w:val="21"/>
                <w:highlight w:val="none"/>
              </w:rPr>
            </w:pPr>
          </w:p>
        </w:tc>
        <w:tc>
          <w:tcPr>
            <w:tcW w:w="926" w:type="dxa"/>
            <w:tcBorders>
              <w:bottom w:val="single" w:color="000000" w:sz="10" w:space="0"/>
            </w:tcBorders>
            <w:vAlign w:val="top"/>
          </w:tcPr>
          <w:p>
            <w:pPr>
              <w:rPr>
                <w:rFonts w:ascii="Arial"/>
                <w:color w:val="auto"/>
                <w:sz w:val="21"/>
                <w:highlight w:val="none"/>
              </w:rPr>
            </w:pPr>
          </w:p>
        </w:tc>
        <w:tc>
          <w:tcPr>
            <w:tcW w:w="1129" w:type="dxa"/>
            <w:tcBorders>
              <w:bottom w:val="single" w:color="000000" w:sz="10" w:space="0"/>
            </w:tcBorders>
            <w:vAlign w:val="top"/>
          </w:tcPr>
          <w:p>
            <w:pPr>
              <w:rPr>
                <w:rFonts w:ascii="Arial"/>
                <w:color w:val="auto"/>
                <w:sz w:val="21"/>
                <w:highlight w:val="none"/>
              </w:rPr>
            </w:pPr>
          </w:p>
        </w:tc>
        <w:tc>
          <w:tcPr>
            <w:tcW w:w="1141" w:type="dxa"/>
            <w:tcBorders>
              <w:bottom w:val="single" w:color="000000" w:sz="10" w:space="0"/>
            </w:tcBorders>
            <w:vAlign w:val="top"/>
          </w:tcPr>
          <w:p>
            <w:pPr>
              <w:rPr>
                <w:rFonts w:ascii="Arial"/>
                <w:color w:val="auto"/>
                <w:sz w:val="21"/>
                <w:highlight w:val="none"/>
              </w:rPr>
            </w:pPr>
          </w:p>
        </w:tc>
        <w:tc>
          <w:tcPr>
            <w:tcW w:w="850" w:type="dxa"/>
            <w:tcBorders>
              <w:bottom w:val="single" w:color="000000" w:sz="10" w:space="0"/>
              <w:right w:val="single" w:color="000000" w:sz="10" w:space="0"/>
            </w:tcBorders>
            <w:vAlign w:val="top"/>
          </w:tcPr>
          <w:p>
            <w:pPr>
              <w:rPr>
                <w:rFonts w:ascii="Arial"/>
                <w:color w:val="auto"/>
                <w:sz w:val="21"/>
                <w:highlight w:val="none"/>
              </w:rPr>
            </w:pPr>
          </w:p>
        </w:tc>
      </w:tr>
    </w:tbl>
    <w:p>
      <w:pPr>
        <w:spacing w:line="257" w:lineRule="auto"/>
        <w:rPr>
          <w:rFonts w:ascii="Arial"/>
          <w:color w:val="auto"/>
          <w:sz w:val="21"/>
          <w:highlight w:val="none"/>
        </w:rPr>
      </w:pPr>
    </w:p>
    <w:p>
      <w:pPr>
        <w:spacing w:line="258" w:lineRule="auto"/>
        <w:rPr>
          <w:rFonts w:ascii="Arial"/>
          <w:color w:val="auto"/>
          <w:sz w:val="21"/>
          <w:highlight w:val="none"/>
        </w:rPr>
      </w:pPr>
    </w:p>
    <w:p>
      <w:pPr>
        <w:spacing w:line="233" w:lineRule="auto"/>
        <w:rPr>
          <w:rFonts w:ascii="Times New Roman" w:hAnsi="Times New Roman" w:eastAsia="Times New Roman" w:cs="Times New Roman"/>
          <w:color w:val="auto"/>
          <w:sz w:val="18"/>
          <w:szCs w:val="18"/>
          <w:highlight w:val="none"/>
        </w:rPr>
        <w:sectPr>
          <w:headerReference r:id="rId10" w:type="default"/>
          <w:pgSz w:w="11907" w:h="16840"/>
          <w:pgMar w:top="1440" w:right="1417" w:bottom="1417" w:left="1803" w:header="1185" w:footer="1191" w:gutter="0"/>
          <w:pgNumType w:fmt="decimal"/>
          <w:cols w:space="720" w:num="1"/>
        </w:sectPr>
      </w:pPr>
    </w:p>
    <w:p>
      <w:pPr>
        <w:spacing w:line="352" w:lineRule="auto"/>
        <w:rPr>
          <w:rFonts w:ascii="Arial"/>
          <w:color w:val="auto"/>
          <w:sz w:val="21"/>
          <w:highlight w:val="none"/>
        </w:rPr>
      </w:pPr>
    </w:p>
    <w:p>
      <w:pPr>
        <w:pStyle w:val="11"/>
        <w:spacing w:before="78" w:line="219" w:lineRule="auto"/>
        <w:ind w:left="73"/>
        <w:rPr>
          <w:color w:val="auto"/>
          <w:sz w:val="24"/>
          <w:szCs w:val="24"/>
          <w:highlight w:val="none"/>
        </w:rPr>
      </w:pPr>
      <w:r>
        <w:rPr>
          <w:color w:val="auto"/>
          <w:spacing w:val="-10"/>
          <w:sz w:val="24"/>
          <w:szCs w:val="24"/>
          <w:highlight w:val="none"/>
        </w:rPr>
        <w:t>附件</w:t>
      </w:r>
      <w:r>
        <w:rPr>
          <w:color w:val="auto"/>
          <w:spacing w:val="-49"/>
          <w:sz w:val="24"/>
          <w:szCs w:val="24"/>
          <w:highlight w:val="none"/>
        </w:rPr>
        <w:t xml:space="preserve"> </w:t>
      </w:r>
      <w:r>
        <w:rPr>
          <w:color w:val="auto"/>
          <w:spacing w:val="-10"/>
          <w:sz w:val="24"/>
          <w:szCs w:val="24"/>
          <w:highlight w:val="none"/>
        </w:rPr>
        <w:t>6：</w:t>
      </w:r>
    </w:p>
    <w:p>
      <w:pPr>
        <w:pStyle w:val="11"/>
        <w:spacing w:before="301" w:line="228" w:lineRule="auto"/>
        <w:ind w:left="3665"/>
        <w:rPr>
          <w:color w:val="auto"/>
          <w:sz w:val="20"/>
          <w:szCs w:val="20"/>
          <w:highlight w:val="none"/>
        </w:rPr>
      </w:pPr>
      <w:r>
        <w:rPr>
          <w:color w:val="auto"/>
          <w:spacing w:val="9"/>
          <w:sz w:val="20"/>
          <w:szCs w:val="20"/>
          <w:highlight w:val="none"/>
        </w:rPr>
        <w:t>承包人主要施工管理人员表</w:t>
      </w:r>
    </w:p>
    <w:p>
      <w:pPr>
        <w:spacing w:line="139" w:lineRule="exact"/>
        <w:rPr>
          <w:color w:val="auto"/>
          <w:highlight w:val="none"/>
        </w:rPr>
      </w:pPr>
    </w:p>
    <w:tbl>
      <w:tblPr>
        <w:tblStyle w:val="45"/>
        <w:tblW w:w="8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1"/>
        <w:gridCol w:w="1294"/>
        <w:gridCol w:w="1035"/>
        <w:gridCol w:w="1035"/>
        <w:gridCol w:w="3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721" w:type="dxa"/>
            <w:tcBorders>
              <w:top w:val="single" w:color="000000" w:sz="10" w:space="0"/>
              <w:left w:val="single" w:color="000000" w:sz="10" w:space="0"/>
            </w:tcBorders>
            <w:vAlign w:val="top"/>
          </w:tcPr>
          <w:p>
            <w:pPr>
              <w:pStyle w:val="44"/>
              <w:spacing w:before="176" w:line="230" w:lineRule="auto"/>
              <w:ind w:left="91"/>
              <w:rPr>
                <w:color w:val="auto"/>
                <w:highlight w:val="none"/>
              </w:rPr>
            </w:pPr>
            <w:r>
              <w:rPr>
                <w:color w:val="auto"/>
                <w:highlight w:val="none"/>
              </w:rPr>
              <w:t>名</w:t>
            </w:r>
            <w:r>
              <w:rPr>
                <w:color w:val="auto"/>
                <w:spacing w:val="6"/>
                <w:highlight w:val="none"/>
              </w:rPr>
              <w:t xml:space="preserve">    </w:t>
            </w:r>
            <w:r>
              <w:rPr>
                <w:color w:val="auto"/>
                <w:highlight w:val="none"/>
              </w:rPr>
              <w:t>称</w:t>
            </w:r>
          </w:p>
        </w:tc>
        <w:tc>
          <w:tcPr>
            <w:tcW w:w="1294" w:type="dxa"/>
            <w:tcBorders>
              <w:top w:val="single" w:color="000000" w:sz="10" w:space="0"/>
            </w:tcBorders>
            <w:vAlign w:val="top"/>
          </w:tcPr>
          <w:p>
            <w:pPr>
              <w:pStyle w:val="44"/>
              <w:spacing w:before="176" w:line="228" w:lineRule="auto"/>
              <w:ind w:left="87"/>
              <w:rPr>
                <w:color w:val="auto"/>
                <w:highlight w:val="none"/>
              </w:rPr>
            </w:pPr>
            <w:r>
              <w:rPr>
                <w:color w:val="auto"/>
                <w:spacing w:val="4"/>
                <w:highlight w:val="none"/>
              </w:rPr>
              <w:t>姓名</w:t>
            </w:r>
          </w:p>
        </w:tc>
        <w:tc>
          <w:tcPr>
            <w:tcW w:w="1035" w:type="dxa"/>
            <w:tcBorders>
              <w:top w:val="single" w:color="000000" w:sz="10" w:space="0"/>
            </w:tcBorders>
            <w:vAlign w:val="top"/>
          </w:tcPr>
          <w:p>
            <w:pPr>
              <w:pStyle w:val="44"/>
              <w:spacing w:before="176" w:line="228" w:lineRule="auto"/>
              <w:ind w:left="89"/>
              <w:rPr>
                <w:color w:val="auto"/>
                <w:highlight w:val="none"/>
              </w:rPr>
            </w:pPr>
            <w:r>
              <w:rPr>
                <w:color w:val="auto"/>
                <w:spacing w:val="4"/>
                <w:highlight w:val="none"/>
              </w:rPr>
              <w:t>职务</w:t>
            </w:r>
          </w:p>
        </w:tc>
        <w:tc>
          <w:tcPr>
            <w:tcW w:w="1035" w:type="dxa"/>
            <w:tcBorders>
              <w:top w:val="single" w:color="000000" w:sz="10" w:space="0"/>
            </w:tcBorders>
            <w:vAlign w:val="top"/>
          </w:tcPr>
          <w:p>
            <w:pPr>
              <w:pStyle w:val="44"/>
              <w:spacing w:before="176" w:line="230" w:lineRule="auto"/>
              <w:ind w:left="94"/>
              <w:rPr>
                <w:color w:val="auto"/>
                <w:highlight w:val="none"/>
              </w:rPr>
            </w:pPr>
            <w:r>
              <w:rPr>
                <w:color w:val="auto"/>
                <w:spacing w:val="4"/>
                <w:highlight w:val="none"/>
              </w:rPr>
              <w:t>职称</w:t>
            </w:r>
          </w:p>
        </w:tc>
        <w:tc>
          <w:tcPr>
            <w:tcW w:w="3894" w:type="dxa"/>
            <w:tcBorders>
              <w:top w:val="single" w:color="000000" w:sz="10" w:space="0"/>
              <w:right w:val="single" w:color="000000" w:sz="10" w:space="0"/>
            </w:tcBorders>
            <w:vAlign w:val="top"/>
          </w:tcPr>
          <w:p>
            <w:pPr>
              <w:pStyle w:val="44"/>
              <w:spacing w:before="176" w:line="228" w:lineRule="auto"/>
              <w:ind w:left="96"/>
              <w:rPr>
                <w:color w:val="auto"/>
                <w:highlight w:val="none"/>
              </w:rPr>
            </w:pPr>
            <w:r>
              <w:rPr>
                <w:color w:val="auto"/>
                <w:spacing w:val="9"/>
                <w:highlight w:val="none"/>
              </w:rPr>
              <w:t>主要资历、经验及承担过的项目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979" w:type="dxa"/>
            <w:gridSpan w:val="5"/>
            <w:tcBorders>
              <w:left w:val="single" w:color="000000" w:sz="10" w:space="0"/>
              <w:right w:val="single" w:color="000000" w:sz="10" w:space="0"/>
            </w:tcBorders>
            <w:vAlign w:val="top"/>
          </w:tcPr>
          <w:p>
            <w:pPr>
              <w:pStyle w:val="44"/>
              <w:spacing w:before="199" w:line="228" w:lineRule="auto"/>
              <w:ind w:left="91"/>
              <w:rPr>
                <w:color w:val="auto"/>
                <w:highlight w:val="none"/>
              </w:rPr>
            </w:pPr>
            <w:r>
              <w:rPr>
                <w:color w:val="auto"/>
                <w:spacing w:val="7"/>
                <w:highlight w:val="none"/>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721" w:type="dxa"/>
            <w:tcBorders>
              <w:left w:val="single" w:color="000000" w:sz="10" w:space="0"/>
            </w:tcBorders>
            <w:vAlign w:val="top"/>
          </w:tcPr>
          <w:p>
            <w:pPr>
              <w:pStyle w:val="44"/>
              <w:spacing w:before="172" w:line="228" w:lineRule="auto"/>
              <w:ind w:left="91"/>
              <w:rPr>
                <w:color w:val="auto"/>
                <w:highlight w:val="none"/>
              </w:rPr>
            </w:pPr>
            <w:r>
              <w:rPr>
                <w:color w:val="auto"/>
                <w:spacing w:val="6"/>
                <w:highlight w:val="none"/>
              </w:rPr>
              <w:t>项目主管</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21" w:type="dxa"/>
            <w:vMerge w:val="restart"/>
            <w:tcBorders>
              <w:left w:val="single" w:color="000000" w:sz="10" w:space="0"/>
              <w:bottom w:val="nil"/>
            </w:tcBorders>
            <w:vAlign w:val="top"/>
          </w:tcPr>
          <w:p>
            <w:pPr>
              <w:spacing w:line="280" w:lineRule="auto"/>
              <w:rPr>
                <w:rFonts w:ascii="Arial"/>
                <w:color w:val="auto"/>
                <w:sz w:val="21"/>
                <w:highlight w:val="none"/>
              </w:rPr>
            </w:pPr>
          </w:p>
          <w:p>
            <w:pPr>
              <w:spacing w:line="280" w:lineRule="auto"/>
              <w:rPr>
                <w:rFonts w:ascii="Arial"/>
                <w:color w:val="auto"/>
                <w:sz w:val="21"/>
                <w:highlight w:val="none"/>
              </w:rPr>
            </w:pPr>
          </w:p>
          <w:p>
            <w:pPr>
              <w:pStyle w:val="44"/>
              <w:spacing w:before="65" w:line="228" w:lineRule="auto"/>
              <w:ind w:left="89"/>
              <w:rPr>
                <w:color w:val="auto"/>
                <w:highlight w:val="none"/>
              </w:rPr>
            </w:pPr>
            <w:r>
              <w:rPr>
                <w:color w:val="auto"/>
                <w:spacing w:val="7"/>
                <w:highlight w:val="none"/>
              </w:rPr>
              <w:t>其他人员</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21" w:type="dxa"/>
            <w:vMerge w:val="continue"/>
            <w:tcBorders>
              <w:top w:val="nil"/>
              <w:left w:val="single" w:color="000000" w:sz="10" w:space="0"/>
              <w:bottom w:val="nil"/>
            </w:tcBorders>
            <w:vAlign w:val="top"/>
          </w:tcPr>
          <w:p>
            <w:pPr>
              <w:rPr>
                <w:rFonts w:ascii="Arial"/>
                <w:color w:val="auto"/>
                <w:sz w:val="21"/>
                <w:highlight w:val="none"/>
              </w:rPr>
            </w:pP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21" w:type="dxa"/>
            <w:vMerge w:val="continue"/>
            <w:tcBorders>
              <w:top w:val="nil"/>
              <w:left w:val="single" w:color="000000" w:sz="10" w:space="0"/>
            </w:tcBorders>
            <w:vAlign w:val="top"/>
          </w:tcPr>
          <w:p>
            <w:pPr>
              <w:rPr>
                <w:rFonts w:ascii="Arial"/>
                <w:color w:val="auto"/>
                <w:sz w:val="21"/>
                <w:highlight w:val="none"/>
              </w:rPr>
            </w:pP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jc w:val="center"/>
        </w:trPr>
        <w:tc>
          <w:tcPr>
            <w:tcW w:w="8979" w:type="dxa"/>
            <w:gridSpan w:val="5"/>
            <w:tcBorders>
              <w:left w:val="single" w:color="000000" w:sz="10" w:space="0"/>
              <w:right w:val="single" w:color="000000" w:sz="10" w:space="0"/>
            </w:tcBorders>
            <w:vAlign w:val="top"/>
          </w:tcPr>
          <w:p>
            <w:pPr>
              <w:pStyle w:val="44"/>
              <w:spacing w:before="176" w:line="228" w:lineRule="auto"/>
              <w:ind w:left="91"/>
              <w:rPr>
                <w:color w:val="auto"/>
                <w:highlight w:val="none"/>
              </w:rPr>
            </w:pPr>
            <w:r>
              <w:rPr>
                <w:color w:val="auto"/>
                <w:spacing w:val="7"/>
                <w:highlight w:val="none"/>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721" w:type="dxa"/>
            <w:tcBorders>
              <w:left w:val="single" w:color="000000" w:sz="10" w:space="0"/>
            </w:tcBorders>
            <w:vAlign w:val="top"/>
          </w:tcPr>
          <w:p>
            <w:pPr>
              <w:pStyle w:val="44"/>
              <w:spacing w:before="178" w:line="228" w:lineRule="auto"/>
              <w:ind w:left="91"/>
              <w:rPr>
                <w:color w:val="auto"/>
                <w:highlight w:val="none"/>
              </w:rPr>
            </w:pPr>
            <w:r>
              <w:rPr>
                <w:color w:val="auto"/>
                <w:spacing w:val="6"/>
                <w:highlight w:val="none"/>
              </w:rPr>
              <w:t>项目经理</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721" w:type="dxa"/>
            <w:tcBorders>
              <w:left w:val="single" w:color="000000" w:sz="10" w:space="0"/>
            </w:tcBorders>
            <w:vAlign w:val="top"/>
          </w:tcPr>
          <w:p>
            <w:pPr>
              <w:pStyle w:val="44"/>
              <w:spacing w:before="180" w:line="228" w:lineRule="auto"/>
              <w:ind w:left="91"/>
              <w:rPr>
                <w:color w:val="auto"/>
                <w:highlight w:val="none"/>
              </w:rPr>
            </w:pPr>
            <w:r>
              <w:rPr>
                <w:color w:val="auto"/>
                <w:spacing w:val="7"/>
                <w:highlight w:val="none"/>
              </w:rPr>
              <w:t>项目副经理</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721" w:type="dxa"/>
            <w:tcBorders>
              <w:left w:val="single" w:color="000000" w:sz="10" w:space="0"/>
            </w:tcBorders>
            <w:vAlign w:val="top"/>
          </w:tcPr>
          <w:p>
            <w:pPr>
              <w:pStyle w:val="44"/>
              <w:spacing w:before="179" w:line="228" w:lineRule="auto"/>
              <w:ind w:left="89"/>
              <w:rPr>
                <w:color w:val="auto"/>
                <w:highlight w:val="none"/>
              </w:rPr>
            </w:pPr>
            <w:r>
              <w:rPr>
                <w:color w:val="auto"/>
                <w:spacing w:val="7"/>
                <w:highlight w:val="none"/>
              </w:rPr>
              <w:t>技术负责人</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721" w:type="dxa"/>
            <w:tcBorders>
              <w:left w:val="single" w:color="000000" w:sz="10" w:space="0"/>
            </w:tcBorders>
            <w:vAlign w:val="top"/>
          </w:tcPr>
          <w:p>
            <w:pPr>
              <w:pStyle w:val="44"/>
              <w:spacing w:before="182" w:line="226" w:lineRule="auto"/>
              <w:ind w:left="87"/>
              <w:rPr>
                <w:color w:val="auto"/>
                <w:highlight w:val="none"/>
              </w:rPr>
            </w:pPr>
            <w:r>
              <w:rPr>
                <w:color w:val="auto"/>
                <w:spacing w:val="7"/>
                <w:highlight w:val="none"/>
              </w:rPr>
              <w:t>造价管理</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721" w:type="dxa"/>
            <w:tcBorders>
              <w:left w:val="single" w:color="000000" w:sz="10" w:space="0"/>
            </w:tcBorders>
            <w:vAlign w:val="top"/>
          </w:tcPr>
          <w:p>
            <w:pPr>
              <w:pStyle w:val="44"/>
              <w:spacing w:before="182" w:line="228" w:lineRule="auto"/>
              <w:ind w:left="89"/>
              <w:rPr>
                <w:color w:val="auto"/>
                <w:highlight w:val="none"/>
              </w:rPr>
            </w:pPr>
            <w:r>
              <w:rPr>
                <w:color w:val="auto"/>
                <w:spacing w:val="7"/>
                <w:highlight w:val="none"/>
              </w:rPr>
              <w:t>质量管理</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6" w:hRule="atLeast"/>
          <w:jc w:val="center"/>
        </w:trPr>
        <w:tc>
          <w:tcPr>
            <w:tcW w:w="1721" w:type="dxa"/>
            <w:tcBorders>
              <w:left w:val="single" w:color="000000" w:sz="10" w:space="0"/>
            </w:tcBorders>
            <w:vAlign w:val="top"/>
          </w:tcPr>
          <w:p>
            <w:pPr>
              <w:pStyle w:val="44"/>
              <w:spacing w:before="184" w:line="227" w:lineRule="auto"/>
              <w:ind w:left="88"/>
              <w:rPr>
                <w:color w:val="auto"/>
                <w:highlight w:val="none"/>
              </w:rPr>
            </w:pPr>
            <w:r>
              <w:rPr>
                <w:color w:val="auto"/>
                <w:spacing w:val="7"/>
                <w:highlight w:val="none"/>
              </w:rPr>
              <w:t>材料管理</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721" w:type="dxa"/>
            <w:tcBorders>
              <w:left w:val="single" w:color="000000" w:sz="10" w:space="0"/>
            </w:tcBorders>
            <w:vAlign w:val="top"/>
          </w:tcPr>
          <w:p>
            <w:pPr>
              <w:pStyle w:val="44"/>
              <w:spacing w:before="184" w:line="228" w:lineRule="auto"/>
              <w:ind w:left="88"/>
              <w:rPr>
                <w:color w:val="auto"/>
                <w:highlight w:val="none"/>
              </w:rPr>
            </w:pPr>
            <w:r>
              <w:rPr>
                <w:color w:val="auto"/>
                <w:spacing w:val="7"/>
                <w:highlight w:val="none"/>
              </w:rPr>
              <w:t>计划管理</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721" w:type="dxa"/>
            <w:tcBorders>
              <w:left w:val="single" w:color="000000" w:sz="10" w:space="0"/>
            </w:tcBorders>
            <w:vAlign w:val="top"/>
          </w:tcPr>
          <w:p>
            <w:pPr>
              <w:pStyle w:val="44"/>
              <w:spacing w:before="187" w:line="227" w:lineRule="auto"/>
              <w:ind w:left="92"/>
              <w:rPr>
                <w:color w:val="auto"/>
                <w:highlight w:val="none"/>
              </w:rPr>
            </w:pPr>
            <w:r>
              <w:rPr>
                <w:color w:val="auto"/>
                <w:spacing w:val="6"/>
                <w:highlight w:val="none"/>
              </w:rPr>
              <w:t>安全管理</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21" w:type="dxa"/>
            <w:vMerge w:val="restart"/>
            <w:tcBorders>
              <w:left w:val="single" w:color="000000" w:sz="10" w:space="0"/>
              <w:bottom w:val="nil"/>
            </w:tcBorders>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pStyle w:val="44"/>
              <w:spacing w:before="65" w:line="228" w:lineRule="auto"/>
              <w:ind w:left="89"/>
              <w:rPr>
                <w:color w:val="auto"/>
                <w:highlight w:val="none"/>
              </w:rPr>
            </w:pPr>
            <w:r>
              <w:rPr>
                <w:color w:val="auto"/>
                <w:spacing w:val="7"/>
                <w:highlight w:val="none"/>
              </w:rPr>
              <w:t>其他人员</w:t>
            </w: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21" w:type="dxa"/>
            <w:vMerge w:val="continue"/>
            <w:tcBorders>
              <w:top w:val="nil"/>
              <w:left w:val="single" w:color="000000" w:sz="10" w:space="0"/>
              <w:bottom w:val="nil"/>
            </w:tcBorders>
            <w:vAlign w:val="top"/>
          </w:tcPr>
          <w:p>
            <w:pPr>
              <w:rPr>
                <w:rFonts w:ascii="Arial"/>
                <w:color w:val="auto"/>
                <w:sz w:val="21"/>
                <w:highlight w:val="none"/>
              </w:rPr>
            </w:pP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21" w:type="dxa"/>
            <w:vMerge w:val="continue"/>
            <w:tcBorders>
              <w:top w:val="nil"/>
              <w:left w:val="single" w:color="000000" w:sz="10" w:space="0"/>
              <w:bottom w:val="nil"/>
            </w:tcBorders>
            <w:vAlign w:val="top"/>
          </w:tcPr>
          <w:p>
            <w:pPr>
              <w:rPr>
                <w:rFonts w:ascii="Arial"/>
                <w:color w:val="auto"/>
                <w:sz w:val="21"/>
                <w:highlight w:val="none"/>
              </w:rPr>
            </w:pP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721" w:type="dxa"/>
            <w:vMerge w:val="continue"/>
            <w:tcBorders>
              <w:top w:val="nil"/>
              <w:left w:val="single" w:color="000000" w:sz="10" w:space="0"/>
              <w:bottom w:val="nil"/>
            </w:tcBorders>
            <w:vAlign w:val="top"/>
          </w:tcPr>
          <w:p>
            <w:pPr>
              <w:rPr>
                <w:rFonts w:ascii="Arial"/>
                <w:color w:val="auto"/>
                <w:sz w:val="21"/>
                <w:highlight w:val="none"/>
              </w:rPr>
            </w:pP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21" w:type="dxa"/>
            <w:vMerge w:val="continue"/>
            <w:tcBorders>
              <w:top w:val="nil"/>
              <w:left w:val="single" w:color="000000" w:sz="10" w:space="0"/>
              <w:bottom w:val="nil"/>
            </w:tcBorders>
            <w:vAlign w:val="top"/>
          </w:tcPr>
          <w:p>
            <w:pPr>
              <w:rPr>
                <w:rFonts w:ascii="Arial"/>
                <w:color w:val="auto"/>
                <w:sz w:val="21"/>
                <w:highlight w:val="none"/>
              </w:rPr>
            </w:pPr>
          </w:p>
        </w:tc>
        <w:tc>
          <w:tcPr>
            <w:tcW w:w="1294"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1035" w:type="dxa"/>
            <w:vAlign w:val="top"/>
          </w:tcPr>
          <w:p>
            <w:pPr>
              <w:rPr>
                <w:rFonts w:ascii="Arial"/>
                <w:color w:val="auto"/>
                <w:sz w:val="21"/>
                <w:highlight w:val="none"/>
              </w:rPr>
            </w:pPr>
          </w:p>
        </w:tc>
        <w:tc>
          <w:tcPr>
            <w:tcW w:w="3894"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721" w:type="dxa"/>
            <w:vMerge w:val="continue"/>
            <w:tcBorders>
              <w:top w:val="nil"/>
              <w:left w:val="single" w:color="000000" w:sz="10" w:space="0"/>
              <w:bottom w:val="single" w:color="000000" w:sz="10" w:space="0"/>
            </w:tcBorders>
            <w:vAlign w:val="top"/>
          </w:tcPr>
          <w:p>
            <w:pPr>
              <w:rPr>
                <w:rFonts w:ascii="Arial"/>
                <w:color w:val="auto"/>
                <w:sz w:val="21"/>
                <w:highlight w:val="none"/>
              </w:rPr>
            </w:pPr>
          </w:p>
        </w:tc>
        <w:tc>
          <w:tcPr>
            <w:tcW w:w="1294" w:type="dxa"/>
            <w:tcBorders>
              <w:bottom w:val="single" w:color="000000" w:sz="10" w:space="0"/>
            </w:tcBorders>
            <w:vAlign w:val="top"/>
          </w:tcPr>
          <w:p>
            <w:pPr>
              <w:rPr>
                <w:rFonts w:ascii="Arial"/>
                <w:color w:val="auto"/>
                <w:sz w:val="21"/>
                <w:highlight w:val="none"/>
              </w:rPr>
            </w:pPr>
          </w:p>
        </w:tc>
        <w:tc>
          <w:tcPr>
            <w:tcW w:w="1035" w:type="dxa"/>
            <w:tcBorders>
              <w:bottom w:val="single" w:color="000000" w:sz="10" w:space="0"/>
            </w:tcBorders>
            <w:vAlign w:val="top"/>
          </w:tcPr>
          <w:p>
            <w:pPr>
              <w:rPr>
                <w:rFonts w:ascii="Arial"/>
                <w:color w:val="auto"/>
                <w:sz w:val="21"/>
                <w:highlight w:val="none"/>
              </w:rPr>
            </w:pPr>
          </w:p>
        </w:tc>
        <w:tc>
          <w:tcPr>
            <w:tcW w:w="1035" w:type="dxa"/>
            <w:tcBorders>
              <w:bottom w:val="single" w:color="000000" w:sz="10" w:space="0"/>
            </w:tcBorders>
            <w:vAlign w:val="top"/>
          </w:tcPr>
          <w:p>
            <w:pPr>
              <w:rPr>
                <w:rFonts w:ascii="Arial"/>
                <w:color w:val="auto"/>
                <w:sz w:val="21"/>
                <w:highlight w:val="none"/>
              </w:rPr>
            </w:pPr>
          </w:p>
        </w:tc>
        <w:tc>
          <w:tcPr>
            <w:tcW w:w="3894" w:type="dxa"/>
            <w:tcBorders>
              <w:bottom w:val="single" w:color="000000" w:sz="10" w:space="0"/>
              <w:right w:val="single" w:color="000000" w:sz="10" w:space="0"/>
            </w:tcBorders>
            <w:vAlign w:val="top"/>
          </w:tcPr>
          <w:p>
            <w:pPr>
              <w:rPr>
                <w:rFonts w:ascii="Arial"/>
                <w:color w:val="auto"/>
                <w:sz w:val="21"/>
                <w:highlight w:val="none"/>
              </w:rPr>
            </w:pPr>
          </w:p>
        </w:tc>
      </w:tr>
    </w:tbl>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pStyle w:val="11"/>
        <w:spacing w:before="78" w:line="219" w:lineRule="auto"/>
        <w:rPr>
          <w:color w:val="auto"/>
          <w:sz w:val="24"/>
          <w:szCs w:val="24"/>
          <w:highlight w:val="none"/>
        </w:rPr>
      </w:pPr>
      <w:r>
        <w:rPr>
          <w:color w:val="auto"/>
          <w:spacing w:val="-12"/>
          <w:sz w:val="24"/>
          <w:szCs w:val="24"/>
          <w:highlight w:val="none"/>
        </w:rPr>
        <w:t>附件</w:t>
      </w:r>
      <w:r>
        <w:rPr>
          <w:color w:val="auto"/>
          <w:spacing w:val="-30"/>
          <w:sz w:val="24"/>
          <w:szCs w:val="24"/>
          <w:highlight w:val="none"/>
        </w:rPr>
        <w:t xml:space="preserve"> </w:t>
      </w:r>
      <w:r>
        <w:rPr>
          <w:color w:val="auto"/>
          <w:spacing w:val="-12"/>
          <w:sz w:val="24"/>
          <w:szCs w:val="24"/>
          <w:highlight w:val="none"/>
        </w:rPr>
        <w:t>11：</w:t>
      </w:r>
    </w:p>
    <w:p>
      <w:pPr>
        <w:pStyle w:val="11"/>
        <w:spacing w:before="301" w:line="226" w:lineRule="auto"/>
        <w:ind w:left="3952"/>
        <w:jc w:val="both"/>
        <w:outlineLvl w:val="0"/>
        <w:rPr>
          <w:color w:val="auto"/>
          <w:sz w:val="20"/>
          <w:szCs w:val="20"/>
          <w:highlight w:val="none"/>
        </w:rPr>
      </w:pPr>
      <w:r>
        <w:rPr>
          <w:color w:val="auto"/>
          <w:spacing w:val="5"/>
          <w:sz w:val="20"/>
          <w:szCs w:val="20"/>
          <w:highlight w:val="none"/>
        </w:rPr>
        <w:t>11-1：材料暂估价表</w:t>
      </w:r>
    </w:p>
    <w:p>
      <w:pPr>
        <w:spacing w:line="141" w:lineRule="exact"/>
        <w:rPr>
          <w:color w:val="auto"/>
          <w:highlight w:val="none"/>
        </w:rPr>
      </w:pPr>
    </w:p>
    <w:tbl>
      <w:tblPr>
        <w:tblStyle w:val="45"/>
        <w:tblW w:w="8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1922"/>
        <w:gridCol w:w="825"/>
        <w:gridCol w:w="750"/>
        <w:gridCol w:w="1309"/>
        <w:gridCol w:w="1374"/>
        <w:gridCol w:w="1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975" w:type="dxa"/>
            <w:tcBorders>
              <w:top w:val="single" w:color="000000" w:sz="10" w:space="0"/>
              <w:left w:val="single" w:color="000000" w:sz="10" w:space="0"/>
            </w:tcBorders>
            <w:vAlign w:val="top"/>
          </w:tcPr>
          <w:p>
            <w:pPr>
              <w:pStyle w:val="44"/>
              <w:spacing w:before="176" w:line="229" w:lineRule="auto"/>
              <w:ind w:left="86"/>
              <w:rPr>
                <w:color w:val="auto"/>
                <w:highlight w:val="none"/>
              </w:rPr>
            </w:pPr>
            <w:r>
              <w:rPr>
                <w:color w:val="auto"/>
                <w:spacing w:val="5"/>
                <w:highlight w:val="none"/>
              </w:rPr>
              <w:t>序号</w:t>
            </w:r>
          </w:p>
        </w:tc>
        <w:tc>
          <w:tcPr>
            <w:tcW w:w="1922" w:type="dxa"/>
            <w:tcBorders>
              <w:top w:val="single" w:color="000000" w:sz="10" w:space="0"/>
            </w:tcBorders>
            <w:vAlign w:val="top"/>
          </w:tcPr>
          <w:p>
            <w:pPr>
              <w:pStyle w:val="44"/>
              <w:spacing w:before="176" w:line="230" w:lineRule="auto"/>
              <w:ind w:left="87"/>
              <w:rPr>
                <w:color w:val="auto"/>
                <w:highlight w:val="none"/>
              </w:rPr>
            </w:pPr>
            <w:r>
              <w:rPr>
                <w:color w:val="auto"/>
                <w:spacing w:val="3"/>
                <w:highlight w:val="none"/>
              </w:rPr>
              <w:t>名称</w:t>
            </w:r>
          </w:p>
        </w:tc>
        <w:tc>
          <w:tcPr>
            <w:tcW w:w="825" w:type="dxa"/>
            <w:tcBorders>
              <w:top w:val="single" w:color="000000" w:sz="10" w:space="0"/>
            </w:tcBorders>
            <w:vAlign w:val="top"/>
          </w:tcPr>
          <w:p>
            <w:pPr>
              <w:pStyle w:val="44"/>
              <w:spacing w:before="176" w:line="228" w:lineRule="auto"/>
              <w:ind w:left="93"/>
              <w:rPr>
                <w:color w:val="auto"/>
                <w:highlight w:val="none"/>
              </w:rPr>
            </w:pPr>
            <w:r>
              <w:rPr>
                <w:color w:val="auto"/>
                <w:spacing w:val="3"/>
                <w:highlight w:val="none"/>
              </w:rPr>
              <w:t>单位</w:t>
            </w:r>
          </w:p>
        </w:tc>
        <w:tc>
          <w:tcPr>
            <w:tcW w:w="750" w:type="dxa"/>
            <w:tcBorders>
              <w:top w:val="single" w:color="000000" w:sz="10" w:space="0"/>
            </w:tcBorders>
            <w:vAlign w:val="top"/>
          </w:tcPr>
          <w:p>
            <w:pPr>
              <w:pStyle w:val="44"/>
              <w:spacing w:before="176" w:line="228" w:lineRule="auto"/>
              <w:ind w:left="93"/>
              <w:rPr>
                <w:color w:val="auto"/>
                <w:highlight w:val="none"/>
              </w:rPr>
            </w:pPr>
            <w:r>
              <w:rPr>
                <w:color w:val="auto"/>
                <w:spacing w:val="3"/>
                <w:highlight w:val="none"/>
              </w:rPr>
              <w:t>数量</w:t>
            </w:r>
          </w:p>
        </w:tc>
        <w:tc>
          <w:tcPr>
            <w:tcW w:w="1309" w:type="dxa"/>
            <w:tcBorders>
              <w:top w:val="single" w:color="000000" w:sz="10" w:space="0"/>
            </w:tcBorders>
            <w:vAlign w:val="top"/>
          </w:tcPr>
          <w:p>
            <w:pPr>
              <w:pStyle w:val="44"/>
              <w:spacing w:before="176" w:line="226" w:lineRule="auto"/>
              <w:ind w:left="97"/>
              <w:rPr>
                <w:color w:val="auto"/>
                <w:highlight w:val="none"/>
              </w:rPr>
            </w:pPr>
            <w:r>
              <w:rPr>
                <w:color w:val="auto"/>
                <w:spacing w:val="5"/>
                <w:highlight w:val="none"/>
              </w:rPr>
              <w:t>单价（元）</w:t>
            </w:r>
          </w:p>
        </w:tc>
        <w:tc>
          <w:tcPr>
            <w:tcW w:w="1374" w:type="dxa"/>
            <w:tcBorders>
              <w:top w:val="single" w:color="000000" w:sz="10" w:space="0"/>
            </w:tcBorders>
            <w:vAlign w:val="top"/>
          </w:tcPr>
          <w:p>
            <w:pPr>
              <w:pStyle w:val="44"/>
              <w:spacing w:before="176" w:line="226" w:lineRule="auto"/>
              <w:ind w:left="99"/>
              <w:rPr>
                <w:color w:val="auto"/>
                <w:highlight w:val="none"/>
              </w:rPr>
            </w:pPr>
            <w:r>
              <w:rPr>
                <w:color w:val="auto"/>
                <w:spacing w:val="5"/>
                <w:highlight w:val="none"/>
              </w:rPr>
              <w:t>合价（元）</w:t>
            </w:r>
          </w:p>
        </w:tc>
        <w:tc>
          <w:tcPr>
            <w:tcW w:w="1662" w:type="dxa"/>
            <w:tcBorders>
              <w:top w:val="single" w:color="000000" w:sz="10" w:space="0"/>
              <w:right w:val="single" w:color="000000" w:sz="10" w:space="0"/>
            </w:tcBorders>
            <w:vAlign w:val="top"/>
          </w:tcPr>
          <w:p>
            <w:pPr>
              <w:pStyle w:val="44"/>
              <w:spacing w:before="176" w:line="229" w:lineRule="auto"/>
              <w:ind w:left="105"/>
              <w:rPr>
                <w:color w:val="auto"/>
                <w:highlight w:val="none"/>
              </w:rPr>
            </w:pPr>
            <w:r>
              <w:rPr>
                <w:color w:val="auto"/>
                <w:spacing w:val="3"/>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975" w:type="dxa"/>
            <w:tcBorders>
              <w:left w:val="single" w:color="000000" w:sz="10" w:space="0"/>
            </w:tcBorders>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825"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1309" w:type="dxa"/>
            <w:vAlign w:val="top"/>
          </w:tcPr>
          <w:p>
            <w:pPr>
              <w:rPr>
                <w:rFonts w:ascii="Arial"/>
                <w:color w:val="auto"/>
                <w:sz w:val="21"/>
                <w:highlight w:val="none"/>
              </w:rPr>
            </w:pPr>
          </w:p>
        </w:tc>
        <w:tc>
          <w:tcPr>
            <w:tcW w:w="1374" w:type="dxa"/>
            <w:vAlign w:val="top"/>
          </w:tcPr>
          <w:p>
            <w:pPr>
              <w:rPr>
                <w:rFonts w:ascii="Arial"/>
                <w:color w:val="auto"/>
                <w:sz w:val="21"/>
                <w:highlight w:val="none"/>
              </w:rPr>
            </w:pPr>
          </w:p>
        </w:tc>
        <w:tc>
          <w:tcPr>
            <w:tcW w:w="1662" w:type="dxa"/>
            <w:tcBorders>
              <w:right w:val="single" w:color="000000" w:sz="10"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975" w:type="dxa"/>
            <w:tcBorders>
              <w:left w:val="single" w:color="000000" w:sz="10" w:space="0"/>
              <w:bottom w:val="single" w:color="000000" w:sz="10" w:space="0"/>
            </w:tcBorders>
            <w:vAlign w:val="top"/>
          </w:tcPr>
          <w:p>
            <w:pPr>
              <w:rPr>
                <w:rFonts w:ascii="Arial"/>
                <w:color w:val="auto"/>
                <w:sz w:val="21"/>
                <w:highlight w:val="none"/>
              </w:rPr>
            </w:pPr>
          </w:p>
          <w:p>
            <w:pPr>
              <w:pStyle w:val="11"/>
              <w:rPr>
                <w:color w:val="auto"/>
                <w:highlight w:val="none"/>
              </w:rPr>
            </w:pPr>
          </w:p>
        </w:tc>
        <w:tc>
          <w:tcPr>
            <w:tcW w:w="1922" w:type="dxa"/>
            <w:tcBorders>
              <w:bottom w:val="single" w:color="000000" w:sz="10" w:space="0"/>
            </w:tcBorders>
            <w:vAlign w:val="top"/>
          </w:tcPr>
          <w:p>
            <w:pPr>
              <w:rPr>
                <w:rFonts w:ascii="Arial"/>
                <w:color w:val="auto"/>
                <w:sz w:val="21"/>
                <w:highlight w:val="none"/>
              </w:rPr>
            </w:pPr>
          </w:p>
        </w:tc>
        <w:tc>
          <w:tcPr>
            <w:tcW w:w="825" w:type="dxa"/>
            <w:tcBorders>
              <w:bottom w:val="single" w:color="000000" w:sz="10" w:space="0"/>
            </w:tcBorders>
            <w:vAlign w:val="top"/>
          </w:tcPr>
          <w:p>
            <w:pPr>
              <w:rPr>
                <w:rFonts w:ascii="Arial"/>
                <w:color w:val="auto"/>
                <w:sz w:val="21"/>
                <w:highlight w:val="none"/>
              </w:rPr>
            </w:pPr>
          </w:p>
        </w:tc>
        <w:tc>
          <w:tcPr>
            <w:tcW w:w="750" w:type="dxa"/>
            <w:tcBorders>
              <w:bottom w:val="single" w:color="000000" w:sz="10" w:space="0"/>
            </w:tcBorders>
            <w:vAlign w:val="top"/>
          </w:tcPr>
          <w:p>
            <w:pPr>
              <w:rPr>
                <w:rFonts w:ascii="Arial"/>
                <w:color w:val="auto"/>
                <w:sz w:val="21"/>
                <w:highlight w:val="none"/>
              </w:rPr>
            </w:pPr>
          </w:p>
        </w:tc>
        <w:tc>
          <w:tcPr>
            <w:tcW w:w="1309" w:type="dxa"/>
            <w:tcBorders>
              <w:bottom w:val="single" w:color="000000" w:sz="10" w:space="0"/>
            </w:tcBorders>
            <w:vAlign w:val="top"/>
          </w:tcPr>
          <w:p>
            <w:pPr>
              <w:rPr>
                <w:rFonts w:ascii="Arial"/>
                <w:color w:val="auto"/>
                <w:sz w:val="21"/>
                <w:highlight w:val="none"/>
              </w:rPr>
            </w:pPr>
          </w:p>
        </w:tc>
        <w:tc>
          <w:tcPr>
            <w:tcW w:w="1374" w:type="dxa"/>
            <w:tcBorders>
              <w:bottom w:val="single" w:color="000000" w:sz="10" w:space="0"/>
            </w:tcBorders>
            <w:vAlign w:val="top"/>
          </w:tcPr>
          <w:p>
            <w:pPr>
              <w:rPr>
                <w:rFonts w:ascii="Arial"/>
                <w:color w:val="auto"/>
                <w:sz w:val="21"/>
                <w:highlight w:val="none"/>
              </w:rPr>
            </w:pPr>
          </w:p>
        </w:tc>
        <w:tc>
          <w:tcPr>
            <w:tcW w:w="1662" w:type="dxa"/>
            <w:tcBorders>
              <w:bottom w:val="single" w:color="000000" w:sz="10" w:space="0"/>
              <w:right w:val="single" w:color="000000" w:sz="10" w:space="0"/>
            </w:tcBorders>
            <w:vAlign w:val="top"/>
          </w:tcPr>
          <w:p>
            <w:pPr>
              <w:rPr>
                <w:rFonts w:ascii="Arial"/>
                <w:color w:val="auto"/>
                <w:sz w:val="21"/>
                <w:highlight w:val="none"/>
              </w:rPr>
            </w:pPr>
          </w:p>
        </w:tc>
      </w:tr>
    </w:tbl>
    <w:p>
      <w:pPr>
        <w:pStyle w:val="32"/>
        <w:rPr>
          <w:rFonts w:hint="eastAsia" w:ascii="宋体" w:hAnsi="宋体" w:eastAsia="宋体" w:cs="宋体"/>
          <w:color w:val="auto"/>
          <w:sz w:val="24"/>
          <w:highlight w:val="none"/>
        </w:rPr>
      </w:pPr>
    </w:p>
    <w:p>
      <w:pPr>
        <w:pStyle w:val="32"/>
        <w:rPr>
          <w:rFonts w:hint="eastAsia" w:ascii="宋体" w:hAnsi="宋体" w:eastAsia="宋体" w:cs="宋体"/>
          <w:color w:val="auto"/>
          <w:sz w:val="24"/>
          <w:highlight w:val="none"/>
        </w:rPr>
      </w:pPr>
    </w:p>
    <w:p>
      <w:pPr>
        <w:pStyle w:val="32"/>
        <w:rPr>
          <w:rFonts w:hint="eastAsia" w:ascii="宋体" w:hAnsi="宋体" w:eastAsia="宋体" w:cs="宋体"/>
          <w:color w:val="auto"/>
          <w:sz w:val="24"/>
          <w:highlight w:val="none"/>
        </w:rPr>
      </w:pPr>
    </w:p>
    <w:p>
      <w:pPr>
        <w:pStyle w:val="32"/>
        <w:rPr>
          <w:rFonts w:hint="eastAsia" w:ascii="宋体" w:hAnsi="宋体" w:eastAsia="宋体" w:cs="宋体"/>
          <w:color w:val="auto"/>
          <w:sz w:val="24"/>
          <w:highlight w:val="none"/>
        </w:rPr>
      </w:pPr>
    </w:p>
    <w:p>
      <w:pPr>
        <w:pStyle w:val="2"/>
        <w:numPr>
          <w:ilvl w:val="0"/>
          <w:numId w:val="9"/>
        </w:numPr>
        <w:bidi w:val="0"/>
        <w:rPr>
          <w:rFonts w:hint="eastAsia" w:ascii="宋体" w:hAnsi="宋体" w:eastAsia="宋体" w:cs="宋体"/>
          <w:color w:val="auto"/>
          <w:sz w:val="32"/>
          <w:szCs w:val="15"/>
          <w:highlight w:val="none"/>
        </w:rPr>
      </w:pPr>
      <w:bookmarkStart w:id="1087" w:name="_Toc2052"/>
      <w:r>
        <w:rPr>
          <w:rFonts w:hint="eastAsia" w:ascii="宋体" w:hAnsi="宋体" w:cs="宋体"/>
          <w:color w:val="auto"/>
          <w:sz w:val="32"/>
          <w:szCs w:val="15"/>
          <w:highlight w:val="none"/>
          <w:lang w:val="en-US" w:eastAsia="zh-CN"/>
        </w:rPr>
        <w:t xml:space="preserve"> </w:t>
      </w:r>
      <w:bookmarkStart w:id="1088" w:name="_Toc30121"/>
      <w:r>
        <w:rPr>
          <w:rFonts w:hint="eastAsia" w:ascii="宋体" w:hAnsi="宋体" w:eastAsia="宋体" w:cs="宋体"/>
          <w:color w:val="auto"/>
          <w:sz w:val="32"/>
          <w:szCs w:val="15"/>
          <w:highlight w:val="none"/>
        </w:rPr>
        <w:t>工程量清单</w:t>
      </w:r>
      <w:bookmarkEnd w:id="1081"/>
      <w:bookmarkEnd w:id="1082"/>
      <w:bookmarkEnd w:id="1083"/>
      <w:bookmarkEnd w:id="1084"/>
      <w:bookmarkEnd w:id="1085"/>
      <w:bookmarkEnd w:id="1087"/>
    </w:p>
    <w:p>
      <w:pPr>
        <w:pStyle w:val="2"/>
        <w:numPr>
          <w:ilvl w:val="-1"/>
          <w:numId w:val="0"/>
        </w:numPr>
        <w:bidi w:val="0"/>
        <w:rPr>
          <w:rFonts w:hint="eastAsia" w:ascii="宋体" w:hAnsi="宋体" w:eastAsia="宋体" w:cs="宋体"/>
          <w:color w:val="auto"/>
          <w:sz w:val="32"/>
          <w:szCs w:val="15"/>
          <w:highlight w:val="none"/>
        </w:rPr>
      </w:pPr>
      <w:r>
        <w:rPr>
          <w:rFonts w:hint="eastAsia" w:ascii="宋体" w:hAnsi="宋体" w:cs="宋体"/>
          <w:color w:val="auto"/>
          <w:sz w:val="32"/>
          <w:szCs w:val="15"/>
          <w:highlight w:val="none"/>
          <w:lang w:eastAsia="zh-CN"/>
        </w:rPr>
        <w:t>（</w:t>
      </w:r>
      <w:r>
        <w:rPr>
          <w:rFonts w:hint="eastAsia" w:ascii="宋体" w:hAnsi="宋体" w:cs="宋体"/>
          <w:color w:val="auto"/>
          <w:sz w:val="32"/>
          <w:szCs w:val="15"/>
          <w:highlight w:val="none"/>
          <w:lang w:val="en-US" w:eastAsia="zh-CN"/>
        </w:rPr>
        <w:t>清单另附</w:t>
      </w:r>
      <w:r>
        <w:rPr>
          <w:rFonts w:hint="eastAsia" w:ascii="宋体" w:hAnsi="宋体" w:cs="宋体"/>
          <w:color w:val="auto"/>
          <w:sz w:val="32"/>
          <w:szCs w:val="15"/>
          <w:highlight w:val="none"/>
          <w:lang w:eastAsia="zh-CN"/>
        </w:rPr>
        <w:t>）</w:t>
      </w:r>
      <w:bookmarkEnd w:id="1088"/>
    </w:p>
    <w:p>
      <w:pPr>
        <w:tabs>
          <w:tab w:val="left" w:pos="6665"/>
        </w:tabs>
        <w:rPr>
          <w:rFonts w:hint="default" w:eastAsiaTheme="minorEastAsia"/>
          <w:color w:val="auto"/>
          <w:sz w:val="28"/>
          <w:szCs w:val="28"/>
          <w:highlight w:val="none"/>
          <w:lang w:val="en-US" w:eastAsia="zh-CN"/>
        </w:rPr>
      </w:pPr>
      <w:bookmarkStart w:id="1089" w:name="_Toc30848"/>
      <w:bookmarkStart w:id="1090" w:name="_Toc28873"/>
      <w:bookmarkStart w:id="1091" w:name="_Toc25304"/>
    </w:p>
    <w:p>
      <w:pPr>
        <w:bidi w:val="0"/>
        <w:outlineLvl w:val="9"/>
        <w:rPr>
          <w:rFonts w:hint="eastAsia" w:ascii="宋体" w:hAnsi="宋体" w:eastAsia="宋体" w:cs="宋体"/>
          <w:color w:val="auto"/>
          <w:sz w:val="32"/>
          <w:szCs w:val="32"/>
          <w:highlight w:val="none"/>
        </w:rPr>
      </w:pPr>
    </w:p>
    <w:p>
      <w:pPr>
        <w:bidi w:val="0"/>
        <w:jc w:val="both"/>
        <w:outlineLvl w:val="9"/>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11"/>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p>
      <w:pPr>
        <w:bidi w:val="0"/>
        <w:outlineLvl w:val="9"/>
        <w:rPr>
          <w:rFonts w:hint="eastAsia" w:ascii="宋体" w:hAnsi="宋体" w:eastAsia="宋体" w:cs="宋体"/>
          <w:color w:val="auto"/>
          <w:sz w:val="32"/>
          <w:szCs w:val="32"/>
          <w:highlight w:val="none"/>
        </w:rPr>
      </w:pPr>
    </w:p>
    <w:bookmarkEnd w:id="1089"/>
    <w:bookmarkEnd w:id="1090"/>
    <w:bookmarkEnd w:id="1091"/>
    <w:p>
      <w:pPr>
        <w:rPr>
          <w:rFonts w:hint="eastAsia" w:ascii="宋体" w:hAnsi="宋体" w:eastAsia="宋体" w:cs="宋体"/>
          <w:b/>
          <w:bCs/>
          <w:color w:val="auto"/>
          <w:kern w:val="0"/>
          <w:sz w:val="32"/>
          <w:szCs w:val="32"/>
          <w:highlight w:val="none"/>
          <w:lang w:val="en-US" w:eastAsia="zh-CN" w:bidi="ar-SA"/>
        </w:rPr>
      </w:pPr>
      <w:bookmarkStart w:id="1092" w:name="_Toc16149"/>
      <w:bookmarkStart w:id="1093" w:name="_Toc2061"/>
      <w:bookmarkStart w:id="1094" w:name="_Toc474770761"/>
      <w:r>
        <w:rPr>
          <w:rFonts w:hint="eastAsia" w:ascii="宋体" w:hAnsi="宋体" w:eastAsia="宋体" w:cs="宋体"/>
          <w:b/>
          <w:bCs/>
          <w:color w:val="auto"/>
          <w:kern w:val="0"/>
          <w:sz w:val="32"/>
          <w:szCs w:val="32"/>
          <w:highlight w:val="none"/>
          <w:lang w:val="en-US" w:eastAsia="zh-CN" w:bidi="ar-SA"/>
        </w:rPr>
        <w:br w:type="page"/>
      </w:r>
    </w:p>
    <w:p>
      <w:pPr>
        <w:pStyle w:val="2"/>
        <w:numPr>
          <w:ilvl w:val="0"/>
          <w:numId w:val="9"/>
        </w:numPr>
        <w:bidi w:val="0"/>
        <w:rPr>
          <w:rFonts w:hint="eastAsia" w:ascii="宋体" w:hAnsi="宋体" w:eastAsia="宋体" w:cs="宋体"/>
          <w:b/>
          <w:color w:val="auto"/>
          <w:kern w:val="2"/>
          <w:sz w:val="32"/>
          <w:szCs w:val="32"/>
          <w:highlight w:val="none"/>
          <w:lang w:val="en-US" w:eastAsia="zh-CN" w:bidi="ar-SA"/>
        </w:rPr>
      </w:pPr>
      <w:bookmarkStart w:id="1095" w:name="_Toc1049"/>
      <w:r>
        <w:rPr>
          <w:rFonts w:hint="eastAsia" w:ascii="宋体" w:hAnsi="宋体" w:eastAsia="宋体" w:cs="宋体"/>
          <w:color w:val="auto"/>
          <w:sz w:val="32"/>
          <w:szCs w:val="32"/>
          <w:highlight w:val="none"/>
          <w:lang w:val="en-US" w:eastAsia="zh-CN"/>
        </w:rPr>
        <w:t>图纸</w:t>
      </w:r>
      <w:bookmarkEnd w:id="1095"/>
    </w:p>
    <w:p>
      <w:pPr>
        <w:pStyle w:val="2"/>
        <w:numPr>
          <w:ilvl w:val="-1"/>
          <w:numId w:val="0"/>
        </w:numPr>
        <w:bidi w:val="0"/>
        <w:rPr>
          <w:rFonts w:hint="eastAsia" w:ascii="宋体" w:hAnsi="宋体" w:eastAsia="宋体" w:cs="宋体"/>
          <w:b/>
          <w:color w:val="auto"/>
          <w:kern w:val="2"/>
          <w:sz w:val="32"/>
          <w:szCs w:val="32"/>
          <w:highlight w:val="none"/>
          <w:lang w:val="en-US" w:eastAsia="zh-CN" w:bidi="ar-SA"/>
        </w:rPr>
      </w:pPr>
      <w:r>
        <w:rPr>
          <w:rFonts w:hint="eastAsia" w:ascii="宋体" w:hAnsi="宋体" w:cs="宋体"/>
          <w:color w:val="auto"/>
          <w:sz w:val="32"/>
          <w:szCs w:val="15"/>
          <w:highlight w:val="none"/>
          <w:lang w:eastAsia="zh-CN"/>
        </w:rPr>
        <w:t>（</w:t>
      </w:r>
      <w:r>
        <w:rPr>
          <w:rFonts w:hint="eastAsia" w:ascii="宋体" w:hAnsi="宋体" w:cs="宋体"/>
          <w:color w:val="auto"/>
          <w:sz w:val="32"/>
          <w:szCs w:val="15"/>
          <w:highlight w:val="none"/>
          <w:lang w:val="en-US" w:eastAsia="zh-CN"/>
        </w:rPr>
        <w:t>图纸另附</w:t>
      </w:r>
      <w:r>
        <w:rPr>
          <w:rFonts w:hint="eastAsia" w:ascii="宋体" w:hAnsi="宋体" w:cs="宋体"/>
          <w:color w:val="auto"/>
          <w:sz w:val="32"/>
          <w:szCs w:val="15"/>
          <w:highlight w:val="none"/>
          <w:lang w:eastAsia="zh-CN"/>
        </w:rPr>
        <w:t>）</w:t>
      </w:r>
    </w:p>
    <w:p>
      <w:pPr>
        <w:pStyle w:val="2"/>
        <w:keepNext w:val="0"/>
        <w:pageBreakBefore/>
        <w:numPr>
          <w:ilvl w:val="0"/>
          <w:numId w:val="0"/>
        </w:numPr>
        <w:ind w:leftChars="0"/>
        <w:jc w:val="center"/>
        <w:rPr>
          <w:rFonts w:hint="eastAsia" w:ascii="宋体" w:hAnsi="宋体" w:eastAsia="宋体" w:cs="宋体"/>
          <w:b/>
          <w:bCs/>
          <w:color w:val="auto"/>
          <w:kern w:val="0"/>
          <w:sz w:val="32"/>
          <w:szCs w:val="32"/>
          <w:highlight w:val="none"/>
          <w:lang w:val="en-US" w:eastAsia="zh-CN" w:bidi="ar-SA"/>
        </w:rPr>
      </w:pPr>
      <w:bookmarkStart w:id="1096" w:name="_Toc383"/>
      <w:r>
        <w:rPr>
          <w:rFonts w:hint="eastAsia" w:ascii="宋体" w:hAnsi="宋体" w:eastAsia="宋体" w:cs="宋体"/>
          <w:b/>
          <w:bCs/>
          <w:color w:val="auto"/>
          <w:kern w:val="0"/>
          <w:sz w:val="32"/>
          <w:szCs w:val="32"/>
          <w:highlight w:val="none"/>
          <w:lang w:val="en-US" w:eastAsia="zh-CN" w:bidi="ar-SA"/>
        </w:rPr>
        <w:t>第</w:t>
      </w:r>
      <w:r>
        <w:rPr>
          <w:rFonts w:hint="eastAsia" w:ascii="宋体" w:hAnsi="宋体" w:cs="宋体"/>
          <w:b/>
          <w:bCs/>
          <w:color w:val="auto"/>
          <w:kern w:val="0"/>
          <w:sz w:val="32"/>
          <w:szCs w:val="32"/>
          <w:highlight w:val="none"/>
          <w:lang w:val="en-US" w:eastAsia="zh-CN" w:bidi="ar-SA"/>
        </w:rPr>
        <w:t>七</w:t>
      </w:r>
      <w:r>
        <w:rPr>
          <w:rFonts w:hint="eastAsia" w:ascii="宋体" w:hAnsi="宋体" w:eastAsia="宋体" w:cs="宋体"/>
          <w:b/>
          <w:bCs/>
          <w:color w:val="auto"/>
          <w:kern w:val="0"/>
          <w:sz w:val="32"/>
          <w:szCs w:val="32"/>
          <w:highlight w:val="none"/>
          <w:lang w:val="en-US" w:eastAsia="zh-CN" w:bidi="ar-SA"/>
        </w:rPr>
        <w:t>章 工程内容及商务要求</w:t>
      </w:r>
      <w:bookmarkEnd w:id="1092"/>
      <w:bookmarkEnd w:id="1093"/>
      <w:bookmarkEnd w:id="1096"/>
    </w:p>
    <w:bookmarkEnd w:id="1094"/>
    <w:p>
      <w:pPr>
        <w:numPr>
          <w:ilvl w:val="0"/>
          <w:numId w:val="0"/>
        </w:numPr>
        <w:snapToGrid w:val="0"/>
        <w:spacing w:line="312" w:lineRule="auto"/>
        <w:jc w:val="left"/>
        <w:rPr>
          <w:rFonts w:hint="eastAsia" w:asciiTheme="minorEastAsia" w:hAnsiTheme="minorEastAsia" w:eastAsiaTheme="minorEastAsia" w:cstheme="minorEastAsia"/>
          <w:b/>
          <w:bCs/>
          <w:color w:val="auto"/>
          <w:sz w:val="24"/>
          <w:szCs w:val="24"/>
          <w:highlight w:val="none"/>
          <w:lang w:eastAsia="zh-CN"/>
        </w:rPr>
      </w:pPr>
      <w:bookmarkStart w:id="1097" w:name="_Toc26387"/>
      <w:bookmarkStart w:id="1098" w:name="_Toc351"/>
      <w:bookmarkStart w:id="1099" w:name="_Toc22989"/>
      <w:r>
        <w:rPr>
          <w:rFonts w:hint="eastAsia" w:ascii="宋体" w:hAnsi="宋体" w:eastAsia="宋体" w:cs="宋体"/>
          <w:b/>
          <w:bCs/>
          <w:color w:val="auto"/>
          <w:kern w:val="0"/>
          <w:sz w:val="28"/>
          <w:szCs w:val="28"/>
          <w:highlight w:val="none"/>
          <w:lang w:val="en-US" w:eastAsia="zh-CN"/>
        </w:rPr>
        <w:t>一、工程内容</w:t>
      </w:r>
    </w:p>
    <w:p>
      <w:pPr>
        <w:keepNext w:val="0"/>
        <w:keepLines w:val="0"/>
        <w:pageBreakBefore w:val="0"/>
        <w:widowControl/>
        <w:kinsoku/>
        <w:wordWrap/>
        <w:overflowPunct/>
        <w:topLinePunct w:val="0"/>
        <w:autoSpaceDE/>
        <w:autoSpaceDN/>
        <w:bidi w:val="0"/>
        <w:adjustRightInd/>
        <w:snapToGrid/>
        <w:spacing w:line="360" w:lineRule="auto"/>
        <w:ind w:firstLine="241" w:firstLineChars="100"/>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工程概况</w:t>
      </w:r>
      <w:r>
        <w:rPr>
          <w:rFonts w:hint="eastAsia" w:ascii="宋体" w:hAnsi="宋体" w:cs="宋体"/>
          <w:b/>
          <w:color w:val="auto"/>
          <w:kern w:val="0"/>
          <w:sz w:val="24"/>
          <w:szCs w:val="24"/>
          <w:highlight w:val="none"/>
          <w:lang w:eastAsia="zh-CN"/>
        </w:rPr>
        <w:t>：</w:t>
      </w:r>
    </w:p>
    <w:p>
      <w:pPr>
        <w:pStyle w:val="11"/>
        <w:keepNext w:val="0"/>
        <w:keepLines w:val="0"/>
        <w:pageBreakBefore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1、工程名称：陕西咸阳中学远航楼、怡然楼、雅舍楼卫生间及管网改造工程</w:t>
      </w:r>
    </w:p>
    <w:p>
      <w:pPr>
        <w:pStyle w:val="11"/>
        <w:keepNext w:val="0"/>
        <w:keepLines w:val="0"/>
        <w:pageBreakBefore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2、预算金额：</w:t>
      </w:r>
      <w:r>
        <w:rPr>
          <w:rFonts w:hint="eastAsia" w:ascii="宋体" w:hAnsi="宋体" w:cs="宋体"/>
          <w:b w:val="0"/>
          <w:bCs w:val="0"/>
          <w:color w:val="auto"/>
          <w:kern w:val="2"/>
          <w:sz w:val="24"/>
          <w:szCs w:val="24"/>
          <w:highlight w:val="none"/>
          <w:u w:val="none"/>
          <w:lang w:val="en-US" w:eastAsia="zh-CN" w:bidi="ar-SA"/>
        </w:rPr>
        <w:t>1250046.51</w:t>
      </w:r>
      <w:r>
        <w:rPr>
          <w:rFonts w:hint="eastAsia" w:ascii="宋体" w:hAnsi="宋体" w:eastAsia="宋体" w:cs="宋体"/>
          <w:b w:val="0"/>
          <w:bCs w:val="0"/>
          <w:color w:val="auto"/>
          <w:kern w:val="2"/>
          <w:sz w:val="24"/>
          <w:szCs w:val="24"/>
          <w:highlight w:val="none"/>
          <w:u w:val="none"/>
          <w:lang w:val="en-US" w:eastAsia="zh-CN" w:bidi="ar-SA"/>
        </w:rPr>
        <w:t xml:space="preserve"> 元</w:t>
      </w:r>
    </w:p>
    <w:p>
      <w:pPr>
        <w:pStyle w:val="11"/>
        <w:keepNext w:val="0"/>
        <w:keepLines w:val="0"/>
        <w:pageBreakBefore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3、工程地点：咸阳市渭城区东风路 34 号咸阳中学</w:t>
      </w:r>
    </w:p>
    <w:p>
      <w:pPr>
        <w:pStyle w:val="11"/>
        <w:keepNext w:val="0"/>
        <w:keepLines w:val="0"/>
        <w:pageBreakBefore w:val="0"/>
        <w:kinsoku/>
        <w:wordWrap/>
        <w:overflowPunct/>
        <w:topLinePunct w:val="0"/>
        <w:autoSpaceDE/>
        <w:autoSpaceDN/>
        <w:bidi w:val="0"/>
        <w:adjustRightInd/>
        <w:snapToGrid/>
        <w:spacing w:after="0" w:line="360" w:lineRule="auto"/>
        <w:ind w:left="8" w:firstLine="240" w:firstLineChars="1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4、工程范围及内容：主要内容包括远航楼、怡然楼、雅舍楼卫生间给排水管网进行改造；更换各楼卫生器具、卫生间格挡改造、墙面和地面贴砖、屋顶粉刷等。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二</w:t>
      </w:r>
      <w:r>
        <w:rPr>
          <w:rFonts w:hint="eastAsia" w:ascii="宋体" w:hAnsi="宋体" w:eastAsia="宋体" w:cs="宋体"/>
          <w:b/>
          <w:color w:val="auto"/>
          <w:kern w:val="0"/>
          <w:sz w:val="24"/>
          <w:szCs w:val="24"/>
          <w:highlight w:val="none"/>
        </w:rPr>
        <w:t>、商务要求</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 xml:space="preserve">1. </w:t>
      </w:r>
      <w:r>
        <w:rPr>
          <w:rFonts w:hint="eastAsia" w:ascii="宋体" w:hAnsi="宋体" w:cs="宋体"/>
          <w:b/>
          <w:color w:val="auto"/>
          <w:kern w:val="0"/>
          <w:sz w:val="24"/>
          <w:szCs w:val="24"/>
          <w:highlight w:val="none"/>
          <w:lang w:eastAsia="zh-CN"/>
        </w:rPr>
        <w:t>计划</w:t>
      </w:r>
      <w:r>
        <w:rPr>
          <w:rFonts w:hint="eastAsia" w:ascii="宋体" w:hAnsi="宋体" w:eastAsia="宋体" w:cs="宋体"/>
          <w:b/>
          <w:color w:val="auto"/>
          <w:kern w:val="0"/>
          <w:sz w:val="24"/>
          <w:szCs w:val="24"/>
          <w:highlight w:val="none"/>
        </w:rPr>
        <w:t>工期</w:t>
      </w: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lang w:val="en-US" w:eastAsia="zh-CN"/>
        </w:rPr>
        <w:t>自合同签订之日起60</w:t>
      </w:r>
      <w:r>
        <w:rPr>
          <w:rFonts w:hint="eastAsia" w:ascii="宋体" w:hAnsi="宋体" w:eastAsia="宋体" w:cs="宋体"/>
          <w:bCs/>
          <w:color w:val="auto"/>
          <w:sz w:val="24"/>
          <w:szCs w:val="24"/>
          <w:highlight w:val="none"/>
          <w:u w:val="single"/>
        </w:rPr>
        <w:t xml:space="preserve">日历天 </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2. 付款方式要求及履约</w:t>
      </w:r>
      <w:r>
        <w:rPr>
          <w:rFonts w:hint="eastAsia" w:ascii="宋体" w:hAnsi="宋体" w:cs="宋体"/>
          <w:b/>
          <w:color w:val="auto"/>
          <w:kern w:val="0"/>
          <w:sz w:val="24"/>
          <w:szCs w:val="24"/>
          <w:highlight w:val="none"/>
          <w:lang w:eastAsia="zh-CN"/>
        </w:rPr>
        <w:t>担保</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见第四章合同条款</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lang w:eastAsia="zh-CN"/>
        </w:rPr>
        <w:t>工程</w:t>
      </w:r>
      <w:r>
        <w:rPr>
          <w:rFonts w:hint="eastAsia" w:ascii="宋体" w:hAnsi="宋体" w:eastAsia="宋体" w:cs="宋体"/>
          <w:b/>
          <w:bCs/>
          <w:color w:val="auto"/>
          <w:sz w:val="24"/>
          <w:szCs w:val="24"/>
          <w:highlight w:val="none"/>
        </w:rPr>
        <w:t>质量</w:t>
      </w:r>
      <w:r>
        <w:rPr>
          <w:rFonts w:hint="eastAsia" w:ascii="宋体" w:hAnsi="宋体" w:eastAsia="宋体" w:cs="宋体"/>
          <w:b/>
          <w:bCs/>
          <w:color w:val="auto"/>
          <w:sz w:val="24"/>
          <w:szCs w:val="24"/>
          <w:highlight w:val="none"/>
          <w:lang w:eastAsia="zh-CN"/>
        </w:rPr>
        <w:t>保修</w:t>
      </w:r>
      <w:r>
        <w:rPr>
          <w:rFonts w:hint="eastAsia" w:ascii="宋体" w:hAnsi="宋体" w:eastAsia="宋体" w:cs="宋体"/>
          <w:b/>
          <w:bCs/>
          <w:color w:val="auto"/>
          <w:sz w:val="24"/>
          <w:szCs w:val="24"/>
          <w:highlight w:val="none"/>
        </w:rPr>
        <w:t>期</w:t>
      </w:r>
      <w:r>
        <w:rPr>
          <w:rFonts w:hint="eastAsia" w:ascii="宋体" w:hAnsi="宋体" w:eastAsia="宋体" w:cs="宋体"/>
          <w:b/>
          <w:bCs/>
          <w:color w:val="auto"/>
          <w:kern w:val="0"/>
          <w:sz w:val="24"/>
          <w:szCs w:val="24"/>
          <w:highlight w:val="none"/>
        </w:rPr>
        <w:t>及</w:t>
      </w:r>
      <w:r>
        <w:rPr>
          <w:rFonts w:hint="eastAsia" w:ascii="宋体" w:hAnsi="宋体" w:cs="宋体"/>
          <w:b/>
          <w:bCs/>
          <w:color w:val="auto"/>
          <w:sz w:val="24"/>
          <w:highlight w:val="none"/>
          <w:lang w:eastAsia="zh-CN"/>
        </w:rPr>
        <w:t>工程</w:t>
      </w:r>
      <w:r>
        <w:rPr>
          <w:rFonts w:hint="eastAsia" w:ascii="宋体" w:hAnsi="宋体" w:eastAsia="宋体" w:cs="宋体"/>
          <w:b/>
          <w:bCs/>
          <w:color w:val="auto"/>
          <w:sz w:val="24"/>
          <w:highlight w:val="none"/>
        </w:rPr>
        <w:t>质量</w:t>
      </w:r>
      <w:r>
        <w:rPr>
          <w:rFonts w:hint="eastAsia" w:ascii="宋体" w:hAnsi="宋体" w:cs="宋体"/>
          <w:b/>
          <w:bCs/>
          <w:color w:val="auto"/>
          <w:sz w:val="24"/>
          <w:highlight w:val="none"/>
          <w:lang w:eastAsia="zh-CN"/>
        </w:rPr>
        <w:t>保修</w:t>
      </w:r>
      <w:r>
        <w:rPr>
          <w:rFonts w:hint="eastAsia" w:ascii="宋体" w:hAnsi="宋体" w:eastAsia="宋体" w:cs="宋体"/>
          <w:b/>
          <w:bCs/>
          <w:color w:val="auto"/>
          <w:kern w:val="0"/>
          <w:sz w:val="24"/>
          <w:szCs w:val="24"/>
          <w:highlight w:val="none"/>
        </w:rPr>
        <w:t>要求</w:t>
      </w:r>
    </w:p>
    <w:p>
      <w:pPr>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bCs/>
          <w:color w:val="auto"/>
          <w:sz w:val="24"/>
          <w:highlight w:val="none"/>
          <w:lang w:eastAsia="zh-CN"/>
        </w:rPr>
        <w:t>工程</w:t>
      </w:r>
      <w:r>
        <w:rPr>
          <w:rFonts w:hint="eastAsia" w:ascii="宋体" w:hAnsi="宋体" w:eastAsia="宋体" w:cs="宋体"/>
          <w:b/>
          <w:bCs/>
          <w:color w:val="auto"/>
          <w:sz w:val="24"/>
          <w:highlight w:val="none"/>
        </w:rPr>
        <w:t>质量</w:t>
      </w:r>
      <w:r>
        <w:rPr>
          <w:rFonts w:hint="eastAsia" w:ascii="宋体" w:hAnsi="宋体" w:cs="宋体"/>
          <w:b/>
          <w:bCs/>
          <w:color w:val="auto"/>
          <w:sz w:val="24"/>
          <w:highlight w:val="none"/>
          <w:lang w:eastAsia="zh-CN"/>
        </w:rPr>
        <w:t>保修</w:t>
      </w:r>
      <w:r>
        <w:rPr>
          <w:rFonts w:hint="eastAsia" w:ascii="宋体" w:hAnsi="宋体" w:eastAsia="宋体" w:cs="宋体"/>
          <w:b/>
          <w:bCs/>
          <w:color w:val="auto"/>
          <w:sz w:val="24"/>
          <w:highlight w:val="none"/>
        </w:rPr>
        <w:t>期</w:t>
      </w:r>
      <w:r>
        <w:rPr>
          <w:rFonts w:hint="eastAsia" w:ascii="宋体" w:hAnsi="宋体" w:eastAsia="宋体" w:cs="宋体"/>
          <w:b/>
          <w:bCs w:val="0"/>
          <w:color w:val="auto"/>
          <w:sz w:val="24"/>
          <w:szCs w:val="24"/>
          <w:highlight w:val="none"/>
          <w:u w:val="single"/>
        </w:rPr>
        <w:t xml:space="preserve">  </w:t>
      </w:r>
      <w:r>
        <w:rPr>
          <w:rFonts w:hint="eastAsia" w:ascii="宋体" w:hAnsi="宋体" w:cs="宋体"/>
          <w:b/>
          <w:bCs w:val="0"/>
          <w:color w:val="auto"/>
          <w:kern w:val="0"/>
          <w:sz w:val="24"/>
          <w:szCs w:val="24"/>
          <w:highlight w:val="none"/>
          <w:u w:val="single"/>
          <w:lang w:val="en-US" w:eastAsia="zh-CN" w:bidi="ar"/>
        </w:rPr>
        <w:t xml:space="preserve">2  </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color w:val="auto"/>
          <w:sz w:val="24"/>
          <w:szCs w:val="24"/>
          <w:highlight w:val="none"/>
        </w:rPr>
        <w:t>年；</w:t>
      </w:r>
    </w:p>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bCs/>
          <w:color w:val="auto"/>
          <w:sz w:val="24"/>
          <w:szCs w:val="24"/>
          <w:highlight w:val="none"/>
          <w:lang w:eastAsia="zh-CN"/>
        </w:rPr>
        <w:t>工程</w:t>
      </w:r>
      <w:r>
        <w:rPr>
          <w:rFonts w:hint="eastAsia" w:ascii="宋体" w:hAnsi="宋体" w:eastAsia="宋体" w:cs="宋体"/>
          <w:b/>
          <w:bCs/>
          <w:color w:val="auto"/>
          <w:sz w:val="24"/>
          <w:szCs w:val="24"/>
          <w:highlight w:val="none"/>
        </w:rPr>
        <w:t>质量</w:t>
      </w:r>
      <w:r>
        <w:rPr>
          <w:rFonts w:hint="eastAsia" w:ascii="宋体" w:hAnsi="宋体" w:eastAsia="宋体" w:cs="宋体"/>
          <w:b/>
          <w:bCs/>
          <w:color w:val="auto"/>
          <w:sz w:val="24"/>
          <w:szCs w:val="24"/>
          <w:highlight w:val="none"/>
          <w:lang w:eastAsia="zh-CN"/>
        </w:rPr>
        <w:t>保修</w:t>
      </w:r>
      <w:r>
        <w:rPr>
          <w:rFonts w:hint="eastAsia" w:ascii="宋体" w:hAnsi="宋体" w:eastAsia="宋体" w:cs="宋体"/>
          <w:b/>
          <w:color w:val="auto"/>
          <w:sz w:val="24"/>
          <w:szCs w:val="24"/>
          <w:highlight w:val="none"/>
        </w:rPr>
        <w:t>要求</w:t>
      </w:r>
    </w:p>
    <w:p>
      <w:pPr>
        <w:pStyle w:val="11"/>
        <w:keepNext w:val="0"/>
        <w:keepLines w:val="0"/>
        <w:pageBreakBefore w:val="0"/>
        <w:widowControl w:val="0"/>
        <w:kinsoku/>
        <w:wordWrap/>
        <w:overflowPunct/>
        <w:topLinePunct w:val="0"/>
        <w:autoSpaceDE/>
        <w:autoSpaceDN/>
        <w:bidi w:val="0"/>
        <w:adjustRightInd/>
        <w:snapToGrid/>
        <w:spacing w:after="0" w:line="360" w:lineRule="auto"/>
        <w:ind w:left="8" w:right="80" w:firstLine="480"/>
        <w:textAlignment w:val="auto"/>
        <w:rPr>
          <w:color w:val="auto"/>
          <w:sz w:val="24"/>
          <w:szCs w:val="24"/>
          <w:highlight w:val="none"/>
        </w:rPr>
      </w:pPr>
      <w:r>
        <w:rPr>
          <w:color w:val="auto"/>
          <w:spacing w:val="-3"/>
          <w:sz w:val="24"/>
          <w:szCs w:val="24"/>
          <w:highlight w:val="none"/>
        </w:rPr>
        <w:t>承包人收到保修通知并到达工程现场的合理时间：</w:t>
      </w:r>
      <w:r>
        <w:rPr>
          <w:color w:val="auto"/>
          <w:spacing w:val="-3"/>
          <w:sz w:val="24"/>
          <w:szCs w:val="24"/>
          <w:highlight w:val="none"/>
          <w:u w:val="single" w:color="auto"/>
        </w:rPr>
        <w:t xml:space="preserve"> 发包人可以口头通知承包人并在口头</w:t>
      </w:r>
      <w:r>
        <w:rPr>
          <w:color w:val="auto"/>
          <w:spacing w:val="-4"/>
          <w:sz w:val="24"/>
          <w:szCs w:val="24"/>
          <w:highlight w:val="none"/>
          <w:u w:val="single" w:color="auto"/>
        </w:rPr>
        <w:t>通知后</w:t>
      </w:r>
      <w:r>
        <w:rPr>
          <w:color w:val="auto"/>
          <w:spacing w:val="-39"/>
          <w:sz w:val="24"/>
          <w:szCs w:val="24"/>
          <w:highlight w:val="none"/>
          <w:u w:val="single" w:color="auto"/>
        </w:rPr>
        <w:t xml:space="preserve"> </w:t>
      </w:r>
      <w:r>
        <w:rPr>
          <w:color w:val="auto"/>
          <w:spacing w:val="-4"/>
          <w:sz w:val="24"/>
          <w:szCs w:val="24"/>
          <w:highlight w:val="none"/>
          <w:u w:val="single" w:color="auto"/>
        </w:rPr>
        <w:t>48</w:t>
      </w:r>
      <w:r>
        <w:rPr>
          <w:color w:val="auto"/>
          <w:spacing w:val="-45"/>
          <w:sz w:val="24"/>
          <w:szCs w:val="24"/>
          <w:highlight w:val="none"/>
          <w:u w:val="single" w:color="auto"/>
        </w:rPr>
        <w:t xml:space="preserve"> </w:t>
      </w:r>
      <w:r>
        <w:rPr>
          <w:color w:val="auto"/>
          <w:spacing w:val="-4"/>
          <w:sz w:val="24"/>
          <w:szCs w:val="24"/>
          <w:highlight w:val="none"/>
          <w:u w:val="single" w:color="auto"/>
        </w:rPr>
        <w:t>小时内书面确认，承包人应在</w:t>
      </w:r>
      <w:r>
        <w:rPr>
          <w:color w:val="auto"/>
          <w:spacing w:val="-47"/>
          <w:sz w:val="24"/>
          <w:szCs w:val="24"/>
          <w:highlight w:val="none"/>
          <w:u w:val="single" w:color="auto"/>
        </w:rPr>
        <w:t xml:space="preserve"> </w:t>
      </w:r>
      <w:r>
        <w:rPr>
          <w:color w:val="auto"/>
          <w:spacing w:val="-4"/>
          <w:sz w:val="24"/>
          <w:szCs w:val="24"/>
          <w:highlight w:val="none"/>
          <w:u w:val="single" w:color="auto"/>
        </w:rPr>
        <w:t>24</w:t>
      </w:r>
      <w:r>
        <w:rPr>
          <w:color w:val="auto"/>
          <w:spacing w:val="-44"/>
          <w:sz w:val="24"/>
          <w:szCs w:val="24"/>
          <w:highlight w:val="none"/>
          <w:u w:val="single" w:color="auto"/>
        </w:rPr>
        <w:t xml:space="preserve"> </w:t>
      </w:r>
      <w:r>
        <w:rPr>
          <w:color w:val="auto"/>
          <w:spacing w:val="-4"/>
          <w:sz w:val="24"/>
          <w:szCs w:val="24"/>
          <w:highlight w:val="none"/>
          <w:u w:val="single" w:color="auto"/>
        </w:rPr>
        <w:t>小时期限内到达工程现场并修复缺陷或损坏；紧急</w:t>
      </w:r>
      <w:r>
        <w:rPr>
          <w:color w:val="auto"/>
          <w:spacing w:val="-1"/>
          <w:sz w:val="24"/>
          <w:szCs w:val="24"/>
          <w:highlight w:val="none"/>
          <w:u w:val="single" w:color="auto"/>
        </w:rPr>
        <w:t>情况必须于</w:t>
      </w:r>
      <w:r>
        <w:rPr>
          <w:color w:val="auto"/>
          <w:spacing w:val="-33"/>
          <w:sz w:val="24"/>
          <w:szCs w:val="24"/>
          <w:highlight w:val="none"/>
          <w:u w:val="single" w:color="auto"/>
        </w:rPr>
        <w:t xml:space="preserve"> </w:t>
      </w:r>
      <w:r>
        <w:rPr>
          <w:color w:val="auto"/>
          <w:spacing w:val="-1"/>
          <w:sz w:val="24"/>
          <w:szCs w:val="24"/>
          <w:highlight w:val="none"/>
          <w:u w:val="single" w:color="auto"/>
        </w:rPr>
        <w:t>12</w:t>
      </w:r>
      <w:r>
        <w:rPr>
          <w:color w:val="auto"/>
          <w:spacing w:val="-44"/>
          <w:sz w:val="24"/>
          <w:szCs w:val="24"/>
          <w:highlight w:val="none"/>
          <w:u w:val="single" w:color="auto"/>
        </w:rPr>
        <w:t xml:space="preserve"> </w:t>
      </w:r>
      <w:r>
        <w:rPr>
          <w:color w:val="auto"/>
          <w:spacing w:val="-1"/>
          <w:sz w:val="24"/>
          <w:szCs w:val="24"/>
          <w:highlight w:val="none"/>
          <w:u w:val="single" w:color="auto"/>
        </w:rPr>
        <w:t>小时内到达。若承包人未按约定时间达到现场并修</w:t>
      </w:r>
      <w:r>
        <w:rPr>
          <w:color w:val="auto"/>
          <w:spacing w:val="-2"/>
          <w:sz w:val="24"/>
          <w:szCs w:val="24"/>
          <w:highlight w:val="none"/>
          <w:u w:val="single" w:color="auto"/>
        </w:rPr>
        <w:t>复缺陷或损坏，则发包人有权自行或委托第三方进行修复缺陷或损坏，</w:t>
      </w:r>
      <w:r>
        <w:rPr>
          <w:color w:val="auto"/>
          <w:spacing w:val="-3"/>
          <w:sz w:val="24"/>
          <w:szCs w:val="24"/>
          <w:highlight w:val="none"/>
          <w:u w:val="single" w:color="auto"/>
        </w:rPr>
        <w:t>因此产生的所有费用，发包人有权在未经承包人同</w:t>
      </w:r>
      <w:r>
        <w:rPr>
          <w:color w:val="auto"/>
          <w:spacing w:val="-1"/>
          <w:sz w:val="24"/>
          <w:szCs w:val="24"/>
          <w:highlight w:val="none"/>
          <w:u w:val="single" w:color="auto"/>
        </w:rPr>
        <w:t xml:space="preserve">意的情况下自行从结算款或质量保证金中扣除  </w:t>
      </w:r>
      <w:r>
        <w:rPr>
          <w:color w:val="auto"/>
          <w:spacing w:val="-1"/>
          <w:sz w:val="24"/>
          <w:szCs w:val="24"/>
          <w:highlight w:val="none"/>
        </w:rPr>
        <w:t>。</w:t>
      </w:r>
    </w:p>
    <w:p>
      <w:pPr>
        <w:keepNext w:val="0"/>
        <w:keepLines w:val="0"/>
        <w:pageBreakBefore w:val="0"/>
        <w:widowControl/>
        <w:kinsoku/>
        <w:wordWrap/>
        <w:overflowPunct/>
        <w:topLinePunct w:val="0"/>
        <w:autoSpaceDE/>
        <w:autoSpaceDN/>
        <w:bidi w:val="0"/>
        <w:spacing w:line="46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三</w:t>
      </w:r>
      <w:r>
        <w:rPr>
          <w:rFonts w:hint="eastAsia" w:ascii="宋体" w:hAnsi="宋体" w:eastAsia="宋体" w:cs="宋体"/>
          <w:b/>
          <w:color w:val="auto"/>
          <w:kern w:val="0"/>
          <w:sz w:val="24"/>
          <w:szCs w:val="24"/>
          <w:highlight w:val="none"/>
        </w:rPr>
        <w:t>、合同主要条款</w:t>
      </w:r>
    </w:p>
    <w:p>
      <w:pPr>
        <w:numPr>
          <w:ilvl w:val="0"/>
          <w:numId w:val="0"/>
        </w:numPr>
        <w:spacing w:line="360" w:lineRule="auto"/>
        <w:ind w:firstLine="480" w:firstLineChars="200"/>
        <w:rPr>
          <w:rFonts w:hint="eastAsia" w:ascii="宋体" w:hAnsi="宋体" w:eastAsia="宋体" w:cs="宋体"/>
          <w:b/>
          <w:color w:val="auto"/>
          <w:kern w:val="0"/>
          <w:sz w:val="24"/>
          <w:szCs w:val="24"/>
          <w:highlight w:val="none"/>
          <w:lang w:eastAsia="zh-CN"/>
        </w:rPr>
      </w:pPr>
      <w:r>
        <w:rPr>
          <w:rFonts w:hint="eastAsia" w:ascii="宋体" w:hAnsi="宋体" w:cs="宋体"/>
          <w:color w:val="auto"/>
          <w:sz w:val="24"/>
          <w:szCs w:val="24"/>
          <w:highlight w:val="none"/>
          <w:lang w:val="en-US" w:eastAsia="zh-CN"/>
        </w:rPr>
        <w:t>详见见第四章拟签订的合同条款中内容。</w:t>
      </w:r>
    </w:p>
    <w:p>
      <w:pPr>
        <w:numPr>
          <w:ilvl w:val="0"/>
          <w:numId w:val="0"/>
        </w:numPr>
        <w:spacing w:line="360" w:lineRule="auto"/>
        <w:ind w:firstLine="482" w:firstLineChars="200"/>
        <w:rPr>
          <w:rFonts w:hint="eastAsia" w:ascii="Times New Roman" w:hAnsi="Times New Roman" w:eastAsia="宋体" w:cs="Times New Roman"/>
          <w:b/>
          <w:bCs/>
          <w:color w:val="auto"/>
          <w:sz w:val="24"/>
          <w:szCs w:val="22"/>
          <w:highlight w:val="none"/>
          <w:lang w:val="en-US" w:eastAsia="zh-CN"/>
        </w:rPr>
      </w:pPr>
      <w:r>
        <w:rPr>
          <w:rFonts w:hint="eastAsia" w:ascii="宋体" w:hAnsi="宋体" w:cs="宋体"/>
          <w:b/>
          <w:color w:val="auto"/>
          <w:kern w:val="0"/>
          <w:sz w:val="24"/>
          <w:szCs w:val="24"/>
          <w:highlight w:val="none"/>
          <w:lang w:val="en-US" w:eastAsia="zh-CN"/>
        </w:rPr>
        <w:t>四、</w:t>
      </w:r>
      <w:r>
        <w:rPr>
          <w:rFonts w:hint="eastAsia" w:ascii="Times New Roman" w:hAnsi="Times New Roman" w:eastAsia="宋体" w:cs="Times New Roman"/>
          <w:b/>
          <w:bCs/>
          <w:color w:val="auto"/>
          <w:sz w:val="24"/>
          <w:szCs w:val="22"/>
          <w:highlight w:val="none"/>
          <w:lang w:val="en-US" w:eastAsia="zh-CN"/>
        </w:rPr>
        <w:t>工程承包方式及变更价款处理办法：</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Times New Roman" w:hAnsi="Times New Roman" w:eastAsia="宋体" w:cs="Times New Roman"/>
          <w:color w:val="auto"/>
          <w:sz w:val="24"/>
          <w:szCs w:val="22"/>
          <w:highlight w:val="none"/>
          <w:lang w:val="en-US" w:eastAsia="zh-CN"/>
        </w:rPr>
        <w:t>包工包料、包工期、包质量、包安全、包文明施工的</w:t>
      </w:r>
      <w:r>
        <w:rPr>
          <w:rFonts w:hint="eastAsia" w:cs="Times New Roman"/>
          <w:color w:val="auto"/>
          <w:sz w:val="24"/>
          <w:szCs w:val="22"/>
          <w:highlight w:val="none"/>
          <w:lang w:val="en-US" w:eastAsia="zh-CN"/>
        </w:rPr>
        <w:t>工程</w:t>
      </w:r>
      <w:r>
        <w:rPr>
          <w:rFonts w:hint="eastAsia" w:ascii="Times New Roman" w:hAnsi="Times New Roman" w:eastAsia="宋体" w:cs="Times New Roman"/>
          <w:color w:val="auto"/>
          <w:sz w:val="24"/>
          <w:szCs w:val="22"/>
          <w:highlight w:val="none"/>
          <w:lang w:val="en-US" w:eastAsia="zh-CN"/>
        </w:rPr>
        <w:t>总承包。工程发包采用全费用固定综合单价合同，投标综合单价在约定的范围内不变。</w:t>
      </w:r>
      <w:r>
        <w:rPr>
          <w:rFonts w:hint="eastAsia" w:cs="Times New Roman"/>
          <w:color w:val="auto"/>
          <w:sz w:val="24"/>
          <w:szCs w:val="22"/>
          <w:highlight w:val="none"/>
          <w:lang w:val="en-US" w:eastAsia="zh-CN"/>
        </w:rPr>
        <w:t>采购</w:t>
      </w:r>
      <w:r>
        <w:rPr>
          <w:rFonts w:hint="eastAsia" w:ascii="Times New Roman" w:hAnsi="Times New Roman" w:eastAsia="宋体" w:cs="Times New Roman"/>
          <w:color w:val="auto"/>
          <w:sz w:val="24"/>
          <w:szCs w:val="22"/>
          <w:highlight w:val="none"/>
          <w:lang w:val="en-US" w:eastAsia="zh-CN"/>
        </w:rPr>
        <w:t>范围内执行乙方</w:t>
      </w:r>
      <w:r>
        <w:rPr>
          <w:rFonts w:hint="eastAsia" w:cs="Times New Roman"/>
          <w:color w:val="auto"/>
          <w:sz w:val="24"/>
          <w:szCs w:val="22"/>
          <w:highlight w:val="none"/>
          <w:lang w:val="en-US" w:eastAsia="zh-CN"/>
        </w:rPr>
        <w:t>成交</w:t>
      </w:r>
      <w:r>
        <w:rPr>
          <w:rFonts w:hint="eastAsia" w:ascii="Times New Roman" w:hAnsi="Times New Roman" w:eastAsia="宋体" w:cs="Times New Roman"/>
          <w:color w:val="auto"/>
          <w:sz w:val="24"/>
          <w:szCs w:val="22"/>
          <w:highlight w:val="none"/>
          <w:lang w:val="en-US" w:eastAsia="zh-CN"/>
        </w:rPr>
        <w:t>综合单价，工程量据实结算。施工合同以外经发包方批准的工程价款确认办法：合同中已有适用于变更工程的价格，按合同已有价格；合同中没有适用的单价，由乙方提出变更认价报告，甲方对主材认价，相关取费参照2009《陕西省建筑工程工程量清单计价规则》、2004《陕西省安装工程消耗量定额》及相关价目表和学校相关规定执行。</w:t>
      </w:r>
    </w:p>
    <w:p>
      <w:pPr>
        <w:snapToGrid w:val="0"/>
        <w:spacing w:line="360"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五、其他要求</w:t>
      </w:r>
    </w:p>
    <w:p>
      <w:pPr>
        <w:snapToGrid w:val="0"/>
        <w:spacing w:line="360"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lang w:val="en-US" w:eastAsia="zh-CN"/>
        </w:rPr>
        <w:t>规范要求</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执行国家、省、市现行的相关规定及标准文件。具体技术要求包括但不限于以下规定、标准、规范：《中华人民共和国安全生产法》；</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《陕西省建设工程质量安全管理条例》；</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《施工现场临时用电安全技术规范》；</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《中华人民共和国建筑法》；</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《咸阳市建筑垃圾管理办法》；</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《咸阳市治污减霾网格化管理工作实施方案》；</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《建设工程安全生产管理条例》。</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以上规范、标准如遇调整或最新规范时，以调整后或最新规范内容为准。</w:t>
      </w:r>
    </w:p>
    <w:p>
      <w:pPr>
        <w:numPr>
          <w:ilvl w:val="0"/>
          <w:numId w:val="10"/>
        </w:numPr>
        <w:adjustRightInd w:val="0"/>
        <w:snapToGrid w:val="0"/>
        <w:spacing w:line="360"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验收标准</w:t>
      </w:r>
    </w:p>
    <w:p>
      <w:pPr>
        <w:numPr>
          <w:ilvl w:val="0"/>
          <w:numId w:val="0"/>
        </w:numPr>
        <w:adjustRightInd w:val="0"/>
        <w:snapToGrid w:val="0"/>
        <w:spacing w:line="360" w:lineRule="auto"/>
        <w:ind w:firstLine="720" w:firstLine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达到国家现行验收规范“合格”标准。</w:t>
      </w:r>
    </w:p>
    <w:p>
      <w:pPr>
        <w:snapToGrid w:val="0"/>
        <w:spacing w:line="312"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w:t>
      </w:r>
      <w:r>
        <w:rPr>
          <w:rFonts w:hint="eastAsia" w:ascii="宋体" w:hAnsi="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val="en-US" w:eastAsia="zh-CN"/>
        </w:rPr>
        <w:t>）施工要求</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1、本工程施工严格按照规范要求进行施工，达到各项拟定指标，确保工程质量达到国家强制性合格标准。</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2、本工程施工必须严格按照工程技术要求及行业规范进行施工，并无条件地接受采购人全方位、全过程的监督管理。</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3、所有材料必须在检验合格经采购人同意后，方可用于本工程。</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4、隐蔽工程必须经采购人检查、验收后，方可进行下一道工序。</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5、在免费工程质量保修期内，成交供应商对有缺陷的部位必须无偿地给予修理与更换，并承担一切由此引起的对采购人或第三者的直接损失，除非该缺陷是由于人为破坏或合同规定的不可抗因素造成的损坏。</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6、供应商必须对所承包的工程的质量负全部责任，其责任不因其他材料生产商提供的保证书而减轻或更改。</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7、施工时注意做好必要的劳动保护工作和疫情防控工作。</w:t>
      </w:r>
    </w:p>
    <w:p>
      <w:pPr>
        <w:snapToGrid w:val="0"/>
        <w:spacing w:line="312" w:lineRule="auto"/>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（三）</w:t>
      </w:r>
      <w:r>
        <w:rPr>
          <w:rFonts w:hint="default" w:ascii="宋体" w:hAnsi="宋体" w:eastAsia="宋体" w:cs="宋体"/>
          <w:b/>
          <w:bCs/>
          <w:color w:val="auto"/>
          <w:kern w:val="0"/>
          <w:sz w:val="24"/>
          <w:szCs w:val="24"/>
          <w:highlight w:val="none"/>
          <w:lang w:val="en-US" w:eastAsia="zh-CN"/>
        </w:rPr>
        <w:t>工程管理要求</w:t>
      </w:r>
    </w:p>
    <w:p>
      <w:pPr>
        <w:adjustRightInd w:val="0"/>
        <w:snapToGrid w:val="0"/>
        <w:spacing w:line="360" w:lineRule="auto"/>
        <w:ind w:firstLine="480" w:firstLineChars="200"/>
        <w:jc w:val="left"/>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本工程采购范围内的工程项目，未经采购人同意一律不得分包。一经发现立即取消承包资格，作违约处理，并承担由此引起的一切经济损失。</w:t>
      </w:r>
    </w:p>
    <w:p>
      <w:pPr>
        <w:adjustRightInd w:val="0"/>
        <w:snapToGrid w:val="0"/>
        <w:spacing w:line="360" w:lineRule="auto"/>
        <w:ind w:firstLine="480" w:firstLineChars="200"/>
        <w:jc w:val="left"/>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供应商应严格按已确认施工技术方案组织施工，并无条件地接受采购人代表对施工质量的监督和管理。施工过程中，施工方必须要严格把关，按照相应规范标准要求施工，如出现不符合标准要求的情况，施工方必须无条件返工，直至达到规范标准要求。所发生的费用均由施工方承担。</w:t>
      </w:r>
    </w:p>
    <w:p>
      <w:pPr>
        <w:adjustRightInd w:val="0"/>
        <w:snapToGrid w:val="0"/>
        <w:spacing w:line="360" w:lineRule="auto"/>
        <w:ind w:firstLine="480" w:firstLineChars="200"/>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default" w:ascii="宋体" w:hAnsi="宋体" w:cs="宋体"/>
          <w:b w:val="0"/>
          <w:bCs w:val="0"/>
          <w:color w:val="auto"/>
          <w:sz w:val="24"/>
          <w:szCs w:val="24"/>
          <w:highlight w:val="none"/>
          <w:lang w:val="en-US" w:eastAsia="zh-CN"/>
        </w:rPr>
        <w:t>供应商在响应文件中的承诺的管理人员未经采购人同意，不得调换和撤离，并按工程进度及时到位。采购人有权要求撤换工作不负责任、管理不力、贻误工期和造成严重的安全事故和工程质量事故、违法乱纪的专业技术、管理人员、技术负责人，直至采购人满意为止。如相应资质的专业技术人员未按要求到位，视作违约，采购人有权单方面终止合同。</w:t>
      </w:r>
    </w:p>
    <w:p>
      <w:pPr>
        <w:adjustRightInd w:val="0"/>
        <w:snapToGrid w:val="0"/>
        <w:spacing w:line="360" w:lineRule="auto"/>
        <w:ind w:firstLine="480" w:firstLineChars="200"/>
        <w:jc w:val="left"/>
        <w:rPr>
          <w:rFonts w:hint="default" w:ascii="宋体" w:hAnsi="宋体" w:cs="宋体"/>
          <w:b w:val="0"/>
          <w:bCs w:val="0"/>
          <w:color w:val="auto"/>
          <w:sz w:val="24"/>
          <w:szCs w:val="24"/>
          <w:highlight w:val="none"/>
          <w:lang w:val="en-US" w:eastAsia="zh-CN"/>
        </w:rPr>
      </w:pPr>
    </w:p>
    <w:p>
      <w:pPr>
        <w:pStyle w:val="2"/>
        <w:keepNext w:val="0"/>
        <w:pageBreakBefore/>
        <w:rPr>
          <w:rFonts w:hint="eastAsia" w:ascii="宋体" w:hAnsi="宋体" w:eastAsia="宋体" w:cs="宋体"/>
          <w:color w:val="auto"/>
          <w:sz w:val="32"/>
          <w:szCs w:val="15"/>
          <w:highlight w:val="none"/>
        </w:rPr>
      </w:pPr>
      <w:bookmarkStart w:id="1100" w:name="_Toc10230"/>
      <w:bookmarkStart w:id="1101" w:name="_Toc345"/>
      <w:r>
        <w:rPr>
          <w:rFonts w:hint="eastAsia" w:ascii="宋体" w:hAnsi="宋体" w:eastAsia="宋体" w:cs="宋体"/>
          <w:color w:val="auto"/>
          <w:sz w:val="32"/>
          <w:szCs w:val="15"/>
          <w:highlight w:val="none"/>
        </w:rPr>
        <w:t>第</w:t>
      </w:r>
      <w:r>
        <w:rPr>
          <w:rFonts w:hint="eastAsia" w:ascii="宋体" w:hAnsi="宋体" w:cs="宋体"/>
          <w:color w:val="auto"/>
          <w:sz w:val="32"/>
          <w:szCs w:val="15"/>
          <w:highlight w:val="none"/>
          <w:lang w:eastAsia="zh-CN"/>
        </w:rPr>
        <w:t>八</w:t>
      </w:r>
      <w:r>
        <w:rPr>
          <w:rFonts w:hint="eastAsia" w:ascii="宋体" w:hAnsi="宋体" w:eastAsia="宋体" w:cs="宋体"/>
          <w:color w:val="auto"/>
          <w:sz w:val="32"/>
          <w:szCs w:val="15"/>
          <w:highlight w:val="none"/>
        </w:rPr>
        <w:t xml:space="preserve">章 </w:t>
      </w:r>
      <w:r>
        <w:rPr>
          <w:rFonts w:hint="eastAsia" w:ascii="宋体" w:hAnsi="宋体" w:eastAsia="宋体" w:cs="宋体"/>
          <w:color w:val="auto"/>
          <w:sz w:val="32"/>
          <w:szCs w:val="15"/>
          <w:highlight w:val="none"/>
          <w:lang w:eastAsia="zh-CN"/>
        </w:rPr>
        <w:t>磋商</w:t>
      </w:r>
      <w:r>
        <w:rPr>
          <w:rFonts w:hint="eastAsia" w:ascii="宋体" w:hAnsi="宋体" w:eastAsia="宋体" w:cs="宋体"/>
          <w:color w:val="auto"/>
          <w:sz w:val="32"/>
          <w:szCs w:val="15"/>
          <w:highlight w:val="none"/>
        </w:rPr>
        <w:t>响应文件格式</w:t>
      </w:r>
      <w:bookmarkEnd w:id="1097"/>
      <w:bookmarkEnd w:id="1098"/>
      <w:bookmarkEnd w:id="1099"/>
      <w:bookmarkEnd w:id="1100"/>
      <w:bookmarkEnd w:id="1101"/>
    </w:p>
    <w:p>
      <w:pPr>
        <w:tabs>
          <w:tab w:val="left" w:pos="420"/>
        </w:tabs>
        <w:adjustRightInd w:val="0"/>
        <w:snapToGrid w:val="0"/>
        <w:spacing w:line="360" w:lineRule="auto"/>
        <w:jc w:val="center"/>
        <w:rPr>
          <w:rFonts w:hint="eastAsia" w:ascii="宋体" w:hAnsi="宋体" w:eastAsia="宋体" w:cs="宋体"/>
          <w:b/>
          <w:color w:val="auto"/>
          <w:sz w:val="24"/>
          <w:szCs w:val="24"/>
          <w:highlight w:val="none"/>
        </w:rPr>
      </w:pPr>
    </w:p>
    <w:p>
      <w:pPr>
        <w:tabs>
          <w:tab w:val="left" w:pos="4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响应文件编制说明</w:t>
      </w:r>
    </w:p>
    <w:p>
      <w:pPr>
        <w:adjustRightInd w:val="0"/>
        <w:snapToGrid w:val="0"/>
        <w:spacing w:line="360" w:lineRule="auto"/>
        <w:ind w:left="105" w:leftChars="50" w:firstLine="494" w:firstLineChars="20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编制</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响应文件前，请详细阅读采购文件的全部内容，理解文件中的每一项要求。</w:t>
      </w:r>
    </w:p>
    <w:p>
      <w:pPr>
        <w:adjustRightInd w:val="0"/>
        <w:snapToGrid w:val="0"/>
        <w:spacing w:line="360" w:lineRule="auto"/>
        <w:ind w:left="120" w:hanging="120" w:hanging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响应文件的编制应按照样本</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文件提供的格式内容逐一做出明确的响应；供应商认为有必要，还可以做其它补充，其目录自行编制，但不得缺失。如因供应商自身原因未编制或编制目录中未附其相应内容，其相关不利风险由其自行承担。</w:t>
      </w:r>
    </w:p>
    <w:p>
      <w:pPr>
        <w:adjustRightInd w:val="0"/>
        <w:snapToGrid w:val="0"/>
        <w:spacing w:line="360" w:lineRule="auto"/>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3.全部编制完成应仔细核查相应格式内容并加盖公章，</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响应文件应区分正、副本且胶装成册密封递交。</w:t>
      </w: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ind w:right="884"/>
        <w:rPr>
          <w:rFonts w:hint="eastAsia" w:ascii="宋体" w:hAnsi="宋体" w:eastAsia="宋体" w:cs="宋体"/>
          <w:b/>
          <w:color w:val="auto"/>
          <w:sz w:val="24"/>
          <w:szCs w:val="24"/>
          <w:highlight w:val="none"/>
        </w:rPr>
      </w:pPr>
    </w:p>
    <w:p>
      <w:pPr>
        <w:ind w:right="884"/>
        <w:rPr>
          <w:rFonts w:hint="eastAsia" w:ascii="宋体" w:hAnsi="宋体" w:eastAsia="宋体" w:cs="宋体"/>
          <w:b/>
          <w:color w:val="auto"/>
          <w:sz w:val="44"/>
          <w:szCs w:val="44"/>
          <w:highlight w:val="none"/>
        </w:rPr>
      </w:pPr>
    </w:p>
    <w:p>
      <w:pPr>
        <w:ind w:right="884"/>
        <w:rPr>
          <w:rFonts w:hint="eastAsia" w:ascii="宋体" w:hAnsi="宋体" w:eastAsia="宋体" w:cs="宋体"/>
          <w:b/>
          <w:color w:val="auto"/>
          <w:sz w:val="44"/>
          <w:szCs w:val="44"/>
          <w:highlight w:val="none"/>
        </w:rPr>
      </w:pPr>
    </w:p>
    <w:p>
      <w:pPr>
        <w:ind w:right="884"/>
        <w:rPr>
          <w:rFonts w:hint="eastAsia" w:ascii="宋体" w:hAnsi="宋体" w:eastAsia="宋体" w:cs="宋体"/>
          <w:b/>
          <w:color w:val="auto"/>
          <w:sz w:val="44"/>
          <w:szCs w:val="44"/>
          <w:highlight w:val="none"/>
        </w:rPr>
      </w:pPr>
    </w:p>
    <w:p>
      <w:pPr>
        <w:spacing w:line="360" w:lineRule="auto"/>
        <w:rPr>
          <w:rFonts w:hint="eastAsia" w:ascii="宋体" w:hAnsi="宋体" w:eastAsia="宋体" w:cs="宋体"/>
          <w:b/>
          <w:color w:val="auto"/>
          <w:sz w:val="28"/>
          <w:szCs w:val="28"/>
          <w:highlight w:val="none"/>
        </w:rPr>
      </w:pPr>
      <w:bookmarkStart w:id="1102" w:name="_Toc513557045"/>
      <w:r>
        <w:rPr>
          <w:rFonts w:hint="eastAsia" w:ascii="宋体" w:hAnsi="宋体" w:eastAsia="宋体" w:cs="宋体"/>
          <w:b/>
          <w:color w:val="auto"/>
          <w:sz w:val="28"/>
          <w:szCs w:val="28"/>
          <w:highlight w:val="none"/>
        </w:rPr>
        <w:br w:type="page"/>
      </w:r>
      <w:bookmarkStart w:id="1103" w:name="_Toc21629"/>
    </w:p>
    <w:bookmarkEnd w:id="1086"/>
    <w:bookmarkEnd w:id="1102"/>
    <w:bookmarkEnd w:id="1103"/>
    <w:p>
      <w:pPr>
        <w:spacing w:line="480" w:lineRule="auto"/>
        <w:jc w:val="right"/>
        <w:rPr>
          <w:rFonts w:hint="eastAsia" w:ascii="宋体" w:hAnsi="宋体" w:eastAsia="宋体" w:cs="宋体"/>
          <w:b/>
          <w:bCs/>
          <w:color w:val="auto"/>
          <w:spacing w:val="26"/>
          <w:sz w:val="24"/>
          <w:szCs w:val="24"/>
          <w:highlight w:val="none"/>
        </w:rPr>
      </w:pPr>
      <w:bookmarkStart w:id="1104" w:name="_Toc321812077"/>
      <w:bookmarkStart w:id="1105" w:name="_Toc324947077"/>
      <w:r>
        <w:rPr>
          <w:rFonts w:hint="eastAsia" w:ascii="宋体" w:hAnsi="宋体" w:eastAsia="宋体" w:cs="宋体"/>
          <w:b/>
          <w:bCs/>
          <w:color w:val="auto"/>
          <w:spacing w:val="26"/>
          <w:sz w:val="24"/>
          <w:szCs w:val="24"/>
          <w:highlight w:val="none"/>
        </w:rPr>
        <w:t>【正/副本】</w:t>
      </w:r>
    </w:p>
    <w:p>
      <w:pPr>
        <w:rPr>
          <w:rFonts w:hint="eastAsia" w:ascii="宋体" w:hAnsi="宋体" w:eastAsia="宋体" w:cs="宋体"/>
          <w:b/>
          <w:bCs/>
          <w:color w:val="auto"/>
          <w:sz w:val="28"/>
          <w:szCs w:val="24"/>
          <w:highlight w:val="none"/>
        </w:rPr>
      </w:pPr>
      <w:bookmarkStart w:id="1106" w:name="_Toc16626"/>
      <w:r>
        <w:rPr>
          <w:rFonts w:hint="eastAsia" w:ascii="宋体" w:hAnsi="宋体" w:eastAsia="宋体" w:cs="宋体"/>
          <w:b/>
          <w:bCs/>
          <w:color w:val="auto"/>
          <w:sz w:val="28"/>
          <w:szCs w:val="24"/>
          <w:highlight w:val="none"/>
        </w:rPr>
        <w:t>项目编号：</w:t>
      </w:r>
      <w:bookmarkEnd w:id="1106"/>
    </w:p>
    <w:p>
      <w:pPr>
        <w:jc w:val="center"/>
        <w:rPr>
          <w:rFonts w:hint="eastAsia" w:ascii="宋体" w:hAnsi="宋体" w:eastAsia="宋体" w:cs="宋体"/>
          <w:color w:val="auto"/>
          <w:sz w:val="32"/>
          <w:szCs w:val="32"/>
          <w:highlight w:val="none"/>
          <w:u w:val="single"/>
        </w:rPr>
      </w:pPr>
    </w:p>
    <w:p>
      <w:pPr>
        <w:spacing w:line="600" w:lineRule="auto"/>
        <w:jc w:val="center"/>
        <w:rPr>
          <w:rFonts w:hint="eastAsia" w:ascii="宋体" w:hAnsi="宋体" w:eastAsia="宋体" w:cs="宋体"/>
          <w:b/>
          <w:bCs/>
          <w:color w:val="auto"/>
          <w:spacing w:val="28"/>
          <w:sz w:val="48"/>
          <w:szCs w:val="56"/>
          <w:highlight w:val="none"/>
        </w:rPr>
      </w:pPr>
    </w:p>
    <w:p>
      <w:pPr>
        <w:pStyle w:val="11"/>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lang w:val="en-US" w:eastAsia="zh-CN"/>
        </w:rPr>
        <w:t>陕西咸阳中学远航楼、怡然楼、雅舍楼卫生间及管网改造工程</w:t>
      </w:r>
    </w:p>
    <w:p>
      <w:pPr>
        <w:spacing w:line="600" w:lineRule="auto"/>
        <w:jc w:val="center"/>
        <w:rPr>
          <w:rFonts w:hint="eastAsia" w:ascii="宋体" w:hAnsi="宋体" w:eastAsia="宋体" w:cs="宋体"/>
          <w:b/>
          <w:bCs/>
          <w:color w:val="auto"/>
          <w:spacing w:val="28"/>
          <w:sz w:val="72"/>
          <w:szCs w:val="104"/>
          <w:highlight w:val="none"/>
        </w:rPr>
      </w:pPr>
    </w:p>
    <w:p>
      <w:pPr>
        <w:spacing w:line="600" w:lineRule="auto"/>
        <w:jc w:val="center"/>
        <w:rPr>
          <w:rFonts w:hint="eastAsia" w:ascii="宋体" w:hAnsi="宋体" w:eastAsia="宋体" w:cs="宋体"/>
          <w:b/>
          <w:bCs/>
          <w:color w:val="auto"/>
          <w:spacing w:val="28"/>
          <w:sz w:val="56"/>
          <w:szCs w:val="96"/>
          <w:highlight w:val="none"/>
        </w:rPr>
      </w:pPr>
      <w:r>
        <w:rPr>
          <w:rFonts w:hint="eastAsia" w:ascii="宋体" w:hAnsi="宋体" w:eastAsia="宋体" w:cs="宋体"/>
          <w:b/>
          <w:bCs/>
          <w:color w:val="auto"/>
          <w:spacing w:val="28"/>
          <w:sz w:val="52"/>
          <w:szCs w:val="72"/>
          <w:highlight w:val="none"/>
        </w:rPr>
        <w:t>磋商响应文件</w:t>
      </w: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spacing w:line="600" w:lineRule="auto"/>
        <w:jc w:val="center"/>
        <w:rPr>
          <w:rFonts w:hint="eastAsia" w:ascii="宋体" w:hAnsi="宋体" w:eastAsia="宋体" w:cs="宋体"/>
          <w:b/>
          <w:bCs/>
          <w:color w:val="auto"/>
          <w:spacing w:val="26"/>
          <w:sz w:val="36"/>
          <w:szCs w:val="36"/>
          <w:highlight w:val="none"/>
        </w:rPr>
      </w:pPr>
    </w:p>
    <w:p>
      <w:pPr>
        <w:spacing w:line="600" w:lineRule="auto"/>
        <w:jc w:val="center"/>
        <w:rPr>
          <w:rFonts w:hint="eastAsia" w:ascii="宋体" w:hAnsi="宋体" w:eastAsia="宋体" w:cs="宋体"/>
          <w:b/>
          <w:bCs/>
          <w:color w:val="auto"/>
          <w:spacing w:val="26"/>
          <w:sz w:val="36"/>
          <w:szCs w:val="36"/>
          <w:highlight w:val="none"/>
        </w:rPr>
      </w:pPr>
    </w:p>
    <w:p>
      <w:pPr>
        <w:spacing w:line="600" w:lineRule="auto"/>
        <w:jc w:val="left"/>
        <w:rPr>
          <w:rFonts w:hint="eastAsia" w:ascii="宋体" w:hAnsi="宋体" w:eastAsia="宋体" w:cs="宋体"/>
          <w:b/>
          <w:bCs/>
          <w:color w:val="auto"/>
          <w:spacing w:val="26"/>
          <w:sz w:val="30"/>
          <w:szCs w:val="30"/>
          <w:highlight w:val="none"/>
          <w:lang w:val="en-US" w:eastAsia="zh-CN"/>
        </w:rPr>
      </w:pPr>
      <w:r>
        <w:rPr>
          <w:rFonts w:hint="eastAsia" w:ascii="宋体" w:hAnsi="宋体" w:eastAsia="宋体" w:cs="宋体"/>
          <w:b/>
          <w:bCs/>
          <w:color w:val="auto"/>
          <w:spacing w:val="26"/>
          <w:sz w:val="30"/>
          <w:szCs w:val="30"/>
          <w:highlight w:val="none"/>
        </w:rPr>
        <w:t>供应商：</w:t>
      </w:r>
      <w:r>
        <w:rPr>
          <w:rFonts w:hint="eastAsia" w:ascii="宋体" w:hAnsi="宋体" w:eastAsia="宋体" w:cs="宋体"/>
          <w:b/>
          <w:bCs/>
          <w:color w:val="auto"/>
          <w:spacing w:val="26"/>
          <w:sz w:val="30"/>
          <w:szCs w:val="30"/>
          <w:highlight w:val="none"/>
          <w:u w:val="single"/>
        </w:rPr>
        <w:t>（名称及盖章）</w:t>
      </w:r>
      <w:r>
        <w:rPr>
          <w:rFonts w:hint="eastAsia" w:ascii="宋体" w:hAnsi="宋体" w:eastAsia="宋体" w:cs="宋体"/>
          <w:b/>
          <w:bCs/>
          <w:color w:val="auto"/>
          <w:spacing w:val="26"/>
          <w:sz w:val="30"/>
          <w:szCs w:val="30"/>
          <w:highlight w:val="none"/>
          <w:u w:val="single"/>
          <w:lang w:val="en-US" w:eastAsia="zh-CN"/>
        </w:rPr>
        <w:t xml:space="preserve">          </w:t>
      </w:r>
    </w:p>
    <w:p>
      <w:pPr>
        <w:spacing w:line="600" w:lineRule="auto"/>
        <w:jc w:val="left"/>
        <w:rPr>
          <w:rFonts w:hint="eastAsia" w:ascii="宋体" w:hAnsi="宋体" w:eastAsia="宋体" w:cs="宋体"/>
          <w:b/>
          <w:bCs/>
          <w:color w:val="auto"/>
          <w:spacing w:val="26"/>
          <w:sz w:val="30"/>
          <w:szCs w:val="30"/>
          <w:highlight w:val="none"/>
          <w:u w:val="single"/>
          <w:lang w:val="en-US" w:eastAsia="zh-CN"/>
        </w:rPr>
      </w:pPr>
      <w:r>
        <w:rPr>
          <w:rFonts w:hint="eastAsia" w:ascii="宋体" w:hAnsi="宋体" w:eastAsia="宋体" w:cs="宋体"/>
          <w:b/>
          <w:bCs/>
          <w:color w:val="auto"/>
          <w:spacing w:val="26"/>
          <w:sz w:val="30"/>
          <w:szCs w:val="30"/>
          <w:highlight w:val="none"/>
        </w:rPr>
        <w:t>法定代表人或其授权代理人：</w:t>
      </w:r>
      <w:r>
        <w:rPr>
          <w:rFonts w:hint="eastAsia" w:ascii="宋体" w:hAnsi="宋体" w:eastAsia="宋体" w:cs="宋体"/>
          <w:b/>
          <w:bCs/>
          <w:color w:val="auto"/>
          <w:spacing w:val="26"/>
          <w:sz w:val="30"/>
          <w:szCs w:val="30"/>
          <w:highlight w:val="none"/>
          <w:u w:val="single"/>
        </w:rPr>
        <w:t>（盖章或签字）</w:t>
      </w:r>
      <w:r>
        <w:rPr>
          <w:rFonts w:hint="eastAsia" w:ascii="宋体" w:hAnsi="宋体" w:eastAsia="宋体" w:cs="宋体"/>
          <w:b/>
          <w:bCs/>
          <w:color w:val="auto"/>
          <w:spacing w:val="26"/>
          <w:sz w:val="30"/>
          <w:szCs w:val="30"/>
          <w:highlight w:val="none"/>
          <w:u w:val="single"/>
          <w:lang w:val="en-US" w:eastAsia="zh-CN"/>
        </w:rPr>
        <w:t xml:space="preserve">      </w:t>
      </w:r>
    </w:p>
    <w:p>
      <w:pPr>
        <w:spacing w:line="600" w:lineRule="auto"/>
        <w:jc w:val="left"/>
        <w:rPr>
          <w:rFonts w:hint="eastAsia" w:ascii="宋体" w:hAnsi="宋体" w:eastAsia="宋体" w:cs="宋体"/>
          <w:b/>
          <w:bCs/>
          <w:color w:val="auto"/>
          <w:spacing w:val="26"/>
          <w:sz w:val="30"/>
          <w:szCs w:val="30"/>
          <w:highlight w:val="none"/>
          <w:u w:val="single"/>
          <w:lang w:val="en-US" w:eastAsia="zh-CN"/>
        </w:rPr>
      </w:pPr>
      <w:r>
        <w:rPr>
          <w:rFonts w:hint="eastAsia" w:ascii="宋体" w:hAnsi="宋体" w:eastAsia="宋体" w:cs="宋体"/>
          <w:b/>
          <w:bCs/>
          <w:color w:val="auto"/>
          <w:spacing w:val="26"/>
          <w:sz w:val="30"/>
          <w:szCs w:val="30"/>
          <w:highlight w:val="none"/>
        </w:rPr>
        <w:t>联系人</w:t>
      </w:r>
      <w:r>
        <w:rPr>
          <w:rFonts w:hint="eastAsia" w:ascii="宋体" w:hAnsi="宋体" w:eastAsia="宋体" w:cs="宋体"/>
          <w:b/>
          <w:bCs/>
          <w:color w:val="auto"/>
          <w:spacing w:val="26"/>
          <w:sz w:val="30"/>
          <w:szCs w:val="30"/>
          <w:highlight w:val="none"/>
          <w:u w:val="single"/>
        </w:rPr>
        <w:t>：</w:t>
      </w:r>
      <w:r>
        <w:rPr>
          <w:rFonts w:hint="eastAsia" w:ascii="宋体" w:hAnsi="宋体" w:eastAsia="宋体" w:cs="宋体"/>
          <w:b/>
          <w:bCs/>
          <w:color w:val="auto"/>
          <w:spacing w:val="26"/>
          <w:sz w:val="30"/>
          <w:szCs w:val="30"/>
          <w:highlight w:val="none"/>
          <w:u w:val="single"/>
          <w:lang w:val="en-US" w:eastAsia="zh-CN"/>
        </w:rPr>
        <w:t xml:space="preserve">                   </w:t>
      </w:r>
    </w:p>
    <w:p>
      <w:pPr>
        <w:spacing w:line="600" w:lineRule="auto"/>
        <w:jc w:val="left"/>
        <w:rPr>
          <w:rFonts w:hint="eastAsia" w:ascii="宋体" w:hAnsi="宋体" w:eastAsia="宋体" w:cs="宋体"/>
          <w:b/>
          <w:bCs/>
          <w:color w:val="auto"/>
          <w:spacing w:val="26"/>
          <w:sz w:val="30"/>
          <w:szCs w:val="30"/>
          <w:highlight w:val="none"/>
          <w:lang w:val="en-US" w:eastAsia="zh-CN"/>
        </w:rPr>
      </w:pPr>
      <w:r>
        <w:rPr>
          <w:rFonts w:hint="eastAsia" w:ascii="宋体" w:hAnsi="宋体" w:eastAsia="宋体" w:cs="宋体"/>
          <w:b/>
          <w:bCs/>
          <w:color w:val="auto"/>
          <w:spacing w:val="26"/>
          <w:sz w:val="30"/>
          <w:szCs w:val="30"/>
          <w:highlight w:val="none"/>
        </w:rPr>
        <w:t>联系电话</w:t>
      </w:r>
      <w:r>
        <w:rPr>
          <w:rFonts w:hint="eastAsia" w:ascii="宋体" w:hAnsi="宋体" w:eastAsia="宋体" w:cs="宋体"/>
          <w:b/>
          <w:bCs/>
          <w:color w:val="auto"/>
          <w:spacing w:val="26"/>
          <w:sz w:val="30"/>
          <w:szCs w:val="30"/>
          <w:highlight w:val="none"/>
          <w:u w:val="single"/>
        </w:rPr>
        <w:t>：</w:t>
      </w:r>
      <w:r>
        <w:rPr>
          <w:rFonts w:hint="eastAsia" w:ascii="宋体" w:hAnsi="宋体" w:eastAsia="宋体" w:cs="宋体"/>
          <w:b/>
          <w:bCs/>
          <w:color w:val="auto"/>
          <w:spacing w:val="26"/>
          <w:sz w:val="30"/>
          <w:szCs w:val="30"/>
          <w:highlight w:val="none"/>
          <w:u w:val="single"/>
          <w:lang w:val="en-US" w:eastAsia="zh-CN"/>
        </w:rPr>
        <w:t xml:space="preserve">                 </w:t>
      </w:r>
    </w:p>
    <w:p>
      <w:pPr>
        <w:jc w:val="left"/>
        <w:rPr>
          <w:rFonts w:hint="eastAsia" w:ascii="宋体" w:hAnsi="宋体" w:eastAsia="宋体" w:cs="宋体"/>
          <w:b/>
          <w:bCs/>
          <w:color w:val="auto"/>
          <w:spacing w:val="26"/>
          <w:sz w:val="30"/>
          <w:szCs w:val="30"/>
          <w:highlight w:val="none"/>
          <w:u w:val="single"/>
          <w:lang w:val="en-US" w:eastAsia="zh-CN"/>
        </w:rPr>
      </w:pPr>
      <w:r>
        <w:rPr>
          <w:rFonts w:hint="eastAsia" w:ascii="宋体" w:hAnsi="宋体" w:eastAsia="宋体" w:cs="宋体"/>
          <w:b/>
          <w:bCs/>
          <w:color w:val="auto"/>
          <w:spacing w:val="4"/>
          <w:sz w:val="30"/>
          <w:szCs w:val="30"/>
          <w:highlight w:val="none"/>
        </w:rPr>
        <w:t>法定地址</w:t>
      </w:r>
      <w:r>
        <w:rPr>
          <w:rFonts w:hint="eastAsia" w:ascii="宋体" w:hAnsi="宋体" w:eastAsia="宋体" w:cs="宋体"/>
          <w:b/>
          <w:bCs/>
          <w:color w:val="auto"/>
          <w:spacing w:val="26"/>
          <w:sz w:val="30"/>
          <w:szCs w:val="30"/>
          <w:highlight w:val="none"/>
          <w:u w:val="single"/>
        </w:rPr>
        <w:t>：</w:t>
      </w:r>
      <w:r>
        <w:rPr>
          <w:rFonts w:hint="eastAsia" w:ascii="宋体" w:hAnsi="宋体" w:eastAsia="宋体" w:cs="宋体"/>
          <w:b/>
          <w:bCs/>
          <w:color w:val="auto"/>
          <w:spacing w:val="26"/>
          <w:sz w:val="30"/>
          <w:szCs w:val="30"/>
          <w:highlight w:val="none"/>
          <w:u w:val="single"/>
          <w:lang w:val="en-US" w:eastAsia="zh-CN"/>
        </w:rPr>
        <w:t xml:space="preserve">                  </w:t>
      </w:r>
    </w:p>
    <w:p>
      <w:pPr>
        <w:jc w:val="center"/>
        <w:rPr>
          <w:rFonts w:hint="eastAsia" w:ascii="宋体" w:hAnsi="宋体" w:eastAsia="宋体" w:cs="宋体"/>
          <w:b/>
          <w:bCs/>
          <w:color w:val="auto"/>
          <w:spacing w:val="26"/>
          <w:sz w:val="30"/>
          <w:szCs w:val="30"/>
          <w:highlight w:val="none"/>
        </w:rPr>
      </w:pPr>
      <w:r>
        <w:rPr>
          <w:rFonts w:hint="eastAsia" w:ascii="宋体" w:hAnsi="宋体" w:eastAsia="宋体" w:cs="宋体"/>
          <w:b/>
          <w:bCs/>
          <w:color w:val="auto"/>
          <w:spacing w:val="26"/>
          <w:sz w:val="30"/>
          <w:szCs w:val="30"/>
          <w:highlight w:val="none"/>
        </w:rPr>
        <w:t>年</w:t>
      </w:r>
      <w:r>
        <w:rPr>
          <w:rFonts w:hint="eastAsia" w:ascii="宋体" w:hAnsi="宋体" w:eastAsia="宋体" w:cs="宋体"/>
          <w:b/>
          <w:bCs/>
          <w:color w:val="auto"/>
          <w:spacing w:val="26"/>
          <w:sz w:val="30"/>
          <w:szCs w:val="30"/>
          <w:highlight w:val="none"/>
          <w:lang w:val="en-US" w:eastAsia="zh-CN"/>
        </w:rPr>
        <w:t xml:space="preserve">  </w:t>
      </w:r>
      <w:r>
        <w:rPr>
          <w:rFonts w:hint="eastAsia" w:ascii="宋体" w:hAnsi="宋体" w:eastAsia="宋体" w:cs="宋体"/>
          <w:b/>
          <w:bCs/>
          <w:color w:val="auto"/>
          <w:spacing w:val="26"/>
          <w:sz w:val="30"/>
          <w:szCs w:val="30"/>
          <w:highlight w:val="none"/>
        </w:rPr>
        <w:t>月</w:t>
      </w:r>
      <w:r>
        <w:rPr>
          <w:rFonts w:hint="eastAsia" w:ascii="宋体" w:hAnsi="宋体" w:eastAsia="宋体" w:cs="宋体"/>
          <w:b/>
          <w:bCs/>
          <w:color w:val="auto"/>
          <w:spacing w:val="26"/>
          <w:sz w:val="30"/>
          <w:szCs w:val="30"/>
          <w:highlight w:val="none"/>
          <w:lang w:val="en-US" w:eastAsia="zh-CN"/>
        </w:rPr>
        <w:t xml:space="preserve">  </w:t>
      </w:r>
      <w:r>
        <w:rPr>
          <w:rFonts w:hint="eastAsia" w:ascii="宋体" w:hAnsi="宋体" w:eastAsia="宋体" w:cs="宋体"/>
          <w:b/>
          <w:bCs/>
          <w:color w:val="auto"/>
          <w:spacing w:val="26"/>
          <w:sz w:val="30"/>
          <w:szCs w:val="30"/>
          <w:highlight w:val="none"/>
        </w:rPr>
        <w:t>日</w:t>
      </w:r>
    </w:p>
    <w:p>
      <w:pPr>
        <w:adjustRightInd w:val="0"/>
        <w:snapToGrid w:val="0"/>
        <w:spacing w:line="360" w:lineRule="auto"/>
        <w:jc w:val="center"/>
        <w:outlineLvl w:val="2"/>
        <w:rPr>
          <w:rFonts w:hint="eastAsia" w:ascii="宋体" w:hAnsi="宋体" w:eastAsia="宋体" w:cs="宋体"/>
          <w:b/>
          <w:color w:val="auto"/>
          <w:sz w:val="32"/>
          <w:szCs w:val="32"/>
          <w:highlight w:val="none"/>
        </w:rPr>
        <w:sectPr>
          <w:headerReference r:id="rId11" w:type="default"/>
          <w:footerReference r:id="rId12" w:type="default"/>
          <w:pgSz w:w="11906" w:h="16838"/>
          <w:pgMar w:top="1440" w:right="1417" w:bottom="1417" w:left="1800" w:header="1185" w:footer="1191"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宋体" w:hAnsi="宋体" w:eastAsia="宋体" w:cs="宋体"/>
          <w:b/>
          <w:bCs/>
          <w:color w:val="auto"/>
          <w:sz w:val="36"/>
          <w:szCs w:val="32"/>
          <w:highlight w:val="none"/>
        </w:rPr>
      </w:pPr>
      <w:r>
        <w:rPr>
          <w:rFonts w:hint="eastAsia" w:ascii="宋体" w:hAnsi="宋体" w:eastAsia="宋体" w:cs="宋体"/>
          <w:b/>
          <w:bCs/>
          <w:color w:val="auto"/>
          <w:sz w:val="36"/>
          <w:szCs w:val="32"/>
          <w:highlight w:val="none"/>
        </w:rPr>
        <w:t>目  录</w:t>
      </w:r>
      <w:bookmarkEnd w:id="1104"/>
      <w:bookmarkEnd w:id="1105"/>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t>【由各供应商根据企业自身磋商响应文件编制情况自行拟定】</w:t>
      </w:r>
    </w:p>
    <w:p>
      <w:pPr>
        <w:spacing w:line="600" w:lineRule="exact"/>
        <w:ind w:firstLine="480" w:firstLineChars="200"/>
        <w:rPr>
          <w:rFonts w:hint="eastAsia" w:ascii="宋体" w:hAnsi="宋体" w:eastAsia="宋体" w:cs="宋体"/>
          <w:color w:val="auto"/>
          <w:sz w:val="24"/>
          <w:highlight w:val="none"/>
        </w:rPr>
      </w:pPr>
    </w:p>
    <w:p>
      <w:pPr>
        <w:ind w:firstLine="211"/>
        <w:jc w:val="center"/>
        <w:rPr>
          <w:rFonts w:hint="eastAsia" w:ascii="宋体" w:hAnsi="宋体" w:eastAsia="宋体" w:cs="宋体"/>
          <w:b/>
          <w:color w:val="auto"/>
          <w:sz w:val="24"/>
          <w:szCs w:val="24"/>
          <w:highlight w:val="none"/>
        </w:rPr>
      </w:pPr>
    </w:p>
    <w:p>
      <w:pPr>
        <w:spacing w:line="480" w:lineRule="exact"/>
        <w:jc w:val="left"/>
        <w:rPr>
          <w:rFonts w:hint="eastAsia" w:ascii="宋体" w:hAnsi="宋体" w:eastAsia="宋体" w:cs="宋体"/>
          <w:b/>
          <w:bCs/>
          <w:color w:val="auto"/>
          <w:sz w:val="28"/>
          <w:szCs w:val="28"/>
          <w:highlight w:val="none"/>
        </w:rPr>
      </w:pPr>
    </w:p>
    <w:p>
      <w:pPr>
        <w:spacing w:line="360" w:lineRule="auto"/>
        <w:rPr>
          <w:rFonts w:hint="eastAsia" w:ascii="宋体" w:hAnsi="宋体" w:eastAsia="宋体" w:cs="宋体"/>
          <w:b/>
          <w:color w:val="auto"/>
          <w:sz w:val="32"/>
          <w:szCs w:val="32"/>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jc w:val="center"/>
        <w:rPr>
          <w:rFonts w:hint="eastAsia" w:ascii="宋体" w:hAnsi="宋体" w:cs="宋体"/>
          <w:color w:val="auto"/>
          <w:sz w:val="28"/>
          <w:szCs w:val="28"/>
          <w:highlight w:val="none"/>
          <w:lang w:val="en-US" w:eastAsia="zh-CN"/>
        </w:rPr>
      </w:pPr>
      <w:bookmarkStart w:id="1107" w:name="_Toc324947078"/>
      <w:bookmarkStart w:id="1108" w:name="_Toc16777"/>
      <w:bookmarkStart w:id="1109" w:name="_Toc16878"/>
      <w:bookmarkStart w:id="1110" w:name="_Toc27937"/>
      <w:bookmarkStart w:id="1111" w:name="_Toc321812078"/>
      <w:bookmarkStart w:id="1112" w:name="_Toc14305"/>
    </w:p>
    <w:p>
      <w:pPr>
        <w:jc w:val="center"/>
        <w:rPr>
          <w:rFonts w:hint="eastAsia" w:ascii="宋体" w:hAnsi="宋体" w:cs="宋体"/>
          <w:color w:val="auto"/>
          <w:sz w:val="28"/>
          <w:szCs w:val="28"/>
          <w:highlight w:val="none"/>
          <w:lang w:val="en-US" w:eastAsia="zh-CN"/>
        </w:rPr>
      </w:pPr>
    </w:p>
    <w:p>
      <w:pPr>
        <w:jc w:val="center"/>
        <w:rPr>
          <w:rFonts w:hint="eastAsia" w:ascii="宋体" w:hAnsi="宋体" w:cs="宋体"/>
          <w:color w:val="auto"/>
          <w:sz w:val="28"/>
          <w:szCs w:val="28"/>
          <w:highlight w:val="none"/>
          <w:lang w:val="en-US" w:eastAsia="zh-CN"/>
        </w:rPr>
      </w:pPr>
    </w:p>
    <w:p>
      <w:pPr>
        <w:pStyle w:val="18"/>
        <w:rPr>
          <w:rFonts w:hint="eastAsia" w:ascii="宋体" w:hAnsi="宋体" w:cs="宋体"/>
          <w:color w:val="auto"/>
          <w:sz w:val="28"/>
          <w:szCs w:val="28"/>
          <w:highlight w:val="none"/>
          <w:lang w:val="en-US" w:eastAsia="zh-CN"/>
        </w:rPr>
      </w:pPr>
    </w:p>
    <w:p>
      <w:pPr>
        <w:pStyle w:val="18"/>
        <w:rPr>
          <w:rFonts w:hint="eastAsia" w:ascii="宋体" w:hAnsi="宋体" w:cs="宋体"/>
          <w:color w:val="auto"/>
          <w:sz w:val="28"/>
          <w:szCs w:val="28"/>
          <w:highlight w:val="none"/>
          <w:lang w:val="en-US" w:eastAsia="zh-CN"/>
        </w:rPr>
      </w:pPr>
    </w:p>
    <w:p>
      <w:pPr>
        <w:pStyle w:val="18"/>
        <w:rPr>
          <w:rFonts w:hint="eastAsia" w:ascii="宋体" w:hAnsi="宋体" w:cs="宋体"/>
          <w:color w:val="auto"/>
          <w:sz w:val="28"/>
          <w:szCs w:val="28"/>
          <w:highlight w:val="none"/>
          <w:lang w:val="en-US" w:eastAsia="zh-CN"/>
        </w:rPr>
      </w:pPr>
    </w:p>
    <w:p>
      <w:pPr>
        <w:pStyle w:val="18"/>
        <w:rPr>
          <w:rFonts w:hint="eastAsia" w:ascii="宋体" w:hAnsi="宋体" w:cs="宋体"/>
          <w:color w:val="auto"/>
          <w:sz w:val="28"/>
          <w:szCs w:val="28"/>
          <w:highlight w:val="none"/>
          <w:lang w:val="en-US" w:eastAsia="zh-CN"/>
        </w:rPr>
      </w:pPr>
    </w:p>
    <w:p>
      <w:pPr>
        <w:jc w:val="center"/>
        <w:rPr>
          <w:rFonts w:hint="eastAsia" w:ascii="宋体" w:hAnsi="宋体" w:cs="宋体"/>
          <w:color w:val="auto"/>
          <w:sz w:val="28"/>
          <w:szCs w:val="28"/>
          <w:highlight w:val="none"/>
          <w:lang w:val="en-US" w:eastAsia="zh-CN"/>
        </w:rPr>
      </w:pPr>
    </w:p>
    <w:p>
      <w:pPr>
        <w:jc w:val="center"/>
        <w:rPr>
          <w:rFonts w:hint="default" w:ascii="宋体" w:hAnsi="宋体" w:eastAsia="宋体" w:cs="宋体"/>
          <w:color w:val="auto"/>
          <w:sz w:val="28"/>
          <w:szCs w:val="28"/>
          <w:highlight w:val="none"/>
          <w:lang w:val="en-US" w:eastAsia="zh-CN"/>
        </w:rPr>
      </w:pPr>
      <w:r>
        <w:rPr>
          <w:rFonts w:hint="eastAsia" w:ascii="宋体" w:hAnsi="宋体" w:cs="宋体"/>
          <w:b/>
          <w:bCs/>
          <w:color w:val="auto"/>
          <w:sz w:val="44"/>
          <w:szCs w:val="44"/>
          <w:highlight w:val="none"/>
          <w:lang w:val="en-US" w:eastAsia="zh-CN"/>
        </w:rPr>
        <w:t>第一部分 资格审查部分</w:t>
      </w:r>
      <w:r>
        <w:rPr>
          <w:rFonts w:hint="eastAsia" w:ascii="宋体" w:hAnsi="宋体" w:eastAsia="宋体" w:cs="宋体"/>
          <w:color w:val="auto"/>
          <w:sz w:val="28"/>
          <w:szCs w:val="28"/>
          <w:highlight w:val="none"/>
        </w:rPr>
        <w:br w:type="page"/>
      </w:r>
    </w:p>
    <w:p>
      <w:pPr>
        <w:pStyle w:val="3"/>
        <w:bidi w:val="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一、法定代表人身份证明</w:t>
      </w:r>
      <w:bookmarkEnd w:id="1107"/>
      <w:bookmarkEnd w:id="1108"/>
      <w:bookmarkEnd w:id="1109"/>
      <w:bookmarkEnd w:id="1110"/>
      <w:bookmarkEnd w:id="1111"/>
      <w:bookmarkEnd w:id="1112"/>
    </w:p>
    <w:p>
      <w:pPr>
        <w:spacing w:line="500" w:lineRule="exact"/>
        <w:ind w:firstLine="420" w:firstLineChars="200"/>
        <w:rPr>
          <w:rFonts w:hint="eastAsia" w:ascii="宋体" w:hAnsi="宋体" w:eastAsia="宋体" w:cs="宋体"/>
          <w:color w:val="auto"/>
          <w:szCs w:val="21"/>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性 </w:t>
      </w:r>
      <w:r>
        <w:rPr>
          <w:rFonts w:hint="eastAsia" w:ascii="宋体" w:hAnsi="宋体" w:eastAsia="宋体" w:cs="宋体"/>
          <w:color w:val="auto"/>
          <w:sz w:val="24"/>
          <w:szCs w:val="24"/>
          <w:highlight w:val="none"/>
        </w:rPr>
        <w:t xml:space="preserve">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adjustRightInd w:val="0"/>
        <w:snapToGrid w:val="0"/>
        <w:spacing w:line="480" w:lineRule="auto"/>
        <w:ind w:firstLine="480" w:firstLineChars="200"/>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附：法定代表人</w:t>
      </w:r>
      <w:r>
        <w:rPr>
          <w:rFonts w:hint="eastAsia" w:ascii="宋体" w:hAnsi="宋体" w:eastAsia="宋体" w:cs="宋体"/>
          <w:color w:val="auto"/>
          <w:sz w:val="24"/>
          <w:szCs w:val="24"/>
          <w:highlight w:val="none"/>
          <w:lang w:val="en-US" w:eastAsia="zh-CN"/>
        </w:rPr>
        <w:t>身份证复印件或扫描件。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7260" w:type="dxa"/>
            <w:vAlign w:val="center"/>
          </w:tcPr>
          <w:p>
            <w:pPr>
              <w:adjustRightInd w:val="0"/>
              <w:snapToGrid w:val="0"/>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身份证正反面</w:t>
            </w:r>
          </w:p>
        </w:tc>
      </w:tr>
    </w:tbl>
    <w:p>
      <w:pPr>
        <w:adjustRightInd w:val="0"/>
        <w:snapToGrid w:val="0"/>
        <w:spacing w:line="360" w:lineRule="auto"/>
        <w:rPr>
          <w:rFonts w:hint="eastAsia" w:ascii="宋体" w:hAnsi="宋体" w:eastAsia="宋体" w:cs="宋体"/>
          <w:color w:val="auto"/>
          <w:sz w:val="24"/>
          <w:szCs w:val="24"/>
          <w:highlight w:val="none"/>
          <w:lang w:eastAsia="zh-CN"/>
        </w:rPr>
      </w:pPr>
    </w:p>
    <w:p>
      <w:pPr>
        <w:pStyle w:val="11"/>
        <w:rPr>
          <w:rFonts w:hint="eastAsia" w:ascii="宋体" w:hAnsi="宋体" w:eastAsia="宋体" w:cs="宋体"/>
          <w:color w:val="auto"/>
          <w:highlight w:val="none"/>
        </w:rPr>
      </w:pPr>
    </w:p>
    <w:p>
      <w:pPr>
        <w:adjustRightInd w:val="0"/>
        <w:snapToGrid w:val="0"/>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wordWrap w:val="0"/>
        <w:adjustRightInd w:val="0"/>
        <w:snapToGrid w:val="0"/>
        <w:spacing w:line="480" w:lineRule="auto"/>
        <w:jc w:val="right"/>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480" w:lineRule="auto"/>
        <w:ind w:firstLine="4680" w:firstLineChars="1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spacing w:before="312" w:beforeLines="100" w:after="312" w:afterLines="100"/>
        <w:jc w:val="center"/>
        <w:outlineLvl w:val="9"/>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sz w:val="24"/>
          <w:szCs w:val="24"/>
          <w:highlight w:val="none"/>
        </w:rPr>
        <w:br w:type="page"/>
      </w:r>
      <w:bookmarkStart w:id="1113" w:name="_Toc324947079"/>
      <w:bookmarkStart w:id="1114" w:name="_Toc321812079"/>
      <w:r>
        <w:rPr>
          <w:rFonts w:hint="eastAsia" w:ascii="宋体" w:hAnsi="宋体" w:eastAsia="宋体" w:cs="宋体"/>
          <w:b/>
          <w:bCs/>
          <w:color w:val="auto"/>
          <w:kern w:val="2"/>
          <w:sz w:val="28"/>
          <w:szCs w:val="28"/>
          <w:highlight w:val="none"/>
          <w:lang w:val="en-US" w:eastAsia="zh-CN" w:bidi="ar-SA"/>
        </w:rPr>
        <w:t>授权委托书</w:t>
      </w:r>
      <w:bookmarkEnd w:id="1113"/>
      <w:bookmarkEnd w:id="1114"/>
    </w:p>
    <w:p>
      <w:pPr>
        <w:spacing w:line="6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采购人名称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为</w:t>
      </w:r>
      <w:r>
        <w:rPr>
          <w:rFonts w:hint="eastAsia" w:ascii="宋体" w:hAnsi="宋体" w:eastAsia="宋体" w:cs="宋体"/>
          <w:color w:val="auto"/>
          <w:sz w:val="24"/>
          <w:szCs w:val="24"/>
          <w:highlight w:val="none"/>
        </w:rPr>
        <w:t>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（采购项目名称）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响应文件、签订合同和处理有关事宜，其法律后果由我方承担。</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委托期限：自磋商响应文件递交截止之日起90日历天。</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adjustRightInd w:val="0"/>
        <w:snapToGrid w:val="0"/>
        <w:spacing w:after="312" w:afterLines="100" w:line="24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附：法定代表人和委托代理人身份证复印件</w:t>
      </w:r>
      <w:r>
        <w:rPr>
          <w:rFonts w:hint="eastAsia" w:ascii="宋体" w:hAnsi="宋体" w:eastAsia="宋体" w:cs="宋体"/>
          <w:b/>
          <w:bCs/>
          <w:color w:val="auto"/>
          <w:sz w:val="24"/>
          <w:szCs w:val="24"/>
          <w:highlight w:val="none"/>
          <w:lang w:eastAsia="zh-CN"/>
        </w:rPr>
        <w:t>或扫描件</w:t>
      </w:r>
    </w:p>
    <w:tbl>
      <w:tblPr>
        <w:tblStyle w:val="25"/>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0"/>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4090" w:type="dxa"/>
            <w:vAlign w:val="center"/>
          </w:tcPr>
          <w:p>
            <w:pPr>
              <w:adjustRightInd w:val="0"/>
              <w:snapToGrid w:val="0"/>
              <w:spacing w:line="480" w:lineRule="auto"/>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身份证正反面</w:t>
            </w:r>
          </w:p>
        </w:tc>
        <w:tc>
          <w:tcPr>
            <w:tcW w:w="4090" w:type="dxa"/>
            <w:vAlign w:val="center"/>
          </w:tcPr>
          <w:p>
            <w:pPr>
              <w:adjustRightInd w:val="0"/>
              <w:snapToGrid w:val="0"/>
              <w:spacing w:line="48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身份证正反面</w:t>
            </w:r>
          </w:p>
        </w:tc>
      </w:tr>
    </w:tbl>
    <w:p>
      <w:pPr>
        <w:adjustRightInd w:val="0"/>
        <w:snapToGrid w:val="0"/>
        <w:spacing w:line="480" w:lineRule="auto"/>
        <w:rPr>
          <w:rFonts w:hint="eastAsia" w:ascii="宋体" w:hAnsi="宋体" w:eastAsia="宋体" w:cs="宋体"/>
          <w:color w:val="auto"/>
          <w:sz w:val="24"/>
          <w:szCs w:val="24"/>
          <w:highlight w:val="none"/>
        </w:rPr>
      </w:pPr>
    </w:p>
    <w:p>
      <w:pPr>
        <w:adjustRightInd w:val="0"/>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adjustRightInd w:val="0"/>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adjustRightInd w:val="0"/>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u w:val="single"/>
        </w:rPr>
      </w:pPr>
    </w:p>
    <w:p>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1"/>
        <w:rPr>
          <w:rFonts w:hint="eastAsia" w:ascii="宋体" w:hAnsi="宋体" w:eastAsia="宋体" w:cs="宋体"/>
          <w:color w:val="auto"/>
          <w:sz w:val="24"/>
          <w:highlight w:val="none"/>
        </w:rPr>
      </w:pPr>
    </w:p>
    <w:p>
      <w:pPr>
        <w:rPr>
          <w:rFonts w:hint="eastAsia" w:ascii="宋体" w:hAnsi="宋体" w:eastAsia="宋体" w:cs="宋体"/>
          <w:color w:val="auto"/>
          <w:highlight w:val="none"/>
        </w:rPr>
      </w:pPr>
      <w:bookmarkStart w:id="1115" w:name="_Toc324947080"/>
      <w:bookmarkStart w:id="1116" w:name="_Toc321812080"/>
      <w:bookmarkStart w:id="1117" w:name="_Toc290389794"/>
      <w:bookmarkStart w:id="1118" w:name="_Toc19646"/>
      <w:r>
        <w:rPr>
          <w:rFonts w:hint="eastAsia" w:ascii="宋体" w:hAnsi="宋体" w:eastAsia="宋体" w:cs="宋体"/>
          <w:color w:val="auto"/>
          <w:highlight w:val="none"/>
        </w:rPr>
        <w:br w:type="page"/>
      </w:r>
    </w:p>
    <w:p>
      <w:pPr>
        <w:pStyle w:val="3"/>
        <w:bidi w:val="0"/>
        <w:jc w:val="center"/>
        <w:outlineLvl w:val="1"/>
        <w:rPr>
          <w:rFonts w:hint="eastAsia" w:ascii="宋体" w:hAnsi="宋体" w:eastAsia="宋体" w:cs="宋体"/>
          <w:b/>
          <w:bCs/>
          <w:color w:val="auto"/>
          <w:kern w:val="2"/>
          <w:sz w:val="28"/>
          <w:szCs w:val="28"/>
          <w:highlight w:val="none"/>
          <w:lang w:val="en-US" w:eastAsia="zh-CN" w:bidi="ar-SA"/>
        </w:rPr>
      </w:pPr>
      <w:bookmarkStart w:id="1119" w:name="_Toc7516"/>
      <w:bookmarkStart w:id="1120" w:name="_Toc22157"/>
      <w:bookmarkStart w:id="1121" w:name="_Toc29639"/>
      <w:r>
        <w:rPr>
          <w:rFonts w:hint="eastAsia" w:ascii="宋体" w:hAnsi="宋体" w:eastAsia="宋体" w:cs="宋体"/>
          <w:b/>
          <w:bCs/>
          <w:color w:val="auto"/>
          <w:kern w:val="2"/>
          <w:sz w:val="28"/>
          <w:szCs w:val="28"/>
          <w:highlight w:val="none"/>
          <w:lang w:val="en-US" w:eastAsia="zh-CN" w:bidi="ar-SA"/>
        </w:rPr>
        <w:t>二、</w:t>
      </w:r>
      <w:bookmarkEnd w:id="1115"/>
      <w:bookmarkEnd w:id="1116"/>
      <w:bookmarkEnd w:id="1117"/>
      <w:bookmarkStart w:id="1122" w:name="_Toc321812081"/>
      <w:bookmarkStart w:id="1123" w:name="_Toc324947081"/>
      <w:r>
        <w:rPr>
          <w:rFonts w:hint="eastAsia" w:ascii="宋体" w:hAnsi="宋体" w:eastAsia="宋体" w:cs="宋体"/>
          <w:b/>
          <w:bCs/>
          <w:color w:val="auto"/>
          <w:kern w:val="2"/>
          <w:sz w:val="28"/>
          <w:szCs w:val="28"/>
          <w:highlight w:val="none"/>
          <w:lang w:val="en-US" w:eastAsia="zh-CN" w:bidi="ar-SA"/>
        </w:rPr>
        <w:t>资格审查资料</w:t>
      </w:r>
      <w:bookmarkEnd w:id="1118"/>
      <w:bookmarkEnd w:id="1119"/>
      <w:bookmarkEnd w:id="1120"/>
      <w:bookmarkEnd w:id="1121"/>
      <w:bookmarkEnd w:id="1122"/>
      <w:bookmarkEnd w:id="1123"/>
    </w:p>
    <w:p>
      <w:pPr>
        <w:spacing w:before="156" w:beforeLines="50" w:after="312" w:afterLines="100" w:line="440" w:lineRule="exact"/>
        <w:jc w:val="center"/>
        <w:rPr>
          <w:rFonts w:hint="eastAsia" w:ascii="宋体" w:hAnsi="宋体" w:eastAsia="宋体" w:cs="宋体"/>
          <w:b/>
          <w:bCs/>
          <w:color w:val="auto"/>
          <w:kern w:val="2"/>
          <w:sz w:val="28"/>
          <w:szCs w:val="28"/>
          <w:highlight w:val="none"/>
          <w:lang w:val="en-US" w:eastAsia="zh-CN" w:bidi="ar-SA"/>
        </w:rPr>
      </w:pPr>
      <w:bookmarkStart w:id="1124" w:name="_Toc5720"/>
      <w:r>
        <w:rPr>
          <w:rFonts w:hint="eastAsia" w:ascii="宋体" w:hAnsi="宋体" w:eastAsia="宋体" w:cs="宋体"/>
          <w:b/>
          <w:bCs/>
          <w:color w:val="auto"/>
          <w:kern w:val="2"/>
          <w:sz w:val="28"/>
          <w:szCs w:val="28"/>
          <w:highlight w:val="none"/>
          <w:lang w:val="en-US" w:eastAsia="zh-CN" w:bidi="ar-SA"/>
        </w:rPr>
        <w:t>（一）供应商基本情况表</w:t>
      </w:r>
      <w:bookmarkEnd w:id="1124"/>
    </w:p>
    <w:tbl>
      <w:tblPr>
        <w:tblStyle w:val="24"/>
        <w:tblW w:w="89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267"/>
        <w:gridCol w:w="1160"/>
        <w:gridCol w:w="1149"/>
        <w:gridCol w:w="51"/>
        <w:gridCol w:w="1380"/>
        <w:gridCol w:w="273"/>
        <w:gridCol w:w="621"/>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供应商名称</w:t>
            </w:r>
          </w:p>
        </w:tc>
        <w:tc>
          <w:tcPr>
            <w:tcW w:w="7084" w:type="dxa"/>
            <w:gridSpan w:val="8"/>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注册地址</w:t>
            </w:r>
          </w:p>
        </w:tc>
        <w:tc>
          <w:tcPr>
            <w:tcW w:w="3627" w:type="dxa"/>
            <w:gridSpan w:val="4"/>
            <w:vAlign w:val="center"/>
          </w:tcPr>
          <w:p>
            <w:pPr>
              <w:jc w:val="center"/>
              <w:rPr>
                <w:rFonts w:hint="eastAsia" w:ascii="宋体" w:hAnsi="宋体" w:eastAsia="宋体" w:cs="宋体"/>
                <w:color w:val="auto"/>
                <w:sz w:val="24"/>
                <w:szCs w:val="22"/>
                <w:highlight w:val="none"/>
              </w:rPr>
            </w:pPr>
          </w:p>
        </w:tc>
        <w:tc>
          <w:tcPr>
            <w:tcW w:w="1653" w:type="dxa"/>
            <w:gridSpan w:val="2"/>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邮政编码</w:t>
            </w:r>
          </w:p>
        </w:tc>
        <w:tc>
          <w:tcPr>
            <w:tcW w:w="1804" w:type="dxa"/>
            <w:gridSpan w:val="2"/>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Merge w:val="restart"/>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联系方式</w:t>
            </w:r>
          </w:p>
        </w:tc>
        <w:tc>
          <w:tcPr>
            <w:tcW w:w="1267"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联系人</w:t>
            </w:r>
          </w:p>
        </w:tc>
        <w:tc>
          <w:tcPr>
            <w:tcW w:w="2360" w:type="dxa"/>
            <w:gridSpan w:val="3"/>
            <w:vAlign w:val="center"/>
          </w:tcPr>
          <w:p>
            <w:pPr>
              <w:jc w:val="center"/>
              <w:rPr>
                <w:rFonts w:hint="eastAsia" w:ascii="宋体" w:hAnsi="宋体" w:eastAsia="宋体" w:cs="宋体"/>
                <w:color w:val="auto"/>
                <w:sz w:val="24"/>
                <w:szCs w:val="22"/>
                <w:highlight w:val="none"/>
              </w:rPr>
            </w:pPr>
          </w:p>
        </w:tc>
        <w:tc>
          <w:tcPr>
            <w:tcW w:w="1653" w:type="dxa"/>
            <w:gridSpan w:val="2"/>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电  话</w:t>
            </w:r>
          </w:p>
        </w:tc>
        <w:tc>
          <w:tcPr>
            <w:tcW w:w="1804" w:type="dxa"/>
            <w:gridSpan w:val="2"/>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Merge w:val="continue"/>
            <w:vAlign w:val="center"/>
          </w:tcPr>
          <w:p>
            <w:pPr>
              <w:jc w:val="center"/>
              <w:rPr>
                <w:rFonts w:hint="eastAsia" w:ascii="宋体" w:hAnsi="宋体" w:eastAsia="宋体" w:cs="宋体"/>
                <w:color w:val="auto"/>
                <w:sz w:val="24"/>
                <w:szCs w:val="22"/>
                <w:highlight w:val="none"/>
              </w:rPr>
            </w:pPr>
          </w:p>
        </w:tc>
        <w:tc>
          <w:tcPr>
            <w:tcW w:w="1267"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传  真</w:t>
            </w:r>
          </w:p>
        </w:tc>
        <w:tc>
          <w:tcPr>
            <w:tcW w:w="2360" w:type="dxa"/>
            <w:gridSpan w:val="3"/>
            <w:vAlign w:val="center"/>
          </w:tcPr>
          <w:p>
            <w:pPr>
              <w:jc w:val="center"/>
              <w:rPr>
                <w:rFonts w:hint="eastAsia" w:ascii="宋体" w:hAnsi="宋体" w:eastAsia="宋体" w:cs="宋体"/>
                <w:color w:val="auto"/>
                <w:sz w:val="24"/>
                <w:szCs w:val="22"/>
                <w:highlight w:val="none"/>
              </w:rPr>
            </w:pPr>
          </w:p>
        </w:tc>
        <w:tc>
          <w:tcPr>
            <w:tcW w:w="1653" w:type="dxa"/>
            <w:gridSpan w:val="2"/>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网  址</w:t>
            </w:r>
          </w:p>
        </w:tc>
        <w:tc>
          <w:tcPr>
            <w:tcW w:w="1804" w:type="dxa"/>
            <w:gridSpan w:val="2"/>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企业规模</w:t>
            </w:r>
          </w:p>
        </w:tc>
        <w:tc>
          <w:tcPr>
            <w:tcW w:w="7084" w:type="dxa"/>
            <w:gridSpan w:val="8"/>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w:t>
            </w:r>
          </w:p>
        </w:tc>
        <w:tc>
          <w:tcPr>
            <w:tcW w:w="2427" w:type="dxa"/>
            <w:gridSpan w:val="2"/>
            <w:vAlign w:val="center"/>
          </w:tcPr>
          <w:p>
            <w:pPr>
              <w:jc w:val="center"/>
              <w:rPr>
                <w:rFonts w:hint="eastAsia" w:ascii="宋体" w:hAnsi="宋体" w:eastAsia="宋体" w:cs="宋体"/>
                <w:color w:val="auto"/>
                <w:sz w:val="24"/>
                <w:szCs w:val="22"/>
                <w:highlight w:val="none"/>
              </w:rPr>
            </w:pPr>
          </w:p>
        </w:tc>
        <w:tc>
          <w:tcPr>
            <w:tcW w:w="1200" w:type="dxa"/>
            <w:gridSpan w:val="2"/>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技术职称</w:t>
            </w:r>
          </w:p>
        </w:tc>
        <w:tc>
          <w:tcPr>
            <w:tcW w:w="1380" w:type="dxa"/>
            <w:vAlign w:val="center"/>
          </w:tcPr>
          <w:p>
            <w:pPr>
              <w:jc w:val="center"/>
              <w:rPr>
                <w:rFonts w:hint="eastAsia" w:ascii="宋体" w:hAnsi="宋体" w:eastAsia="宋体" w:cs="宋体"/>
                <w:color w:val="auto"/>
                <w:sz w:val="24"/>
                <w:szCs w:val="22"/>
                <w:highlight w:val="none"/>
              </w:rPr>
            </w:pPr>
          </w:p>
        </w:tc>
        <w:tc>
          <w:tcPr>
            <w:tcW w:w="894" w:type="dxa"/>
            <w:gridSpan w:val="2"/>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电话</w:t>
            </w:r>
          </w:p>
        </w:tc>
        <w:tc>
          <w:tcPr>
            <w:tcW w:w="1183" w:type="dxa"/>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技术负责人</w:t>
            </w:r>
          </w:p>
        </w:tc>
        <w:tc>
          <w:tcPr>
            <w:tcW w:w="2427" w:type="dxa"/>
            <w:gridSpan w:val="2"/>
            <w:vAlign w:val="center"/>
          </w:tcPr>
          <w:p>
            <w:pPr>
              <w:jc w:val="center"/>
              <w:rPr>
                <w:rFonts w:hint="eastAsia" w:ascii="宋体" w:hAnsi="宋体" w:eastAsia="宋体" w:cs="宋体"/>
                <w:color w:val="auto"/>
                <w:sz w:val="24"/>
                <w:szCs w:val="22"/>
                <w:highlight w:val="none"/>
              </w:rPr>
            </w:pPr>
          </w:p>
        </w:tc>
        <w:tc>
          <w:tcPr>
            <w:tcW w:w="1200" w:type="dxa"/>
            <w:gridSpan w:val="2"/>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技术职称</w:t>
            </w:r>
          </w:p>
        </w:tc>
        <w:tc>
          <w:tcPr>
            <w:tcW w:w="1380" w:type="dxa"/>
            <w:vAlign w:val="center"/>
          </w:tcPr>
          <w:p>
            <w:pPr>
              <w:jc w:val="center"/>
              <w:rPr>
                <w:rFonts w:hint="eastAsia" w:ascii="宋体" w:hAnsi="宋体" w:eastAsia="宋体" w:cs="宋体"/>
                <w:color w:val="auto"/>
                <w:sz w:val="24"/>
                <w:szCs w:val="22"/>
                <w:highlight w:val="none"/>
              </w:rPr>
            </w:pPr>
          </w:p>
        </w:tc>
        <w:tc>
          <w:tcPr>
            <w:tcW w:w="894" w:type="dxa"/>
            <w:gridSpan w:val="2"/>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电话</w:t>
            </w:r>
          </w:p>
        </w:tc>
        <w:tc>
          <w:tcPr>
            <w:tcW w:w="1183" w:type="dxa"/>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成立时间</w:t>
            </w:r>
          </w:p>
        </w:tc>
        <w:tc>
          <w:tcPr>
            <w:tcW w:w="2427" w:type="dxa"/>
            <w:gridSpan w:val="2"/>
            <w:vAlign w:val="center"/>
          </w:tcPr>
          <w:p>
            <w:pPr>
              <w:jc w:val="center"/>
              <w:rPr>
                <w:rFonts w:hint="eastAsia" w:ascii="宋体" w:hAnsi="宋体" w:eastAsia="宋体" w:cs="宋体"/>
                <w:color w:val="auto"/>
                <w:sz w:val="24"/>
                <w:szCs w:val="22"/>
                <w:highlight w:val="none"/>
              </w:rPr>
            </w:pPr>
          </w:p>
        </w:tc>
        <w:tc>
          <w:tcPr>
            <w:tcW w:w="4657" w:type="dxa"/>
            <w:gridSpan w:val="6"/>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企业资质等级</w:t>
            </w:r>
          </w:p>
        </w:tc>
        <w:tc>
          <w:tcPr>
            <w:tcW w:w="2427" w:type="dxa"/>
            <w:gridSpan w:val="2"/>
            <w:vAlign w:val="center"/>
          </w:tcPr>
          <w:p>
            <w:pPr>
              <w:jc w:val="center"/>
              <w:rPr>
                <w:rFonts w:hint="eastAsia" w:ascii="宋体" w:hAnsi="宋体" w:eastAsia="宋体" w:cs="宋体"/>
                <w:color w:val="auto"/>
                <w:sz w:val="24"/>
                <w:szCs w:val="22"/>
                <w:highlight w:val="none"/>
              </w:rPr>
            </w:pPr>
          </w:p>
        </w:tc>
        <w:tc>
          <w:tcPr>
            <w:tcW w:w="1149" w:type="dxa"/>
            <w:vMerge w:val="restart"/>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其中</w:t>
            </w:r>
          </w:p>
        </w:tc>
        <w:tc>
          <w:tcPr>
            <w:tcW w:w="1704" w:type="dxa"/>
            <w:gridSpan w:val="3"/>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项目经理</w:t>
            </w:r>
          </w:p>
        </w:tc>
        <w:tc>
          <w:tcPr>
            <w:tcW w:w="1804" w:type="dxa"/>
            <w:gridSpan w:val="2"/>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营业执照号</w:t>
            </w:r>
          </w:p>
        </w:tc>
        <w:tc>
          <w:tcPr>
            <w:tcW w:w="2427" w:type="dxa"/>
            <w:gridSpan w:val="2"/>
            <w:vAlign w:val="center"/>
          </w:tcPr>
          <w:p>
            <w:pPr>
              <w:jc w:val="center"/>
              <w:rPr>
                <w:rFonts w:hint="eastAsia" w:ascii="宋体" w:hAnsi="宋体" w:eastAsia="宋体" w:cs="宋体"/>
                <w:color w:val="auto"/>
                <w:sz w:val="24"/>
                <w:szCs w:val="22"/>
                <w:highlight w:val="none"/>
              </w:rPr>
            </w:pPr>
          </w:p>
        </w:tc>
        <w:tc>
          <w:tcPr>
            <w:tcW w:w="1149" w:type="dxa"/>
            <w:vMerge w:val="continue"/>
            <w:vAlign w:val="center"/>
          </w:tcPr>
          <w:p>
            <w:pPr>
              <w:jc w:val="center"/>
              <w:rPr>
                <w:rFonts w:hint="eastAsia" w:ascii="宋体" w:hAnsi="宋体" w:eastAsia="宋体" w:cs="宋体"/>
                <w:color w:val="auto"/>
                <w:sz w:val="24"/>
                <w:szCs w:val="22"/>
                <w:highlight w:val="none"/>
              </w:rPr>
            </w:pPr>
          </w:p>
        </w:tc>
        <w:tc>
          <w:tcPr>
            <w:tcW w:w="1704" w:type="dxa"/>
            <w:gridSpan w:val="3"/>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高级职称人员</w:t>
            </w:r>
          </w:p>
        </w:tc>
        <w:tc>
          <w:tcPr>
            <w:tcW w:w="1804" w:type="dxa"/>
            <w:gridSpan w:val="2"/>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注册资金</w:t>
            </w:r>
          </w:p>
        </w:tc>
        <w:tc>
          <w:tcPr>
            <w:tcW w:w="2427" w:type="dxa"/>
            <w:gridSpan w:val="2"/>
            <w:vAlign w:val="center"/>
          </w:tcPr>
          <w:p>
            <w:pPr>
              <w:jc w:val="center"/>
              <w:rPr>
                <w:rFonts w:hint="eastAsia" w:ascii="宋体" w:hAnsi="宋体" w:eastAsia="宋体" w:cs="宋体"/>
                <w:color w:val="auto"/>
                <w:sz w:val="24"/>
                <w:szCs w:val="22"/>
                <w:highlight w:val="none"/>
              </w:rPr>
            </w:pPr>
          </w:p>
        </w:tc>
        <w:tc>
          <w:tcPr>
            <w:tcW w:w="1149" w:type="dxa"/>
            <w:vMerge w:val="continue"/>
            <w:vAlign w:val="center"/>
          </w:tcPr>
          <w:p>
            <w:pPr>
              <w:jc w:val="center"/>
              <w:rPr>
                <w:rFonts w:hint="eastAsia" w:ascii="宋体" w:hAnsi="宋体" w:eastAsia="宋体" w:cs="宋体"/>
                <w:color w:val="auto"/>
                <w:sz w:val="24"/>
                <w:szCs w:val="22"/>
                <w:highlight w:val="none"/>
              </w:rPr>
            </w:pPr>
          </w:p>
        </w:tc>
        <w:tc>
          <w:tcPr>
            <w:tcW w:w="1704" w:type="dxa"/>
            <w:gridSpan w:val="3"/>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中级职称人员</w:t>
            </w:r>
          </w:p>
        </w:tc>
        <w:tc>
          <w:tcPr>
            <w:tcW w:w="1804" w:type="dxa"/>
            <w:gridSpan w:val="2"/>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开户银行</w:t>
            </w:r>
          </w:p>
        </w:tc>
        <w:tc>
          <w:tcPr>
            <w:tcW w:w="2427" w:type="dxa"/>
            <w:gridSpan w:val="2"/>
            <w:vAlign w:val="center"/>
          </w:tcPr>
          <w:p>
            <w:pPr>
              <w:jc w:val="center"/>
              <w:rPr>
                <w:rFonts w:hint="eastAsia" w:ascii="宋体" w:hAnsi="宋体" w:eastAsia="宋体" w:cs="宋体"/>
                <w:color w:val="auto"/>
                <w:sz w:val="24"/>
                <w:szCs w:val="22"/>
                <w:highlight w:val="none"/>
              </w:rPr>
            </w:pPr>
          </w:p>
        </w:tc>
        <w:tc>
          <w:tcPr>
            <w:tcW w:w="1149" w:type="dxa"/>
            <w:vMerge w:val="continue"/>
            <w:vAlign w:val="center"/>
          </w:tcPr>
          <w:p>
            <w:pPr>
              <w:jc w:val="center"/>
              <w:rPr>
                <w:rFonts w:hint="eastAsia" w:ascii="宋体" w:hAnsi="宋体" w:eastAsia="宋体" w:cs="宋体"/>
                <w:color w:val="auto"/>
                <w:sz w:val="24"/>
                <w:szCs w:val="22"/>
                <w:highlight w:val="none"/>
              </w:rPr>
            </w:pPr>
          </w:p>
        </w:tc>
        <w:tc>
          <w:tcPr>
            <w:tcW w:w="1704" w:type="dxa"/>
            <w:gridSpan w:val="3"/>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初级职称人员</w:t>
            </w:r>
          </w:p>
        </w:tc>
        <w:tc>
          <w:tcPr>
            <w:tcW w:w="1804" w:type="dxa"/>
            <w:gridSpan w:val="2"/>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账号</w:t>
            </w:r>
          </w:p>
        </w:tc>
        <w:tc>
          <w:tcPr>
            <w:tcW w:w="2427" w:type="dxa"/>
            <w:gridSpan w:val="2"/>
            <w:vAlign w:val="center"/>
          </w:tcPr>
          <w:p>
            <w:pPr>
              <w:jc w:val="center"/>
              <w:rPr>
                <w:rFonts w:hint="eastAsia" w:ascii="宋体" w:hAnsi="宋体" w:eastAsia="宋体" w:cs="宋体"/>
                <w:color w:val="auto"/>
                <w:sz w:val="24"/>
                <w:szCs w:val="22"/>
                <w:highlight w:val="none"/>
              </w:rPr>
            </w:pPr>
          </w:p>
        </w:tc>
        <w:tc>
          <w:tcPr>
            <w:tcW w:w="1149" w:type="dxa"/>
            <w:vMerge w:val="continue"/>
            <w:vAlign w:val="center"/>
          </w:tcPr>
          <w:p>
            <w:pPr>
              <w:jc w:val="center"/>
              <w:rPr>
                <w:rFonts w:hint="eastAsia" w:ascii="宋体" w:hAnsi="宋体" w:eastAsia="宋体" w:cs="宋体"/>
                <w:color w:val="auto"/>
                <w:sz w:val="24"/>
                <w:szCs w:val="22"/>
                <w:highlight w:val="none"/>
              </w:rPr>
            </w:pPr>
          </w:p>
        </w:tc>
        <w:tc>
          <w:tcPr>
            <w:tcW w:w="1704" w:type="dxa"/>
            <w:gridSpan w:val="3"/>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技  工</w:t>
            </w:r>
          </w:p>
        </w:tc>
        <w:tc>
          <w:tcPr>
            <w:tcW w:w="1804" w:type="dxa"/>
            <w:gridSpan w:val="2"/>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经营范围</w:t>
            </w:r>
          </w:p>
        </w:tc>
        <w:tc>
          <w:tcPr>
            <w:tcW w:w="7084" w:type="dxa"/>
            <w:gridSpan w:val="8"/>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88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备注</w:t>
            </w:r>
          </w:p>
        </w:tc>
        <w:tc>
          <w:tcPr>
            <w:tcW w:w="7084" w:type="dxa"/>
            <w:gridSpan w:val="8"/>
            <w:vAlign w:val="center"/>
          </w:tcPr>
          <w:p>
            <w:pPr>
              <w:jc w:val="center"/>
              <w:rPr>
                <w:rFonts w:hint="eastAsia" w:ascii="宋体" w:hAnsi="宋体" w:eastAsia="宋体" w:cs="宋体"/>
                <w:color w:val="auto"/>
                <w:sz w:val="24"/>
                <w:szCs w:val="22"/>
                <w:highlight w:val="none"/>
              </w:rPr>
            </w:pPr>
          </w:p>
        </w:tc>
      </w:tr>
    </w:tbl>
    <w:p>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rPr>
        <w:t>备注</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color w:val="auto"/>
          <w:sz w:val="24"/>
          <w:szCs w:val="24"/>
          <w:highlight w:val="none"/>
        </w:rPr>
        <w:t>本表后应附供应商营业执照、资质证书、安全生产许可证、陕西省建筑市场监管与诚信信息发布平台查询截图等相关资料复印件及竞争性磋商文件要求的相关截图。</w:t>
      </w:r>
    </w:p>
    <w:p>
      <w:pPr>
        <w:adjustRightInd w:val="0"/>
        <w:snapToGrid w:val="0"/>
        <w:spacing w:before="156" w:beforeLines="50" w:after="156" w:afterLines="50" w:line="360" w:lineRule="auto"/>
        <w:ind w:left="630" w:hanging="630" w:hangingChars="3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1125" w:name="_Toc4380"/>
    </w:p>
    <w:p>
      <w:pPr>
        <w:spacing w:before="156" w:beforeLines="50" w:after="312" w:afterLines="100" w:line="440" w:lineRule="exact"/>
        <w:jc w:val="center"/>
        <w:rPr>
          <w:rFonts w:hint="eastAsia" w:ascii="宋体" w:hAnsi="宋体" w:eastAsia="宋体" w:cs="宋体"/>
          <w:b/>
          <w:bCs/>
          <w:color w:val="auto"/>
          <w:kern w:val="2"/>
          <w:sz w:val="28"/>
          <w:szCs w:val="28"/>
          <w:highlight w:val="none"/>
          <w:lang w:val="en-US" w:eastAsia="zh-CN" w:bidi="ar-SA"/>
        </w:rPr>
      </w:pPr>
      <w:bookmarkStart w:id="1126" w:name="_Toc11162258"/>
      <w:bookmarkStart w:id="1127" w:name="_Toc11162740"/>
      <w:bookmarkStart w:id="1128" w:name="_Toc11161254"/>
      <w:bookmarkStart w:id="1129" w:name="_Toc11161553"/>
      <w:bookmarkStart w:id="1130" w:name="_Toc11156059"/>
      <w:bookmarkStart w:id="1131" w:name="_Toc8630"/>
      <w:bookmarkStart w:id="1132" w:name="_Toc21315"/>
      <w:r>
        <w:rPr>
          <w:rFonts w:hint="eastAsia" w:ascii="宋体" w:hAnsi="宋体" w:eastAsia="宋体" w:cs="宋体"/>
          <w:b/>
          <w:bCs/>
          <w:color w:val="auto"/>
          <w:kern w:val="2"/>
          <w:sz w:val="28"/>
          <w:szCs w:val="28"/>
          <w:highlight w:val="none"/>
          <w:lang w:val="en-US" w:eastAsia="zh-CN" w:bidi="ar-SA"/>
        </w:rPr>
        <w:t>（二）</w:t>
      </w:r>
      <w:bookmarkEnd w:id="1126"/>
      <w:bookmarkEnd w:id="1127"/>
      <w:bookmarkEnd w:id="1128"/>
      <w:bookmarkEnd w:id="1129"/>
      <w:bookmarkEnd w:id="1130"/>
      <w:r>
        <w:rPr>
          <w:rFonts w:hint="eastAsia" w:ascii="宋体" w:hAnsi="宋体" w:eastAsia="宋体" w:cs="宋体"/>
          <w:b/>
          <w:bCs/>
          <w:color w:val="auto"/>
          <w:kern w:val="2"/>
          <w:sz w:val="28"/>
          <w:szCs w:val="28"/>
          <w:highlight w:val="none"/>
          <w:lang w:val="en-US" w:eastAsia="zh-CN" w:bidi="ar-SA"/>
        </w:rPr>
        <w:t>承诺书</w:t>
      </w:r>
    </w:p>
    <w:bookmarkEnd w:id="1131"/>
    <w:p>
      <w:pPr>
        <w:pStyle w:val="11"/>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附件1：</w:t>
      </w:r>
    </w:p>
    <w:bookmarkEnd w:id="1132"/>
    <w:p>
      <w:pPr>
        <w:spacing w:beforeLines="100" w:afterLine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4"/>
          <w:sz w:val="24"/>
          <w:szCs w:val="24"/>
          <w:highlight w:val="none"/>
          <w:u w:val="single"/>
        </w:rPr>
        <w:t>致：（采购人名称）：</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我公司</w:t>
      </w:r>
      <w:r>
        <w:rPr>
          <w:rFonts w:hint="eastAsia" w:ascii="宋体" w:hAnsi="宋体" w:eastAsia="宋体" w:cs="宋体"/>
          <w:bCs/>
          <w:color w:val="auto"/>
          <w:kern w:val="2"/>
          <w:sz w:val="24"/>
          <w:szCs w:val="24"/>
          <w:highlight w:val="none"/>
          <w:u w:val="single"/>
          <w:lang w:val="en-US" w:eastAsia="zh-CN" w:bidi="ar-SA"/>
        </w:rPr>
        <w:t xml:space="preserve">     （公司名称）      </w:t>
      </w:r>
      <w:r>
        <w:rPr>
          <w:rFonts w:hint="eastAsia" w:ascii="宋体" w:hAnsi="宋体" w:eastAsia="宋体" w:cs="宋体"/>
          <w:bCs/>
          <w:color w:val="auto"/>
          <w:kern w:val="2"/>
          <w:sz w:val="24"/>
          <w:szCs w:val="24"/>
          <w:highlight w:val="none"/>
          <w:lang w:val="en-US" w:eastAsia="zh-CN" w:bidi="ar-SA"/>
        </w:rPr>
        <w:t>为在中华人民共和国境内合法注册并经营的机构。在此郑重承诺：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我公司完全</w:t>
      </w:r>
      <w:r>
        <w:rPr>
          <w:rFonts w:hint="eastAsia" w:ascii="宋体" w:hAnsi="宋体" w:eastAsia="宋体" w:cs="宋体"/>
          <w:b w:val="0"/>
          <w:bCs/>
          <w:color w:val="auto"/>
          <w:sz w:val="24"/>
          <w:szCs w:val="24"/>
          <w:highlight w:val="none"/>
        </w:rPr>
        <w:t>符合《中华人民共和国政府采购法》第二十二条的规定</w:t>
      </w:r>
      <w:r>
        <w:rPr>
          <w:rFonts w:hint="eastAsia" w:ascii="宋体" w:hAnsi="宋体" w:cs="宋体"/>
          <w:b w:val="0"/>
          <w:b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我公司在人员、设备、资金等方面具备相应施工能力且无不良记录；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我公司未被</w:t>
      </w:r>
      <w:r>
        <w:rPr>
          <w:rFonts w:hint="eastAsia" w:ascii="宋体" w:hAnsi="宋体" w:eastAsia="宋体" w:cs="宋体"/>
          <w:color w:val="auto"/>
          <w:sz w:val="24"/>
          <w:szCs w:val="24"/>
          <w:highlight w:val="none"/>
          <w:lang w:val="en-US" w:eastAsia="zh-CN"/>
        </w:rPr>
        <w:t>列入“信用中国”网站(http://www.creditchina.gov.cn)“失信被执行人（页面跳转至“中国执行信息公开网”http://zxgk.court.gov.cn/shixin/）、重大税收违法失信主体、中国政府采购网(www.ccgp.gov.cn)的政府采购严重违法失信行为记录名单</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4.我公司具有履行合同所必需的设备和专业技术能力</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5.我公司在参与本次政府采购活动前3年内在经营活动中没有重大违法记录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无法律法规禁止参加政府采购活动的情形</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我方保证本次竞争性磋商所有内容和资料均真实、有效、准确，并愿意承担因我方就此弄虚作假所引起的一切法律后果。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特此承诺</w:t>
      </w:r>
      <w:r>
        <w:rPr>
          <w:rFonts w:hint="eastAsia" w:ascii="宋体" w:hAnsi="宋体" w:eastAsia="宋体" w:cs="宋体"/>
          <w:color w:val="auto"/>
          <w:sz w:val="24"/>
          <w:szCs w:val="24"/>
          <w:highlight w:val="none"/>
          <w:lang w:eastAsia="zh-CN"/>
        </w:rPr>
        <w:t>。</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wordWrap w:val="0"/>
        <w:spacing w:line="440" w:lineRule="exact"/>
        <w:ind w:right="48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（盖单位章）</w:t>
      </w:r>
      <w:r>
        <w:rPr>
          <w:rFonts w:hint="eastAsia" w:ascii="宋体" w:hAnsi="宋体" w:eastAsia="宋体" w:cs="宋体"/>
          <w:color w:val="auto"/>
          <w:sz w:val="24"/>
          <w:szCs w:val="24"/>
          <w:highlight w:val="none"/>
          <w:u w:val="single"/>
          <w:lang w:val="en-US" w:eastAsia="zh-CN"/>
        </w:rPr>
        <w:t xml:space="preserve">     </w:t>
      </w:r>
    </w:p>
    <w:p>
      <w:pPr>
        <w:spacing w:line="440" w:lineRule="exact"/>
        <w:jc w:val="right"/>
        <w:rPr>
          <w:rFonts w:hint="eastAsia" w:ascii="宋体" w:hAnsi="宋体" w:eastAsia="宋体" w:cs="宋体"/>
          <w:color w:val="auto"/>
          <w:sz w:val="24"/>
          <w:szCs w:val="24"/>
          <w:highlight w:val="none"/>
        </w:rPr>
      </w:pPr>
    </w:p>
    <w:p>
      <w:pPr>
        <w:wordWrap w:val="0"/>
        <w:spacing w:line="440" w:lineRule="exact"/>
        <w:ind w:right="420"/>
        <w:jc w:val="righ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sz w:val="24"/>
          <w:szCs w:val="24"/>
          <w:highlight w:val="none"/>
          <w:u w:val="single"/>
          <w:lang w:val="en-US" w:eastAsia="zh-CN"/>
        </w:rPr>
        <w:t xml:space="preserve">  </w:t>
      </w:r>
    </w:p>
    <w:p>
      <w:pPr>
        <w:spacing w:line="440" w:lineRule="exact"/>
        <w:jc w:val="right"/>
        <w:rPr>
          <w:rFonts w:hint="eastAsia" w:ascii="宋体" w:hAnsi="宋体" w:eastAsia="宋体" w:cs="宋体"/>
          <w:color w:val="auto"/>
          <w:sz w:val="24"/>
          <w:szCs w:val="24"/>
          <w:highlight w:val="none"/>
        </w:rPr>
      </w:pPr>
    </w:p>
    <w:p>
      <w:pPr>
        <w:spacing w:line="440" w:lineRule="exact"/>
        <w:ind w:right="420"/>
        <w:jc w:val="righ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adjustRightInd w:val="0"/>
        <w:snapToGrid w:val="0"/>
        <w:spacing w:before="156" w:beforeLines="50" w:after="156" w:afterLines="50" w:line="360" w:lineRule="auto"/>
        <w:ind w:left="630" w:hanging="630" w:hangingChars="300"/>
        <w:jc w:val="center"/>
        <w:rPr>
          <w:rFonts w:hint="eastAsia" w:ascii="宋体" w:hAnsi="宋体" w:eastAsia="宋体" w:cs="宋体"/>
          <w:color w:val="auto"/>
          <w:szCs w:val="21"/>
          <w:highlight w:val="none"/>
        </w:rPr>
      </w:pPr>
    </w:p>
    <w:p>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br w:type="page"/>
      </w:r>
    </w:p>
    <w:p>
      <w:pPr>
        <w:pStyle w:val="11"/>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附件2：</w:t>
      </w:r>
    </w:p>
    <w:p>
      <w:pPr>
        <w:spacing w:beforeLines="100" w:afterLine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w:t>
      </w:r>
    </w:p>
    <w:p>
      <w:pPr>
        <w:adjustRightInd w:val="0"/>
        <w:snapToGrid w:val="0"/>
        <w:spacing w:line="480" w:lineRule="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致：（采购人名称）：</w:t>
      </w:r>
    </w:p>
    <w:p>
      <w:pPr>
        <w:adjustRightInd w:val="0"/>
        <w:snapToGrid w:val="0"/>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我公司为在中华人民共和国境内合法注册并经营的机构。在此郑重承诺：</w:t>
      </w:r>
    </w:p>
    <w:p>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我公司未被本项目所在地及以上各级建设诚信信息平台列为限制参与响应的行为人；</w:t>
      </w:r>
    </w:p>
    <w:p>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我方保证本次竞争性磋商所有内容和资料均真实、有效、准确，并愿意承担因我方就此弄虚作假所引起的一切法律后果。</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440" w:lineRule="exact"/>
        <w:ind w:firstLine="480" w:firstLineChars="200"/>
        <w:rPr>
          <w:rFonts w:hint="eastAsia" w:ascii="宋体" w:hAnsi="宋体" w:eastAsia="宋体" w:cs="宋体"/>
          <w:color w:val="auto"/>
          <w:sz w:val="24"/>
          <w:szCs w:val="24"/>
          <w:highlight w:val="none"/>
        </w:rPr>
      </w:pPr>
    </w:p>
    <w:p>
      <w:pPr>
        <w:pStyle w:val="11"/>
        <w:rPr>
          <w:rFonts w:hint="eastAsia" w:ascii="宋体" w:hAnsi="宋体" w:eastAsia="宋体" w:cs="宋体"/>
          <w:color w:val="auto"/>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wordWrap w:val="0"/>
        <w:spacing w:line="440" w:lineRule="exact"/>
        <w:ind w:right="48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（盖单位章）</w:t>
      </w:r>
      <w:r>
        <w:rPr>
          <w:rFonts w:hint="eastAsia" w:ascii="宋体" w:hAnsi="宋体" w:eastAsia="宋体" w:cs="宋体"/>
          <w:color w:val="auto"/>
          <w:sz w:val="24"/>
          <w:szCs w:val="24"/>
          <w:highlight w:val="none"/>
          <w:u w:val="single"/>
          <w:lang w:val="en-US" w:eastAsia="zh-CN"/>
        </w:rPr>
        <w:t xml:space="preserve">     </w:t>
      </w:r>
    </w:p>
    <w:p>
      <w:pPr>
        <w:spacing w:line="440" w:lineRule="exact"/>
        <w:jc w:val="right"/>
        <w:rPr>
          <w:rFonts w:hint="eastAsia" w:ascii="宋体" w:hAnsi="宋体" w:eastAsia="宋体" w:cs="宋体"/>
          <w:color w:val="auto"/>
          <w:sz w:val="24"/>
          <w:szCs w:val="24"/>
          <w:highlight w:val="none"/>
        </w:rPr>
      </w:pPr>
    </w:p>
    <w:p>
      <w:pPr>
        <w:wordWrap w:val="0"/>
        <w:spacing w:line="440" w:lineRule="exact"/>
        <w:ind w:right="420"/>
        <w:jc w:val="righ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sz w:val="24"/>
          <w:szCs w:val="24"/>
          <w:highlight w:val="none"/>
          <w:u w:val="single"/>
          <w:lang w:val="en-US" w:eastAsia="zh-CN"/>
        </w:rPr>
        <w:t xml:space="preserve">  </w:t>
      </w:r>
    </w:p>
    <w:p>
      <w:pPr>
        <w:spacing w:line="440" w:lineRule="exact"/>
        <w:jc w:val="right"/>
        <w:rPr>
          <w:rFonts w:hint="eastAsia" w:ascii="宋体" w:hAnsi="宋体" w:eastAsia="宋体" w:cs="宋体"/>
          <w:color w:val="auto"/>
          <w:sz w:val="24"/>
          <w:szCs w:val="24"/>
          <w:highlight w:val="none"/>
        </w:rPr>
      </w:pPr>
    </w:p>
    <w:p>
      <w:pPr>
        <w:spacing w:line="440" w:lineRule="exact"/>
        <w:ind w:right="420"/>
        <w:jc w:val="right"/>
        <w:rPr>
          <w:rFonts w:hint="eastAsia" w:ascii="宋体" w:hAnsi="宋体" w:eastAsia="宋体" w:cs="宋体"/>
          <w:color w:val="auto"/>
          <w:sz w:val="24"/>
          <w:szCs w:val="24"/>
          <w:highlight w:val="none"/>
        </w:rPr>
        <w:sectPr>
          <w:pgSz w:w="11906" w:h="16838"/>
          <w:pgMar w:top="1440" w:right="1417" w:bottom="1417" w:left="1800" w:header="1185" w:footer="1191"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11"/>
        <w:spacing w:line="360" w:lineRule="auto"/>
        <w:rPr>
          <w:rFonts w:hint="eastAsia"/>
          <w:color w:val="auto"/>
          <w:highlight w:val="none"/>
          <w:lang w:val="en-US" w:eastAsia="zh-CN"/>
        </w:rPr>
      </w:pPr>
    </w:p>
    <w:bookmarkEnd w:id="1125"/>
    <w:p>
      <w:pPr>
        <w:adjustRightInd w:val="0"/>
        <w:snapToGrid w:val="0"/>
        <w:spacing w:line="360" w:lineRule="auto"/>
        <w:ind w:firstLine="0" w:firstLineChars="0"/>
        <w:jc w:val="center"/>
        <w:rPr>
          <w:rFonts w:hint="eastAsia" w:ascii="宋体" w:hAnsi="宋体" w:eastAsia="宋体" w:cs="宋体"/>
          <w:b/>
          <w:bCs/>
          <w:color w:val="auto"/>
          <w:sz w:val="24"/>
          <w:szCs w:val="24"/>
          <w:highlight w:val="none"/>
        </w:rPr>
      </w:pPr>
      <w:bookmarkStart w:id="1133" w:name="_Toc18202"/>
      <w:r>
        <w:rPr>
          <w:rFonts w:hint="eastAsia" w:ascii="宋体" w:hAnsi="宋体" w:eastAsia="宋体" w:cs="宋体"/>
          <w:b/>
          <w:bCs/>
          <w:color w:val="auto"/>
          <w:kern w:val="2"/>
          <w:sz w:val="28"/>
          <w:szCs w:val="28"/>
          <w:highlight w:val="none"/>
          <w:lang w:val="en-US" w:eastAsia="zh-CN" w:bidi="ar-SA"/>
        </w:rPr>
        <w:t>（</w:t>
      </w:r>
      <w:r>
        <w:rPr>
          <w:rFonts w:hint="eastAsia" w:ascii="宋体" w:hAnsi="宋体" w:cs="宋体"/>
          <w:b/>
          <w:bCs/>
          <w:color w:val="auto"/>
          <w:kern w:val="2"/>
          <w:sz w:val="28"/>
          <w:szCs w:val="28"/>
          <w:highlight w:val="none"/>
          <w:lang w:val="en-US" w:eastAsia="zh-CN" w:bidi="ar-SA"/>
        </w:rPr>
        <w:t>三</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sz w:val="28"/>
          <w:szCs w:val="28"/>
          <w:highlight w:val="none"/>
        </w:rPr>
        <w:t>项目经理简历表</w:t>
      </w:r>
    </w:p>
    <w:bookmarkEnd w:id="1133"/>
    <w:p>
      <w:pPr>
        <w:adjustRightInd/>
        <w:snapToGrid/>
        <w:spacing w:before="0" w:beforeLines="0" w:after="0" w:afterLines="0"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项目经理应附建造师执业注册证书、资格证书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安全生产考核合格证书、身份证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职称证</w:t>
      </w:r>
      <w:r>
        <w:rPr>
          <w:rFonts w:hint="eastAsia" w:ascii="宋体" w:hAnsi="宋体" w:eastAsia="宋体" w:cs="宋体"/>
          <w:color w:val="auto"/>
          <w:sz w:val="24"/>
          <w:szCs w:val="24"/>
          <w:highlight w:val="none"/>
        </w:rPr>
        <w:t>及未担任其他在施建设工程项目项目经理的承诺书</w:t>
      </w:r>
      <w:r>
        <w:rPr>
          <w:rFonts w:hint="eastAsia" w:ascii="宋体" w:hAnsi="宋体" w:cs="宋体"/>
          <w:color w:val="auto"/>
          <w:sz w:val="24"/>
          <w:szCs w:val="24"/>
          <w:highlight w:val="none"/>
          <w:lang w:eastAsia="zh-CN"/>
        </w:rPr>
        <w:t>。</w:t>
      </w:r>
    </w:p>
    <w:tbl>
      <w:tblPr>
        <w:tblStyle w:val="24"/>
        <w:tblW w:w="869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35"/>
        <w:gridCol w:w="1134"/>
        <w:gridCol w:w="1275"/>
        <w:gridCol w:w="2036"/>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right"/>
        </w:trPr>
        <w:tc>
          <w:tcPr>
            <w:tcW w:w="105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姓  名</w:t>
            </w:r>
          </w:p>
        </w:tc>
        <w:tc>
          <w:tcPr>
            <w:tcW w:w="1035" w:type="dxa"/>
            <w:vAlign w:val="center"/>
          </w:tcPr>
          <w:p>
            <w:pPr>
              <w:jc w:val="center"/>
              <w:rPr>
                <w:rFonts w:hint="eastAsia" w:ascii="宋体" w:hAnsi="宋体" w:eastAsia="宋体" w:cs="宋体"/>
                <w:color w:val="auto"/>
                <w:sz w:val="24"/>
                <w:szCs w:val="22"/>
                <w:highlight w:val="none"/>
              </w:rPr>
            </w:pPr>
          </w:p>
        </w:tc>
        <w:tc>
          <w:tcPr>
            <w:tcW w:w="1134"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年  龄</w:t>
            </w:r>
          </w:p>
        </w:tc>
        <w:tc>
          <w:tcPr>
            <w:tcW w:w="1275" w:type="dxa"/>
            <w:vAlign w:val="center"/>
          </w:tcPr>
          <w:p>
            <w:pPr>
              <w:jc w:val="center"/>
              <w:rPr>
                <w:rFonts w:hint="eastAsia" w:ascii="宋体" w:hAnsi="宋体" w:eastAsia="宋体" w:cs="宋体"/>
                <w:color w:val="auto"/>
                <w:sz w:val="24"/>
                <w:szCs w:val="22"/>
                <w:highlight w:val="none"/>
              </w:rPr>
            </w:pPr>
          </w:p>
        </w:tc>
        <w:tc>
          <w:tcPr>
            <w:tcW w:w="2036"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学历</w:t>
            </w:r>
          </w:p>
        </w:tc>
        <w:tc>
          <w:tcPr>
            <w:tcW w:w="2161" w:type="dxa"/>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right"/>
        </w:trPr>
        <w:tc>
          <w:tcPr>
            <w:tcW w:w="105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职  称</w:t>
            </w:r>
          </w:p>
        </w:tc>
        <w:tc>
          <w:tcPr>
            <w:tcW w:w="1035" w:type="dxa"/>
            <w:vAlign w:val="center"/>
          </w:tcPr>
          <w:p>
            <w:pPr>
              <w:jc w:val="center"/>
              <w:rPr>
                <w:rFonts w:hint="eastAsia" w:ascii="宋体" w:hAnsi="宋体" w:eastAsia="宋体" w:cs="宋体"/>
                <w:color w:val="auto"/>
                <w:sz w:val="24"/>
                <w:szCs w:val="22"/>
                <w:highlight w:val="none"/>
              </w:rPr>
            </w:pPr>
          </w:p>
        </w:tc>
        <w:tc>
          <w:tcPr>
            <w:tcW w:w="1134"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职  务</w:t>
            </w:r>
          </w:p>
        </w:tc>
        <w:tc>
          <w:tcPr>
            <w:tcW w:w="1275" w:type="dxa"/>
            <w:vAlign w:val="center"/>
          </w:tcPr>
          <w:p>
            <w:pPr>
              <w:jc w:val="center"/>
              <w:rPr>
                <w:rFonts w:hint="eastAsia" w:ascii="宋体" w:hAnsi="宋体" w:eastAsia="宋体" w:cs="宋体"/>
                <w:color w:val="auto"/>
                <w:sz w:val="24"/>
                <w:szCs w:val="22"/>
                <w:highlight w:val="none"/>
              </w:rPr>
            </w:pPr>
          </w:p>
        </w:tc>
        <w:tc>
          <w:tcPr>
            <w:tcW w:w="2036"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注册证号</w:t>
            </w:r>
          </w:p>
        </w:tc>
        <w:tc>
          <w:tcPr>
            <w:tcW w:w="2161" w:type="dxa"/>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right"/>
        </w:trPr>
        <w:tc>
          <w:tcPr>
            <w:tcW w:w="3219" w:type="dxa"/>
            <w:gridSpan w:val="3"/>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注册建造师执业资格等级</w:t>
            </w:r>
          </w:p>
        </w:tc>
        <w:tc>
          <w:tcPr>
            <w:tcW w:w="1275" w:type="dxa"/>
            <w:vAlign w:val="center"/>
          </w:tcPr>
          <w:p>
            <w:pPr>
              <w:jc w:val="center"/>
              <w:rPr>
                <w:rFonts w:hint="eastAsia" w:ascii="宋体" w:hAnsi="宋体" w:eastAsia="宋体" w:cs="宋体"/>
                <w:color w:val="auto"/>
                <w:sz w:val="24"/>
                <w:szCs w:val="22"/>
                <w:highlight w:val="none"/>
              </w:rPr>
            </w:pPr>
          </w:p>
        </w:tc>
        <w:tc>
          <w:tcPr>
            <w:tcW w:w="2036"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建造师专业</w:t>
            </w:r>
          </w:p>
        </w:tc>
        <w:tc>
          <w:tcPr>
            <w:tcW w:w="2161" w:type="dxa"/>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right"/>
        </w:trPr>
        <w:tc>
          <w:tcPr>
            <w:tcW w:w="3219" w:type="dxa"/>
            <w:gridSpan w:val="3"/>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安全生产考核合格证书</w:t>
            </w:r>
          </w:p>
        </w:tc>
        <w:tc>
          <w:tcPr>
            <w:tcW w:w="5472" w:type="dxa"/>
            <w:gridSpan w:val="3"/>
            <w:vAlign w:val="center"/>
          </w:tcPr>
          <w:p>
            <w:pPr>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right"/>
        </w:trPr>
        <w:tc>
          <w:tcPr>
            <w:tcW w:w="8691" w:type="dxa"/>
            <w:gridSpan w:val="6"/>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right"/>
        </w:trPr>
        <w:tc>
          <w:tcPr>
            <w:tcW w:w="1050"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时  间</w:t>
            </w:r>
          </w:p>
        </w:tc>
        <w:tc>
          <w:tcPr>
            <w:tcW w:w="3444" w:type="dxa"/>
            <w:gridSpan w:val="3"/>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参加过的类似项目名称</w:t>
            </w:r>
          </w:p>
        </w:tc>
        <w:tc>
          <w:tcPr>
            <w:tcW w:w="2036"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工程概况说明</w:t>
            </w:r>
          </w:p>
        </w:tc>
        <w:tc>
          <w:tcPr>
            <w:tcW w:w="2161"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right"/>
        </w:trPr>
        <w:tc>
          <w:tcPr>
            <w:tcW w:w="1050" w:type="dxa"/>
            <w:vAlign w:val="center"/>
          </w:tcPr>
          <w:p>
            <w:pPr>
              <w:rPr>
                <w:rFonts w:hint="eastAsia" w:ascii="宋体" w:hAnsi="宋体" w:eastAsia="宋体" w:cs="宋体"/>
                <w:color w:val="auto"/>
                <w:sz w:val="24"/>
                <w:szCs w:val="22"/>
                <w:highlight w:val="none"/>
              </w:rPr>
            </w:pPr>
          </w:p>
        </w:tc>
        <w:tc>
          <w:tcPr>
            <w:tcW w:w="3444" w:type="dxa"/>
            <w:gridSpan w:val="3"/>
            <w:vAlign w:val="center"/>
          </w:tcPr>
          <w:p>
            <w:pPr>
              <w:rPr>
                <w:rFonts w:hint="eastAsia" w:ascii="宋体" w:hAnsi="宋体" w:eastAsia="宋体" w:cs="宋体"/>
                <w:color w:val="auto"/>
                <w:sz w:val="24"/>
                <w:szCs w:val="22"/>
                <w:highlight w:val="none"/>
              </w:rPr>
            </w:pPr>
          </w:p>
        </w:tc>
        <w:tc>
          <w:tcPr>
            <w:tcW w:w="2036" w:type="dxa"/>
            <w:vAlign w:val="center"/>
          </w:tcPr>
          <w:p>
            <w:pPr>
              <w:rPr>
                <w:rFonts w:hint="eastAsia" w:ascii="宋体" w:hAnsi="宋体" w:eastAsia="宋体" w:cs="宋体"/>
                <w:color w:val="auto"/>
                <w:sz w:val="24"/>
                <w:szCs w:val="22"/>
                <w:highlight w:val="none"/>
              </w:rPr>
            </w:pPr>
          </w:p>
        </w:tc>
        <w:tc>
          <w:tcPr>
            <w:tcW w:w="2161"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right"/>
        </w:trPr>
        <w:tc>
          <w:tcPr>
            <w:tcW w:w="1050" w:type="dxa"/>
            <w:vAlign w:val="center"/>
          </w:tcPr>
          <w:p>
            <w:pPr>
              <w:rPr>
                <w:rFonts w:hint="eastAsia" w:ascii="宋体" w:hAnsi="宋体" w:eastAsia="宋体" w:cs="宋体"/>
                <w:color w:val="auto"/>
                <w:sz w:val="24"/>
                <w:szCs w:val="22"/>
                <w:highlight w:val="none"/>
              </w:rPr>
            </w:pPr>
          </w:p>
        </w:tc>
        <w:tc>
          <w:tcPr>
            <w:tcW w:w="3444" w:type="dxa"/>
            <w:gridSpan w:val="3"/>
            <w:vAlign w:val="center"/>
          </w:tcPr>
          <w:p>
            <w:pPr>
              <w:rPr>
                <w:rFonts w:hint="eastAsia" w:ascii="宋体" w:hAnsi="宋体" w:eastAsia="宋体" w:cs="宋体"/>
                <w:color w:val="auto"/>
                <w:sz w:val="24"/>
                <w:szCs w:val="22"/>
                <w:highlight w:val="none"/>
              </w:rPr>
            </w:pPr>
          </w:p>
        </w:tc>
        <w:tc>
          <w:tcPr>
            <w:tcW w:w="2036" w:type="dxa"/>
            <w:vAlign w:val="center"/>
          </w:tcPr>
          <w:p>
            <w:pPr>
              <w:rPr>
                <w:rFonts w:hint="eastAsia" w:ascii="宋体" w:hAnsi="宋体" w:eastAsia="宋体" w:cs="宋体"/>
                <w:color w:val="auto"/>
                <w:sz w:val="24"/>
                <w:szCs w:val="22"/>
                <w:highlight w:val="none"/>
              </w:rPr>
            </w:pPr>
          </w:p>
        </w:tc>
        <w:tc>
          <w:tcPr>
            <w:tcW w:w="2161"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right"/>
        </w:trPr>
        <w:tc>
          <w:tcPr>
            <w:tcW w:w="1050" w:type="dxa"/>
            <w:vAlign w:val="center"/>
          </w:tcPr>
          <w:p>
            <w:pPr>
              <w:rPr>
                <w:rFonts w:hint="eastAsia" w:ascii="宋体" w:hAnsi="宋体" w:eastAsia="宋体" w:cs="宋体"/>
                <w:color w:val="auto"/>
                <w:sz w:val="24"/>
                <w:szCs w:val="22"/>
                <w:highlight w:val="none"/>
              </w:rPr>
            </w:pPr>
          </w:p>
        </w:tc>
        <w:tc>
          <w:tcPr>
            <w:tcW w:w="3444" w:type="dxa"/>
            <w:gridSpan w:val="3"/>
            <w:vAlign w:val="center"/>
          </w:tcPr>
          <w:p>
            <w:pPr>
              <w:rPr>
                <w:rFonts w:hint="eastAsia" w:ascii="宋体" w:hAnsi="宋体" w:eastAsia="宋体" w:cs="宋体"/>
                <w:color w:val="auto"/>
                <w:sz w:val="24"/>
                <w:szCs w:val="22"/>
                <w:highlight w:val="none"/>
              </w:rPr>
            </w:pPr>
          </w:p>
        </w:tc>
        <w:tc>
          <w:tcPr>
            <w:tcW w:w="2036" w:type="dxa"/>
            <w:vAlign w:val="center"/>
          </w:tcPr>
          <w:p>
            <w:pPr>
              <w:rPr>
                <w:rFonts w:hint="eastAsia" w:ascii="宋体" w:hAnsi="宋体" w:eastAsia="宋体" w:cs="宋体"/>
                <w:color w:val="auto"/>
                <w:sz w:val="24"/>
                <w:szCs w:val="22"/>
                <w:highlight w:val="none"/>
              </w:rPr>
            </w:pPr>
          </w:p>
        </w:tc>
        <w:tc>
          <w:tcPr>
            <w:tcW w:w="2161"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right"/>
        </w:trPr>
        <w:tc>
          <w:tcPr>
            <w:tcW w:w="1050" w:type="dxa"/>
            <w:vAlign w:val="center"/>
          </w:tcPr>
          <w:p>
            <w:pPr>
              <w:rPr>
                <w:rFonts w:hint="eastAsia" w:ascii="宋体" w:hAnsi="宋体" w:eastAsia="宋体" w:cs="宋体"/>
                <w:color w:val="auto"/>
                <w:sz w:val="24"/>
                <w:szCs w:val="22"/>
                <w:highlight w:val="none"/>
              </w:rPr>
            </w:pPr>
          </w:p>
        </w:tc>
        <w:tc>
          <w:tcPr>
            <w:tcW w:w="3444" w:type="dxa"/>
            <w:gridSpan w:val="3"/>
            <w:vAlign w:val="center"/>
          </w:tcPr>
          <w:p>
            <w:pPr>
              <w:rPr>
                <w:rFonts w:hint="eastAsia" w:ascii="宋体" w:hAnsi="宋体" w:eastAsia="宋体" w:cs="宋体"/>
                <w:color w:val="auto"/>
                <w:sz w:val="24"/>
                <w:szCs w:val="22"/>
                <w:highlight w:val="none"/>
              </w:rPr>
            </w:pPr>
          </w:p>
        </w:tc>
        <w:tc>
          <w:tcPr>
            <w:tcW w:w="2036" w:type="dxa"/>
            <w:vAlign w:val="center"/>
          </w:tcPr>
          <w:p>
            <w:pPr>
              <w:rPr>
                <w:rFonts w:hint="eastAsia" w:ascii="宋体" w:hAnsi="宋体" w:eastAsia="宋体" w:cs="宋体"/>
                <w:color w:val="auto"/>
                <w:sz w:val="24"/>
                <w:szCs w:val="22"/>
                <w:highlight w:val="none"/>
              </w:rPr>
            </w:pPr>
          </w:p>
        </w:tc>
        <w:tc>
          <w:tcPr>
            <w:tcW w:w="2161"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right"/>
        </w:trPr>
        <w:tc>
          <w:tcPr>
            <w:tcW w:w="1050" w:type="dxa"/>
            <w:vAlign w:val="center"/>
          </w:tcPr>
          <w:p>
            <w:pPr>
              <w:rPr>
                <w:rFonts w:hint="eastAsia" w:ascii="宋体" w:hAnsi="宋体" w:eastAsia="宋体" w:cs="宋体"/>
                <w:color w:val="auto"/>
                <w:sz w:val="24"/>
                <w:szCs w:val="22"/>
                <w:highlight w:val="none"/>
              </w:rPr>
            </w:pPr>
          </w:p>
        </w:tc>
        <w:tc>
          <w:tcPr>
            <w:tcW w:w="3444" w:type="dxa"/>
            <w:gridSpan w:val="3"/>
            <w:vAlign w:val="center"/>
          </w:tcPr>
          <w:p>
            <w:pPr>
              <w:rPr>
                <w:rFonts w:hint="eastAsia" w:ascii="宋体" w:hAnsi="宋体" w:eastAsia="宋体" w:cs="宋体"/>
                <w:color w:val="auto"/>
                <w:sz w:val="24"/>
                <w:szCs w:val="22"/>
                <w:highlight w:val="none"/>
              </w:rPr>
            </w:pPr>
          </w:p>
        </w:tc>
        <w:tc>
          <w:tcPr>
            <w:tcW w:w="2036" w:type="dxa"/>
            <w:vAlign w:val="center"/>
          </w:tcPr>
          <w:p>
            <w:pPr>
              <w:rPr>
                <w:rFonts w:hint="eastAsia" w:ascii="宋体" w:hAnsi="宋体" w:eastAsia="宋体" w:cs="宋体"/>
                <w:color w:val="auto"/>
                <w:sz w:val="24"/>
                <w:szCs w:val="22"/>
                <w:highlight w:val="none"/>
              </w:rPr>
            </w:pPr>
          </w:p>
        </w:tc>
        <w:tc>
          <w:tcPr>
            <w:tcW w:w="2161"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right"/>
        </w:trPr>
        <w:tc>
          <w:tcPr>
            <w:tcW w:w="1050" w:type="dxa"/>
            <w:vAlign w:val="center"/>
          </w:tcPr>
          <w:p>
            <w:pPr>
              <w:rPr>
                <w:rFonts w:hint="eastAsia" w:ascii="宋体" w:hAnsi="宋体" w:eastAsia="宋体" w:cs="宋体"/>
                <w:color w:val="auto"/>
                <w:sz w:val="24"/>
                <w:szCs w:val="22"/>
                <w:highlight w:val="none"/>
              </w:rPr>
            </w:pPr>
          </w:p>
        </w:tc>
        <w:tc>
          <w:tcPr>
            <w:tcW w:w="3444" w:type="dxa"/>
            <w:gridSpan w:val="3"/>
            <w:vAlign w:val="center"/>
          </w:tcPr>
          <w:p>
            <w:pPr>
              <w:rPr>
                <w:rFonts w:hint="eastAsia" w:ascii="宋体" w:hAnsi="宋体" w:eastAsia="宋体" w:cs="宋体"/>
                <w:color w:val="auto"/>
                <w:sz w:val="24"/>
                <w:szCs w:val="22"/>
                <w:highlight w:val="none"/>
              </w:rPr>
            </w:pPr>
          </w:p>
        </w:tc>
        <w:tc>
          <w:tcPr>
            <w:tcW w:w="2036" w:type="dxa"/>
            <w:vAlign w:val="center"/>
          </w:tcPr>
          <w:p>
            <w:pPr>
              <w:rPr>
                <w:rFonts w:hint="eastAsia" w:ascii="宋体" w:hAnsi="宋体" w:eastAsia="宋体" w:cs="宋体"/>
                <w:color w:val="auto"/>
                <w:sz w:val="24"/>
                <w:szCs w:val="22"/>
                <w:highlight w:val="none"/>
              </w:rPr>
            </w:pPr>
          </w:p>
        </w:tc>
        <w:tc>
          <w:tcPr>
            <w:tcW w:w="2161"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right"/>
        </w:trPr>
        <w:tc>
          <w:tcPr>
            <w:tcW w:w="1050" w:type="dxa"/>
            <w:vAlign w:val="center"/>
          </w:tcPr>
          <w:p>
            <w:pPr>
              <w:rPr>
                <w:rFonts w:hint="eastAsia" w:ascii="宋体" w:hAnsi="宋体" w:eastAsia="宋体" w:cs="宋体"/>
                <w:color w:val="auto"/>
                <w:sz w:val="24"/>
                <w:szCs w:val="22"/>
                <w:highlight w:val="none"/>
              </w:rPr>
            </w:pPr>
          </w:p>
        </w:tc>
        <w:tc>
          <w:tcPr>
            <w:tcW w:w="3444" w:type="dxa"/>
            <w:gridSpan w:val="3"/>
            <w:vAlign w:val="center"/>
          </w:tcPr>
          <w:p>
            <w:pPr>
              <w:rPr>
                <w:rFonts w:hint="eastAsia" w:ascii="宋体" w:hAnsi="宋体" w:eastAsia="宋体" w:cs="宋体"/>
                <w:color w:val="auto"/>
                <w:sz w:val="24"/>
                <w:szCs w:val="22"/>
                <w:highlight w:val="none"/>
              </w:rPr>
            </w:pPr>
          </w:p>
        </w:tc>
        <w:tc>
          <w:tcPr>
            <w:tcW w:w="2036" w:type="dxa"/>
            <w:vAlign w:val="center"/>
          </w:tcPr>
          <w:p>
            <w:pPr>
              <w:rPr>
                <w:rFonts w:hint="eastAsia" w:ascii="宋体" w:hAnsi="宋体" w:eastAsia="宋体" w:cs="宋体"/>
                <w:color w:val="auto"/>
                <w:sz w:val="24"/>
                <w:szCs w:val="22"/>
                <w:highlight w:val="none"/>
              </w:rPr>
            </w:pPr>
          </w:p>
        </w:tc>
        <w:tc>
          <w:tcPr>
            <w:tcW w:w="2161" w:type="dxa"/>
            <w:vAlign w:val="center"/>
          </w:tcPr>
          <w:p>
            <w:pPr>
              <w:rPr>
                <w:rFonts w:hint="eastAsia" w:ascii="宋体" w:hAnsi="宋体" w:eastAsia="宋体" w:cs="宋体"/>
                <w:color w:val="auto"/>
                <w:sz w:val="24"/>
                <w:szCs w:val="22"/>
                <w:highlight w:val="none"/>
              </w:rPr>
            </w:pPr>
          </w:p>
        </w:tc>
      </w:tr>
    </w:tbl>
    <w:p>
      <w:pPr>
        <w:ind w:firstLine="1050" w:firstLineChars="500"/>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br w:type="page"/>
      </w:r>
      <w:bookmarkStart w:id="1134" w:name="_Toc1007"/>
      <w:bookmarkStart w:id="1135" w:name="_Toc16660"/>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bookmarkEnd w:id="1134"/>
    <w:bookmarkEnd w:id="1135"/>
    <w:p>
      <w:pPr>
        <w:adjustRightInd w:val="0"/>
        <w:snapToGrid w:val="0"/>
        <w:spacing w:before="312" w:beforeLines="100" w:after="312" w:afterLines="100" w:line="360" w:lineRule="auto"/>
        <w:jc w:val="both"/>
        <w:rPr>
          <w:rFonts w:hint="eastAsia" w:ascii="宋体" w:hAnsi="宋体" w:eastAsia="宋体" w:cs="宋体"/>
          <w:b/>
          <w:color w:val="auto"/>
          <w:sz w:val="11"/>
          <w:szCs w:val="11"/>
          <w:highlight w:val="none"/>
        </w:rPr>
      </w:pPr>
      <w:r>
        <w:rPr>
          <w:rFonts w:hint="eastAsia" w:ascii="宋体" w:hAnsi="宋体" w:eastAsia="宋体" w:cs="宋体"/>
          <w:b/>
          <w:bCs/>
          <w:color w:val="auto"/>
          <w:sz w:val="24"/>
          <w:szCs w:val="24"/>
          <w:highlight w:val="none"/>
        </w:rPr>
        <w:t>附</w:t>
      </w:r>
      <w:r>
        <w:rPr>
          <w:rFonts w:hint="eastAsia" w:ascii="宋体" w:hAnsi="宋体" w:cs="宋体"/>
          <w:b/>
          <w:bCs/>
          <w:color w:val="auto"/>
          <w:sz w:val="24"/>
          <w:szCs w:val="24"/>
          <w:highlight w:val="none"/>
          <w:lang w:val="en-US" w:eastAsia="zh-CN"/>
        </w:rPr>
        <w:t>件1</w:t>
      </w:r>
      <w:r>
        <w:rPr>
          <w:rFonts w:hint="eastAsia" w:ascii="宋体" w:hAnsi="宋体" w:eastAsia="宋体" w:cs="宋体"/>
          <w:b/>
          <w:bCs/>
          <w:color w:val="auto"/>
          <w:sz w:val="24"/>
          <w:szCs w:val="24"/>
          <w:highlight w:val="none"/>
        </w:rPr>
        <w:t>：</w:t>
      </w:r>
    </w:p>
    <w:p>
      <w:pPr>
        <w:adjustRightInd w:val="0"/>
        <w:snapToGrid w:val="0"/>
        <w:spacing w:before="312" w:beforeLines="100" w:after="312" w:afterLines="10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关于拟派项目经理无在建的承诺函</w:t>
      </w:r>
    </w:p>
    <w:p>
      <w:pPr>
        <w:adjustRightInd w:val="0"/>
        <w:snapToGrid w:val="0"/>
        <w:spacing w:after="312" w:afterLines="10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（采购人名称）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adjustRightInd w:val="0"/>
        <w:snapToGrid w:val="0"/>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（采购项目名称）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的项目经理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（项目经理姓名） </w:t>
      </w:r>
      <w:r>
        <w:rPr>
          <w:rFonts w:hint="eastAsia" w:ascii="宋体" w:hAnsi="宋体" w:eastAsia="宋体" w:cs="宋体"/>
          <w:color w:val="auto"/>
          <w:sz w:val="24"/>
          <w:szCs w:val="24"/>
          <w:highlight w:val="none"/>
        </w:rPr>
        <w:t>现阶段没有担任任何在施建设工程项目的项目经理。</w:t>
      </w:r>
    </w:p>
    <w:p>
      <w:pPr>
        <w:adjustRightInd w:val="0"/>
        <w:snapToGrid w:val="0"/>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我方保证本次竞争性磋商所有内容和资料均真实、有效、准确，并愿意承担因我方就此弄虚作假所引起的一切法律后果。</w:t>
      </w:r>
    </w:p>
    <w:p>
      <w:pPr>
        <w:adjustRightInd w:val="0"/>
        <w:snapToGrid w:val="0"/>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特此承诺</w:t>
      </w:r>
      <w:r>
        <w:rPr>
          <w:rFonts w:hint="eastAsia" w:ascii="宋体" w:hAnsi="宋体" w:cs="宋体"/>
          <w:color w:val="auto"/>
          <w:sz w:val="24"/>
          <w:szCs w:val="24"/>
          <w:highlight w:val="none"/>
          <w:lang w:val="en-US" w:eastAsia="zh-CN"/>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adjustRightInd w:val="0"/>
        <w:snapToGrid w:val="0"/>
        <w:spacing w:line="480" w:lineRule="auto"/>
        <w:ind w:right="420" w:firstLine="1920" w:firstLineChars="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480" w:lineRule="auto"/>
        <w:ind w:right="420"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rPr>
          <w:rFonts w:hint="eastAsia" w:ascii="宋体" w:hAnsi="宋体" w:eastAsia="宋体" w:cs="宋体"/>
          <w:color w:val="auto"/>
          <w:szCs w:val="21"/>
          <w:highlight w:val="none"/>
        </w:rPr>
      </w:pPr>
    </w:p>
    <w:p>
      <w:pPr>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br w:type="page"/>
      </w:r>
    </w:p>
    <w:p>
      <w:pPr>
        <w:pStyle w:val="11"/>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附件2</w:t>
      </w:r>
    </w:p>
    <w:p>
      <w:pPr>
        <w:pStyle w:val="11"/>
        <w:spacing w:line="360" w:lineRule="auto"/>
        <w:rPr>
          <w:rFonts w:hint="default" w:eastAsia="宋体"/>
          <w:color w:val="auto"/>
          <w:highlight w:val="none"/>
          <w:lang w:val="en-US" w:eastAsia="zh-CN"/>
        </w:rPr>
        <w:sectPr>
          <w:pgSz w:w="11906" w:h="16838"/>
          <w:pgMar w:top="1440" w:right="1800" w:bottom="1440" w:left="1800" w:header="1185" w:footer="1191"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sz w:val="24"/>
          <w:szCs w:val="32"/>
          <w:highlight w:val="none"/>
          <w:lang w:val="en-US" w:eastAsia="zh-CN"/>
        </w:rPr>
        <w:t>供应商及其拟派项目经理应在“陕西省建筑市场监管与诚信信息发布平台”可查询且无不良行为记录（提供查询截图）；</w:t>
      </w:r>
    </w:p>
    <w:p>
      <w:pPr>
        <w:spacing w:before="156" w:beforeLines="50" w:after="312" w:afterLines="100" w:line="440" w:lineRule="exact"/>
        <w:jc w:val="left"/>
        <w:rPr>
          <w:rFonts w:hint="eastAsia" w:ascii="宋体" w:hAnsi="宋体" w:eastAsia="宋体" w:cs="宋体"/>
          <w:b/>
          <w:bCs/>
          <w:color w:val="auto"/>
          <w:kern w:val="2"/>
          <w:sz w:val="28"/>
          <w:szCs w:val="28"/>
          <w:highlight w:val="none"/>
          <w:lang w:val="en-US" w:eastAsia="zh-CN" w:bidi="ar-SA"/>
        </w:rPr>
      </w:pPr>
      <w:bookmarkStart w:id="1136" w:name="_Toc324947082"/>
      <w:bookmarkStart w:id="1137" w:name="_Toc4565"/>
      <w:bookmarkStart w:id="1138" w:name="_Toc19396"/>
      <w:bookmarkStart w:id="1139" w:name="_Toc11461"/>
      <w:bookmarkStart w:id="1140" w:name="_Toc19378"/>
      <w:bookmarkStart w:id="1141" w:name="_Toc321812082"/>
      <w:r>
        <w:rPr>
          <w:rFonts w:hint="eastAsia" w:ascii="宋体" w:hAnsi="宋体" w:cs="宋体"/>
          <w:color w:val="auto"/>
          <w:szCs w:val="21"/>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w:t>
      </w:r>
      <w:r>
        <w:rPr>
          <w:rFonts w:hint="eastAsia" w:ascii="宋体" w:hAnsi="宋体" w:cs="宋体"/>
          <w:b/>
          <w:bCs/>
          <w:color w:val="auto"/>
          <w:kern w:val="2"/>
          <w:sz w:val="28"/>
          <w:szCs w:val="28"/>
          <w:highlight w:val="none"/>
          <w:lang w:val="en-US" w:eastAsia="zh-CN" w:bidi="ar-SA"/>
        </w:rPr>
        <w:t>四</w:t>
      </w:r>
      <w:r>
        <w:rPr>
          <w:rFonts w:hint="eastAsia" w:ascii="宋体" w:hAnsi="宋体" w:eastAsia="宋体" w:cs="宋体"/>
          <w:b/>
          <w:bCs/>
          <w:color w:val="auto"/>
          <w:kern w:val="2"/>
          <w:sz w:val="28"/>
          <w:szCs w:val="28"/>
          <w:highlight w:val="none"/>
          <w:lang w:val="en-US" w:eastAsia="zh-CN" w:bidi="ar-SA"/>
        </w:rPr>
        <w:t>）财务状况报告</w:t>
      </w:r>
    </w:p>
    <w:p>
      <w:pPr>
        <w:spacing w:before="156" w:beforeLines="50" w:after="312" w:afterLines="100" w:line="44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val="0"/>
          <w:bCs w:val="0"/>
          <w:color w:val="auto"/>
          <w:kern w:val="2"/>
          <w:sz w:val="24"/>
          <w:szCs w:val="24"/>
          <w:highlight w:val="none"/>
          <w:lang w:val="en-US" w:eastAsia="zh-CN" w:bidi="ar-SA"/>
        </w:rPr>
        <w:t xml:space="preserve"> 提供供应商2022年经审计的财务报告或在开标日期前6个月内其基本开户银行出具的资信证明</w:t>
      </w:r>
      <w:r>
        <w:rPr>
          <w:rFonts w:hint="eastAsia"/>
          <w:b w:val="0"/>
          <w:bCs w:val="0"/>
          <w:color w:val="auto"/>
          <w:spacing w:val="3"/>
          <w:sz w:val="24"/>
          <w:szCs w:val="24"/>
          <w:highlight w:val="none"/>
          <w:lang w:eastAsia="zh-CN"/>
        </w:rPr>
        <w:t>；</w:t>
      </w:r>
    </w:p>
    <w:p>
      <w:pP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33"/>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（五）</w:t>
      </w:r>
      <w:r>
        <w:rPr>
          <w:rFonts w:hint="eastAsia" w:ascii="宋体" w:hAnsi="宋体" w:eastAsia="宋体" w:cs="宋体"/>
          <w:b/>
          <w:bCs/>
          <w:color w:val="auto"/>
          <w:kern w:val="2"/>
          <w:sz w:val="28"/>
          <w:szCs w:val="28"/>
          <w:highlight w:val="none"/>
          <w:lang w:val="en-US" w:eastAsia="zh-CN" w:bidi="ar-SA"/>
        </w:rPr>
        <w:t>税收缴纳证明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b w:val="0"/>
          <w:bCs w:val="0"/>
          <w:color w:val="auto"/>
          <w:sz w:val="24"/>
          <w:szCs w:val="24"/>
          <w:highlight w:val="none"/>
          <w:lang w:val="en-US" w:eastAsia="zh-CN"/>
        </w:rPr>
        <w:t>提供供应商自2022年6月1日以来已缴纳任意时段的纳税凭据或完税证明（任意税种）；依法不需要缴纳社会保障资金的应提供相关文件证明；</w:t>
      </w:r>
    </w:p>
    <w:p>
      <w:pPr>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 xml:space="preserve"> </w:t>
      </w:r>
      <w:r>
        <w:rPr>
          <w:rFonts w:hint="eastAsia" w:ascii="宋体" w:hAnsi="宋体" w:eastAsia="宋体" w:cs="宋体"/>
          <w:b/>
          <w:bCs/>
          <w:color w:val="auto"/>
          <w:kern w:val="2"/>
          <w:sz w:val="28"/>
          <w:szCs w:val="28"/>
          <w:highlight w:val="none"/>
          <w:lang w:val="en-US" w:eastAsia="zh-CN" w:bidi="ar-SA"/>
        </w:rPr>
        <w:br w:type="page"/>
      </w:r>
    </w:p>
    <w:p>
      <w:pPr>
        <w:pStyle w:val="3"/>
        <w:bidi w:val="0"/>
        <w:jc w:val="center"/>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（六）</w:t>
      </w:r>
      <w:r>
        <w:rPr>
          <w:rFonts w:hint="eastAsia" w:ascii="宋体" w:hAnsi="宋体" w:eastAsia="宋体" w:cs="宋体"/>
          <w:b/>
          <w:bCs/>
          <w:color w:val="auto"/>
          <w:kern w:val="2"/>
          <w:sz w:val="28"/>
          <w:szCs w:val="28"/>
          <w:highlight w:val="none"/>
          <w:lang w:val="en-US" w:eastAsia="zh-CN" w:bidi="ar-SA"/>
        </w:rPr>
        <w:t>供应商关联关系说明</w:t>
      </w:r>
      <w:bookmarkEnd w:id="1136"/>
    </w:p>
    <w:bookmarkEnd w:id="1137"/>
    <w:bookmarkEnd w:id="1138"/>
    <w:bookmarkEnd w:id="1139"/>
    <w:bookmarkEnd w:id="1140"/>
    <w:p>
      <w:pPr>
        <w:adjustRightInd w:val="0"/>
        <w:snapToGrid w:val="0"/>
        <w:spacing w:line="480" w:lineRule="auto"/>
        <w:ind w:firstLine="720" w:firstLineChars="300"/>
        <w:jc w:val="left"/>
        <w:rPr>
          <w:rFonts w:hint="eastAsia" w:ascii="宋体" w:hAnsi="宋体" w:eastAsia="宋体" w:cs="宋体"/>
          <w:color w:val="auto"/>
          <w:sz w:val="24"/>
          <w:szCs w:val="24"/>
          <w:highlight w:val="none"/>
        </w:rPr>
      </w:pPr>
    </w:p>
    <w:p>
      <w:pPr>
        <w:adjustRightInd w:val="0"/>
        <w:snapToGrid w:val="0"/>
        <w:spacing w:line="48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1.供应商单位负责人在其他单位任职情况</w:t>
      </w:r>
    </w:p>
    <w:p>
      <w:pPr>
        <w:adjustRightInd w:val="0"/>
        <w:snapToGrid w:val="0"/>
        <w:spacing w:line="48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2.供应商控股关系说明</w:t>
      </w:r>
    </w:p>
    <w:p>
      <w:pPr>
        <w:adjustRightInd w:val="0"/>
        <w:snapToGrid w:val="0"/>
        <w:spacing w:line="480" w:lineRule="auto"/>
        <w:ind w:firstLine="854" w:firstLineChars="356"/>
        <w:jc w:val="left"/>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（1）供应商控股谁：</w:t>
      </w:r>
      <w:r>
        <w:rPr>
          <w:rFonts w:hint="eastAsia" w:ascii="宋体" w:hAnsi="宋体" w:cs="宋体"/>
          <w:color w:val="auto"/>
          <w:sz w:val="24"/>
          <w:szCs w:val="24"/>
          <w:highlight w:val="none"/>
          <w:u w:val="single"/>
          <w:lang w:val="en-US" w:eastAsia="zh-CN"/>
        </w:rPr>
        <w:t xml:space="preserve">      </w:t>
      </w:r>
    </w:p>
    <w:p>
      <w:pPr>
        <w:adjustRightInd w:val="0"/>
        <w:snapToGrid w:val="0"/>
        <w:spacing w:line="480" w:lineRule="auto"/>
        <w:ind w:firstLine="840" w:firstLineChars="35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（2）供应商被谁控股：</w:t>
      </w:r>
      <w:r>
        <w:rPr>
          <w:rFonts w:hint="eastAsia" w:ascii="宋体" w:hAnsi="宋体" w:cs="宋体"/>
          <w:color w:val="auto"/>
          <w:sz w:val="24"/>
          <w:szCs w:val="24"/>
          <w:highlight w:val="none"/>
          <w:lang w:val="en-US" w:eastAsia="zh-CN"/>
        </w:rPr>
        <w:t xml:space="preserve">        </w:t>
      </w:r>
    </w:p>
    <w:p>
      <w:pPr>
        <w:adjustRightInd w:val="0"/>
        <w:snapToGrid w:val="0"/>
        <w:spacing w:line="48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3.供应商管理关系说明</w:t>
      </w:r>
    </w:p>
    <w:p>
      <w:pPr>
        <w:adjustRightInd w:val="0"/>
        <w:snapToGrid w:val="0"/>
        <w:spacing w:line="480" w:lineRule="auto"/>
        <w:ind w:firstLine="720" w:firstLineChars="3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（1）供应商管理谁：</w:t>
      </w:r>
      <w:r>
        <w:rPr>
          <w:rFonts w:hint="eastAsia" w:ascii="宋体" w:hAnsi="宋体" w:cs="宋体"/>
          <w:color w:val="auto"/>
          <w:sz w:val="24"/>
          <w:szCs w:val="24"/>
          <w:highlight w:val="none"/>
          <w:lang w:val="en-US" w:eastAsia="zh-CN"/>
        </w:rPr>
        <w:t xml:space="preserve">       </w:t>
      </w:r>
    </w:p>
    <w:p>
      <w:pPr>
        <w:adjustRightInd w:val="0"/>
        <w:snapToGrid w:val="0"/>
        <w:spacing w:line="480" w:lineRule="auto"/>
        <w:ind w:firstLine="1320" w:firstLineChars="55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管理职责（行政、人事等）：</w:t>
      </w:r>
      <w:r>
        <w:rPr>
          <w:rFonts w:hint="eastAsia" w:ascii="宋体" w:hAnsi="宋体" w:cs="宋体"/>
          <w:color w:val="auto"/>
          <w:sz w:val="24"/>
          <w:szCs w:val="24"/>
          <w:highlight w:val="none"/>
          <w:lang w:val="en-US" w:eastAsia="zh-CN"/>
        </w:rPr>
        <w:t xml:space="preserve">       </w:t>
      </w:r>
    </w:p>
    <w:p>
      <w:pPr>
        <w:adjustRightInd w:val="0"/>
        <w:snapToGrid w:val="0"/>
        <w:spacing w:line="480" w:lineRule="auto"/>
        <w:ind w:firstLine="720" w:firstLineChars="3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（2）供应商被谁管理：</w:t>
      </w:r>
      <w:r>
        <w:rPr>
          <w:rFonts w:hint="eastAsia" w:ascii="宋体" w:hAnsi="宋体" w:cs="宋体"/>
          <w:color w:val="auto"/>
          <w:sz w:val="24"/>
          <w:szCs w:val="24"/>
          <w:highlight w:val="none"/>
          <w:lang w:val="en-US" w:eastAsia="zh-CN"/>
        </w:rPr>
        <w:t xml:space="preserve">       </w:t>
      </w:r>
    </w:p>
    <w:p>
      <w:pPr>
        <w:adjustRightInd w:val="0"/>
        <w:snapToGrid w:val="0"/>
        <w:spacing w:line="480" w:lineRule="auto"/>
        <w:ind w:firstLine="1320" w:firstLineChars="55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管理职责（行政、人事等）：</w:t>
      </w:r>
      <w:r>
        <w:rPr>
          <w:rFonts w:hint="eastAsia" w:ascii="宋体" w:hAnsi="宋体" w:cs="宋体"/>
          <w:color w:val="auto"/>
          <w:sz w:val="24"/>
          <w:szCs w:val="24"/>
          <w:highlight w:val="none"/>
          <w:lang w:val="en-US" w:eastAsia="zh-CN"/>
        </w:rPr>
        <w:t xml:space="preserve">        </w:t>
      </w:r>
    </w:p>
    <w:p>
      <w:pPr>
        <w:adjustRightInd w:val="0"/>
        <w:snapToGrid w:val="0"/>
        <w:spacing w:line="36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我单位承诺：我公司未存在单位负责人为同一人或者存在直接控股、管理关系的不同</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，参加同一合同项下的磋商活动，未隐瞒相关关联关系或法律法规禁止的情形。</w:t>
      </w:r>
    </w:p>
    <w:p>
      <w:pPr>
        <w:adjustRightInd w:val="0"/>
        <w:snapToGrid w:val="0"/>
        <w:spacing w:line="360" w:lineRule="auto"/>
        <w:jc w:val="right"/>
        <w:rPr>
          <w:rFonts w:hint="eastAsia" w:ascii="宋体" w:hAnsi="宋体" w:eastAsia="宋体" w:cs="宋体"/>
          <w:color w:val="auto"/>
          <w:sz w:val="24"/>
          <w:szCs w:val="24"/>
          <w:highlight w:val="none"/>
        </w:rPr>
      </w:pPr>
    </w:p>
    <w:p>
      <w:pPr>
        <w:pStyle w:val="11"/>
        <w:rPr>
          <w:rFonts w:hint="eastAsia" w:ascii="宋体" w:hAnsi="宋体" w:eastAsia="宋体" w:cs="宋体"/>
          <w:color w:val="auto"/>
          <w:highlight w:val="none"/>
        </w:rPr>
      </w:pPr>
    </w:p>
    <w:p>
      <w:pPr>
        <w:adjustRightInd w:val="0"/>
        <w:snapToGrid w:val="0"/>
        <w:spacing w:line="360" w:lineRule="auto"/>
        <w:ind w:right="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adjustRightInd w:val="0"/>
        <w:snapToGrid w:val="0"/>
        <w:spacing w:line="480" w:lineRule="auto"/>
        <w:ind w:right="420" w:firstLine="1920" w:firstLineChars="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480" w:lineRule="auto"/>
        <w:ind w:right="420"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
        <w:numPr>
          <w:ilvl w:val="-1"/>
          <w:numId w:val="0"/>
        </w:numPr>
        <w:rPr>
          <w:rStyle w:val="31"/>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br w:type="page"/>
      </w:r>
      <w:bookmarkStart w:id="1142" w:name="_Toc11156065"/>
      <w:bookmarkStart w:id="1143" w:name="_Toc11161559"/>
      <w:bookmarkStart w:id="1144" w:name="_Toc11162746"/>
      <w:bookmarkStart w:id="1145" w:name="_Toc16327"/>
      <w:bookmarkStart w:id="1146" w:name="_Toc20290"/>
      <w:bookmarkStart w:id="1147" w:name="_Toc32161"/>
      <w:bookmarkStart w:id="1148" w:name="_Toc11161260"/>
      <w:bookmarkStart w:id="1149" w:name="_Toc21699"/>
      <w:bookmarkStart w:id="1150" w:name="_Toc30491"/>
      <w:bookmarkStart w:id="1151" w:name="_Toc15100"/>
      <w:bookmarkStart w:id="1152" w:name="_Toc11162264"/>
      <w:bookmarkStart w:id="1153" w:name="_Toc1648"/>
      <w:bookmarkStart w:id="1154" w:name="_Toc28278"/>
      <w:bookmarkStart w:id="1155" w:name="_Toc23276"/>
      <w:bookmarkStart w:id="1156" w:name="_Toc12391"/>
      <w:bookmarkStart w:id="1157" w:name="_Toc324947083"/>
      <w:bookmarkStart w:id="1158" w:name="_Toc24659"/>
      <w:r>
        <w:rPr>
          <w:rStyle w:val="31"/>
          <w:rFonts w:hint="eastAsia" w:ascii="宋体" w:hAnsi="宋体" w:eastAsia="宋体" w:cs="宋体"/>
          <w:b/>
          <w:color w:val="auto"/>
          <w:sz w:val="28"/>
          <w:szCs w:val="28"/>
          <w:highlight w:val="none"/>
          <w:lang w:val="en-US" w:eastAsia="zh-CN"/>
        </w:rPr>
        <w:t>三、</w:t>
      </w:r>
      <w:r>
        <w:rPr>
          <w:rStyle w:val="31"/>
          <w:rFonts w:hint="eastAsia" w:ascii="宋体" w:hAnsi="宋体" w:eastAsia="宋体" w:cs="宋体"/>
          <w:b/>
          <w:color w:val="auto"/>
          <w:sz w:val="28"/>
          <w:szCs w:val="28"/>
          <w:highlight w:val="none"/>
        </w:rPr>
        <w:t>中小企业声明函</w:t>
      </w:r>
    </w:p>
    <w:bookmarkEnd w:id="1142"/>
    <w:bookmarkEnd w:id="1143"/>
    <w:bookmarkEnd w:id="1144"/>
    <w:bookmarkEnd w:id="1145"/>
    <w:bookmarkEnd w:id="1146"/>
    <w:bookmarkEnd w:id="1147"/>
    <w:bookmarkEnd w:id="1148"/>
    <w:bookmarkEnd w:id="1149"/>
    <w:bookmarkEnd w:id="1150"/>
    <w:bookmarkEnd w:id="1151"/>
    <w:bookmarkEnd w:id="1152"/>
    <w:bookmarkEnd w:id="1153"/>
    <w:p>
      <w:pPr>
        <w:adjustRightInd w:val="0"/>
        <w:snapToGrid w:val="0"/>
        <w:spacing w:beforeLines="5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中小企业声明函（工程）</w:t>
      </w:r>
    </w:p>
    <w:p>
      <w:pPr>
        <w:adjustRightInd w:val="0"/>
        <w:snapToGrid w:val="0"/>
        <w:spacing w:line="360" w:lineRule="auto"/>
        <w:ind w:firstLine="484" w:firstLineChars="202"/>
        <w:jc w:val="left"/>
        <w:rPr>
          <w:rFonts w:hint="eastAsia" w:ascii="宋体" w:hAnsi="宋体" w:eastAsia="宋体" w:cs="宋体"/>
          <w:color w:val="auto"/>
          <w:sz w:val="24"/>
          <w:highlight w:val="none"/>
        </w:rPr>
      </w:pPr>
    </w:p>
    <w:p>
      <w:pPr>
        <w:adjustRightInd w:val="0"/>
        <w:snapToGrid w:val="0"/>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采购活动，工程的施工单位全部为符合政策要求的中小企业（或者：服务全部由符合政策要求的中小企业承接）。 相关企业（ 含联合体中的中小企业、 签订分包意向协议的中小企业）的具体情况如下：</w:t>
      </w:r>
    </w:p>
    <w:p>
      <w:pPr>
        <w:adjustRightInd w:val="0"/>
        <w:snapToGrid w:val="0"/>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w:t>
      </w:r>
      <w:r>
        <w:rPr>
          <w:rFonts w:hint="eastAsia" w:ascii="宋体" w:hAnsi="宋体" w:eastAsia="宋体" w:cs="宋体"/>
          <w:color w:val="auto"/>
          <w:sz w:val="24"/>
          <w:highlight w:val="none"/>
          <w:vertAlign w:val="superscript"/>
        </w:rPr>
        <w:t>1</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pPr>
        <w:adjustRightInd w:val="0"/>
        <w:snapToGrid w:val="0"/>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u w:val="single"/>
        </w:rPr>
        <w:t xml:space="preserve">（标的名称）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pPr>
        <w:adjustRightInd w:val="0"/>
        <w:snapToGrid w:val="0"/>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adjustRightInd w:val="0"/>
        <w:snapToGrid w:val="0"/>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pPr>
        <w:adjustRightInd w:val="0"/>
        <w:snapToGrid w:val="0"/>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pPr>
        <w:pStyle w:val="11"/>
        <w:rPr>
          <w:rFonts w:hint="eastAsia" w:ascii="宋体" w:hAnsi="宋体" w:eastAsia="宋体" w:cs="宋体"/>
          <w:color w:val="auto"/>
          <w:highlight w:val="none"/>
        </w:rPr>
      </w:pPr>
    </w:p>
    <w:p>
      <w:pPr>
        <w:adjustRightInd w:val="0"/>
        <w:snapToGrid w:val="0"/>
        <w:spacing w:line="360" w:lineRule="auto"/>
        <w:ind w:firstLine="5520" w:firstLineChars="2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pPr>
        <w:adjustRightInd w:val="0"/>
        <w:snapToGrid w:val="0"/>
        <w:spacing w:line="360" w:lineRule="auto"/>
        <w:ind w:firstLine="5520" w:firstLineChars="23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p>
    <w:p>
      <w:pPr>
        <w:spacing w:line="440" w:lineRule="exact"/>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pPr>
        <w:numPr>
          <w:ilvl w:val="0"/>
          <w:numId w:val="11"/>
        </w:numPr>
        <w:ind w:firstLine="482" w:firstLineChars="200"/>
        <w:jc w:val="left"/>
        <w:rPr>
          <w:rFonts w:hint="eastAsia" w:ascii="宋体" w:hAnsi="宋体" w:eastAsia="宋体" w:cs="宋体"/>
          <w:b/>
          <w:color w:val="auto"/>
          <w:sz w:val="24"/>
          <w:szCs w:val="22"/>
          <w:highlight w:val="none"/>
        </w:rPr>
      </w:pPr>
      <w:r>
        <w:rPr>
          <w:rFonts w:hint="eastAsia" w:ascii="宋体" w:hAnsi="宋体" w:eastAsia="宋体" w:cs="宋体"/>
          <w:b/>
          <w:color w:val="auto"/>
          <w:sz w:val="24"/>
          <w:highlight w:val="none"/>
        </w:rPr>
        <w:t xml:space="preserve">中小企业划型标准按照《关于印发中小企业划型标准规定的通知（工信部联企业〔2011〕300号）》文的相关规定认定，未提供以上材料的不予以认定。  </w:t>
      </w:r>
    </w:p>
    <w:p>
      <w:pPr>
        <w:numPr>
          <w:ilvl w:val="0"/>
          <w:numId w:val="11"/>
        </w:numPr>
        <w:ind w:firstLine="482" w:firstLineChars="200"/>
        <w:jc w:val="left"/>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如为中、小、微企业应在磋商响应文件的封面右上角明确注明相关信息以便方便认可。</w:t>
      </w:r>
    </w:p>
    <w:p>
      <w:pPr>
        <w:ind w:firstLine="482" w:firstLineChars="200"/>
        <w:jc w:val="left"/>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3.供应商提供《中小企业声明函》的需保证其真实性，如经查实存在虚假证明的情况，由供应商承担相应责任。</w:t>
      </w:r>
    </w:p>
    <w:p>
      <w:pPr>
        <w:pStyle w:val="8"/>
        <w:ind w:firstLine="482"/>
        <w:rPr>
          <w:rFonts w:hint="eastAsia" w:ascii="宋体" w:hAnsi="宋体" w:eastAsia="宋体" w:cs="宋体"/>
          <w:color w:val="auto"/>
          <w:highlight w:val="none"/>
        </w:rPr>
      </w:pPr>
      <w:r>
        <w:rPr>
          <w:rFonts w:hint="eastAsia" w:ascii="宋体" w:hAnsi="宋体" w:eastAsia="宋体" w:cs="宋体"/>
          <w:b/>
          <w:color w:val="auto"/>
          <w:sz w:val="24"/>
          <w:szCs w:val="22"/>
          <w:highlight w:val="none"/>
          <w:lang w:val="en-US" w:eastAsia="zh-CN"/>
        </w:rPr>
        <w:t>4</w:t>
      </w:r>
      <w:r>
        <w:rPr>
          <w:rFonts w:hint="eastAsia" w:ascii="宋体" w:hAnsi="宋体" w:eastAsia="宋体" w:cs="宋体"/>
          <w:b/>
          <w:color w:val="auto"/>
          <w:sz w:val="24"/>
          <w:szCs w:val="22"/>
          <w:highlight w:val="none"/>
        </w:rPr>
        <w:t>.从业人员、营业收入、资产总额填报上一年度数据，无上一年度数据的新成立企业可不填报。</w:t>
      </w:r>
    </w:p>
    <w:bookmarkEnd w:id="1141"/>
    <w:bookmarkEnd w:id="1154"/>
    <w:bookmarkEnd w:id="1155"/>
    <w:bookmarkEnd w:id="1156"/>
    <w:bookmarkEnd w:id="1157"/>
    <w:bookmarkEnd w:id="1158"/>
    <w:p>
      <w:pPr>
        <w:rPr>
          <w:rFonts w:hint="eastAsia" w:ascii="宋体" w:hAnsi="宋体" w:eastAsia="宋体" w:cs="宋体"/>
          <w:b/>
          <w:bCs/>
          <w:color w:val="auto"/>
          <w:spacing w:val="26"/>
          <w:sz w:val="24"/>
          <w:szCs w:val="24"/>
          <w:highlight w:val="none"/>
        </w:rPr>
      </w:pPr>
      <w:bookmarkStart w:id="1159" w:name="_Toc321812059"/>
      <w:bookmarkStart w:id="1160" w:name="_Toc324521855"/>
      <w:r>
        <w:rPr>
          <w:rFonts w:hint="eastAsia" w:ascii="宋体" w:hAnsi="宋体" w:eastAsia="宋体" w:cs="宋体"/>
          <w:b/>
          <w:bCs/>
          <w:color w:val="auto"/>
          <w:spacing w:val="26"/>
          <w:sz w:val="24"/>
          <w:szCs w:val="24"/>
          <w:highlight w:val="none"/>
        </w:rPr>
        <w:br w:type="page"/>
      </w:r>
    </w:p>
    <w:p>
      <w:pPr>
        <w:jc w:val="center"/>
        <w:rPr>
          <w:rFonts w:hint="eastAsia" w:ascii="宋体" w:hAnsi="宋体" w:eastAsia="宋体" w:cs="宋体"/>
          <w:b/>
          <w:bCs/>
          <w:color w:val="auto"/>
          <w:spacing w:val="26"/>
          <w:sz w:val="24"/>
          <w:szCs w:val="24"/>
          <w:highlight w:val="none"/>
        </w:rPr>
      </w:pPr>
      <w:r>
        <w:rPr>
          <w:rStyle w:val="31"/>
          <w:rFonts w:hint="eastAsia" w:ascii="宋体" w:hAnsi="宋体" w:cs="宋体"/>
          <w:b/>
          <w:bCs/>
          <w:color w:val="auto"/>
          <w:spacing w:val="26"/>
          <w:sz w:val="28"/>
          <w:szCs w:val="28"/>
          <w:highlight w:val="none"/>
          <w:lang w:val="en-US" w:eastAsia="zh-CN"/>
        </w:rPr>
        <w:t>四、其他材料</w:t>
      </w:r>
      <w:r>
        <w:rPr>
          <w:rFonts w:hint="eastAsia" w:ascii="宋体" w:hAnsi="宋体" w:eastAsia="宋体" w:cs="宋体"/>
          <w:b/>
          <w:bCs/>
          <w:color w:val="auto"/>
          <w:spacing w:val="26"/>
          <w:sz w:val="24"/>
          <w:szCs w:val="24"/>
          <w:highlight w:val="none"/>
        </w:rPr>
        <w:br w:type="page"/>
      </w:r>
    </w:p>
    <w:p>
      <w:pPr>
        <w:spacing w:line="600" w:lineRule="auto"/>
        <w:jc w:val="distribute"/>
        <w:rPr>
          <w:rFonts w:hint="eastAsia" w:ascii="宋体" w:hAnsi="宋体" w:eastAsia="宋体" w:cs="宋体"/>
          <w:b/>
          <w:bCs/>
          <w:color w:val="auto"/>
          <w:sz w:val="44"/>
          <w:szCs w:val="44"/>
          <w:highlight w:val="none"/>
        </w:rPr>
      </w:pPr>
    </w:p>
    <w:p>
      <w:pPr>
        <w:pStyle w:val="18"/>
        <w:rPr>
          <w:rFonts w:hint="eastAsia" w:ascii="宋体" w:hAnsi="宋体" w:eastAsia="宋体" w:cs="宋体"/>
          <w:b/>
          <w:bCs/>
          <w:color w:val="auto"/>
          <w:sz w:val="44"/>
          <w:szCs w:val="44"/>
          <w:highlight w:val="none"/>
        </w:rPr>
      </w:pPr>
    </w:p>
    <w:p>
      <w:pPr>
        <w:pStyle w:val="18"/>
        <w:rPr>
          <w:rFonts w:hint="eastAsia" w:ascii="宋体" w:hAnsi="宋体" w:eastAsia="宋体" w:cs="宋体"/>
          <w:b/>
          <w:bCs/>
          <w:color w:val="auto"/>
          <w:sz w:val="44"/>
          <w:szCs w:val="44"/>
          <w:highlight w:val="none"/>
        </w:rPr>
      </w:pPr>
    </w:p>
    <w:p>
      <w:pPr>
        <w:pStyle w:val="18"/>
        <w:rPr>
          <w:rFonts w:hint="eastAsia" w:ascii="宋体" w:hAnsi="宋体" w:eastAsia="宋体" w:cs="宋体"/>
          <w:b/>
          <w:bCs/>
          <w:color w:val="auto"/>
          <w:sz w:val="44"/>
          <w:szCs w:val="44"/>
          <w:highlight w:val="none"/>
        </w:rPr>
      </w:pPr>
    </w:p>
    <w:p>
      <w:pPr>
        <w:pStyle w:val="18"/>
        <w:rPr>
          <w:rFonts w:hint="eastAsia" w:ascii="宋体" w:hAnsi="宋体" w:eastAsia="宋体" w:cs="宋体"/>
          <w:b/>
          <w:bCs/>
          <w:color w:val="auto"/>
          <w:sz w:val="44"/>
          <w:szCs w:val="44"/>
          <w:highlight w:val="none"/>
        </w:rPr>
      </w:pPr>
    </w:p>
    <w:p>
      <w:pPr>
        <w:pStyle w:val="18"/>
        <w:rPr>
          <w:rFonts w:hint="eastAsia" w:ascii="宋体" w:hAnsi="宋体" w:eastAsia="宋体" w:cs="宋体"/>
          <w:b/>
          <w:bCs/>
          <w:color w:val="auto"/>
          <w:sz w:val="44"/>
          <w:szCs w:val="44"/>
          <w:highlight w:val="none"/>
        </w:rPr>
      </w:pPr>
    </w:p>
    <w:p>
      <w:pPr>
        <w:pStyle w:val="12"/>
        <w:rPr>
          <w:rFonts w:hint="eastAsia" w:ascii="宋体" w:hAnsi="宋体" w:eastAsia="宋体" w:cs="宋体"/>
          <w:color w:val="auto"/>
          <w:highlight w:val="none"/>
        </w:rPr>
      </w:pPr>
    </w:p>
    <w:p>
      <w:pPr>
        <w:jc w:val="center"/>
        <w:outlineLvl w:val="0"/>
        <w:rPr>
          <w:rFonts w:hint="eastAsia" w:ascii="宋体" w:hAnsi="宋体" w:eastAsia="宋体" w:cs="宋体"/>
          <w:b/>
          <w:bCs/>
          <w:color w:val="auto"/>
          <w:sz w:val="44"/>
          <w:szCs w:val="44"/>
          <w:highlight w:val="none"/>
        </w:rPr>
      </w:pPr>
      <w:bookmarkStart w:id="1161" w:name="_Toc28791"/>
      <w:bookmarkStart w:id="1162" w:name="_Toc9642"/>
      <w:bookmarkStart w:id="1163" w:name="_Toc8160"/>
      <w:bookmarkStart w:id="1164" w:name="_Toc32684"/>
      <w:bookmarkStart w:id="1165" w:name="_Toc23176"/>
      <w:bookmarkStart w:id="1166" w:name="_Toc17311"/>
      <w:r>
        <w:rPr>
          <w:rFonts w:hint="eastAsia" w:ascii="宋体" w:hAnsi="宋体" w:cs="宋体"/>
          <w:b/>
          <w:bCs/>
          <w:color w:val="auto"/>
          <w:spacing w:val="26"/>
          <w:sz w:val="44"/>
          <w:szCs w:val="44"/>
          <w:highlight w:val="none"/>
          <w:lang w:val="en-US" w:eastAsia="zh-CN"/>
        </w:rPr>
        <w:t xml:space="preserve">第二部分  </w:t>
      </w:r>
      <w:r>
        <w:rPr>
          <w:rFonts w:hint="eastAsia" w:ascii="宋体" w:hAnsi="宋体" w:eastAsia="宋体" w:cs="宋体"/>
          <w:b/>
          <w:bCs/>
          <w:color w:val="auto"/>
          <w:sz w:val="44"/>
          <w:szCs w:val="44"/>
          <w:highlight w:val="none"/>
        </w:rPr>
        <w:t>技术部分</w:t>
      </w:r>
      <w:bookmarkEnd w:id="1161"/>
      <w:bookmarkEnd w:id="1162"/>
      <w:bookmarkEnd w:id="1163"/>
      <w:bookmarkEnd w:id="1164"/>
      <w:bookmarkEnd w:id="1165"/>
      <w:bookmarkEnd w:id="1166"/>
    </w:p>
    <w:p>
      <w:pPr>
        <w:spacing w:line="600" w:lineRule="auto"/>
        <w:jc w:val="center"/>
        <w:rPr>
          <w:rFonts w:hint="eastAsia" w:ascii="宋体" w:hAnsi="宋体" w:eastAsia="宋体" w:cs="宋体"/>
          <w:b/>
          <w:bCs/>
          <w:color w:val="auto"/>
          <w:spacing w:val="26"/>
          <w:sz w:val="36"/>
          <w:szCs w:val="36"/>
          <w:highlight w:val="none"/>
        </w:rPr>
      </w:pPr>
    </w:p>
    <w:p>
      <w:pPr>
        <w:spacing w:line="600" w:lineRule="auto"/>
        <w:jc w:val="left"/>
        <w:rPr>
          <w:rFonts w:hint="eastAsia" w:ascii="宋体" w:hAnsi="宋体" w:eastAsia="宋体" w:cs="宋体"/>
          <w:b/>
          <w:bCs/>
          <w:color w:val="auto"/>
          <w:spacing w:val="26"/>
          <w:sz w:val="30"/>
          <w:szCs w:val="30"/>
          <w:highlight w:val="none"/>
        </w:rPr>
      </w:pPr>
    </w:p>
    <w:p>
      <w:pPr>
        <w:pStyle w:val="11"/>
        <w:rPr>
          <w:rFonts w:hint="eastAsia"/>
          <w:color w:val="auto"/>
          <w:highlight w:val="none"/>
        </w:rPr>
      </w:pPr>
    </w:p>
    <w:p>
      <w:pPr>
        <w:spacing w:before="312" w:beforeLines="100" w:after="312" w:afterLines="100"/>
        <w:jc w:val="center"/>
        <w:outlineLvl w:val="9"/>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bookmarkEnd w:id="1159"/>
    <w:bookmarkEnd w:id="1160"/>
    <w:p>
      <w:pPr>
        <w:pStyle w:val="3"/>
        <w:numPr>
          <w:ilvl w:val="0"/>
          <w:numId w:val="12"/>
        </w:numPr>
        <w:bidi w:val="0"/>
        <w:jc w:val="center"/>
        <w:outlineLvl w:val="1"/>
        <w:rPr>
          <w:rFonts w:hint="eastAsia" w:ascii="宋体" w:hAnsi="宋体" w:eastAsia="宋体" w:cs="宋体"/>
          <w:color w:val="auto"/>
          <w:highlight w:val="none"/>
        </w:rPr>
      </w:pPr>
      <w:r>
        <w:rPr>
          <w:rFonts w:hint="eastAsia" w:ascii="宋体" w:hAnsi="宋体" w:cs="宋体"/>
          <w:color w:val="auto"/>
          <w:highlight w:val="none"/>
          <w:lang w:val="en-US" w:eastAsia="zh-CN"/>
        </w:rPr>
        <w:t>业绩</w:t>
      </w:r>
    </w:p>
    <w:tbl>
      <w:tblPr>
        <w:tblStyle w:val="24"/>
        <w:tblpPr w:leftFromText="180" w:rightFromText="180" w:vertAnchor="page" w:horzAnchor="page" w:tblpX="1728" w:tblpY="2922"/>
        <w:tblOverlap w:val="never"/>
        <w:tblW w:w="86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1670"/>
        <w:gridCol w:w="1983"/>
        <w:gridCol w:w="1390"/>
        <w:gridCol w:w="1703"/>
        <w:gridCol w:w="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027" w:type="dxa"/>
            <w:vAlign w:val="top"/>
          </w:tcPr>
          <w:p>
            <w:pPr>
              <w:spacing w:before="250" w:line="229" w:lineRule="auto"/>
              <w:ind w:left="30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序号</w:t>
            </w:r>
          </w:p>
        </w:tc>
        <w:tc>
          <w:tcPr>
            <w:tcW w:w="1670" w:type="dxa"/>
            <w:vAlign w:val="top"/>
          </w:tcPr>
          <w:p>
            <w:pPr>
              <w:spacing w:before="251" w:line="228" w:lineRule="auto"/>
              <w:ind w:left="20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业主单位名称</w:t>
            </w:r>
          </w:p>
        </w:tc>
        <w:tc>
          <w:tcPr>
            <w:tcW w:w="1983" w:type="dxa"/>
            <w:vAlign w:val="top"/>
          </w:tcPr>
          <w:p>
            <w:pPr>
              <w:spacing w:before="251" w:line="228" w:lineRule="auto"/>
              <w:ind w:left="58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项目名称</w:t>
            </w:r>
          </w:p>
        </w:tc>
        <w:tc>
          <w:tcPr>
            <w:tcW w:w="1390" w:type="dxa"/>
            <w:vAlign w:val="top"/>
          </w:tcPr>
          <w:p>
            <w:pPr>
              <w:spacing w:before="250" w:line="228" w:lineRule="auto"/>
              <w:ind w:left="28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合同金额</w:t>
            </w:r>
          </w:p>
        </w:tc>
        <w:tc>
          <w:tcPr>
            <w:tcW w:w="1703" w:type="dxa"/>
            <w:vAlign w:val="top"/>
          </w:tcPr>
          <w:p>
            <w:pPr>
              <w:spacing w:before="250" w:line="230" w:lineRule="auto"/>
              <w:ind w:left="2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合同签订时间</w:t>
            </w:r>
          </w:p>
        </w:tc>
        <w:tc>
          <w:tcPr>
            <w:tcW w:w="878" w:type="dxa"/>
            <w:vAlign w:val="top"/>
          </w:tcPr>
          <w:p>
            <w:pPr>
              <w:spacing w:before="250" w:line="229" w:lineRule="auto"/>
              <w:ind w:left="23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27" w:type="dxa"/>
            <w:vAlign w:val="top"/>
          </w:tcPr>
          <w:p>
            <w:pPr>
              <w:pStyle w:val="44"/>
              <w:rPr>
                <w:color w:val="auto"/>
                <w:highlight w:val="none"/>
              </w:rPr>
            </w:pPr>
          </w:p>
        </w:tc>
        <w:tc>
          <w:tcPr>
            <w:tcW w:w="1670" w:type="dxa"/>
            <w:vAlign w:val="top"/>
          </w:tcPr>
          <w:p>
            <w:pPr>
              <w:pStyle w:val="44"/>
              <w:rPr>
                <w:color w:val="auto"/>
                <w:highlight w:val="none"/>
              </w:rPr>
            </w:pPr>
          </w:p>
        </w:tc>
        <w:tc>
          <w:tcPr>
            <w:tcW w:w="1983" w:type="dxa"/>
            <w:vAlign w:val="top"/>
          </w:tcPr>
          <w:p>
            <w:pPr>
              <w:pStyle w:val="44"/>
              <w:rPr>
                <w:color w:val="auto"/>
                <w:highlight w:val="none"/>
              </w:rPr>
            </w:pPr>
          </w:p>
        </w:tc>
        <w:tc>
          <w:tcPr>
            <w:tcW w:w="1390" w:type="dxa"/>
            <w:vAlign w:val="top"/>
          </w:tcPr>
          <w:p>
            <w:pPr>
              <w:pStyle w:val="44"/>
              <w:rPr>
                <w:color w:val="auto"/>
                <w:highlight w:val="none"/>
              </w:rPr>
            </w:pPr>
          </w:p>
        </w:tc>
        <w:tc>
          <w:tcPr>
            <w:tcW w:w="1703" w:type="dxa"/>
            <w:vAlign w:val="top"/>
          </w:tcPr>
          <w:p>
            <w:pPr>
              <w:pStyle w:val="44"/>
              <w:rPr>
                <w:color w:val="auto"/>
                <w:highlight w:val="none"/>
              </w:rPr>
            </w:pPr>
          </w:p>
        </w:tc>
        <w:tc>
          <w:tcPr>
            <w:tcW w:w="878" w:type="dxa"/>
            <w:vAlign w:val="top"/>
          </w:tcPr>
          <w:p>
            <w:pPr>
              <w:pStyle w:val="44"/>
              <w:rPr>
                <w:color w:val="auto"/>
                <w:highlight w:val="none"/>
              </w:rPr>
            </w:pPr>
          </w:p>
        </w:tc>
      </w:tr>
    </w:tbl>
    <w:p>
      <w:pPr>
        <w:jc w:val="center"/>
        <w:rPr>
          <w:rFonts w:hint="default"/>
          <w:b/>
          <w:bCs/>
          <w:color w:val="auto"/>
          <w:sz w:val="28"/>
          <w:szCs w:val="28"/>
          <w:highlight w:val="none"/>
          <w:lang w:val="en-US" w:eastAsia="zh-CN"/>
        </w:rPr>
      </w:pPr>
      <w:r>
        <w:rPr>
          <w:rFonts w:hint="eastAsia"/>
          <w:b/>
          <w:bCs/>
          <w:color w:val="auto"/>
          <w:sz w:val="28"/>
          <w:szCs w:val="28"/>
          <w:highlight w:val="none"/>
          <w:lang w:val="en-US" w:eastAsia="zh-CN"/>
        </w:rPr>
        <w:t>1、企业业绩一览表</w:t>
      </w:r>
    </w:p>
    <w:p>
      <w:pPr>
        <w:adjustRightInd/>
        <w:snapToGrid/>
        <w:spacing w:line="285" w:lineRule="auto"/>
        <w:ind w:left="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说明：1、</w:t>
      </w:r>
      <w:r>
        <w:rPr>
          <w:rFonts w:hint="eastAsia" w:ascii="宋体" w:hAnsi="宋体" w:eastAsia="宋体" w:cs="宋体"/>
          <w:b/>
          <w:bCs/>
          <w:color w:val="auto"/>
          <w:szCs w:val="21"/>
          <w:highlight w:val="none"/>
        </w:rPr>
        <w:t>供应商提供自20</w:t>
      </w:r>
      <w:r>
        <w:rPr>
          <w:rFonts w:hint="eastAsia" w:ascii="宋体" w:hAnsi="宋体" w:eastAsia="宋体" w:cs="宋体"/>
          <w:b/>
          <w:bCs/>
          <w:color w:val="auto"/>
          <w:szCs w:val="21"/>
          <w:highlight w:val="none"/>
          <w:lang w:val="en-US" w:eastAsia="zh-CN"/>
        </w:rPr>
        <w:t>20</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1日</w:t>
      </w:r>
      <w:r>
        <w:rPr>
          <w:rFonts w:hint="eastAsia" w:ascii="宋体" w:hAnsi="宋体" w:eastAsia="宋体" w:cs="宋体"/>
          <w:b/>
          <w:bCs/>
          <w:color w:val="auto"/>
          <w:szCs w:val="21"/>
          <w:highlight w:val="none"/>
        </w:rPr>
        <w:t>至今</w:t>
      </w:r>
      <w:r>
        <w:rPr>
          <w:rFonts w:hint="eastAsia" w:ascii="宋体" w:hAnsi="宋体" w:eastAsia="宋体" w:cs="宋体"/>
          <w:b/>
          <w:bCs/>
          <w:color w:val="auto"/>
          <w:sz w:val="21"/>
          <w:szCs w:val="21"/>
          <w:highlight w:val="none"/>
          <w:lang w:val="en-US" w:eastAsia="zh-CN"/>
        </w:rPr>
        <w:t>承接</w:t>
      </w:r>
      <w:r>
        <w:rPr>
          <w:rFonts w:hint="eastAsia" w:ascii="宋体" w:hAnsi="宋体" w:eastAsia="宋体" w:cs="宋体"/>
          <w:b/>
          <w:bCs/>
          <w:color w:val="auto"/>
          <w:sz w:val="21"/>
          <w:szCs w:val="21"/>
          <w:highlight w:val="none"/>
        </w:rPr>
        <w:t>的类似业绩证明材料</w:t>
      </w:r>
      <w:r>
        <w:rPr>
          <w:rFonts w:hint="eastAsia" w:ascii="宋体" w:hAnsi="宋体" w:eastAsia="宋体" w:cs="宋体"/>
          <w:b/>
          <w:bCs/>
          <w:color w:val="auto"/>
          <w:sz w:val="21"/>
          <w:szCs w:val="21"/>
          <w:highlight w:val="none"/>
          <w:lang w:eastAsia="zh-CN"/>
        </w:rPr>
        <w:t>；</w:t>
      </w:r>
    </w:p>
    <w:p>
      <w:pPr>
        <w:spacing w:line="285" w:lineRule="auto"/>
        <w:rPr>
          <w:rFonts w:ascii="Arial"/>
          <w:color w:val="auto"/>
          <w:sz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业绩证明材料为加盖供应商公章的合同及项目竣工验收合格资料复印件或扫描件，时间以合同签订时间为准。</w:t>
      </w:r>
      <w:r>
        <w:rPr>
          <w:rFonts w:hint="eastAsia" w:ascii="宋体" w:hAnsi="宋体" w:cs="宋体"/>
          <w:b/>
          <w:bCs/>
          <w:color w:val="auto"/>
          <w:szCs w:val="21"/>
          <w:highlight w:val="none"/>
          <w:lang w:val="en-US" w:eastAsia="zh-CN"/>
        </w:rPr>
        <w:t xml:space="preserve"> </w:t>
      </w:r>
    </w:p>
    <w:p>
      <w:pPr>
        <w:spacing w:line="285" w:lineRule="auto"/>
        <w:rPr>
          <w:rFonts w:ascii="Arial"/>
          <w:color w:val="auto"/>
          <w:sz w:val="21"/>
          <w:highlight w:val="none"/>
        </w:rPr>
      </w:pPr>
    </w:p>
    <w:p>
      <w:pPr>
        <w:spacing w:line="285" w:lineRule="auto"/>
        <w:ind w:left="2100" w:leftChars="1000"/>
        <w:rPr>
          <w:rFonts w:ascii="Arial"/>
          <w:color w:val="auto"/>
          <w:sz w:val="21"/>
          <w:szCs w:val="21"/>
          <w:highlight w:val="none"/>
        </w:rPr>
      </w:pPr>
    </w:p>
    <w:p>
      <w:pPr>
        <w:adjustRightInd w:val="0"/>
        <w:snapToGrid w:val="0"/>
        <w:spacing w:line="480" w:lineRule="auto"/>
        <w:ind w:left="2940" w:left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adjustRightInd w:val="0"/>
        <w:snapToGrid w:val="0"/>
        <w:spacing w:line="480" w:lineRule="auto"/>
        <w:ind w:right="0" w:firstLine="2400" w:firstLineChars="10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480" w:lineRule="auto"/>
        <w:ind w:right="420"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lang w:val="en-US" w:eastAsia="zh-CN"/>
        </w:rPr>
        <w:t>拟派项目经理业绩</w:t>
      </w:r>
    </w:p>
    <w:p>
      <w:pPr>
        <w:pStyle w:val="18"/>
        <w:rPr>
          <w:rFonts w:hint="eastAsia"/>
          <w:color w:val="auto"/>
          <w:highlight w:val="none"/>
        </w:rPr>
      </w:pPr>
    </w:p>
    <w:tbl>
      <w:tblPr>
        <w:tblStyle w:val="24"/>
        <w:tblpPr w:leftFromText="180" w:rightFromText="180" w:vertAnchor="text" w:horzAnchor="page" w:tblpXSpec="center" w:tblpY="340"/>
        <w:tblOverlap w:val="never"/>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851"/>
        <w:gridCol w:w="1685"/>
        <w:gridCol w:w="168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69" w:type="dxa"/>
            <w:vAlign w:val="center"/>
          </w:tcPr>
          <w:p>
            <w:pPr>
              <w:jc w:val="center"/>
              <w:rPr>
                <w:rFonts w:hint="eastAsia" w:ascii="宋体" w:hAnsi="宋体" w:eastAsia="宋体" w:cs="宋体"/>
                <w:color w:val="auto"/>
                <w:sz w:val="24"/>
                <w:szCs w:val="22"/>
                <w:highlight w:val="none"/>
                <w:lang w:eastAsia="zh-CN"/>
              </w:rPr>
            </w:pPr>
            <w:bookmarkStart w:id="1167" w:name="_Toc321812060"/>
            <w:bookmarkStart w:id="1168" w:name="_Toc324521856"/>
            <w:r>
              <w:rPr>
                <w:rFonts w:hint="eastAsia" w:ascii="宋体" w:hAnsi="宋体" w:eastAsia="宋体" w:cs="宋体"/>
                <w:color w:val="auto"/>
                <w:spacing w:val="6"/>
                <w:sz w:val="20"/>
                <w:szCs w:val="20"/>
                <w:highlight w:val="none"/>
                <w:lang w:val="en-US" w:eastAsia="zh-CN"/>
              </w:rPr>
              <w:t>序号</w:t>
            </w:r>
          </w:p>
        </w:tc>
        <w:tc>
          <w:tcPr>
            <w:tcW w:w="2851" w:type="dxa"/>
            <w:vAlign w:val="center"/>
          </w:tcPr>
          <w:p>
            <w:pPr>
              <w:jc w:val="center"/>
              <w:rPr>
                <w:rFonts w:hint="eastAsia" w:ascii="宋体" w:hAnsi="宋体" w:eastAsia="宋体" w:cs="宋体"/>
                <w:color w:val="auto"/>
                <w:sz w:val="24"/>
                <w:szCs w:val="22"/>
                <w:highlight w:val="none"/>
              </w:rPr>
            </w:pPr>
            <w:r>
              <w:rPr>
                <w:rFonts w:ascii="宋体" w:hAnsi="宋体" w:eastAsia="宋体" w:cs="宋体"/>
                <w:color w:val="auto"/>
                <w:spacing w:val="6"/>
                <w:sz w:val="20"/>
                <w:szCs w:val="20"/>
                <w:highlight w:val="none"/>
              </w:rPr>
              <w:t>项目名称</w:t>
            </w:r>
          </w:p>
        </w:tc>
        <w:tc>
          <w:tcPr>
            <w:tcW w:w="1685" w:type="dxa"/>
            <w:vAlign w:val="center"/>
          </w:tcPr>
          <w:p>
            <w:pPr>
              <w:jc w:val="center"/>
              <w:rPr>
                <w:rFonts w:hint="eastAsia" w:ascii="宋体" w:hAnsi="宋体" w:eastAsia="宋体" w:cs="宋体"/>
                <w:color w:val="auto"/>
                <w:spacing w:val="6"/>
                <w:kern w:val="2"/>
                <w:sz w:val="20"/>
                <w:szCs w:val="20"/>
                <w:highlight w:val="none"/>
                <w:lang w:val="en-US" w:eastAsia="zh-CN" w:bidi="ar-SA"/>
              </w:rPr>
            </w:pPr>
            <w:r>
              <w:rPr>
                <w:rFonts w:ascii="宋体" w:hAnsi="宋体" w:eastAsia="宋体" w:cs="宋体"/>
                <w:color w:val="auto"/>
                <w:spacing w:val="6"/>
                <w:sz w:val="20"/>
                <w:szCs w:val="20"/>
                <w:highlight w:val="none"/>
              </w:rPr>
              <w:t>合同金额</w:t>
            </w:r>
          </w:p>
        </w:tc>
        <w:tc>
          <w:tcPr>
            <w:tcW w:w="1685" w:type="dxa"/>
            <w:vAlign w:val="center"/>
          </w:tcPr>
          <w:p>
            <w:pPr>
              <w:jc w:val="center"/>
              <w:rPr>
                <w:rFonts w:hint="eastAsia" w:ascii="宋体" w:hAnsi="宋体" w:eastAsia="宋体" w:cs="宋体"/>
                <w:color w:val="auto"/>
                <w:spacing w:val="6"/>
                <w:kern w:val="2"/>
                <w:sz w:val="20"/>
                <w:szCs w:val="20"/>
                <w:highlight w:val="none"/>
                <w:lang w:val="en-US" w:eastAsia="zh-CN" w:bidi="ar-SA"/>
              </w:rPr>
            </w:pPr>
            <w:r>
              <w:rPr>
                <w:rFonts w:ascii="宋体" w:hAnsi="宋体" w:eastAsia="宋体" w:cs="宋体"/>
                <w:color w:val="auto"/>
                <w:spacing w:val="6"/>
                <w:sz w:val="20"/>
                <w:szCs w:val="20"/>
                <w:highlight w:val="none"/>
              </w:rPr>
              <w:t>合同签订时间</w:t>
            </w:r>
          </w:p>
        </w:tc>
        <w:tc>
          <w:tcPr>
            <w:tcW w:w="1788" w:type="dxa"/>
            <w:vAlign w:val="center"/>
          </w:tcPr>
          <w:p>
            <w:pPr>
              <w:jc w:val="center"/>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69" w:type="dxa"/>
            <w:vAlign w:val="center"/>
          </w:tcPr>
          <w:p>
            <w:pPr>
              <w:rPr>
                <w:rFonts w:hint="eastAsia" w:ascii="宋体" w:hAnsi="宋体" w:eastAsia="宋体" w:cs="宋体"/>
                <w:color w:val="auto"/>
                <w:sz w:val="24"/>
                <w:szCs w:val="22"/>
                <w:highlight w:val="none"/>
              </w:rPr>
            </w:pPr>
          </w:p>
        </w:tc>
        <w:tc>
          <w:tcPr>
            <w:tcW w:w="2851"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788"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69" w:type="dxa"/>
            <w:vAlign w:val="center"/>
          </w:tcPr>
          <w:p>
            <w:pPr>
              <w:rPr>
                <w:rFonts w:hint="eastAsia" w:ascii="宋体" w:hAnsi="宋体" w:eastAsia="宋体" w:cs="宋体"/>
                <w:color w:val="auto"/>
                <w:sz w:val="24"/>
                <w:szCs w:val="22"/>
                <w:highlight w:val="none"/>
              </w:rPr>
            </w:pPr>
          </w:p>
        </w:tc>
        <w:tc>
          <w:tcPr>
            <w:tcW w:w="2851"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788"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69" w:type="dxa"/>
            <w:vAlign w:val="center"/>
          </w:tcPr>
          <w:p>
            <w:pPr>
              <w:rPr>
                <w:rFonts w:hint="eastAsia" w:ascii="宋体" w:hAnsi="宋体" w:eastAsia="宋体" w:cs="宋体"/>
                <w:color w:val="auto"/>
                <w:sz w:val="24"/>
                <w:szCs w:val="22"/>
                <w:highlight w:val="none"/>
              </w:rPr>
            </w:pPr>
          </w:p>
        </w:tc>
        <w:tc>
          <w:tcPr>
            <w:tcW w:w="2851"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788"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69" w:type="dxa"/>
            <w:vAlign w:val="center"/>
          </w:tcPr>
          <w:p>
            <w:pPr>
              <w:rPr>
                <w:rFonts w:hint="eastAsia" w:ascii="宋体" w:hAnsi="宋体" w:eastAsia="宋体" w:cs="宋体"/>
                <w:color w:val="auto"/>
                <w:sz w:val="24"/>
                <w:szCs w:val="22"/>
                <w:highlight w:val="none"/>
              </w:rPr>
            </w:pPr>
          </w:p>
        </w:tc>
        <w:tc>
          <w:tcPr>
            <w:tcW w:w="2851"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788"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69" w:type="dxa"/>
            <w:vAlign w:val="center"/>
          </w:tcPr>
          <w:p>
            <w:pPr>
              <w:rPr>
                <w:rFonts w:hint="eastAsia" w:ascii="宋体" w:hAnsi="宋体" w:eastAsia="宋体" w:cs="宋体"/>
                <w:color w:val="auto"/>
                <w:sz w:val="24"/>
                <w:szCs w:val="22"/>
                <w:highlight w:val="none"/>
              </w:rPr>
            </w:pPr>
          </w:p>
        </w:tc>
        <w:tc>
          <w:tcPr>
            <w:tcW w:w="2851"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788"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69" w:type="dxa"/>
            <w:vAlign w:val="center"/>
          </w:tcPr>
          <w:p>
            <w:pPr>
              <w:rPr>
                <w:rFonts w:hint="eastAsia" w:ascii="宋体" w:hAnsi="宋体" w:eastAsia="宋体" w:cs="宋体"/>
                <w:color w:val="auto"/>
                <w:sz w:val="24"/>
                <w:szCs w:val="22"/>
                <w:highlight w:val="none"/>
              </w:rPr>
            </w:pPr>
          </w:p>
        </w:tc>
        <w:tc>
          <w:tcPr>
            <w:tcW w:w="2851"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788" w:type="dxa"/>
            <w:vAlign w:val="center"/>
          </w:tcPr>
          <w:p>
            <w:pP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69" w:type="dxa"/>
            <w:vAlign w:val="center"/>
          </w:tcPr>
          <w:p>
            <w:pPr>
              <w:rPr>
                <w:rFonts w:hint="eastAsia" w:ascii="宋体" w:hAnsi="宋体" w:eastAsia="宋体" w:cs="宋体"/>
                <w:color w:val="auto"/>
                <w:sz w:val="24"/>
                <w:szCs w:val="22"/>
                <w:highlight w:val="none"/>
              </w:rPr>
            </w:pPr>
          </w:p>
        </w:tc>
        <w:tc>
          <w:tcPr>
            <w:tcW w:w="2851"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685" w:type="dxa"/>
            <w:vAlign w:val="center"/>
          </w:tcPr>
          <w:p>
            <w:pPr>
              <w:rPr>
                <w:rFonts w:hint="eastAsia" w:ascii="宋体" w:hAnsi="宋体" w:eastAsia="宋体" w:cs="宋体"/>
                <w:color w:val="auto"/>
                <w:sz w:val="24"/>
                <w:szCs w:val="22"/>
                <w:highlight w:val="none"/>
              </w:rPr>
            </w:pPr>
          </w:p>
        </w:tc>
        <w:tc>
          <w:tcPr>
            <w:tcW w:w="1788" w:type="dxa"/>
            <w:vAlign w:val="center"/>
          </w:tcPr>
          <w:p>
            <w:pPr>
              <w:rPr>
                <w:rFonts w:hint="eastAsia" w:ascii="宋体" w:hAnsi="宋体" w:eastAsia="宋体" w:cs="宋体"/>
                <w:color w:val="auto"/>
                <w:sz w:val="24"/>
                <w:szCs w:val="22"/>
                <w:highlight w:val="none"/>
              </w:rPr>
            </w:pPr>
          </w:p>
        </w:tc>
      </w:tr>
    </w:tbl>
    <w:p>
      <w:pPr>
        <w:rPr>
          <w:rFonts w:hint="eastAsia"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Times New Roman" w:hAnsi="Times New Roman" w:eastAsia="宋体" w:cs="Times New Roman"/>
          <w:b/>
          <w:bCs/>
          <w:color w:val="auto"/>
          <w:sz w:val="24"/>
          <w:szCs w:val="24"/>
          <w:highlight w:val="none"/>
          <w:lang w:val="en-US" w:eastAsia="zh-CN"/>
        </w:rPr>
        <w:t>注：</w:t>
      </w:r>
      <w:r>
        <w:rPr>
          <w:rFonts w:hint="default" w:ascii="Times New Roman" w:hAnsi="Times New Roman" w:eastAsia="宋体" w:cs="Times New Roman"/>
          <w:b/>
          <w:bCs/>
          <w:color w:val="auto"/>
          <w:sz w:val="24"/>
          <w:szCs w:val="24"/>
          <w:highlight w:val="none"/>
        </w:rPr>
        <w:t>管理过的项目业绩须附合同及项目竣工验收合格资料复印件或扫描件</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时间以合同签订时间为准</w:t>
      </w:r>
      <w:r>
        <w:rPr>
          <w:rFonts w:hint="default" w:ascii="Times New Roman" w:hAnsi="Times New Roman" w:eastAsia="宋体" w:cs="Times New Roman"/>
          <w:b/>
          <w:bCs/>
          <w:color w:val="auto"/>
          <w:sz w:val="24"/>
          <w:szCs w:val="24"/>
          <w:highlight w:val="none"/>
        </w:rPr>
        <w:t>类似项目限于以项目经理身份参与的项目</w:t>
      </w:r>
      <w:r>
        <w:rPr>
          <w:rFonts w:hint="eastAsia" w:ascii="Times New Roman" w:hAnsi="Times New Roman" w:eastAsia="宋体" w:cs="Times New Roman"/>
          <w:b/>
          <w:bCs/>
          <w:color w:val="auto"/>
          <w:sz w:val="24"/>
          <w:szCs w:val="24"/>
          <w:highlight w:val="none"/>
          <w:lang w:eastAsia="zh-CN"/>
        </w:rPr>
        <w:t>。</w:t>
      </w: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3"/>
        <w:numPr>
          <w:ilvl w:val="0"/>
          <w:numId w:val="12"/>
        </w:numPr>
        <w:jc w:val="center"/>
        <w:outlineLvl w:val="1"/>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施工组织设计</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1．供应商应根据竞争性磋商文件和对现场的勘察情况，采用文字并结合图表形式，参考以下要点编制本工程的施工组织设计：</w:t>
      </w:r>
    </w:p>
    <w:tbl>
      <w:tblPr>
        <w:tblStyle w:val="24"/>
        <w:tblW w:w="7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80" w:type="dxa"/>
            <w:vAlign w:val="center"/>
          </w:tcPr>
          <w:p>
            <w:pPr>
              <w:spacing w:line="520" w:lineRule="exact"/>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施工方案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80" w:type="dxa"/>
            <w:vAlign w:val="center"/>
          </w:tcPr>
          <w:p>
            <w:pPr>
              <w:spacing w:line="520" w:lineRule="exact"/>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rPr>
              <w:t>确保工程质量的技术组织措施；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880" w:type="dxa"/>
            <w:vAlign w:val="center"/>
          </w:tcPr>
          <w:p>
            <w:pPr>
              <w:spacing w:line="520" w:lineRule="exact"/>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确保安全生产的技术组织措施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80" w:type="dxa"/>
            <w:vAlign w:val="center"/>
          </w:tcPr>
          <w:p>
            <w:pPr>
              <w:spacing w:line="520" w:lineRule="exact"/>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确保安全文明施工的技术组织措施及环境保护措施；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80" w:type="dxa"/>
            <w:vAlign w:val="center"/>
          </w:tcPr>
          <w:p>
            <w:pPr>
              <w:spacing w:line="520" w:lineRule="exact"/>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确保工期的技术组织措施；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80" w:type="dxa"/>
            <w:vAlign w:val="center"/>
          </w:tcPr>
          <w:p>
            <w:pPr>
              <w:spacing w:line="520" w:lineRule="exact"/>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rPr>
              <w:t>施工机械配备和材料投入计划；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80" w:type="dxa"/>
            <w:vAlign w:val="center"/>
          </w:tcPr>
          <w:p>
            <w:pPr>
              <w:spacing w:line="520" w:lineRule="exact"/>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rPr>
              <w:t>施工进度表或施工网络图；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880" w:type="dxa"/>
            <w:vAlign w:val="center"/>
          </w:tcPr>
          <w:p>
            <w:pPr>
              <w:spacing w:line="520" w:lineRule="exact"/>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rPr>
              <w:t>劳动力安排计划</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80" w:type="dxa"/>
            <w:vAlign w:val="center"/>
          </w:tcPr>
          <w:p>
            <w:pPr>
              <w:spacing w:line="520" w:lineRule="exact"/>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rPr>
              <w:t>施工总平面布置图；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80" w:type="dxa"/>
            <w:vAlign w:val="center"/>
          </w:tcPr>
          <w:p>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新材料新工艺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80" w:type="dxa"/>
            <w:vAlign w:val="center"/>
          </w:tcPr>
          <w:p>
            <w:pPr>
              <w:adjustRightInd w:val="0"/>
              <w:snapToGrid w:val="0"/>
              <w:spacing w:line="360" w:lineRule="auto"/>
              <w:ind w:left="47" w:leftChars="0" w:hanging="47" w:hangingChars="1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保修方案</w:t>
            </w:r>
          </w:p>
        </w:tc>
      </w:tr>
    </w:tbl>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2．施工组织设计除采用文字表述外可附下列图表，图表及格式要求附后。</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附表一  拟投入本工程的主要施工设备表</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附表二  拟配备本工程的试验和检测仪器设备表</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附表三  劳动力计划表</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附表四  计划开、竣工日期和施工进度网络图</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附表五  施工总平面图</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附表六  临时用地表</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附表七  项目管理机构</w:t>
      </w:r>
    </w:p>
    <w:p>
      <w:pPr>
        <w:spacing w:beforeLines="50" w:afterLines="100" w:line="420" w:lineRule="exact"/>
        <w:rPr>
          <w:rFonts w:hint="eastAsia" w:ascii="宋体" w:hAnsi="宋体" w:eastAsia="宋体" w:cs="宋体"/>
          <w:b/>
          <w:color w:val="auto"/>
          <w:sz w:val="24"/>
          <w:szCs w:val="24"/>
          <w:highlight w:val="none"/>
        </w:rPr>
      </w:pPr>
    </w:p>
    <w:p>
      <w:pPr>
        <w:spacing w:beforeLines="50" w:afterLines="100" w:line="420" w:lineRule="exact"/>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beforeLines="50" w:afterLines="100"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附表一：拟投入本工程的主要施工设备表</w:t>
      </w:r>
    </w:p>
    <w:tbl>
      <w:tblPr>
        <w:tblStyle w:val="24"/>
        <w:tblW w:w="907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56"/>
        <w:gridCol w:w="845"/>
        <w:gridCol w:w="144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right"/>
        </w:trPr>
        <w:tc>
          <w:tcPr>
            <w:tcW w:w="871"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78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85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9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69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115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（KW）</w:t>
            </w:r>
          </w:p>
        </w:tc>
        <w:tc>
          <w:tcPr>
            <w:tcW w:w="8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144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用于施工</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部位</w:t>
            </w:r>
          </w:p>
        </w:tc>
        <w:tc>
          <w:tcPr>
            <w:tcW w:w="94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1" w:type="dxa"/>
            <w:vAlign w:val="center"/>
          </w:tcPr>
          <w:p>
            <w:pPr>
              <w:jc w:val="center"/>
              <w:rPr>
                <w:rFonts w:hint="eastAsia" w:ascii="宋体" w:hAnsi="宋体" w:eastAsia="宋体" w:cs="宋体"/>
                <w:color w:val="auto"/>
                <w:sz w:val="24"/>
                <w:szCs w:val="24"/>
                <w:highlight w:val="none"/>
              </w:rPr>
            </w:pPr>
          </w:p>
        </w:tc>
        <w:tc>
          <w:tcPr>
            <w:tcW w:w="785" w:type="dxa"/>
            <w:vAlign w:val="center"/>
          </w:tcPr>
          <w:p>
            <w:pPr>
              <w:jc w:val="center"/>
              <w:rPr>
                <w:rFonts w:hint="eastAsia" w:ascii="宋体" w:hAnsi="宋体" w:eastAsia="宋体" w:cs="宋体"/>
                <w:color w:val="auto"/>
                <w:sz w:val="24"/>
                <w:szCs w:val="24"/>
                <w:highlight w:val="none"/>
              </w:rPr>
            </w:pPr>
          </w:p>
        </w:tc>
        <w:tc>
          <w:tcPr>
            <w:tcW w:w="789" w:type="dxa"/>
            <w:vAlign w:val="center"/>
          </w:tcPr>
          <w:p>
            <w:pPr>
              <w:jc w:val="center"/>
              <w:rPr>
                <w:rFonts w:hint="eastAsia" w:ascii="宋体" w:hAnsi="宋体" w:eastAsia="宋体" w:cs="宋体"/>
                <w:color w:val="auto"/>
                <w:sz w:val="24"/>
                <w:szCs w:val="24"/>
                <w:highlight w:val="none"/>
              </w:rPr>
            </w:pPr>
          </w:p>
        </w:tc>
        <w:tc>
          <w:tcPr>
            <w:tcW w:w="854"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692"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c>
          <w:tcPr>
            <w:tcW w:w="845" w:type="dxa"/>
            <w:vAlign w:val="center"/>
          </w:tcPr>
          <w:p>
            <w:pPr>
              <w:jc w:val="center"/>
              <w:rPr>
                <w:rFonts w:hint="eastAsia" w:ascii="宋体" w:hAnsi="宋体" w:eastAsia="宋体" w:cs="宋体"/>
                <w:color w:val="auto"/>
                <w:sz w:val="24"/>
                <w:szCs w:val="24"/>
                <w:highlight w:val="none"/>
              </w:rPr>
            </w:pPr>
          </w:p>
        </w:tc>
        <w:tc>
          <w:tcPr>
            <w:tcW w:w="1440" w:type="dxa"/>
            <w:vAlign w:val="center"/>
          </w:tcPr>
          <w:p>
            <w:pPr>
              <w:jc w:val="center"/>
              <w:rPr>
                <w:rFonts w:hint="eastAsia" w:ascii="宋体" w:hAnsi="宋体" w:eastAsia="宋体" w:cs="宋体"/>
                <w:color w:val="auto"/>
                <w:sz w:val="24"/>
                <w:szCs w:val="24"/>
                <w:highlight w:val="none"/>
              </w:rPr>
            </w:pPr>
          </w:p>
        </w:tc>
        <w:tc>
          <w:tcPr>
            <w:tcW w:w="948" w:type="dxa"/>
            <w:vAlign w:val="center"/>
          </w:tcPr>
          <w:p>
            <w:pPr>
              <w:jc w:val="center"/>
              <w:rPr>
                <w:rFonts w:hint="eastAsia" w:ascii="宋体" w:hAnsi="宋体" w:eastAsia="宋体" w:cs="宋体"/>
                <w:color w:val="auto"/>
                <w:sz w:val="24"/>
                <w:szCs w:val="24"/>
                <w:highlight w:val="none"/>
              </w:rPr>
            </w:pPr>
          </w:p>
        </w:tc>
      </w:tr>
    </w:tbl>
    <w:p>
      <w:pPr>
        <w:spacing w:line="420" w:lineRule="exact"/>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beforeLines="50" w:afterLines="100"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附表二：拟配备本工程的试验和检测仪器设备表</w:t>
      </w:r>
    </w:p>
    <w:tbl>
      <w:tblPr>
        <w:tblStyle w:val="24"/>
        <w:tblW w:w="911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right"/>
        </w:trPr>
        <w:tc>
          <w:tcPr>
            <w:tcW w:w="87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仪器设备名称</w:t>
            </w:r>
          </w:p>
        </w:tc>
        <w:tc>
          <w:tcPr>
            <w:tcW w:w="112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031"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7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973"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12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已使用</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台时数</w:t>
            </w:r>
          </w:p>
        </w:tc>
        <w:tc>
          <w:tcPr>
            <w:tcW w:w="85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  途</w:t>
            </w:r>
          </w:p>
        </w:tc>
        <w:tc>
          <w:tcPr>
            <w:tcW w:w="105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876" w:type="dxa"/>
            <w:vAlign w:val="center"/>
          </w:tcPr>
          <w:p>
            <w:pPr>
              <w:jc w:val="center"/>
              <w:rPr>
                <w:rFonts w:hint="eastAsia" w:ascii="宋体" w:hAnsi="宋体" w:eastAsia="宋体" w:cs="宋体"/>
                <w:color w:val="auto"/>
                <w:sz w:val="24"/>
                <w:szCs w:val="24"/>
                <w:highlight w:val="none"/>
              </w:rPr>
            </w:pPr>
          </w:p>
        </w:tc>
        <w:tc>
          <w:tcPr>
            <w:tcW w:w="1064" w:type="dxa"/>
            <w:vAlign w:val="center"/>
          </w:tcPr>
          <w:p>
            <w:pPr>
              <w:jc w:val="center"/>
              <w:rPr>
                <w:rFonts w:hint="eastAsia" w:ascii="宋体" w:hAnsi="宋体" w:eastAsia="宋体" w:cs="宋体"/>
                <w:color w:val="auto"/>
                <w:sz w:val="24"/>
                <w:szCs w:val="24"/>
                <w:highlight w:val="none"/>
              </w:rPr>
            </w:pPr>
          </w:p>
        </w:tc>
        <w:tc>
          <w:tcPr>
            <w:tcW w:w="1120" w:type="dxa"/>
            <w:vAlign w:val="center"/>
          </w:tcPr>
          <w:p>
            <w:pPr>
              <w:jc w:val="center"/>
              <w:rPr>
                <w:rFonts w:hint="eastAsia" w:ascii="宋体" w:hAnsi="宋体" w:eastAsia="宋体" w:cs="宋体"/>
                <w:color w:val="auto"/>
                <w:sz w:val="24"/>
                <w:szCs w:val="24"/>
                <w:highlight w:val="none"/>
              </w:rPr>
            </w:pPr>
          </w:p>
        </w:tc>
        <w:tc>
          <w:tcPr>
            <w:tcW w:w="1031"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973"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856" w:type="dxa"/>
            <w:vAlign w:val="center"/>
          </w:tcPr>
          <w:p>
            <w:pPr>
              <w:jc w:val="center"/>
              <w:rPr>
                <w:rFonts w:hint="eastAsia" w:ascii="宋体" w:hAnsi="宋体" w:eastAsia="宋体" w:cs="宋体"/>
                <w:color w:val="auto"/>
                <w:sz w:val="24"/>
                <w:szCs w:val="24"/>
                <w:highlight w:val="none"/>
              </w:rPr>
            </w:pPr>
          </w:p>
        </w:tc>
        <w:tc>
          <w:tcPr>
            <w:tcW w:w="1056" w:type="dxa"/>
            <w:vAlign w:val="center"/>
          </w:tcPr>
          <w:p>
            <w:pPr>
              <w:jc w:val="center"/>
              <w:rPr>
                <w:rFonts w:hint="eastAsia" w:ascii="宋体" w:hAnsi="宋体" w:eastAsia="宋体" w:cs="宋体"/>
                <w:color w:val="auto"/>
                <w:sz w:val="24"/>
                <w:szCs w:val="24"/>
                <w:highlight w:val="none"/>
              </w:rPr>
            </w:pPr>
          </w:p>
        </w:tc>
      </w:tr>
    </w:tbl>
    <w:p>
      <w:pPr>
        <w:spacing w:line="420" w:lineRule="exact"/>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beforeLines="50" w:afterLines="50"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附表三：劳动力计划表</w:t>
      </w:r>
    </w:p>
    <w:p>
      <w:pPr>
        <w:spacing w:line="420" w:lineRule="exact"/>
        <w:ind w:right="36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单位：人   </w:t>
      </w:r>
    </w:p>
    <w:tbl>
      <w:tblPr>
        <w:tblStyle w:val="24"/>
        <w:tblW w:w="895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right"/>
        </w:trPr>
        <w:tc>
          <w:tcPr>
            <w:tcW w:w="152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7425" w:type="dxa"/>
            <w:gridSpan w:val="7"/>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529" w:type="dxa"/>
            <w:vAlign w:val="center"/>
          </w:tcPr>
          <w:p>
            <w:pPr>
              <w:jc w:val="center"/>
              <w:rPr>
                <w:rFonts w:hint="eastAsia" w:ascii="宋体" w:hAnsi="宋体" w:eastAsia="宋体" w:cs="宋体"/>
                <w:color w:val="auto"/>
                <w:sz w:val="24"/>
                <w:szCs w:val="24"/>
                <w:highlight w:val="none"/>
              </w:rPr>
            </w:pPr>
          </w:p>
        </w:tc>
        <w:tc>
          <w:tcPr>
            <w:tcW w:w="1047"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c>
          <w:tcPr>
            <w:tcW w:w="1063" w:type="dxa"/>
            <w:vAlign w:val="center"/>
          </w:tcPr>
          <w:p>
            <w:pPr>
              <w:jc w:val="center"/>
              <w:rPr>
                <w:rFonts w:hint="eastAsia" w:ascii="宋体" w:hAnsi="宋体" w:eastAsia="宋体" w:cs="宋体"/>
                <w:color w:val="auto"/>
                <w:sz w:val="24"/>
                <w:szCs w:val="24"/>
                <w:highlight w:val="none"/>
              </w:rPr>
            </w:pPr>
          </w:p>
        </w:tc>
      </w:tr>
    </w:tbl>
    <w:p>
      <w:pPr>
        <w:spacing w:line="420" w:lineRule="exact"/>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beforeLines="50" w:afterLines="50" w:line="42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附表四：计划开、竣工日期和施工进度网络图</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应递交施工进度网络图或施工进度表，说明按招标文件要求的计划工期进行施工的各个关键日期。</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2．施工进度表可采用网络图和（或）横道图表示。</w:t>
      </w:r>
    </w:p>
    <w:p>
      <w:pPr>
        <w:adjustRightInd w:val="0"/>
        <w:snapToGrid w:val="0"/>
        <w:spacing w:before="156" w:beforeLines="50" w:after="312" w:afterLines="100" w:line="360" w:lineRule="auto"/>
        <w:rPr>
          <w:rFonts w:ascii="宋体" w:hAnsi="宋体" w:cs="宋体"/>
          <w:b/>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val="0"/>
          <w:color w:val="auto"/>
          <w:sz w:val="24"/>
          <w:szCs w:val="24"/>
          <w:highlight w:val="none"/>
        </w:rPr>
        <w:t>附表</w:t>
      </w:r>
      <w:r>
        <w:rPr>
          <w:rFonts w:hint="eastAsia" w:ascii="宋体" w:hAnsi="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：施工总平面图</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before="156" w:beforeLines="50" w:after="312" w:afterLines="100" w:line="420" w:lineRule="exact"/>
        <w:rPr>
          <w:rFonts w:ascii="宋体" w:hAnsi="宋体" w:cs="宋体"/>
          <w:b/>
          <w:color w:val="auto"/>
          <w:sz w:val="24"/>
          <w:szCs w:val="24"/>
          <w:highlight w:val="none"/>
        </w:rPr>
      </w:pPr>
      <w:r>
        <w:rPr>
          <w:rFonts w:hint="eastAsia" w:ascii="宋体" w:hAnsi="宋体" w:cs="宋体"/>
          <w:b/>
          <w:color w:val="auto"/>
          <w:sz w:val="24"/>
          <w:szCs w:val="24"/>
          <w:highlight w:val="none"/>
        </w:rPr>
        <w:t>附表</w:t>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w:t>
      </w:r>
    </w:p>
    <w:p>
      <w:pPr>
        <w:spacing w:before="156" w:beforeLines="50" w:after="312" w:afterLines="100" w:line="42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临时用地表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用  途</w:t>
            </w:r>
          </w:p>
        </w:tc>
        <w:tc>
          <w:tcPr>
            <w:tcW w:w="207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面 积（平方米）</w:t>
            </w:r>
          </w:p>
        </w:tc>
        <w:tc>
          <w:tcPr>
            <w:tcW w:w="207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位  置</w:t>
            </w:r>
          </w:p>
        </w:tc>
        <w:tc>
          <w:tcPr>
            <w:tcW w:w="207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c>
          <w:tcPr>
            <w:tcW w:w="2079" w:type="dxa"/>
          </w:tcPr>
          <w:p>
            <w:pPr>
              <w:rPr>
                <w:rFonts w:ascii="宋体" w:hAnsi="宋体" w:cs="宋体"/>
                <w:color w:val="auto"/>
                <w:sz w:val="24"/>
                <w:szCs w:val="24"/>
                <w:highlight w:val="none"/>
              </w:rPr>
            </w:pPr>
          </w:p>
        </w:tc>
      </w:tr>
    </w:tbl>
    <w:p>
      <w:pPr>
        <w:spacing w:line="420" w:lineRule="exact"/>
        <w:rPr>
          <w:rFonts w:ascii="宋体" w:hAnsi="宋体" w:cs="宋体"/>
          <w:color w:val="auto"/>
          <w:sz w:val="24"/>
          <w:szCs w:val="24"/>
          <w:highlight w:val="none"/>
        </w:rPr>
      </w:pPr>
    </w:p>
    <w:p>
      <w:pP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br w:type="page"/>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w:t>
      </w: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：项目管理机构 </w:t>
      </w:r>
    </w:p>
    <w:p>
      <w:pPr>
        <w:spacing w:afterLines="100" w:line="42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项目管理机构组成表</w:t>
      </w:r>
    </w:p>
    <w:tbl>
      <w:tblPr>
        <w:tblStyle w:val="24"/>
        <w:tblW w:w="898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876"/>
        <w:gridCol w:w="1356"/>
        <w:gridCol w:w="771"/>
        <w:gridCol w:w="788"/>
        <w:gridCol w:w="850"/>
        <w:gridCol w:w="1702"/>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 w:type="dxa"/>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876" w:type="dxa"/>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5467" w:type="dxa"/>
            <w:gridSpan w:val="5"/>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20" w:type="dxa"/>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Merge w:val="continue"/>
            <w:vAlign w:val="center"/>
          </w:tcPr>
          <w:p>
            <w:pPr>
              <w:jc w:val="center"/>
              <w:rPr>
                <w:rFonts w:hint="eastAsia" w:ascii="宋体" w:hAnsi="宋体" w:eastAsia="宋体" w:cs="宋体"/>
                <w:color w:val="auto"/>
                <w:sz w:val="24"/>
                <w:szCs w:val="24"/>
                <w:highlight w:val="none"/>
              </w:rPr>
            </w:pPr>
          </w:p>
        </w:tc>
        <w:tc>
          <w:tcPr>
            <w:tcW w:w="720" w:type="dxa"/>
            <w:vMerge w:val="continue"/>
            <w:vAlign w:val="center"/>
          </w:tcPr>
          <w:p>
            <w:pPr>
              <w:jc w:val="center"/>
              <w:rPr>
                <w:rFonts w:hint="eastAsia" w:ascii="宋体" w:hAnsi="宋体" w:eastAsia="宋体" w:cs="宋体"/>
                <w:color w:val="auto"/>
                <w:sz w:val="24"/>
                <w:szCs w:val="24"/>
                <w:highlight w:val="none"/>
              </w:rPr>
            </w:pPr>
          </w:p>
        </w:tc>
        <w:tc>
          <w:tcPr>
            <w:tcW w:w="876" w:type="dxa"/>
            <w:vMerge w:val="continue"/>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771"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78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85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70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近年同类工程经历</w:t>
            </w:r>
          </w:p>
        </w:tc>
        <w:tc>
          <w:tcPr>
            <w:tcW w:w="1020" w:type="dxa"/>
            <w:vMerge w:val="continue"/>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00" w:type="dxa"/>
            <w:vAlign w:val="center"/>
          </w:tcPr>
          <w:p>
            <w:pPr>
              <w:jc w:val="center"/>
              <w:rPr>
                <w:rFonts w:hint="eastAsia" w:ascii="宋体" w:hAnsi="宋体" w:eastAsia="宋体" w:cs="宋体"/>
                <w:color w:val="auto"/>
                <w:sz w:val="24"/>
                <w:szCs w:val="24"/>
                <w:highlight w:val="none"/>
              </w:rPr>
            </w:pPr>
          </w:p>
        </w:tc>
        <w:tc>
          <w:tcPr>
            <w:tcW w:w="720" w:type="dxa"/>
            <w:vAlign w:val="center"/>
          </w:tcPr>
          <w:p>
            <w:pPr>
              <w:jc w:val="center"/>
              <w:rPr>
                <w:rFonts w:hint="eastAsia" w:ascii="宋体" w:hAnsi="宋体" w:eastAsia="宋体" w:cs="宋体"/>
                <w:color w:val="auto"/>
                <w:sz w:val="24"/>
                <w:szCs w:val="24"/>
                <w:highlight w:val="none"/>
              </w:rPr>
            </w:pPr>
          </w:p>
        </w:tc>
        <w:tc>
          <w:tcPr>
            <w:tcW w:w="876" w:type="dxa"/>
            <w:vAlign w:val="center"/>
          </w:tcPr>
          <w:p>
            <w:pPr>
              <w:jc w:val="center"/>
              <w:rPr>
                <w:rFonts w:hint="eastAsia" w:ascii="宋体" w:hAnsi="宋体" w:eastAsia="宋体" w:cs="宋体"/>
                <w:color w:val="auto"/>
                <w:sz w:val="24"/>
                <w:szCs w:val="24"/>
                <w:highlight w:val="none"/>
              </w:rPr>
            </w:pPr>
          </w:p>
        </w:tc>
        <w:tc>
          <w:tcPr>
            <w:tcW w:w="1356" w:type="dxa"/>
            <w:vAlign w:val="center"/>
          </w:tcPr>
          <w:p>
            <w:pPr>
              <w:jc w:val="center"/>
              <w:rPr>
                <w:rFonts w:hint="eastAsia" w:ascii="宋体" w:hAnsi="宋体" w:eastAsia="宋体" w:cs="宋体"/>
                <w:color w:val="auto"/>
                <w:sz w:val="24"/>
                <w:szCs w:val="24"/>
                <w:highlight w:val="none"/>
              </w:rPr>
            </w:pPr>
          </w:p>
        </w:tc>
        <w:tc>
          <w:tcPr>
            <w:tcW w:w="771" w:type="dxa"/>
            <w:vAlign w:val="center"/>
          </w:tcPr>
          <w:p>
            <w:pPr>
              <w:jc w:val="center"/>
              <w:rPr>
                <w:rFonts w:hint="eastAsia" w:ascii="宋体" w:hAnsi="宋体" w:eastAsia="宋体" w:cs="宋体"/>
                <w:color w:val="auto"/>
                <w:sz w:val="24"/>
                <w:szCs w:val="24"/>
                <w:highlight w:val="none"/>
              </w:rPr>
            </w:pPr>
          </w:p>
        </w:tc>
        <w:tc>
          <w:tcPr>
            <w:tcW w:w="788" w:type="dxa"/>
            <w:vAlign w:val="center"/>
          </w:tcPr>
          <w:p>
            <w:pPr>
              <w:jc w:val="center"/>
              <w:rPr>
                <w:rFonts w:hint="eastAsia" w:ascii="宋体" w:hAnsi="宋体" w:eastAsia="宋体" w:cs="宋体"/>
                <w:color w:val="auto"/>
                <w:sz w:val="24"/>
                <w:szCs w:val="24"/>
                <w:highlight w:val="none"/>
              </w:rPr>
            </w:pPr>
          </w:p>
        </w:tc>
        <w:tc>
          <w:tcPr>
            <w:tcW w:w="850" w:type="dxa"/>
            <w:vAlign w:val="center"/>
          </w:tcPr>
          <w:p>
            <w:pPr>
              <w:jc w:val="center"/>
              <w:rPr>
                <w:rFonts w:hint="eastAsia" w:ascii="宋体" w:hAnsi="宋体" w:eastAsia="宋体" w:cs="宋体"/>
                <w:color w:val="auto"/>
                <w:sz w:val="24"/>
                <w:szCs w:val="24"/>
                <w:highlight w:val="none"/>
              </w:rPr>
            </w:pPr>
          </w:p>
        </w:tc>
        <w:tc>
          <w:tcPr>
            <w:tcW w:w="1702"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r>
    </w:tbl>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附相关证明材料</w:t>
      </w:r>
    </w:p>
    <w:p>
      <w:pPr>
        <w:numPr>
          <w:ilvl w:val="0"/>
          <w:numId w:val="0"/>
        </w:numPr>
        <w:bidi w:val="0"/>
        <w:jc w:val="center"/>
        <w:outlineLvl w:val="9"/>
        <w:rPr>
          <w:rFonts w:hint="eastAsia" w:ascii="宋体" w:hAnsi="宋体" w:eastAsia="宋体" w:cs="宋体"/>
          <w:b/>
          <w:bCs/>
          <w:color w:val="auto"/>
          <w:kern w:val="2"/>
          <w:sz w:val="28"/>
          <w:szCs w:val="28"/>
          <w:highlight w:val="none"/>
          <w:lang w:val="en-US" w:eastAsia="zh-CN" w:bidi="ar-SA"/>
        </w:rPr>
      </w:pPr>
    </w:p>
    <w:bookmarkEnd w:id="1167"/>
    <w:bookmarkEnd w:id="1168"/>
    <w:p>
      <w:pPr>
        <w:spacing w:line="360" w:lineRule="auto"/>
        <w:ind w:right="-73" w:rightChars="-35"/>
        <w:rPr>
          <w:rFonts w:hint="eastAsia" w:ascii="宋体" w:hAnsi="宋体" w:eastAsia="宋体" w:cs="宋体"/>
          <w:color w:val="auto"/>
          <w:sz w:val="24"/>
          <w:highlight w:val="none"/>
          <w:lang w:val="en-US" w:eastAsia="zh-CN"/>
        </w:rPr>
      </w:pPr>
    </w:p>
    <w:p>
      <w:pPr>
        <w:pStyle w:val="2"/>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color w:val="auto"/>
          <w:highlight w:val="none"/>
          <w:lang w:val="en-US" w:eastAsia="zh-CN"/>
        </w:rPr>
      </w:pPr>
      <w:bookmarkStart w:id="1169" w:name="_Toc22362"/>
      <w:bookmarkStart w:id="1170" w:name="_Toc499"/>
      <w:bookmarkStart w:id="1171" w:name="_Toc27641"/>
      <w:bookmarkStart w:id="1172" w:name="_Toc4680"/>
    </w:p>
    <w:p>
      <w:pPr>
        <w:pStyle w:val="3"/>
        <w:bidi w:val="0"/>
        <w:jc w:val="center"/>
        <w:outlineLvl w:val="1"/>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三</w:t>
      </w:r>
      <w:r>
        <w:rPr>
          <w:rFonts w:hint="eastAsia" w:ascii="宋体" w:hAnsi="宋体" w:eastAsia="宋体" w:cs="宋体"/>
          <w:color w:val="auto"/>
          <w:highlight w:val="none"/>
        </w:rPr>
        <w:t>、其他</w:t>
      </w:r>
      <w:bookmarkEnd w:id="1169"/>
      <w:bookmarkEnd w:id="1170"/>
      <w:bookmarkEnd w:id="1171"/>
      <w:bookmarkEnd w:id="1172"/>
      <w:r>
        <w:rPr>
          <w:rFonts w:hint="eastAsia" w:ascii="宋体" w:hAnsi="宋体" w:cs="宋体"/>
          <w:color w:val="auto"/>
          <w:highlight w:val="none"/>
          <w:lang w:val="en-US" w:eastAsia="zh-CN"/>
        </w:rPr>
        <w:t>材料</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36"/>
          <w:szCs w:val="36"/>
          <w:highlight w:val="none"/>
        </w:rPr>
        <w:tab/>
      </w:r>
      <w:r>
        <w:rPr>
          <w:rFonts w:hint="eastAsia" w:ascii="宋体" w:hAnsi="宋体" w:eastAsia="宋体" w:cs="宋体"/>
          <w:b/>
          <w:bCs/>
          <w:color w:val="auto"/>
          <w:sz w:val="28"/>
          <w:szCs w:val="28"/>
          <w:highlight w:val="none"/>
        </w:rPr>
        <w:t>节能环保、环境标志产品明细表</w:t>
      </w:r>
    </w:p>
    <w:tbl>
      <w:tblPr>
        <w:tblStyle w:val="24"/>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2"/>
        <w:gridCol w:w="990"/>
        <w:gridCol w:w="1016"/>
        <w:gridCol w:w="873"/>
        <w:gridCol w:w="1069"/>
        <w:gridCol w:w="717"/>
        <w:gridCol w:w="757"/>
        <w:gridCol w:w="756"/>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8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9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101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873"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06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认证证书编号</w:t>
            </w:r>
          </w:p>
        </w:tc>
        <w:tc>
          <w:tcPr>
            <w:tcW w:w="71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5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75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6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990" w:type="dxa"/>
          </w:tcPr>
          <w:p>
            <w:pPr>
              <w:spacing w:line="360" w:lineRule="auto"/>
              <w:rPr>
                <w:rFonts w:hint="eastAsia" w:ascii="宋体" w:hAnsi="宋体" w:eastAsia="宋体" w:cs="宋体"/>
                <w:color w:val="auto"/>
                <w:sz w:val="24"/>
                <w:szCs w:val="24"/>
                <w:highlight w:val="none"/>
              </w:rPr>
            </w:pPr>
          </w:p>
        </w:tc>
        <w:tc>
          <w:tcPr>
            <w:tcW w:w="1016" w:type="dxa"/>
          </w:tcPr>
          <w:p>
            <w:pPr>
              <w:spacing w:line="360" w:lineRule="auto"/>
              <w:rPr>
                <w:rFonts w:hint="eastAsia" w:ascii="宋体" w:hAnsi="宋体" w:eastAsia="宋体" w:cs="宋体"/>
                <w:color w:val="auto"/>
                <w:sz w:val="24"/>
                <w:szCs w:val="24"/>
                <w:highlight w:val="none"/>
              </w:rPr>
            </w:pPr>
          </w:p>
        </w:tc>
        <w:tc>
          <w:tcPr>
            <w:tcW w:w="873" w:type="dxa"/>
          </w:tcPr>
          <w:p>
            <w:pPr>
              <w:spacing w:line="360" w:lineRule="auto"/>
              <w:rPr>
                <w:rFonts w:hint="eastAsia" w:ascii="宋体" w:hAnsi="宋体" w:eastAsia="宋体" w:cs="宋体"/>
                <w:color w:val="auto"/>
                <w:sz w:val="24"/>
                <w:szCs w:val="24"/>
                <w:highlight w:val="none"/>
              </w:rPr>
            </w:pPr>
          </w:p>
        </w:tc>
        <w:tc>
          <w:tcPr>
            <w:tcW w:w="1069" w:type="dxa"/>
          </w:tcPr>
          <w:p>
            <w:pPr>
              <w:spacing w:line="360" w:lineRule="auto"/>
              <w:rPr>
                <w:rFonts w:hint="eastAsia" w:ascii="宋体" w:hAnsi="宋体" w:eastAsia="宋体" w:cs="宋体"/>
                <w:color w:val="auto"/>
                <w:sz w:val="24"/>
                <w:szCs w:val="24"/>
                <w:highlight w:val="none"/>
              </w:rPr>
            </w:pPr>
          </w:p>
        </w:tc>
        <w:tc>
          <w:tcPr>
            <w:tcW w:w="717" w:type="dxa"/>
          </w:tcPr>
          <w:p>
            <w:pPr>
              <w:spacing w:line="360" w:lineRule="auto"/>
              <w:rPr>
                <w:rFonts w:hint="eastAsia" w:ascii="宋体" w:hAnsi="宋体" w:eastAsia="宋体" w:cs="宋体"/>
                <w:color w:val="auto"/>
                <w:sz w:val="24"/>
                <w:szCs w:val="24"/>
                <w:highlight w:val="none"/>
              </w:rPr>
            </w:pPr>
          </w:p>
        </w:tc>
        <w:tc>
          <w:tcPr>
            <w:tcW w:w="757" w:type="dxa"/>
          </w:tcPr>
          <w:p>
            <w:pPr>
              <w:spacing w:line="360" w:lineRule="auto"/>
              <w:rPr>
                <w:rFonts w:hint="eastAsia" w:ascii="宋体" w:hAnsi="宋体" w:eastAsia="宋体" w:cs="宋体"/>
                <w:color w:val="auto"/>
                <w:sz w:val="24"/>
                <w:szCs w:val="24"/>
                <w:highlight w:val="none"/>
              </w:rPr>
            </w:pPr>
          </w:p>
        </w:tc>
        <w:tc>
          <w:tcPr>
            <w:tcW w:w="756" w:type="dxa"/>
          </w:tcPr>
          <w:p>
            <w:pPr>
              <w:spacing w:line="360" w:lineRule="auto"/>
              <w:rPr>
                <w:rFonts w:hint="eastAsia" w:ascii="宋体" w:hAnsi="宋体" w:eastAsia="宋体" w:cs="宋体"/>
                <w:color w:val="auto"/>
                <w:sz w:val="24"/>
                <w:szCs w:val="24"/>
                <w:highlight w:val="none"/>
              </w:rPr>
            </w:pPr>
          </w:p>
        </w:tc>
        <w:tc>
          <w:tcPr>
            <w:tcW w:w="767" w:type="dxa"/>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91" w:type="dxa"/>
            <w:gridSpan w:val="5"/>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w:t>
            </w:r>
          </w:p>
        </w:tc>
        <w:tc>
          <w:tcPr>
            <w:tcW w:w="4066" w:type="dxa"/>
            <w:gridSpan w:val="5"/>
          </w:tcPr>
          <w:p>
            <w:pPr>
              <w:spacing w:line="360" w:lineRule="auto"/>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后附经国家确定的认证机构出具的节能产品、环境标志产品认证证书复印件或扫描件</w:t>
      </w:r>
      <w:r>
        <w:rPr>
          <w:rFonts w:hint="eastAsia" w:ascii="宋体" w:hAnsi="宋体" w:cs="宋体"/>
          <w:color w:val="auto"/>
          <w:sz w:val="24"/>
          <w:szCs w:val="24"/>
          <w:highlight w:val="none"/>
          <w:lang w:val="en-US" w:eastAsia="zh-CN"/>
        </w:rPr>
        <w:t>加盖供应商公章</w:t>
      </w:r>
      <w:r>
        <w:rPr>
          <w:rFonts w:hint="eastAsia" w:ascii="宋体" w:hAnsi="宋体" w:eastAsia="宋体" w:cs="宋体"/>
          <w:color w:val="auto"/>
          <w:sz w:val="24"/>
          <w:szCs w:val="24"/>
          <w:highlight w:val="none"/>
          <w:lang w:val="en-US" w:eastAsia="zh-CN"/>
        </w:rPr>
        <w:t>。</w:t>
      </w:r>
    </w:p>
    <w:p>
      <w:pPr>
        <w:spacing w:line="48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spacing w:line="480" w:lineRule="auto"/>
        <w:ind w:firstLine="480" w:firstLineChars="20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ordWrap w:val="0"/>
        <w:spacing w:line="480" w:lineRule="auto"/>
        <w:ind w:firstLine="480" w:firstLineChars="2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法人代表或委托代理人（签字或盖章）</w:t>
      </w:r>
      <w:r>
        <w:rPr>
          <w:rFonts w:hint="eastAsia" w:ascii="宋体" w:hAnsi="宋体" w:eastAsia="宋体" w:cs="宋体"/>
          <w:color w:val="auto"/>
          <w:sz w:val="24"/>
          <w:szCs w:val="24"/>
          <w:highlight w:val="none"/>
          <w:u w:val="single"/>
        </w:rPr>
        <w:t xml:space="preserve">：            </w:t>
      </w:r>
    </w:p>
    <w:p>
      <w:pPr>
        <w:spacing w:line="480" w:lineRule="auto"/>
        <w:ind w:firstLine="48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如竞争性磋商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2.类别填写：节能环保产品或环境标志产品。</w:t>
      </w:r>
    </w:p>
    <w:p>
      <w:pPr>
        <w:rPr>
          <w:rFonts w:hint="eastAsia" w:ascii="宋体" w:hAnsi="宋体" w:eastAsia="宋体" w:cs="宋体"/>
          <w:b/>
          <w:color w:val="auto"/>
          <w:sz w:val="24"/>
          <w:szCs w:val="24"/>
          <w:highlight w:val="none"/>
          <w:lang w:val="en-US" w:eastAsia="zh-CN"/>
        </w:rPr>
      </w:pPr>
    </w:p>
    <w:p>
      <w:pPr>
        <w:spacing w:line="360" w:lineRule="auto"/>
        <w:rPr>
          <w:rFonts w:hint="eastAsia" w:ascii="宋体" w:hAnsi="宋体" w:eastAsia="宋体" w:cs="宋体"/>
          <w:b/>
          <w:color w:val="auto"/>
          <w:sz w:val="28"/>
          <w:szCs w:val="28"/>
          <w:highlight w:val="none"/>
        </w:rPr>
        <w:sectPr>
          <w:headerReference r:id="rId13" w:type="default"/>
          <w:pgSz w:w="11906" w:h="16838"/>
          <w:pgMar w:top="1440" w:right="1800" w:bottom="1440" w:left="1800" w:header="1185" w:footer="1191" w:gutter="0"/>
          <w:pgBorders>
            <w:top w:val="none" w:sz="0" w:space="0"/>
            <w:left w:val="none" w:sz="0" w:space="0"/>
            <w:bottom w:val="none" w:sz="0" w:space="0"/>
            <w:right w:val="none" w:sz="0" w:space="0"/>
          </w:pgBorders>
          <w:pgNumType w:fmt="decimal"/>
          <w:cols w:space="720" w:num="1"/>
          <w:docGrid w:type="lines" w:linePitch="312" w:charSpace="0"/>
        </w:sectPr>
      </w:pPr>
      <w:bookmarkStart w:id="1173" w:name="_Toc513557047"/>
      <w:bookmarkStart w:id="1174" w:name="_Toc510882000"/>
      <w:bookmarkStart w:id="1175" w:name="_Toc510882480"/>
      <w:bookmarkStart w:id="1176" w:name="_Toc11861"/>
    </w:p>
    <w:bookmarkEnd w:id="1173"/>
    <w:bookmarkEnd w:id="1174"/>
    <w:bookmarkEnd w:id="1175"/>
    <w:bookmarkEnd w:id="1176"/>
    <w:p>
      <w:pPr>
        <w:jc w:val="center"/>
        <w:outlineLvl w:val="0"/>
        <w:rPr>
          <w:rFonts w:hint="eastAsia" w:ascii="宋体" w:hAnsi="宋体" w:cs="宋体"/>
          <w:b/>
          <w:bCs/>
          <w:color w:val="auto"/>
          <w:sz w:val="36"/>
          <w:szCs w:val="36"/>
          <w:highlight w:val="none"/>
          <w:lang w:val="en-US" w:eastAsia="zh-CN"/>
        </w:rPr>
      </w:pPr>
      <w:bookmarkStart w:id="1177" w:name="_Toc30005"/>
      <w:bookmarkStart w:id="1178" w:name="_Toc29204"/>
      <w:bookmarkStart w:id="1179" w:name="_Toc28436"/>
      <w:bookmarkStart w:id="1180" w:name="_Toc6656"/>
      <w:bookmarkStart w:id="1181" w:name="_Toc6516"/>
      <w:bookmarkStart w:id="1182" w:name="_Toc11538"/>
      <w:bookmarkStart w:id="1183" w:name="_Toc324521861"/>
      <w:bookmarkStart w:id="1184" w:name="_Toc321812067"/>
      <w:bookmarkStart w:id="1185" w:name="_Toc324521866"/>
      <w:bookmarkStart w:id="1186" w:name="_Toc321812072"/>
    </w:p>
    <w:p>
      <w:pPr>
        <w:jc w:val="center"/>
        <w:outlineLvl w:val="0"/>
        <w:rPr>
          <w:rFonts w:hint="eastAsia" w:ascii="宋体" w:hAnsi="宋体" w:cs="宋体"/>
          <w:b/>
          <w:bCs/>
          <w:color w:val="auto"/>
          <w:sz w:val="36"/>
          <w:szCs w:val="36"/>
          <w:highlight w:val="none"/>
          <w:lang w:val="en-US" w:eastAsia="zh-CN"/>
        </w:rPr>
      </w:pPr>
    </w:p>
    <w:p>
      <w:pPr>
        <w:jc w:val="center"/>
        <w:outlineLvl w:val="0"/>
        <w:rPr>
          <w:rFonts w:hint="eastAsia" w:ascii="宋体" w:hAnsi="宋体" w:cs="宋体"/>
          <w:b/>
          <w:bCs/>
          <w:color w:val="auto"/>
          <w:sz w:val="36"/>
          <w:szCs w:val="36"/>
          <w:highlight w:val="none"/>
          <w:lang w:val="en-US" w:eastAsia="zh-CN"/>
        </w:rPr>
      </w:pPr>
    </w:p>
    <w:p>
      <w:pPr>
        <w:jc w:val="center"/>
        <w:outlineLvl w:val="0"/>
        <w:rPr>
          <w:rFonts w:hint="eastAsia" w:ascii="宋体" w:hAnsi="宋体" w:cs="宋体"/>
          <w:b/>
          <w:bCs/>
          <w:color w:val="auto"/>
          <w:sz w:val="36"/>
          <w:szCs w:val="36"/>
          <w:highlight w:val="none"/>
          <w:lang w:val="en-US" w:eastAsia="zh-CN"/>
        </w:rPr>
      </w:pPr>
    </w:p>
    <w:p>
      <w:pPr>
        <w:jc w:val="center"/>
        <w:outlineLvl w:val="0"/>
        <w:rPr>
          <w:rFonts w:hint="eastAsia" w:ascii="宋体" w:hAnsi="宋体" w:cs="宋体"/>
          <w:b/>
          <w:bCs/>
          <w:color w:val="auto"/>
          <w:sz w:val="36"/>
          <w:szCs w:val="36"/>
          <w:highlight w:val="none"/>
          <w:lang w:val="en-US" w:eastAsia="zh-CN"/>
        </w:rPr>
      </w:pPr>
    </w:p>
    <w:p>
      <w:pPr>
        <w:jc w:val="center"/>
        <w:outlineLvl w:val="0"/>
        <w:rPr>
          <w:rFonts w:hint="eastAsia" w:ascii="宋体" w:hAnsi="宋体" w:cs="宋体"/>
          <w:b/>
          <w:bCs/>
          <w:color w:val="auto"/>
          <w:sz w:val="36"/>
          <w:szCs w:val="36"/>
          <w:highlight w:val="none"/>
          <w:lang w:val="en-US" w:eastAsia="zh-CN"/>
        </w:rPr>
      </w:pPr>
    </w:p>
    <w:p>
      <w:pPr>
        <w:jc w:val="center"/>
        <w:outlineLvl w:val="0"/>
        <w:rPr>
          <w:rFonts w:hint="eastAsia" w:ascii="宋体" w:hAnsi="宋体" w:cs="宋体"/>
          <w:b/>
          <w:bCs/>
          <w:color w:val="auto"/>
          <w:sz w:val="36"/>
          <w:szCs w:val="36"/>
          <w:highlight w:val="none"/>
          <w:lang w:val="en-US" w:eastAsia="zh-CN"/>
        </w:rPr>
      </w:pPr>
    </w:p>
    <w:p>
      <w:pPr>
        <w:jc w:val="center"/>
        <w:outlineLvl w:val="0"/>
        <w:rPr>
          <w:rFonts w:hint="eastAsia" w:ascii="宋体" w:hAnsi="宋体" w:eastAsia="宋体" w:cs="宋体"/>
          <w:b/>
          <w:bCs/>
          <w:color w:val="auto"/>
          <w:sz w:val="44"/>
          <w:szCs w:val="44"/>
          <w:highlight w:val="none"/>
        </w:rPr>
      </w:pPr>
      <w:r>
        <w:rPr>
          <w:rFonts w:hint="eastAsia" w:ascii="宋体" w:hAnsi="宋体" w:cs="宋体"/>
          <w:b/>
          <w:bCs/>
          <w:color w:val="auto"/>
          <w:sz w:val="44"/>
          <w:szCs w:val="44"/>
          <w:highlight w:val="none"/>
          <w:lang w:val="en-US" w:eastAsia="zh-CN"/>
        </w:rPr>
        <w:t xml:space="preserve">第三部分  </w:t>
      </w:r>
      <w:r>
        <w:rPr>
          <w:rFonts w:hint="eastAsia" w:ascii="宋体" w:hAnsi="宋体" w:eastAsia="宋体" w:cs="宋体"/>
          <w:b/>
          <w:bCs/>
          <w:color w:val="auto"/>
          <w:sz w:val="44"/>
          <w:szCs w:val="44"/>
          <w:highlight w:val="none"/>
        </w:rPr>
        <w:t>商务部分</w:t>
      </w:r>
      <w:bookmarkEnd w:id="1177"/>
      <w:bookmarkEnd w:id="1178"/>
      <w:bookmarkEnd w:id="1179"/>
      <w:bookmarkEnd w:id="1180"/>
      <w:bookmarkEnd w:id="1181"/>
      <w:bookmarkEnd w:id="1182"/>
    </w:p>
    <w:p>
      <w:pPr>
        <w:spacing w:line="600" w:lineRule="auto"/>
        <w:jc w:val="center"/>
        <w:rPr>
          <w:rFonts w:hint="eastAsia" w:ascii="宋体" w:hAnsi="宋体" w:eastAsia="宋体" w:cs="宋体"/>
          <w:b/>
          <w:bCs/>
          <w:color w:val="auto"/>
          <w:spacing w:val="26"/>
          <w:sz w:val="36"/>
          <w:szCs w:val="36"/>
          <w:highlight w:val="none"/>
        </w:rPr>
      </w:pPr>
    </w:p>
    <w:p>
      <w:pPr>
        <w:pStyle w:val="11"/>
        <w:rPr>
          <w:rFonts w:hint="eastAsia" w:ascii="宋体" w:hAnsi="宋体" w:eastAsia="宋体" w:cs="宋体"/>
          <w:b/>
          <w:bCs/>
          <w:color w:val="auto"/>
          <w:spacing w:val="26"/>
          <w:sz w:val="36"/>
          <w:szCs w:val="36"/>
          <w:highlight w:val="none"/>
        </w:rPr>
      </w:pPr>
    </w:p>
    <w:p>
      <w:pPr>
        <w:rPr>
          <w:rFonts w:hint="eastAsia"/>
          <w:color w:val="auto"/>
          <w:highlight w:val="none"/>
        </w:rPr>
      </w:pP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bookmarkEnd w:id="1183"/>
    <w:bookmarkEnd w:id="1184"/>
    <w:p>
      <w:pPr>
        <w:pStyle w:val="3"/>
        <w:outlineLvl w:val="1"/>
        <w:rPr>
          <w:rFonts w:hint="eastAsia" w:ascii="宋体" w:hAnsi="宋体" w:eastAsia="宋体" w:cs="宋体"/>
          <w:b/>
          <w:bCs/>
          <w:color w:val="auto"/>
          <w:kern w:val="2"/>
          <w:sz w:val="32"/>
          <w:szCs w:val="32"/>
          <w:highlight w:val="none"/>
          <w:lang w:val="en-US" w:eastAsia="zh-CN" w:bidi="ar-SA"/>
        </w:rPr>
      </w:pPr>
      <w:bookmarkStart w:id="1187" w:name="_Toc7813"/>
      <w:bookmarkStart w:id="1188" w:name="_Toc18706"/>
      <w:bookmarkStart w:id="1189" w:name="_Toc5575"/>
      <w:bookmarkStart w:id="1190" w:name="_Toc771"/>
      <w:bookmarkStart w:id="1191" w:name="_Toc29385"/>
      <w:bookmarkStart w:id="1192" w:name="_Toc20930"/>
      <w:r>
        <w:rPr>
          <w:rFonts w:hint="eastAsia" w:ascii="宋体" w:hAnsi="宋体" w:eastAsia="宋体" w:cs="宋体"/>
          <w:b/>
          <w:bCs/>
          <w:color w:val="auto"/>
          <w:kern w:val="2"/>
          <w:sz w:val="32"/>
          <w:szCs w:val="32"/>
          <w:highlight w:val="none"/>
          <w:lang w:val="en-US" w:eastAsia="zh-CN" w:bidi="ar-SA"/>
        </w:rPr>
        <w:t>一、竞争性磋商响应函及响应函附录</w:t>
      </w:r>
      <w:bookmarkEnd w:id="1187"/>
      <w:bookmarkEnd w:id="1188"/>
    </w:p>
    <w:p>
      <w:pPr>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bookmarkEnd w:id="1189"/>
      <w:bookmarkEnd w:id="1190"/>
      <w:bookmarkEnd w:id="1191"/>
      <w:bookmarkEnd w:id="1192"/>
      <w:r>
        <w:rPr>
          <w:rFonts w:hint="eastAsia" w:ascii="宋体" w:hAnsi="宋体" w:eastAsia="宋体" w:cs="宋体"/>
          <w:b/>
          <w:bCs/>
          <w:color w:val="auto"/>
          <w:sz w:val="28"/>
          <w:szCs w:val="28"/>
          <w:highlight w:val="none"/>
        </w:rPr>
        <w:t>竞争性磋商函</w:t>
      </w:r>
    </w:p>
    <w:p>
      <w:pPr>
        <w:tabs>
          <w:tab w:val="left" w:pos="3500"/>
          <w:tab w:val="left" w:pos="3700"/>
        </w:tabs>
        <w:adjustRightInd w:val="0"/>
        <w:snapToGrid w:val="0"/>
        <w:spacing w:line="312"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采购人名称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1．根据你方发售的</w:t>
      </w:r>
      <w:r>
        <w:rPr>
          <w:rFonts w:hint="eastAsia" w:ascii="宋体" w:hAnsi="宋体" w:eastAsia="宋体" w:cs="宋体"/>
          <w:bCs/>
          <w:color w:val="auto"/>
          <w:sz w:val="24"/>
          <w:highlight w:val="none"/>
          <w:u w:val="single"/>
        </w:rPr>
        <w:t xml:space="preserve">  （项目名称：</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w:t>
      </w:r>
      <w:r>
        <w:rPr>
          <w:rFonts w:hint="eastAsia" w:ascii="宋体" w:hAnsi="宋体" w:eastAsia="宋体" w:cs="宋体"/>
          <w:bCs/>
          <w:color w:val="auto"/>
          <w:sz w:val="24"/>
          <w:highlight w:val="none"/>
          <w:u w:val="single"/>
          <w:lang w:val="en-US" w:eastAsia="zh-CN"/>
        </w:rPr>
        <w:t xml:space="preserve">项目编号：    </w:t>
      </w:r>
      <w:r>
        <w:rPr>
          <w:rFonts w:hint="eastAsia" w:ascii="宋体" w:hAnsi="宋体" w:eastAsia="宋体" w:cs="宋体"/>
          <w:bCs/>
          <w:color w:val="auto"/>
          <w:sz w:val="24"/>
          <w:highlight w:val="none"/>
          <w:u w:val="single"/>
          <w:lang w:eastAsia="zh-CN"/>
        </w:rPr>
        <w:t>）</w:t>
      </w:r>
      <w:r>
        <w:rPr>
          <w:rFonts w:hint="eastAsia" w:ascii="宋体" w:hAnsi="宋体" w:eastAsia="宋体" w:cs="宋体"/>
          <w:color w:val="auto"/>
          <w:sz w:val="24"/>
          <w:szCs w:val="24"/>
          <w:highlight w:val="none"/>
        </w:rPr>
        <w:t>竞争性磋商文件，经踏勘项目现场和研究上述竞争性磋商文件的磋商须知、合同条款、工程建设标准、工程量清单和答疑文件及其它相关文件后，我方愿以</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小写</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的竞争性磋商报价承包上述工程的施工、竣工，并承担任何质量缺陷保修责任。</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2．我方已详细审核全部竞争性磋商文件，包括答疑纪要及有关附件。</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3．我方保证上述竞争性磋商报价不低于我单位工程施工的成本价。</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4．若我方中标，我方保证按</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u w:val="none"/>
        </w:rPr>
        <w:t>工期</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日历天</w:t>
      </w:r>
      <w:r>
        <w:rPr>
          <w:rFonts w:hint="eastAsia" w:ascii="宋体" w:hAnsi="宋体" w:eastAsia="宋体" w:cs="宋体"/>
          <w:color w:val="auto"/>
          <w:sz w:val="24"/>
          <w:szCs w:val="24"/>
          <w:highlight w:val="none"/>
        </w:rPr>
        <w:t>内完成本工程，</w:t>
      </w:r>
      <w:r>
        <w:rPr>
          <w:rFonts w:hint="eastAsia" w:ascii="宋体" w:hAnsi="宋体" w:eastAsia="宋体" w:cs="宋体"/>
          <w:color w:val="auto"/>
          <w:sz w:val="24"/>
          <w:szCs w:val="24"/>
          <w:highlight w:val="none"/>
          <w:lang w:eastAsia="zh-CN"/>
        </w:rPr>
        <w:t>质量保修期</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rPr>
        <w:t>。</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5．若我方中标，我方保证工程质量等级达到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。本工程项目经理为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证书编号为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6．若我方中标，我方保证达到安全文明</w:t>
      </w:r>
      <w:bookmarkStart w:id="1216" w:name="_GoBack"/>
      <w:bookmarkEnd w:id="1216"/>
      <w:r>
        <w:rPr>
          <w:rFonts w:hint="eastAsia" w:ascii="宋体" w:hAnsi="宋体" w:eastAsia="宋体" w:cs="宋体"/>
          <w:color w:val="auto"/>
          <w:sz w:val="24"/>
          <w:szCs w:val="24"/>
          <w:highlight w:val="none"/>
        </w:rPr>
        <w:t>施工达到文明工地标准。</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7．我方同意所提交的磋商响应文件在竞争性磋商文件的磋商须知中规定的竞争性磋商有效期内有效，在此期间内如果中标，我方将受此约束。</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8．在合同协议书正式签署生效之前，你方的竞争性磋商文件、答疑纪要、成交人通知书和本磋商响应文件将构成我们约束双方之间共同遵守的文件，对双方具有约束力。</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．我方理解你方不负担我们的任何响应费用，我方不要求你方对未中标原因作任何解释，也不退回磋商响应文件。</w:t>
      </w:r>
    </w:p>
    <w:p>
      <w:pPr>
        <w:adjustRightInd w:val="0"/>
        <w:snapToGri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．我方完全接受并响应竞争性磋商文件、答疑文件、评审办法、采购控制限价、工程量清单等关于本项目相关文件的要求，严格遵守采购过程的时间安排、程序安排等细节，对此无任何异议。</w:t>
      </w:r>
    </w:p>
    <w:p>
      <w:pPr>
        <w:adjustRightInd w:val="0"/>
        <w:snapToGrid w:val="0"/>
        <w:spacing w:line="312" w:lineRule="auto"/>
        <w:ind w:left="252" w:leftChars="12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注：竞争性磋商报价应与工程量清单的报价汇总表数字一致。精确到分。</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（盖章）</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 位 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（签字或盖章）</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政 编 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1"/>
        <w:numPr>
          <w:ilvl w:val="0"/>
          <w:numId w:val="0"/>
        </w:numPr>
        <w:jc w:val="center"/>
        <w:rPr>
          <w:rFonts w:hint="eastAsia" w:ascii="宋体" w:hAnsi="宋体" w:eastAsia="宋体" w:cs="宋体"/>
          <w:b/>
          <w:bCs/>
          <w:color w:val="auto"/>
          <w:sz w:val="28"/>
          <w:szCs w:val="32"/>
          <w:highlight w:val="none"/>
          <w:lang w:val="en-US" w:eastAsia="zh-CN"/>
        </w:rPr>
      </w:pPr>
      <w:bookmarkStart w:id="1193" w:name="_Toc5521"/>
      <w:bookmarkStart w:id="1194" w:name="_Toc25206"/>
      <w:bookmarkStart w:id="1195" w:name="_Toc11283"/>
      <w:bookmarkStart w:id="1196" w:name="_Toc5522"/>
    </w:p>
    <w:p>
      <w:pPr>
        <w:pStyle w:val="11"/>
        <w:numPr>
          <w:ilvl w:val="0"/>
          <w:numId w:val="0"/>
        </w:numPr>
        <w:jc w:val="center"/>
        <w:rPr>
          <w:rFonts w:hint="eastAsia" w:ascii="宋体" w:hAnsi="宋体" w:eastAsia="宋体" w:cs="宋体"/>
          <w:color w:val="auto"/>
          <w:highlight w:val="none"/>
          <w:lang w:val="en-US" w:eastAsia="zh-CN"/>
        </w:rPr>
      </w:pPr>
      <w:r>
        <w:rPr>
          <w:rFonts w:hint="eastAsia" w:ascii="宋体" w:hAnsi="宋体" w:eastAsia="宋体" w:cs="宋体"/>
          <w:b/>
          <w:bCs/>
          <w:color w:val="auto"/>
          <w:sz w:val="28"/>
          <w:szCs w:val="32"/>
          <w:highlight w:val="none"/>
          <w:lang w:val="en-US" w:eastAsia="zh-CN"/>
        </w:rPr>
        <w:t>（二）</w:t>
      </w:r>
      <w:bookmarkEnd w:id="1193"/>
      <w:bookmarkEnd w:id="1194"/>
      <w:bookmarkEnd w:id="1195"/>
      <w:bookmarkEnd w:id="1196"/>
      <w:r>
        <w:rPr>
          <w:rFonts w:hint="eastAsia" w:ascii="宋体" w:hAnsi="宋体" w:eastAsia="宋体" w:cs="宋体"/>
          <w:b/>
          <w:bCs/>
          <w:color w:val="auto"/>
          <w:sz w:val="28"/>
          <w:szCs w:val="32"/>
          <w:highlight w:val="none"/>
          <w:lang w:val="en-US" w:eastAsia="zh-CN"/>
        </w:rPr>
        <w:t>竞争性磋商函附录</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工程名称：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w:t>
      </w:r>
    </w:p>
    <w:tbl>
      <w:tblPr>
        <w:tblStyle w:val="2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1" w:type="dxa"/>
            <w:vAlign w:val="bottom"/>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3" w:hRule="atLeast"/>
          <w:jc w:val="center"/>
        </w:trPr>
        <w:tc>
          <w:tcPr>
            <w:tcW w:w="8381" w:type="dxa"/>
            <w:vAlign w:val="center"/>
          </w:tcPr>
          <w:p>
            <w:pPr>
              <w:adjustRightInd w:val="0"/>
              <w:snapToGrid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381" w:type="dxa"/>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备注：</w:t>
            </w:r>
            <w:r>
              <w:rPr>
                <w:rFonts w:hint="eastAsia" w:ascii="宋体" w:hAnsi="宋体" w:eastAsia="宋体" w:cs="宋体"/>
                <w:color w:val="auto"/>
                <w:sz w:val="24"/>
                <w:szCs w:val="24"/>
                <w:highlight w:val="none"/>
              </w:rPr>
              <w:t>供应商应承诺是否响应竞争性磋商文件中规定的实质性要求和条件，并在此基础上，可做出其他有利于采购人的承诺。如供应商不承诺完全响应竞争性磋商文件中规定的实质性要求和条件，应对不响应部分的内容予以具体说明。如供应商不填写实质性要求和条件的响应情况，则视为供应商承诺完全响应竞争性磋商文件中规定的实质性要求和条件。</w:t>
            </w:r>
          </w:p>
        </w:tc>
      </w:tr>
    </w:tbl>
    <w:p>
      <w:pPr>
        <w:adjustRightInd w:val="0"/>
        <w:snapToGrid w:val="0"/>
        <w:spacing w:line="360" w:lineRule="auto"/>
        <w:ind w:firstLine="422" w:firstLineChars="200"/>
        <w:rPr>
          <w:rFonts w:hint="eastAsia" w:ascii="宋体" w:hAnsi="宋体" w:eastAsia="宋体" w:cs="宋体"/>
          <w:b/>
          <w:color w:val="auto"/>
          <w:sz w:val="21"/>
          <w:szCs w:val="21"/>
          <w:highlight w:val="none"/>
        </w:rPr>
      </w:pPr>
    </w:p>
    <w:p>
      <w:pPr>
        <w:adjustRightInd w:val="0"/>
        <w:snapToGrid w:val="0"/>
        <w:spacing w:line="480" w:lineRule="auto"/>
        <w:jc w:val="center"/>
        <w:rPr>
          <w:rFonts w:hint="eastAsia" w:ascii="宋体" w:hAnsi="宋体" w:eastAsia="宋体" w:cs="宋体"/>
          <w:color w:val="auto"/>
          <w:sz w:val="21"/>
          <w:szCs w:val="21"/>
          <w:highlight w:val="none"/>
        </w:rPr>
      </w:pPr>
      <w:bookmarkStart w:id="1197" w:name="_Toc321812069"/>
      <w:bookmarkStart w:id="1198" w:name="_Toc324521863"/>
      <w:bookmarkStart w:id="1199" w:name="_Toc2160"/>
      <w:bookmarkStart w:id="1200" w:name="_Toc12356"/>
      <w:bookmarkStart w:id="1201" w:name="_Toc30993"/>
    </w:p>
    <w:p>
      <w:pPr>
        <w:adjustRightInd w:val="0"/>
        <w:snapToGrid w:val="0"/>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adjustRightInd w:val="0"/>
        <w:snapToGrid w:val="0"/>
        <w:spacing w:line="480" w:lineRule="auto"/>
        <w:ind w:right="420"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djustRightInd w:val="0"/>
        <w:snapToGrid w:val="0"/>
        <w:spacing w:line="480" w:lineRule="auto"/>
        <w:ind w:right="420"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outlineLvl w:val="9"/>
        <w:rPr>
          <w:rFonts w:hint="eastAsia" w:ascii="宋体" w:hAnsi="宋体" w:eastAsia="宋体" w:cs="宋体"/>
          <w:b/>
          <w:bCs/>
          <w:color w:val="auto"/>
          <w:kern w:val="2"/>
          <w:sz w:val="28"/>
          <w:szCs w:val="32"/>
          <w:highlight w:val="none"/>
          <w:lang w:val="en-US" w:eastAsia="zh-CN" w:bidi="ar-SA"/>
        </w:rPr>
      </w:pPr>
    </w:p>
    <w:p>
      <w:pPr>
        <w:pStyle w:val="3"/>
        <w:outlineLvl w:val="1"/>
        <w:rPr>
          <w:rFonts w:hint="eastAsia" w:ascii="宋体" w:hAnsi="宋体" w:eastAsia="宋体" w:cs="宋体"/>
          <w:b/>
          <w:bCs/>
          <w:color w:val="auto"/>
          <w:kern w:val="2"/>
          <w:sz w:val="28"/>
          <w:szCs w:val="32"/>
          <w:highlight w:val="none"/>
          <w:lang w:val="en-US" w:eastAsia="zh-CN" w:bidi="ar-SA"/>
        </w:rPr>
      </w:pPr>
    </w:p>
    <w:bookmarkEnd w:id="1197"/>
    <w:bookmarkEnd w:id="1198"/>
    <w:bookmarkEnd w:id="1199"/>
    <w:bookmarkEnd w:id="1200"/>
    <w:bookmarkEnd w:id="1201"/>
    <w:p>
      <w:pPr>
        <w:pStyle w:val="3"/>
        <w:bidi w:val="0"/>
        <w:jc w:val="center"/>
        <w:outlineLvl w:val="1"/>
        <w:rPr>
          <w:rFonts w:hint="eastAsia" w:ascii="宋体" w:hAnsi="宋体" w:eastAsia="宋体" w:cs="宋体"/>
          <w:color w:val="auto"/>
          <w:highlight w:val="none"/>
          <w:lang w:val="en-US" w:eastAsia="zh-CN"/>
        </w:rPr>
      </w:pPr>
      <w:bookmarkStart w:id="1202" w:name="_Toc20100"/>
      <w:bookmarkStart w:id="1203" w:name="_Toc8867"/>
      <w:bookmarkStart w:id="1204" w:name="_Toc30128"/>
      <w:bookmarkStart w:id="1205" w:name="_Toc20289"/>
      <w:r>
        <w:rPr>
          <w:rFonts w:hint="eastAsia" w:ascii="宋体" w:hAnsi="宋体" w:cs="宋体"/>
          <w:color w:val="auto"/>
          <w:highlight w:val="none"/>
          <w:lang w:val="en-US" w:eastAsia="zh-CN"/>
        </w:rPr>
        <w:t>二</w:t>
      </w:r>
      <w:r>
        <w:rPr>
          <w:rFonts w:hint="eastAsia" w:ascii="宋体" w:hAnsi="宋体" w:eastAsia="宋体" w:cs="宋体"/>
          <w:color w:val="auto"/>
          <w:highlight w:val="none"/>
          <w:lang w:val="en-US" w:eastAsia="zh-CN"/>
        </w:rPr>
        <w:t>、已标价工程量清单</w:t>
      </w:r>
      <w:bookmarkEnd w:id="1202"/>
      <w:bookmarkEnd w:id="1203"/>
      <w:bookmarkEnd w:id="1204"/>
      <w:bookmarkEnd w:id="1205"/>
    </w:p>
    <w:bookmarkEnd w:id="1185"/>
    <w:bookmarkEnd w:id="1186"/>
    <w:p>
      <w:pPr>
        <w:bidi w:val="0"/>
        <w:jc w:val="center"/>
        <w:outlineLvl w:val="9"/>
        <w:rPr>
          <w:rFonts w:hint="eastAsia" w:ascii="宋体" w:hAnsi="宋体" w:eastAsia="宋体" w:cs="宋体"/>
          <w:b/>
          <w:bCs/>
          <w:color w:val="auto"/>
          <w:highlight w:val="none"/>
        </w:rPr>
      </w:pPr>
      <w:bookmarkStart w:id="1206" w:name="_Toc324521868"/>
      <w:bookmarkStart w:id="1207" w:name="_Toc321812064"/>
      <w:bookmarkStart w:id="1208" w:name="_Toc18326"/>
      <w:bookmarkStart w:id="1209" w:name="_Toc3567"/>
      <w:bookmarkStart w:id="1210" w:name="_Toc15898"/>
      <w:bookmarkStart w:id="1211" w:name="_Toc21832"/>
    </w:p>
    <w:p>
      <w:pPr>
        <w:jc w:val="center"/>
        <w:rPr>
          <w:rFonts w:hint="eastAsia" w:ascii="宋体" w:hAnsi="宋体" w:eastAsia="宋体" w:cs="宋体"/>
          <w:b/>
          <w:bCs/>
          <w:color w:val="auto"/>
          <w:sz w:val="36"/>
          <w:szCs w:val="32"/>
          <w:highlight w:val="none"/>
          <w:lang w:eastAsia="zh-CN"/>
        </w:rPr>
      </w:pPr>
    </w:p>
    <w:p>
      <w:pPr>
        <w:pStyle w:val="11"/>
        <w:jc w:val="center"/>
        <w:rPr>
          <w:rFonts w:hint="default" w:ascii="宋体" w:hAnsi="宋体" w:eastAsia="宋体" w:cs="宋体"/>
          <w:color w:val="auto"/>
          <w:highlight w:val="none"/>
          <w:lang w:val="en-US"/>
        </w:rPr>
      </w:pPr>
      <w:r>
        <w:rPr>
          <w:rFonts w:hint="eastAsia" w:ascii="宋体" w:hAnsi="宋体" w:cs="宋体"/>
          <w:b/>
          <w:bCs/>
          <w:color w:val="auto"/>
          <w:sz w:val="32"/>
          <w:szCs w:val="28"/>
          <w:highlight w:val="none"/>
          <w:lang w:val="en-US" w:eastAsia="zh-CN"/>
        </w:rPr>
        <w:t>根据工程量清单编制</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sectPr>
          <w:pgSz w:w="11906" w:h="16838"/>
          <w:pgMar w:top="1440" w:right="1417" w:bottom="1417" w:left="1576" w:header="1185" w:footer="1191" w:gutter="0"/>
          <w:pgBorders>
            <w:top w:val="none" w:sz="0" w:space="0"/>
            <w:left w:val="none" w:sz="0" w:space="0"/>
            <w:bottom w:val="none" w:sz="0" w:space="0"/>
            <w:right w:val="none" w:sz="0" w:space="0"/>
          </w:pgBorders>
          <w:pgNumType w:fmt="decimal"/>
          <w:cols w:space="720" w:num="1"/>
          <w:docGrid w:type="lines" w:linePitch="312" w:charSpace="0"/>
        </w:sectPr>
      </w:pPr>
    </w:p>
    <w:bookmarkEnd w:id="1206"/>
    <w:bookmarkEnd w:id="1207"/>
    <w:p>
      <w:pPr>
        <w:pStyle w:val="3"/>
        <w:bidi w:val="0"/>
        <w:jc w:val="center"/>
        <w:outlineLvl w:val="1"/>
        <w:rPr>
          <w:rFonts w:hint="eastAsia" w:ascii="宋体" w:hAnsi="宋体" w:eastAsia="宋体" w:cs="宋体"/>
          <w:b/>
          <w:bCs/>
          <w:color w:val="auto"/>
          <w:kern w:val="2"/>
          <w:sz w:val="32"/>
          <w:szCs w:val="36"/>
          <w:highlight w:val="none"/>
          <w:lang w:val="en-US" w:eastAsia="zh-CN" w:bidi="ar-SA"/>
        </w:rPr>
      </w:pPr>
      <w:bookmarkStart w:id="1212" w:name="_Toc324521869"/>
      <w:r>
        <w:rPr>
          <w:rFonts w:hint="eastAsia" w:ascii="宋体" w:hAnsi="宋体" w:cs="宋体"/>
          <w:b/>
          <w:bCs/>
          <w:color w:val="auto"/>
          <w:kern w:val="2"/>
          <w:sz w:val="32"/>
          <w:szCs w:val="36"/>
          <w:highlight w:val="none"/>
          <w:lang w:val="en-US" w:eastAsia="zh-CN" w:bidi="ar-SA"/>
        </w:rPr>
        <w:t>三</w:t>
      </w:r>
      <w:r>
        <w:rPr>
          <w:rFonts w:hint="eastAsia" w:ascii="宋体" w:hAnsi="宋体" w:eastAsia="宋体" w:cs="宋体"/>
          <w:b/>
          <w:bCs/>
          <w:color w:val="auto"/>
          <w:kern w:val="2"/>
          <w:sz w:val="32"/>
          <w:szCs w:val="36"/>
          <w:highlight w:val="none"/>
          <w:lang w:val="en-US" w:eastAsia="zh-CN" w:bidi="ar-SA"/>
        </w:rPr>
        <w:t>、其他</w:t>
      </w:r>
      <w:r>
        <w:rPr>
          <w:rFonts w:hint="eastAsia" w:ascii="宋体" w:hAnsi="宋体" w:cs="宋体"/>
          <w:b/>
          <w:bCs/>
          <w:color w:val="auto"/>
          <w:kern w:val="2"/>
          <w:sz w:val="32"/>
          <w:szCs w:val="36"/>
          <w:highlight w:val="none"/>
          <w:lang w:val="en-US" w:eastAsia="zh-CN" w:bidi="ar-SA"/>
        </w:rPr>
        <w:t>材</w:t>
      </w:r>
      <w:r>
        <w:rPr>
          <w:rFonts w:hint="eastAsia" w:ascii="宋体" w:hAnsi="宋体" w:eastAsia="宋体" w:cs="宋体"/>
          <w:b/>
          <w:bCs/>
          <w:color w:val="auto"/>
          <w:kern w:val="2"/>
          <w:sz w:val="32"/>
          <w:szCs w:val="36"/>
          <w:highlight w:val="none"/>
          <w:lang w:val="en-US" w:eastAsia="zh-CN" w:bidi="ar-SA"/>
        </w:rPr>
        <w:t>料</w:t>
      </w:r>
      <w:bookmarkEnd w:id="1208"/>
      <w:bookmarkEnd w:id="1209"/>
      <w:bookmarkEnd w:id="1210"/>
      <w:bookmarkEnd w:id="1211"/>
      <w:bookmarkEnd w:id="1212"/>
    </w:p>
    <w:p>
      <w:pPr>
        <w:spacing w:line="420" w:lineRule="exact"/>
        <w:outlineLvl w:val="9"/>
        <w:rPr>
          <w:rFonts w:hint="eastAsia" w:ascii="宋体" w:hAnsi="宋体" w:eastAsia="宋体" w:cs="宋体"/>
          <w:b/>
          <w:color w:val="auto"/>
          <w:sz w:val="24"/>
          <w:szCs w:val="24"/>
          <w:highlight w:val="none"/>
          <w:lang w:val="en-US" w:eastAsia="zh-CN"/>
        </w:rPr>
      </w:pPr>
    </w:p>
    <w:p>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w:t>
      </w:r>
    </w:p>
    <w:p>
      <w:pPr>
        <w:jc w:val="center"/>
        <w:rPr>
          <w:rFonts w:hint="eastAsia" w:ascii="宋体" w:hAnsi="宋体" w:eastAsia="宋体" w:cs="宋体"/>
          <w:b/>
          <w:bCs/>
          <w:color w:val="auto"/>
          <w:sz w:val="22"/>
          <w:szCs w:val="22"/>
          <w:highlight w:val="none"/>
        </w:rPr>
      </w:pPr>
    </w:p>
    <w:p>
      <w:pPr>
        <w:jc w:val="center"/>
        <w:rPr>
          <w:rFonts w:hint="eastAsia" w:ascii="宋体" w:hAnsi="宋体" w:eastAsia="宋体" w:cs="宋体"/>
          <w:b/>
          <w:bCs/>
          <w:color w:val="auto"/>
          <w:sz w:val="18"/>
          <w:szCs w:val="16"/>
          <w:highlight w:val="none"/>
        </w:rPr>
      </w:pPr>
      <w:r>
        <w:rPr>
          <w:rFonts w:hint="eastAsia" w:ascii="宋体" w:hAnsi="宋体" w:eastAsia="宋体" w:cs="宋体"/>
          <w:b/>
          <w:bCs/>
          <w:color w:val="auto"/>
          <w:sz w:val="28"/>
          <w:szCs w:val="28"/>
          <w:highlight w:val="none"/>
        </w:rPr>
        <w:t>《残疾人福利性单位声明函》</w:t>
      </w:r>
    </w:p>
    <w:p>
      <w:pPr>
        <w:adjustRightInd w:val="0"/>
        <w:snapToGrid w:val="0"/>
        <w:spacing w:line="480" w:lineRule="auto"/>
        <w:ind w:firstLine="260" w:firstLineChars="200"/>
        <w:rPr>
          <w:rFonts w:hint="eastAsia" w:ascii="宋体" w:hAnsi="宋体" w:eastAsia="宋体" w:cs="宋体"/>
          <w:bCs/>
          <w:color w:val="auto"/>
          <w:sz w:val="13"/>
          <w:szCs w:val="13"/>
          <w:highlight w:val="none"/>
        </w:rPr>
      </w:pPr>
    </w:p>
    <w:p>
      <w:pPr>
        <w:adjustRightInd w:val="0"/>
        <w:snapToGrid w:val="0"/>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单位的</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本单位对上述声明的真实性负责。如有虚假，将依法承担相应责任。</w:t>
      </w:r>
    </w:p>
    <w:p>
      <w:pPr>
        <w:adjustRightInd w:val="0"/>
        <w:snapToGrid w:val="0"/>
        <w:spacing w:line="360" w:lineRule="auto"/>
        <w:ind w:firstLine="504" w:firstLineChars="200"/>
        <w:rPr>
          <w:rFonts w:hint="eastAsia" w:ascii="宋体" w:hAnsi="宋体" w:eastAsia="宋体" w:cs="宋体"/>
          <w:bCs/>
          <w:color w:val="auto"/>
          <w:spacing w:val="6"/>
          <w:sz w:val="24"/>
          <w:szCs w:val="24"/>
          <w:highlight w:val="none"/>
        </w:rPr>
      </w:pPr>
    </w:p>
    <w:p>
      <w:pPr>
        <w:adjustRightInd w:val="0"/>
        <w:snapToGrid w:val="0"/>
        <w:spacing w:line="360" w:lineRule="auto"/>
        <w:ind w:firstLine="506" w:firstLineChars="200"/>
        <w:rPr>
          <w:rFonts w:hint="eastAsia" w:ascii="宋体" w:hAnsi="宋体" w:eastAsia="宋体" w:cs="宋体"/>
          <w:b/>
          <w:bCs/>
          <w:color w:val="auto"/>
          <w:spacing w:val="6"/>
          <w:sz w:val="24"/>
          <w:szCs w:val="24"/>
          <w:highlight w:val="none"/>
        </w:rPr>
      </w:pPr>
    </w:p>
    <w:p>
      <w:pPr>
        <w:spacing w:line="480" w:lineRule="auto"/>
        <w:ind w:firstLine="480" w:firstLineChars="20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ordWrap w:val="0"/>
        <w:spacing w:line="480" w:lineRule="auto"/>
        <w:ind w:firstLine="480" w:firstLineChars="2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法人代表或委托代理人（签字或盖章）</w:t>
      </w:r>
      <w:r>
        <w:rPr>
          <w:rFonts w:hint="eastAsia" w:ascii="宋体" w:hAnsi="宋体" w:eastAsia="宋体" w:cs="宋体"/>
          <w:color w:val="auto"/>
          <w:sz w:val="24"/>
          <w:szCs w:val="24"/>
          <w:highlight w:val="none"/>
          <w:u w:val="single"/>
        </w:rPr>
        <w:t xml:space="preserve">：            </w:t>
      </w:r>
    </w:p>
    <w:p>
      <w:pPr>
        <w:spacing w:line="48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adjustRightInd w:val="0"/>
        <w:snapToGrid w:val="0"/>
        <w:spacing w:line="360" w:lineRule="auto"/>
        <w:rPr>
          <w:rFonts w:hint="eastAsia" w:ascii="宋体" w:hAnsi="宋体" w:eastAsia="宋体" w:cs="宋体"/>
          <w:color w:val="auto"/>
          <w:sz w:val="22"/>
          <w:szCs w:val="18"/>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b/>
          <w:color w:val="auto"/>
          <w:sz w:val="24"/>
          <w:highlight w:val="none"/>
        </w:rPr>
      </w:pPr>
    </w:p>
    <w:p>
      <w:pPr>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w:t>
      </w:r>
    </w:p>
    <w:p>
      <w:pPr>
        <w:adjustRightInd w:val="0"/>
        <w:snapToGrid w:val="0"/>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1.非残疾人福利性单位无需在磋商响应文件中提供。如为残疾人福利性单位应在磋商响应文件的封面右上角明确注明相关信息以便方便认可。</w:t>
      </w:r>
    </w:p>
    <w:p>
      <w:pPr>
        <w:adjustRightInd w:val="0"/>
        <w:snapToGrid w:val="0"/>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2.供应商企业所提供的《残疾人福利性单位声明函》，由其自行承担相应的法律责任。</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left"/>
        <w:rPr>
          <w:rFonts w:hint="eastAsia" w:ascii="宋体" w:hAnsi="宋体" w:eastAsia="宋体" w:cs="宋体"/>
          <w:b/>
          <w:bCs/>
          <w:color w:val="auto"/>
          <w:sz w:val="24"/>
          <w:szCs w:val="24"/>
          <w:highlight w:val="none"/>
        </w:rPr>
      </w:pPr>
      <w:bookmarkStart w:id="1213" w:name="_Hlk17733230"/>
      <w:r>
        <w:rPr>
          <w:rFonts w:hint="eastAsia" w:ascii="宋体" w:hAnsi="宋体" w:eastAsia="宋体" w:cs="宋体"/>
          <w:b/>
          <w:bCs/>
          <w:color w:val="auto"/>
          <w:sz w:val="24"/>
          <w:szCs w:val="24"/>
          <w:highlight w:val="none"/>
        </w:rPr>
        <w:t>附件2：</w:t>
      </w: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w:t>
      </w:r>
      <w:bookmarkStart w:id="1214" w:name="_Hlk17707343"/>
      <w:r>
        <w:rPr>
          <w:rFonts w:hint="eastAsia" w:ascii="宋体" w:hAnsi="宋体" w:eastAsia="宋体" w:cs="宋体"/>
          <w:b/>
          <w:bCs/>
          <w:color w:val="auto"/>
          <w:sz w:val="32"/>
          <w:szCs w:val="32"/>
          <w:highlight w:val="none"/>
        </w:rPr>
        <w:t>监狱企业声明函</w:t>
      </w:r>
      <w:bookmarkEnd w:id="1214"/>
      <w:r>
        <w:rPr>
          <w:rFonts w:hint="eastAsia" w:ascii="宋体" w:hAnsi="宋体" w:eastAsia="宋体" w:cs="宋体"/>
          <w:b/>
          <w:bCs/>
          <w:color w:val="auto"/>
          <w:sz w:val="32"/>
          <w:szCs w:val="32"/>
          <w:highlight w:val="none"/>
        </w:rPr>
        <w:t>》</w:t>
      </w:r>
    </w:p>
    <w:p>
      <w:pPr>
        <w:spacing w:line="360" w:lineRule="auto"/>
        <w:ind w:firstLine="475" w:firstLineChars="19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本公司郑重声明，根据</w:t>
      </w:r>
      <w:r>
        <w:rPr>
          <w:rFonts w:hint="eastAsia" w:ascii="宋体" w:hAnsi="宋体" w:eastAsia="宋体" w:cs="宋体"/>
          <w:bCs/>
          <w:color w:val="auto"/>
          <w:sz w:val="24"/>
          <w:szCs w:val="24"/>
          <w:highlight w:val="none"/>
        </w:rPr>
        <w:t>《财政部司法部关于政府采购支持监狱企业发展有关问题的通知》（财库</w:t>
      </w:r>
      <w:r>
        <w:rPr>
          <w:rFonts w:hint="eastAsia" w:ascii="宋体" w:hAnsi="宋体" w:eastAsia="宋体" w:cs="宋体"/>
          <w:color w:val="auto"/>
          <w:sz w:val="24"/>
          <w:szCs w:val="24"/>
          <w:highlight w:val="none"/>
        </w:rPr>
        <w:t>〔2014〕</w:t>
      </w:r>
      <w:r>
        <w:rPr>
          <w:rFonts w:hint="eastAsia" w:ascii="宋体" w:hAnsi="宋体" w:eastAsia="宋体" w:cs="宋体"/>
          <w:bCs/>
          <w:color w:val="auto"/>
          <w:sz w:val="24"/>
          <w:szCs w:val="24"/>
          <w:highlight w:val="none"/>
        </w:rPr>
        <w:t>68号）</w:t>
      </w:r>
      <w:r>
        <w:rPr>
          <w:rFonts w:hint="eastAsia" w:ascii="宋体" w:hAnsi="宋体" w:eastAsia="宋体" w:cs="宋体"/>
          <w:bCs/>
          <w:color w:val="auto"/>
          <w:sz w:val="24"/>
          <w:highlight w:val="none"/>
        </w:rPr>
        <w:t>的规定，本公司为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（请填写：监狱）企业。</w:t>
      </w:r>
    </w:p>
    <w:p>
      <w:pPr>
        <w:spacing w:line="360" w:lineRule="auto"/>
        <w:ind w:firstLine="235" w:firstLineChars="9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本单位为符合条件的监狱企业，且本单位参加______单位的______项目采购活动提供本单位制造的货物（由本单位承担工程/提供服务）。</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本公司对上述声明的真实性负责，若有虚假，将依法承担相应责任。</w:t>
      </w:r>
    </w:p>
    <w:p>
      <w:pPr>
        <w:spacing w:line="360" w:lineRule="auto"/>
        <w:ind w:firstLine="480" w:firstLineChars="200"/>
        <w:rPr>
          <w:rFonts w:hint="eastAsia" w:ascii="宋体" w:hAnsi="宋体" w:eastAsia="宋体" w:cs="宋体"/>
          <w:bCs/>
          <w:color w:val="auto"/>
          <w:sz w:val="24"/>
          <w:highlight w:val="none"/>
        </w:rPr>
      </w:pPr>
    </w:p>
    <w:p>
      <w:pPr>
        <w:spacing w:line="360" w:lineRule="auto"/>
        <w:ind w:firstLine="480" w:firstLineChars="200"/>
        <w:rPr>
          <w:rFonts w:hint="eastAsia" w:ascii="宋体" w:hAnsi="宋体" w:eastAsia="宋体" w:cs="宋体"/>
          <w:bCs/>
          <w:color w:val="auto"/>
          <w:sz w:val="24"/>
          <w:highlight w:val="none"/>
        </w:rPr>
      </w:pPr>
    </w:p>
    <w:p>
      <w:pPr>
        <w:spacing w:line="360" w:lineRule="auto"/>
        <w:ind w:firstLine="235" w:firstLineChars="98"/>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（盖章）</w:t>
      </w:r>
    </w:p>
    <w:p>
      <w:pPr>
        <w:spacing w:line="360" w:lineRule="auto"/>
        <w:ind w:firstLine="235" w:firstLineChars="98"/>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pPr>
        <w:spacing w:line="360" w:lineRule="auto"/>
        <w:ind w:firstLine="235" w:firstLineChars="98"/>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法定代表人或其法人授权委托人</w:t>
      </w:r>
      <w:r>
        <w:rPr>
          <w:rFonts w:hint="eastAsia" w:ascii="宋体" w:hAnsi="宋体" w:eastAsia="宋体" w:cs="宋体"/>
          <w:bCs/>
          <w:color w:val="auto"/>
          <w:sz w:val="24"/>
          <w:highlight w:val="none"/>
          <w:u w:val="single"/>
        </w:rPr>
        <w:t>：</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（签字或盖章）</w:t>
      </w:r>
    </w:p>
    <w:p>
      <w:pPr>
        <w:spacing w:line="360" w:lineRule="auto"/>
        <w:ind w:firstLine="235" w:firstLineChars="98"/>
        <w:jc w:val="right"/>
        <w:rPr>
          <w:rFonts w:hint="eastAsia" w:ascii="宋体" w:hAnsi="宋体" w:eastAsia="宋体" w:cs="宋体"/>
          <w:bCs/>
          <w:color w:val="auto"/>
          <w:sz w:val="24"/>
          <w:highlight w:val="none"/>
        </w:rPr>
      </w:pPr>
    </w:p>
    <w:p>
      <w:pPr>
        <w:spacing w:line="360" w:lineRule="auto"/>
        <w:ind w:firstLine="235" w:firstLineChars="98"/>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   年   月   日</w:t>
      </w:r>
    </w:p>
    <w:p>
      <w:pPr>
        <w:spacing w:line="360" w:lineRule="auto"/>
        <w:rPr>
          <w:rFonts w:hint="eastAsia" w:ascii="宋体" w:hAnsi="宋体" w:eastAsia="宋体" w:cs="宋体"/>
          <w:b/>
          <w:color w:val="auto"/>
          <w:sz w:val="24"/>
          <w:highlight w:val="none"/>
        </w:rPr>
      </w:pPr>
    </w:p>
    <w:p>
      <w:pPr>
        <w:spacing w:line="440" w:lineRule="exact"/>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pPr>
        <w:spacing w:line="440" w:lineRule="exact"/>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1.非监狱企业无需在投标文件中提供。如为监狱企业应在投标文件的封面右上角明确注明相关信息以便方便认可，且提供相关证明材料。</w:t>
      </w:r>
    </w:p>
    <w:p>
      <w:pPr>
        <w:spacing w:line="440" w:lineRule="exact"/>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提供《监狱企业声明函》的需保证其真实性，如经查实存在虚假证明的情况，由</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承担相应责任。</w:t>
      </w:r>
    </w:p>
    <w:bookmarkEnd w:id="1213"/>
    <w:p>
      <w:pPr>
        <w:jc w:val="left"/>
        <w:rPr>
          <w:rFonts w:hint="eastAsia" w:ascii="宋体" w:hAnsi="宋体" w:eastAsia="宋体" w:cs="宋体"/>
          <w:b/>
          <w:bCs/>
          <w:color w:val="auto"/>
          <w:sz w:val="24"/>
          <w:szCs w:val="24"/>
          <w:highlight w:val="none"/>
        </w:rPr>
        <w:sectPr>
          <w:headerReference r:id="rId14" w:type="default"/>
          <w:footerReference r:id="rId15" w:type="default"/>
          <w:pgSz w:w="11906" w:h="16838"/>
          <w:pgMar w:top="1440" w:right="1800" w:bottom="1440" w:left="1800" w:header="1185" w:footer="1191" w:gutter="0"/>
          <w:pgBorders>
            <w:top w:val="none" w:sz="0" w:space="0"/>
            <w:left w:val="none" w:sz="0" w:space="0"/>
            <w:bottom w:val="none" w:sz="0" w:space="0"/>
            <w:right w:val="none" w:sz="0" w:space="0"/>
          </w:pgBorders>
          <w:pgNumType w:fmt="decimal"/>
          <w:cols w:space="720" w:num="1"/>
          <w:docGrid w:type="lines" w:linePitch="312" w:charSpace="0"/>
        </w:sectPr>
      </w:pPr>
    </w:p>
    <w:p>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p>
    <w:p>
      <w:pPr>
        <w:jc w:val="left"/>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6"/>
          <w:szCs w:val="36"/>
          <w:highlight w:val="none"/>
        </w:rPr>
        <w:tab/>
      </w:r>
      <w:r>
        <w:rPr>
          <w:rFonts w:hint="eastAsia" w:ascii="宋体" w:hAnsi="宋体" w:eastAsia="宋体" w:cs="宋体"/>
          <w:b/>
          <w:bCs/>
          <w:color w:val="auto"/>
          <w:sz w:val="28"/>
          <w:szCs w:val="28"/>
          <w:highlight w:val="none"/>
        </w:rPr>
        <w:t>节能环保、环境标志产品明细表</w:t>
      </w:r>
    </w:p>
    <w:tbl>
      <w:tblPr>
        <w:tblStyle w:val="24"/>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2"/>
        <w:gridCol w:w="990"/>
        <w:gridCol w:w="1016"/>
        <w:gridCol w:w="873"/>
        <w:gridCol w:w="1069"/>
        <w:gridCol w:w="717"/>
        <w:gridCol w:w="757"/>
        <w:gridCol w:w="756"/>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8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9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101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873"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06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认证证书编号</w:t>
            </w:r>
          </w:p>
        </w:tc>
        <w:tc>
          <w:tcPr>
            <w:tcW w:w="71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5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75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6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4"/>
                <w:szCs w:val="24"/>
                <w:highlight w:val="none"/>
              </w:rPr>
            </w:pPr>
          </w:p>
        </w:tc>
        <w:tc>
          <w:tcPr>
            <w:tcW w:w="882" w:type="dxa"/>
          </w:tcPr>
          <w:p>
            <w:pPr>
              <w:spacing w:line="360" w:lineRule="auto"/>
              <w:rPr>
                <w:rFonts w:hint="eastAsia" w:ascii="宋体" w:hAnsi="宋体" w:eastAsia="宋体" w:cs="宋体"/>
                <w:color w:val="auto"/>
                <w:sz w:val="24"/>
                <w:szCs w:val="24"/>
                <w:highlight w:val="none"/>
              </w:rPr>
            </w:pPr>
          </w:p>
        </w:tc>
        <w:tc>
          <w:tcPr>
            <w:tcW w:w="990" w:type="dxa"/>
          </w:tcPr>
          <w:p>
            <w:pPr>
              <w:spacing w:line="360" w:lineRule="auto"/>
              <w:rPr>
                <w:rFonts w:hint="eastAsia" w:ascii="宋体" w:hAnsi="宋体" w:eastAsia="宋体" w:cs="宋体"/>
                <w:color w:val="auto"/>
                <w:sz w:val="24"/>
                <w:szCs w:val="24"/>
                <w:highlight w:val="none"/>
              </w:rPr>
            </w:pPr>
          </w:p>
        </w:tc>
        <w:tc>
          <w:tcPr>
            <w:tcW w:w="1016" w:type="dxa"/>
          </w:tcPr>
          <w:p>
            <w:pPr>
              <w:spacing w:line="360" w:lineRule="auto"/>
              <w:rPr>
                <w:rFonts w:hint="eastAsia" w:ascii="宋体" w:hAnsi="宋体" w:eastAsia="宋体" w:cs="宋体"/>
                <w:color w:val="auto"/>
                <w:sz w:val="24"/>
                <w:szCs w:val="24"/>
                <w:highlight w:val="none"/>
              </w:rPr>
            </w:pPr>
          </w:p>
        </w:tc>
        <w:tc>
          <w:tcPr>
            <w:tcW w:w="873" w:type="dxa"/>
          </w:tcPr>
          <w:p>
            <w:pPr>
              <w:spacing w:line="360" w:lineRule="auto"/>
              <w:rPr>
                <w:rFonts w:hint="eastAsia" w:ascii="宋体" w:hAnsi="宋体" w:eastAsia="宋体" w:cs="宋体"/>
                <w:color w:val="auto"/>
                <w:sz w:val="24"/>
                <w:szCs w:val="24"/>
                <w:highlight w:val="none"/>
              </w:rPr>
            </w:pPr>
          </w:p>
        </w:tc>
        <w:tc>
          <w:tcPr>
            <w:tcW w:w="1069" w:type="dxa"/>
          </w:tcPr>
          <w:p>
            <w:pPr>
              <w:spacing w:line="360" w:lineRule="auto"/>
              <w:rPr>
                <w:rFonts w:hint="eastAsia" w:ascii="宋体" w:hAnsi="宋体" w:eastAsia="宋体" w:cs="宋体"/>
                <w:color w:val="auto"/>
                <w:sz w:val="24"/>
                <w:szCs w:val="24"/>
                <w:highlight w:val="none"/>
              </w:rPr>
            </w:pPr>
          </w:p>
        </w:tc>
        <w:tc>
          <w:tcPr>
            <w:tcW w:w="717" w:type="dxa"/>
          </w:tcPr>
          <w:p>
            <w:pPr>
              <w:spacing w:line="360" w:lineRule="auto"/>
              <w:rPr>
                <w:rFonts w:hint="eastAsia" w:ascii="宋体" w:hAnsi="宋体" w:eastAsia="宋体" w:cs="宋体"/>
                <w:color w:val="auto"/>
                <w:sz w:val="24"/>
                <w:szCs w:val="24"/>
                <w:highlight w:val="none"/>
              </w:rPr>
            </w:pPr>
          </w:p>
        </w:tc>
        <w:tc>
          <w:tcPr>
            <w:tcW w:w="757" w:type="dxa"/>
          </w:tcPr>
          <w:p>
            <w:pPr>
              <w:spacing w:line="360" w:lineRule="auto"/>
              <w:rPr>
                <w:rFonts w:hint="eastAsia" w:ascii="宋体" w:hAnsi="宋体" w:eastAsia="宋体" w:cs="宋体"/>
                <w:color w:val="auto"/>
                <w:sz w:val="24"/>
                <w:szCs w:val="24"/>
                <w:highlight w:val="none"/>
              </w:rPr>
            </w:pPr>
          </w:p>
        </w:tc>
        <w:tc>
          <w:tcPr>
            <w:tcW w:w="756" w:type="dxa"/>
          </w:tcPr>
          <w:p>
            <w:pPr>
              <w:spacing w:line="360" w:lineRule="auto"/>
              <w:rPr>
                <w:rFonts w:hint="eastAsia" w:ascii="宋体" w:hAnsi="宋体" w:eastAsia="宋体" w:cs="宋体"/>
                <w:color w:val="auto"/>
                <w:sz w:val="24"/>
                <w:szCs w:val="24"/>
                <w:highlight w:val="none"/>
              </w:rPr>
            </w:pPr>
          </w:p>
        </w:tc>
        <w:tc>
          <w:tcPr>
            <w:tcW w:w="767" w:type="dxa"/>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hint="eastAsia" w:ascii="宋体" w:hAnsi="宋体" w:eastAsia="宋体" w:cs="宋体"/>
                <w:color w:val="auto"/>
                <w:sz w:val="22"/>
                <w:szCs w:val="22"/>
                <w:highlight w:val="none"/>
              </w:rPr>
            </w:pPr>
          </w:p>
        </w:tc>
        <w:tc>
          <w:tcPr>
            <w:tcW w:w="882" w:type="dxa"/>
          </w:tcPr>
          <w:p>
            <w:pPr>
              <w:spacing w:line="360" w:lineRule="auto"/>
              <w:rPr>
                <w:rFonts w:hint="eastAsia" w:ascii="宋体" w:hAnsi="宋体" w:eastAsia="宋体" w:cs="宋体"/>
                <w:color w:val="auto"/>
                <w:sz w:val="22"/>
                <w:szCs w:val="22"/>
                <w:highlight w:val="none"/>
              </w:rPr>
            </w:pPr>
          </w:p>
        </w:tc>
        <w:tc>
          <w:tcPr>
            <w:tcW w:w="990" w:type="dxa"/>
          </w:tcPr>
          <w:p>
            <w:pPr>
              <w:spacing w:line="360" w:lineRule="auto"/>
              <w:rPr>
                <w:rFonts w:hint="eastAsia" w:ascii="宋体" w:hAnsi="宋体" w:eastAsia="宋体" w:cs="宋体"/>
                <w:color w:val="auto"/>
                <w:sz w:val="22"/>
                <w:szCs w:val="22"/>
                <w:highlight w:val="none"/>
              </w:rPr>
            </w:pPr>
          </w:p>
        </w:tc>
        <w:tc>
          <w:tcPr>
            <w:tcW w:w="1016" w:type="dxa"/>
          </w:tcPr>
          <w:p>
            <w:pPr>
              <w:spacing w:line="360" w:lineRule="auto"/>
              <w:rPr>
                <w:rFonts w:hint="eastAsia" w:ascii="宋体" w:hAnsi="宋体" w:eastAsia="宋体" w:cs="宋体"/>
                <w:color w:val="auto"/>
                <w:sz w:val="22"/>
                <w:szCs w:val="22"/>
                <w:highlight w:val="none"/>
              </w:rPr>
            </w:pPr>
          </w:p>
        </w:tc>
        <w:tc>
          <w:tcPr>
            <w:tcW w:w="873" w:type="dxa"/>
          </w:tcPr>
          <w:p>
            <w:pPr>
              <w:spacing w:line="360" w:lineRule="auto"/>
              <w:rPr>
                <w:rFonts w:hint="eastAsia" w:ascii="宋体" w:hAnsi="宋体" w:eastAsia="宋体" w:cs="宋体"/>
                <w:color w:val="auto"/>
                <w:sz w:val="22"/>
                <w:szCs w:val="22"/>
                <w:highlight w:val="none"/>
              </w:rPr>
            </w:pPr>
          </w:p>
        </w:tc>
        <w:tc>
          <w:tcPr>
            <w:tcW w:w="1069" w:type="dxa"/>
          </w:tcPr>
          <w:p>
            <w:pPr>
              <w:spacing w:line="360" w:lineRule="auto"/>
              <w:rPr>
                <w:rFonts w:hint="eastAsia" w:ascii="宋体" w:hAnsi="宋体" w:eastAsia="宋体" w:cs="宋体"/>
                <w:color w:val="auto"/>
                <w:sz w:val="22"/>
                <w:szCs w:val="22"/>
                <w:highlight w:val="none"/>
              </w:rPr>
            </w:pPr>
          </w:p>
        </w:tc>
        <w:tc>
          <w:tcPr>
            <w:tcW w:w="717" w:type="dxa"/>
          </w:tcPr>
          <w:p>
            <w:pPr>
              <w:spacing w:line="360" w:lineRule="auto"/>
              <w:rPr>
                <w:rFonts w:hint="eastAsia" w:ascii="宋体" w:hAnsi="宋体" w:eastAsia="宋体" w:cs="宋体"/>
                <w:color w:val="auto"/>
                <w:sz w:val="22"/>
                <w:szCs w:val="22"/>
                <w:highlight w:val="none"/>
              </w:rPr>
            </w:pPr>
          </w:p>
        </w:tc>
        <w:tc>
          <w:tcPr>
            <w:tcW w:w="757" w:type="dxa"/>
          </w:tcPr>
          <w:p>
            <w:pPr>
              <w:spacing w:line="360" w:lineRule="auto"/>
              <w:rPr>
                <w:rFonts w:hint="eastAsia" w:ascii="宋体" w:hAnsi="宋体" w:eastAsia="宋体" w:cs="宋体"/>
                <w:color w:val="auto"/>
                <w:sz w:val="22"/>
                <w:szCs w:val="22"/>
                <w:highlight w:val="none"/>
              </w:rPr>
            </w:pPr>
          </w:p>
        </w:tc>
        <w:tc>
          <w:tcPr>
            <w:tcW w:w="756" w:type="dxa"/>
          </w:tcPr>
          <w:p>
            <w:pPr>
              <w:spacing w:line="360" w:lineRule="auto"/>
              <w:rPr>
                <w:rFonts w:hint="eastAsia" w:ascii="宋体" w:hAnsi="宋体" w:eastAsia="宋体" w:cs="宋体"/>
                <w:color w:val="auto"/>
                <w:sz w:val="22"/>
                <w:szCs w:val="22"/>
                <w:highlight w:val="none"/>
              </w:rPr>
            </w:pPr>
          </w:p>
        </w:tc>
        <w:tc>
          <w:tcPr>
            <w:tcW w:w="767" w:type="dxa"/>
          </w:tcPr>
          <w:p>
            <w:pPr>
              <w:spacing w:line="360" w:lineRule="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91" w:type="dxa"/>
            <w:gridSpan w:val="5"/>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w:t>
            </w:r>
          </w:p>
        </w:tc>
        <w:tc>
          <w:tcPr>
            <w:tcW w:w="4066" w:type="dxa"/>
            <w:gridSpan w:val="5"/>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8"/>
          <w:szCs w:val="28"/>
          <w:highlight w:val="none"/>
        </w:rPr>
      </w:pPr>
    </w:p>
    <w:p>
      <w:pPr>
        <w:spacing w:line="480" w:lineRule="auto"/>
        <w:ind w:firstLine="480" w:firstLineChars="20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ordWrap w:val="0"/>
        <w:spacing w:line="480" w:lineRule="auto"/>
        <w:ind w:firstLine="480" w:firstLineChars="2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法人代表或委托代理人（签字或盖章）</w:t>
      </w:r>
      <w:r>
        <w:rPr>
          <w:rFonts w:hint="eastAsia" w:ascii="宋体" w:hAnsi="宋体" w:eastAsia="宋体" w:cs="宋体"/>
          <w:color w:val="auto"/>
          <w:sz w:val="24"/>
          <w:szCs w:val="24"/>
          <w:highlight w:val="none"/>
          <w:u w:val="single"/>
        </w:rPr>
        <w:t xml:space="preserve">：            </w:t>
      </w:r>
    </w:p>
    <w:p>
      <w:pPr>
        <w:spacing w:line="480" w:lineRule="auto"/>
        <w:ind w:firstLine="48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如竞争性磋商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pStyle w:val="8"/>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2.类别填写：节能环保产品或环境标志产品。</w:t>
      </w:r>
    </w:p>
    <w:p>
      <w:pPr>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w:t>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《拒绝政府采购领域商业贿赂承诺书》</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为响应党中央、国务院关于治理采购领域商业贿赂行为的号召，我公司再次承诺：</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1.在参与采购活动中遵纪守法、诚信经营、公平竞标。</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2.不向采购人、采购代理机构和采购评审专家进行任何形式的商业贿赂以谋取成交人交易机会。</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3.不向采购代理机构和采购人提供虚假资质文件或采用虚假应标方式参与采购市场竞争并谋取中标、成交人。</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4.不采取“围标、陪标”等商业欺诈手段获取采购订单。</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5.不采取不正当手段诋毁、排挤其他竞争性磋商响应竞争性磋商响应供应商。</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6.不在提供商品和服务时“偷梁换柱、以次充好”损害采购人的合法权益。</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7.不与采购人、采购代理机构、采购评审专家或其他竞争性磋商响应竞争性磋商响应供应商恶意串通，进行质疑和投诉，维护采购市场秩序。</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8.尊重和接受采购监督管理部门的监督和采购代理机构采购采购要求，承担因违约行为给采购人造成的损失。</w:t>
      </w:r>
    </w:p>
    <w:p>
      <w:pPr>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9.不发生其他有悖于政府采购公开、公平、公正和诚信原则的行为。</w:t>
      </w:r>
    </w:p>
    <w:p>
      <w:pPr>
        <w:snapToGrid w:val="0"/>
        <w:spacing w:line="480" w:lineRule="auto"/>
        <w:ind w:left="482"/>
        <w:rPr>
          <w:rFonts w:hint="eastAsia" w:ascii="宋体" w:hAnsi="宋体" w:eastAsia="宋体" w:cs="宋体"/>
          <w:bCs/>
          <w:color w:val="auto"/>
          <w:sz w:val="24"/>
          <w:szCs w:val="24"/>
          <w:highlight w:val="none"/>
        </w:rPr>
      </w:pPr>
    </w:p>
    <w:p>
      <w:pPr>
        <w:snapToGrid w:val="0"/>
        <w:spacing w:line="480" w:lineRule="auto"/>
        <w:ind w:left="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承诺单位：（盖章）</w:t>
      </w:r>
    </w:p>
    <w:p>
      <w:pPr>
        <w:snapToGrid w:val="0"/>
        <w:spacing w:line="480" w:lineRule="auto"/>
        <w:ind w:left="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p>
    <w:p>
      <w:pPr>
        <w:snapToGrid w:val="0"/>
        <w:spacing w:line="480" w:lineRule="auto"/>
        <w:ind w:left="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pPr>
        <w:snapToGrid w:val="0"/>
        <w:spacing w:line="480" w:lineRule="auto"/>
        <w:ind w:left="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p>
    <w:p>
      <w:pPr>
        <w:pStyle w:val="8"/>
        <w:ind w:firstLine="1440" w:firstLineChars="6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年月日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：封套格式</w:t>
      </w:r>
    </w:p>
    <w:p>
      <w:pPr>
        <w:spacing w:line="480" w:lineRule="exact"/>
        <w:ind w:firstLine="720" w:firstLineChars="200"/>
        <w:jc w:val="right"/>
        <w:rPr>
          <w:rFonts w:hint="eastAsia" w:ascii="仿宋" w:hAnsi="仿宋" w:eastAsia="仿宋" w:cs="仿宋"/>
          <w:color w:val="auto"/>
          <w:sz w:val="36"/>
          <w:szCs w:val="36"/>
          <w:highlight w:val="none"/>
        </w:rPr>
      </w:pPr>
    </w:p>
    <w:p>
      <w:pPr>
        <w:spacing w:line="480" w:lineRule="exact"/>
        <w:ind w:firstLine="720" w:firstLineChars="200"/>
        <w:jc w:val="right"/>
        <w:outlineLvl w:val="9"/>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lang w:val="en-US" w:eastAsia="zh-CN"/>
        </w:rPr>
        <w:t>正本/副本</w:t>
      </w:r>
    </w:p>
    <w:p>
      <w:pPr>
        <w:spacing w:line="480" w:lineRule="exact"/>
        <w:rPr>
          <w:rFonts w:hint="eastAsia" w:ascii="仿宋" w:hAnsi="仿宋" w:eastAsia="仿宋" w:cs="仿宋"/>
          <w:b/>
          <w:color w:val="auto"/>
          <w:sz w:val="36"/>
          <w:szCs w:val="36"/>
          <w:highlight w:val="none"/>
        </w:rPr>
      </w:pPr>
    </w:p>
    <w:p>
      <w:pPr>
        <w:pStyle w:val="11"/>
        <w:jc w:val="center"/>
        <w:rPr>
          <w:rFonts w:hint="eastAsia" w:ascii="宋体" w:hAnsi="宋体" w:eastAsia="宋体" w:cs="宋体"/>
          <w:b/>
          <w:bCs/>
          <w:color w:val="auto"/>
          <w:sz w:val="36"/>
          <w:szCs w:val="44"/>
          <w:highlight w:val="none"/>
        </w:rPr>
      </w:pPr>
      <w:r>
        <w:rPr>
          <w:rFonts w:hint="eastAsia" w:ascii="仿宋" w:hAnsi="仿宋" w:eastAsia="仿宋" w:cs="仿宋"/>
          <w:b/>
          <w:color w:val="auto"/>
          <w:sz w:val="36"/>
          <w:szCs w:val="36"/>
          <w:highlight w:val="none"/>
        </w:rPr>
        <w:t>项目</w:t>
      </w:r>
      <w:r>
        <w:rPr>
          <w:rFonts w:hint="eastAsia" w:ascii="仿宋" w:hAnsi="仿宋" w:eastAsia="仿宋" w:cs="仿宋"/>
          <w:b/>
          <w:color w:val="auto"/>
          <w:sz w:val="36"/>
          <w:szCs w:val="36"/>
          <w:highlight w:val="none"/>
          <w:lang w:val="en-US" w:eastAsia="zh-CN"/>
        </w:rPr>
        <w:t>名称</w:t>
      </w:r>
      <w:r>
        <w:rPr>
          <w:rFonts w:hint="eastAsia" w:ascii="仿宋" w:hAnsi="仿宋" w:eastAsia="仿宋" w:cs="仿宋"/>
          <w:b/>
          <w:color w:val="auto"/>
          <w:sz w:val="36"/>
          <w:szCs w:val="36"/>
          <w:highlight w:val="none"/>
        </w:rPr>
        <w:t>:</w:t>
      </w:r>
      <w:r>
        <w:rPr>
          <w:rFonts w:hint="eastAsia" w:ascii="宋体" w:hAnsi="宋体" w:eastAsia="宋体" w:cs="宋体"/>
          <w:b/>
          <w:bCs/>
          <w:color w:val="auto"/>
          <w:sz w:val="36"/>
          <w:szCs w:val="44"/>
          <w:highlight w:val="none"/>
          <w:lang w:val="en-US" w:eastAsia="zh-CN"/>
        </w:rPr>
        <w:t>陕西咸阳中学远航楼、怡然楼、雅舍楼卫生间及管网改造工程</w:t>
      </w:r>
    </w:p>
    <w:p>
      <w:pPr>
        <w:spacing w:line="480" w:lineRule="exact"/>
        <w:rPr>
          <w:rFonts w:hint="eastAsia" w:ascii="仿宋" w:hAnsi="仿宋" w:eastAsia="仿宋" w:cs="仿宋"/>
          <w:b/>
          <w:color w:val="auto"/>
          <w:sz w:val="36"/>
          <w:szCs w:val="36"/>
          <w:highlight w:val="none"/>
        </w:rPr>
      </w:pPr>
      <w:bookmarkStart w:id="1215" w:name="_Toc23782"/>
    </w:p>
    <w:p>
      <w:pPr>
        <w:spacing w:line="600" w:lineRule="auto"/>
        <w:jc w:val="center"/>
        <w:outlineLvl w:val="9"/>
        <w:rPr>
          <w:rFonts w:hint="default" w:ascii="Times New Roman" w:hAnsi="Times New Roman" w:eastAsia="宋体" w:cs="Times New Roman"/>
          <w:b/>
          <w:bCs/>
          <w:color w:val="auto"/>
          <w:spacing w:val="26"/>
          <w:sz w:val="36"/>
          <w:szCs w:val="36"/>
          <w:highlight w:val="none"/>
          <w:lang w:val="en-US" w:eastAsia="zh-CN"/>
        </w:rPr>
      </w:pPr>
      <w:r>
        <w:rPr>
          <w:rFonts w:hint="eastAsia" w:ascii="仿宋" w:hAnsi="仿宋" w:eastAsia="仿宋" w:cs="仿宋"/>
          <w:b/>
          <w:color w:val="auto"/>
          <w:sz w:val="36"/>
          <w:szCs w:val="36"/>
          <w:highlight w:val="none"/>
        </w:rPr>
        <w:t xml:space="preserve">项目编号: </w:t>
      </w:r>
      <w:bookmarkEnd w:id="1215"/>
      <w:r>
        <w:rPr>
          <w:rFonts w:hint="default" w:ascii="Times New Roman" w:hAnsi="Times New Roman" w:eastAsia="宋体" w:cs="Times New Roman"/>
          <w:b/>
          <w:bCs/>
          <w:color w:val="auto"/>
          <w:spacing w:val="26"/>
          <w:sz w:val="36"/>
          <w:szCs w:val="36"/>
          <w:highlight w:val="none"/>
          <w:lang w:val="en-US" w:eastAsia="zh-CN"/>
        </w:rPr>
        <w:t>CYJK-ZFCG-2023-0</w:t>
      </w:r>
      <w:r>
        <w:rPr>
          <w:rFonts w:hint="eastAsia" w:cs="Times New Roman"/>
          <w:b/>
          <w:bCs/>
          <w:color w:val="auto"/>
          <w:spacing w:val="26"/>
          <w:sz w:val="36"/>
          <w:szCs w:val="36"/>
          <w:highlight w:val="none"/>
          <w:lang w:val="en-US" w:eastAsia="zh-CN"/>
        </w:rPr>
        <w:t>14</w:t>
      </w:r>
    </w:p>
    <w:p>
      <w:pPr>
        <w:spacing w:line="480" w:lineRule="exact"/>
        <w:rPr>
          <w:rFonts w:hint="eastAsia" w:ascii="仿宋" w:hAnsi="仿宋" w:eastAsia="仿宋" w:cs="仿宋"/>
          <w:b/>
          <w:color w:val="auto"/>
          <w:sz w:val="36"/>
          <w:szCs w:val="36"/>
          <w:highlight w:val="none"/>
          <w:lang w:eastAsia="zh-CN"/>
        </w:rPr>
      </w:pPr>
    </w:p>
    <w:p>
      <w:pPr>
        <w:pStyle w:val="47"/>
        <w:rPr>
          <w:rFonts w:hint="eastAsia"/>
          <w:color w:val="auto"/>
          <w:highlight w:val="none"/>
          <w:lang w:eastAsia="zh-CN"/>
        </w:rPr>
      </w:pPr>
    </w:p>
    <w:p>
      <w:pPr>
        <w:spacing w:line="480" w:lineRule="exact"/>
        <w:rPr>
          <w:rFonts w:hint="eastAsia" w:ascii="仿宋" w:hAnsi="仿宋" w:eastAsia="仿宋" w:cs="仿宋"/>
          <w:b/>
          <w:color w:val="auto"/>
          <w:sz w:val="36"/>
          <w:szCs w:val="36"/>
          <w:highlight w:val="none"/>
          <w:bdr w:val="single" w:color="auto" w:sz="4" w:space="0"/>
          <w:shd w:val="pct10" w:color="auto" w:fill="FFFFFF"/>
        </w:rPr>
      </w:pPr>
    </w:p>
    <w:p>
      <w:pPr>
        <w:spacing w:line="480" w:lineRule="exact"/>
        <w:ind w:firstLine="1446" w:firstLineChars="200"/>
        <w:jc w:val="center"/>
        <w:rPr>
          <w:rFonts w:hint="eastAsia" w:ascii="仿宋" w:hAnsi="仿宋" w:eastAsia="仿宋" w:cs="仿宋"/>
          <w:b/>
          <w:color w:val="auto"/>
          <w:sz w:val="72"/>
          <w:szCs w:val="72"/>
          <w:highlight w:val="none"/>
        </w:rPr>
      </w:pPr>
    </w:p>
    <w:p>
      <w:pPr>
        <w:spacing w:line="480" w:lineRule="exact"/>
        <w:ind w:firstLine="1446" w:firstLineChars="200"/>
        <w:jc w:val="center"/>
        <w:rPr>
          <w:rFonts w:hint="eastAsia" w:ascii="仿宋" w:hAnsi="仿宋" w:eastAsia="仿宋" w:cs="仿宋"/>
          <w:b/>
          <w:color w:val="auto"/>
          <w:sz w:val="72"/>
          <w:szCs w:val="72"/>
          <w:highlight w:val="none"/>
        </w:rPr>
      </w:pPr>
    </w:p>
    <w:p>
      <w:pPr>
        <w:spacing w:line="480" w:lineRule="exact"/>
        <w:ind w:firstLine="1446" w:firstLineChars="200"/>
        <w:jc w:val="center"/>
        <w:rPr>
          <w:rFonts w:hint="eastAsia" w:ascii="仿宋" w:hAnsi="仿宋" w:eastAsia="仿宋" w:cs="仿宋"/>
          <w:b/>
          <w:color w:val="auto"/>
          <w:sz w:val="72"/>
          <w:szCs w:val="72"/>
          <w:highlight w:val="none"/>
        </w:rPr>
      </w:pPr>
    </w:p>
    <w:p>
      <w:pPr>
        <w:jc w:val="center"/>
        <w:rPr>
          <w:rFonts w:hint="eastAsia" w:ascii="仿宋" w:hAnsi="仿宋" w:eastAsia="仿宋" w:cs="仿宋"/>
          <w:b/>
          <w:color w:val="auto"/>
          <w:sz w:val="84"/>
          <w:szCs w:val="84"/>
          <w:highlight w:val="none"/>
          <w:lang w:eastAsia="zh-CN"/>
        </w:rPr>
      </w:pPr>
      <w:r>
        <w:rPr>
          <w:rFonts w:hint="eastAsia" w:ascii="仿宋" w:hAnsi="仿宋" w:eastAsia="仿宋" w:cs="仿宋"/>
          <w:b/>
          <w:color w:val="auto"/>
          <w:sz w:val="72"/>
          <w:szCs w:val="72"/>
          <w:highlight w:val="none"/>
        </w:rPr>
        <w:t xml:space="preserve"> </w:t>
      </w:r>
      <w:r>
        <w:rPr>
          <w:rFonts w:hint="eastAsia" w:ascii="仿宋" w:hAnsi="仿宋" w:eastAsia="仿宋" w:cs="仿宋"/>
          <w:b/>
          <w:color w:val="auto"/>
          <w:sz w:val="84"/>
          <w:szCs w:val="84"/>
          <w:highlight w:val="none"/>
          <w:lang w:eastAsia="zh-CN"/>
        </w:rPr>
        <w:t>磋商响应文件</w:t>
      </w: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pStyle w:val="47"/>
        <w:rPr>
          <w:rFonts w:hint="eastAsia" w:ascii="仿宋" w:hAnsi="仿宋" w:eastAsia="仿宋" w:cs="仿宋"/>
          <w:b/>
          <w:color w:val="auto"/>
          <w:sz w:val="28"/>
          <w:szCs w:val="28"/>
          <w:highlight w:val="none"/>
        </w:rPr>
      </w:pPr>
    </w:p>
    <w:p>
      <w:pPr>
        <w:pStyle w:val="47"/>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供应商</w:t>
      </w:r>
      <w:r>
        <w:rPr>
          <w:rFonts w:hint="eastAsia" w:ascii="仿宋" w:hAnsi="仿宋" w:eastAsia="仿宋" w:cs="仿宋"/>
          <w:b/>
          <w:color w:val="auto"/>
          <w:sz w:val="36"/>
          <w:szCs w:val="36"/>
          <w:highlight w:val="none"/>
        </w:rPr>
        <w:t>：</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开标时启封</w:t>
      </w:r>
    </w:p>
    <w:p>
      <w:pPr>
        <w:rPr>
          <w:rFonts w:hint="eastAsia"/>
          <w:color w:val="auto"/>
          <w:highlight w:val="none"/>
        </w:rPr>
      </w:pPr>
    </w:p>
    <w:sectPr>
      <w:pgSz w:w="11906" w:h="16838"/>
      <w:pgMar w:top="1440" w:right="1800" w:bottom="1440" w:left="1800" w:header="1185" w:footer="1191"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between w:val="none" w:color="auto" w:sz="0" w:space="0"/>
      </w:pBdr>
      <w:rPr>
        <w:rFonts w:hint="eastAsia" w:asciiTheme="minorEastAsia" w:hAnsiTheme="minorEastAsia" w:eastAsiaTheme="minorEastAsia" w:cstheme="minorEastAsia"/>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between w:val="none" w:color="auto" w:sz="0" w:space="0"/>
      </w:pBdr>
      <w:rPr>
        <w:rFonts w:hint="eastAsia" w:asciiTheme="minorEastAsia" w:hAnsiTheme="minorEastAsia" w:eastAsiaTheme="minorEastAsia" w:cstheme="minorEastAsia"/>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between w:val="none" w:color="auto" w:sz="0" w:space="0"/>
      </w:pBdr>
      <w:rPr>
        <w:rFonts w:hint="eastAsia" w:asciiTheme="minorEastAsia" w:hAnsiTheme="minorEastAsia" w:eastAsiaTheme="minorEastAsia" w:cstheme="minorEastAsia"/>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between w:val="none" w:color="auto" w:sz="0" w:space="0"/>
      </w:pBdr>
      <w:rPr>
        <w:rFonts w:hint="eastAsia" w:asciiTheme="minorEastAsia" w:hAnsiTheme="minorEastAsia" w:eastAsiaTheme="minorEastAsia" w:cstheme="minorEastAsia"/>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imes New Roman" w:hAnsi="Times New Roman"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center"/>
                            <w:rPr>
                              <w:sz w:val="16"/>
                              <w:szCs w:val="18"/>
                            </w:rPr>
                          </w:pPr>
                          <w:r>
                            <w:rPr>
                              <w:sz w:val="16"/>
                              <w:szCs w:val="18"/>
                            </w:rPr>
                            <w:fldChar w:fldCharType="begin"/>
                          </w:r>
                          <w:r>
                            <w:rPr>
                              <w:sz w:val="16"/>
                              <w:szCs w:val="18"/>
                            </w:rPr>
                            <w:instrText xml:space="preserve"> PAGE  \* MERGEFORMAT </w:instrText>
                          </w:r>
                          <w:r>
                            <w:rPr>
                              <w:sz w:val="16"/>
                              <w:szCs w:val="18"/>
                            </w:rPr>
                            <w:fldChar w:fldCharType="separate"/>
                          </w:r>
                          <w:r>
                            <w:rPr>
                              <w:sz w:val="16"/>
                              <w:szCs w:val="18"/>
                            </w:rPr>
                            <w:t>68</w:t>
                          </w:r>
                          <w:r>
                            <w:rPr>
                              <w:sz w:val="16"/>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jc w:val="center"/>
                      <w:rPr>
                        <w:sz w:val="16"/>
                        <w:szCs w:val="18"/>
                      </w:rPr>
                    </w:pPr>
                    <w:r>
                      <w:rPr>
                        <w:sz w:val="16"/>
                        <w:szCs w:val="18"/>
                      </w:rPr>
                      <w:fldChar w:fldCharType="begin"/>
                    </w:r>
                    <w:r>
                      <w:rPr>
                        <w:sz w:val="16"/>
                        <w:szCs w:val="18"/>
                      </w:rPr>
                      <w:instrText xml:space="preserve"> PAGE  \* MERGEFORMAT </w:instrText>
                    </w:r>
                    <w:r>
                      <w:rPr>
                        <w:sz w:val="16"/>
                        <w:szCs w:val="18"/>
                      </w:rPr>
                      <w:fldChar w:fldCharType="separate"/>
                    </w:r>
                    <w:r>
                      <w:rPr>
                        <w:sz w:val="16"/>
                        <w:szCs w:val="18"/>
                      </w:rPr>
                      <w:t>68</w:t>
                    </w:r>
                    <w:r>
                      <w:rPr>
                        <w:sz w:val="16"/>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between w:val="none" w:color="auto" w:sz="0" w:space="0"/>
      </w:pBdr>
      <w:rPr>
        <w:rFonts w:hint="eastAsia" w:asciiTheme="minorEastAsia" w:hAnsiTheme="minorEastAsia" w:eastAsiaTheme="minorEastAsia" w:cstheme="minorEastAsia"/>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33"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33" w:lineRule="exact"/>
      <w:ind w:firstLine="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33"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1"/>
        <w:right w:val="none" w:color="auto" w:sz="0" w:space="0"/>
        <w:between w:val="none" w:color="auto" w:sz="0" w:space="0"/>
      </w:pBdr>
      <w:tabs>
        <w:tab w:val="left" w:pos="5480"/>
        <w:tab w:val="clear" w:pos="4153"/>
      </w:tabs>
      <w:jc w:val="both"/>
      <w:rPr>
        <w:rFonts w:hint="default"/>
        <w:u w:val="single"/>
        <w:lang w:val="en-US" w:eastAsia="zh-CN"/>
      </w:rPr>
    </w:pPr>
  </w:p>
  <w:p>
    <w:pPr>
      <w:pStyle w:val="19"/>
      <w:pBdr>
        <w:top w:val="none" w:color="auto" w:sz="0" w:space="0"/>
        <w:left w:val="none" w:color="auto" w:sz="0" w:space="0"/>
        <w:bottom w:val="none" w:color="auto" w:sz="0" w:space="1"/>
        <w:right w:val="none" w:color="auto" w:sz="0" w:space="0"/>
        <w:between w:val="none" w:color="auto" w:sz="0" w:space="0"/>
      </w:pBdr>
      <w:tabs>
        <w:tab w:val="left" w:pos="5480"/>
        <w:tab w:val="clear" w:pos="4153"/>
      </w:tabs>
      <w:jc w:val="both"/>
      <w:rPr>
        <w:rFonts w:hint="default"/>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82283"/>
    <w:multiLevelType w:val="singleLevel"/>
    <w:tmpl w:val="92182283"/>
    <w:lvl w:ilvl="0" w:tentative="0">
      <w:start w:val="8"/>
      <w:numFmt w:val="decimal"/>
      <w:lvlText w:val="%1."/>
      <w:lvlJc w:val="left"/>
      <w:pPr>
        <w:tabs>
          <w:tab w:val="left" w:pos="312"/>
        </w:tabs>
      </w:pPr>
    </w:lvl>
  </w:abstractNum>
  <w:abstractNum w:abstractNumId="1">
    <w:nsid w:val="950F89BB"/>
    <w:multiLevelType w:val="singleLevel"/>
    <w:tmpl w:val="950F89BB"/>
    <w:lvl w:ilvl="0" w:tentative="0">
      <w:start w:val="5"/>
      <w:numFmt w:val="chineseCounting"/>
      <w:suff w:val="space"/>
      <w:lvlText w:val="第%1章"/>
      <w:lvlJc w:val="left"/>
      <w:rPr>
        <w:rFonts w:hint="eastAsia"/>
      </w:rPr>
    </w:lvl>
  </w:abstractNum>
  <w:abstractNum w:abstractNumId="2">
    <w:nsid w:val="9A12BC9C"/>
    <w:multiLevelType w:val="singleLevel"/>
    <w:tmpl w:val="9A12BC9C"/>
    <w:lvl w:ilvl="0" w:tentative="0">
      <w:start w:val="13"/>
      <w:numFmt w:val="chineseCounting"/>
      <w:suff w:val="nothing"/>
      <w:lvlText w:val="%1、"/>
      <w:lvlJc w:val="left"/>
      <w:rPr>
        <w:rFonts w:hint="eastAsia"/>
      </w:rPr>
    </w:lvl>
  </w:abstractNum>
  <w:abstractNum w:abstractNumId="3">
    <w:nsid w:val="9C864AE0"/>
    <w:multiLevelType w:val="singleLevel"/>
    <w:tmpl w:val="9C864AE0"/>
    <w:lvl w:ilvl="0" w:tentative="0">
      <w:start w:val="1"/>
      <w:numFmt w:val="decimal"/>
      <w:suff w:val="nothing"/>
      <w:lvlText w:val="（%1）"/>
      <w:lvlJc w:val="left"/>
    </w:lvl>
  </w:abstractNum>
  <w:abstractNum w:abstractNumId="4">
    <w:nsid w:val="BF40A123"/>
    <w:multiLevelType w:val="singleLevel"/>
    <w:tmpl w:val="BF40A123"/>
    <w:lvl w:ilvl="0" w:tentative="0">
      <w:start w:val="1"/>
      <w:numFmt w:val="decimal"/>
      <w:lvlText w:val="%1."/>
      <w:lvlJc w:val="left"/>
      <w:pPr>
        <w:ind w:left="425" w:hanging="425"/>
      </w:pPr>
      <w:rPr>
        <w:rFonts w:hint="default"/>
      </w:rPr>
    </w:lvl>
  </w:abstractNum>
  <w:abstractNum w:abstractNumId="5">
    <w:nsid w:val="C3EFB28D"/>
    <w:multiLevelType w:val="singleLevel"/>
    <w:tmpl w:val="C3EFB28D"/>
    <w:lvl w:ilvl="0" w:tentative="0">
      <w:start w:val="1"/>
      <w:numFmt w:val="chineseCounting"/>
      <w:suff w:val="nothing"/>
      <w:lvlText w:val="%1、"/>
      <w:lvlJc w:val="left"/>
      <w:rPr>
        <w:rFonts w:hint="eastAsia"/>
      </w:rPr>
    </w:lvl>
  </w:abstractNum>
  <w:abstractNum w:abstractNumId="6">
    <w:nsid w:val="DE9DAFC5"/>
    <w:multiLevelType w:val="singleLevel"/>
    <w:tmpl w:val="DE9DAFC5"/>
    <w:lvl w:ilvl="0" w:tentative="0">
      <w:start w:val="1"/>
      <w:numFmt w:val="decimal"/>
      <w:lvlText w:val="%1."/>
      <w:lvlJc w:val="left"/>
      <w:pPr>
        <w:tabs>
          <w:tab w:val="left" w:pos="312"/>
        </w:tabs>
      </w:pPr>
    </w:lvl>
  </w:abstractNum>
  <w:abstractNum w:abstractNumId="7">
    <w:nsid w:val="DF85A54B"/>
    <w:multiLevelType w:val="singleLevel"/>
    <w:tmpl w:val="DF85A54B"/>
    <w:lvl w:ilvl="0" w:tentative="0">
      <w:start w:val="1"/>
      <w:numFmt w:val="decimal"/>
      <w:suff w:val="nothing"/>
      <w:lvlText w:val="%1、"/>
      <w:lvlJc w:val="left"/>
    </w:lvl>
  </w:abstractNum>
  <w:abstractNum w:abstractNumId="8">
    <w:nsid w:val="3561439D"/>
    <w:multiLevelType w:val="singleLevel"/>
    <w:tmpl w:val="3561439D"/>
    <w:lvl w:ilvl="0" w:tentative="0">
      <w:start w:val="2"/>
      <w:numFmt w:val="chineseCounting"/>
      <w:suff w:val="nothing"/>
      <w:lvlText w:val="（%1）"/>
      <w:lvlJc w:val="left"/>
      <w:rPr>
        <w:rFonts w:hint="eastAsia"/>
      </w:rPr>
    </w:lvl>
  </w:abstractNum>
  <w:abstractNum w:abstractNumId="9">
    <w:nsid w:val="657F2F7B"/>
    <w:multiLevelType w:val="singleLevel"/>
    <w:tmpl w:val="657F2F7B"/>
    <w:lvl w:ilvl="0" w:tentative="0">
      <w:start w:val="1"/>
      <w:numFmt w:val="decimal"/>
      <w:lvlText w:val="%1."/>
      <w:lvlJc w:val="left"/>
      <w:pPr>
        <w:tabs>
          <w:tab w:val="left" w:pos="312"/>
        </w:tabs>
      </w:pPr>
    </w:lvl>
  </w:abstractNum>
  <w:abstractNum w:abstractNumId="10">
    <w:nsid w:val="68C59F3B"/>
    <w:multiLevelType w:val="singleLevel"/>
    <w:tmpl w:val="68C59F3B"/>
    <w:lvl w:ilvl="0" w:tentative="0">
      <w:start w:val="1"/>
      <w:numFmt w:val="decimal"/>
      <w:suff w:val="nothing"/>
      <w:lvlText w:val="%1、"/>
      <w:lvlJc w:val="left"/>
      <w:pPr>
        <w:ind w:left="150"/>
      </w:pPr>
      <w:rPr>
        <w:rFonts w:hint="default"/>
        <w:b w:val="0"/>
        <w:bCs w:val="0"/>
      </w:rPr>
    </w:lvl>
  </w:abstractNum>
  <w:abstractNum w:abstractNumId="11">
    <w:nsid w:val="6AB5F969"/>
    <w:multiLevelType w:val="singleLevel"/>
    <w:tmpl w:val="6AB5F969"/>
    <w:lvl w:ilvl="0" w:tentative="0">
      <w:start w:val="6"/>
      <w:numFmt w:val="chineseCounting"/>
      <w:suff w:val="nothing"/>
      <w:lvlText w:val="%1、"/>
      <w:lvlJc w:val="left"/>
      <w:rPr>
        <w:rFonts w:hint="eastAsia"/>
      </w:rPr>
    </w:lvl>
  </w:abstractNum>
  <w:num w:numId="1">
    <w:abstractNumId w:val="11"/>
  </w:num>
  <w:num w:numId="2">
    <w:abstractNumId w:val="10"/>
  </w:num>
  <w:num w:numId="3">
    <w:abstractNumId w:val="7"/>
  </w:num>
  <w:num w:numId="4">
    <w:abstractNumId w:val="6"/>
  </w:num>
  <w:num w:numId="5">
    <w:abstractNumId w:val="4"/>
  </w:num>
  <w:num w:numId="6">
    <w:abstractNumId w:val="0"/>
  </w:num>
  <w:num w:numId="7">
    <w:abstractNumId w:val="2"/>
  </w:num>
  <w:num w:numId="8">
    <w:abstractNumId w:val="3"/>
  </w:num>
  <w:num w:numId="9">
    <w:abstractNumId w:val="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RjMmQ4ZjhjYzczN2RhM2M5MWFiN2Q1NmRmNTEifQ=="/>
  </w:docVars>
  <w:rsids>
    <w:rsidRoot w:val="1E6D1D85"/>
    <w:rsid w:val="00027B03"/>
    <w:rsid w:val="00055A15"/>
    <w:rsid w:val="00072C34"/>
    <w:rsid w:val="000D4036"/>
    <w:rsid w:val="001B223C"/>
    <w:rsid w:val="001C06B9"/>
    <w:rsid w:val="001C1E7F"/>
    <w:rsid w:val="001D7D62"/>
    <w:rsid w:val="00272BC8"/>
    <w:rsid w:val="002B06D1"/>
    <w:rsid w:val="002E6413"/>
    <w:rsid w:val="00300A03"/>
    <w:rsid w:val="0031380D"/>
    <w:rsid w:val="003A0914"/>
    <w:rsid w:val="003A566F"/>
    <w:rsid w:val="004B0D73"/>
    <w:rsid w:val="0058523E"/>
    <w:rsid w:val="00597218"/>
    <w:rsid w:val="005C7237"/>
    <w:rsid w:val="00692FA7"/>
    <w:rsid w:val="00814795"/>
    <w:rsid w:val="008B73C2"/>
    <w:rsid w:val="009A13B3"/>
    <w:rsid w:val="009C40C7"/>
    <w:rsid w:val="00A12741"/>
    <w:rsid w:val="00A30596"/>
    <w:rsid w:val="00A44D90"/>
    <w:rsid w:val="00A65FA9"/>
    <w:rsid w:val="00AF28AD"/>
    <w:rsid w:val="00B35724"/>
    <w:rsid w:val="00BA07B2"/>
    <w:rsid w:val="00BF0926"/>
    <w:rsid w:val="00C34DAD"/>
    <w:rsid w:val="00D411A0"/>
    <w:rsid w:val="00DA3EA5"/>
    <w:rsid w:val="00E07D8E"/>
    <w:rsid w:val="00E16FE2"/>
    <w:rsid w:val="00E5510C"/>
    <w:rsid w:val="00E61963"/>
    <w:rsid w:val="00E6319D"/>
    <w:rsid w:val="00F10979"/>
    <w:rsid w:val="00F259D4"/>
    <w:rsid w:val="00FD6BBB"/>
    <w:rsid w:val="01042CD0"/>
    <w:rsid w:val="01101675"/>
    <w:rsid w:val="011253ED"/>
    <w:rsid w:val="01142E26"/>
    <w:rsid w:val="011E0236"/>
    <w:rsid w:val="01296C97"/>
    <w:rsid w:val="012C649C"/>
    <w:rsid w:val="01303AC5"/>
    <w:rsid w:val="01347A59"/>
    <w:rsid w:val="013712F7"/>
    <w:rsid w:val="01374E54"/>
    <w:rsid w:val="013B2B96"/>
    <w:rsid w:val="013C690E"/>
    <w:rsid w:val="01463413"/>
    <w:rsid w:val="014A2DD9"/>
    <w:rsid w:val="014B4386"/>
    <w:rsid w:val="016043F1"/>
    <w:rsid w:val="01767D59"/>
    <w:rsid w:val="01791910"/>
    <w:rsid w:val="017B5688"/>
    <w:rsid w:val="01804A4C"/>
    <w:rsid w:val="01A7022B"/>
    <w:rsid w:val="01C00E4D"/>
    <w:rsid w:val="01C54B55"/>
    <w:rsid w:val="01C901A1"/>
    <w:rsid w:val="01C94C48"/>
    <w:rsid w:val="01D8745B"/>
    <w:rsid w:val="01E3071E"/>
    <w:rsid w:val="01E557A6"/>
    <w:rsid w:val="01E70B6D"/>
    <w:rsid w:val="01F64D0F"/>
    <w:rsid w:val="01F82835"/>
    <w:rsid w:val="0213766F"/>
    <w:rsid w:val="021555D4"/>
    <w:rsid w:val="02175527"/>
    <w:rsid w:val="02181129"/>
    <w:rsid w:val="021F7DC1"/>
    <w:rsid w:val="02217FDE"/>
    <w:rsid w:val="02232887"/>
    <w:rsid w:val="022573A2"/>
    <w:rsid w:val="02290C40"/>
    <w:rsid w:val="022A49B8"/>
    <w:rsid w:val="022B46E5"/>
    <w:rsid w:val="022C6982"/>
    <w:rsid w:val="02325D91"/>
    <w:rsid w:val="023A4BFB"/>
    <w:rsid w:val="023F42AD"/>
    <w:rsid w:val="02441F1E"/>
    <w:rsid w:val="02581DA6"/>
    <w:rsid w:val="025A3AF2"/>
    <w:rsid w:val="025A529E"/>
    <w:rsid w:val="025C7268"/>
    <w:rsid w:val="025D5B9F"/>
    <w:rsid w:val="026737EF"/>
    <w:rsid w:val="02785724"/>
    <w:rsid w:val="02877486"/>
    <w:rsid w:val="028C2898"/>
    <w:rsid w:val="028E6D32"/>
    <w:rsid w:val="02906F11"/>
    <w:rsid w:val="02947731"/>
    <w:rsid w:val="029702A0"/>
    <w:rsid w:val="02990E1D"/>
    <w:rsid w:val="02A36C44"/>
    <w:rsid w:val="02A51709"/>
    <w:rsid w:val="02AA474C"/>
    <w:rsid w:val="02B20C36"/>
    <w:rsid w:val="02BE247E"/>
    <w:rsid w:val="02C1717B"/>
    <w:rsid w:val="02C31095"/>
    <w:rsid w:val="02C848FD"/>
    <w:rsid w:val="02C866AB"/>
    <w:rsid w:val="02CC6425"/>
    <w:rsid w:val="02CF443E"/>
    <w:rsid w:val="02D037B2"/>
    <w:rsid w:val="02D92666"/>
    <w:rsid w:val="02DD327E"/>
    <w:rsid w:val="02DD41B1"/>
    <w:rsid w:val="02E903CF"/>
    <w:rsid w:val="02F70D3E"/>
    <w:rsid w:val="02FE031F"/>
    <w:rsid w:val="03015719"/>
    <w:rsid w:val="030516AD"/>
    <w:rsid w:val="030E7E36"/>
    <w:rsid w:val="031511C4"/>
    <w:rsid w:val="03250169"/>
    <w:rsid w:val="0325136B"/>
    <w:rsid w:val="032D4760"/>
    <w:rsid w:val="03327FC8"/>
    <w:rsid w:val="03391357"/>
    <w:rsid w:val="0345682A"/>
    <w:rsid w:val="034B4BE6"/>
    <w:rsid w:val="034F2928"/>
    <w:rsid w:val="03597303"/>
    <w:rsid w:val="035B1F14"/>
    <w:rsid w:val="035C5045"/>
    <w:rsid w:val="03655CA8"/>
    <w:rsid w:val="036F0BCE"/>
    <w:rsid w:val="03791F51"/>
    <w:rsid w:val="03795BF7"/>
    <w:rsid w:val="037A5490"/>
    <w:rsid w:val="037B196F"/>
    <w:rsid w:val="037C7496"/>
    <w:rsid w:val="03854360"/>
    <w:rsid w:val="039842CF"/>
    <w:rsid w:val="039859AF"/>
    <w:rsid w:val="03AD58A1"/>
    <w:rsid w:val="03B10EED"/>
    <w:rsid w:val="03B46C2F"/>
    <w:rsid w:val="03B56367"/>
    <w:rsid w:val="03B718A0"/>
    <w:rsid w:val="03B7227C"/>
    <w:rsid w:val="03BB07B2"/>
    <w:rsid w:val="03BB7FBE"/>
    <w:rsid w:val="03BE28BE"/>
    <w:rsid w:val="03BE7AAE"/>
    <w:rsid w:val="03C17C6E"/>
    <w:rsid w:val="03C274DB"/>
    <w:rsid w:val="03C36E72"/>
    <w:rsid w:val="03E544D2"/>
    <w:rsid w:val="03F90AE6"/>
    <w:rsid w:val="04020260"/>
    <w:rsid w:val="04051239"/>
    <w:rsid w:val="04266694"/>
    <w:rsid w:val="0427002D"/>
    <w:rsid w:val="042A38BD"/>
    <w:rsid w:val="042C6499"/>
    <w:rsid w:val="042E5350"/>
    <w:rsid w:val="043F4777"/>
    <w:rsid w:val="0442649F"/>
    <w:rsid w:val="04486CF2"/>
    <w:rsid w:val="04531FA4"/>
    <w:rsid w:val="04553F6E"/>
    <w:rsid w:val="04567CE7"/>
    <w:rsid w:val="045A6CE3"/>
    <w:rsid w:val="04642403"/>
    <w:rsid w:val="046441B2"/>
    <w:rsid w:val="046555A3"/>
    <w:rsid w:val="04695C6C"/>
    <w:rsid w:val="047F27C9"/>
    <w:rsid w:val="04842AA6"/>
    <w:rsid w:val="049031F8"/>
    <w:rsid w:val="049B394B"/>
    <w:rsid w:val="049F51EA"/>
    <w:rsid w:val="049F5BD6"/>
    <w:rsid w:val="04A02AAE"/>
    <w:rsid w:val="04A24CDA"/>
    <w:rsid w:val="04A62A1C"/>
    <w:rsid w:val="04AF1AC7"/>
    <w:rsid w:val="04BA58D2"/>
    <w:rsid w:val="04BB2603"/>
    <w:rsid w:val="04BC5D9C"/>
    <w:rsid w:val="04C04EF0"/>
    <w:rsid w:val="04CC1D57"/>
    <w:rsid w:val="04D6553D"/>
    <w:rsid w:val="04DA2E6D"/>
    <w:rsid w:val="04DE21B6"/>
    <w:rsid w:val="04E23328"/>
    <w:rsid w:val="04EC22D8"/>
    <w:rsid w:val="04EE29F9"/>
    <w:rsid w:val="04F01EE9"/>
    <w:rsid w:val="04F34B35"/>
    <w:rsid w:val="04FE4606"/>
    <w:rsid w:val="050147FF"/>
    <w:rsid w:val="050B287F"/>
    <w:rsid w:val="050B6D23"/>
    <w:rsid w:val="050D2A9B"/>
    <w:rsid w:val="052E02B7"/>
    <w:rsid w:val="05377B18"/>
    <w:rsid w:val="054D2E98"/>
    <w:rsid w:val="054F4752"/>
    <w:rsid w:val="05544226"/>
    <w:rsid w:val="055C6183"/>
    <w:rsid w:val="055E4C4D"/>
    <w:rsid w:val="05604F93"/>
    <w:rsid w:val="05704DD8"/>
    <w:rsid w:val="05713919"/>
    <w:rsid w:val="0583784D"/>
    <w:rsid w:val="05880374"/>
    <w:rsid w:val="05883ED0"/>
    <w:rsid w:val="058A5ABD"/>
    <w:rsid w:val="058B39C0"/>
    <w:rsid w:val="058D14E6"/>
    <w:rsid w:val="05921402"/>
    <w:rsid w:val="05946D18"/>
    <w:rsid w:val="059E7B97"/>
    <w:rsid w:val="05A0746B"/>
    <w:rsid w:val="05AF5900"/>
    <w:rsid w:val="05B178FC"/>
    <w:rsid w:val="05B179FC"/>
    <w:rsid w:val="05B53744"/>
    <w:rsid w:val="05BC7957"/>
    <w:rsid w:val="05BE5B43"/>
    <w:rsid w:val="05C0366A"/>
    <w:rsid w:val="05CA44E8"/>
    <w:rsid w:val="05CF5FA2"/>
    <w:rsid w:val="05CF7D50"/>
    <w:rsid w:val="05D570D7"/>
    <w:rsid w:val="05DA68EB"/>
    <w:rsid w:val="05E67A22"/>
    <w:rsid w:val="05EB486B"/>
    <w:rsid w:val="05F31C91"/>
    <w:rsid w:val="05F7586B"/>
    <w:rsid w:val="06041A65"/>
    <w:rsid w:val="06066AA1"/>
    <w:rsid w:val="0609042C"/>
    <w:rsid w:val="060A0D89"/>
    <w:rsid w:val="06112117"/>
    <w:rsid w:val="061332DE"/>
    <w:rsid w:val="06135E8F"/>
    <w:rsid w:val="06190FCC"/>
    <w:rsid w:val="062A31D9"/>
    <w:rsid w:val="06341669"/>
    <w:rsid w:val="06361B7E"/>
    <w:rsid w:val="0644429B"/>
    <w:rsid w:val="06473D8B"/>
    <w:rsid w:val="06497B03"/>
    <w:rsid w:val="064C6575"/>
    <w:rsid w:val="06500E91"/>
    <w:rsid w:val="065D35AE"/>
    <w:rsid w:val="06676354"/>
    <w:rsid w:val="066C37F1"/>
    <w:rsid w:val="066E1317"/>
    <w:rsid w:val="067A265E"/>
    <w:rsid w:val="06886587"/>
    <w:rsid w:val="068E5516"/>
    <w:rsid w:val="06905A64"/>
    <w:rsid w:val="069074E0"/>
    <w:rsid w:val="06935DC9"/>
    <w:rsid w:val="069C40D7"/>
    <w:rsid w:val="06A116ED"/>
    <w:rsid w:val="06A1445A"/>
    <w:rsid w:val="06A967F3"/>
    <w:rsid w:val="06AD1B15"/>
    <w:rsid w:val="06C70A28"/>
    <w:rsid w:val="06C90C44"/>
    <w:rsid w:val="06D66EBD"/>
    <w:rsid w:val="06D73A89"/>
    <w:rsid w:val="06D82C35"/>
    <w:rsid w:val="06E11AE9"/>
    <w:rsid w:val="06E31D05"/>
    <w:rsid w:val="06E55E02"/>
    <w:rsid w:val="06E63A80"/>
    <w:rsid w:val="06E81B01"/>
    <w:rsid w:val="06E83C97"/>
    <w:rsid w:val="06E94BA5"/>
    <w:rsid w:val="06EC66E0"/>
    <w:rsid w:val="06EE2458"/>
    <w:rsid w:val="070103DE"/>
    <w:rsid w:val="07070BA7"/>
    <w:rsid w:val="070B6B66"/>
    <w:rsid w:val="070E48A8"/>
    <w:rsid w:val="07131EBF"/>
    <w:rsid w:val="071535E2"/>
    <w:rsid w:val="071A4FFB"/>
    <w:rsid w:val="071F6AB6"/>
    <w:rsid w:val="0721638A"/>
    <w:rsid w:val="07274712"/>
    <w:rsid w:val="072E0AA7"/>
    <w:rsid w:val="073065CD"/>
    <w:rsid w:val="0737795B"/>
    <w:rsid w:val="073A5455"/>
    <w:rsid w:val="073A744C"/>
    <w:rsid w:val="073C1416"/>
    <w:rsid w:val="073D0CEA"/>
    <w:rsid w:val="07404BEB"/>
    <w:rsid w:val="07483930"/>
    <w:rsid w:val="0754675F"/>
    <w:rsid w:val="07554285"/>
    <w:rsid w:val="07660241"/>
    <w:rsid w:val="07691ADF"/>
    <w:rsid w:val="076B3AA9"/>
    <w:rsid w:val="078057A6"/>
    <w:rsid w:val="07807554"/>
    <w:rsid w:val="078202D5"/>
    <w:rsid w:val="078A2181"/>
    <w:rsid w:val="07B76CEE"/>
    <w:rsid w:val="07BC4304"/>
    <w:rsid w:val="07BD6329"/>
    <w:rsid w:val="07BE007D"/>
    <w:rsid w:val="07BE5F7A"/>
    <w:rsid w:val="07C1191B"/>
    <w:rsid w:val="07CF5DE6"/>
    <w:rsid w:val="07DD49A7"/>
    <w:rsid w:val="07DF2EF8"/>
    <w:rsid w:val="07E86EA8"/>
    <w:rsid w:val="07F13FAE"/>
    <w:rsid w:val="07F25F78"/>
    <w:rsid w:val="07FB4E2D"/>
    <w:rsid w:val="07FC0BA5"/>
    <w:rsid w:val="07FC2953"/>
    <w:rsid w:val="081A6AA8"/>
    <w:rsid w:val="082042F6"/>
    <w:rsid w:val="08206641"/>
    <w:rsid w:val="08227350"/>
    <w:rsid w:val="082C6CA1"/>
    <w:rsid w:val="082E5202"/>
    <w:rsid w:val="083113C7"/>
    <w:rsid w:val="08314CF2"/>
    <w:rsid w:val="0837125E"/>
    <w:rsid w:val="08381BDD"/>
    <w:rsid w:val="08383FD8"/>
    <w:rsid w:val="08422A5C"/>
    <w:rsid w:val="084367D4"/>
    <w:rsid w:val="08444A26"/>
    <w:rsid w:val="084E4169"/>
    <w:rsid w:val="08591B53"/>
    <w:rsid w:val="085B47BB"/>
    <w:rsid w:val="085D7896"/>
    <w:rsid w:val="085E53BC"/>
    <w:rsid w:val="08624EAC"/>
    <w:rsid w:val="08635012"/>
    <w:rsid w:val="08640C24"/>
    <w:rsid w:val="08716E9D"/>
    <w:rsid w:val="0872384C"/>
    <w:rsid w:val="088E0FB2"/>
    <w:rsid w:val="08915791"/>
    <w:rsid w:val="08950866"/>
    <w:rsid w:val="089B61E2"/>
    <w:rsid w:val="08A53EA4"/>
    <w:rsid w:val="08AC0492"/>
    <w:rsid w:val="08B17BE1"/>
    <w:rsid w:val="08C02CC2"/>
    <w:rsid w:val="08C05C24"/>
    <w:rsid w:val="08C23B9D"/>
    <w:rsid w:val="08E2175A"/>
    <w:rsid w:val="08E41D65"/>
    <w:rsid w:val="08E83E8B"/>
    <w:rsid w:val="08E86FE5"/>
    <w:rsid w:val="08EA41E4"/>
    <w:rsid w:val="08F5187C"/>
    <w:rsid w:val="08F55D20"/>
    <w:rsid w:val="08FF1198"/>
    <w:rsid w:val="0901567C"/>
    <w:rsid w:val="09026B6A"/>
    <w:rsid w:val="09085814"/>
    <w:rsid w:val="090E293E"/>
    <w:rsid w:val="090E3271"/>
    <w:rsid w:val="090E6DE2"/>
    <w:rsid w:val="09181A0E"/>
    <w:rsid w:val="091838B9"/>
    <w:rsid w:val="09275462"/>
    <w:rsid w:val="092C26E1"/>
    <w:rsid w:val="092E4BD0"/>
    <w:rsid w:val="092F0DB0"/>
    <w:rsid w:val="0934654B"/>
    <w:rsid w:val="09356768"/>
    <w:rsid w:val="0937478D"/>
    <w:rsid w:val="093F53F0"/>
    <w:rsid w:val="09502FE8"/>
    <w:rsid w:val="095C020E"/>
    <w:rsid w:val="095C5D9F"/>
    <w:rsid w:val="095F763D"/>
    <w:rsid w:val="0966277A"/>
    <w:rsid w:val="0967093B"/>
    <w:rsid w:val="096E5A2A"/>
    <w:rsid w:val="096E7880"/>
    <w:rsid w:val="097053A7"/>
    <w:rsid w:val="09772BD9"/>
    <w:rsid w:val="097F572A"/>
    <w:rsid w:val="09801678"/>
    <w:rsid w:val="09815406"/>
    <w:rsid w:val="099D3B73"/>
    <w:rsid w:val="09A3752A"/>
    <w:rsid w:val="09A83C44"/>
    <w:rsid w:val="09B039F5"/>
    <w:rsid w:val="09B47989"/>
    <w:rsid w:val="09B727E4"/>
    <w:rsid w:val="09B72FD5"/>
    <w:rsid w:val="09B827A0"/>
    <w:rsid w:val="09C10EDC"/>
    <w:rsid w:val="09C15C02"/>
    <w:rsid w:val="09C20DD8"/>
    <w:rsid w:val="09C503B9"/>
    <w:rsid w:val="09C91CD1"/>
    <w:rsid w:val="09CF66EE"/>
    <w:rsid w:val="09D21BBD"/>
    <w:rsid w:val="09D26061"/>
    <w:rsid w:val="09E33DCA"/>
    <w:rsid w:val="0A0F4BBF"/>
    <w:rsid w:val="0A106E52"/>
    <w:rsid w:val="0A12645E"/>
    <w:rsid w:val="0A1B5312"/>
    <w:rsid w:val="0A2C39C3"/>
    <w:rsid w:val="0A312D88"/>
    <w:rsid w:val="0A334D52"/>
    <w:rsid w:val="0A35072C"/>
    <w:rsid w:val="0A396DF2"/>
    <w:rsid w:val="0A3D797F"/>
    <w:rsid w:val="0A3E54A5"/>
    <w:rsid w:val="0A546A76"/>
    <w:rsid w:val="0A5627EE"/>
    <w:rsid w:val="0A5B1BB3"/>
    <w:rsid w:val="0A6071C9"/>
    <w:rsid w:val="0A61763C"/>
    <w:rsid w:val="0A663E25"/>
    <w:rsid w:val="0A677B61"/>
    <w:rsid w:val="0A6C2012"/>
    <w:rsid w:val="0A6D63A4"/>
    <w:rsid w:val="0A6E7D4B"/>
    <w:rsid w:val="0A7113D6"/>
    <w:rsid w:val="0A726EFC"/>
    <w:rsid w:val="0A7333A0"/>
    <w:rsid w:val="0A757080"/>
    <w:rsid w:val="0A7669ED"/>
    <w:rsid w:val="0A7B40B8"/>
    <w:rsid w:val="0A80786B"/>
    <w:rsid w:val="0A821835"/>
    <w:rsid w:val="0A896B46"/>
    <w:rsid w:val="0A8E1F88"/>
    <w:rsid w:val="0A8F7AAE"/>
    <w:rsid w:val="0A9155A4"/>
    <w:rsid w:val="0A952E39"/>
    <w:rsid w:val="0A96708F"/>
    <w:rsid w:val="0A9B28F7"/>
    <w:rsid w:val="0A9D21CB"/>
    <w:rsid w:val="0A9E7CF1"/>
    <w:rsid w:val="0AA36276"/>
    <w:rsid w:val="0AA364AD"/>
    <w:rsid w:val="0AA417AC"/>
    <w:rsid w:val="0AB21375"/>
    <w:rsid w:val="0AB85B78"/>
    <w:rsid w:val="0ABE3A77"/>
    <w:rsid w:val="0ABF50D8"/>
    <w:rsid w:val="0ABF65E6"/>
    <w:rsid w:val="0AC21C32"/>
    <w:rsid w:val="0AC534D0"/>
    <w:rsid w:val="0ACB4F8A"/>
    <w:rsid w:val="0ACC0D02"/>
    <w:rsid w:val="0ACD78AC"/>
    <w:rsid w:val="0ACF028E"/>
    <w:rsid w:val="0AD96F7B"/>
    <w:rsid w:val="0ADD3CCF"/>
    <w:rsid w:val="0AF3717B"/>
    <w:rsid w:val="0AFB7653"/>
    <w:rsid w:val="0B03126C"/>
    <w:rsid w:val="0B0A46F9"/>
    <w:rsid w:val="0B1673C7"/>
    <w:rsid w:val="0B1A34E5"/>
    <w:rsid w:val="0B1C4093"/>
    <w:rsid w:val="0B21104E"/>
    <w:rsid w:val="0B2226D0"/>
    <w:rsid w:val="0B225DBA"/>
    <w:rsid w:val="0B24269D"/>
    <w:rsid w:val="0B2B020A"/>
    <w:rsid w:val="0B2C7AF8"/>
    <w:rsid w:val="0B4235F7"/>
    <w:rsid w:val="0B462863"/>
    <w:rsid w:val="0B531FB6"/>
    <w:rsid w:val="0B5419AE"/>
    <w:rsid w:val="0B582596"/>
    <w:rsid w:val="0B5A4560"/>
    <w:rsid w:val="0B614438"/>
    <w:rsid w:val="0B633396"/>
    <w:rsid w:val="0B6F523B"/>
    <w:rsid w:val="0B756CA4"/>
    <w:rsid w:val="0B786794"/>
    <w:rsid w:val="0B7E024F"/>
    <w:rsid w:val="0B804912"/>
    <w:rsid w:val="0B812BD3"/>
    <w:rsid w:val="0B8213C1"/>
    <w:rsid w:val="0B923CFA"/>
    <w:rsid w:val="0B98763A"/>
    <w:rsid w:val="0B9D1ED7"/>
    <w:rsid w:val="0B9F0780"/>
    <w:rsid w:val="0BA14517"/>
    <w:rsid w:val="0BA31A63"/>
    <w:rsid w:val="0BA457DB"/>
    <w:rsid w:val="0BB97F9C"/>
    <w:rsid w:val="0BBF1663"/>
    <w:rsid w:val="0BC1013B"/>
    <w:rsid w:val="0BC71D84"/>
    <w:rsid w:val="0BC76D3C"/>
    <w:rsid w:val="0BC8771C"/>
    <w:rsid w:val="0BCA3494"/>
    <w:rsid w:val="0BCB4B16"/>
    <w:rsid w:val="0BCF0AAA"/>
    <w:rsid w:val="0BD25EA5"/>
    <w:rsid w:val="0BD400F3"/>
    <w:rsid w:val="0BD95485"/>
    <w:rsid w:val="0BDE6A9D"/>
    <w:rsid w:val="0BE00259"/>
    <w:rsid w:val="0BE67BA2"/>
    <w:rsid w:val="0BE95B70"/>
    <w:rsid w:val="0BEF4BBA"/>
    <w:rsid w:val="0BF73B5D"/>
    <w:rsid w:val="0C087B18"/>
    <w:rsid w:val="0C095A89"/>
    <w:rsid w:val="0C1666D9"/>
    <w:rsid w:val="0C191D25"/>
    <w:rsid w:val="0C1F714B"/>
    <w:rsid w:val="0C207413"/>
    <w:rsid w:val="0C234952"/>
    <w:rsid w:val="0C2F4169"/>
    <w:rsid w:val="0C34090D"/>
    <w:rsid w:val="0C395F24"/>
    <w:rsid w:val="0C396B92"/>
    <w:rsid w:val="0C4503A5"/>
    <w:rsid w:val="0C48085D"/>
    <w:rsid w:val="0C4D5E73"/>
    <w:rsid w:val="0C523489"/>
    <w:rsid w:val="0C5C7E64"/>
    <w:rsid w:val="0C6117B3"/>
    <w:rsid w:val="0C684A5B"/>
    <w:rsid w:val="0C692CAD"/>
    <w:rsid w:val="0C7156BE"/>
    <w:rsid w:val="0C7560C9"/>
    <w:rsid w:val="0C7B3AB4"/>
    <w:rsid w:val="0C7C4062"/>
    <w:rsid w:val="0C8A49D1"/>
    <w:rsid w:val="0C8E389C"/>
    <w:rsid w:val="0C8E40B2"/>
    <w:rsid w:val="0C917B0E"/>
    <w:rsid w:val="0C935E8F"/>
    <w:rsid w:val="0C9B273A"/>
    <w:rsid w:val="0C9E222B"/>
    <w:rsid w:val="0CBD59DF"/>
    <w:rsid w:val="0CBD6B55"/>
    <w:rsid w:val="0CBF5B3A"/>
    <w:rsid w:val="0CC004AD"/>
    <w:rsid w:val="0CC06645"/>
    <w:rsid w:val="0CC3138F"/>
    <w:rsid w:val="0CCE1A65"/>
    <w:rsid w:val="0CD619C5"/>
    <w:rsid w:val="0CD93263"/>
    <w:rsid w:val="0CDB51BF"/>
    <w:rsid w:val="0CEB46F8"/>
    <w:rsid w:val="0CF0035E"/>
    <w:rsid w:val="0CF10A09"/>
    <w:rsid w:val="0CF956B3"/>
    <w:rsid w:val="0CFE2CC9"/>
    <w:rsid w:val="0D0E5602"/>
    <w:rsid w:val="0D136775"/>
    <w:rsid w:val="0D163335"/>
    <w:rsid w:val="0D1C1BC5"/>
    <w:rsid w:val="0D1C7D1F"/>
    <w:rsid w:val="0D23033B"/>
    <w:rsid w:val="0D243A04"/>
    <w:rsid w:val="0D244E26"/>
    <w:rsid w:val="0D2E1164"/>
    <w:rsid w:val="0D3037CB"/>
    <w:rsid w:val="0D547F9B"/>
    <w:rsid w:val="0D556D8D"/>
    <w:rsid w:val="0D5B2FBC"/>
    <w:rsid w:val="0D5B5E4B"/>
    <w:rsid w:val="0D5C1DA6"/>
    <w:rsid w:val="0D645222"/>
    <w:rsid w:val="0D705975"/>
    <w:rsid w:val="0D725FFF"/>
    <w:rsid w:val="0D7731A8"/>
    <w:rsid w:val="0D7E44A5"/>
    <w:rsid w:val="0D7F02AE"/>
    <w:rsid w:val="0D7F3E0A"/>
    <w:rsid w:val="0D887163"/>
    <w:rsid w:val="0D896A37"/>
    <w:rsid w:val="0D8E6743"/>
    <w:rsid w:val="0D8F5343"/>
    <w:rsid w:val="0D9028C0"/>
    <w:rsid w:val="0D957AD2"/>
    <w:rsid w:val="0D984ECC"/>
    <w:rsid w:val="0D9D24E2"/>
    <w:rsid w:val="0DAB4BFF"/>
    <w:rsid w:val="0DB735A4"/>
    <w:rsid w:val="0DB8731C"/>
    <w:rsid w:val="0DBC505E"/>
    <w:rsid w:val="0DBD3B65"/>
    <w:rsid w:val="0DC45CC1"/>
    <w:rsid w:val="0DC80C78"/>
    <w:rsid w:val="0DC83A03"/>
    <w:rsid w:val="0DD37283"/>
    <w:rsid w:val="0DD622BF"/>
    <w:rsid w:val="0DD759F4"/>
    <w:rsid w:val="0DD8176C"/>
    <w:rsid w:val="0DE620DB"/>
    <w:rsid w:val="0DEE5FD6"/>
    <w:rsid w:val="0DFA7935"/>
    <w:rsid w:val="0DFE792F"/>
    <w:rsid w:val="0E0662D9"/>
    <w:rsid w:val="0E0D1416"/>
    <w:rsid w:val="0E117E65"/>
    <w:rsid w:val="0E1951C3"/>
    <w:rsid w:val="0E1E3623"/>
    <w:rsid w:val="0E2A021A"/>
    <w:rsid w:val="0E2D1AB8"/>
    <w:rsid w:val="0E2D7D0A"/>
    <w:rsid w:val="0E3A41D5"/>
    <w:rsid w:val="0E3E3CC5"/>
    <w:rsid w:val="0E4137B5"/>
    <w:rsid w:val="0E437CC0"/>
    <w:rsid w:val="0E4B0190"/>
    <w:rsid w:val="0E4D215A"/>
    <w:rsid w:val="0E576B35"/>
    <w:rsid w:val="0E59668F"/>
    <w:rsid w:val="0E6059EA"/>
    <w:rsid w:val="0E636514"/>
    <w:rsid w:val="0E9721CE"/>
    <w:rsid w:val="0E986DE4"/>
    <w:rsid w:val="0E9953A0"/>
    <w:rsid w:val="0E9C1E4E"/>
    <w:rsid w:val="0E9E29B6"/>
    <w:rsid w:val="0EAC6E81"/>
    <w:rsid w:val="0EB34DB4"/>
    <w:rsid w:val="0EB8407D"/>
    <w:rsid w:val="0ECD6829"/>
    <w:rsid w:val="0ECE1E79"/>
    <w:rsid w:val="0ECF0DC1"/>
    <w:rsid w:val="0ED168E7"/>
    <w:rsid w:val="0EDE2DB2"/>
    <w:rsid w:val="0EE24651"/>
    <w:rsid w:val="0EEA5BFB"/>
    <w:rsid w:val="0EED44EC"/>
    <w:rsid w:val="0EEF6D6E"/>
    <w:rsid w:val="0EF96BD1"/>
    <w:rsid w:val="0EFD76DC"/>
    <w:rsid w:val="0F00541F"/>
    <w:rsid w:val="0F024CF3"/>
    <w:rsid w:val="0F0A12A1"/>
    <w:rsid w:val="0F144A26"/>
    <w:rsid w:val="0F150FAF"/>
    <w:rsid w:val="0F16254C"/>
    <w:rsid w:val="0F184516"/>
    <w:rsid w:val="0F1B4006"/>
    <w:rsid w:val="0F234A63"/>
    <w:rsid w:val="0F276507"/>
    <w:rsid w:val="0F2C6214"/>
    <w:rsid w:val="0F2F6CE8"/>
    <w:rsid w:val="0F307AB2"/>
    <w:rsid w:val="0F325EF5"/>
    <w:rsid w:val="0F364348"/>
    <w:rsid w:val="0F3A26DF"/>
    <w:rsid w:val="0F3B6457"/>
    <w:rsid w:val="0F43363C"/>
    <w:rsid w:val="0F457B2E"/>
    <w:rsid w:val="0F53554E"/>
    <w:rsid w:val="0F5C47D0"/>
    <w:rsid w:val="0F6459AD"/>
    <w:rsid w:val="0F6922F0"/>
    <w:rsid w:val="0F694D72"/>
    <w:rsid w:val="0F6A2898"/>
    <w:rsid w:val="0F6B0AEA"/>
    <w:rsid w:val="0F713C26"/>
    <w:rsid w:val="0F7811B7"/>
    <w:rsid w:val="0F895414"/>
    <w:rsid w:val="0F942ADE"/>
    <w:rsid w:val="0F953DB9"/>
    <w:rsid w:val="0F987405"/>
    <w:rsid w:val="0FA1450C"/>
    <w:rsid w:val="0FA87171"/>
    <w:rsid w:val="0FB40248"/>
    <w:rsid w:val="0FB4399D"/>
    <w:rsid w:val="0FB56209"/>
    <w:rsid w:val="0FB57FB7"/>
    <w:rsid w:val="0FB83603"/>
    <w:rsid w:val="0FBD50BE"/>
    <w:rsid w:val="0FC4644C"/>
    <w:rsid w:val="0FC55DA7"/>
    <w:rsid w:val="0FC621C4"/>
    <w:rsid w:val="0FCD7E1E"/>
    <w:rsid w:val="0FD0094D"/>
    <w:rsid w:val="0FD3043D"/>
    <w:rsid w:val="0FDA17CC"/>
    <w:rsid w:val="0FDC03BC"/>
    <w:rsid w:val="0FDF5034"/>
    <w:rsid w:val="0FEB1C2B"/>
    <w:rsid w:val="0FF00FEF"/>
    <w:rsid w:val="100103FB"/>
    <w:rsid w:val="10030555"/>
    <w:rsid w:val="10086339"/>
    <w:rsid w:val="100F54BA"/>
    <w:rsid w:val="1017657C"/>
    <w:rsid w:val="102869DB"/>
    <w:rsid w:val="102A263A"/>
    <w:rsid w:val="102F0D53"/>
    <w:rsid w:val="10305890"/>
    <w:rsid w:val="10347D00"/>
    <w:rsid w:val="10374E70"/>
    <w:rsid w:val="103A4217"/>
    <w:rsid w:val="104650B3"/>
    <w:rsid w:val="104A4BA3"/>
    <w:rsid w:val="104A6951"/>
    <w:rsid w:val="1053332C"/>
    <w:rsid w:val="105A290D"/>
    <w:rsid w:val="105D02BD"/>
    <w:rsid w:val="105F7F23"/>
    <w:rsid w:val="10611EED"/>
    <w:rsid w:val="10613C9B"/>
    <w:rsid w:val="10614099"/>
    <w:rsid w:val="106A3241"/>
    <w:rsid w:val="107437F2"/>
    <w:rsid w:val="10881228"/>
    <w:rsid w:val="1088747A"/>
    <w:rsid w:val="108C51BC"/>
    <w:rsid w:val="108F0897"/>
    <w:rsid w:val="1091002D"/>
    <w:rsid w:val="109875AB"/>
    <w:rsid w:val="10991687"/>
    <w:rsid w:val="10993435"/>
    <w:rsid w:val="10A36062"/>
    <w:rsid w:val="10A818CA"/>
    <w:rsid w:val="10A83678"/>
    <w:rsid w:val="10AB3168"/>
    <w:rsid w:val="10B22E53"/>
    <w:rsid w:val="10B84C83"/>
    <w:rsid w:val="10BD27BC"/>
    <w:rsid w:val="10BD35C7"/>
    <w:rsid w:val="10BD449F"/>
    <w:rsid w:val="10C34956"/>
    <w:rsid w:val="10C55FD8"/>
    <w:rsid w:val="10D74019"/>
    <w:rsid w:val="10D80401"/>
    <w:rsid w:val="10D85C0C"/>
    <w:rsid w:val="10EA3C90"/>
    <w:rsid w:val="10F2648A"/>
    <w:rsid w:val="10F92E76"/>
    <w:rsid w:val="10FC5772"/>
    <w:rsid w:val="11130D98"/>
    <w:rsid w:val="111D4066"/>
    <w:rsid w:val="11241A79"/>
    <w:rsid w:val="112E6273"/>
    <w:rsid w:val="112F29B2"/>
    <w:rsid w:val="113413B0"/>
    <w:rsid w:val="113D0264"/>
    <w:rsid w:val="113E5D8A"/>
    <w:rsid w:val="114E06C3"/>
    <w:rsid w:val="114E421F"/>
    <w:rsid w:val="11535CDA"/>
    <w:rsid w:val="11785740"/>
    <w:rsid w:val="1179433F"/>
    <w:rsid w:val="117E2EA8"/>
    <w:rsid w:val="1180293D"/>
    <w:rsid w:val="118B7221"/>
    <w:rsid w:val="11927525"/>
    <w:rsid w:val="119676AA"/>
    <w:rsid w:val="11A22870"/>
    <w:rsid w:val="11A26B94"/>
    <w:rsid w:val="11AB5399"/>
    <w:rsid w:val="11AE2F10"/>
    <w:rsid w:val="11AF22BA"/>
    <w:rsid w:val="11B524F0"/>
    <w:rsid w:val="11BC387F"/>
    <w:rsid w:val="11C20769"/>
    <w:rsid w:val="11C74C83"/>
    <w:rsid w:val="11C87623"/>
    <w:rsid w:val="11CE5360"/>
    <w:rsid w:val="11DF608A"/>
    <w:rsid w:val="11E608FC"/>
    <w:rsid w:val="11F12DFD"/>
    <w:rsid w:val="11F1761D"/>
    <w:rsid w:val="11F33019"/>
    <w:rsid w:val="11FC590F"/>
    <w:rsid w:val="120D5E88"/>
    <w:rsid w:val="12114DE3"/>
    <w:rsid w:val="12140B5F"/>
    <w:rsid w:val="12266F4A"/>
    <w:rsid w:val="12292E77"/>
    <w:rsid w:val="12321A94"/>
    <w:rsid w:val="12340040"/>
    <w:rsid w:val="123B32C2"/>
    <w:rsid w:val="123C051C"/>
    <w:rsid w:val="123F67F5"/>
    <w:rsid w:val="12443874"/>
    <w:rsid w:val="12490E8B"/>
    <w:rsid w:val="124D097B"/>
    <w:rsid w:val="125A1D71"/>
    <w:rsid w:val="125C296C"/>
    <w:rsid w:val="12604E05"/>
    <w:rsid w:val="12827E73"/>
    <w:rsid w:val="128C4BBC"/>
    <w:rsid w:val="129465AA"/>
    <w:rsid w:val="12955E7E"/>
    <w:rsid w:val="12993BC0"/>
    <w:rsid w:val="1299771C"/>
    <w:rsid w:val="129B16E6"/>
    <w:rsid w:val="129C6B7B"/>
    <w:rsid w:val="12A12A75"/>
    <w:rsid w:val="12A52565"/>
    <w:rsid w:val="12A57404"/>
    <w:rsid w:val="12A778BA"/>
    <w:rsid w:val="12AA36D7"/>
    <w:rsid w:val="12B207DE"/>
    <w:rsid w:val="12C44981"/>
    <w:rsid w:val="12C8390D"/>
    <w:rsid w:val="12D76C2C"/>
    <w:rsid w:val="12D9220E"/>
    <w:rsid w:val="12E017EF"/>
    <w:rsid w:val="12E56E05"/>
    <w:rsid w:val="12E806A4"/>
    <w:rsid w:val="12EA61CA"/>
    <w:rsid w:val="12EB3CF0"/>
    <w:rsid w:val="12F72695"/>
    <w:rsid w:val="13086650"/>
    <w:rsid w:val="130C3798"/>
    <w:rsid w:val="13106729"/>
    <w:rsid w:val="131D7028"/>
    <w:rsid w:val="13207E3D"/>
    <w:rsid w:val="132F17BB"/>
    <w:rsid w:val="1330741D"/>
    <w:rsid w:val="1331204B"/>
    <w:rsid w:val="13375CD1"/>
    <w:rsid w:val="133833D9"/>
    <w:rsid w:val="13386F35"/>
    <w:rsid w:val="13394A5B"/>
    <w:rsid w:val="133D09EF"/>
    <w:rsid w:val="133D454B"/>
    <w:rsid w:val="13427DB4"/>
    <w:rsid w:val="135E1FA9"/>
    <w:rsid w:val="136332B1"/>
    <w:rsid w:val="136917E4"/>
    <w:rsid w:val="13751AFF"/>
    <w:rsid w:val="137912FC"/>
    <w:rsid w:val="137F4B64"/>
    <w:rsid w:val="13826402"/>
    <w:rsid w:val="138B1CBD"/>
    <w:rsid w:val="138C54D3"/>
    <w:rsid w:val="13904FC3"/>
    <w:rsid w:val="13963C5C"/>
    <w:rsid w:val="139C483D"/>
    <w:rsid w:val="139D148E"/>
    <w:rsid w:val="13A04ADA"/>
    <w:rsid w:val="13A76650"/>
    <w:rsid w:val="13B011C1"/>
    <w:rsid w:val="13B567D8"/>
    <w:rsid w:val="13B60AD3"/>
    <w:rsid w:val="13C44C6D"/>
    <w:rsid w:val="13C46A1B"/>
    <w:rsid w:val="13C94031"/>
    <w:rsid w:val="13CE19CE"/>
    <w:rsid w:val="13D83CF6"/>
    <w:rsid w:val="13D92C12"/>
    <w:rsid w:val="13E60D32"/>
    <w:rsid w:val="13F21D94"/>
    <w:rsid w:val="13F35552"/>
    <w:rsid w:val="13F403CB"/>
    <w:rsid w:val="140B289C"/>
    <w:rsid w:val="14147310"/>
    <w:rsid w:val="141B0512"/>
    <w:rsid w:val="141D612B"/>
    <w:rsid w:val="14266409"/>
    <w:rsid w:val="14290F74"/>
    <w:rsid w:val="142A582F"/>
    <w:rsid w:val="142A6116"/>
    <w:rsid w:val="142B0848"/>
    <w:rsid w:val="142D5C85"/>
    <w:rsid w:val="143C3459"/>
    <w:rsid w:val="143E49C0"/>
    <w:rsid w:val="14432035"/>
    <w:rsid w:val="144638D4"/>
    <w:rsid w:val="144731A8"/>
    <w:rsid w:val="14593607"/>
    <w:rsid w:val="145A112D"/>
    <w:rsid w:val="145C4EA5"/>
    <w:rsid w:val="145D118E"/>
    <w:rsid w:val="146D70B2"/>
    <w:rsid w:val="146E4BD8"/>
    <w:rsid w:val="146E5BB6"/>
    <w:rsid w:val="147C5547"/>
    <w:rsid w:val="148461AA"/>
    <w:rsid w:val="14864F4B"/>
    <w:rsid w:val="1488225A"/>
    <w:rsid w:val="148C3122"/>
    <w:rsid w:val="148E3FCC"/>
    <w:rsid w:val="149260AA"/>
    <w:rsid w:val="14967A7D"/>
    <w:rsid w:val="149A2940"/>
    <w:rsid w:val="149A777C"/>
    <w:rsid w:val="14A423A8"/>
    <w:rsid w:val="14B46A8F"/>
    <w:rsid w:val="14B545B5"/>
    <w:rsid w:val="14B720DC"/>
    <w:rsid w:val="14B922F8"/>
    <w:rsid w:val="14BF26D9"/>
    <w:rsid w:val="14C8253B"/>
    <w:rsid w:val="14C91E0F"/>
    <w:rsid w:val="14DA4464"/>
    <w:rsid w:val="14DA460C"/>
    <w:rsid w:val="14DC3C62"/>
    <w:rsid w:val="14E4126B"/>
    <w:rsid w:val="14EE449D"/>
    <w:rsid w:val="14EF5D19"/>
    <w:rsid w:val="14F43330"/>
    <w:rsid w:val="14F65389"/>
    <w:rsid w:val="14FE41AE"/>
    <w:rsid w:val="14FE5F5C"/>
    <w:rsid w:val="15001CD4"/>
    <w:rsid w:val="150E1DEB"/>
    <w:rsid w:val="150F3CC6"/>
    <w:rsid w:val="15162D3D"/>
    <w:rsid w:val="1525173B"/>
    <w:rsid w:val="1525798D"/>
    <w:rsid w:val="15282E84"/>
    <w:rsid w:val="152D72DB"/>
    <w:rsid w:val="15355F42"/>
    <w:rsid w:val="15361463"/>
    <w:rsid w:val="153E0A4F"/>
    <w:rsid w:val="15457FDA"/>
    <w:rsid w:val="154A2F50"/>
    <w:rsid w:val="154A73F4"/>
    <w:rsid w:val="154D25D9"/>
    <w:rsid w:val="156512DC"/>
    <w:rsid w:val="156621E4"/>
    <w:rsid w:val="15687ABC"/>
    <w:rsid w:val="156C1118"/>
    <w:rsid w:val="156C2EC6"/>
    <w:rsid w:val="156E66CE"/>
    <w:rsid w:val="156F6E5A"/>
    <w:rsid w:val="157240CA"/>
    <w:rsid w:val="157F52EF"/>
    <w:rsid w:val="15806971"/>
    <w:rsid w:val="158741A4"/>
    <w:rsid w:val="158A3C94"/>
    <w:rsid w:val="15993F10"/>
    <w:rsid w:val="159B37AB"/>
    <w:rsid w:val="159C36AC"/>
    <w:rsid w:val="15A029C7"/>
    <w:rsid w:val="15B11221"/>
    <w:rsid w:val="15B638D9"/>
    <w:rsid w:val="15B84CA8"/>
    <w:rsid w:val="15C05BFB"/>
    <w:rsid w:val="15C224E0"/>
    <w:rsid w:val="15C26F8A"/>
    <w:rsid w:val="15C947BC"/>
    <w:rsid w:val="15CB6525"/>
    <w:rsid w:val="15D13671"/>
    <w:rsid w:val="15D867AD"/>
    <w:rsid w:val="15EB4733"/>
    <w:rsid w:val="15F2741C"/>
    <w:rsid w:val="15F335E7"/>
    <w:rsid w:val="15F35024"/>
    <w:rsid w:val="15F66C34"/>
    <w:rsid w:val="160230F0"/>
    <w:rsid w:val="16084EC1"/>
    <w:rsid w:val="160C46A9"/>
    <w:rsid w:val="160E5760"/>
    <w:rsid w:val="16105D1D"/>
    <w:rsid w:val="1615355E"/>
    <w:rsid w:val="16167562"/>
    <w:rsid w:val="161D22FD"/>
    <w:rsid w:val="162C1AD6"/>
    <w:rsid w:val="16361726"/>
    <w:rsid w:val="163C1B29"/>
    <w:rsid w:val="163F247C"/>
    <w:rsid w:val="16442095"/>
    <w:rsid w:val="16493207"/>
    <w:rsid w:val="164E4CC1"/>
    <w:rsid w:val="16571DC8"/>
    <w:rsid w:val="165E3157"/>
    <w:rsid w:val="166167A3"/>
    <w:rsid w:val="166612E2"/>
    <w:rsid w:val="16677B31"/>
    <w:rsid w:val="16697137"/>
    <w:rsid w:val="16704C38"/>
    <w:rsid w:val="16775464"/>
    <w:rsid w:val="167E0654"/>
    <w:rsid w:val="16866209"/>
    <w:rsid w:val="168908F7"/>
    <w:rsid w:val="1689711C"/>
    <w:rsid w:val="16943AE7"/>
    <w:rsid w:val="16973E0E"/>
    <w:rsid w:val="169C77DB"/>
    <w:rsid w:val="16A50D85"/>
    <w:rsid w:val="16A72CED"/>
    <w:rsid w:val="16B0772A"/>
    <w:rsid w:val="16C3745D"/>
    <w:rsid w:val="16CB6312"/>
    <w:rsid w:val="16CD3E38"/>
    <w:rsid w:val="16D90B34"/>
    <w:rsid w:val="16DB78AC"/>
    <w:rsid w:val="16E318AE"/>
    <w:rsid w:val="16EB0762"/>
    <w:rsid w:val="16EB0BB4"/>
    <w:rsid w:val="16F07B27"/>
    <w:rsid w:val="16FE0496"/>
    <w:rsid w:val="16FE2244"/>
    <w:rsid w:val="16FE3FF2"/>
    <w:rsid w:val="17051824"/>
    <w:rsid w:val="17092996"/>
    <w:rsid w:val="170B2BB3"/>
    <w:rsid w:val="17237EFC"/>
    <w:rsid w:val="17285513"/>
    <w:rsid w:val="172E0505"/>
    <w:rsid w:val="17316B01"/>
    <w:rsid w:val="173914CE"/>
    <w:rsid w:val="173C145E"/>
    <w:rsid w:val="173D316D"/>
    <w:rsid w:val="17456DF4"/>
    <w:rsid w:val="17481711"/>
    <w:rsid w:val="17484EA6"/>
    <w:rsid w:val="17571954"/>
    <w:rsid w:val="1763479D"/>
    <w:rsid w:val="17681736"/>
    <w:rsid w:val="17681DB3"/>
    <w:rsid w:val="176E561B"/>
    <w:rsid w:val="17771379"/>
    <w:rsid w:val="17786501"/>
    <w:rsid w:val="177A650F"/>
    <w:rsid w:val="17800EAB"/>
    <w:rsid w:val="1780534F"/>
    <w:rsid w:val="17887D5F"/>
    <w:rsid w:val="17914E66"/>
    <w:rsid w:val="179427AB"/>
    <w:rsid w:val="179672AA"/>
    <w:rsid w:val="17982698"/>
    <w:rsid w:val="179E7583"/>
    <w:rsid w:val="17A13847"/>
    <w:rsid w:val="17A70B2D"/>
    <w:rsid w:val="17B2302E"/>
    <w:rsid w:val="17BF1548"/>
    <w:rsid w:val="17CF1617"/>
    <w:rsid w:val="17E21B65"/>
    <w:rsid w:val="17E574A7"/>
    <w:rsid w:val="17EC06BE"/>
    <w:rsid w:val="17EE050A"/>
    <w:rsid w:val="17FD24FB"/>
    <w:rsid w:val="17FE0021"/>
    <w:rsid w:val="18153AA8"/>
    <w:rsid w:val="181F0CE3"/>
    <w:rsid w:val="18243F2C"/>
    <w:rsid w:val="182A7068"/>
    <w:rsid w:val="18316649"/>
    <w:rsid w:val="183304B6"/>
    <w:rsid w:val="183B3713"/>
    <w:rsid w:val="184D31BF"/>
    <w:rsid w:val="18510A99"/>
    <w:rsid w:val="185168C6"/>
    <w:rsid w:val="18534811"/>
    <w:rsid w:val="18570964"/>
    <w:rsid w:val="18583BD5"/>
    <w:rsid w:val="185961E9"/>
    <w:rsid w:val="18602A8A"/>
    <w:rsid w:val="18631A40"/>
    <w:rsid w:val="186802BC"/>
    <w:rsid w:val="18694035"/>
    <w:rsid w:val="186C2B22"/>
    <w:rsid w:val="18736652"/>
    <w:rsid w:val="18783863"/>
    <w:rsid w:val="188E5849"/>
    <w:rsid w:val="1890336F"/>
    <w:rsid w:val="18932E60"/>
    <w:rsid w:val="18971C9F"/>
    <w:rsid w:val="189A6FE8"/>
    <w:rsid w:val="18A5286A"/>
    <w:rsid w:val="18A961DF"/>
    <w:rsid w:val="18AB3AEE"/>
    <w:rsid w:val="18BA03EC"/>
    <w:rsid w:val="18BA5AFC"/>
    <w:rsid w:val="18BA7D5A"/>
    <w:rsid w:val="18C96881"/>
    <w:rsid w:val="18D53478"/>
    <w:rsid w:val="18DA283C"/>
    <w:rsid w:val="18E11E1D"/>
    <w:rsid w:val="18EC193E"/>
    <w:rsid w:val="18EC5654"/>
    <w:rsid w:val="18F6332B"/>
    <w:rsid w:val="18FF04F5"/>
    <w:rsid w:val="19067AD5"/>
    <w:rsid w:val="190A3949"/>
    <w:rsid w:val="190B3876"/>
    <w:rsid w:val="1910625E"/>
    <w:rsid w:val="19145D4E"/>
    <w:rsid w:val="192561AE"/>
    <w:rsid w:val="19287A4C"/>
    <w:rsid w:val="192D02CF"/>
    <w:rsid w:val="1934019F"/>
    <w:rsid w:val="193C52A5"/>
    <w:rsid w:val="193F08F1"/>
    <w:rsid w:val="193F3B31"/>
    <w:rsid w:val="19407B78"/>
    <w:rsid w:val="19503AF4"/>
    <w:rsid w:val="19520625"/>
    <w:rsid w:val="19521909"/>
    <w:rsid w:val="195976CB"/>
    <w:rsid w:val="195E558E"/>
    <w:rsid w:val="19610713"/>
    <w:rsid w:val="1981715C"/>
    <w:rsid w:val="1990326C"/>
    <w:rsid w:val="19995BED"/>
    <w:rsid w:val="199C3008"/>
    <w:rsid w:val="199C7AF2"/>
    <w:rsid w:val="19A215AC"/>
    <w:rsid w:val="19AA0461"/>
    <w:rsid w:val="19B70D65"/>
    <w:rsid w:val="19BB4C01"/>
    <w:rsid w:val="19BD7615"/>
    <w:rsid w:val="19C26965"/>
    <w:rsid w:val="19CA28B1"/>
    <w:rsid w:val="19D13243"/>
    <w:rsid w:val="19F114E9"/>
    <w:rsid w:val="19F65454"/>
    <w:rsid w:val="19FA779B"/>
    <w:rsid w:val="19FB2A6A"/>
    <w:rsid w:val="1A030A7D"/>
    <w:rsid w:val="1A044015"/>
    <w:rsid w:val="1A052E52"/>
    <w:rsid w:val="1A0E4522"/>
    <w:rsid w:val="1A0F6516"/>
    <w:rsid w:val="1A165AF6"/>
    <w:rsid w:val="1A1A46FB"/>
    <w:rsid w:val="1A1A615D"/>
    <w:rsid w:val="1A1D494C"/>
    <w:rsid w:val="1A2F0966"/>
    <w:rsid w:val="1A3A142A"/>
    <w:rsid w:val="1A400749"/>
    <w:rsid w:val="1A400DC5"/>
    <w:rsid w:val="1A491A28"/>
    <w:rsid w:val="1A497C7A"/>
    <w:rsid w:val="1A5605E9"/>
    <w:rsid w:val="1A62442A"/>
    <w:rsid w:val="1A6E0893"/>
    <w:rsid w:val="1A6E76E0"/>
    <w:rsid w:val="1A72304B"/>
    <w:rsid w:val="1A723272"/>
    <w:rsid w:val="1A7A7E33"/>
    <w:rsid w:val="1A846F04"/>
    <w:rsid w:val="1A8769F4"/>
    <w:rsid w:val="1A9058A9"/>
    <w:rsid w:val="1A952EBF"/>
    <w:rsid w:val="1A954C6D"/>
    <w:rsid w:val="1A975A4B"/>
    <w:rsid w:val="1A9829AF"/>
    <w:rsid w:val="1A9E3328"/>
    <w:rsid w:val="1AB048AE"/>
    <w:rsid w:val="1AB05F4B"/>
    <w:rsid w:val="1AB772D9"/>
    <w:rsid w:val="1AC86D08"/>
    <w:rsid w:val="1AC92C2E"/>
    <w:rsid w:val="1ACE732C"/>
    <w:rsid w:val="1AD11A1D"/>
    <w:rsid w:val="1ADC6D40"/>
    <w:rsid w:val="1AE654C9"/>
    <w:rsid w:val="1AE71241"/>
    <w:rsid w:val="1AE923ED"/>
    <w:rsid w:val="1AEB6194"/>
    <w:rsid w:val="1AED2CFB"/>
    <w:rsid w:val="1AF37123"/>
    <w:rsid w:val="1AF56D15"/>
    <w:rsid w:val="1AF916A0"/>
    <w:rsid w:val="1AF95943"/>
    <w:rsid w:val="1B097409"/>
    <w:rsid w:val="1B0F470C"/>
    <w:rsid w:val="1B100618"/>
    <w:rsid w:val="1B100797"/>
    <w:rsid w:val="1B1262BE"/>
    <w:rsid w:val="1B1D4C62"/>
    <w:rsid w:val="1B216501"/>
    <w:rsid w:val="1B23671D"/>
    <w:rsid w:val="1B283D33"/>
    <w:rsid w:val="1B2B3BB1"/>
    <w:rsid w:val="1B300E3A"/>
    <w:rsid w:val="1B351FAC"/>
    <w:rsid w:val="1B397CEE"/>
    <w:rsid w:val="1B3A75C2"/>
    <w:rsid w:val="1B3D4CD0"/>
    <w:rsid w:val="1B421738"/>
    <w:rsid w:val="1B4A111D"/>
    <w:rsid w:val="1B4B5C73"/>
    <w:rsid w:val="1B4B7A22"/>
    <w:rsid w:val="1B610FF3"/>
    <w:rsid w:val="1B6B0720"/>
    <w:rsid w:val="1B7218CE"/>
    <w:rsid w:val="1B79633D"/>
    <w:rsid w:val="1B8151F1"/>
    <w:rsid w:val="1B835F10"/>
    <w:rsid w:val="1B854CE1"/>
    <w:rsid w:val="1B862808"/>
    <w:rsid w:val="1B8C701D"/>
    <w:rsid w:val="1B8D3B96"/>
    <w:rsid w:val="1BAC6712"/>
    <w:rsid w:val="1BBD612F"/>
    <w:rsid w:val="1BC872C4"/>
    <w:rsid w:val="1BC91B13"/>
    <w:rsid w:val="1BCA303C"/>
    <w:rsid w:val="1BCF0653"/>
    <w:rsid w:val="1BD46DDD"/>
    <w:rsid w:val="1BD73063"/>
    <w:rsid w:val="1BDA35CE"/>
    <w:rsid w:val="1BDB2B53"/>
    <w:rsid w:val="1BDC75CE"/>
    <w:rsid w:val="1BE4308D"/>
    <w:rsid w:val="1BE45485"/>
    <w:rsid w:val="1BE55780"/>
    <w:rsid w:val="1BF34341"/>
    <w:rsid w:val="1C006A5E"/>
    <w:rsid w:val="1C0A1691"/>
    <w:rsid w:val="1C0F0A4F"/>
    <w:rsid w:val="1C1077F8"/>
    <w:rsid w:val="1C136791"/>
    <w:rsid w:val="1C196BAA"/>
    <w:rsid w:val="1C1B5646"/>
    <w:rsid w:val="1C1E0C92"/>
    <w:rsid w:val="1C1E4070"/>
    <w:rsid w:val="1C2A5889"/>
    <w:rsid w:val="1C2C7853"/>
    <w:rsid w:val="1C461987"/>
    <w:rsid w:val="1C4C57FF"/>
    <w:rsid w:val="1C4F0C0D"/>
    <w:rsid w:val="1C5562E0"/>
    <w:rsid w:val="1C625023"/>
    <w:rsid w:val="1C654B13"/>
    <w:rsid w:val="1C6A3ED7"/>
    <w:rsid w:val="1C6E39C8"/>
    <w:rsid w:val="1C6F7ECC"/>
    <w:rsid w:val="1C7B54D2"/>
    <w:rsid w:val="1C7E2C71"/>
    <w:rsid w:val="1C7F5BD5"/>
    <w:rsid w:val="1C7F5D9D"/>
    <w:rsid w:val="1C913B5A"/>
    <w:rsid w:val="1C931680"/>
    <w:rsid w:val="1C970CCA"/>
    <w:rsid w:val="1C984EE8"/>
    <w:rsid w:val="1C9B22E3"/>
    <w:rsid w:val="1C9B4C7F"/>
    <w:rsid w:val="1CA874D9"/>
    <w:rsid w:val="1CB11B06"/>
    <w:rsid w:val="1CBB2985"/>
    <w:rsid w:val="1CBC0BD7"/>
    <w:rsid w:val="1CCB0E1A"/>
    <w:rsid w:val="1CD33F05"/>
    <w:rsid w:val="1CD35F20"/>
    <w:rsid w:val="1CD37CCF"/>
    <w:rsid w:val="1CD9185A"/>
    <w:rsid w:val="1CE4012E"/>
    <w:rsid w:val="1CEB6DC6"/>
    <w:rsid w:val="1CF230FA"/>
    <w:rsid w:val="1CF814E3"/>
    <w:rsid w:val="1CF85987"/>
    <w:rsid w:val="1D077896"/>
    <w:rsid w:val="1D0D4283"/>
    <w:rsid w:val="1D0F2129"/>
    <w:rsid w:val="1D126A49"/>
    <w:rsid w:val="1D167D12"/>
    <w:rsid w:val="1D1C78C7"/>
    <w:rsid w:val="1D1D4B6D"/>
    <w:rsid w:val="1D1E2032"/>
    <w:rsid w:val="1D2232AF"/>
    <w:rsid w:val="1D24052A"/>
    <w:rsid w:val="1D245B3C"/>
    <w:rsid w:val="1D266050"/>
    <w:rsid w:val="1D266D75"/>
    <w:rsid w:val="1D2C5B6C"/>
    <w:rsid w:val="1D2F75FB"/>
    <w:rsid w:val="1D300C7D"/>
    <w:rsid w:val="1D33076D"/>
    <w:rsid w:val="1D3459A0"/>
    <w:rsid w:val="1D371F1F"/>
    <w:rsid w:val="1D3A5FA0"/>
    <w:rsid w:val="1D412E8A"/>
    <w:rsid w:val="1D4604A0"/>
    <w:rsid w:val="1D4727E4"/>
    <w:rsid w:val="1D5030CD"/>
    <w:rsid w:val="1D5C5F16"/>
    <w:rsid w:val="1D5F25FA"/>
    <w:rsid w:val="1D6628F1"/>
    <w:rsid w:val="1D666D95"/>
    <w:rsid w:val="1D6947DE"/>
    <w:rsid w:val="1D70551D"/>
    <w:rsid w:val="1D7E5E8C"/>
    <w:rsid w:val="1D813BCE"/>
    <w:rsid w:val="1D8A2F5B"/>
    <w:rsid w:val="1D8A4831"/>
    <w:rsid w:val="1D8B67FB"/>
    <w:rsid w:val="1D9A259A"/>
    <w:rsid w:val="1D9C4564"/>
    <w:rsid w:val="1DA77D6A"/>
    <w:rsid w:val="1DAD0520"/>
    <w:rsid w:val="1DAF0578"/>
    <w:rsid w:val="1DB337BF"/>
    <w:rsid w:val="1DB7139E"/>
    <w:rsid w:val="1DCB4E4A"/>
    <w:rsid w:val="1DCB6BF8"/>
    <w:rsid w:val="1DD62C9D"/>
    <w:rsid w:val="1DD84818"/>
    <w:rsid w:val="1DD965AC"/>
    <w:rsid w:val="1DDA6E3B"/>
    <w:rsid w:val="1DE63A32"/>
    <w:rsid w:val="1DE657E0"/>
    <w:rsid w:val="1DEA3522"/>
    <w:rsid w:val="1DEE5CD9"/>
    <w:rsid w:val="1DEF0B38"/>
    <w:rsid w:val="1DF20628"/>
    <w:rsid w:val="1DFB103D"/>
    <w:rsid w:val="1E081BFA"/>
    <w:rsid w:val="1E0839A8"/>
    <w:rsid w:val="1E0C793C"/>
    <w:rsid w:val="1E113E6A"/>
    <w:rsid w:val="1E171E3D"/>
    <w:rsid w:val="1E197963"/>
    <w:rsid w:val="1E1F1327"/>
    <w:rsid w:val="1E4036CA"/>
    <w:rsid w:val="1E48649A"/>
    <w:rsid w:val="1E5A2311"/>
    <w:rsid w:val="1E5D3DAE"/>
    <w:rsid w:val="1E5F5CBE"/>
    <w:rsid w:val="1E615EC2"/>
    <w:rsid w:val="1E650DFA"/>
    <w:rsid w:val="1E680418"/>
    <w:rsid w:val="1E6D1D85"/>
    <w:rsid w:val="1E7F70E5"/>
    <w:rsid w:val="1E890F8D"/>
    <w:rsid w:val="1E8F7C25"/>
    <w:rsid w:val="1E9532EC"/>
    <w:rsid w:val="1E9A6CF6"/>
    <w:rsid w:val="1E9B294F"/>
    <w:rsid w:val="1EBB7CCE"/>
    <w:rsid w:val="1EC145BE"/>
    <w:rsid w:val="1EC30C6E"/>
    <w:rsid w:val="1EDF4316"/>
    <w:rsid w:val="1EE44D60"/>
    <w:rsid w:val="1EED71BB"/>
    <w:rsid w:val="1EF626BB"/>
    <w:rsid w:val="1EF76329"/>
    <w:rsid w:val="1F073C5F"/>
    <w:rsid w:val="1F0A2F57"/>
    <w:rsid w:val="1F100D66"/>
    <w:rsid w:val="1F113677"/>
    <w:rsid w:val="1F134CFA"/>
    <w:rsid w:val="1F195CE1"/>
    <w:rsid w:val="1F212F73"/>
    <w:rsid w:val="1F2B1734"/>
    <w:rsid w:val="1F2B3DF2"/>
    <w:rsid w:val="1F2F6382"/>
    <w:rsid w:val="1F30765A"/>
    <w:rsid w:val="1F357EB5"/>
    <w:rsid w:val="1F3B62FE"/>
    <w:rsid w:val="1F5046A3"/>
    <w:rsid w:val="1F5C044F"/>
    <w:rsid w:val="1F615A66"/>
    <w:rsid w:val="1F666BD8"/>
    <w:rsid w:val="1F7C289F"/>
    <w:rsid w:val="1F7C464D"/>
    <w:rsid w:val="1F855BB1"/>
    <w:rsid w:val="1FA25FCC"/>
    <w:rsid w:val="1FA86C0B"/>
    <w:rsid w:val="1FA94D17"/>
    <w:rsid w:val="1FAE057F"/>
    <w:rsid w:val="1FB21E1D"/>
    <w:rsid w:val="1FBC4A4A"/>
    <w:rsid w:val="1FC14756"/>
    <w:rsid w:val="1FD9384E"/>
    <w:rsid w:val="1FDB5818"/>
    <w:rsid w:val="1FE01415"/>
    <w:rsid w:val="1FE46EA1"/>
    <w:rsid w:val="1FEB532F"/>
    <w:rsid w:val="1FEC178F"/>
    <w:rsid w:val="1FED72F9"/>
    <w:rsid w:val="1FFC578E"/>
    <w:rsid w:val="1FFE32B4"/>
    <w:rsid w:val="20000DDB"/>
    <w:rsid w:val="200563F1"/>
    <w:rsid w:val="20074ECA"/>
    <w:rsid w:val="200C3C43"/>
    <w:rsid w:val="201C62F8"/>
    <w:rsid w:val="2027711E"/>
    <w:rsid w:val="203767C6"/>
    <w:rsid w:val="2047252A"/>
    <w:rsid w:val="20511636"/>
    <w:rsid w:val="20551D8D"/>
    <w:rsid w:val="20564E9E"/>
    <w:rsid w:val="205729C5"/>
    <w:rsid w:val="20594E8B"/>
    <w:rsid w:val="205C4E1A"/>
    <w:rsid w:val="205D447F"/>
    <w:rsid w:val="206A33F7"/>
    <w:rsid w:val="206D7961"/>
    <w:rsid w:val="20807F08"/>
    <w:rsid w:val="20825C93"/>
    <w:rsid w:val="20914128"/>
    <w:rsid w:val="20950DBC"/>
    <w:rsid w:val="2096173F"/>
    <w:rsid w:val="209809BF"/>
    <w:rsid w:val="20987265"/>
    <w:rsid w:val="2099122F"/>
    <w:rsid w:val="209B0B03"/>
    <w:rsid w:val="209E23A2"/>
    <w:rsid w:val="20A21E92"/>
    <w:rsid w:val="20A537AF"/>
    <w:rsid w:val="20B00A53"/>
    <w:rsid w:val="20B120D5"/>
    <w:rsid w:val="20B84172"/>
    <w:rsid w:val="20BB73F7"/>
    <w:rsid w:val="20C04A0E"/>
    <w:rsid w:val="20DD736E"/>
    <w:rsid w:val="20E029BA"/>
    <w:rsid w:val="20E56222"/>
    <w:rsid w:val="20E71F9A"/>
    <w:rsid w:val="20EA7789"/>
    <w:rsid w:val="20EB28F3"/>
    <w:rsid w:val="20EE5905"/>
    <w:rsid w:val="20EF25AF"/>
    <w:rsid w:val="20F2078A"/>
    <w:rsid w:val="20FA1CCE"/>
    <w:rsid w:val="20FA7F20"/>
    <w:rsid w:val="20FF1092"/>
    <w:rsid w:val="21026DD4"/>
    <w:rsid w:val="210B3DDE"/>
    <w:rsid w:val="210C1A01"/>
    <w:rsid w:val="21154D5A"/>
    <w:rsid w:val="21156B08"/>
    <w:rsid w:val="211D3C0E"/>
    <w:rsid w:val="211F34E2"/>
    <w:rsid w:val="21260D15"/>
    <w:rsid w:val="212A116F"/>
    <w:rsid w:val="212C5BFF"/>
    <w:rsid w:val="212D05F5"/>
    <w:rsid w:val="213050FF"/>
    <w:rsid w:val="2135016B"/>
    <w:rsid w:val="213571AA"/>
    <w:rsid w:val="21404FF7"/>
    <w:rsid w:val="21485043"/>
    <w:rsid w:val="214B2529"/>
    <w:rsid w:val="214C62A1"/>
    <w:rsid w:val="2152244F"/>
    <w:rsid w:val="215313DE"/>
    <w:rsid w:val="21544FA6"/>
    <w:rsid w:val="215522C4"/>
    <w:rsid w:val="21560BEA"/>
    <w:rsid w:val="21612C81"/>
    <w:rsid w:val="21676C37"/>
    <w:rsid w:val="216830DB"/>
    <w:rsid w:val="216E6218"/>
    <w:rsid w:val="21745BFB"/>
    <w:rsid w:val="217A2E0F"/>
    <w:rsid w:val="218912A4"/>
    <w:rsid w:val="218D2B42"/>
    <w:rsid w:val="219000B6"/>
    <w:rsid w:val="21904156"/>
    <w:rsid w:val="21920158"/>
    <w:rsid w:val="21935C7E"/>
    <w:rsid w:val="21937CF5"/>
    <w:rsid w:val="219C2E84"/>
    <w:rsid w:val="21A12149"/>
    <w:rsid w:val="21A734D8"/>
    <w:rsid w:val="21AB121A"/>
    <w:rsid w:val="21B225A8"/>
    <w:rsid w:val="21B55BF5"/>
    <w:rsid w:val="21BA31B1"/>
    <w:rsid w:val="21C264BD"/>
    <w:rsid w:val="21C32917"/>
    <w:rsid w:val="21D628A5"/>
    <w:rsid w:val="21D80C18"/>
    <w:rsid w:val="21D812F2"/>
    <w:rsid w:val="21D818E3"/>
    <w:rsid w:val="21DE15EF"/>
    <w:rsid w:val="21E36C06"/>
    <w:rsid w:val="21E62252"/>
    <w:rsid w:val="21E76F54"/>
    <w:rsid w:val="21F04E7F"/>
    <w:rsid w:val="21F4496F"/>
    <w:rsid w:val="22034016"/>
    <w:rsid w:val="220407B3"/>
    <w:rsid w:val="220816AC"/>
    <w:rsid w:val="221261DE"/>
    <w:rsid w:val="22136598"/>
    <w:rsid w:val="2213751E"/>
    <w:rsid w:val="221A1EFC"/>
    <w:rsid w:val="221B014E"/>
    <w:rsid w:val="221C2118"/>
    <w:rsid w:val="222546FF"/>
    <w:rsid w:val="222A42DB"/>
    <w:rsid w:val="223802FF"/>
    <w:rsid w:val="223B5ED0"/>
    <w:rsid w:val="223C1E72"/>
    <w:rsid w:val="22407BB4"/>
    <w:rsid w:val="224156DA"/>
    <w:rsid w:val="224A3CE5"/>
    <w:rsid w:val="224C6559"/>
    <w:rsid w:val="22525B39"/>
    <w:rsid w:val="225E7B17"/>
    <w:rsid w:val="226144BE"/>
    <w:rsid w:val="22625D7D"/>
    <w:rsid w:val="22672682"/>
    <w:rsid w:val="22741AF1"/>
    <w:rsid w:val="2274785E"/>
    <w:rsid w:val="227F0C85"/>
    <w:rsid w:val="22837AA1"/>
    <w:rsid w:val="22850920"/>
    <w:rsid w:val="22861A28"/>
    <w:rsid w:val="228C4BA7"/>
    <w:rsid w:val="228D26CE"/>
    <w:rsid w:val="22910802"/>
    <w:rsid w:val="22BB0082"/>
    <w:rsid w:val="22C24A6D"/>
    <w:rsid w:val="22C349B5"/>
    <w:rsid w:val="22C500B9"/>
    <w:rsid w:val="22C5630B"/>
    <w:rsid w:val="22C81CA6"/>
    <w:rsid w:val="22D92D2D"/>
    <w:rsid w:val="22E7666E"/>
    <w:rsid w:val="22E9024C"/>
    <w:rsid w:val="22EC1AEA"/>
    <w:rsid w:val="22FD5AA5"/>
    <w:rsid w:val="22FF35CB"/>
    <w:rsid w:val="230063DC"/>
    <w:rsid w:val="23011D9A"/>
    <w:rsid w:val="2302130E"/>
    <w:rsid w:val="23021BE0"/>
    <w:rsid w:val="23104980"/>
    <w:rsid w:val="232325F3"/>
    <w:rsid w:val="23265C74"/>
    <w:rsid w:val="23270F76"/>
    <w:rsid w:val="232748D0"/>
    <w:rsid w:val="23305E7B"/>
    <w:rsid w:val="23330492"/>
    <w:rsid w:val="23334948"/>
    <w:rsid w:val="233A4603"/>
    <w:rsid w:val="233E6D38"/>
    <w:rsid w:val="23424FFC"/>
    <w:rsid w:val="23425BAE"/>
    <w:rsid w:val="2342660E"/>
    <w:rsid w:val="234436D4"/>
    <w:rsid w:val="234C2589"/>
    <w:rsid w:val="234C6107"/>
    <w:rsid w:val="235128B9"/>
    <w:rsid w:val="23533917"/>
    <w:rsid w:val="235837E9"/>
    <w:rsid w:val="23614286"/>
    <w:rsid w:val="23641680"/>
    <w:rsid w:val="23641A09"/>
    <w:rsid w:val="236534B0"/>
    <w:rsid w:val="23780D1D"/>
    <w:rsid w:val="237815D0"/>
    <w:rsid w:val="237C2E6E"/>
    <w:rsid w:val="237D6BE6"/>
    <w:rsid w:val="2385431F"/>
    <w:rsid w:val="23863CED"/>
    <w:rsid w:val="238C6E29"/>
    <w:rsid w:val="23902475"/>
    <w:rsid w:val="23936AED"/>
    <w:rsid w:val="23971A56"/>
    <w:rsid w:val="239A1546"/>
    <w:rsid w:val="239A7798"/>
    <w:rsid w:val="23A6613D"/>
    <w:rsid w:val="23A777BF"/>
    <w:rsid w:val="23AD5CF5"/>
    <w:rsid w:val="23AD74CB"/>
    <w:rsid w:val="23B51EDC"/>
    <w:rsid w:val="23BA5744"/>
    <w:rsid w:val="23BB00AB"/>
    <w:rsid w:val="23BC326A"/>
    <w:rsid w:val="23BD20DD"/>
    <w:rsid w:val="23C640E9"/>
    <w:rsid w:val="23C71C0F"/>
    <w:rsid w:val="23CA0D11"/>
    <w:rsid w:val="23CF0E84"/>
    <w:rsid w:val="23D06D16"/>
    <w:rsid w:val="23D12AC0"/>
    <w:rsid w:val="23D8094D"/>
    <w:rsid w:val="23DC56BB"/>
    <w:rsid w:val="23E427C1"/>
    <w:rsid w:val="23E66539"/>
    <w:rsid w:val="23EB3B50"/>
    <w:rsid w:val="23F52C20"/>
    <w:rsid w:val="23FE1AD5"/>
    <w:rsid w:val="240370EB"/>
    <w:rsid w:val="240A5D74"/>
    <w:rsid w:val="241E2177"/>
    <w:rsid w:val="242C5369"/>
    <w:rsid w:val="24317BBD"/>
    <w:rsid w:val="24342224"/>
    <w:rsid w:val="2434599F"/>
    <w:rsid w:val="24374D61"/>
    <w:rsid w:val="243F3E9B"/>
    <w:rsid w:val="24456840"/>
    <w:rsid w:val="24545B99"/>
    <w:rsid w:val="24552434"/>
    <w:rsid w:val="24594F5D"/>
    <w:rsid w:val="245B029D"/>
    <w:rsid w:val="245C4A4D"/>
    <w:rsid w:val="246758CC"/>
    <w:rsid w:val="246B4DDF"/>
    <w:rsid w:val="246F652F"/>
    <w:rsid w:val="24763D61"/>
    <w:rsid w:val="247B3126"/>
    <w:rsid w:val="247B6BE2"/>
    <w:rsid w:val="24824616"/>
    <w:rsid w:val="24843087"/>
    <w:rsid w:val="249441E7"/>
    <w:rsid w:val="249A3CC0"/>
    <w:rsid w:val="249C7E22"/>
    <w:rsid w:val="249E6E14"/>
    <w:rsid w:val="24A2572D"/>
    <w:rsid w:val="24A712DF"/>
    <w:rsid w:val="24A95456"/>
    <w:rsid w:val="24AA7567"/>
    <w:rsid w:val="24B65F0C"/>
    <w:rsid w:val="24C06D8A"/>
    <w:rsid w:val="24C30629"/>
    <w:rsid w:val="24C90335"/>
    <w:rsid w:val="24CA00BE"/>
    <w:rsid w:val="24CB2C2E"/>
    <w:rsid w:val="24CE594B"/>
    <w:rsid w:val="24D12D46"/>
    <w:rsid w:val="24DB2F7B"/>
    <w:rsid w:val="24E3577B"/>
    <w:rsid w:val="24EC7B7F"/>
    <w:rsid w:val="24EE7D9B"/>
    <w:rsid w:val="24F133E8"/>
    <w:rsid w:val="24F627AC"/>
    <w:rsid w:val="24F65992"/>
    <w:rsid w:val="24F9229C"/>
    <w:rsid w:val="24FE78B3"/>
    <w:rsid w:val="25021011"/>
    <w:rsid w:val="25070282"/>
    <w:rsid w:val="250A6F82"/>
    <w:rsid w:val="250C30B2"/>
    <w:rsid w:val="25137802"/>
    <w:rsid w:val="25184E18"/>
    <w:rsid w:val="2519469C"/>
    <w:rsid w:val="251A6B46"/>
    <w:rsid w:val="252152B6"/>
    <w:rsid w:val="25256AD8"/>
    <w:rsid w:val="25257535"/>
    <w:rsid w:val="2527505B"/>
    <w:rsid w:val="25276F97"/>
    <w:rsid w:val="252A06A8"/>
    <w:rsid w:val="252E1312"/>
    <w:rsid w:val="253141D5"/>
    <w:rsid w:val="25334464"/>
    <w:rsid w:val="25396B3D"/>
    <w:rsid w:val="25423C43"/>
    <w:rsid w:val="25445F9B"/>
    <w:rsid w:val="2546717C"/>
    <w:rsid w:val="254C4AC2"/>
    <w:rsid w:val="25626093"/>
    <w:rsid w:val="256C0FE7"/>
    <w:rsid w:val="257319D5"/>
    <w:rsid w:val="25750BE1"/>
    <w:rsid w:val="25787665"/>
    <w:rsid w:val="25835DB6"/>
    <w:rsid w:val="25893620"/>
    <w:rsid w:val="2593624D"/>
    <w:rsid w:val="259721E1"/>
    <w:rsid w:val="25983863"/>
    <w:rsid w:val="259C15A5"/>
    <w:rsid w:val="259C77F7"/>
    <w:rsid w:val="25A91F14"/>
    <w:rsid w:val="25AB32DE"/>
    <w:rsid w:val="25AE12D9"/>
    <w:rsid w:val="25B14925"/>
    <w:rsid w:val="25B158BB"/>
    <w:rsid w:val="25B720D4"/>
    <w:rsid w:val="25BE0DDC"/>
    <w:rsid w:val="25C33D3D"/>
    <w:rsid w:val="25C603D0"/>
    <w:rsid w:val="25C77D95"/>
    <w:rsid w:val="25CE6919"/>
    <w:rsid w:val="25CF341E"/>
    <w:rsid w:val="25D16D75"/>
    <w:rsid w:val="25D23219"/>
    <w:rsid w:val="25D53C51"/>
    <w:rsid w:val="25E22D30"/>
    <w:rsid w:val="25E26D21"/>
    <w:rsid w:val="25E847EB"/>
    <w:rsid w:val="25ED0053"/>
    <w:rsid w:val="25F51001"/>
    <w:rsid w:val="25F52A64"/>
    <w:rsid w:val="25F9094A"/>
    <w:rsid w:val="25F969F8"/>
    <w:rsid w:val="25FF1B34"/>
    <w:rsid w:val="260A682C"/>
    <w:rsid w:val="260C44FB"/>
    <w:rsid w:val="260E7FC9"/>
    <w:rsid w:val="26182533"/>
    <w:rsid w:val="261A696E"/>
    <w:rsid w:val="261C26E6"/>
    <w:rsid w:val="26215A0C"/>
    <w:rsid w:val="26216B8B"/>
    <w:rsid w:val="262C62DC"/>
    <w:rsid w:val="263A0DBE"/>
    <w:rsid w:val="263A2B6C"/>
    <w:rsid w:val="263B7010"/>
    <w:rsid w:val="263F63D5"/>
    <w:rsid w:val="26437C73"/>
    <w:rsid w:val="264439EB"/>
    <w:rsid w:val="264453D3"/>
    <w:rsid w:val="2650413E"/>
    <w:rsid w:val="26526108"/>
    <w:rsid w:val="26555BF8"/>
    <w:rsid w:val="266100F9"/>
    <w:rsid w:val="26630315"/>
    <w:rsid w:val="26663961"/>
    <w:rsid w:val="266A3452"/>
    <w:rsid w:val="266F2816"/>
    <w:rsid w:val="266F6CBA"/>
    <w:rsid w:val="2674607E"/>
    <w:rsid w:val="268538EE"/>
    <w:rsid w:val="2694227D"/>
    <w:rsid w:val="269B7AAF"/>
    <w:rsid w:val="26A12D96"/>
    <w:rsid w:val="26A5092E"/>
    <w:rsid w:val="26AD4C1D"/>
    <w:rsid w:val="26B11081"/>
    <w:rsid w:val="26B80661"/>
    <w:rsid w:val="26B86FA5"/>
    <w:rsid w:val="26B96187"/>
    <w:rsid w:val="26C50688"/>
    <w:rsid w:val="26D43568"/>
    <w:rsid w:val="26DF33AC"/>
    <w:rsid w:val="26E8081A"/>
    <w:rsid w:val="26EB3E67"/>
    <w:rsid w:val="26F251F5"/>
    <w:rsid w:val="26F45411"/>
    <w:rsid w:val="26F64CE5"/>
    <w:rsid w:val="27037402"/>
    <w:rsid w:val="27076EF2"/>
    <w:rsid w:val="27084A19"/>
    <w:rsid w:val="270E4A79"/>
    <w:rsid w:val="27142635"/>
    <w:rsid w:val="27272812"/>
    <w:rsid w:val="273374C3"/>
    <w:rsid w:val="27377C59"/>
    <w:rsid w:val="273C35E8"/>
    <w:rsid w:val="274C0DA9"/>
    <w:rsid w:val="274E384E"/>
    <w:rsid w:val="275405C9"/>
    <w:rsid w:val="275F0ADD"/>
    <w:rsid w:val="276471EB"/>
    <w:rsid w:val="276500BD"/>
    <w:rsid w:val="276E0D20"/>
    <w:rsid w:val="277F117F"/>
    <w:rsid w:val="278370FB"/>
    <w:rsid w:val="27856069"/>
    <w:rsid w:val="27882232"/>
    <w:rsid w:val="27883F13"/>
    <w:rsid w:val="278A18D2"/>
    <w:rsid w:val="279A7D67"/>
    <w:rsid w:val="27A1332B"/>
    <w:rsid w:val="27A42993"/>
    <w:rsid w:val="27A6495D"/>
    <w:rsid w:val="27A6670B"/>
    <w:rsid w:val="27AC5CEC"/>
    <w:rsid w:val="27AE736E"/>
    <w:rsid w:val="27B73267"/>
    <w:rsid w:val="27BB7CDD"/>
    <w:rsid w:val="27BE012C"/>
    <w:rsid w:val="27C81189"/>
    <w:rsid w:val="27C923FA"/>
    <w:rsid w:val="27CB63E8"/>
    <w:rsid w:val="27CC46E3"/>
    <w:rsid w:val="27D07D07"/>
    <w:rsid w:val="27D163A6"/>
    <w:rsid w:val="27D35027"/>
    <w:rsid w:val="27DC037F"/>
    <w:rsid w:val="27DD40F7"/>
    <w:rsid w:val="27DF126D"/>
    <w:rsid w:val="27E134C6"/>
    <w:rsid w:val="27E2526A"/>
    <w:rsid w:val="27E36A7A"/>
    <w:rsid w:val="27F046DE"/>
    <w:rsid w:val="27FF5E1C"/>
    <w:rsid w:val="28037FA1"/>
    <w:rsid w:val="28041684"/>
    <w:rsid w:val="280575E2"/>
    <w:rsid w:val="281A7BB6"/>
    <w:rsid w:val="281F201A"/>
    <w:rsid w:val="28215D92"/>
    <w:rsid w:val="282D6330"/>
    <w:rsid w:val="28333D17"/>
    <w:rsid w:val="283C2BCC"/>
    <w:rsid w:val="283D7CA7"/>
    <w:rsid w:val="28461C9C"/>
    <w:rsid w:val="28485A15"/>
    <w:rsid w:val="28500425"/>
    <w:rsid w:val="28520641"/>
    <w:rsid w:val="28537F15"/>
    <w:rsid w:val="285710E3"/>
    <w:rsid w:val="285717B4"/>
    <w:rsid w:val="28616AD6"/>
    <w:rsid w:val="28666BA2"/>
    <w:rsid w:val="28667C49"/>
    <w:rsid w:val="2874545C"/>
    <w:rsid w:val="28754330"/>
    <w:rsid w:val="28762B87"/>
    <w:rsid w:val="287D5314"/>
    <w:rsid w:val="287E31E4"/>
    <w:rsid w:val="288051AE"/>
    <w:rsid w:val="28830CEF"/>
    <w:rsid w:val="2888798D"/>
    <w:rsid w:val="288D1679"/>
    <w:rsid w:val="28940C5A"/>
    <w:rsid w:val="289B1FE8"/>
    <w:rsid w:val="28A34E0C"/>
    <w:rsid w:val="28A569C3"/>
    <w:rsid w:val="28B6775F"/>
    <w:rsid w:val="28C31E60"/>
    <w:rsid w:val="28C35714"/>
    <w:rsid w:val="28CC03F4"/>
    <w:rsid w:val="28CD5F63"/>
    <w:rsid w:val="28D472A8"/>
    <w:rsid w:val="28D665E0"/>
    <w:rsid w:val="28D93F20"/>
    <w:rsid w:val="28E374EB"/>
    <w:rsid w:val="28EC45F2"/>
    <w:rsid w:val="28EE1155"/>
    <w:rsid w:val="28F2772E"/>
    <w:rsid w:val="28F45255"/>
    <w:rsid w:val="28F811E9"/>
    <w:rsid w:val="28F86682"/>
    <w:rsid w:val="29023E15"/>
    <w:rsid w:val="29140E73"/>
    <w:rsid w:val="291476A5"/>
    <w:rsid w:val="29186B47"/>
    <w:rsid w:val="291C44A6"/>
    <w:rsid w:val="291C5438"/>
    <w:rsid w:val="292957D6"/>
    <w:rsid w:val="292A336C"/>
    <w:rsid w:val="29404C43"/>
    <w:rsid w:val="294F34D1"/>
    <w:rsid w:val="295308CA"/>
    <w:rsid w:val="295B5816"/>
    <w:rsid w:val="29622B06"/>
    <w:rsid w:val="29683511"/>
    <w:rsid w:val="296879F1"/>
    <w:rsid w:val="296A19BB"/>
    <w:rsid w:val="296E1870"/>
    <w:rsid w:val="29714AF7"/>
    <w:rsid w:val="2973660F"/>
    <w:rsid w:val="2986315B"/>
    <w:rsid w:val="298E38FB"/>
    <w:rsid w:val="2997333D"/>
    <w:rsid w:val="29A94291"/>
    <w:rsid w:val="29AE22F6"/>
    <w:rsid w:val="29B35110"/>
    <w:rsid w:val="29B50E88"/>
    <w:rsid w:val="29B8099D"/>
    <w:rsid w:val="29B85B0B"/>
    <w:rsid w:val="29C27B1C"/>
    <w:rsid w:val="29CC4423"/>
    <w:rsid w:val="29D15596"/>
    <w:rsid w:val="29D33F06"/>
    <w:rsid w:val="29DA6B40"/>
    <w:rsid w:val="29DF7CB3"/>
    <w:rsid w:val="29E703B2"/>
    <w:rsid w:val="29E928F4"/>
    <w:rsid w:val="29EE2870"/>
    <w:rsid w:val="29F0034D"/>
    <w:rsid w:val="29F01EC0"/>
    <w:rsid w:val="29F86FC6"/>
    <w:rsid w:val="29FA0F90"/>
    <w:rsid w:val="29FF2103"/>
    <w:rsid w:val="2A0911D4"/>
    <w:rsid w:val="2A13236A"/>
    <w:rsid w:val="2A22029A"/>
    <w:rsid w:val="2A224043"/>
    <w:rsid w:val="2A3429AF"/>
    <w:rsid w:val="2A461AE0"/>
    <w:rsid w:val="2A47077C"/>
    <w:rsid w:val="2A510485"/>
    <w:rsid w:val="2A530EAD"/>
    <w:rsid w:val="2A581813"/>
    <w:rsid w:val="2A672FBB"/>
    <w:rsid w:val="2A795A0A"/>
    <w:rsid w:val="2A7A79DB"/>
    <w:rsid w:val="2A7D127A"/>
    <w:rsid w:val="2A7D12B6"/>
    <w:rsid w:val="2A832D34"/>
    <w:rsid w:val="2A8820F8"/>
    <w:rsid w:val="2A8C5C44"/>
    <w:rsid w:val="2A905451"/>
    <w:rsid w:val="2A9767DF"/>
    <w:rsid w:val="2A9932B4"/>
    <w:rsid w:val="2A9B6B94"/>
    <w:rsid w:val="2A9E003C"/>
    <w:rsid w:val="2A9F38E6"/>
    <w:rsid w:val="2ABC51A5"/>
    <w:rsid w:val="2ABF5CB0"/>
    <w:rsid w:val="2ACE4132"/>
    <w:rsid w:val="2AD73140"/>
    <w:rsid w:val="2AD840A3"/>
    <w:rsid w:val="2ADC41F2"/>
    <w:rsid w:val="2AE01F34"/>
    <w:rsid w:val="2AE9133F"/>
    <w:rsid w:val="2AF14ABF"/>
    <w:rsid w:val="2AF4778E"/>
    <w:rsid w:val="2AFB4FC0"/>
    <w:rsid w:val="2AFE7800"/>
    <w:rsid w:val="2B134280"/>
    <w:rsid w:val="2B2362C5"/>
    <w:rsid w:val="2B2B6F28"/>
    <w:rsid w:val="2B2F4C6A"/>
    <w:rsid w:val="2B333160"/>
    <w:rsid w:val="2B361B54"/>
    <w:rsid w:val="2B367DA6"/>
    <w:rsid w:val="2B4029D3"/>
    <w:rsid w:val="2B433B9C"/>
    <w:rsid w:val="2B45623B"/>
    <w:rsid w:val="2B471FB3"/>
    <w:rsid w:val="2B5244B4"/>
    <w:rsid w:val="2B5524B6"/>
    <w:rsid w:val="2B5864A7"/>
    <w:rsid w:val="2B5B15BB"/>
    <w:rsid w:val="2B5F1FB7"/>
    <w:rsid w:val="2B6122FD"/>
    <w:rsid w:val="2B7361A2"/>
    <w:rsid w:val="2B786611"/>
    <w:rsid w:val="2B826BD6"/>
    <w:rsid w:val="2B901647"/>
    <w:rsid w:val="2B92177E"/>
    <w:rsid w:val="2B960845"/>
    <w:rsid w:val="2B983E5B"/>
    <w:rsid w:val="2B992390"/>
    <w:rsid w:val="2BA70CA4"/>
    <w:rsid w:val="2BA72A52"/>
    <w:rsid w:val="2BAA0794"/>
    <w:rsid w:val="2BAF7A17"/>
    <w:rsid w:val="2BB92785"/>
    <w:rsid w:val="2BBE1B4A"/>
    <w:rsid w:val="2BC005A5"/>
    <w:rsid w:val="2BD575BF"/>
    <w:rsid w:val="2BDF043E"/>
    <w:rsid w:val="2BEA293F"/>
    <w:rsid w:val="2BEB6DE3"/>
    <w:rsid w:val="2BF0264B"/>
    <w:rsid w:val="2BF11F1F"/>
    <w:rsid w:val="2BF67536"/>
    <w:rsid w:val="2BF8505C"/>
    <w:rsid w:val="2BF93A47"/>
    <w:rsid w:val="2BFB4B4C"/>
    <w:rsid w:val="2C0C6D59"/>
    <w:rsid w:val="2C1874AC"/>
    <w:rsid w:val="2C1A2071"/>
    <w:rsid w:val="2C1D4AC2"/>
    <w:rsid w:val="2C212804"/>
    <w:rsid w:val="2C245E51"/>
    <w:rsid w:val="2C271259"/>
    <w:rsid w:val="2C351E0C"/>
    <w:rsid w:val="2C3649CE"/>
    <w:rsid w:val="2C3B50DA"/>
    <w:rsid w:val="2C3D6F12"/>
    <w:rsid w:val="2C414C55"/>
    <w:rsid w:val="2C4464F3"/>
    <w:rsid w:val="2C4604BD"/>
    <w:rsid w:val="2C4769EE"/>
    <w:rsid w:val="2C491E4F"/>
    <w:rsid w:val="2C4E4AAD"/>
    <w:rsid w:val="2C5129BE"/>
    <w:rsid w:val="2C5A5D16"/>
    <w:rsid w:val="2C610384"/>
    <w:rsid w:val="2C622E1D"/>
    <w:rsid w:val="2C697D08"/>
    <w:rsid w:val="2C701FC9"/>
    <w:rsid w:val="2C7072E8"/>
    <w:rsid w:val="2C770BF9"/>
    <w:rsid w:val="2C792640"/>
    <w:rsid w:val="2C7D517D"/>
    <w:rsid w:val="2C7D6DFC"/>
    <w:rsid w:val="2C7F752B"/>
    <w:rsid w:val="2C8114F5"/>
    <w:rsid w:val="2C840FE5"/>
    <w:rsid w:val="2C8C0DAA"/>
    <w:rsid w:val="2C8C39F6"/>
    <w:rsid w:val="2C8D7E9A"/>
    <w:rsid w:val="2C9160A2"/>
    <w:rsid w:val="2C9F3729"/>
    <w:rsid w:val="2CA35DC1"/>
    <w:rsid w:val="2CA62D0A"/>
    <w:rsid w:val="2CA64AB8"/>
    <w:rsid w:val="2CAE1BBE"/>
    <w:rsid w:val="2CAE253B"/>
    <w:rsid w:val="2CB52F4D"/>
    <w:rsid w:val="2CBC077F"/>
    <w:rsid w:val="2CBF201D"/>
    <w:rsid w:val="2CD71115"/>
    <w:rsid w:val="2CD77711"/>
    <w:rsid w:val="2CDA6E57"/>
    <w:rsid w:val="2CDD649C"/>
    <w:rsid w:val="2CE10D2D"/>
    <w:rsid w:val="2CE1285E"/>
    <w:rsid w:val="2CE33F5E"/>
    <w:rsid w:val="2CEA52EC"/>
    <w:rsid w:val="2CF06847"/>
    <w:rsid w:val="2CF27CFD"/>
    <w:rsid w:val="2CF41CC7"/>
    <w:rsid w:val="2D0637A8"/>
    <w:rsid w:val="2D12626E"/>
    <w:rsid w:val="2D157E8F"/>
    <w:rsid w:val="2D1C2FCC"/>
    <w:rsid w:val="2D202ABC"/>
    <w:rsid w:val="2D217693"/>
    <w:rsid w:val="2D297497"/>
    <w:rsid w:val="2D340315"/>
    <w:rsid w:val="2D346567"/>
    <w:rsid w:val="2D35408E"/>
    <w:rsid w:val="2D37742C"/>
    <w:rsid w:val="2D404F0C"/>
    <w:rsid w:val="2D406CBA"/>
    <w:rsid w:val="2D43744C"/>
    <w:rsid w:val="2D460049"/>
    <w:rsid w:val="2D6075F1"/>
    <w:rsid w:val="2D614B19"/>
    <w:rsid w:val="2D687FBF"/>
    <w:rsid w:val="2D6F134E"/>
    <w:rsid w:val="2D776454"/>
    <w:rsid w:val="2D7F1D9D"/>
    <w:rsid w:val="2D803F96"/>
    <w:rsid w:val="2D81582B"/>
    <w:rsid w:val="2D872B3B"/>
    <w:rsid w:val="2D915768"/>
    <w:rsid w:val="2D9731F5"/>
    <w:rsid w:val="2D9B59A8"/>
    <w:rsid w:val="2D9E1C33"/>
    <w:rsid w:val="2DA37249"/>
    <w:rsid w:val="2DA42713"/>
    <w:rsid w:val="2DA60AE7"/>
    <w:rsid w:val="2DA82AB1"/>
    <w:rsid w:val="2DAD1E76"/>
    <w:rsid w:val="2DB226E2"/>
    <w:rsid w:val="2DB56490"/>
    <w:rsid w:val="2DBD655D"/>
    <w:rsid w:val="2DC0604D"/>
    <w:rsid w:val="2DCE2518"/>
    <w:rsid w:val="2DE5053B"/>
    <w:rsid w:val="2DEA4E78"/>
    <w:rsid w:val="2DEB68B1"/>
    <w:rsid w:val="2DF87595"/>
    <w:rsid w:val="2E0E724F"/>
    <w:rsid w:val="2E0E7FCC"/>
    <w:rsid w:val="2E1432F9"/>
    <w:rsid w:val="2E174D8D"/>
    <w:rsid w:val="2E1D524D"/>
    <w:rsid w:val="2E1E4B22"/>
    <w:rsid w:val="2E25277C"/>
    <w:rsid w:val="2E277E7A"/>
    <w:rsid w:val="2E291E44"/>
    <w:rsid w:val="2E2A1718"/>
    <w:rsid w:val="2E3507E9"/>
    <w:rsid w:val="2E3C1B78"/>
    <w:rsid w:val="2E422F06"/>
    <w:rsid w:val="2E526F9E"/>
    <w:rsid w:val="2E565125"/>
    <w:rsid w:val="2E5A4558"/>
    <w:rsid w:val="2E675CB0"/>
    <w:rsid w:val="2E6819CA"/>
    <w:rsid w:val="2E782AC4"/>
    <w:rsid w:val="2E7F3812"/>
    <w:rsid w:val="2E84707B"/>
    <w:rsid w:val="2E8C373D"/>
    <w:rsid w:val="2E8E1CA7"/>
    <w:rsid w:val="2E920B22"/>
    <w:rsid w:val="2E934E6A"/>
    <w:rsid w:val="2E935510"/>
    <w:rsid w:val="2E962B28"/>
    <w:rsid w:val="2E9A689E"/>
    <w:rsid w:val="2E9D013C"/>
    <w:rsid w:val="2EA5036E"/>
    <w:rsid w:val="2EA9088F"/>
    <w:rsid w:val="2EA96AE1"/>
    <w:rsid w:val="2EAD481F"/>
    <w:rsid w:val="2EB23769"/>
    <w:rsid w:val="2EB3170E"/>
    <w:rsid w:val="2EBA6F40"/>
    <w:rsid w:val="2EBB2138"/>
    <w:rsid w:val="2EBD258D"/>
    <w:rsid w:val="2EC41B6D"/>
    <w:rsid w:val="2EC70374"/>
    <w:rsid w:val="2EC7724C"/>
    <w:rsid w:val="2ECD6C74"/>
    <w:rsid w:val="2ECE6548"/>
    <w:rsid w:val="2EDC6EB7"/>
    <w:rsid w:val="2EE707BE"/>
    <w:rsid w:val="2EEA15D4"/>
    <w:rsid w:val="2EEC5705"/>
    <w:rsid w:val="2EEC59A9"/>
    <w:rsid w:val="2EF53AD4"/>
    <w:rsid w:val="2EF5691A"/>
    <w:rsid w:val="2EFA18DB"/>
    <w:rsid w:val="2EFE7B1A"/>
    <w:rsid w:val="2EFF2BA5"/>
    <w:rsid w:val="2F077993"/>
    <w:rsid w:val="2F0B00A8"/>
    <w:rsid w:val="2F126434"/>
    <w:rsid w:val="2F1D5267"/>
    <w:rsid w:val="2F1F0B51"/>
    <w:rsid w:val="2F2919D0"/>
    <w:rsid w:val="2F2B224C"/>
    <w:rsid w:val="2F320885"/>
    <w:rsid w:val="2F3A0937"/>
    <w:rsid w:val="2F3A598B"/>
    <w:rsid w:val="2F3B3E45"/>
    <w:rsid w:val="2F3E547B"/>
    <w:rsid w:val="2F484F80"/>
    <w:rsid w:val="2F4A2072"/>
    <w:rsid w:val="2F515991"/>
    <w:rsid w:val="2F522CD5"/>
    <w:rsid w:val="2F7229BF"/>
    <w:rsid w:val="2F725125"/>
    <w:rsid w:val="2F727C21"/>
    <w:rsid w:val="2F794705"/>
    <w:rsid w:val="2F7964B4"/>
    <w:rsid w:val="2F7D3FAC"/>
    <w:rsid w:val="2F7F0DAE"/>
    <w:rsid w:val="2F8512FC"/>
    <w:rsid w:val="2F8A246F"/>
    <w:rsid w:val="2F8D6403"/>
    <w:rsid w:val="2F8F3F5D"/>
    <w:rsid w:val="2F911A4F"/>
    <w:rsid w:val="2F94700D"/>
    <w:rsid w:val="2FAF1ED5"/>
    <w:rsid w:val="2FB41BE1"/>
    <w:rsid w:val="2FB83480"/>
    <w:rsid w:val="2FBB5CAE"/>
    <w:rsid w:val="2FBE65BC"/>
    <w:rsid w:val="2FC8743B"/>
    <w:rsid w:val="2FCF07C9"/>
    <w:rsid w:val="2FD933F6"/>
    <w:rsid w:val="2FD96721"/>
    <w:rsid w:val="2FE75B13"/>
    <w:rsid w:val="2FE778C1"/>
    <w:rsid w:val="2FEA115F"/>
    <w:rsid w:val="2FEC4ED7"/>
    <w:rsid w:val="2FF41D55"/>
    <w:rsid w:val="2FF95DE9"/>
    <w:rsid w:val="30030473"/>
    <w:rsid w:val="300761B5"/>
    <w:rsid w:val="30077F63"/>
    <w:rsid w:val="30136908"/>
    <w:rsid w:val="3015041B"/>
    <w:rsid w:val="30186C3D"/>
    <w:rsid w:val="301B756B"/>
    <w:rsid w:val="301D32E3"/>
    <w:rsid w:val="30237018"/>
    <w:rsid w:val="302C5C1C"/>
    <w:rsid w:val="30360848"/>
    <w:rsid w:val="30395C43"/>
    <w:rsid w:val="303F6C8D"/>
    <w:rsid w:val="30466CDD"/>
    <w:rsid w:val="304765B2"/>
    <w:rsid w:val="30484527"/>
    <w:rsid w:val="3049232A"/>
    <w:rsid w:val="30517430"/>
    <w:rsid w:val="305331A8"/>
    <w:rsid w:val="306B04F2"/>
    <w:rsid w:val="30705B08"/>
    <w:rsid w:val="307A5BC3"/>
    <w:rsid w:val="30903E4E"/>
    <w:rsid w:val="309E678A"/>
    <w:rsid w:val="30A62DF6"/>
    <w:rsid w:val="30AA3D05"/>
    <w:rsid w:val="30B070E7"/>
    <w:rsid w:val="30B17ECF"/>
    <w:rsid w:val="30B359F5"/>
    <w:rsid w:val="30B60EDB"/>
    <w:rsid w:val="30B6207A"/>
    <w:rsid w:val="30BA4FD6"/>
    <w:rsid w:val="30BF4936"/>
    <w:rsid w:val="30C220DC"/>
    <w:rsid w:val="30C2681A"/>
    <w:rsid w:val="30C47C02"/>
    <w:rsid w:val="30C83D8E"/>
    <w:rsid w:val="30C916BD"/>
    <w:rsid w:val="30CA3C63"/>
    <w:rsid w:val="30CC5331"/>
    <w:rsid w:val="30CE6A2C"/>
    <w:rsid w:val="30D401E2"/>
    <w:rsid w:val="30DB4046"/>
    <w:rsid w:val="30DD6F16"/>
    <w:rsid w:val="30EB1633"/>
    <w:rsid w:val="310224D9"/>
    <w:rsid w:val="31101099"/>
    <w:rsid w:val="31107CCF"/>
    <w:rsid w:val="311302E9"/>
    <w:rsid w:val="312234ED"/>
    <w:rsid w:val="312D0E47"/>
    <w:rsid w:val="31315231"/>
    <w:rsid w:val="31324B8F"/>
    <w:rsid w:val="3143321D"/>
    <w:rsid w:val="31556AAC"/>
    <w:rsid w:val="315E3B8F"/>
    <w:rsid w:val="31653FAF"/>
    <w:rsid w:val="316713EB"/>
    <w:rsid w:val="316867E0"/>
    <w:rsid w:val="3172765E"/>
    <w:rsid w:val="31805D1A"/>
    <w:rsid w:val="3180757A"/>
    <w:rsid w:val="318B0720"/>
    <w:rsid w:val="31943A79"/>
    <w:rsid w:val="31984C0C"/>
    <w:rsid w:val="31A35A6A"/>
    <w:rsid w:val="31A75B75"/>
    <w:rsid w:val="31A94E1D"/>
    <w:rsid w:val="31B53AEA"/>
    <w:rsid w:val="31B62D2F"/>
    <w:rsid w:val="31B732C3"/>
    <w:rsid w:val="31B97730"/>
    <w:rsid w:val="31BB2DB3"/>
    <w:rsid w:val="31BC6B2B"/>
    <w:rsid w:val="31CC4FC0"/>
    <w:rsid w:val="31D14A5B"/>
    <w:rsid w:val="31D54658"/>
    <w:rsid w:val="31D65E3F"/>
    <w:rsid w:val="31D75713"/>
    <w:rsid w:val="31E00A6C"/>
    <w:rsid w:val="31E33C60"/>
    <w:rsid w:val="31E51AA7"/>
    <w:rsid w:val="31EC5663"/>
    <w:rsid w:val="31EC7411"/>
    <w:rsid w:val="31F2079F"/>
    <w:rsid w:val="31F400A8"/>
    <w:rsid w:val="31F43E79"/>
    <w:rsid w:val="32026C34"/>
    <w:rsid w:val="32052280"/>
    <w:rsid w:val="320C2D9C"/>
    <w:rsid w:val="320F4EAD"/>
    <w:rsid w:val="32195D2C"/>
    <w:rsid w:val="321F3450"/>
    <w:rsid w:val="3220530C"/>
    <w:rsid w:val="32326DEE"/>
    <w:rsid w:val="32343F85"/>
    <w:rsid w:val="324234D5"/>
    <w:rsid w:val="324A2FA3"/>
    <w:rsid w:val="324A618B"/>
    <w:rsid w:val="324F79A0"/>
    <w:rsid w:val="3253123E"/>
    <w:rsid w:val="32676A97"/>
    <w:rsid w:val="327318C4"/>
    <w:rsid w:val="32780CA4"/>
    <w:rsid w:val="32807B59"/>
    <w:rsid w:val="328238D1"/>
    <w:rsid w:val="32846DDA"/>
    <w:rsid w:val="3287311D"/>
    <w:rsid w:val="3287538B"/>
    <w:rsid w:val="328E671A"/>
    <w:rsid w:val="32974A40"/>
    <w:rsid w:val="32A93554"/>
    <w:rsid w:val="32AC3044"/>
    <w:rsid w:val="32BA12BD"/>
    <w:rsid w:val="32BF0681"/>
    <w:rsid w:val="32C1319F"/>
    <w:rsid w:val="32C973D7"/>
    <w:rsid w:val="32CC2D9E"/>
    <w:rsid w:val="32D677E9"/>
    <w:rsid w:val="32DC7485"/>
    <w:rsid w:val="32E93950"/>
    <w:rsid w:val="32F53FB6"/>
    <w:rsid w:val="32FF13C6"/>
    <w:rsid w:val="330B7D6A"/>
    <w:rsid w:val="33266952"/>
    <w:rsid w:val="3330332D"/>
    <w:rsid w:val="333170A5"/>
    <w:rsid w:val="333472C1"/>
    <w:rsid w:val="3337290D"/>
    <w:rsid w:val="333861BE"/>
    <w:rsid w:val="333F7A14"/>
    <w:rsid w:val="334812AC"/>
    <w:rsid w:val="33484B1B"/>
    <w:rsid w:val="335A2AA0"/>
    <w:rsid w:val="335C2374"/>
    <w:rsid w:val="336254B1"/>
    <w:rsid w:val="336456CD"/>
    <w:rsid w:val="33681108"/>
    <w:rsid w:val="33811DDB"/>
    <w:rsid w:val="33837265"/>
    <w:rsid w:val="338B2400"/>
    <w:rsid w:val="339715FE"/>
    <w:rsid w:val="33A03A02"/>
    <w:rsid w:val="33A15228"/>
    <w:rsid w:val="33A45AC9"/>
    <w:rsid w:val="33A81058"/>
    <w:rsid w:val="33AB6E58"/>
    <w:rsid w:val="33B14536"/>
    <w:rsid w:val="33B977C6"/>
    <w:rsid w:val="33C24C34"/>
    <w:rsid w:val="33CB12A8"/>
    <w:rsid w:val="33CE1955"/>
    <w:rsid w:val="33D4015C"/>
    <w:rsid w:val="33DB159A"/>
    <w:rsid w:val="33DE722D"/>
    <w:rsid w:val="33E32A95"/>
    <w:rsid w:val="33EC5CA4"/>
    <w:rsid w:val="33EC7B9C"/>
    <w:rsid w:val="33F9355C"/>
    <w:rsid w:val="33F94067"/>
    <w:rsid w:val="33F95E15"/>
    <w:rsid w:val="33FD3B57"/>
    <w:rsid w:val="33FE78CF"/>
    <w:rsid w:val="340053F5"/>
    <w:rsid w:val="3418370E"/>
    <w:rsid w:val="34190265"/>
    <w:rsid w:val="34192013"/>
    <w:rsid w:val="341B5D8B"/>
    <w:rsid w:val="34264730"/>
    <w:rsid w:val="342A4220"/>
    <w:rsid w:val="342B1B7D"/>
    <w:rsid w:val="342C58A4"/>
    <w:rsid w:val="343147B7"/>
    <w:rsid w:val="3437693D"/>
    <w:rsid w:val="343926B5"/>
    <w:rsid w:val="344F3C87"/>
    <w:rsid w:val="3451510B"/>
    <w:rsid w:val="345A0C9A"/>
    <w:rsid w:val="34635F19"/>
    <w:rsid w:val="34691C1C"/>
    <w:rsid w:val="34710B30"/>
    <w:rsid w:val="347656B7"/>
    <w:rsid w:val="348F1DA3"/>
    <w:rsid w:val="349618B6"/>
    <w:rsid w:val="34997DC7"/>
    <w:rsid w:val="34A044E2"/>
    <w:rsid w:val="34A43FD3"/>
    <w:rsid w:val="34B012F7"/>
    <w:rsid w:val="34B34216"/>
    <w:rsid w:val="34B947DE"/>
    <w:rsid w:val="34BA37F6"/>
    <w:rsid w:val="34BB131C"/>
    <w:rsid w:val="34C24459"/>
    <w:rsid w:val="34CB5A03"/>
    <w:rsid w:val="34DC42DF"/>
    <w:rsid w:val="34E72111"/>
    <w:rsid w:val="34E95E89"/>
    <w:rsid w:val="34EB20BB"/>
    <w:rsid w:val="34EC3BCC"/>
    <w:rsid w:val="34EC7728"/>
    <w:rsid w:val="34EE4184"/>
    <w:rsid w:val="34EF0FC6"/>
    <w:rsid w:val="34F605A6"/>
    <w:rsid w:val="34FB5BBD"/>
    <w:rsid w:val="34FF745B"/>
    <w:rsid w:val="350607E9"/>
    <w:rsid w:val="35061519"/>
    <w:rsid w:val="350B4052"/>
    <w:rsid w:val="350B5E00"/>
    <w:rsid w:val="350C73DE"/>
    <w:rsid w:val="350D2E7E"/>
    <w:rsid w:val="35144701"/>
    <w:rsid w:val="351822F9"/>
    <w:rsid w:val="35200F38"/>
    <w:rsid w:val="35213875"/>
    <w:rsid w:val="35280942"/>
    <w:rsid w:val="352C3FC8"/>
    <w:rsid w:val="352C45E5"/>
    <w:rsid w:val="352D221A"/>
    <w:rsid w:val="353E09A0"/>
    <w:rsid w:val="353E242B"/>
    <w:rsid w:val="35412D4D"/>
    <w:rsid w:val="35417ED4"/>
    <w:rsid w:val="35470E02"/>
    <w:rsid w:val="354B08F2"/>
    <w:rsid w:val="355377A7"/>
    <w:rsid w:val="355C48AD"/>
    <w:rsid w:val="356E638F"/>
    <w:rsid w:val="35777939"/>
    <w:rsid w:val="357D65D2"/>
    <w:rsid w:val="35835F97"/>
    <w:rsid w:val="358A3FF7"/>
    <w:rsid w:val="358D4A67"/>
    <w:rsid w:val="358E2C16"/>
    <w:rsid w:val="3591419B"/>
    <w:rsid w:val="35941976"/>
    <w:rsid w:val="35944047"/>
    <w:rsid w:val="35A3146B"/>
    <w:rsid w:val="35A5366C"/>
    <w:rsid w:val="35B0255C"/>
    <w:rsid w:val="35B46EDE"/>
    <w:rsid w:val="35B52459"/>
    <w:rsid w:val="35BC534C"/>
    <w:rsid w:val="35C30275"/>
    <w:rsid w:val="35C3647F"/>
    <w:rsid w:val="35C5008B"/>
    <w:rsid w:val="35CB37E1"/>
    <w:rsid w:val="35D00DF7"/>
    <w:rsid w:val="35D95EFE"/>
    <w:rsid w:val="35F96B94"/>
    <w:rsid w:val="35FC5EE5"/>
    <w:rsid w:val="35FE7713"/>
    <w:rsid w:val="36010A11"/>
    <w:rsid w:val="36154A5C"/>
    <w:rsid w:val="361B02C4"/>
    <w:rsid w:val="361B7456"/>
    <w:rsid w:val="361C60EA"/>
    <w:rsid w:val="36317AE8"/>
    <w:rsid w:val="36323860"/>
    <w:rsid w:val="36341386"/>
    <w:rsid w:val="363475D8"/>
    <w:rsid w:val="363A6C6B"/>
    <w:rsid w:val="363F52EA"/>
    <w:rsid w:val="3643781B"/>
    <w:rsid w:val="36444979"/>
    <w:rsid w:val="364517E5"/>
    <w:rsid w:val="364D4405"/>
    <w:rsid w:val="3652180C"/>
    <w:rsid w:val="3659703F"/>
    <w:rsid w:val="36624145"/>
    <w:rsid w:val="367774C5"/>
    <w:rsid w:val="36835C3C"/>
    <w:rsid w:val="368A243A"/>
    <w:rsid w:val="368A369C"/>
    <w:rsid w:val="368A71F8"/>
    <w:rsid w:val="368C2F70"/>
    <w:rsid w:val="36912A7B"/>
    <w:rsid w:val="369D33CF"/>
    <w:rsid w:val="369F7665"/>
    <w:rsid w:val="36AC716F"/>
    <w:rsid w:val="36B31FD6"/>
    <w:rsid w:val="36B6623F"/>
    <w:rsid w:val="36B9703B"/>
    <w:rsid w:val="36C00E6C"/>
    <w:rsid w:val="36C02C1A"/>
    <w:rsid w:val="36C752EB"/>
    <w:rsid w:val="36D6068F"/>
    <w:rsid w:val="36D641EB"/>
    <w:rsid w:val="36DA1F2E"/>
    <w:rsid w:val="36E032BC"/>
    <w:rsid w:val="36E7289C"/>
    <w:rsid w:val="36E92ED5"/>
    <w:rsid w:val="36EA5EE9"/>
    <w:rsid w:val="36F00618"/>
    <w:rsid w:val="36F24AF5"/>
    <w:rsid w:val="36F31241"/>
    <w:rsid w:val="36F43F40"/>
    <w:rsid w:val="36F54FB9"/>
    <w:rsid w:val="36FD7294"/>
    <w:rsid w:val="36FE726B"/>
    <w:rsid w:val="36FF1994"/>
    <w:rsid w:val="3700570C"/>
    <w:rsid w:val="37021484"/>
    <w:rsid w:val="37092813"/>
    <w:rsid w:val="37160A8C"/>
    <w:rsid w:val="371F3F69"/>
    <w:rsid w:val="37270EEB"/>
    <w:rsid w:val="372C02AF"/>
    <w:rsid w:val="372C600E"/>
    <w:rsid w:val="372E04CB"/>
    <w:rsid w:val="3730757F"/>
    <w:rsid w:val="37353608"/>
    <w:rsid w:val="37450207"/>
    <w:rsid w:val="3747333B"/>
    <w:rsid w:val="37476E97"/>
    <w:rsid w:val="374C0952"/>
    <w:rsid w:val="37645C9B"/>
    <w:rsid w:val="37691503"/>
    <w:rsid w:val="376B527C"/>
    <w:rsid w:val="377D2043"/>
    <w:rsid w:val="37840304"/>
    <w:rsid w:val="378E4AC6"/>
    <w:rsid w:val="37994254"/>
    <w:rsid w:val="379D0920"/>
    <w:rsid w:val="37A91900"/>
    <w:rsid w:val="37AC4352"/>
    <w:rsid w:val="37BA1D5F"/>
    <w:rsid w:val="37BA3B0D"/>
    <w:rsid w:val="37BC13D8"/>
    <w:rsid w:val="37BD36D2"/>
    <w:rsid w:val="37BE184F"/>
    <w:rsid w:val="37C82617"/>
    <w:rsid w:val="37C85109"/>
    <w:rsid w:val="37CC141B"/>
    <w:rsid w:val="37D06FCA"/>
    <w:rsid w:val="37D3697D"/>
    <w:rsid w:val="37DA19C9"/>
    <w:rsid w:val="37DC7F27"/>
    <w:rsid w:val="37EA0736"/>
    <w:rsid w:val="37EE573A"/>
    <w:rsid w:val="38020C54"/>
    <w:rsid w:val="38080EF9"/>
    <w:rsid w:val="380C3D05"/>
    <w:rsid w:val="381907AC"/>
    <w:rsid w:val="381A053A"/>
    <w:rsid w:val="38233460"/>
    <w:rsid w:val="38250EBC"/>
    <w:rsid w:val="38262AF8"/>
    <w:rsid w:val="38274193"/>
    <w:rsid w:val="38367638"/>
    <w:rsid w:val="383B2EA0"/>
    <w:rsid w:val="38417D8A"/>
    <w:rsid w:val="38455ACD"/>
    <w:rsid w:val="384653A1"/>
    <w:rsid w:val="384B0C09"/>
    <w:rsid w:val="384B13D2"/>
    <w:rsid w:val="385711E6"/>
    <w:rsid w:val="385E6B8E"/>
    <w:rsid w:val="38601642"/>
    <w:rsid w:val="386046B4"/>
    <w:rsid w:val="38613F89"/>
    <w:rsid w:val="38675A43"/>
    <w:rsid w:val="386F66A6"/>
    <w:rsid w:val="387939C8"/>
    <w:rsid w:val="387C7321"/>
    <w:rsid w:val="387D65FD"/>
    <w:rsid w:val="387F12EB"/>
    <w:rsid w:val="38887767"/>
    <w:rsid w:val="388D1222"/>
    <w:rsid w:val="389C729B"/>
    <w:rsid w:val="38A04AB1"/>
    <w:rsid w:val="38A82443"/>
    <w:rsid w:val="38AD7DD4"/>
    <w:rsid w:val="38B14550"/>
    <w:rsid w:val="38B62526"/>
    <w:rsid w:val="38B844F1"/>
    <w:rsid w:val="38BB6512"/>
    <w:rsid w:val="38BC3B31"/>
    <w:rsid w:val="38CE490C"/>
    <w:rsid w:val="38EF3C8A"/>
    <w:rsid w:val="38FA1F09"/>
    <w:rsid w:val="38FB618B"/>
    <w:rsid w:val="38FF3ECD"/>
    <w:rsid w:val="3902576C"/>
    <w:rsid w:val="390908A8"/>
    <w:rsid w:val="390B0AC4"/>
    <w:rsid w:val="3914549F"/>
    <w:rsid w:val="39161217"/>
    <w:rsid w:val="3917100A"/>
    <w:rsid w:val="39180EBD"/>
    <w:rsid w:val="39202096"/>
    <w:rsid w:val="39290F4A"/>
    <w:rsid w:val="393F1488"/>
    <w:rsid w:val="394538AA"/>
    <w:rsid w:val="395B30CE"/>
    <w:rsid w:val="396226AE"/>
    <w:rsid w:val="39766145"/>
    <w:rsid w:val="39773D5B"/>
    <w:rsid w:val="397A3554"/>
    <w:rsid w:val="397D4DF2"/>
    <w:rsid w:val="3986014B"/>
    <w:rsid w:val="39865A77"/>
    <w:rsid w:val="398B39B3"/>
    <w:rsid w:val="39900FC9"/>
    <w:rsid w:val="39932868"/>
    <w:rsid w:val="399A3BF6"/>
    <w:rsid w:val="39A405D1"/>
    <w:rsid w:val="39A4620D"/>
    <w:rsid w:val="39A51812"/>
    <w:rsid w:val="39B00C15"/>
    <w:rsid w:val="39B26C5B"/>
    <w:rsid w:val="39B50A30"/>
    <w:rsid w:val="39BA67F7"/>
    <w:rsid w:val="39BF18AF"/>
    <w:rsid w:val="39C12F31"/>
    <w:rsid w:val="39C96289"/>
    <w:rsid w:val="39D96A4E"/>
    <w:rsid w:val="39DF5C78"/>
    <w:rsid w:val="39E60BE9"/>
    <w:rsid w:val="39E87889"/>
    <w:rsid w:val="39ED3C96"/>
    <w:rsid w:val="39FA3B94"/>
    <w:rsid w:val="39FC21BB"/>
    <w:rsid w:val="3A045513"/>
    <w:rsid w:val="3A06479C"/>
    <w:rsid w:val="3A0D261A"/>
    <w:rsid w:val="3A0E0140"/>
    <w:rsid w:val="3A127746"/>
    <w:rsid w:val="3A171D4E"/>
    <w:rsid w:val="3A1A4CF4"/>
    <w:rsid w:val="3A1C0AAF"/>
    <w:rsid w:val="3A331955"/>
    <w:rsid w:val="3A361B71"/>
    <w:rsid w:val="3A3D6AE0"/>
    <w:rsid w:val="3A410516"/>
    <w:rsid w:val="3A414072"/>
    <w:rsid w:val="3A4F678F"/>
    <w:rsid w:val="3A500759"/>
    <w:rsid w:val="3A582F22"/>
    <w:rsid w:val="3A606BEE"/>
    <w:rsid w:val="3A63223A"/>
    <w:rsid w:val="3A7812A7"/>
    <w:rsid w:val="3A7B57D6"/>
    <w:rsid w:val="3A8D5509"/>
    <w:rsid w:val="3A916DA7"/>
    <w:rsid w:val="3A960861"/>
    <w:rsid w:val="3A96323D"/>
    <w:rsid w:val="3A992100"/>
    <w:rsid w:val="3A9B5E78"/>
    <w:rsid w:val="3AA4640B"/>
    <w:rsid w:val="3AA54601"/>
    <w:rsid w:val="3AA60036"/>
    <w:rsid w:val="3AA82343"/>
    <w:rsid w:val="3ABB2076"/>
    <w:rsid w:val="3ABD5DEE"/>
    <w:rsid w:val="3ABF721B"/>
    <w:rsid w:val="3AC16F61"/>
    <w:rsid w:val="3AC23405"/>
    <w:rsid w:val="3AD35612"/>
    <w:rsid w:val="3ADB01FB"/>
    <w:rsid w:val="3AE776F5"/>
    <w:rsid w:val="3AFB065C"/>
    <w:rsid w:val="3AFE1F63"/>
    <w:rsid w:val="3B027CA5"/>
    <w:rsid w:val="3B140C7F"/>
    <w:rsid w:val="3B200CC8"/>
    <w:rsid w:val="3B27770B"/>
    <w:rsid w:val="3B293484"/>
    <w:rsid w:val="3B2C087E"/>
    <w:rsid w:val="3B2D2C0A"/>
    <w:rsid w:val="3B2F01E6"/>
    <w:rsid w:val="3B343BD6"/>
    <w:rsid w:val="3B354867"/>
    <w:rsid w:val="3B3F417F"/>
    <w:rsid w:val="3B4E4C98"/>
    <w:rsid w:val="3B536FC0"/>
    <w:rsid w:val="3B5878C5"/>
    <w:rsid w:val="3B6224F2"/>
    <w:rsid w:val="3B651FE2"/>
    <w:rsid w:val="3B67773C"/>
    <w:rsid w:val="3B677B08"/>
    <w:rsid w:val="3B7148A4"/>
    <w:rsid w:val="3B750477"/>
    <w:rsid w:val="3B800BCA"/>
    <w:rsid w:val="3B854432"/>
    <w:rsid w:val="3BA24FE4"/>
    <w:rsid w:val="3BA725FA"/>
    <w:rsid w:val="3BA96372"/>
    <w:rsid w:val="3BAC19BF"/>
    <w:rsid w:val="3BB30F9F"/>
    <w:rsid w:val="3BBB3343"/>
    <w:rsid w:val="3BCC2061"/>
    <w:rsid w:val="3BD553B9"/>
    <w:rsid w:val="3BDA652C"/>
    <w:rsid w:val="3BE61375"/>
    <w:rsid w:val="3BEF65AA"/>
    <w:rsid w:val="3BF441B5"/>
    <w:rsid w:val="3BFF5F92"/>
    <w:rsid w:val="3C015BD1"/>
    <w:rsid w:val="3C025A83"/>
    <w:rsid w:val="3C065573"/>
    <w:rsid w:val="3C067490"/>
    <w:rsid w:val="3C0E61D6"/>
    <w:rsid w:val="3C12216A"/>
    <w:rsid w:val="3C123F18"/>
    <w:rsid w:val="3C1407E5"/>
    <w:rsid w:val="3C157564"/>
    <w:rsid w:val="3C236A6B"/>
    <w:rsid w:val="3C2974B3"/>
    <w:rsid w:val="3C2D651B"/>
    <w:rsid w:val="3C2E2875"/>
    <w:rsid w:val="3C2E6878"/>
    <w:rsid w:val="3C3025F0"/>
    <w:rsid w:val="3C40383D"/>
    <w:rsid w:val="3C424796"/>
    <w:rsid w:val="3C432323"/>
    <w:rsid w:val="3C4556A8"/>
    <w:rsid w:val="3C495460"/>
    <w:rsid w:val="3C503726"/>
    <w:rsid w:val="3C5D13CA"/>
    <w:rsid w:val="3C652594"/>
    <w:rsid w:val="3C6D238B"/>
    <w:rsid w:val="3C7076A7"/>
    <w:rsid w:val="3C7324DC"/>
    <w:rsid w:val="3C74072E"/>
    <w:rsid w:val="3C7C3A87"/>
    <w:rsid w:val="3C81109D"/>
    <w:rsid w:val="3C876996"/>
    <w:rsid w:val="3C886DBE"/>
    <w:rsid w:val="3C8A61A4"/>
    <w:rsid w:val="3C8A7F52"/>
    <w:rsid w:val="3C8F5568"/>
    <w:rsid w:val="3C925059"/>
    <w:rsid w:val="3C926E07"/>
    <w:rsid w:val="3CA1764D"/>
    <w:rsid w:val="3CAD3C40"/>
    <w:rsid w:val="3CAD59EE"/>
    <w:rsid w:val="3CB20F63"/>
    <w:rsid w:val="3CBD713E"/>
    <w:rsid w:val="3CBE19AA"/>
    <w:rsid w:val="3CBE5E4E"/>
    <w:rsid w:val="3CCA5BA9"/>
    <w:rsid w:val="3CD1612B"/>
    <w:rsid w:val="3CD94D7F"/>
    <w:rsid w:val="3CD967E3"/>
    <w:rsid w:val="3CDE029E"/>
    <w:rsid w:val="3CE04016"/>
    <w:rsid w:val="3CE138EA"/>
    <w:rsid w:val="3CE67F5B"/>
    <w:rsid w:val="3CEA6C43"/>
    <w:rsid w:val="3CEF4259"/>
    <w:rsid w:val="3CF278A5"/>
    <w:rsid w:val="3CFC0724"/>
    <w:rsid w:val="3D015D3A"/>
    <w:rsid w:val="3D052D63"/>
    <w:rsid w:val="3D0715A3"/>
    <w:rsid w:val="3D115F7D"/>
    <w:rsid w:val="3D1912D6"/>
    <w:rsid w:val="3D1A0469"/>
    <w:rsid w:val="3D1D2B74"/>
    <w:rsid w:val="3D2263DC"/>
    <w:rsid w:val="3D2B7161"/>
    <w:rsid w:val="3D346110"/>
    <w:rsid w:val="3D385C00"/>
    <w:rsid w:val="3D3B2FFA"/>
    <w:rsid w:val="3D3B321B"/>
    <w:rsid w:val="3D536596"/>
    <w:rsid w:val="3D6407A3"/>
    <w:rsid w:val="3D65451B"/>
    <w:rsid w:val="3D67174B"/>
    <w:rsid w:val="3D6B59A4"/>
    <w:rsid w:val="3D6D19B5"/>
    <w:rsid w:val="3D7175F4"/>
    <w:rsid w:val="3D79592E"/>
    <w:rsid w:val="3D7B789B"/>
    <w:rsid w:val="3D8349C4"/>
    <w:rsid w:val="3D842BF3"/>
    <w:rsid w:val="3D863AD1"/>
    <w:rsid w:val="3D8A3F82"/>
    <w:rsid w:val="3D932085"/>
    <w:rsid w:val="3D9A15F4"/>
    <w:rsid w:val="3DA45043"/>
    <w:rsid w:val="3DAE7C70"/>
    <w:rsid w:val="3DBB238D"/>
    <w:rsid w:val="3DBD7EB3"/>
    <w:rsid w:val="3DBE7D07"/>
    <w:rsid w:val="3DBF00CF"/>
    <w:rsid w:val="3DC100AE"/>
    <w:rsid w:val="3DC76F84"/>
    <w:rsid w:val="3DCB0822"/>
    <w:rsid w:val="3DCC6348"/>
    <w:rsid w:val="3DDA433A"/>
    <w:rsid w:val="3DDF42CD"/>
    <w:rsid w:val="3DDF607B"/>
    <w:rsid w:val="3DE23256"/>
    <w:rsid w:val="3DE418E4"/>
    <w:rsid w:val="3DF33139"/>
    <w:rsid w:val="3DFA1107"/>
    <w:rsid w:val="3DFE6A3F"/>
    <w:rsid w:val="3E067AB3"/>
    <w:rsid w:val="3E104487"/>
    <w:rsid w:val="3E110490"/>
    <w:rsid w:val="3E1D3670"/>
    <w:rsid w:val="3E257275"/>
    <w:rsid w:val="3E265A58"/>
    <w:rsid w:val="3E35213F"/>
    <w:rsid w:val="3E3C34CE"/>
    <w:rsid w:val="3E467EA9"/>
    <w:rsid w:val="3E4C0D8B"/>
    <w:rsid w:val="3E4D7489"/>
    <w:rsid w:val="3E506F79"/>
    <w:rsid w:val="3E524A9F"/>
    <w:rsid w:val="3E636CAD"/>
    <w:rsid w:val="3E772758"/>
    <w:rsid w:val="3E7762B4"/>
    <w:rsid w:val="3E7C1B1C"/>
    <w:rsid w:val="3E7C7AA0"/>
    <w:rsid w:val="3E807C72"/>
    <w:rsid w:val="3E814550"/>
    <w:rsid w:val="3E9260D6"/>
    <w:rsid w:val="3EA11583"/>
    <w:rsid w:val="3EA472ED"/>
    <w:rsid w:val="3EA51073"/>
    <w:rsid w:val="3EAB41B0"/>
    <w:rsid w:val="3EAD617A"/>
    <w:rsid w:val="3EB412B6"/>
    <w:rsid w:val="3EB627B9"/>
    <w:rsid w:val="3EB671D3"/>
    <w:rsid w:val="3EC51715"/>
    <w:rsid w:val="3EC62FEB"/>
    <w:rsid w:val="3EC855BF"/>
    <w:rsid w:val="3EC86B10"/>
    <w:rsid w:val="3ED01E68"/>
    <w:rsid w:val="3ED41F38"/>
    <w:rsid w:val="3EDF7B0D"/>
    <w:rsid w:val="3EE53B65"/>
    <w:rsid w:val="3EE8744A"/>
    <w:rsid w:val="3EF2616B"/>
    <w:rsid w:val="3EF75647"/>
    <w:rsid w:val="3F012022"/>
    <w:rsid w:val="3F02413E"/>
    <w:rsid w:val="3F03223E"/>
    <w:rsid w:val="3F0513C7"/>
    <w:rsid w:val="3F081602"/>
    <w:rsid w:val="3F0A537A"/>
    <w:rsid w:val="3F0D5703"/>
    <w:rsid w:val="3F0E6C57"/>
    <w:rsid w:val="3F11495A"/>
    <w:rsid w:val="3F1A33BE"/>
    <w:rsid w:val="3F1B30E3"/>
    <w:rsid w:val="3F1E0E25"/>
    <w:rsid w:val="3F20694C"/>
    <w:rsid w:val="3F220916"/>
    <w:rsid w:val="3F2521B4"/>
    <w:rsid w:val="3F2C251F"/>
    <w:rsid w:val="3F3810A1"/>
    <w:rsid w:val="3F447AD4"/>
    <w:rsid w:val="3F516B05"/>
    <w:rsid w:val="3F604F9A"/>
    <w:rsid w:val="3F666E0D"/>
    <w:rsid w:val="3F6A406B"/>
    <w:rsid w:val="3F6C5EBC"/>
    <w:rsid w:val="3F7153F9"/>
    <w:rsid w:val="3F7171A7"/>
    <w:rsid w:val="3F746C97"/>
    <w:rsid w:val="3F760C61"/>
    <w:rsid w:val="3F76656C"/>
    <w:rsid w:val="3F7977D8"/>
    <w:rsid w:val="3F7D3D9E"/>
    <w:rsid w:val="3F80388E"/>
    <w:rsid w:val="3F8213B4"/>
    <w:rsid w:val="3F886A76"/>
    <w:rsid w:val="3F8C5D8F"/>
    <w:rsid w:val="3F8E7AA0"/>
    <w:rsid w:val="3F9925BA"/>
    <w:rsid w:val="3F9D1D4A"/>
    <w:rsid w:val="3FA4757D"/>
    <w:rsid w:val="3FA77A75"/>
    <w:rsid w:val="3FA806EF"/>
    <w:rsid w:val="3FB157F6"/>
    <w:rsid w:val="3FB36FFD"/>
    <w:rsid w:val="3FC931D0"/>
    <w:rsid w:val="3FCB77F0"/>
    <w:rsid w:val="3FD61700"/>
    <w:rsid w:val="3FD876AC"/>
    <w:rsid w:val="3FE80C33"/>
    <w:rsid w:val="3FF95641"/>
    <w:rsid w:val="4001677D"/>
    <w:rsid w:val="4004498A"/>
    <w:rsid w:val="400B3158"/>
    <w:rsid w:val="400C5122"/>
    <w:rsid w:val="401D10DD"/>
    <w:rsid w:val="4025492A"/>
    <w:rsid w:val="40275AB8"/>
    <w:rsid w:val="40356427"/>
    <w:rsid w:val="403C77B5"/>
    <w:rsid w:val="403E0A9D"/>
    <w:rsid w:val="40414DCB"/>
    <w:rsid w:val="40471CD2"/>
    <w:rsid w:val="40493C80"/>
    <w:rsid w:val="404C551E"/>
    <w:rsid w:val="40547059"/>
    <w:rsid w:val="40611A4E"/>
    <w:rsid w:val="40612FB8"/>
    <w:rsid w:val="40646D0C"/>
    <w:rsid w:val="40664832"/>
    <w:rsid w:val="40692574"/>
    <w:rsid w:val="40720302"/>
    <w:rsid w:val="40890521"/>
    <w:rsid w:val="408B2BAD"/>
    <w:rsid w:val="40920C65"/>
    <w:rsid w:val="409B5806"/>
    <w:rsid w:val="409F5F96"/>
    <w:rsid w:val="40A1586A"/>
    <w:rsid w:val="40A22506"/>
    <w:rsid w:val="40AB66E9"/>
    <w:rsid w:val="40B01F51"/>
    <w:rsid w:val="40B025EC"/>
    <w:rsid w:val="40B25CC9"/>
    <w:rsid w:val="40C011CF"/>
    <w:rsid w:val="40C1125C"/>
    <w:rsid w:val="40C15F4C"/>
    <w:rsid w:val="40C31C84"/>
    <w:rsid w:val="40C357E1"/>
    <w:rsid w:val="40E770B0"/>
    <w:rsid w:val="40ED7B13"/>
    <w:rsid w:val="40EF2A79"/>
    <w:rsid w:val="40F07927"/>
    <w:rsid w:val="40F466AA"/>
    <w:rsid w:val="40F75126"/>
    <w:rsid w:val="41006A35"/>
    <w:rsid w:val="410B37C3"/>
    <w:rsid w:val="410D4CAE"/>
    <w:rsid w:val="410F0A26"/>
    <w:rsid w:val="41101857"/>
    <w:rsid w:val="411029F0"/>
    <w:rsid w:val="41194CF0"/>
    <w:rsid w:val="412E0E49"/>
    <w:rsid w:val="413C5593"/>
    <w:rsid w:val="414601C0"/>
    <w:rsid w:val="41540B2E"/>
    <w:rsid w:val="41553397"/>
    <w:rsid w:val="415E48BC"/>
    <w:rsid w:val="41656898"/>
    <w:rsid w:val="41763F25"/>
    <w:rsid w:val="417C08E0"/>
    <w:rsid w:val="41867EBB"/>
    <w:rsid w:val="41874A60"/>
    <w:rsid w:val="41886A2A"/>
    <w:rsid w:val="41894C7C"/>
    <w:rsid w:val="41970A1B"/>
    <w:rsid w:val="419B050B"/>
    <w:rsid w:val="419B4E05"/>
    <w:rsid w:val="41AF5B8C"/>
    <w:rsid w:val="41B4781F"/>
    <w:rsid w:val="41C95079"/>
    <w:rsid w:val="41CB4AC3"/>
    <w:rsid w:val="41CE6B33"/>
    <w:rsid w:val="41D35EF7"/>
    <w:rsid w:val="41D42C99"/>
    <w:rsid w:val="41DA7286"/>
    <w:rsid w:val="41E5581A"/>
    <w:rsid w:val="41E9571B"/>
    <w:rsid w:val="41F0631C"/>
    <w:rsid w:val="41F15A5F"/>
    <w:rsid w:val="41FA7928"/>
    <w:rsid w:val="41FE40C9"/>
    <w:rsid w:val="420460B1"/>
    <w:rsid w:val="42134546"/>
    <w:rsid w:val="421A58D4"/>
    <w:rsid w:val="422624CB"/>
    <w:rsid w:val="42295B17"/>
    <w:rsid w:val="423C1CEE"/>
    <w:rsid w:val="424B0183"/>
    <w:rsid w:val="424E723C"/>
    <w:rsid w:val="42523D17"/>
    <w:rsid w:val="42702C14"/>
    <w:rsid w:val="427106E6"/>
    <w:rsid w:val="42717511"/>
    <w:rsid w:val="42723962"/>
    <w:rsid w:val="427247A3"/>
    <w:rsid w:val="42777A1B"/>
    <w:rsid w:val="42870A90"/>
    <w:rsid w:val="42892A5A"/>
    <w:rsid w:val="428F3989"/>
    <w:rsid w:val="42A67168"/>
    <w:rsid w:val="42B07FE6"/>
    <w:rsid w:val="42B51AA1"/>
    <w:rsid w:val="42BC2E2F"/>
    <w:rsid w:val="42BD2703"/>
    <w:rsid w:val="42BE6BA7"/>
    <w:rsid w:val="42C35F6C"/>
    <w:rsid w:val="42C45840"/>
    <w:rsid w:val="42C47321"/>
    <w:rsid w:val="42CF062E"/>
    <w:rsid w:val="42DA32B5"/>
    <w:rsid w:val="42DA5063"/>
    <w:rsid w:val="42DE2DA6"/>
    <w:rsid w:val="42DF267A"/>
    <w:rsid w:val="42EA174A"/>
    <w:rsid w:val="42EE0B0F"/>
    <w:rsid w:val="42EF4FB3"/>
    <w:rsid w:val="42F00CBF"/>
    <w:rsid w:val="42FA74B4"/>
    <w:rsid w:val="42FE0D52"/>
    <w:rsid w:val="43014CE6"/>
    <w:rsid w:val="430622FC"/>
    <w:rsid w:val="43086074"/>
    <w:rsid w:val="430D368B"/>
    <w:rsid w:val="431762B8"/>
    <w:rsid w:val="431C4F2E"/>
    <w:rsid w:val="4326474D"/>
    <w:rsid w:val="432A3AA4"/>
    <w:rsid w:val="432D1637"/>
    <w:rsid w:val="433062D1"/>
    <w:rsid w:val="433A7869"/>
    <w:rsid w:val="433C187A"/>
    <w:rsid w:val="43413334"/>
    <w:rsid w:val="43435ED3"/>
    <w:rsid w:val="434626F9"/>
    <w:rsid w:val="434B5F61"/>
    <w:rsid w:val="434F5A51"/>
    <w:rsid w:val="43571A95"/>
    <w:rsid w:val="43574906"/>
    <w:rsid w:val="435766B4"/>
    <w:rsid w:val="43592EB7"/>
    <w:rsid w:val="436239D7"/>
    <w:rsid w:val="436314FD"/>
    <w:rsid w:val="436332AB"/>
    <w:rsid w:val="43635059"/>
    <w:rsid w:val="438F759E"/>
    <w:rsid w:val="439300B0"/>
    <w:rsid w:val="439671DC"/>
    <w:rsid w:val="439D5F62"/>
    <w:rsid w:val="43A55671"/>
    <w:rsid w:val="43A63197"/>
    <w:rsid w:val="43B835F7"/>
    <w:rsid w:val="43B9111D"/>
    <w:rsid w:val="43BE4985"/>
    <w:rsid w:val="43C53F65"/>
    <w:rsid w:val="43C55D14"/>
    <w:rsid w:val="43C81360"/>
    <w:rsid w:val="43CC2BFE"/>
    <w:rsid w:val="43D650A4"/>
    <w:rsid w:val="43E22422"/>
    <w:rsid w:val="43E53CB3"/>
    <w:rsid w:val="43E73EDC"/>
    <w:rsid w:val="43F16B09"/>
    <w:rsid w:val="43F403A7"/>
    <w:rsid w:val="43F839F3"/>
    <w:rsid w:val="43FB73B9"/>
    <w:rsid w:val="43FC4FEF"/>
    <w:rsid w:val="43FF57C3"/>
    <w:rsid w:val="440305EA"/>
    <w:rsid w:val="44044DE9"/>
    <w:rsid w:val="440532A4"/>
    <w:rsid w:val="4407632C"/>
    <w:rsid w:val="440C3942"/>
    <w:rsid w:val="440C56F0"/>
    <w:rsid w:val="44110F59"/>
    <w:rsid w:val="4411703E"/>
    <w:rsid w:val="441758EF"/>
    <w:rsid w:val="441A605F"/>
    <w:rsid w:val="441D78FE"/>
    <w:rsid w:val="441E71D2"/>
    <w:rsid w:val="44223166"/>
    <w:rsid w:val="44250560"/>
    <w:rsid w:val="44313EA5"/>
    <w:rsid w:val="44315157"/>
    <w:rsid w:val="44384737"/>
    <w:rsid w:val="4445524B"/>
    <w:rsid w:val="445220F0"/>
    <w:rsid w:val="446077EA"/>
    <w:rsid w:val="4468743E"/>
    <w:rsid w:val="446B2F02"/>
    <w:rsid w:val="446E1F07"/>
    <w:rsid w:val="447339C1"/>
    <w:rsid w:val="448E4357"/>
    <w:rsid w:val="44927B65"/>
    <w:rsid w:val="449556E6"/>
    <w:rsid w:val="44A2581D"/>
    <w:rsid w:val="44A45929"/>
    <w:rsid w:val="44AB315B"/>
    <w:rsid w:val="44B042CE"/>
    <w:rsid w:val="44B518E4"/>
    <w:rsid w:val="44B51F3C"/>
    <w:rsid w:val="44B57B36"/>
    <w:rsid w:val="44B6565C"/>
    <w:rsid w:val="44B85878"/>
    <w:rsid w:val="44C9538F"/>
    <w:rsid w:val="44D22496"/>
    <w:rsid w:val="44D6657B"/>
    <w:rsid w:val="44D973F7"/>
    <w:rsid w:val="44D97CC8"/>
    <w:rsid w:val="44E93AB1"/>
    <w:rsid w:val="44EC3012"/>
    <w:rsid w:val="44EF4E96"/>
    <w:rsid w:val="44F248E6"/>
    <w:rsid w:val="44F256FD"/>
    <w:rsid w:val="45085EB8"/>
    <w:rsid w:val="45087F69"/>
    <w:rsid w:val="45096BA3"/>
    <w:rsid w:val="451157C7"/>
    <w:rsid w:val="451E392D"/>
    <w:rsid w:val="451F3201"/>
    <w:rsid w:val="45322F35"/>
    <w:rsid w:val="453C2005"/>
    <w:rsid w:val="453F38A4"/>
    <w:rsid w:val="45455877"/>
    <w:rsid w:val="454F1D39"/>
    <w:rsid w:val="45684343"/>
    <w:rsid w:val="45695656"/>
    <w:rsid w:val="456B4699"/>
    <w:rsid w:val="45815C6A"/>
    <w:rsid w:val="458B5E83"/>
    <w:rsid w:val="4590088E"/>
    <w:rsid w:val="459040FF"/>
    <w:rsid w:val="45921C25"/>
    <w:rsid w:val="4597548E"/>
    <w:rsid w:val="45A03AAB"/>
    <w:rsid w:val="45AE65B3"/>
    <w:rsid w:val="45B2586D"/>
    <w:rsid w:val="45B47DEE"/>
    <w:rsid w:val="45BB4EFE"/>
    <w:rsid w:val="45C5024D"/>
    <w:rsid w:val="45C67B21"/>
    <w:rsid w:val="45D56A51"/>
    <w:rsid w:val="45DC5978"/>
    <w:rsid w:val="45DD139D"/>
    <w:rsid w:val="45E2495B"/>
    <w:rsid w:val="45E32C7A"/>
    <w:rsid w:val="45ED0F61"/>
    <w:rsid w:val="45F823D0"/>
    <w:rsid w:val="45FA77BA"/>
    <w:rsid w:val="46081EE8"/>
    <w:rsid w:val="46103A42"/>
    <w:rsid w:val="46193F7E"/>
    <w:rsid w:val="4620318C"/>
    <w:rsid w:val="462C207A"/>
    <w:rsid w:val="462F5277"/>
    <w:rsid w:val="4631143E"/>
    <w:rsid w:val="46332237"/>
    <w:rsid w:val="463B4C52"/>
    <w:rsid w:val="46454EEA"/>
    <w:rsid w:val="46475C0A"/>
    <w:rsid w:val="464B77C6"/>
    <w:rsid w:val="464F5D68"/>
    <w:rsid w:val="464F7B16"/>
    <w:rsid w:val="4659450C"/>
    <w:rsid w:val="465E7D59"/>
    <w:rsid w:val="46625A9C"/>
    <w:rsid w:val="46655372"/>
    <w:rsid w:val="466B0DF4"/>
    <w:rsid w:val="466C6651"/>
    <w:rsid w:val="466D10C5"/>
    <w:rsid w:val="46712183"/>
    <w:rsid w:val="46731A57"/>
    <w:rsid w:val="4674757D"/>
    <w:rsid w:val="467A2DE5"/>
    <w:rsid w:val="467C0877"/>
    <w:rsid w:val="467D28D5"/>
    <w:rsid w:val="46843F0C"/>
    <w:rsid w:val="46955E71"/>
    <w:rsid w:val="4698326B"/>
    <w:rsid w:val="469A4D0B"/>
    <w:rsid w:val="469A5235"/>
    <w:rsid w:val="46A61E2C"/>
    <w:rsid w:val="46A85B16"/>
    <w:rsid w:val="46AD35AD"/>
    <w:rsid w:val="46AE4652"/>
    <w:rsid w:val="46AE7704"/>
    <w:rsid w:val="46B300A5"/>
    <w:rsid w:val="46BA1233"/>
    <w:rsid w:val="46BF2EEE"/>
    <w:rsid w:val="46BF4C9C"/>
    <w:rsid w:val="46C67DD9"/>
    <w:rsid w:val="46CB3641"/>
    <w:rsid w:val="46CC73B9"/>
    <w:rsid w:val="46D149CF"/>
    <w:rsid w:val="46DE54E3"/>
    <w:rsid w:val="46DF70EC"/>
    <w:rsid w:val="46E00D96"/>
    <w:rsid w:val="46E12527"/>
    <w:rsid w:val="46EA2325"/>
    <w:rsid w:val="46EB5A91"/>
    <w:rsid w:val="46F71D92"/>
    <w:rsid w:val="46FF32EA"/>
    <w:rsid w:val="47172E21"/>
    <w:rsid w:val="47176886"/>
    <w:rsid w:val="473277BA"/>
    <w:rsid w:val="473D738F"/>
    <w:rsid w:val="47411B55"/>
    <w:rsid w:val="47445E04"/>
    <w:rsid w:val="47482EE3"/>
    <w:rsid w:val="474E6857"/>
    <w:rsid w:val="47514934"/>
    <w:rsid w:val="47522859"/>
    <w:rsid w:val="4756240B"/>
    <w:rsid w:val="475B15AB"/>
    <w:rsid w:val="475C073D"/>
    <w:rsid w:val="475E3FF5"/>
    <w:rsid w:val="475F022D"/>
    <w:rsid w:val="476615BC"/>
    <w:rsid w:val="476B4E24"/>
    <w:rsid w:val="476D22B2"/>
    <w:rsid w:val="476F0470"/>
    <w:rsid w:val="477A6E15"/>
    <w:rsid w:val="478923B5"/>
    <w:rsid w:val="478B6E25"/>
    <w:rsid w:val="479B74FB"/>
    <w:rsid w:val="47A16380"/>
    <w:rsid w:val="47A26FF9"/>
    <w:rsid w:val="47A65E5C"/>
    <w:rsid w:val="47A90ACE"/>
    <w:rsid w:val="47AB6FCE"/>
    <w:rsid w:val="47AD067D"/>
    <w:rsid w:val="47B16CDB"/>
    <w:rsid w:val="47BE31A6"/>
    <w:rsid w:val="47C50090"/>
    <w:rsid w:val="47D06A35"/>
    <w:rsid w:val="47D24716"/>
    <w:rsid w:val="47DE73A4"/>
    <w:rsid w:val="47E32C0C"/>
    <w:rsid w:val="47E349BA"/>
    <w:rsid w:val="47E726FC"/>
    <w:rsid w:val="47E73285"/>
    <w:rsid w:val="47ED5134"/>
    <w:rsid w:val="47F60B91"/>
    <w:rsid w:val="47F9305F"/>
    <w:rsid w:val="47FD3CCE"/>
    <w:rsid w:val="47FE067D"/>
    <w:rsid w:val="4812697B"/>
    <w:rsid w:val="48142DC6"/>
    <w:rsid w:val="48170F42"/>
    <w:rsid w:val="48194880"/>
    <w:rsid w:val="481D2E27"/>
    <w:rsid w:val="482254E2"/>
    <w:rsid w:val="48292DD0"/>
    <w:rsid w:val="482A083B"/>
    <w:rsid w:val="482F5E51"/>
    <w:rsid w:val="48313978"/>
    <w:rsid w:val="483B0352"/>
    <w:rsid w:val="483B4813"/>
    <w:rsid w:val="4843519A"/>
    <w:rsid w:val="48474F49"/>
    <w:rsid w:val="48480CC1"/>
    <w:rsid w:val="484D62D8"/>
    <w:rsid w:val="48505608"/>
    <w:rsid w:val="48575393"/>
    <w:rsid w:val="485B6C46"/>
    <w:rsid w:val="485D476D"/>
    <w:rsid w:val="485F6737"/>
    <w:rsid w:val="486024AF"/>
    <w:rsid w:val="48693111"/>
    <w:rsid w:val="48743F89"/>
    <w:rsid w:val="487D4E0F"/>
    <w:rsid w:val="487E46E3"/>
    <w:rsid w:val="48825F81"/>
    <w:rsid w:val="48831CF9"/>
    <w:rsid w:val="488710A7"/>
    <w:rsid w:val="488F069E"/>
    <w:rsid w:val="4896054D"/>
    <w:rsid w:val="48990868"/>
    <w:rsid w:val="489932CB"/>
    <w:rsid w:val="489A12C7"/>
    <w:rsid w:val="489D5199"/>
    <w:rsid w:val="48A00AFD"/>
    <w:rsid w:val="48A57EC2"/>
    <w:rsid w:val="48AE7A17"/>
    <w:rsid w:val="48B03A43"/>
    <w:rsid w:val="48B325DE"/>
    <w:rsid w:val="48B620CF"/>
    <w:rsid w:val="48BA7509"/>
    <w:rsid w:val="48C26CC5"/>
    <w:rsid w:val="48C73F3A"/>
    <w:rsid w:val="48C742DC"/>
    <w:rsid w:val="48CB3DCC"/>
    <w:rsid w:val="48D80297"/>
    <w:rsid w:val="48DA3D92"/>
    <w:rsid w:val="48E924A4"/>
    <w:rsid w:val="48F331AB"/>
    <w:rsid w:val="48F36E7F"/>
    <w:rsid w:val="48F7696F"/>
    <w:rsid w:val="490746D8"/>
    <w:rsid w:val="490D104F"/>
    <w:rsid w:val="49172B6D"/>
    <w:rsid w:val="491A08B0"/>
    <w:rsid w:val="491F1A22"/>
    <w:rsid w:val="492360B3"/>
    <w:rsid w:val="4924528A"/>
    <w:rsid w:val="49273C1A"/>
    <w:rsid w:val="49276B29"/>
    <w:rsid w:val="492D33DF"/>
    <w:rsid w:val="49437E06"/>
    <w:rsid w:val="4944592C"/>
    <w:rsid w:val="49485657"/>
    <w:rsid w:val="494E2307"/>
    <w:rsid w:val="495042D1"/>
    <w:rsid w:val="49575660"/>
    <w:rsid w:val="495C2C76"/>
    <w:rsid w:val="495F2766"/>
    <w:rsid w:val="495F4514"/>
    <w:rsid w:val="495F7421"/>
    <w:rsid w:val="4961203A"/>
    <w:rsid w:val="49647D7D"/>
    <w:rsid w:val="49740EB7"/>
    <w:rsid w:val="49753DCE"/>
    <w:rsid w:val="49825388"/>
    <w:rsid w:val="49880442"/>
    <w:rsid w:val="4990255D"/>
    <w:rsid w:val="499851AF"/>
    <w:rsid w:val="499C3073"/>
    <w:rsid w:val="499E503D"/>
    <w:rsid w:val="49A85215"/>
    <w:rsid w:val="49AB775A"/>
    <w:rsid w:val="49AD34D2"/>
    <w:rsid w:val="49AD702E"/>
    <w:rsid w:val="49AE4D61"/>
    <w:rsid w:val="49B362C5"/>
    <w:rsid w:val="49B742FC"/>
    <w:rsid w:val="49B82B2F"/>
    <w:rsid w:val="49BD049D"/>
    <w:rsid w:val="49BF7A81"/>
    <w:rsid w:val="49C12AD9"/>
    <w:rsid w:val="49C903F9"/>
    <w:rsid w:val="49DA451B"/>
    <w:rsid w:val="49DC5B65"/>
    <w:rsid w:val="49E36EF3"/>
    <w:rsid w:val="49F41101"/>
    <w:rsid w:val="49F713A3"/>
    <w:rsid w:val="49FD2121"/>
    <w:rsid w:val="49FF17D6"/>
    <w:rsid w:val="4A0155CC"/>
    <w:rsid w:val="4A01737A"/>
    <w:rsid w:val="4A02381D"/>
    <w:rsid w:val="4A040EE1"/>
    <w:rsid w:val="4A0550BC"/>
    <w:rsid w:val="4A064990"/>
    <w:rsid w:val="4A084BAC"/>
    <w:rsid w:val="4A1C00D7"/>
    <w:rsid w:val="4A1E55E9"/>
    <w:rsid w:val="4A1F4E00"/>
    <w:rsid w:val="4A235542"/>
    <w:rsid w:val="4A24554F"/>
    <w:rsid w:val="4A2A0902"/>
    <w:rsid w:val="4A2D4613"/>
    <w:rsid w:val="4A325785"/>
    <w:rsid w:val="4A330038"/>
    <w:rsid w:val="4A366F1B"/>
    <w:rsid w:val="4A38723F"/>
    <w:rsid w:val="4A3961AC"/>
    <w:rsid w:val="4A480C67"/>
    <w:rsid w:val="4A541B9F"/>
    <w:rsid w:val="4A5D5D26"/>
    <w:rsid w:val="4A633B90"/>
    <w:rsid w:val="4A69389D"/>
    <w:rsid w:val="4A6A4F1F"/>
    <w:rsid w:val="4A6C1900"/>
    <w:rsid w:val="4A77546C"/>
    <w:rsid w:val="4A7F4E6E"/>
    <w:rsid w:val="4A800BE6"/>
    <w:rsid w:val="4A82670C"/>
    <w:rsid w:val="4A8835F7"/>
    <w:rsid w:val="4A8A3813"/>
    <w:rsid w:val="4A8C758B"/>
    <w:rsid w:val="4A8E50B1"/>
    <w:rsid w:val="4A963F66"/>
    <w:rsid w:val="4A981A8C"/>
    <w:rsid w:val="4A987B82"/>
    <w:rsid w:val="4AA7104D"/>
    <w:rsid w:val="4AA77F21"/>
    <w:rsid w:val="4AAA7A11"/>
    <w:rsid w:val="4AB16FF2"/>
    <w:rsid w:val="4AB646F3"/>
    <w:rsid w:val="4AB82607"/>
    <w:rsid w:val="4ABB577A"/>
    <w:rsid w:val="4ABF63D5"/>
    <w:rsid w:val="4AC56D79"/>
    <w:rsid w:val="4ACA3C0F"/>
    <w:rsid w:val="4AD60806"/>
    <w:rsid w:val="4ADF3B5F"/>
    <w:rsid w:val="4AE271AB"/>
    <w:rsid w:val="4AF869CF"/>
    <w:rsid w:val="4AFB201B"/>
    <w:rsid w:val="4AFC64BF"/>
    <w:rsid w:val="4B094738"/>
    <w:rsid w:val="4B0E181B"/>
    <w:rsid w:val="4B10738A"/>
    <w:rsid w:val="4B15132F"/>
    <w:rsid w:val="4B1824FA"/>
    <w:rsid w:val="4B1F5D09"/>
    <w:rsid w:val="4B1F699A"/>
    <w:rsid w:val="4B2257F9"/>
    <w:rsid w:val="4B267A1A"/>
    <w:rsid w:val="4B38326F"/>
    <w:rsid w:val="4B4B6AFE"/>
    <w:rsid w:val="4B5160DF"/>
    <w:rsid w:val="4B527DC0"/>
    <w:rsid w:val="4B531E57"/>
    <w:rsid w:val="4B583141"/>
    <w:rsid w:val="4B5A31E5"/>
    <w:rsid w:val="4B5C0D0B"/>
    <w:rsid w:val="4B6978CC"/>
    <w:rsid w:val="4B732F19"/>
    <w:rsid w:val="4B7757EC"/>
    <w:rsid w:val="4B8137BE"/>
    <w:rsid w:val="4B8169C4"/>
    <w:rsid w:val="4B863FDA"/>
    <w:rsid w:val="4B8C5ED7"/>
    <w:rsid w:val="4B92297F"/>
    <w:rsid w:val="4B990CBA"/>
    <w:rsid w:val="4B99142D"/>
    <w:rsid w:val="4BA12BC2"/>
    <w:rsid w:val="4BAD1567"/>
    <w:rsid w:val="4BB26B7D"/>
    <w:rsid w:val="4BB5041C"/>
    <w:rsid w:val="4BBC17AA"/>
    <w:rsid w:val="4BC87E8A"/>
    <w:rsid w:val="4BCE617D"/>
    <w:rsid w:val="4BD905AE"/>
    <w:rsid w:val="4BDB2578"/>
    <w:rsid w:val="4BE07B8E"/>
    <w:rsid w:val="4BE551A5"/>
    <w:rsid w:val="4BE62CCB"/>
    <w:rsid w:val="4BEA4569"/>
    <w:rsid w:val="4BF03B4A"/>
    <w:rsid w:val="4BF076A6"/>
    <w:rsid w:val="4BF4329B"/>
    <w:rsid w:val="4BF52F0E"/>
    <w:rsid w:val="4BF54CBC"/>
    <w:rsid w:val="4BF8764F"/>
    <w:rsid w:val="4BFB6B50"/>
    <w:rsid w:val="4BFC429C"/>
    <w:rsid w:val="4C001FDF"/>
    <w:rsid w:val="4C0B44E0"/>
    <w:rsid w:val="4C0B7715"/>
    <w:rsid w:val="4C1635B0"/>
    <w:rsid w:val="4C1866D1"/>
    <w:rsid w:val="4C1930A0"/>
    <w:rsid w:val="4C1A4723"/>
    <w:rsid w:val="4C2B34CC"/>
    <w:rsid w:val="4C334959"/>
    <w:rsid w:val="4C416153"/>
    <w:rsid w:val="4C4742BB"/>
    <w:rsid w:val="4C4874E2"/>
    <w:rsid w:val="4C546A54"/>
    <w:rsid w:val="4C675BBA"/>
    <w:rsid w:val="4C883D82"/>
    <w:rsid w:val="4C8A18A8"/>
    <w:rsid w:val="4C96024D"/>
    <w:rsid w:val="4CB13362"/>
    <w:rsid w:val="4CB22BAD"/>
    <w:rsid w:val="4CB661B8"/>
    <w:rsid w:val="4CBB7CB4"/>
    <w:rsid w:val="4CBC202A"/>
    <w:rsid w:val="4CC27294"/>
    <w:rsid w:val="4CC36B68"/>
    <w:rsid w:val="4CCB690B"/>
    <w:rsid w:val="4CCE3488"/>
    <w:rsid w:val="4CCF375F"/>
    <w:rsid w:val="4CD07C03"/>
    <w:rsid w:val="4CDA2830"/>
    <w:rsid w:val="4CE54A11"/>
    <w:rsid w:val="4CE73DC7"/>
    <w:rsid w:val="4CE865CF"/>
    <w:rsid w:val="4CF029F8"/>
    <w:rsid w:val="4CFF0606"/>
    <w:rsid w:val="4D007DBC"/>
    <w:rsid w:val="4D0E4287"/>
    <w:rsid w:val="4D151ABA"/>
    <w:rsid w:val="4D161DBB"/>
    <w:rsid w:val="4D1B69A4"/>
    <w:rsid w:val="4D1D7159"/>
    <w:rsid w:val="4D2A6BE7"/>
    <w:rsid w:val="4D2F41FE"/>
    <w:rsid w:val="4D341814"/>
    <w:rsid w:val="4D3A1520"/>
    <w:rsid w:val="4D4A0EC5"/>
    <w:rsid w:val="4D52686A"/>
    <w:rsid w:val="4D553878"/>
    <w:rsid w:val="4D571522"/>
    <w:rsid w:val="4D591B49"/>
    <w:rsid w:val="4D600CF3"/>
    <w:rsid w:val="4D616AAD"/>
    <w:rsid w:val="4D64034B"/>
    <w:rsid w:val="4D6C0FAE"/>
    <w:rsid w:val="4D730311"/>
    <w:rsid w:val="4D8A2997"/>
    <w:rsid w:val="4D9549A9"/>
    <w:rsid w:val="4D9F3131"/>
    <w:rsid w:val="4DA4699A"/>
    <w:rsid w:val="4DA846DC"/>
    <w:rsid w:val="4DB278E4"/>
    <w:rsid w:val="4DB62998"/>
    <w:rsid w:val="4DBD23EA"/>
    <w:rsid w:val="4DC1579E"/>
    <w:rsid w:val="4DC332C4"/>
    <w:rsid w:val="4DCA0199"/>
    <w:rsid w:val="4DD70B1D"/>
    <w:rsid w:val="4DDA23BB"/>
    <w:rsid w:val="4DDE1EAC"/>
    <w:rsid w:val="4DE42031"/>
    <w:rsid w:val="4E00759E"/>
    <w:rsid w:val="4E025573"/>
    <w:rsid w:val="4E0256F8"/>
    <w:rsid w:val="4E0833CC"/>
    <w:rsid w:val="4E1C4782"/>
    <w:rsid w:val="4E255D2C"/>
    <w:rsid w:val="4E315298"/>
    <w:rsid w:val="4E323FA5"/>
    <w:rsid w:val="4E406B13"/>
    <w:rsid w:val="4E437F61"/>
    <w:rsid w:val="4E451F2B"/>
    <w:rsid w:val="4E4D2A0C"/>
    <w:rsid w:val="4E606D65"/>
    <w:rsid w:val="4E61315E"/>
    <w:rsid w:val="4E685C19"/>
    <w:rsid w:val="4E691556"/>
    <w:rsid w:val="4E742199"/>
    <w:rsid w:val="4E796078"/>
    <w:rsid w:val="4E7D4ADE"/>
    <w:rsid w:val="4E7E4FE0"/>
    <w:rsid w:val="4E7E5C65"/>
    <w:rsid w:val="4E8011B5"/>
    <w:rsid w:val="4E810A89"/>
    <w:rsid w:val="4E915170"/>
    <w:rsid w:val="4E92197C"/>
    <w:rsid w:val="4EA654FC"/>
    <w:rsid w:val="4EAA0ED5"/>
    <w:rsid w:val="4EAA667E"/>
    <w:rsid w:val="4EBB043F"/>
    <w:rsid w:val="4EC217CD"/>
    <w:rsid w:val="4ECB0686"/>
    <w:rsid w:val="4ED137BE"/>
    <w:rsid w:val="4ED55D6D"/>
    <w:rsid w:val="4EDE7C89"/>
    <w:rsid w:val="4EE3277B"/>
    <w:rsid w:val="4EF63225"/>
    <w:rsid w:val="4EFC36E9"/>
    <w:rsid w:val="4F0040A4"/>
    <w:rsid w:val="4F09543A"/>
    <w:rsid w:val="4F0C0C9A"/>
    <w:rsid w:val="4F0E639E"/>
    <w:rsid w:val="4F0F4635"/>
    <w:rsid w:val="4F1813ED"/>
    <w:rsid w:val="4F18319B"/>
    <w:rsid w:val="4F231B40"/>
    <w:rsid w:val="4F3855EC"/>
    <w:rsid w:val="4F391364"/>
    <w:rsid w:val="4F46536C"/>
    <w:rsid w:val="4F477F24"/>
    <w:rsid w:val="4F4F0B87"/>
    <w:rsid w:val="4F580091"/>
    <w:rsid w:val="4F587A3C"/>
    <w:rsid w:val="4F5B1FDA"/>
    <w:rsid w:val="4F6E54B1"/>
    <w:rsid w:val="4F710AFD"/>
    <w:rsid w:val="4F7D74A2"/>
    <w:rsid w:val="4F7F298C"/>
    <w:rsid w:val="4F7F76BE"/>
    <w:rsid w:val="4F822556"/>
    <w:rsid w:val="4F851035"/>
    <w:rsid w:val="4F9547EC"/>
    <w:rsid w:val="4F966801"/>
    <w:rsid w:val="4FA40ED3"/>
    <w:rsid w:val="4FA87AFF"/>
    <w:rsid w:val="4FB8456B"/>
    <w:rsid w:val="4FBE29DC"/>
    <w:rsid w:val="4FC1669B"/>
    <w:rsid w:val="4FD33566"/>
    <w:rsid w:val="4FD407E0"/>
    <w:rsid w:val="4FEF1605"/>
    <w:rsid w:val="4FF27E90"/>
    <w:rsid w:val="50025BF9"/>
    <w:rsid w:val="5008118B"/>
    <w:rsid w:val="500F3EA3"/>
    <w:rsid w:val="50137423"/>
    <w:rsid w:val="5016713E"/>
    <w:rsid w:val="50184E23"/>
    <w:rsid w:val="50276741"/>
    <w:rsid w:val="502C67A1"/>
    <w:rsid w:val="503404A9"/>
    <w:rsid w:val="50371D47"/>
    <w:rsid w:val="5038161B"/>
    <w:rsid w:val="503C55AF"/>
    <w:rsid w:val="503D41EC"/>
    <w:rsid w:val="503E30D6"/>
    <w:rsid w:val="503E4E84"/>
    <w:rsid w:val="504440A0"/>
    <w:rsid w:val="50463D38"/>
    <w:rsid w:val="50504BB7"/>
    <w:rsid w:val="5057275F"/>
    <w:rsid w:val="50595F65"/>
    <w:rsid w:val="505B3C87"/>
    <w:rsid w:val="505C17AE"/>
    <w:rsid w:val="505C5F75"/>
    <w:rsid w:val="5060304C"/>
    <w:rsid w:val="50615016"/>
    <w:rsid w:val="50681F00"/>
    <w:rsid w:val="506A3ECB"/>
    <w:rsid w:val="50722D7F"/>
    <w:rsid w:val="50772C4C"/>
    <w:rsid w:val="50840490"/>
    <w:rsid w:val="50890512"/>
    <w:rsid w:val="508F1B83"/>
    <w:rsid w:val="50940F47"/>
    <w:rsid w:val="509575AD"/>
    <w:rsid w:val="50974E33"/>
    <w:rsid w:val="509D6294"/>
    <w:rsid w:val="50A031E8"/>
    <w:rsid w:val="50A078EC"/>
    <w:rsid w:val="50A15CCE"/>
    <w:rsid w:val="50A941CF"/>
    <w:rsid w:val="50AA42C7"/>
    <w:rsid w:val="50B45146"/>
    <w:rsid w:val="50B71C0F"/>
    <w:rsid w:val="50B720D3"/>
    <w:rsid w:val="50BB64D4"/>
    <w:rsid w:val="50BC2773"/>
    <w:rsid w:val="50BE4216"/>
    <w:rsid w:val="50BF7D01"/>
    <w:rsid w:val="50CE26AB"/>
    <w:rsid w:val="50D21A70"/>
    <w:rsid w:val="50D41344"/>
    <w:rsid w:val="50D70E34"/>
    <w:rsid w:val="50DE0415"/>
    <w:rsid w:val="50DF76CD"/>
    <w:rsid w:val="50E579F5"/>
    <w:rsid w:val="50E7376D"/>
    <w:rsid w:val="50EF43D0"/>
    <w:rsid w:val="5100038B"/>
    <w:rsid w:val="51031C29"/>
    <w:rsid w:val="51087240"/>
    <w:rsid w:val="510F3FE9"/>
    <w:rsid w:val="51380E48"/>
    <w:rsid w:val="5144296E"/>
    <w:rsid w:val="51466049"/>
    <w:rsid w:val="514C35D0"/>
    <w:rsid w:val="5153670D"/>
    <w:rsid w:val="51581F75"/>
    <w:rsid w:val="515D61D0"/>
    <w:rsid w:val="5164091A"/>
    <w:rsid w:val="516B45B9"/>
    <w:rsid w:val="517A37CC"/>
    <w:rsid w:val="517B5C63"/>
    <w:rsid w:val="517D19DC"/>
    <w:rsid w:val="518A40F8"/>
    <w:rsid w:val="518A6483"/>
    <w:rsid w:val="519D3343"/>
    <w:rsid w:val="51AB7B4F"/>
    <w:rsid w:val="51B11685"/>
    <w:rsid w:val="51B573C7"/>
    <w:rsid w:val="51B66C9C"/>
    <w:rsid w:val="51B9412D"/>
    <w:rsid w:val="51BA678C"/>
    <w:rsid w:val="51C969CF"/>
    <w:rsid w:val="51D25A54"/>
    <w:rsid w:val="51D830B6"/>
    <w:rsid w:val="51DC2BA6"/>
    <w:rsid w:val="51DC4954"/>
    <w:rsid w:val="51EE6435"/>
    <w:rsid w:val="51F0539B"/>
    <w:rsid w:val="51F3421E"/>
    <w:rsid w:val="51F36142"/>
    <w:rsid w:val="51F85506"/>
    <w:rsid w:val="51FE5D84"/>
    <w:rsid w:val="5201260D"/>
    <w:rsid w:val="52084376"/>
    <w:rsid w:val="520D0FB1"/>
    <w:rsid w:val="520F39C4"/>
    <w:rsid w:val="52140592"/>
    <w:rsid w:val="52157E66"/>
    <w:rsid w:val="521A722A"/>
    <w:rsid w:val="521B1BEE"/>
    <w:rsid w:val="521D2A43"/>
    <w:rsid w:val="522400A9"/>
    <w:rsid w:val="522607DA"/>
    <w:rsid w:val="52262073"/>
    <w:rsid w:val="522F44E7"/>
    <w:rsid w:val="523016D2"/>
    <w:rsid w:val="52320A18"/>
    <w:rsid w:val="523302EC"/>
    <w:rsid w:val="52391971"/>
    <w:rsid w:val="523B6CB3"/>
    <w:rsid w:val="523E560F"/>
    <w:rsid w:val="5246001F"/>
    <w:rsid w:val="5250298F"/>
    <w:rsid w:val="52506705"/>
    <w:rsid w:val="525070F0"/>
    <w:rsid w:val="527032EE"/>
    <w:rsid w:val="52741030"/>
    <w:rsid w:val="5275395A"/>
    <w:rsid w:val="5277467D"/>
    <w:rsid w:val="527C7EE5"/>
    <w:rsid w:val="527F3531"/>
    <w:rsid w:val="52846D9A"/>
    <w:rsid w:val="52892D6A"/>
    <w:rsid w:val="52946FDD"/>
    <w:rsid w:val="52976ACD"/>
    <w:rsid w:val="52993FA0"/>
    <w:rsid w:val="52A35A1D"/>
    <w:rsid w:val="52AD009F"/>
    <w:rsid w:val="52AF2069"/>
    <w:rsid w:val="52B33A49"/>
    <w:rsid w:val="52B7716F"/>
    <w:rsid w:val="52B81E35"/>
    <w:rsid w:val="52C423B0"/>
    <w:rsid w:val="52CB155A"/>
    <w:rsid w:val="52CB6777"/>
    <w:rsid w:val="52D47D21"/>
    <w:rsid w:val="52E00474"/>
    <w:rsid w:val="52EA12F3"/>
    <w:rsid w:val="52EC6E19"/>
    <w:rsid w:val="52ED77D4"/>
    <w:rsid w:val="52F061DD"/>
    <w:rsid w:val="52F537F4"/>
    <w:rsid w:val="53071EA5"/>
    <w:rsid w:val="53095C1D"/>
    <w:rsid w:val="530D012E"/>
    <w:rsid w:val="53103FC7"/>
    <w:rsid w:val="53117532"/>
    <w:rsid w:val="53147A38"/>
    <w:rsid w:val="532540D9"/>
    <w:rsid w:val="532E6F05"/>
    <w:rsid w:val="532E7431"/>
    <w:rsid w:val="532F6D06"/>
    <w:rsid w:val="53312A7E"/>
    <w:rsid w:val="53317599"/>
    <w:rsid w:val="53333483"/>
    <w:rsid w:val="53346A12"/>
    <w:rsid w:val="5337560C"/>
    <w:rsid w:val="533802B0"/>
    <w:rsid w:val="53513227"/>
    <w:rsid w:val="53566988"/>
    <w:rsid w:val="535E674B"/>
    <w:rsid w:val="53620356"/>
    <w:rsid w:val="53656BCB"/>
    <w:rsid w:val="536A7968"/>
    <w:rsid w:val="536C1D08"/>
    <w:rsid w:val="53715570"/>
    <w:rsid w:val="53772153"/>
    <w:rsid w:val="537776A5"/>
    <w:rsid w:val="537E1A3B"/>
    <w:rsid w:val="5386726D"/>
    <w:rsid w:val="53875E5A"/>
    <w:rsid w:val="5388448A"/>
    <w:rsid w:val="538C31D0"/>
    <w:rsid w:val="53986FA1"/>
    <w:rsid w:val="539B7E16"/>
    <w:rsid w:val="53A0089D"/>
    <w:rsid w:val="53A30B5C"/>
    <w:rsid w:val="53A5346C"/>
    <w:rsid w:val="53AB0A82"/>
    <w:rsid w:val="53B10062"/>
    <w:rsid w:val="53B37937"/>
    <w:rsid w:val="53C05963"/>
    <w:rsid w:val="53C438F2"/>
    <w:rsid w:val="53C52166"/>
    <w:rsid w:val="53D33B35"/>
    <w:rsid w:val="53D8739D"/>
    <w:rsid w:val="53E2021C"/>
    <w:rsid w:val="53E21FCA"/>
    <w:rsid w:val="53E53868"/>
    <w:rsid w:val="53E622B6"/>
    <w:rsid w:val="53E73A84"/>
    <w:rsid w:val="53E775E0"/>
    <w:rsid w:val="53E977FC"/>
    <w:rsid w:val="53EB10EA"/>
    <w:rsid w:val="53EE4E13"/>
    <w:rsid w:val="53F046E7"/>
    <w:rsid w:val="53F23A41"/>
    <w:rsid w:val="53F71F19"/>
    <w:rsid w:val="53FE2DBF"/>
    <w:rsid w:val="53FF2B7C"/>
    <w:rsid w:val="5405605A"/>
    <w:rsid w:val="540B32CF"/>
    <w:rsid w:val="5412745A"/>
    <w:rsid w:val="54202196"/>
    <w:rsid w:val="5422686A"/>
    <w:rsid w:val="542720D3"/>
    <w:rsid w:val="543259D6"/>
    <w:rsid w:val="543547EF"/>
    <w:rsid w:val="54436F0C"/>
    <w:rsid w:val="5447551F"/>
    <w:rsid w:val="54482775"/>
    <w:rsid w:val="54556C40"/>
    <w:rsid w:val="54557A52"/>
    <w:rsid w:val="54576514"/>
    <w:rsid w:val="545810D1"/>
    <w:rsid w:val="545F21A9"/>
    <w:rsid w:val="54622402"/>
    <w:rsid w:val="54652CE7"/>
    <w:rsid w:val="546724CF"/>
    <w:rsid w:val="547D1CF3"/>
    <w:rsid w:val="54821ECC"/>
    <w:rsid w:val="5483555B"/>
    <w:rsid w:val="548412D3"/>
    <w:rsid w:val="548968E9"/>
    <w:rsid w:val="549D74BF"/>
    <w:rsid w:val="549E2395"/>
    <w:rsid w:val="54AD4659"/>
    <w:rsid w:val="54AE7FF0"/>
    <w:rsid w:val="54B0031A"/>
    <w:rsid w:val="54B92B9F"/>
    <w:rsid w:val="54BE29B0"/>
    <w:rsid w:val="54BE6DBC"/>
    <w:rsid w:val="54C22652"/>
    <w:rsid w:val="54C31DFB"/>
    <w:rsid w:val="54C464D0"/>
    <w:rsid w:val="54CD2C7A"/>
    <w:rsid w:val="54D1276A"/>
    <w:rsid w:val="54D9161F"/>
    <w:rsid w:val="54E33888"/>
    <w:rsid w:val="54E3424B"/>
    <w:rsid w:val="54EC02AC"/>
    <w:rsid w:val="54EC53C1"/>
    <w:rsid w:val="54F500CF"/>
    <w:rsid w:val="54F55D2D"/>
    <w:rsid w:val="54F83FD0"/>
    <w:rsid w:val="54FE5AF4"/>
    <w:rsid w:val="55012924"/>
    <w:rsid w:val="55020B76"/>
    <w:rsid w:val="551B5A38"/>
    <w:rsid w:val="551E0DEF"/>
    <w:rsid w:val="55346855"/>
    <w:rsid w:val="55395EE0"/>
    <w:rsid w:val="55490923"/>
    <w:rsid w:val="55520454"/>
    <w:rsid w:val="55540CA5"/>
    <w:rsid w:val="5568451C"/>
    <w:rsid w:val="556C61D0"/>
    <w:rsid w:val="55774994"/>
    <w:rsid w:val="5579695E"/>
    <w:rsid w:val="557B26D6"/>
    <w:rsid w:val="55915A56"/>
    <w:rsid w:val="55985B65"/>
    <w:rsid w:val="55985DAE"/>
    <w:rsid w:val="55A41C2D"/>
    <w:rsid w:val="55A717D7"/>
    <w:rsid w:val="55B00902"/>
    <w:rsid w:val="55BE25C3"/>
    <w:rsid w:val="55C71477"/>
    <w:rsid w:val="55CC4CE0"/>
    <w:rsid w:val="55D116C3"/>
    <w:rsid w:val="55D1679A"/>
    <w:rsid w:val="55D17B77"/>
    <w:rsid w:val="55D519C6"/>
    <w:rsid w:val="55D87B28"/>
    <w:rsid w:val="55DD513F"/>
    <w:rsid w:val="55DE253D"/>
    <w:rsid w:val="55E262B1"/>
    <w:rsid w:val="55E738C7"/>
    <w:rsid w:val="55E93AE3"/>
    <w:rsid w:val="55EF4E4A"/>
    <w:rsid w:val="55F14746"/>
    <w:rsid w:val="55FD133D"/>
    <w:rsid w:val="56035DE5"/>
    <w:rsid w:val="56090430"/>
    <w:rsid w:val="561E0A28"/>
    <w:rsid w:val="56273AC2"/>
    <w:rsid w:val="56332FB1"/>
    <w:rsid w:val="56357322"/>
    <w:rsid w:val="5637484F"/>
    <w:rsid w:val="56422206"/>
    <w:rsid w:val="56462CE4"/>
    <w:rsid w:val="564725B8"/>
    <w:rsid w:val="56633896"/>
    <w:rsid w:val="5667274F"/>
    <w:rsid w:val="56694C24"/>
    <w:rsid w:val="566D0271"/>
    <w:rsid w:val="566E223B"/>
    <w:rsid w:val="566E5D97"/>
    <w:rsid w:val="56701027"/>
    <w:rsid w:val="56705FB3"/>
    <w:rsid w:val="5673115F"/>
    <w:rsid w:val="56740E9E"/>
    <w:rsid w:val="567E4CB5"/>
    <w:rsid w:val="568D446F"/>
    <w:rsid w:val="568E6439"/>
    <w:rsid w:val="56917B91"/>
    <w:rsid w:val="56951575"/>
    <w:rsid w:val="569577C7"/>
    <w:rsid w:val="56A032C8"/>
    <w:rsid w:val="56A24DF2"/>
    <w:rsid w:val="56A72F23"/>
    <w:rsid w:val="56A8574D"/>
    <w:rsid w:val="56AF6ADB"/>
    <w:rsid w:val="56B01EA1"/>
    <w:rsid w:val="56B45743"/>
    <w:rsid w:val="56B45E9F"/>
    <w:rsid w:val="56B539C6"/>
    <w:rsid w:val="56B770BE"/>
    <w:rsid w:val="56B85264"/>
    <w:rsid w:val="56BA0867"/>
    <w:rsid w:val="56BE6D1E"/>
    <w:rsid w:val="56C05CE7"/>
    <w:rsid w:val="56C10544"/>
    <w:rsid w:val="56C33BDD"/>
    <w:rsid w:val="56C8194B"/>
    <w:rsid w:val="56CE6835"/>
    <w:rsid w:val="56D057DA"/>
    <w:rsid w:val="56E017F0"/>
    <w:rsid w:val="56E83D9B"/>
    <w:rsid w:val="56F75D8C"/>
    <w:rsid w:val="57016089"/>
    <w:rsid w:val="571132F2"/>
    <w:rsid w:val="5717642E"/>
    <w:rsid w:val="57201588"/>
    <w:rsid w:val="57266671"/>
    <w:rsid w:val="572A5A32"/>
    <w:rsid w:val="57335ED7"/>
    <w:rsid w:val="57342322"/>
    <w:rsid w:val="5738583E"/>
    <w:rsid w:val="57427F5C"/>
    <w:rsid w:val="57517B92"/>
    <w:rsid w:val="57603931"/>
    <w:rsid w:val="5764742A"/>
    <w:rsid w:val="57654780"/>
    <w:rsid w:val="57664CC0"/>
    <w:rsid w:val="577218B7"/>
    <w:rsid w:val="5778511F"/>
    <w:rsid w:val="57825F9E"/>
    <w:rsid w:val="57862636"/>
    <w:rsid w:val="578810DA"/>
    <w:rsid w:val="578D049F"/>
    <w:rsid w:val="578F4217"/>
    <w:rsid w:val="579F372B"/>
    <w:rsid w:val="57A23D62"/>
    <w:rsid w:val="57A414A5"/>
    <w:rsid w:val="57A9177C"/>
    <w:rsid w:val="57AB3CFF"/>
    <w:rsid w:val="57AC4DC9"/>
    <w:rsid w:val="57B82A23"/>
    <w:rsid w:val="57B974E6"/>
    <w:rsid w:val="57C5547C"/>
    <w:rsid w:val="57CC0FC7"/>
    <w:rsid w:val="57DB3900"/>
    <w:rsid w:val="57E25152"/>
    <w:rsid w:val="57EA3B43"/>
    <w:rsid w:val="57EB3AB7"/>
    <w:rsid w:val="57EC3417"/>
    <w:rsid w:val="57F4051E"/>
    <w:rsid w:val="57FD5624"/>
    <w:rsid w:val="580764A3"/>
    <w:rsid w:val="581A61D6"/>
    <w:rsid w:val="58226E39"/>
    <w:rsid w:val="58254B7B"/>
    <w:rsid w:val="582725DB"/>
    <w:rsid w:val="5828461F"/>
    <w:rsid w:val="582B03E3"/>
    <w:rsid w:val="582E1C82"/>
    <w:rsid w:val="58357612"/>
    <w:rsid w:val="583A23D4"/>
    <w:rsid w:val="584479CF"/>
    <w:rsid w:val="58474AF1"/>
    <w:rsid w:val="5847689F"/>
    <w:rsid w:val="58492617"/>
    <w:rsid w:val="584D6874"/>
    <w:rsid w:val="5851771E"/>
    <w:rsid w:val="585651F5"/>
    <w:rsid w:val="586414B1"/>
    <w:rsid w:val="586B4C84"/>
    <w:rsid w:val="586D09FC"/>
    <w:rsid w:val="58704048"/>
    <w:rsid w:val="58727DC0"/>
    <w:rsid w:val="5875340D"/>
    <w:rsid w:val="5878114F"/>
    <w:rsid w:val="58782EFD"/>
    <w:rsid w:val="587C3218"/>
    <w:rsid w:val="588E44CE"/>
    <w:rsid w:val="58981F2C"/>
    <w:rsid w:val="589C2293"/>
    <w:rsid w:val="589C308F"/>
    <w:rsid w:val="589F0489"/>
    <w:rsid w:val="58A14202"/>
    <w:rsid w:val="58A45696"/>
    <w:rsid w:val="58A66317"/>
    <w:rsid w:val="58AE0A86"/>
    <w:rsid w:val="58B008E9"/>
    <w:rsid w:val="58B25C3D"/>
    <w:rsid w:val="58B303D9"/>
    <w:rsid w:val="58B32187"/>
    <w:rsid w:val="58B77EC9"/>
    <w:rsid w:val="58B910E2"/>
    <w:rsid w:val="58BC6BD7"/>
    <w:rsid w:val="58C24B9F"/>
    <w:rsid w:val="58C44394"/>
    <w:rsid w:val="58D04AE7"/>
    <w:rsid w:val="58D3766D"/>
    <w:rsid w:val="58D37CA0"/>
    <w:rsid w:val="58D75E75"/>
    <w:rsid w:val="58E4418C"/>
    <w:rsid w:val="58E80B25"/>
    <w:rsid w:val="58F24A5D"/>
    <w:rsid w:val="58F57085"/>
    <w:rsid w:val="58F846B0"/>
    <w:rsid w:val="58FA7DB6"/>
    <w:rsid w:val="58FB56CF"/>
    <w:rsid w:val="58FD3402"/>
    <w:rsid w:val="5900361E"/>
    <w:rsid w:val="59097FF9"/>
    <w:rsid w:val="590B3D71"/>
    <w:rsid w:val="590E6804"/>
    <w:rsid w:val="591946E0"/>
    <w:rsid w:val="591B158F"/>
    <w:rsid w:val="591E0FC6"/>
    <w:rsid w:val="59205A6E"/>
    <w:rsid w:val="59282B75"/>
    <w:rsid w:val="5932754F"/>
    <w:rsid w:val="59352B9C"/>
    <w:rsid w:val="59372DB8"/>
    <w:rsid w:val="59411541"/>
    <w:rsid w:val="5943350B"/>
    <w:rsid w:val="59464082"/>
    <w:rsid w:val="594A4899"/>
    <w:rsid w:val="59527BF2"/>
    <w:rsid w:val="59570D64"/>
    <w:rsid w:val="59572683"/>
    <w:rsid w:val="59576FB6"/>
    <w:rsid w:val="5960230F"/>
    <w:rsid w:val="59615836"/>
    <w:rsid w:val="59653481"/>
    <w:rsid w:val="59657A50"/>
    <w:rsid w:val="59665E9D"/>
    <w:rsid w:val="59667064"/>
    <w:rsid w:val="596A7BA6"/>
    <w:rsid w:val="596F4300"/>
    <w:rsid w:val="59770FE4"/>
    <w:rsid w:val="5979517E"/>
    <w:rsid w:val="597F38B7"/>
    <w:rsid w:val="597F67A5"/>
    <w:rsid w:val="59822285"/>
    <w:rsid w:val="59845C47"/>
    <w:rsid w:val="5988716F"/>
    <w:rsid w:val="598A2EE8"/>
    <w:rsid w:val="598D0B5D"/>
    <w:rsid w:val="599361AC"/>
    <w:rsid w:val="599B193E"/>
    <w:rsid w:val="599B4451"/>
    <w:rsid w:val="59AD4E28"/>
    <w:rsid w:val="59AE5E06"/>
    <w:rsid w:val="59B937CD"/>
    <w:rsid w:val="59BD32BD"/>
    <w:rsid w:val="59BE0DE3"/>
    <w:rsid w:val="59C04B5B"/>
    <w:rsid w:val="59C83A10"/>
    <w:rsid w:val="59CA3C2C"/>
    <w:rsid w:val="59CA59DA"/>
    <w:rsid w:val="59E40D38"/>
    <w:rsid w:val="59EC5950"/>
    <w:rsid w:val="59F1740B"/>
    <w:rsid w:val="59F44805"/>
    <w:rsid w:val="59F64A21"/>
    <w:rsid w:val="59FA5750"/>
    <w:rsid w:val="59FB2037"/>
    <w:rsid w:val="5A040EEC"/>
    <w:rsid w:val="5A0752CB"/>
    <w:rsid w:val="5A0A4028"/>
    <w:rsid w:val="5A0C1B4F"/>
    <w:rsid w:val="5A134889"/>
    <w:rsid w:val="5A1433D8"/>
    <w:rsid w:val="5A146C55"/>
    <w:rsid w:val="5A1924BD"/>
    <w:rsid w:val="5A2275C4"/>
    <w:rsid w:val="5A236E98"/>
    <w:rsid w:val="5A2A46CB"/>
    <w:rsid w:val="5A2E41BB"/>
    <w:rsid w:val="5A361E12"/>
    <w:rsid w:val="5A427C66"/>
    <w:rsid w:val="5A455D11"/>
    <w:rsid w:val="5A4C63EF"/>
    <w:rsid w:val="5A5525E6"/>
    <w:rsid w:val="5A6220B6"/>
    <w:rsid w:val="5A696FA1"/>
    <w:rsid w:val="5A6E4C65"/>
    <w:rsid w:val="5A772376"/>
    <w:rsid w:val="5A785436"/>
    <w:rsid w:val="5A7D0AC9"/>
    <w:rsid w:val="5A812060"/>
    <w:rsid w:val="5A830427"/>
    <w:rsid w:val="5A871B1D"/>
    <w:rsid w:val="5A8E6A07"/>
    <w:rsid w:val="5A902780"/>
    <w:rsid w:val="5A924D04"/>
    <w:rsid w:val="5A9A35FE"/>
    <w:rsid w:val="5AA47FD9"/>
    <w:rsid w:val="5AA70B25"/>
    <w:rsid w:val="5AB62190"/>
    <w:rsid w:val="5AB75F5E"/>
    <w:rsid w:val="5ABD553F"/>
    <w:rsid w:val="5AC412D2"/>
    <w:rsid w:val="5AC468CD"/>
    <w:rsid w:val="5ACB2124"/>
    <w:rsid w:val="5AE66844"/>
    <w:rsid w:val="5AE80BC1"/>
    <w:rsid w:val="5AE97978"/>
    <w:rsid w:val="5AEA369E"/>
    <w:rsid w:val="5B044F1C"/>
    <w:rsid w:val="5B046CCA"/>
    <w:rsid w:val="5B0E185F"/>
    <w:rsid w:val="5B0E6A7D"/>
    <w:rsid w:val="5B1038C0"/>
    <w:rsid w:val="5B261EB6"/>
    <w:rsid w:val="5B447F63"/>
    <w:rsid w:val="5B501F0F"/>
    <w:rsid w:val="5B503CBD"/>
    <w:rsid w:val="5B594F9C"/>
    <w:rsid w:val="5B5E63DA"/>
    <w:rsid w:val="5B61236E"/>
    <w:rsid w:val="5B732D77"/>
    <w:rsid w:val="5B77749C"/>
    <w:rsid w:val="5B7C0F56"/>
    <w:rsid w:val="5B7C62A3"/>
    <w:rsid w:val="5B7C71A8"/>
    <w:rsid w:val="5B7E18C0"/>
    <w:rsid w:val="5B814CD4"/>
    <w:rsid w:val="5B8A5421"/>
    <w:rsid w:val="5B8C2E04"/>
    <w:rsid w:val="5B976712"/>
    <w:rsid w:val="5B987BF6"/>
    <w:rsid w:val="5B997489"/>
    <w:rsid w:val="5B9E2C7A"/>
    <w:rsid w:val="5BA04C44"/>
    <w:rsid w:val="5BA069F2"/>
    <w:rsid w:val="5BA1276A"/>
    <w:rsid w:val="5BAD0142"/>
    <w:rsid w:val="5BAF02C9"/>
    <w:rsid w:val="5BB008D5"/>
    <w:rsid w:val="5BB10BFF"/>
    <w:rsid w:val="5BB131E4"/>
    <w:rsid w:val="5BB66216"/>
    <w:rsid w:val="5BB93F58"/>
    <w:rsid w:val="5BC671A5"/>
    <w:rsid w:val="5BCA7F13"/>
    <w:rsid w:val="5BCD17B1"/>
    <w:rsid w:val="5BD14DFE"/>
    <w:rsid w:val="5BD32A03"/>
    <w:rsid w:val="5BD3501A"/>
    <w:rsid w:val="5BD42B40"/>
    <w:rsid w:val="5BE74621"/>
    <w:rsid w:val="5BE7549F"/>
    <w:rsid w:val="5BF154A0"/>
    <w:rsid w:val="5C085656"/>
    <w:rsid w:val="5C1632BC"/>
    <w:rsid w:val="5C2515ED"/>
    <w:rsid w:val="5C2942DD"/>
    <w:rsid w:val="5C2E6971"/>
    <w:rsid w:val="5C2F78F3"/>
    <w:rsid w:val="5C336191"/>
    <w:rsid w:val="5C361105"/>
    <w:rsid w:val="5C4A4BB0"/>
    <w:rsid w:val="5C4A4F8E"/>
    <w:rsid w:val="5C5D4C28"/>
    <w:rsid w:val="5C62639E"/>
    <w:rsid w:val="5C692212"/>
    <w:rsid w:val="5C6F0E37"/>
    <w:rsid w:val="5C722A23"/>
    <w:rsid w:val="5C732359"/>
    <w:rsid w:val="5C78796F"/>
    <w:rsid w:val="5C7B120D"/>
    <w:rsid w:val="5C7B2FBB"/>
    <w:rsid w:val="5C995BF3"/>
    <w:rsid w:val="5C9B540C"/>
    <w:rsid w:val="5C9C18B0"/>
    <w:rsid w:val="5C9E4E7B"/>
    <w:rsid w:val="5CA00D96"/>
    <w:rsid w:val="5CA355E1"/>
    <w:rsid w:val="5CA95D7B"/>
    <w:rsid w:val="5CB4551B"/>
    <w:rsid w:val="5CB62246"/>
    <w:rsid w:val="5CBC6C55"/>
    <w:rsid w:val="5CBD35D4"/>
    <w:rsid w:val="5CBD5382"/>
    <w:rsid w:val="5CDC6150"/>
    <w:rsid w:val="5CDF179C"/>
    <w:rsid w:val="5CDF354A"/>
    <w:rsid w:val="5CE165C2"/>
    <w:rsid w:val="5CE40B61"/>
    <w:rsid w:val="5CEA0576"/>
    <w:rsid w:val="5CED3EB9"/>
    <w:rsid w:val="5CEE378D"/>
    <w:rsid w:val="5CF03C80"/>
    <w:rsid w:val="5CF36FF6"/>
    <w:rsid w:val="5CF8460C"/>
    <w:rsid w:val="5D015478"/>
    <w:rsid w:val="5D072AA1"/>
    <w:rsid w:val="5D0D455B"/>
    <w:rsid w:val="5D0E3E30"/>
    <w:rsid w:val="5D1D701E"/>
    <w:rsid w:val="5D211DB5"/>
    <w:rsid w:val="5D243653"/>
    <w:rsid w:val="5D290357"/>
    <w:rsid w:val="5D2A7E12"/>
    <w:rsid w:val="5D2B1499"/>
    <w:rsid w:val="5D363899"/>
    <w:rsid w:val="5D3730F7"/>
    <w:rsid w:val="5D3970FE"/>
    <w:rsid w:val="5D3D79FA"/>
    <w:rsid w:val="5D3E2967"/>
    <w:rsid w:val="5D3E4715"/>
    <w:rsid w:val="5D417D61"/>
    <w:rsid w:val="5D423AD9"/>
    <w:rsid w:val="5D4E06D0"/>
    <w:rsid w:val="5D4F6922"/>
    <w:rsid w:val="5D526412"/>
    <w:rsid w:val="5D551A5E"/>
    <w:rsid w:val="5D555150"/>
    <w:rsid w:val="5D5B654B"/>
    <w:rsid w:val="5D5E6227"/>
    <w:rsid w:val="5D7D676E"/>
    <w:rsid w:val="5D812854"/>
    <w:rsid w:val="5D8A5BAC"/>
    <w:rsid w:val="5D8C1B29"/>
    <w:rsid w:val="5D911A5E"/>
    <w:rsid w:val="5D9C143B"/>
    <w:rsid w:val="5D9C2761"/>
    <w:rsid w:val="5D9E4B51"/>
    <w:rsid w:val="5DA06A95"/>
    <w:rsid w:val="5DA12EF6"/>
    <w:rsid w:val="5DA43C29"/>
    <w:rsid w:val="5DA86032"/>
    <w:rsid w:val="5DAD3649"/>
    <w:rsid w:val="5DAF116F"/>
    <w:rsid w:val="5DAF73C1"/>
    <w:rsid w:val="5DBA4E8D"/>
    <w:rsid w:val="5DC72287"/>
    <w:rsid w:val="5DC75882"/>
    <w:rsid w:val="5DCA7D57"/>
    <w:rsid w:val="5DD24E5D"/>
    <w:rsid w:val="5DD2630F"/>
    <w:rsid w:val="5DD72473"/>
    <w:rsid w:val="5DE1689A"/>
    <w:rsid w:val="5DEC27FB"/>
    <w:rsid w:val="5DF67822"/>
    <w:rsid w:val="5E023994"/>
    <w:rsid w:val="5E050FA0"/>
    <w:rsid w:val="5E0A45F7"/>
    <w:rsid w:val="5E0C076D"/>
    <w:rsid w:val="5E101D58"/>
    <w:rsid w:val="5E1A56FB"/>
    <w:rsid w:val="5E224037"/>
    <w:rsid w:val="5E2A2EEB"/>
    <w:rsid w:val="5E36363E"/>
    <w:rsid w:val="5E3F66D6"/>
    <w:rsid w:val="5E5D0BCB"/>
    <w:rsid w:val="5E714676"/>
    <w:rsid w:val="5E7919F9"/>
    <w:rsid w:val="5E800D5D"/>
    <w:rsid w:val="5E846160"/>
    <w:rsid w:val="5E8A3B61"/>
    <w:rsid w:val="5E8C2068"/>
    <w:rsid w:val="5E8F3527"/>
    <w:rsid w:val="5E940365"/>
    <w:rsid w:val="5EA70567"/>
    <w:rsid w:val="5EA902B4"/>
    <w:rsid w:val="5EAE36C0"/>
    <w:rsid w:val="5EB173E2"/>
    <w:rsid w:val="5EB34C8F"/>
    <w:rsid w:val="5EB822A5"/>
    <w:rsid w:val="5EB9333F"/>
    <w:rsid w:val="5EBE41E2"/>
    <w:rsid w:val="5EC62C14"/>
    <w:rsid w:val="5ED370DF"/>
    <w:rsid w:val="5ED864A3"/>
    <w:rsid w:val="5EDA29DE"/>
    <w:rsid w:val="5EF808F3"/>
    <w:rsid w:val="5F021772"/>
    <w:rsid w:val="5F042A70"/>
    <w:rsid w:val="5F0E6369"/>
    <w:rsid w:val="5F1D035A"/>
    <w:rsid w:val="5F1E0DC8"/>
    <w:rsid w:val="5F271CAA"/>
    <w:rsid w:val="5F2A772A"/>
    <w:rsid w:val="5F30008D"/>
    <w:rsid w:val="5F322057"/>
    <w:rsid w:val="5F3E7104"/>
    <w:rsid w:val="5F3F6F95"/>
    <w:rsid w:val="5F427DC1"/>
    <w:rsid w:val="5F447FDD"/>
    <w:rsid w:val="5F493179"/>
    <w:rsid w:val="5F50072F"/>
    <w:rsid w:val="5F530220"/>
    <w:rsid w:val="5F531FCE"/>
    <w:rsid w:val="5F54204C"/>
    <w:rsid w:val="5F546472"/>
    <w:rsid w:val="5F5875E4"/>
    <w:rsid w:val="5F5E0614"/>
    <w:rsid w:val="5F623659"/>
    <w:rsid w:val="5F625052"/>
    <w:rsid w:val="5F647ACD"/>
    <w:rsid w:val="5F75467D"/>
    <w:rsid w:val="5F7E0DDA"/>
    <w:rsid w:val="5F7E34EF"/>
    <w:rsid w:val="5F8328B3"/>
    <w:rsid w:val="5F8D1984"/>
    <w:rsid w:val="5F926F9A"/>
    <w:rsid w:val="5F942D12"/>
    <w:rsid w:val="5F994C9B"/>
    <w:rsid w:val="5F9A19AB"/>
    <w:rsid w:val="5F9A612B"/>
    <w:rsid w:val="5FAE5456"/>
    <w:rsid w:val="5FB213EA"/>
    <w:rsid w:val="5FB32A6C"/>
    <w:rsid w:val="5FB605FB"/>
    <w:rsid w:val="5FB95A1D"/>
    <w:rsid w:val="5FBA3DFB"/>
    <w:rsid w:val="5FBF3893"/>
    <w:rsid w:val="5FBF69B6"/>
    <w:rsid w:val="5FC1162D"/>
    <w:rsid w:val="5FC30F01"/>
    <w:rsid w:val="5FC405E5"/>
    <w:rsid w:val="5FC44C79"/>
    <w:rsid w:val="5FCA1656"/>
    <w:rsid w:val="5FCA7262"/>
    <w:rsid w:val="5FD8487C"/>
    <w:rsid w:val="5FDA34D6"/>
    <w:rsid w:val="5FDE21DF"/>
    <w:rsid w:val="5FEE4944"/>
    <w:rsid w:val="5FF0513B"/>
    <w:rsid w:val="5FF47ABE"/>
    <w:rsid w:val="5FFC2665"/>
    <w:rsid w:val="60057BE9"/>
    <w:rsid w:val="60064DB2"/>
    <w:rsid w:val="600B6E14"/>
    <w:rsid w:val="60170588"/>
    <w:rsid w:val="601E05C2"/>
    <w:rsid w:val="60255B64"/>
    <w:rsid w:val="602776E2"/>
    <w:rsid w:val="602D6CC3"/>
    <w:rsid w:val="602F11FC"/>
    <w:rsid w:val="602F2A3B"/>
    <w:rsid w:val="60324B62"/>
    <w:rsid w:val="603A30D7"/>
    <w:rsid w:val="603B5B6A"/>
    <w:rsid w:val="603E1F27"/>
    <w:rsid w:val="6042451C"/>
    <w:rsid w:val="60455DBA"/>
    <w:rsid w:val="60507DED"/>
    <w:rsid w:val="60561D75"/>
    <w:rsid w:val="60567FC7"/>
    <w:rsid w:val="60593614"/>
    <w:rsid w:val="605B4B3D"/>
    <w:rsid w:val="605D0842"/>
    <w:rsid w:val="60636F96"/>
    <w:rsid w:val="60651FB9"/>
    <w:rsid w:val="60664487"/>
    <w:rsid w:val="60736F41"/>
    <w:rsid w:val="6074044E"/>
    <w:rsid w:val="60786190"/>
    <w:rsid w:val="60911000"/>
    <w:rsid w:val="60916976"/>
    <w:rsid w:val="609D1752"/>
    <w:rsid w:val="60A30B76"/>
    <w:rsid w:val="60AD30D3"/>
    <w:rsid w:val="60AE7228"/>
    <w:rsid w:val="60B847DE"/>
    <w:rsid w:val="60B85EAB"/>
    <w:rsid w:val="60BF241E"/>
    <w:rsid w:val="60C05441"/>
    <w:rsid w:val="60C50CA9"/>
    <w:rsid w:val="60C56EFB"/>
    <w:rsid w:val="60CC64DC"/>
    <w:rsid w:val="60CE7B5E"/>
    <w:rsid w:val="60D16016"/>
    <w:rsid w:val="60D40EEC"/>
    <w:rsid w:val="60D84E80"/>
    <w:rsid w:val="60E455D3"/>
    <w:rsid w:val="60F04CC1"/>
    <w:rsid w:val="60F8107F"/>
    <w:rsid w:val="60FC7053"/>
    <w:rsid w:val="60FC7226"/>
    <w:rsid w:val="60FD0443"/>
    <w:rsid w:val="60FF065F"/>
    <w:rsid w:val="611063C8"/>
    <w:rsid w:val="61122587"/>
    <w:rsid w:val="612D51D7"/>
    <w:rsid w:val="61301808"/>
    <w:rsid w:val="613D1036"/>
    <w:rsid w:val="613F3626"/>
    <w:rsid w:val="61563B00"/>
    <w:rsid w:val="615B580D"/>
    <w:rsid w:val="615D0EE2"/>
    <w:rsid w:val="615E34B3"/>
    <w:rsid w:val="615F3A1D"/>
    <w:rsid w:val="61625A1B"/>
    <w:rsid w:val="616420C4"/>
    <w:rsid w:val="61643501"/>
    <w:rsid w:val="61700C15"/>
    <w:rsid w:val="6170637D"/>
    <w:rsid w:val="617115C2"/>
    <w:rsid w:val="617D1584"/>
    <w:rsid w:val="61826B9A"/>
    <w:rsid w:val="61842912"/>
    <w:rsid w:val="618648DC"/>
    <w:rsid w:val="618943CD"/>
    <w:rsid w:val="61907509"/>
    <w:rsid w:val="6197160F"/>
    <w:rsid w:val="619C1A0A"/>
    <w:rsid w:val="619D5492"/>
    <w:rsid w:val="61A94127"/>
    <w:rsid w:val="61AF3E33"/>
    <w:rsid w:val="61B74A96"/>
    <w:rsid w:val="61BB353D"/>
    <w:rsid w:val="61C6117D"/>
    <w:rsid w:val="61CB22EF"/>
    <w:rsid w:val="61CD250B"/>
    <w:rsid w:val="61E15FB7"/>
    <w:rsid w:val="61FE0491"/>
    <w:rsid w:val="620A72BB"/>
    <w:rsid w:val="620F042E"/>
    <w:rsid w:val="6211064A"/>
    <w:rsid w:val="621848EB"/>
    <w:rsid w:val="62190D52"/>
    <w:rsid w:val="621912AD"/>
    <w:rsid w:val="621C5413"/>
    <w:rsid w:val="621E4B15"/>
    <w:rsid w:val="621E68C3"/>
    <w:rsid w:val="62270483"/>
    <w:rsid w:val="62276F93"/>
    <w:rsid w:val="622C3306"/>
    <w:rsid w:val="622E5B2C"/>
    <w:rsid w:val="623065F6"/>
    <w:rsid w:val="624125B1"/>
    <w:rsid w:val="62546789"/>
    <w:rsid w:val="625E13B5"/>
    <w:rsid w:val="6263077A"/>
    <w:rsid w:val="626544F2"/>
    <w:rsid w:val="62662018"/>
    <w:rsid w:val="62663D4C"/>
    <w:rsid w:val="62683FE2"/>
    <w:rsid w:val="626A1B08"/>
    <w:rsid w:val="626A7C54"/>
    <w:rsid w:val="62756925"/>
    <w:rsid w:val="627666FF"/>
    <w:rsid w:val="627D5CDF"/>
    <w:rsid w:val="629628FD"/>
    <w:rsid w:val="629B7F14"/>
    <w:rsid w:val="629C0F95"/>
    <w:rsid w:val="629D3C8C"/>
    <w:rsid w:val="629D7E7C"/>
    <w:rsid w:val="62B74C3D"/>
    <w:rsid w:val="62B80AC5"/>
    <w:rsid w:val="62BB05B6"/>
    <w:rsid w:val="62BD5455"/>
    <w:rsid w:val="62CE02E9"/>
    <w:rsid w:val="62D84CC4"/>
    <w:rsid w:val="62D91574"/>
    <w:rsid w:val="62E01DCA"/>
    <w:rsid w:val="62E775FD"/>
    <w:rsid w:val="62EB733F"/>
    <w:rsid w:val="62EE6F92"/>
    <w:rsid w:val="62F0692E"/>
    <w:rsid w:val="62F13FD7"/>
    <w:rsid w:val="62F25856"/>
    <w:rsid w:val="62F6339C"/>
    <w:rsid w:val="630E4B89"/>
    <w:rsid w:val="630F26B0"/>
    <w:rsid w:val="63163A3E"/>
    <w:rsid w:val="63185A08"/>
    <w:rsid w:val="63221E61"/>
    <w:rsid w:val="632425ED"/>
    <w:rsid w:val="633F4D43"/>
    <w:rsid w:val="63446E74"/>
    <w:rsid w:val="634B43D9"/>
    <w:rsid w:val="634C3FDC"/>
    <w:rsid w:val="63536A40"/>
    <w:rsid w:val="635A7DCF"/>
    <w:rsid w:val="63660680"/>
    <w:rsid w:val="637846F9"/>
    <w:rsid w:val="637A5D7B"/>
    <w:rsid w:val="637C7D45"/>
    <w:rsid w:val="63891267"/>
    <w:rsid w:val="638B442C"/>
    <w:rsid w:val="6393508F"/>
    <w:rsid w:val="639C2195"/>
    <w:rsid w:val="63B27B95"/>
    <w:rsid w:val="63B92A0D"/>
    <w:rsid w:val="63C139AA"/>
    <w:rsid w:val="63C36128"/>
    <w:rsid w:val="63C94F54"/>
    <w:rsid w:val="63D47B81"/>
    <w:rsid w:val="63D538F9"/>
    <w:rsid w:val="63D97B78"/>
    <w:rsid w:val="63DC07E4"/>
    <w:rsid w:val="63DD630A"/>
    <w:rsid w:val="63DE27AE"/>
    <w:rsid w:val="63E81BF6"/>
    <w:rsid w:val="63E85CFD"/>
    <w:rsid w:val="63ED479F"/>
    <w:rsid w:val="63ED641E"/>
    <w:rsid w:val="63F43D7F"/>
    <w:rsid w:val="63F57AF7"/>
    <w:rsid w:val="6401649C"/>
    <w:rsid w:val="6411656A"/>
    <w:rsid w:val="641461CF"/>
    <w:rsid w:val="641D4A32"/>
    <w:rsid w:val="643049D3"/>
    <w:rsid w:val="64325FEC"/>
    <w:rsid w:val="64373C6C"/>
    <w:rsid w:val="643C1282"/>
    <w:rsid w:val="643F0D73"/>
    <w:rsid w:val="64410F8F"/>
    <w:rsid w:val="64416899"/>
    <w:rsid w:val="64446389"/>
    <w:rsid w:val="644C4C72"/>
    <w:rsid w:val="64577701"/>
    <w:rsid w:val="645B3DFE"/>
    <w:rsid w:val="64607667"/>
    <w:rsid w:val="64664551"/>
    <w:rsid w:val="646709F5"/>
    <w:rsid w:val="646A5DEF"/>
    <w:rsid w:val="64744EC0"/>
    <w:rsid w:val="647B7FFD"/>
    <w:rsid w:val="64837769"/>
    <w:rsid w:val="648431C4"/>
    <w:rsid w:val="64864E63"/>
    <w:rsid w:val="648669A1"/>
    <w:rsid w:val="648C2E47"/>
    <w:rsid w:val="64931A2D"/>
    <w:rsid w:val="6494488F"/>
    <w:rsid w:val="6497295D"/>
    <w:rsid w:val="64A21A2D"/>
    <w:rsid w:val="64A570B7"/>
    <w:rsid w:val="64A77737"/>
    <w:rsid w:val="64AB32D4"/>
    <w:rsid w:val="64B058C7"/>
    <w:rsid w:val="64B2784F"/>
    <w:rsid w:val="64B713E7"/>
    <w:rsid w:val="64C01EB3"/>
    <w:rsid w:val="64D70FAB"/>
    <w:rsid w:val="64D8544F"/>
    <w:rsid w:val="64DA6466"/>
    <w:rsid w:val="64DB4F3F"/>
    <w:rsid w:val="64E214BB"/>
    <w:rsid w:val="64E33DF4"/>
    <w:rsid w:val="64EF2799"/>
    <w:rsid w:val="64F048D5"/>
    <w:rsid w:val="64F21396"/>
    <w:rsid w:val="64F92757"/>
    <w:rsid w:val="65053BB2"/>
    <w:rsid w:val="651641C9"/>
    <w:rsid w:val="651708F3"/>
    <w:rsid w:val="65240694"/>
    <w:rsid w:val="6526277C"/>
    <w:rsid w:val="65270184"/>
    <w:rsid w:val="65291BBE"/>
    <w:rsid w:val="65380BED"/>
    <w:rsid w:val="65402FF4"/>
    <w:rsid w:val="654C7BEB"/>
    <w:rsid w:val="655269CD"/>
    <w:rsid w:val="65586590"/>
    <w:rsid w:val="655E6CA5"/>
    <w:rsid w:val="6565189F"/>
    <w:rsid w:val="65660CAD"/>
    <w:rsid w:val="656B62C3"/>
    <w:rsid w:val="657236F6"/>
    <w:rsid w:val="65757142"/>
    <w:rsid w:val="65796CD3"/>
    <w:rsid w:val="657A300E"/>
    <w:rsid w:val="657B5DDA"/>
    <w:rsid w:val="6582747F"/>
    <w:rsid w:val="658878CB"/>
    <w:rsid w:val="65905D2A"/>
    <w:rsid w:val="65931376"/>
    <w:rsid w:val="65952D37"/>
    <w:rsid w:val="65960E66"/>
    <w:rsid w:val="65A13A93"/>
    <w:rsid w:val="65B17A4E"/>
    <w:rsid w:val="65B337C6"/>
    <w:rsid w:val="65B8702E"/>
    <w:rsid w:val="65BF0F12"/>
    <w:rsid w:val="65C9123C"/>
    <w:rsid w:val="65C96571"/>
    <w:rsid w:val="65D07D68"/>
    <w:rsid w:val="65D96798"/>
    <w:rsid w:val="65DD14E3"/>
    <w:rsid w:val="65E63B9C"/>
    <w:rsid w:val="65E676F8"/>
    <w:rsid w:val="65E73D86"/>
    <w:rsid w:val="65FC33BF"/>
    <w:rsid w:val="66014531"/>
    <w:rsid w:val="66061B48"/>
    <w:rsid w:val="66090F55"/>
    <w:rsid w:val="660D737A"/>
    <w:rsid w:val="660E4EA0"/>
    <w:rsid w:val="660E6C4E"/>
    <w:rsid w:val="66163AFF"/>
    <w:rsid w:val="66174CEF"/>
    <w:rsid w:val="66180C71"/>
    <w:rsid w:val="661E50E3"/>
    <w:rsid w:val="66240220"/>
    <w:rsid w:val="662E109F"/>
    <w:rsid w:val="663012BB"/>
    <w:rsid w:val="663366B5"/>
    <w:rsid w:val="66384971"/>
    <w:rsid w:val="663A307A"/>
    <w:rsid w:val="663B3EED"/>
    <w:rsid w:val="66507267"/>
    <w:rsid w:val="665E2D0D"/>
    <w:rsid w:val="66652D12"/>
    <w:rsid w:val="66680A54"/>
    <w:rsid w:val="666F593F"/>
    <w:rsid w:val="667B0338"/>
    <w:rsid w:val="667F6F93"/>
    <w:rsid w:val="66832AF6"/>
    <w:rsid w:val="6685172D"/>
    <w:rsid w:val="66884C53"/>
    <w:rsid w:val="668B64F1"/>
    <w:rsid w:val="668E0B58"/>
    <w:rsid w:val="669058B5"/>
    <w:rsid w:val="669562C3"/>
    <w:rsid w:val="669B4986"/>
    <w:rsid w:val="669D2328"/>
    <w:rsid w:val="66AA03D9"/>
    <w:rsid w:val="66AA3B56"/>
    <w:rsid w:val="66AA6977"/>
    <w:rsid w:val="66AD1DEF"/>
    <w:rsid w:val="66B15F58"/>
    <w:rsid w:val="66B165E0"/>
    <w:rsid w:val="66B24A21"/>
    <w:rsid w:val="66BB5028"/>
    <w:rsid w:val="66BC0678"/>
    <w:rsid w:val="66C20165"/>
    <w:rsid w:val="66C537B1"/>
    <w:rsid w:val="66C739CD"/>
    <w:rsid w:val="66CD2666"/>
    <w:rsid w:val="66D24120"/>
    <w:rsid w:val="66DB4D83"/>
    <w:rsid w:val="66E16111"/>
    <w:rsid w:val="66E83943"/>
    <w:rsid w:val="66EF2B81"/>
    <w:rsid w:val="66F127F8"/>
    <w:rsid w:val="66F44FD1"/>
    <w:rsid w:val="66F7007F"/>
    <w:rsid w:val="670D2ED3"/>
    <w:rsid w:val="670D33ED"/>
    <w:rsid w:val="670E33AA"/>
    <w:rsid w:val="670F3AA3"/>
    <w:rsid w:val="67102BA7"/>
    <w:rsid w:val="67135CAA"/>
    <w:rsid w:val="671923A3"/>
    <w:rsid w:val="67226E55"/>
    <w:rsid w:val="67273D80"/>
    <w:rsid w:val="672C55DE"/>
    <w:rsid w:val="672F1572"/>
    <w:rsid w:val="673404ED"/>
    <w:rsid w:val="673B7F17"/>
    <w:rsid w:val="673E1485"/>
    <w:rsid w:val="673E5311"/>
    <w:rsid w:val="67513297"/>
    <w:rsid w:val="67584812"/>
    <w:rsid w:val="675863D3"/>
    <w:rsid w:val="67646976"/>
    <w:rsid w:val="67654F94"/>
    <w:rsid w:val="67656D42"/>
    <w:rsid w:val="6765721F"/>
    <w:rsid w:val="676C1643"/>
    <w:rsid w:val="676F7BC1"/>
    <w:rsid w:val="67786A75"/>
    <w:rsid w:val="678371C8"/>
    <w:rsid w:val="67902011"/>
    <w:rsid w:val="67980EC5"/>
    <w:rsid w:val="67982C74"/>
    <w:rsid w:val="679D472E"/>
    <w:rsid w:val="67A1616C"/>
    <w:rsid w:val="67A94E81"/>
    <w:rsid w:val="67B928B6"/>
    <w:rsid w:val="67BA708E"/>
    <w:rsid w:val="67BC1058"/>
    <w:rsid w:val="67BD1EEB"/>
    <w:rsid w:val="67C24194"/>
    <w:rsid w:val="67C27CF0"/>
    <w:rsid w:val="67D619EE"/>
    <w:rsid w:val="67DA3A72"/>
    <w:rsid w:val="67DA7730"/>
    <w:rsid w:val="67E94DF6"/>
    <w:rsid w:val="67EB5499"/>
    <w:rsid w:val="67EE6F14"/>
    <w:rsid w:val="67F17CBC"/>
    <w:rsid w:val="68082C78"/>
    <w:rsid w:val="68091DC3"/>
    <w:rsid w:val="680B5B3B"/>
    <w:rsid w:val="6817003C"/>
    <w:rsid w:val="68297D70"/>
    <w:rsid w:val="682B3AE8"/>
    <w:rsid w:val="683055A2"/>
    <w:rsid w:val="6832131A"/>
    <w:rsid w:val="683668F3"/>
    <w:rsid w:val="683A1F7D"/>
    <w:rsid w:val="683A3D2B"/>
    <w:rsid w:val="683D596D"/>
    <w:rsid w:val="683E1A6D"/>
    <w:rsid w:val="684706CF"/>
    <w:rsid w:val="684828EC"/>
    <w:rsid w:val="6848469A"/>
    <w:rsid w:val="685A261F"/>
    <w:rsid w:val="6861498F"/>
    <w:rsid w:val="686B65DA"/>
    <w:rsid w:val="686C02FC"/>
    <w:rsid w:val="686D2352"/>
    <w:rsid w:val="686E2017"/>
    <w:rsid w:val="68790CF7"/>
    <w:rsid w:val="68815DFE"/>
    <w:rsid w:val="68853871"/>
    <w:rsid w:val="688B7738"/>
    <w:rsid w:val="688E6F8F"/>
    <w:rsid w:val="68914293"/>
    <w:rsid w:val="68975621"/>
    <w:rsid w:val="689E075E"/>
    <w:rsid w:val="689E250C"/>
    <w:rsid w:val="68A11659"/>
    <w:rsid w:val="68AA7102"/>
    <w:rsid w:val="68AD274F"/>
    <w:rsid w:val="68AD6BF3"/>
    <w:rsid w:val="68AF4719"/>
    <w:rsid w:val="68B03FED"/>
    <w:rsid w:val="68C301C4"/>
    <w:rsid w:val="68D66149"/>
    <w:rsid w:val="68DE52BA"/>
    <w:rsid w:val="68E07313"/>
    <w:rsid w:val="68E1689C"/>
    <w:rsid w:val="68FC1FD8"/>
    <w:rsid w:val="68FF25A6"/>
    <w:rsid w:val="69012A9A"/>
    <w:rsid w:val="69020CEC"/>
    <w:rsid w:val="69117181"/>
    <w:rsid w:val="691813E2"/>
    <w:rsid w:val="691B0000"/>
    <w:rsid w:val="691B1DAE"/>
    <w:rsid w:val="691E53FA"/>
    <w:rsid w:val="691F7A81"/>
    <w:rsid w:val="692947B3"/>
    <w:rsid w:val="69362744"/>
    <w:rsid w:val="693C108F"/>
    <w:rsid w:val="69407FBB"/>
    <w:rsid w:val="69431ADF"/>
    <w:rsid w:val="694B0883"/>
    <w:rsid w:val="694F3806"/>
    <w:rsid w:val="695452C0"/>
    <w:rsid w:val="695E7EED"/>
    <w:rsid w:val="696077C1"/>
    <w:rsid w:val="69656813"/>
    <w:rsid w:val="69683612"/>
    <w:rsid w:val="696D1EDE"/>
    <w:rsid w:val="697706BC"/>
    <w:rsid w:val="697830A5"/>
    <w:rsid w:val="69790883"/>
    <w:rsid w:val="69810145"/>
    <w:rsid w:val="698A368F"/>
    <w:rsid w:val="69977A05"/>
    <w:rsid w:val="69AD5FC9"/>
    <w:rsid w:val="69AE677E"/>
    <w:rsid w:val="69B45434"/>
    <w:rsid w:val="69B8584F"/>
    <w:rsid w:val="69D461E5"/>
    <w:rsid w:val="69D72179"/>
    <w:rsid w:val="69DA57C5"/>
    <w:rsid w:val="69DC1BD1"/>
    <w:rsid w:val="69DF102E"/>
    <w:rsid w:val="69E25D12"/>
    <w:rsid w:val="69E421A0"/>
    <w:rsid w:val="69EE1271"/>
    <w:rsid w:val="69F167C6"/>
    <w:rsid w:val="69F74B14"/>
    <w:rsid w:val="69FA6693"/>
    <w:rsid w:val="6A06712D"/>
    <w:rsid w:val="6A0D5B9B"/>
    <w:rsid w:val="6A162557"/>
    <w:rsid w:val="6A1C4030"/>
    <w:rsid w:val="6A1F58CE"/>
    <w:rsid w:val="6A2133F4"/>
    <w:rsid w:val="6A2353BE"/>
    <w:rsid w:val="6A366774"/>
    <w:rsid w:val="6A3E5C89"/>
    <w:rsid w:val="6A425119"/>
    <w:rsid w:val="6A446B8F"/>
    <w:rsid w:val="6A4B66C3"/>
    <w:rsid w:val="6A524197"/>
    <w:rsid w:val="6A5437CA"/>
    <w:rsid w:val="6A613AE7"/>
    <w:rsid w:val="6A645683"/>
    <w:rsid w:val="6A667059"/>
    <w:rsid w:val="6A674B7F"/>
    <w:rsid w:val="6A6903B1"/>
    <w:rsid w:val="6A723C50"/>
    <w:rsid w:val="6A7348D1"/>
    <w:rsid w:val="6A751B1E"/>
    <w:rsid w:val="6A77474D"/>
    <w:rsid w:val="6A786D8C"/>
    <w:rsid w:val="6A7C062B"/>
    <w:rsid w:val="6A7E1EF5"/>
    <w:rsid w:val="6A865B0B"/>
    <w:rsid w:val="6A8E65B0"/>
    <w:rsid w:val="6A9516EC"/>
    <w:rsid w:val="6A95793E"/>
    <w:rsid w:val="6AA47B81"/>
    <w:rsid w:val="6AA54025"/>
    <w:rsid w:val="6AB32D2E"/>
    <w:rsid w:val="6AC662DB"/>
    <w:rsid w:val="6AC90CED"/>
    <w:rsid w:val="6AD06BC8"/>
    <w:rsid w:val="6AD51206"/>
    <w:rsid w:val="6AD761A9"/>
    <w:rsid w:val="6AD93563"/>
    <w:rsid w:val="6ADE7537"/>
    <w:rsid w:val="6AF20CAB"/>
    <w:rsid w:val="6AF723A7"/>
    <w:rsid w:val="6B054AC4"/>
    <w:rsid w:val="6B0A3AD2"/>
    <w:rsid w:val="6B0C4849"/>
    <w:rsid w:val="6B1122D2"/>
    <w:rsid w:val="6B113469"/>
    <w:rsid w:val="6B19085E"/>
    <w:rsid w:val="6B1E5B86"/>
    <w:rsid w:val="6B217407"/>
    <w:rsid w:val="6B237AD2"/>
    <w:rsid w:val="6B252A70"/>
    <w:rsid w:val="6B2E2D66"/>
    <w:rsid w:val="6B4C26F3"/>
    <w:rsid w:val="6B607F4C"/>
    <w:rsid w:val="6B621F16"/>
    <w:rsid w:val="6B673089"/>
    <w:rsid w:val="6B6B319C"/>
    <w:rsid w:val="6B6D4417"/>
    <w:rsid w:val="6B7457A6"/>
    <w:rsid w:val="6B773FC3"/>
    <w:rsid w:val="6B785296"/>
    <w:rsid w:val="6B7D0AFE"/>
    <w:rsid w:val="6B7F372B"/>
    <w:rsid w:val="6B80414A"/>
    <w:rsid w:val="6B8257FD"/>
    <w:rsid w:val="6B882FFF"/>
    <w:rsid w:val="6B8C54B7"/>
    <w:rsid w:val="6B95409A"/>
    <w:rsid w:val="6B985FA7"/>
    <w:rsid w:val="6B9D6AAA"/>
    <w:rsid w:val="6B9F1C1C"/>
    <w:rsid w:val="6BAC3191"/>
    <w:rsid w:val="6BAF4A30"/>
    <w:rsid w:val="6BB42046"/>
    <w:rsid w:val="6BB838E4"/>
    <w:rsid w:val="6BBF1117"/>
    <w:rsid w:val="6BC32289"/>
    <w:rsid w:val="6BCB3317"/>
    <w:rsid w:val="6BCE09A9"/>
    <w:rsid w:val="6BCF626D"/>
    <w:rsid w:val="6BD10E4A"/>
    <w:rsid w:val="6BDF70C3"/>
    <w:rsid w:val="6BE75F78"/>
    <w:rsid w:val="6BEC17E0"/>
    <w:rsid w:val="6BEC5662"/>
    <w:rsid w:val="6BF15048"/>
    <w:rsid w:val="6C0E5F5E"/>
    <w:rsid w:val="6C117498"/>
    <w:rsid w:val="6C1239B5"/>
    <w:rsid w:val="6C152AE5"/>
    <w:rsid w:val="6C172D01"/>
    <w:rsid w:val="6C2076DB"/>
    <w:rsid w:val="6C24541E"/>
    <w:rsid w:val="6C264F89"/>
    <w:rsid w:val="6C281F35"/>
    <w:rsid w:val="6C322AC5"/>
    <w:rsid w:val="6C375A54"/>
    <w:rsid w:val="6C417916"/>
    <w:rsid w:val="6C474C68"/>
    <w:rsid w:val="6C5A5CA5"/>
    <w:rsid w:val="6C5C4BB7"/>
    <w:rsid w:val="6C6367AC"/>
    <w:rsid w:val="6C6374AA"/>
    <w:rsid w:val="6C6513C3"/>
    <w:rsid w:val="6C6B6BA9"/>
    <w:rsid w:val="6C71471E"/>
    <w:rsid w:val="6C786DA3"/>
    <w:rsid w:val="6C7926A6"/>
    <w:rsid w:val="6C7A3290"/>
    <w:rsid w:val="6C81461E"/>
    <w:rsid w:val="6C8639E2"/>
    <w:rsid w:val="6C891725"/>
    <w:rsid w:val="6C8D2500"/>
    <w:rsid w:val="6C926A0A"/>
    <w:rsid w:val="6C944351"/>
    <w:rsid w:val="6C956151"/>
    <w:rsid w:val="6C961BE6"/>
    <w:rsid w:val="6C975BF0"/>
    <w:rsid w:val="6C9E4A86"/>
    <w:rsid w:val="6C9F6852"/>
    <w:rsid w:val="6CA9147F"/>
    <w:rsid w:val="6CA95923"/>
    <w:rsid w:val="6CB06CB1"/>
    <w:rsid w:val="6CB56076"/>
    <w:rsid w:val="6CB76A9E"/>
    <w:rsid w:val="6CB87914"/>
    <w:rsid w:val="6CB95A5F"/>
    <w:rsid w:val="6CBC11B2"/>
    <w:rsid w:val="6CBD018F"/>
    <w:rsid w:val="6CBF0CA2"/>
    <w:rsid w:val="6CC10EBE"/>
    <w:rsid w:val="6CC22541"/>
    <w:rsid w:val="6CC369E5"/>
    <w:rsid w:val="6CC775D5"/>
    <w:rsid w:val="6CD603D3"/>
    <w:rsid w:val="6CDA788A"/>
    <w:rsid w:val="6CE60925"/>
    <w:rsid w:val="6CE75298"/>
    <w:rsid w:val="6CEE3336"/>
    <w:rsid w:val="6D0946A7"/>
    <w:rsid w:val="6D0D2F74"/>
    <w:rsid w:val="6D1014FE"/>
    <w:rsid w:val="6D156B14"/>
    <w:rsid w:val="6D1E1E6D"/>
    <w:rsid w:val="6D29033A"/>
    <w:rsid w:val="6D3164DB"/>
    <w:rsid w:val="6D360F25"/>
    <w:rsid w:val="6D392803"/>
    <w:rsid w:val="6D3C0545"/>
    <w:rsid w:val="6D3E606B"/>
    <w:rsid w:val="6D40026E"/>
    <w:rsid w:val="6D45564C"/>
    <w:rsid w:val="6D460A1A"/>
    <w:rsid w:val="6D572567"/>
    <w:rsid w:val="6D610C89"/>
    <w:rsid w:val="6D684AC0"/>
    <w:rsid w:val="6D741A8D"/>
    <w:rsid w:val="6D761CA9"/>
    <w:rsid w:val="6D77157D"/>
    <w:rsid w:val="6D7D4DE5"/>
    <w:rsid w:val="6D7E290C"/>
    <w:rsid w:val="6D8223FC"/>
    <w:rsid w:val="6D8603D9"/>
    <w:rsid w:val="6D8B6DD7"/>
    <w:rsid w:val="6D8C36B9"/>
    <w:rsid w:val="6D9860CB"/>
    <w:rsid w:val="6D9A141B"/>
    <w:rsid w:val="6DAF0D17"/>
    <w:rsid w:val="6DB1683D"/>
    <w:rsid w:val="6DB46483"/>
    <w:rsid w:val="6DB6575A"/>
    <w:rsid w:val="6DB77962"/>
    <w:rsid w:val="6DB77BCC"/>
    <w:rsid w:val="6DBE0F5A"/>
    <w:rsid w:val="6DC26C9C"/>
    <w:rsid w:val="6DC522E8"/>
    <w:rsid w:val="6DC81DD9"/>
    <w:rsid w:val="6DCE3893"/>
    <w:rsid w:val="6DD9606B"/>
    <w:rsid w:val="6DDE33AA"/>
    <w:rsid w:val="6DE53DB7"/>
    <w:rsid w:val="6DE83B08"/>
    <w:rsid w:val="6DE9247B"/>
    <w:rsid w:val="6DEC7363"/>
    <w:rsid w:val="6DEF1AC3"/>
    <w:rsid w:val="6DF606F4"/>
    <w:rsid w:val="6DFD1A82"/>
    <w:rsid w:val="6E005A16"/>
    <w:rsid w:val="6E02184D"/>
    <w:rsid w:val="6E0611A8"/>
    <w:rsid w:val="6E1868BC"/>
    <w:rsid w:val="6E1D2124"/>
    <w:rsid w:val="6E2E4332"/>
    <w:rsid w:val="6E3000AA"/>
    <w:rsid w:val="6E366B27"/>
    <w:rsid w:val="6E3D141E"/>
    <w:rsid w:val="6E3D6323"/>
    <w:rsid w:val="6E4271BE"/>
    <w:rsid w:val="6E457FF0"/>
    <w:rsid w:val="6E470F4F"/>
    <w:rsid w:val="6E51111C"/>
    <w:rsid w:val="6E533D98"/>
    <w:rsid w:val="6E597143"/>
    <w:rsid w:val="6E5F098F"/>
    <w:rsid w:val="6E6D106F"/>
    <w:rsid w:val="6E70494A"/>
    <w:rsid w:val="6E731D44"/>
    <w:rsid w:val="6E7B230D"/>
    <w:rsid w:val="6E7D0590"/>
    <w:rsid w:val="6E7E5384"/>
    <w:rsid w:val="6E810A2D"/>
    <w:rsid w:val="6E82467D"/>
    <w:rsid w:val="6E8B3532"/>
    <w:rsid w:val="6E9C573F"/>
    <w:rsid w:val="6EA43372"/>
    <w:rsid w:val="6EA445F4"/>
    <w:rsid w:val="6EAB3BD4"/>
    <w:rsid w:val="6EAF6C69"/>
    <w:rsid w:val="6EB56801"/>
    <w:rsid w:val="6EC46A44"/>
    <w:rsid w:val="6EC86534"/>
    <w:rsid w:val="6EC96FBA"/>
    <w:rsid w:val="6ECF78C3"/>
    <w:rsid w:val="6ED053E9"/>
    <w:rsid w:val="6EDD0BE1"/>
    <w:rsid w:val="6EEF035A"/>
    <w:rsid w:val="6EF773B9"/>
    <w:rsid w:val="6EFD5AB2"/>
    <w:rsid w:val="6F03206A"/>
    <w:rsid w:val="6F062BB9"/>
    <w:rsid w:val="6F0D2199"/>
    <w:rsid w:val="6F100936"/>
    <w:rsid w:val="6F194A81"/>
    <w:rsid w:val="6F1C418A"/>
    <w:rsid w:val="6F3332FA"/>
    <w:rsid w:val="6F3E05A4"/>
    <w:rsid w:val="6F443CC4"/>
    <w:rsid w:val="6F4D07E7"/>
    <w:rsid w:val="6F5222A2"/>
    <w:rsid w:val="6F5427C9"/>
    <w:rsid w:val="6F547DC8"/>
    <w:rsid w:val="6F59396C"/>
    <w:rsid w:val="6F60676D"/>
    <w:rsid w:val="6F6D0B89"/>
    <w:rsid w:val="6F6D70DC"/>
    <w:rsid w:val="6F6E5B5A"/>
    <w:rsid w:val="6F6F075E"/>
    <w:rsid w:val="6F6F4C02"/>
    <w:rsid w:val="6F712728"/>
    <w:rsid w:val="6F871F4B"/>
    <w:rsid w:val="6F946D87"/>
    <w:rsid w:val="6F994462"/>
    <w:rsid w:val="6F9E7295"/>
    <w:rsid w:val="6FA06B69"/>
    <w:rsid w:val="6FA16C86"/>
    <w:rsid w:val="6FAA5C3A"/>
    <w:rsid w:val="6FB62831"/>
    <w:rsid w:val="6FC27FF5"/>
    <w:rsid w:val="6FCA008A"/>
    <w:rsid w:val="6FCC795E"/>
    <w:rsid w:val="6FCD36D6"/>
    <w:rsid w:val="6FCF56A0"/>
    <w:rsid w:val="6FD903B1"/>
    <w:rsid w:val="6FDB4045"/>
    <w:rsid w:val="6FE50A20"/>
    <w:rsid w:val="6FE729EA"/>
    <w:rsid w:val="6FED4AB9"/>
    <w:rsid w:val="6FF70753"/>
    <w:rsid w:val="70027824"/>
    <w:rsid w:val="700C41FF"/>
    <w:rsid w:val="700F0193"/>
    <w:rsid w:val="70111815"/>
    <w:rsid w:val="70131A31"/>
    <w:rsid w:val="70151FFB"/>
    <w:rsid w:val="7027194F"/>
    <w:rsid w:val="702E23C7"/>
    <w:rsid w:val="703419A7"/>
    <w:rsid w:val="70343755"/>
    <w:rsid w:val="703A6FBE"/>
    <w:rsid w:val="70400FD0"/>
    <w:rsid w:val="7040659E"/>
    <w:rsid w:val="70457711"/>
    <w:rsid w:val="70473489"/>
    <w:rsid w:val="704A4AC6"/>
    <w:rsid w:val="704F233D"/>
    <w:rsid w:val="705032AB"/>
    <w:rsid w:val="70512559"/>
    <w:rsid w:val="70545BA6"/>
    <w:rsid w:val="7057316A"/>
    <w:rsid w:val="705A140E"/>
    <w:rsid w:val="70633BD6"/>
    <w:rsid w:val="706604ED"/>
    <w:rsid w:val="706F0D05"/>
    <w:rsid w:val="70701351"/>
    <w:rsid w:val="70714182"/>
    <w:rsid w:val="70756248"/>
    <w:rsid w:val="70806F47"/>
    <w:rsid w:val="70814BED"/>
    <w:rsid w:val="708244C1"/>
    <w:rsid w:val="70853FB1"/>
    <w:rsid w:val="70872B51"/>
    <w:rsid w:val="70877D29"/>
    <w:rsid w:val="708F6BDE"/>
    <w:rsid w:val="70932B72"/>
    <w:rsid w:val="709B2E7C"/>
    <w:rsid w:val="70A72179"/>
    <w:rsid w:val="70AE3508"/>
    <w:rsid w:val="70B36D70"/>
    <w:rsid w:val="70B75F07"/>
    <w:rsid w:val="70B93050"/>
    <w:rsid w:val="70BA00FF"/>
    <w:rsid w:val="70BC5C25"/>
    <w:rsid w:val="70C26FB3"/>
    <w:rsid w:val="70C96594"/>
    <w:rsid w:val="70D72A5F"/>
    <w:rsid w:val="70D80585"/>
    <w:rsid w:val="70E707C8"/>
    <w:rsid w:val="70E83001"/>
    <w:rsid w:val="70EB650A"/>
    <w:rsid w:val="70EF10D2"/>
    <w:rsid w:val="70F04569"/>
    <w:rsid w:val="70F21646"/>
    <w:rsid w:val="70F80C27"/>
    <w:rsid w:val="710A3D17"/>
    <w:rsid w:val="710B4A0C"/>
    <w:rsid w:val="710B6BAC"/>
    <w:rsid w:val="71125845"/>
    <w:rsid w:val="71126C31"/>
    <w:rsid w:val="71153587"/>
    <w:rsid w:val="711C0454"/>
    <w:rsid w:val="71265794"/>
    <w:rsid w:val="712872E9"/>
    <w:rsid w:val="712B2DAA"/>
    <w:rsid w:val="712D08D1"/>
    <w:rsid w:val="71302AFD"/>
    <w:rsid w:val="71357785"/>
    <w:rsid w:val="71367D8C"/>
    <w:rsid w:val="713954C7"/>
    <w:rsid w:val="713D43AF"/>
    <w:rsid w:val="71494FDF"/>
    <w:rsid w:val="714A065C"/>
    <w:rsid w:val="71593474"/>
    <w:rsid w:val="71597917"/>
    <w:rsid w:val="71663DE2"/>
    <w:rsid w:val="71681909"/>
    <w:rsid w:val="716F713B"/>
    <w:rsid w:val="71724535"/>
    <w:rsid w:val="717C1858"/>
    <w:rsid w:val="718A5D23"/>
    <w:rsid w:val="71A2688A"/>
    <w:rsid w:val="71A62431"/>
    <w:rsid w:val="71A76679"/>
    <w:rsid w:val="71AD7C63"/>
    <w:rsid w:val="71B608C6"/>
    <w:rsid w:val="71B903B6"/>
    <w:rsid w:val="71BB2380"/>
    <w:rsid w:val="71C251BA"/>
    <w:rsid w:val="71C34D91"/>
    <w:rsid w:val="71C4646A"/>
    <w:rsid w:val="71CA25C3"/>
    <w:rsid w:val="71CD79BE"/>
    <w:rsid w:val="71D13952"/>
    <w:rsid w:val="71DE7634"/>
    <w:rsid w:val="71E66E9C"/>
    <w:rsid w:val="71F27DA7"/>
    <w:rsid w:val="71F65166"/>
    <w:rsid w:val="71FB4A71"/>
    <w:rsid w:val="71FD4ED9"/>
    <w:rsid w:val="72005754"/>
    <w:rsid w:val="720D24B0"/>
    <w:rsid w:val="72105FEB"/>
    <w:rsid w:val="72135D18"/>
    <w:rsid w:val="72141469"/>
    <w:rsid w:val="722652F5"/>
    <w:rsid w:val="7246449D"/>
    <w:rsid w:val="7251239D"/>
    <w:rsid w:val="725974A3"/>
    <w:rsid w:val="7270316B"/>
    <w:rsid w:val="727B38BE"/>
    <w:rsid w:val="727E26C2"/>
    <w:rsid w:val="728454C9"/>
    <w:rsid w:val="72877E27"/>
    <w:rsid w:val="72A050D2"/>
    <w:rsid w:val="72A21BEB"/>
    <w:rsid w:val="72AB4D3A"/>
    <w:rsid w:val="72AC7F1B"/>
    <w:rsid w:val="72B03567"/>
    <w:rsid w:val="72B1467C"/>
    <w:rsid w:val="72B512D0"/>
    <w:rsid w:val="72B8066E"/>
    <w:rsid w:val="72B965FB"/>
    <w:rsid w:val="72BE6D3E"/>
    <w:rsid w:val="72D134DE"/>
    <w:rsid w:val="72D354A8"/>
    <w:rsid w:val="72D52FCE"/>
    <w:rsid w:val="72F53670"/>
    <w:rsid w:val="72F571CC"/>
    <w:rsid w:val="72F65C10"/>
    <w:rsid w:val="72F773E8"/>
    <w:rsid w:val="72FC67AC"/>
    <w:rsid w:val="73027B3B"/>
    <w:rsid w:val="731909EC"/>
    <w:rsid w:val="73216213"/>
    <w:rsid w:val="73267CCD"/>
    <w:rsid w:val="732B0777"/>
    <w:rsid w:val="733A72D5"/>
    <w:rsid w:val="734204B9"/>
    <w:rsid w:val="73476BBD"/>
    <w:rsid w:val="73486B51"/>
    <w:rsid w:val="735F4F8D"/>
    <w:rsid w:val="73612AB3"/>
    <w:rsid w:val="736F36F0"/>
    <w:rsid w:val="7370719A"/>
    <w:rsid w:val="73722F12"/>
    <w:rsid w:val="737C169B"/>
    <w:rsid w:val="737F118B"/>
    <w:rsid w:val="738467A2"/>
    <w:rsid w:val="739F538A"/>
    <w:rsid w:val="73A26D85"/>
    <w:rsid w:val="73A66718"/>
    <w:rsid w:val="73AD3F4B"/>
    <w:rsid w:val="73B01345"/>
    <w:rsid w:val="73B20096"/>
    <w:rsid w:val="73C31078"/>
    <w:rsid w:val="73C51294"/>
    <w:rsid w:val="73CC7170"/>
    <w:rsid w:val="73D239B1"/>
    <w:rsid w:val="73D56FFD"/>
    <w:rsid w:val="73DB4E33"/>
    <w:rsid w:val="73DE4104"/>
    <w:rsid w:val="73E23E72"/>
    <w:rsid w:val="73E831D5"/>
    <w:rsid w:val="73F44E1D"/>
    <w:rsid w:val="74065409"/>
    <w:rsid w:val="74084D40"/>
    <w:rsid w:val="740D12B5"/>
    <w:rsid w:val="74161AF0"/>
    <w:rsid w:val="741B7106"/>
    <w:rsid w:val="741C69DA"/>
    <w:rsid w:val="74207DD6"/>
    <w:rsid w:val="7421159C"/>
    <w:rsid w:val="74220495"/>
    <w:rsid w:val="74266AD1"/>
    <w:rsid w:val="742A379C"/>
    <w:rsid w:val="743957DE"/>
    <w:rsid w:val="743D707D"/>
    <w:rsid w:val="743D708E"/>
    <w:rsid w:val="7443665D"/>
    <w:rsid w:val="74534AF2"/>
    <w:rsid w:val="74597C2E"/>
    <w:rsid w:val="745A5E80"/>
    <w:rsid w:val="745E36A1"/>
    <w:rsid w:val="745E5245"/>
    <w:rsid w:val="74620891"/>
    <w:rsid w:val="746278CC"/>
    <w:rsid w:val="746709B6"/>
    <w:rsid w:val="746A3BEA"/>
    <w:rsid w:val="746F7452"/>
    <w:rsid w:val="74784559"/>
    <w:rsid w:val="747C4659"/>
    <w:rsid w:val="747F58E7"/>
    <w:rsid w:val="74862195"/>
    <w:rsid w:val="74881CC6"/>
    <w:rsid w:val="74982505"/>
    <w:rsid w:val="74A06E99"/>
    <w:rsid w:val="74A621C9"/>
    <w:rsid w:val="74AF784E"/>
    <w:rsid w:val="74B12782"/>
    <w:rsid w:val="74B135C7"/>
    <w:rsid w:val="74B82BA7"/>
    <w:rsid w:val="74BA06CD"/>
    <w:rsid w:val="74C257D4"/>
    <w:rsid w:val="74C4654A"/>
    <w:rsid w:val="74CA7F9C"/>
    <w:rsid w:val="74CC21AE"/>
    <w:rsid w:val="74CD642A"/>
    <w:rsid w:val="74D21CDB"/>
    <w:rsid w:val="74D379E1"/>
    <w:rsid w:val="74DD0860"/>
    <w:rsid w:val="74E05C5A"/>
    <w:rsid w:val="74E474F8"/>
    <w:rsid w:val="74E92D60"/>
    <w:rsid w:val="74F02341"/>
    <w:rsid w:val="74FB2A94"/>
    <w:rsid w:val="75023E22"/>
    <w:rsid w:val="75080C0F"/>
    <w:rsid w:val="751F2C26"/>
    <w:rsid w:val="752124FA"/>
    <w:rsid w:val="752221FE"/>
    <w:rsid w:val="75330480"/>
    <w:rsid w:val="7535244A"/>
    <w:rsid w:val="75357D54"/>
    <w:rsid w:val="7536525D"/>
    <w:rsid w:val="75371D1E"/>
    <w:rsid w:val="7539391E"/>
    <w:rsid w:val="753A1B1C"/>
    <w:rsid w:val="753C5586"/>
    <w:rsid w:val="7553467E"/>
    <w:rsid w:val="755437E6"/>
    <w:rsid w:val="75644ADD"/>
    <w:rsid w:val="756C079A"/>
    <w:rsid w:val="7577036C"/>
    <w:rsid w:val="757765BE"/>
    <w:rsid w:val="75792336"/>
    <w:rsid w:val="757A6E4C"/>
    <w:rsid w:val="75826D11"/>
    <w:rsid w:val="7590142E"/>
    <w:rsid w:val="759058D2"/>
    <w:rsid w:val="75994786"/>
    <w:rsid w:val="759C4277"/>
    <w:rsid w:val="759F78C3"/>
    <w:rsid w:val="75A221D9"/>
    <w:rsid w:val="75A502B0"/>
    <w:rsid w:val="75A86778"/>
    <w:rsid w:val="75AB6B60"/>
    <w:rsid w:val="75AE56CA"/>
    <w:rsid w:val="75B23A9A"/>
    <w:rsid w:val="75B72E5F"/>
    <w:rsid w:val="75BA64AB"/>
    <w:rsid w:val="75CD61DE"/>
    <w:rsid w:val="75DA08FB"/>
    <w:rsid w:val="75E26435"/>
    <w:rsid w:val="75EB7505"/>
    <w:rsid w:val="75F83CEA"/>
    <w:rsid w:val="76127224"/>
    <w:rsid w:val="761A43FC"/>
    <w:rsid w:val="761C0F14"/>
    <w:rsid w:val="761D5003"/>
    <w:rsid w:val="763B3A90"/>
    <w:rsid w:val="76404C02"/>
    <w:rsid w:val="764741E2"/>
    <w:rsid w:val="764C17F9"/>
    <w:rsid w:val="764C3FCB"/>
    <w:rsid w:val="764F2F30"/>
    <w:rsid w:val="765362CF"/>
    <w:rsid w:val="7655078E"/>
    <w:rsid w:val="765608C9"/>
    <w:rsid w:val="76562678"/>
    <w:rsid w:val="76595CC4"/>
    <w:rsid w:val="765C6FAE"/>
    <w:rsid w:val="765C7562"/>
    <w:rsid w:val="766737A1"/>
    <w:rsid w:val="766C4099"/>
    <w:rsid w:val="767728DA"/>
    <w:rsid w:val="76823B67"/>
    <w:rsid w:val="768865A9"/>
    <w:rsid w:val="768A40CF"/>
    <w:rsid w:val="76911902"/>
    <w:rsid w:val="769772EE"/>
    <w:rsid w:val="769E5022"/>
    <w:rsid w:val="76A258BD"/>
    <w:rsid w:val="76A96C4B"/>
    <w:rsid w:val="76AD693B"/>
    <w:rsid w:val="76B63116"/>
    <w:rsid w:val="76BE1FCB"/>
    <w:rsid w:val="76C70E7F"/>
    <w:rsid w:val="76CE5403"/>
    <w:rsid w:val="76E23F0B"/>
    <w:rsid w:val="76E76491"/>
    <w:rsid w:val="76EA2E1A"/>
    <w:rsid w:val="76EA492D"/>
    <w:rsid w:val="76EE0B02"/>
    <w:rsid w:val="76F36118"/>
    <w:rsid w:val="76FA14CF"/>
    <w:rsid w:val="76FC2FA7"/>
    <w:rsid w:val="76FF4F9D"/>
    <w:rsid w:val="7706409E"/>
    <w:rsid w:val="77073A90"/>
    <w:rsid w:val="770B16B4"/>
    <w:rsid w:val="770F2826"/>
    <w:rsid w:val="77147E3D"/>
    <w:rsid w:val="7718792D"/>
    <w:rsid w:val="771D3195"/>
    <w:rsid w:val="77263295"/>
    <w:rsid w:val="77275DC2"/>
    <w:rsid w:val="77280754"/>
    <w:rsid w:val="772A140E"/>
    <w:rsid w:val="773271E7"/>
    <w:rsid w:val="77366F9B"/>
    <w:rsid w:val="773F4EBA"/>
    <w:rsid w:val="774877A0"/>
    <w:rsid w:val="774C75D7"/>
    <w:rsid w:val="7750356B"/>
    <w:rsid w:val="775C3CBE"/>
    <w:rsid w:val="776808B4"/>
    <w:rsid w:val="777D1E86"/>
    <w:rsid w:val="778B45A3"/>
    <w:rsid w:val="7790064A"/>
    <w:rsid w:val="77985391"/>
    <w:rsid w:val="779C67B0"/>
    <w:rsid w:val="77A851A5"/>
    <w:rsid w:val="77A94215"/>
    <w:rsid w:val="77C04A86"/>
    <w:rsid w:val="77C06B97"/>
    <w:rsid w:val="77C30CB6"/>
    <w:rsid w:val="77C54134"/>
    <w:rsid w:val="77C66E63"/>
    <w:rsid w:val="77C90C27"/>
    <w:rsid w:val="77CA50CB"/>
    <w:rsid w:val="77D0505F"/>
    <w:rsid w:val="77D17A52"/>
    <w:rsid w:val="77D34946"/>
    <w:rsid w:val="77D47CF8"/>
    <w:rsid w:val="77DA1086"/>
    <w:rsid w:val="77DC095A"/>
    <w:rsid w:val="77DE46D3"/>
    <w:rsid w:val="77DF044B"/>
    <w:rsid w:val="77E837A3"/>
    <w:rsid w:val="77EB6DF0"/>
    <w:rsid w:val="77F2017E"/>
    <w:rsid w:val="77F55EC0"/>
    <w:rsid w:val="77F66153"/>
    <w:rsid w:val="77FA5285"/>
    <w:rsid w:val="78001169"/>
    <w:rsid w:val="780305DD"/>
    <w:rsid w:val="78034139"/>
    <w:rsid w:val="781C51FB"/>
    <w:rsid w:val="781F4CEB"/>
    <w:rsid w:val="782057A5"/>
    <w:rsid w:val="78210A63"/>
    <w:rsid w:val="78237D1B"/>
    <w:rsid w:val="78252301"/>
    <w:rsid w:val="78276D39"/>
    <w:rsid w:val="783A6160"/>
    <w:rsid w:val="783E3A02"/>
    <w:rsid w:val="78411105"/>
    <w:rsid w:val="78535D8D"/>
    <w:rsid w:val="78570929"/>
    <w:rsid w:val="785929CC"/>
    <w:rsid w:val="785C1A9B"/>
    <w:rsid w:val="78654DF4"/>
    <w:rsid w:val="78686692"/>
    <w:rsid w:val="786C6182"/>
    <w:rsid w:val="786F7A21"/>
    <w:rsid w:val="78737539"/>
    <w:rsid w:val="787B4617"/>
    <w:rsid w:val="787D213D"/>
    <w:rsid w:val="78827754"/>
    <w:rsid w:val="78830A28"/>
    <w:rsid w:val="78850F94"/>
    <w:rsid w:val="78857244"/>
    <w:rsid w:val="788A485A"/>
    <w:rsid w:val="78904D7F"/>
    <w:rsid w:val="78911745"/>
    <w:rsid w:val="78931961"/>
    <w:rsid w:val="789B6A68"/>
    <w:rsid w:val="789C633C"/>
    <w:rsid w:val="789D2EDB"/>
    <w:rsid w:val="789E7895"/>
    <w:rsid w:val="78A2649E"/>
    <w:rsid w:val="78AC2A23"/>
    <w:rsid w:val="78B673FD"/>
    <w:rsid w:val="78B813C8"/>
    <w:rsid w:val="78B90D02"/>
    <w:rsid w:val="78BB0EB8"/>
    <w:rsid w:val="78BB2C66"/>
    <w:rsid w:val="78C338C8"/>
    <w:rsid w:val="78C71EFF"/>
    <w:rsid w:val="78C87C57"/>
    <w:rsid w:val="78CA786B"/>
    <w:rsid w:val="78D34F15"/>
    <w:rsid w:val="78DA6D60"/>
    <w:rsid w:val="78E222F4"/>
    <w:rsid w:val="78E96559"/>
    <w:rsid w:val="78F65A4C"/>
    <w:rsid w:val="78F817C4"/>
    <w:rsid w:val="78FC3F76"/>
    <w:rsid w:val="79022643"/>
    <w:rsid w:val="79053EE1"/>
    <w:rsid w:val="79064EBE"/>
    <w:rsid w:val="79144124"/>
    <w:rsid w:val="79167E9C"/>
    <w:rsid w:val="791800B8"/>
    <w:rsid w:val="7919798C"/>
    <w:rsid w:val="791D122B"/>
    <w:rsid w:val="791D747D"/>
    <w:rsid w:val="791E4BD7"/>
    <w:rsid w:val="791F1447"/>
    <w:rsid w:val="791F31F5"/>
    <w:rsid w:val="79225B68"/>
    <w:rsid w:val="79325A3E"/>
    <w:rsid w:val="79330277"/>
    <w:rsid w:val="79330A4E"/>
    <w:rsid w:val="79383607"/>
    <w:rsid w:val="793F26D8"/>
    <w:rsid w:val="794013BD"/>
    <w:rsid w:val="79420C91"/>
    <w:rsid w:val="794247BE"/>
    <w:rsid w:val="79424F6E"/>
    <w:rsid w:val="79442C5B"/>
    <w:rsid w:val="794669D3"/>
    <w:rsid w:val="79492020"/>
    <w:rsid w:val="794E3ADA"/>
    <w:rsid w:val="794F33AE"/>
    <w:rsid w:val="79517126"/>
    <w:rsid w:val="79652BD2"/>
    <w:rsid w:val="796D40A2"/>
    <w:rsid w:val="796E7CD8"/>
    <w:rsid w:val="797057FE"/>
    <w:rsid w:val="79741AC2"/>
    <w:rsid w:val="797F1570"/>
    <w:rsid w:val="79801D26"/>
    <w:rsid w:val="7993773F"/>
    <w:rsid w:val="7998397B"/>
    <w:rsid w:val="799D05BD"/>
    <w:rsid w:val="79A100AE"/>
    <w:rsid w:val="79A5662B"/>
    <w:rsid w:val="79A731EA"/>
    <w:rsid w:val="79AE6327"/>
    <w:rsid w:val="79B002F1"/>
    <w:rsid w:val="79B37DE1"/>
    <w:rsid w:val="79C3399F"/>
    <w:rsid w:val="79C42DA7"/>
    <w:rsid w:val="79C8388C"/>
    <w:rsid w:val="79CD192A"/>
    <w:rsid w:val="79DA536E"/>
    <w:rsid w:val="79E07627"/>
    <w:rsid w:val="79EA1A55"/>
    <w:rsid w:val="79F006ED"/>
    <w:rsid w:val="79F24465"/>
    <w:rsid w:val="79F91C98"/>
    <w:rsid w:val="79F96578"/>
    <w:rsid w:val="7A0423EA"/>
    <w:rsid w:val="7A082DD6"/>
    <w:rsid w:val="7A0E2B63"/>
    <w:rsid w:val="7A223123"/>
    <w:rsid w:val="7A262B93"/>
    <w:rsid w:val="7A326F58"/>
    <w:rsid w:val="7A3C3932"/>
    <w:rsid w:val="7A3E3B4E"/>
    <w:rsid w:val="7A417A52"/>
    <w:rsid w:val="7A5213A8"/>
    <w:rsid w:val="7A5A6891"/>
    <w:rsid w:val="7A5C5D83"/>
    <w:rsid w:val="7A601D17"/>
    <w:rsid w:val="7A6730A5"/>
    <w:rsid w:val="7A6D0F62"/>
    <w:rsid w:val="7AA17C39"/>
    <w:rsid w:val="7AA37E55"/>
    <w:rsid w:val="7AB0596B"/>
    <w:rsid w:val="7AB62886"/>
    <w:rsid w:val="7AC8631F"/>
    <w:rsid w:val="7ACE4ED2"/>
    <w:rsid w:val="7AD41193"/>
    <w:rsid w:val="7AE209AC"/>
    <w:rsid w:val="7AE85868"/>
    <w:rsid w:val="7AED59D7"/>
    <w:rsid w:val="7AF16FF7"/>
    <w:rsid w:val="7AF661D7"/>
    <w:rsid w:val="7AFB2FD0"/>
    <w:rsid w:val="7B007056"/>
    <w:rsid w:val="7B0501C8"/>
    <w:rsid w:val="7B065660"/>
    <w:rsid w:val="7B087466"/>
    <w:rsid w:val="7B0C59FB"/>
    <w:rsid w:val="7B184BC5"/>
    <w:rsid w:val="7B1E74DC"/>
    <w:rsid w:val="7B227137"/>
    <w:rsid w:val="7B257E47"/>
    <w:rsid w:val="7B292109"/>
    <w:rsid w:val="7B2F430E"/>
    <w:rsid w:val="7B340AAD"/>
    <w:rsid w:val="7B3A3A97"/>
    <w:rsid w:val="7B3B008E"/>
    <w:rsid w:val="7B3B62E0"/>
    <w:rsid w:val="7B503B39"/>
    <w:rsid w:val="7B5178B1"/>
    <w:rsid w:val="7B524D07"/>
    <w:rsid w:val="7B53198E"/>
    <w:rsid w:val="7B5B0730"/>
    <w:rsid w:val="7B5B4346"/>
    <w:rsid w:val="7B5D1DB2"/>
    <w:rsid w:val="7B7C65EF"/>
    <w:rsid w:val="7B827CE5"/>
    <w:rsid w:val="7B86712E"/>
    <w:rsid w:val="7B8D2FE1"/>
    <w:rsid w:val="7B931C78"/>
    <w:rsid w:val="7BA3331B"/>
    <w:rsid w:val="7BA7127F"/>
    <w:rsid w:val="7BAB6FC2"/>
    <w:rsid w:val="7BB06386"/>
    <w:rsid w:val="7BB37C24"/>
    <w:rsid w:val="7BBC49E8"/>
    <w:rsid w:val="7BC05414"/>
    <w:rsid w:val="7BC462D5"/>
    <w:rsid w:val="7BC6204D"/>
    <w:rsid w:val="7BD04C7A"/>
    <w:rsid w:val="7BD20B47"/>
    <w:rsid w:val="7BD44D1A"/>
    <w:rsid w:val="7BD61B65"/>
    <w:rsid w:val="7BD76009"/>
    <w:rsid w:val="7BE14791"/>
    <w:rsid w:val="7BE923C3"/>
    <w:rsid w:val="7BEC2FA1"/>
    <w:rsid w:val="7BEE3352"/>
    <w:rsid w:val="7BF73E0E"/>
    <w:rsid w:val="7BF85F7F"/>
    <w:rsid w:val="7BFD3595"/>
    <w:rsid w:val="7C014E34"/>
    <w:rsid w:val="7C030BAC"/>
    <w:rsid w:val="7C096D18"/>
    <w:rsid w:val="7C0E57A2"/>
    <w:rsid w:val="7C136915"/>
    <w:rsid w:val="7C240B22"/>
    <w:rsid w:val="7C2428D0"/>
    <w:rsid w:val="7C286864"/>
    <w:rsid w:val="7C292432"/>
    <w:rsid w:val="7C30396B"/>
    <w:rsid w:val="7C336FB7"/>
    <w:rsid w:val="7C374CF9"/>
    <w:rsid w:val="7C400462"/>
    <w:rsid w:val="7C4E5B9F"/>
    <w:rsid w:val="7C556F2D"/>
    <w:rsid w:val="7C562FD2"/>
    <w:rsid w:val="7C584880"/>
    <w:rsid w:val="7C5C02BC"/>
    <w:rsid w:val="7C5F465F"/>
    <w:rsid w:val="7C611D76"/>
    <w:rsid w:val="7C613E34"/>
    <w:rsid w:val="7C617184"/>
    <w:rsid w:val="7C653614"/>
    <w:rsid w:val="7C686C61"/>
    <w:rsid w:val="7C6A0C2B"/>
    <w:rsid w:val="7C6B04FF"/>
    <w:rsid w:val="7C725D31"/>
    <w:rsid w:val="7C766CF6"/>
    <w:rsid w:val="7C7A4BE6"/>
    <w:rsid w:val="7C7E46D6"/>
    <w:rsid w:val="7C8141C6"/>
    <w:rsid w:val="7C871995"/>
    <w:rsid w:val="7C8F0691"/>
    <w:rsid w:val="7C912350"/>
    <w:rsid w:val="7C975798"/>
    <w:rsid w:val="7C977546"/>
    <w:rsid w:val="7C9E08D4"/>
    <w:rsid w:val="7CAD6D69"/>
    <w:rsid w:val="7CAE3879"/>
    <w:rsid w:val="7CAF55A0"/>
    <w:rsid w:val="7CB579CC"/>
    <w:rsid w:val="7CBB1486"/>
    <w:rsid w:val="7CBE4AD3"/>
    <w:rsid w:val="7CC145C3"/>
    <w:rsid w:val="7CC52305"/>
    <w:rsid w:val="7CCC4E41"/>
    <w:rsid w:val="7CCC5441"/>
    <w:rsid w:val="7CD00D4E"/>
    <w:rsid w:val="7CD71871"/>
    <w:rsid w:val="7CD9190C"/>
    <w:rsid w:val="7CE251CA"/>
    <w:rsid w:val="7CE771A1"/>
    <w:rsid w:val="7CE81B50"/>
    <w:rsid w:val="7CE85FF3"/>
    <w:rsid w:val="7CEB39F6"/>
    <w:rsid w:val="7CF206FA"/>
    <w:rsid w:val="7CF97C1F"/>
    <w:rsid w:val="7D032E2D"/>
    <w:rsid w:val="7D0D7808"/>
    <w:rsid w:val="7D1B1F25"/>
    <w:rsid w:val="7D20450B"/>
    <w:rsid w:val="7D250FF6"/>
    <w:rsid w:val="7D2535D0"/>
    <w:rsid w:val="7D2708CA"/>
    <w:rsid w:val="7D342FE7"/>
    <w:rsid w:val="7D382AD7"/>
    <w:rsid w:val="7D3E3E65"/>
    <w:rsid w:val="7D3E5C13"/>
    <w:rsid w:val="7D40198C"/>
    <w:rsid w:val="7D4A0A5C"/>
    <w:rsid w:val="7D4A45B8"/>
    <w:rsid w:val="7D4F1BCF"/>
    <w:rsid w:val="7D5A3E70"/>
    <w:rsid w:val="7D5C79AD"/>
    <w:rsid w:val="7D5D078F"/>
    <w:rsid w:val="7D64006E"/>
    <w:rsid w:val="7D676F18"/>
    <w:rsid w:val="7D717D97"/>
    <w:rsid w:val="7D741830"/>
    <w:rsid w:val="7D790DF2"/>
    <w:rsid w:val="7D99109C"/>
    <w:rsid w:val="7D9B15FC"/>
    <w:rsid w:val="7DA22646"/>
    <w:rsid w:val="7DA43CC8"/>
    <w:rsid w:val="7DA912DF"/>
    <w:rsid w:val="7DB764DD"/>
    <w:rsid w:val="7DC12ACC"/>
    <w:rsid w:val="7DC15CF3"/>
    <w:rsid w:val="7DC45A8F"/>
    <w:rsid w:val="7DC720AD"/>
    <w:rsid w:val="7DCB286C"/>
    <w:rsid w:val="7DCF4ABD"/>
    <w:rsid w:val="7DD07EF5"/>
    <w:rsid w:val="7DD10836"/>
    <w:rsid w:val="7DE95B7F"/>
    <w:rsid w:val="7DEB18F7"/>
    <w:rsid w:val="7DEC566F"/>
    <w:rsid w:val="7DF5216E"/>
    <w:rsid w:val="7DFF53A3"/>
    <w:rsid w:val="7E026C41"/>
    <w:rsid w:val="7E097FCF"/>
    <w:rsid w:val="7E102937"/>
    <w:rsid w:val="7E104897"/>
    <w:rsid w:val="7E132BFC"/>
    <w:rsid w:val="7E1F77F3"/>
    <w:rsid w:val="7E214DFD"/>
    <w:rsid w:val="7E2272E3"/>
    <w:rsid w:val="7E2D63B4"/>
    <w:rsid w:val="7E327526"/>
    <w:rsid w:val="7E3B5B52"/>
    <w:rsid w:val="7E417769"/>
    <w:rsid w:val="7E424C63"/>
    <w:rsid w:val="7E461190"/>
    <w:rsid w:val="7E462FD2"/>
    <w:rsid w:val="7E484F9C"/>
    <w:rsid w:val="7E4B05E8"/>
    <w:rsid w:val="7E642677"/>
    <w:rsid w:val="7E816679"/>
    <w:rsid w:val="7E8A7362"/>
    <w:rsid w:val="7E8E6727"/>
    <w:rsid w:val="7E9743A0"/>
    <w:rsid w:val="7E9C51C9"/>
    <w:rsid w:val="7E9D1408"/>
    <w:rsid w:val="7EA67F14"/>
    <w:rsid w:val="7EB71D2B"/>
    <w:rsid w:val="7ECC2A41"/>
    <w:rsid w:val="7ECE58E1"/>
    <w:rsid w:val="7ED405DD"/>
    <w:rsid w:val="7EE54599"/>
    <w:rsid w:val="7EED169F"/>
    <w:rsid w:val="7EED78F1"/>
    <w:rsid w:val="7EF7251E"/>
    <w:rsid w:val="7EF742CC"/>
    <w:rsid w:val="7EF960C0"/>
    <w:rsid w:val="7F0569E9"/>
    <w:rsid w:val="7F0E4CDF"/>
    <w:rsid w:val="7F10246B"/>
    <w:rsid w:val="7F160BF6"/>
    <w:rsid w:val="7F1B445E"/>
    <w:rsid w:val="7F1E5CFC"/>
    <w:rsid w:val="7F201A75"/>
    <w:rsid w:val="7F271055"/>
    <w:rsid w:val="7F282B5A"/>
    <w:rsid w:val="7F2F3A66"/>
    <w:rsid w:val="7F335F35"/>
    <w:rsid w:val="7F3569F8"/>
    <w:rsid w:val="7F3E014D"/>
    <w:rsid w:val="7F507D37"/>
    <w:rsid w:val="7F571551"/>
    <w:rsid w:val="7F5B0CFF"/>
    <w:rsid w:val="7F62208D"/>
    <w:rsid w:val="7F646AD3"/>
    <w:rsid w:val="7F6A2CF0"/>
    <w:rsid w:val="7F724BB2"/>
    <w:rsid w:val="7F724E3F"/>
    <w:rsid w:val="7F7840F3"/>
    <w:rsid w:val="7F7B4D83"/>
    <w:rsid w:val="7F7C7B39"/>
    <w:rsid w:val="7F7E679B"/>
    <w:rsid w:val="7F8042C1"/>
    <w:rsid w:val="7F8E65CD"/>
    <w:rsid w:val="7F932247"/>
    <w:rsid w:val="7F9466D7"/>
    <w:rsid w:val="7F9D4BD4"/>
    <w:rsid w:val="7FA22BAD"/>
    <w:rsid w:val="7FA937F6"/>
    <w:rsid w:val="7FB81CAD"/>
    <w:rsid w:val="7FC05006"/>
    <w:rsid w:val="7FC44AF6"/>
    <w:rsid w:val="7FCA19E0"/>
    <w:rsid w:val="7FCD7957"/>
    <w:rsid w:val="7FD10FC1"/>
    <w:rsid w:val="7FD208E7"/>
    <w:rsid w:val="7FD50AB1"/>
    <w:rsid w:val="7FDB4B69"/>
    <w:rsid w:val="7FDC1E3F"/>
    <w:rsid w:val="7FDE280C"/>
    <w:rsid w:val="7FE5681A"/>
    <w:rsid w:val="7FEC1957"/>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99"/>
    <w:pPr>
      <w:keepNext/>
      <w:adjustRightInd w:val="0"/>
      <w:snapToGrid w:val="0"/>
      <w:spacing w:line="360" w:lineRule="auto"/>
      <w:jc w:val="center"/>
      <w:outlineLvl w:val="0"/>
    </w:pPr>
    <w:rPr>
      <w:b/>
      <w:sz w:val="44"/>
    </w:rPr>
  </w:style>
  <w:style w:type="paragraph" w:styleId="3">
    <w:name w:val="heading 2"/>
    <w:basedOn w:val="1"/>
    <w:next w:val="1"/>
    <w:link w:val="30"/>
    <w:qFormat/>
    <w:uiPriority w:val="99"/>
    <w:pPr>
      <w:keepNext/>
      <w:keepLines/>
      <w:adjustRightInd w:val="0"/>
      <w:snapToGrid w:val="0"/>
      <w:spacing w:line="360" w:lineRule="auto"/>
      <w:jc w:val="center"/>
      <w:outlineLvl w:val="1"/>
    </w:pPr>
    <w:rPr>
      <w:rFonts w:ascii="Arial" w:hAnsi="Arial"/>
      <w:b/>
      <w:bCs/>
      <w:sz w:val="32"/>
      <w:szCs w:val="32"/>
    </w:rPr>
  </w:style>
  <w:style w:type="paragraph" w:styleId="4">
    <w:name w:val="heading 3"/>
    <w:basedOn w:val="1"/>
    <w:next w:val="1"/>
    <w:qFormat/>
    <w:uiPriority w:val="99"/>
    <w:pPr>
      <w:keepNext/>
      <w:keepLines/>
      <w:spacing w:before="260" w:after="260" w:line="416" w:lineRule="auto"/>
      <w:outlineLvl w:val="2"/>
    </w:pPr>
    <w:rPr>
      <w:rFonts w:ascii="Times New Roman" w:hAnsi="Times New Roman" w:eastAsia="宋体"/>
      <w:b/>
      <w:bCs/>
      <w:sz w:val="28"/>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99"/>
    <w:pPr>
      <w:ind w:firstLine="420" w:firstLineChars="200"/>
    </w:pPr>
    <w:rPr>
      <w:rFonts w:ascii="Calibri" w:hAnsi="Calibri"/>
      <w:kern w:val="0"/>
      <w:sz w:val="20"/>
    </w:rPr>
  </w:style>
  <w:style w:type="paragraph" w:styleId="9">
    <w:name w:val="annotation text"/>
    <w:basedOn w:val="1"/>
    <w:qFormat/>
    <w:uiPriority w:val="0"/>
    <w:pPr>
      <w:jc w:val="left"/>
    </w:pPr>
  </w:style>
  <w:style w:type="paragraph" w:styleId="10">
    <w:name w:val="Body Text 3"/>
    <w:basedOn w:val="1"/>
    <w:qFormat/>
    <w:uiPriority w:val="99"/>
    <w:pPr>
      <w:spacing w:after="120"/>
    </w:pPr>
    <w:rPr>
      <w:sz w:val="16"/>
      <w:szCs w:val="16"/>
    </w:rPr>
  </w:style>
  <w:style w:type="paragraph" w:styleId="11">
    <w:name w:val="Body Text"/>
    <w:basedOn w:val="1"/>
    <w:next w:val="1"/>
    <w:qFormat/>
    <w:uiPriority w:val="99"/>
    <w:pPr>
      <w:spacing w:after="120"/>
    </w:pPr>
    <w:rPr>
      <w:szCs w:val="24"/>
    </w:rPr>
  </w:style>
  <w:style w:type="paragraph" w:styleId="12">
    <w:name w:val="Body Text Indent"/>
    <w:basedOn w:val="1"/>
    <w:qFormat/>
    <w:uiPriority w:val="99"/>
    <w:pPr>
      <w:ind w:firstLine="552"/>
    </w:pPr>
    <w:rPr>
      <w:rFonts w:ascii="宋体"/>
      <w:sz w:val="28"/>
    </w:rPr>
  </w:style>
  <w:style w:type="paragraph" w:styleId="13">
    <w:name w:val="Block Text"/>
    <w:basedOn w:val="1"/>
    <w:qFormat/>
    <w:uiPriority w:val="0"/>
    <w:pPr>
      <w:spacing w:after="120" w:afterLines="0" w:afterAutospacing="0"/>
      <w:ind w:left="1440" w:leftChars="700" w:rightChars="700"/>
    </w:pPr>
  </w:style>
  <w:style w:type="paragraph" w:styleId="14">
    <w:name w:val="toc 5"/>
    <w:basedOn w:val="1"/>
    <w:next w:val="1"/>
    <w:qFormat/>
    <w:uiPriority w:val="0"/>
    <w:pPr>
      <w:tabs>
        <w:tab w:val="right" w:leader="dot" w:pos="8296"/>
      </w:tabs>
      <w:ind w:left="1050" w:leftChars="500"/>
    </w:pPr>
  </w:style>
  <w:style w:type="paragraph" w:styleId="15">
    <w:name w:val="toc 3"/>
    <w:basedOn w:val="1"/>
    <w:next w:val="1"/>
    <w:qFormat/>
    <w:uiPriority w:val="0"/>
    <w:pPr>
      <w:ind w:left="840" w:leftChars="400"/>
    </w:pPr>
  </w:style>
  <w:style w:type="paragraph" w:styleId="16">
    <w:name w:val="Plain Text"/>
    <w:basedOn w:val="1"/>
    <w:next w:val="17"/>
    <w:qFormat/>
    <w:uiPriority w:val="0"/>
    <w:pPr>
      <w:spacing w:beforeLines="50" w:afterLines="50" w:line="400" w:lineRule="exact"/>
    </w:pPr>
    <w:rPr>
      <w:rFonts w:ascii="宋体" w:hAnsi="Courier New"/>
      <w:kern w:val="0"/>
      <w:sz w:val="24"/>
    </w:rPr>
  </w:style>
  <w:style w:type="paragraph" w:styleId="17">
    <w:name w:val="Date"/>
    <w:basedOn w:val="1"/>
    <w:next w:val="1"/>
    <w:qFormat/>
    <w:uiPriority w:val="0"/>
    <w:pPr>
      <w:ind w:left="2500" w:leftChars="2500"/>
    </w:pPr>
    <w:rPr>
      <w:rFonts w:ascii="Tahoma" w:hAnsi="Tahoma" w:eastAsia="楷体_GB2312"/>
      <w:kern w:val="0"/>
      <w:sz w:val="32"/>
      <w:szCs w:val="20"/>
    </w:rPr>
  </w:style>
  <w:style w:type="paragraph" w:styleId="18">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toc 4"/>
    <w:basedOn w:val="1"/>
    <w:next w:val="1"/>
    <w:qFormat/>
    <w:uiPriority w:val="0"/>
    <w:pPr>
      <w:tabs>
        <w:tab w:val="left" w:pos="1890"/>
        <w:tab w:val="right" w:leader="dot" w:pos="8296"/>
      </w:tabs>
      <w:ind w:left="630" w:leftChars="300"/>
    </w:p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11"/>
    <w:qFormat/>
    <w:uiPriority w:val="99"/>
    <w:pPr>
      <w:ind w:firstLine="420" w:firstLineChars="100"/>
    </w:pPr>
    <w:rPr>
      <w:rFonts w:ascii="宋体" w:hAnsi="Calibri"/>
      <w:kern w:val="0"/>
      <w:sz w:val="34"/>
      <w:szCs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99"/>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customStyle="1" w:styleId="30">
    <w:name w:val="标题 2 Char"/>
    <w:basedOn w:val="26"/>
    <w:link w:val="3"/>
    <w:qFormat/>
    <w:locked/>
    <w:uiPriority w:val="99"/>
    <w:rPr>
      <w:rFonts w:ascii="Arial" w:hAnsi="Arial"/>
      <w:b/>
      <w:bCs/>
      <w:sz w:val="32"/>
      <w:szCs w:val="32"/>
    </w:rPr>
  </w:style>
  <w:style w:type="character" w:customStyle="1" w:styleId="31">
    <w:name w:val="标题 1 Char"/>
    <w:basedOn w:val="26"/>
    <w:link w:val="2"/>
    <w:qFormat/>
    <w:locked/>
    <w:uiPriority w:val="99"/>
    <w:rPr>
      <w:b/>
      <w:sz w:val="44"/>
    </w:rPr>
  </w:style>
  <w:style w:type="paragraph" w:customStyle="1" w:styleId="32">
    <w:name w:val="正文缩进1"/>
    <w:basedOn w:val="1"/>
    <w:qFormat/>
    <w:uiPriority w:val="0"/>
    <w:pPr>
      <w:widowControl/>
      <w:overflowPunct w:val="0"/>
      <w:autoSpaceDE w:val="0"/>
      <w:autoSpaceDN w:val="0"/>
      <w:adjustRightInd w:val="0"/>
      <w:ind w:firstLine="420"/>
    </w:pPr>
    <w:rPr>
      <w:rFonts w:hint="eastAsia" w:ascii="宋体"/>
      <w:kern w:val="0"/>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35">
    <w:name w:val="样式 标题 2 + Times New Roman 四号 非加粗 段前: 5 磅 段后: 0 磅 行距: 固定值 20..."/>
    <w:basedOn w:val="3"/>
    <w:qFormat/>
    <w:uiPriority w:val="99"/>
    <w:pPr>
      <w:spacing w:before="100" w:line="400" w:lineRule="exact"/>
    </w:pPr>
    <w:rPr>
      <w:rFonts w:ascii="Times New Roman" w:hAnsi="Times New Roman" w:cs="宋体"/>
      <w:b w:val="0"/>
      <w:kern w:val="0"/>
      <w:sz w:val="28"/>
    </w:rPr>
  </w:style>
  <w:style w:type="paragraph" w:customStyle="1" w:styleId="36">
    <w:name w:val="样式 标题 3 + (中文) 黑体 小四 非加粗 段前: 7.8 磅 段后: 0 磅 行距: 固定值 20 磅"/>
    <w:basedOn w:val="4"/>
    <w:next w:val="1"/>
    <w:qFormat/>
    <w:uiPriority w:val="99"/>
    <w:pPr>
      <w:spacing w:before="0" w:after="0" w:line="400" w:lineRule="exact"/>
    </w:pPr>
    <w:rPr>
      <w:rFonts w:hAnsi="Calibri" w:eastAsia="黑体" w:cs="宋体"/>
      <w:b w:val="0"/>
      <w:sz w:val="24"/>
    </w:rPr>
  </w:style>
  <w:style w:type="paragraph" w:customStyle="1" w:styleId="37">
    <w:name w:val="目录"/>
    <w:basedOn w:val="1"/>
    <w:qFormat/>
    <w:uiPriority w:val="99"/>
    <w:pPr>
      <w:jc w:val="center"/>
    </w:pPr>
    <w:rPr>
      <w:rFonts w:ascii="宋体" w:hAnsi="Calibri"/>
      <w:b/>
      <w:sz w:val="36"/>
      <w:szCs w:val="22"/>
    </w:rPr>
  </w:style>
  <w:style w:type="paragraph" w:customStyle="1" w:styleId="38">
    <w:name w:val="Table Paragraph"/>
    <w:basedOn w:val="1"/>
    <w:qFormat/>
    <w:uiPriority w:val="1"/>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首行缩进"/>
    <w:basedOn w:val="1"/>
    <w:qFormat/>
    <w:uiPriority w:val="0"/>
    <w:rPr>
      <w:lang w:val="zh-CN"/>
    </w:rPr>
  </w:style>
  <w:style w:type="paragraph" w:customStyle="1" w:styleId="4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内文正文"/>
    <w:basedOn w:val="16"/>
    <w:qFormat/>
    <w:uiPriority w:val="0"/>
    <w:pPr>
      <w:adjustRightInd w:val="0"/>
      <w:snapToGrid w:val="0"/>
      <w:spacing w:line="400" w:lineRule="atLeast"/>
      <w:ind w:firstLine="420" w:firstLineChars="200"/>
    </w:pPr>
    <w:rPr>
      <w:rFonts w:ascii="宋体"/>
    </w:rPr>
  </w:style>
  <w:style w:type="paragraph" w:customStyle="1" w:styleId="43">
    <w:name w:val="title13"/>
    <w:basedOn w:val="1"/>
    <w:qFormat/>
    <w:uiPriority w:val="0"/>
    <w:pPr>
      <w:spacing w:before="150"/>
      <w:jc w:val="left"/>
    </w:pPr>
    <w:rPr>
      <w:b/>
      <w:bCs/>
      <w:kern w:val="0"/>
      <w:sz w:val="22"/>
      <w:szCs w:val="22"/>
    </w:rPr>
  </w:style>
  <w:style w:type="paragraph" w:customStyle="1" w:styleId="44">
    <w:name w:val="Table Text"/>
    <w:basedOn w:val="1"/>
    <w:semiHidden/>
    <w:qFormat/>
    <w:uiPriority w:val="0"/>
    <w:rPr>
      <w:rFonts w:ascii="宋体" w:hAnsi="宋体" w:eastAsia="宋体" w:cs="宋体"/>
      <w:sz w:val="20"/>
      <w:szCs w:val="20"/>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_Style 6"/>
    <w:basedOn w:val="2"/>
    <w:next w:val="1"/>
    <w:qFormat/>
    <w:uiPriority w:val="0"/>
    <w:pPr>
      <w:outlineLvl w:val="9"/>
    </w:pPr>
  </w:style>
  <w:style w:type="paragraph" w:customStyle="1" w:styleId="47">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47217</Words>
  <Characters>49772</Characters>
  <Lines>0</Lines>
  <Paragraphs>0</Paragraphs>
  <TotalTime>55</TotalTime>
  <ScaleCrop>false</ScaleCrop>
  <LinksUpToDate>false</LinksUpToDate>
  <CharactersWithSpaces>57295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2021-06-26T13:17:00Z</dcterms:created>
  <dc:creator>业务四部</dc:creator>
  <cp:lastModifiedBy>早睡早起</cp:lastModifiedBy>
  <cp:lastPrinted>2023-10-07T02:28:00Z</cp:lastPrinted>
  <dcterms:modified xsi:type="dcterms:W3CDTF">2023-10-16T01:43:44Z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CCCB119E69DC4D85B6F54554D14E779D_13</vt:lpwstr>
  </property>
</Properties>
</file>